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1ED" w:rsidRPr="00874AFB" w:rsidRDefault="00D771ED" w:rsidP="007115E5">
      <w:pPr>
        <w:spacing w:line="360" w:lineRule="auto"/>
        <w:jc w:val="both"/>
        <w:rPr>
          <w:rFonts w:ascii="Palatino Linotype" w:eastAsiaTheme="minorEastAsia" w:hAnsi="Palatino Linotype"/>
          <w:lang w:val="es-ES_tradnl" w:eastAsia="es-ES"/>
        </w:rPr>
      </w:pPr>
      <w:r w:rsidRPr="00874AFB">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w:t>
      </w:r>
      <w:r w:rsidR="00964900" w:rsidRPr="00874AFB">
        <w:rPr>
          <w:rFonts w:ascii="Palatino Linotype" w:eastAsiaTheme="minorEastAsia" w:hAnsi="Palatino Linotype"/>
          <w:lang w:val="es-ES_tradnl" w:eastAsia="es-ES"/>
        </w:rPr>
        <w:t xml:space="preserve">o; de fecha </w:t>
      </w:r>
      <w:r w:rsidR="007115E5" w:rsidRPr="00874AFB">
        <w:rPr>
          <w:rFonts w:ascii="Palatino Linotype" w:eastAsiaTheme="minorEastAsia" w:hAnsi="Palatino Linotype"/>
          <w:lang w:val="es-ES_tradnl" w:eastAsia="es-ES"/>
        </w:rPr>
        <w:t>nueve (09)</w:t>
      </w:r>
      <w:r w:rsidR="00243CBD" w:rsidRPr="00874AFB">
        <w:rPr>
          <w:rFonts w:ascii="Palatino Linotype" w:eastAsiaTheme="minorEastAsia" w:hAnsi="Palatino Linotype"/>
          <w:lang w:val="es-ES_tradnl" w:eastAsia="es-ES"/>
        </w:rPr>
        <w:t xml:space="preserve"> de noviembre </w:t>
      </w:r>
      <w:r w:rsidR="00A3041A" w:rsidRPr="00874AFB">
        <w:rPr>
          <w:rFonts w:ascii="Palatino Linotype" w:eastAsiaTheme="minorEastAsia" w:hAnsi="Palatino Linotype"/>
          <w:lang w:val="es-ES_tradnl" w:eastAsia="es-ES"/>
        </w:rPr>
        <w:t xml:space="preserve"> de dos mil veintidós</w:t>
      </w:r>
      <w:r w:rsidRPr="00874AFB">
        <w:rPr>
          <w:rFonts w:ascii="Palatino Linotype" w:eastAsiaTheme="minorEastAsia" w:hAnsi="Palatino Linotype"/>
          <w:lang w:val="es-ES_tradnl" w:eastAsia="es-ES"/>
        </w:rPr>
        <w:t>.</w:t>
      </w:r>
    </w:p>
    <w:p w:rsidR="00D771ED" w:rsidRPr="00874AFB" w:rsidRDefault="00D771ED" w:rsidP="009B6FD5">
      <w:pPr>
        <w:spacing w:line="360" w:lineRule="auto"/>
        <w:jc w:val="both"/>
        <w:rPr>
          <w:rFonts w:ascii="Palatino Linotype" w:eastAsiaTheme="minorEastAsia" w:hAnsi="Palatino Linotype"/>
          <w:lang w:val="es-ES_tradnl" w:eastAsia="es-ES"/>
        </w:rPr>
      </w:pPr>
    </w:p>
    <w:p w:rsidR="00D771ED" w:rsidRPr="00874AFB" w:rsidRDefault="00D771ED" w:rsidP="009B6FD5">
      <w:pPr>
        <w:spacing w:line="360" w:lineRule="auto"/>
        <w:jc w:val="both"/>
        <w:rPr>
          <w:rFonts w:ascii="Palatino Linotype" w:hAnsi="Palatino Linotype"/>
        </w:rPr>
      </w:pPr>
      <w:r w:rsidRPr="00874AFB">
        <w:rPr>
          <w:rFonts w:ascii="Palatino Linotype" w:hAnsi="Palatino Linotype"/>
          <w:b/>
        </w:rPr>
        <w:t>VISTO</w:t>
      </w:r>
      <w:r w:rsidRPr="00874AFB">
        <w:rPr>
          <w:rFonts w:ascii="Palatino Linotype" w:hAnsi="Palatino Linotype"/>
        </w:rPr>
        <w:t xml:space="preserve"> el expediente electrónico formado con motivo del recurso de revisión </w:t>
      </w:r>
      <w:r w:rsidR="00586A53" w:rsidRPr="00874AFB">
        <w:rPr>
          <w:rFonts w:ascii="Palatino Linotype" w:hAnsi="Palatino Linotype"/>
          <w:b/>
        </w:rPr>
        <w:t>15253</w:t>
      </w:r>
      <w:r w:rsidR="005D445E" w:rsidRPr="00874AFB">
        <w:rPr>
          <w:rFonts w:ascii="Palatino Linotype" w:hAnsi="Palatino Linotype"/>
          <w:b/>
        </w:rPr>
        <w:t>/INFOEM/IP/RR/2022</w:t>
      </w:r>
      <w:r w:rsidRPr="00874AFB">
        <w:rPr>
          <w:rFonts w:ascii="Palatino Linotype" w:hAnsi="Palatino Linotype"/>
          <w:b/>
        </w:rPr>
        <w:t>,</w:t>
      </w:r>
      <w:r w:rsidRPr="00874AFB">
        <w:rPr>
          <w:rFonts w:ascii="Palatino Linotype" w:hAnsi="Palatino Linotype" w:cs="Arial"/>
          <w:b/>
          <w:bCs/>
        </w:rPr>
        <w:t xml:space="preserve"> </w:t>
      </w:r>
      <w:r w:rsidRPr="00874AFB">
        <w:rPr>
          <w:rFonts w:ascii="Palatino Linotype" w:eastAsiaTheme="minorEastAsia" w:hAnsi="Palatino Linotype"/>
          <w:lang w:val="es-ES_tradnl" w:eastAsia="es-ES"/>
        </w:rPr>
        <w:t>promovido por</w:t>
      </w:r>
      <w:r w:rsidR="00964900" w:rsidRPr="00874AFB">
        <w:rPr>
          <w:rFonts w:ascii="Palatino Linotype" w:eastAsiaTheme="minorEastAsia" w:hAnsi="Palatino Linotype"/>
          <w:b/>
          <w:lang w:val="es-ES" w:eastAsia="es-ES"/>
        </w:rPr>
        <w:t xml:space="preserve"> </w:t>
      </w:r>
      <w:r w:rsidR="00874AFB" w:rsidRPr="00874AFB">
        <w:rPr>
          <w:rFonts w:ascii="Palatino Linotype" w:eastAsiaTheme="minorEastAsia" w:hAnsi="Palatino Linotype"/>
          <w:b/>
          <w:lang w:val="es-ES" w:eastAsia="es-ES"/>
        </w:rPr>
        <w:t xml:space="preserve">XXXX XXXXX </w:t>
      </w:r>
      <w:proofErr w:type="spellStart"/>
      <w:r w:rsidR="00874AFB" w:rsidRPr="00874AFB">
        <w:rPr>
          <w:rFonts w:ascii="Palatino Linotype" w:eastAsiaTheme="minorEastAsia" w:hAnsi="Palatino Linotype"/>
          <w:b/>
          <w:lang w:val="es-ES" w:eastAsia="es-ES"/>
        </w:rPr>
        <w:t>XXXXX</w:t>
      </w:r>
      <w:proofErr w:type="spellEnd"/>
      <w:r w:rsidR="00C60D17" w:rsidRPr="00874AFB">
        <w:rPr>
          <w:rFonts w:ascii="Palatino Linotype" w:eastAsiaTheme="minorEastAsia" w:hAnsi="Palatino Linotype"/>
          <w:b/>
          <w:lang w:val="es-ES" w:eastAsia="es-ES"/>
        </w:rPr>
        <w:t>,</w:t>
      </w:r>
      <w:r w:rsidR="00C60D17" w:rsidRPr="00874AFB">
        <w:rPr>
          <w:rFonts w:ascii="Palatino Linotype" w:eastAsiaTheme="minorEastAsia" w:hAnsi="Palatino Linotype"/>
          <w:lang w:val="es-ES" w:eastAsia="es-ES"/>
        </w:rPr>
        <w:t xml:space="preserve"> quien en lo </w:t>
      </w:r>
      <w:r w:rsidRPr="00874AFB">
        <w:rPr>
          <w:rFonts w:ascii="Palatino Linotype" w:hAnsi="Palatino Linotype"/>
        </w:rPr>
        <w:t xml:space="preserve">sucesivo se identificará como </w:t>
      </w:r>
      <w:r w:rsidRPr="00874AFB">
        <w:rPr>
          <w:rFonts w:ascii="Palatino Linotype" w:hAnsi="Palatino Linotype"/>
          <w:b/>
        </w:rPr>
        <w:t xml:space="preserve">EL </w:t>
      </w:r>
      <w:r w:rsidRPr="00874AFB">
        <w:rPr>
          <w:rFonts w:ascii="Palatino Linotype" w:hAnsi="Palatino Linotype" w:cs="Arial"/>
          <w:b/>
        </w:rPr>
        <w:t>RECURRENTE</w:t>
      </w:r>
      <w:r w:rsidRPr="00874AFB">
        <w:rPr>
          <w:rFonts w:ascii="Palatino Linotype" w:hAnsi="Palatino Linotype" w:cs="Arial"/>
        </w:rPr>
        <w:t xml:space="preserve">, en contra de la respuesta del </w:t>
      </w:r>
      <w:r w:rsidR="003F27EF" w:rsidRPr="00874AFB">
        <w:rPr>
          <w:rFonts w:ascii="Palatino Linotype" w:hAnsi="Palatino Linotype" w:cs="Arial"/>
          <w:b/>
        </w:rPr>
        <w:t>Ayu</w:t>
      </w:r>
      <w:r w:rsidR="00586A53" w:rsidRPr="00874AFB">
        <w:rPr>
          <w:rFonts w:ascii="Palatino Linotype" w:hAnsi="Palatino Linotype" w:cs="Arial"/>
          <w:b/>
        </w:rPr>
        <w:t xml:space="preserve">ntamiento de </w:t>
      </w:r>
      <w:proofErr w:type="spellStart"/>
      <w:r w:rsidR="00586A53" w:rsidRPr="00874AFB">
        <w:rPr>
          <w:rFonts w:ascii="Palatino Linotype" w:hAnsi="Palatino Linotype" w:cs="Arial"/>
          <w:b/>
        </w:rPr>
        <w:t>Atlautla</w:t>
      </w:r>
      <w:proofErr w:type="spellEnd"/>
      <w:r w:rsidRPr="00874AFB">
        <w:rPr>
          <w:rFonts w:ascii="Palatino Linotype" w:hAnsi="Palatino Linotype" w:cs="Arial"/>
          <w:b/>
        </w:rPr>
        <w:t>,</w:t>
      </w:r>
      <w:r w:rsidRPr="00874AFB">
        <w:rPr>
          <w:rFonts w:ascii="Palatino Linotype" w:hAnsi="Palatino Linotype"/>
          <w:b/>
        </w:rPr>
        <w:t xml:space="preserve"> </w:t>
      </w:r>
      <w:r w:rsidRPr="00874AFB">
        <w:rPr>
          <w:rFonts w:ascii="Palatino Linotype" w:hAnsi="Palatino Linotype"/>
        </w:rPr>
        <w:t>en lo sucesivo el</w:t>
      </w:r>
      <w:r w:rsidRPr="00874AFB">
        <w:rPr>
          <w:rFonts w:ascii="Palatino Linotype" w:hAnsi="Palatino Linotype"/>
          <w:b/>
        </w:rPr>
        <w:t xml:space="preserve"> SUJETO OBLIGADO</w:t>
      </w:r>
      <w:r w:rsidRPr="00874AFB">
        <w:rPr>
          <w:rFonts w:ascii="Palatino Linotype" w:hAnsi="Palatino Linotype"/>
        </w:rPr>
        <w:t>, por lo que se procede a dictar la presente resoluci</w:t>
      </w:r>
      <w:r w:rsidR="003A0EBB" w:rsidRPr="00874AFB">
        <w:rPr>
          <w:rFonts w:ascii="Palatino Linotype" w:hAnsi="Palatino Linotype"/>
        </w:rPr>
        <w:t>ón, con base en los siguientes:</w:t>
      </w:r>
    </w:p>
    <w:p w:rsidR="003A0EBB" w:rsidRPr="00874AFB" w:rsidRDefault="003A0EBB" w:rsidP="009B6FD5">
      <w:pPr>
        <w:spacing w:line="360" w:lineRule="auto"/>
        <w:jc w:val="both"/>
        <w:rPr>
          <w:rFonts w:ascii="Palatino Linotype" w:hAnsi="Palatino Linotype"/>
        </w:rPr>
      </w:pPr>
    </w:p>
    <w:p w:rsidR="00D771ED" w:rsidRPr="00874AFB" w:rsidRDefault="00D771ED" w:rsidP="009B6FD5">
      <w:pPr>
        <w:keepNext/>
        <w:keepLines/>
        <w:spacing w:line="360" w:lineRule="auto"/>
        <w:jc w:val="center"/>
        <w:outlineLvl w:val="0"/>
        <w:rPr>
          <w:rFonts w:ascii="Palatino Linotype" w:eastAsiaTheme="majorEastAsia" w:hAnsi="Palatino Linotype" w:cstheme="majorBidi"/>
          <w:b/>
          <w:szCs w:val="32"/>
        </w:rPr>
      </w:pPr>
      <w:bookmarkStart w:id="0" w:name="_Toc83301633"/>
      <w:r w:rsidRPr="00874AFB">
        <w:rPr>
          <w:rFonts w:ascii="Palatino Linotype" w:eastAsiaTheme="majorEastAsia" w:hAnsi="Palatino Linotype" w:cstheme="majorBidi"/>
          <w:b/>
          <w:szCs w:val="32"/>
        </w:rPr>
        <w:t>ANTECEDENTES</w:t>
      </w:r>
      <w:bookmarkEnd w:id="0"/>
    </w:p>
    <w:p w:rsidR="00D771ED" w:rsidRPr="00874AFB" w:rsidRDefault="00D771ED" w:rsidP="009B6FD5">
      <w:pPr>
        <w:spacing w:line="360" w:lineRule="auto"/>
        <w:rPr>
          <w:rFonts w:ascii="Palatino Linotype" w:eastAsiaTheme="minorEastAsia" w:hAnsi="Palatino Linotype"/>
        </w:rPr>
      </w:pPr>
    </w:p>
    <w:p w:rsidR="00D771ED" w:rsidRPr="00874AFB" w:rsidRDefault="00243CBD" w:rsidP="009B6FD5">
      <w:pPr>
        <w:numPr>
          <w:ilvl w:val="0"/>
          <w:numId w:val="1"/>
        </w:numPr>
        <w:spacing w:line="360" w:lineRule="auto"/>
        <w:ind w:left="0" w:firstLine="0"/>
        <w:contextualSpacing/>
        <w:jc w:val="both"/>
        <w:rPr>
          <w:rFonts w:ascii="Palatino Linotype" w:hAnsi="Palatino Linotype" w:cs="Arial"/>
          <w:lang w:val="es-ES" w:eastAsia="es-ES"/>
        </w:rPr>
      </w:pPr>
      <w:r w:rsidRPr="00874AFB">
        <w:rPr>
          <w:rFonts w:ascii="Palatino Linotype" w:eastAsia="Calibri" w:hAnsi="Palatino Linotype" w:cs="Arial"/>
          <w:lang w:val="es-ES" w:eastAsia="es-ES"/>
        </w:rPr>
        <w:t xml:space="preserve">El día </w:t>
      </w:r>
      <w:r w:rsidR="00586A53" w:rsidRPr="00874AFB">
        <w:rPr>
          <w:rFonts w:ascii="Palatino Linotype" w:eastAsia="Calibri" w:hAnsi="Palatino Linotype" w:cs="Arial"/>
          <w:lang w:val="es-ES" w:eastAsia="es-ES"/>
        </w:rPr>
        <w:t>seis (06) de septiembre</w:t>
      </w:r>
      <w:r w:rsidR="00A3041A" w:rsidRPr="00874AFB">
        <w:rPr>
          <w:rFonts w:ascii="Palatino Linotype" w:eastAsia="Calibri" w:hAnsi="Palatino Linotype" w:cs="Arial"/>
          <w:lang w:val="es-ES" w:eastAsia="es-ES"/>
        </w:rPr>
        <w:t xml:space="preserve"> de dos mil veintidós</w:t>
      </w:r>
      <w:r w:rsidR="00D771ED" w:rsidRPr="00874AFB">
        <w:rPr>
          <w:rFonts w:ascii="Palatino Linotype" w:eastAsia="Calibri" w:hAnsi="Palatino Linotype" w:cs="Arial"/>
          <w:lang w:val="es-ES" w:eastAsia="es-ES"/>
        </w:rPr>
        <w:t>,</w:t>
      </w:r>
      <w:r w:rsidR="00D771ED" w:rsidRPr="00874AFB">
        <w:rPr>
          <w:rFonts w:ascii="Palatino Linotype" w:eastAsia="Calibri" w:hAnsi="Palatino Linotype"/>
          <w:lang w:val="es-ES" w:eastAsia="es-ES"/>
        </w:rPr>
        <w:t xml:space="preserve"> </w:t>
      </w:r>
      <w:r w:rsidR="00D771ED" w:rsidRPr="00874AFB">
        <w:rPr>
          <w:rFonts w:ascii="Palatino Linotype" w:eastAsia="Calibri" w:hAnsi="Palatino Linotype"/>
          <w:b/>
          <w:lang w:val="es-ES" w:eastAsia="es-ES"/>
        </w:rPr>
        <w:t>EL RECURRENTE</w:t>
      </w:r>
      <w:r w:rsidR="00D771ED" w:rsidRPr="00874AFB">
        <w:rPr>
          <w:rFonts w:ascii="Palatino Linotype" w:eastAsiaTheme="minorEastAsia" w:hAnsi="Palatino Linotype"/>
          <w:b/>
          <w:lang w:val="es-ES_tradnl" w:eastAsia="es-ES"/>
        </w:rPr>
        <w:t>,</w:t>
      </w:r>
      <w:r w:rsidR="00D771ED" w:rsidRPr="00874AFB">
        <w:rPr>
          <w:rFonts w:ascii="Palatino Linotype" w:eastAsia="Calibri" w:hAnsi="Palatino Linotype" w:cs="Arial"/>
          <w:lang w:val="es-ES" w:eastAsia="es-ES"/>
        </w:rPr>
        <w:t xml:space="preserve"> ante el </w:t>
      </w:r>
      <w:r w:rsidR="00D771ED" w:rsidRPr="00874AFB">
        <w:rPr>
          <w:rFonts w:ascii="Palatino Linotype" w:eastAsia="Calibri" w:hAnsi="Palatino Linotype" w:cs="Arial"/>
          <w:b/>
          <w:lang w:val="es-ES" w:eastAsia="es-ES"/>
        </w:rPr>
        <w:t>SUJETO OBLIGADO</w:t>
      </w:r>
      <w:r w:rsidR="00D771ED" w:rsidRPr="00874AFB">
        <w:rPr>
          <w:rFonts w:ascii="Palatino Linotype" w:eastAsia="Calibri" w:hAnsi="Palatino Linotype" w:cs="Arial"/>
          <w:lang w:val="es-ES_tradnl" w:eastAsia="es-ES"/>
        </w:rPr>
        <w:t xml:space="preserve"> vía </w:t>
      </w:r>
      <w:r w:rsidR="00D771ED" w:rsidRPr="00874AFB">
        <w:rPr>
          <w:rFonts w:ascii="Palatino Linotype" w:eastAsia="Calibri" w:hAnsi="Palatino Linotype" w:cs="Arial"/>
          <w:lang w:val="es-ES" w:eastAsia="es-ES"/>
        </w:rPr>
        <w:t>Sistema de Acceso a la Información Mexiquense (</w:t>
      </w:r>
      <w:r w:rsidR="00D771ED" w:rsidRPr="00874AFB">
        <w:rPr>
          <w:rFonts w:ascii="Palatino Linotype" w:eastAsia="Calibri" w:hAnsi="Palatino Linotype" w:cs="Arial"/>
          <w:b/>
          <w:lang w:val="es-ES" w:eastAsia="es-ES"/>
        </w:rPr>
        <w:t>SAIMEX)</w:t>
      </w:r>
      <w:r w:rsidR="00D771ED" w:rsidRPr="00874AFB">
        <w:rPr>
          <w:rFonts w:ascii="Palatino Linotype" w:eastAsia="Calibri" w:hAnsi="Palatino Linotype" w:cs="Arial"/>
          <w:lang w:val="es-ES" w:eastAsia="es-ES"/>
        </w:rPr>
        <w:t xml:space="preserve">, presentó una solicitud de información registrada con el número </w:t>
      </w:r>
      <w:r w:rsidR="00586A53" w:rsidRPr="00874AFB">
        <w:rPr>
          <w:rFonts w:ascii="Palatino Linotype" w:hAnsi="Palatino Linotype"/>
          <w:b/>
          <w:bCs/>
        </w:rPr>
        <w:t>00101/ATLAUTLA/IP/2022</w:t>
      </w:r>
      <w:r w:rsidR="00D771ED" w:rsidRPr="00874AFB">
        <w:rPr>
          <w:rFonts w:ascii="Palatino Linotype" w:eastAsiaTheme="minorEastAsia" w:hAnsi="Palatino Linotype"/>
          <w:b/>
          <w:lang w:val="es-ES_tradnl" w:eastAsia="es-ES"/>
        </w:rPr>
        <w:t xml:space="preserve">, </w:t>
      </w:r>
      <w:r w:rsidR="00D771ED" w:rsidRPr="00874AFB">
        <w:rPr>
          <w:rFonts w:ascii="Palatino Linotype" w:eastAsia="Calibri" w:hAnsi="Palatino Linotype" w:cs="Arial"/>
          <w:lang w:val="es-ES" w:eastAsia="es-ES"/>
        </w:rPr>
        <w:t>mediante la cual solicitó lo siguiente:</w:t>
      </w:r>
    </w:p>
    <w:p w:rsidR="00D771ED" w:rsidRPr="00874AFB" w:rsidRDefault="00D771ED" w:rsidP="009B6FD5">
      <w:pPr>
        <w:spacing w:line="360" w:lineRule="auto"/>
        <w:contextualSpacing/>
        <w:jc w:val="both"/>
        <w:rPr>
          <w:rFonts w:ascii="Palatino Linotype" w:hAnsi="Palatino Linotype" w:cs="Arial"/>
          <w:lang w:val="es-ES" w:eastAsia="es-ES"/>
        </w:rPr>
      </w:pPr>
    </w:p>
    <w:p w:rsidR="00D771ED" w:rsidRPr="00874AFB" w:rsidRDefault="00D771ED" w:rsidP="001774E1">
      <w:pPr>
        <w:pStyle w:val="Prrafodelista"/>
        <w:spacing w:line="360" w:lineRule="auto"/>
        <w:ind w:left="1069" w:right="567"/>
        <w:jc w:val="both"/>
        <w:rPr>
          <w:rFonts w:ascii="Palatino Linotype" w:hAnsi="Palatino Linotype"/>
          <w:i/>
          <w:color w:val="000000"/>
        </w:rPr>
      </w:pPr>
      <w:r w:rsidRPr="00874AFB">
        <w:rPr>
          <w:rFonts w:ascii="Palatino Linotype" w:hAnsi="Palatino Linotype"/>
          <w:i/>
          <w:color w:val="000000"/>
        </w:rPr>
        <w:t xml:space="preserve"> “</w:t>
      </w:r>
      <w:r w:rsidR="00586A53" w:rsidRPr="00874AFB">
        <w:rPr>
          <w:rFonts w:ascii="Palatino Linotype" w:hAnsi="Palatino Linotype"/>
          <w:i/>
          <w:color w:val="000000"/>
        </w:rPr>
        <w:t xml:space="preserve">Solicito comprobantes fiscales digitales por concepto de </w:t>
      </w:r>
      <w:proofErr w:type="spellStart"/>
      <w:r w:rsidR="00586A53" w:rsidRPr="00874AFB">
        <w:rPr>
          <w:rFonts w:ascii="Palatino Linotype" w:hAnsi="Palatino Linotype"/>
          <w:i/>
          <w:color w:val="000000"/>
        </w:rPr>
        <w:t>nomina</w:t>
      </w:r>
      <w:proofErr w:type="spellEnd"/>
      <w:r w:rsidR="00586A53" w:rsidRPr="00874AFB">
        <w:rPr>
          <w:rFonts w:ascii="Palatino Linotype" w:hAnsi="Palatino Linotype"/>
          <w:i/>
          <w:color w:val="000000"/>
        </w:rPr>
        <w:t xml:space="preserve"> de la 2da quincena de Julio de 2022, de igual forma solicito la o las pólizas de egresos o cheque donde se </w:t>
      </w:r>
      <w:proofErr w:type="spellStart"/>
      <w:r w:rsidR="00586A53" w:rsidRPr="00874AFB">
        <w:rPr>
          <w:rFonts w:ascii="Palatino Linotype" w:hAnsi="Palatino Linotype"/>
          <w:i/>
          <w:color w:val="000000"/>
        </w:rPr>
        <w:t>realizo</w:t>
      </w:r>
      <w:proofErr w:type="spellEnd"/>
      <w:r w:rsidR="00586A53" w:rsidRPr="00874AFB">
        <w:rPr>
          <w:rFonts w:ascii="Palatino Linotype" w:hAnsi="Palatino Linotype"/>
          <w:i/>
          <w:color w:val="000000"/>
        </w:rPr>
        <w:t xml:space="preserve"> el pago de dicha nomina debidamente soportada, además de anexar reporte de </w:t>
      </w:r>
      <w:proofErr w:type="spellStart"/>
      <w:r w:rsidR="00586A53" w:rsidRPr="00874AFB">
        <w:rPr>
          <w:rFonts w:ascii="Palatino Linotype" w:hAnsi="Palatino Linotype"/>
          <w:i/>
          <w:color w:val="000000"/>
        </w:rPr>
        <w:t>nomina</w:t>
      </w:r>
      <w:proofErr w:type="spellEnd"/>
      <w:r w:rsidR="00586A53" w:rsidRPr="00874AFB">
        <w:rPr>
          <w:rFonts w:ascii="Palatino Linotype" w:hAnsi="Palatino Linotype"/>
          <w:i/>
          <w:color w:val="000000"/>
        </w:rPr>
        <w:t xml:space="preserve"> detallada igualmente de la 2da quincena de julio de 2022, omitiendo la información personal que considere necesario para proteger los datos a que se refiere el </w:t>
      </w:r>
      <w:proofErr w:type="spellStart"/>
      <w:r w:rsidR="00586A53" w:rsidRPr="00874AFB">
        <w:rPr>
          <w:rFonts w:ascii="Palatino Linotype" w:hAnsi="Palatino Linotype"/>
          <w:i/>
          <w:color w:val="000000"/>
        </w:rPr>
        <w:t>articulo</w:t>
      </w:r>
      <w:proofErr w:type="spellEnd"/>
      <w:r w:rsidR="00586A53" w:rsidRPr="00874AFB">
        <w:rPr>
          <w:rFonts w:ascii="Palatino Linotype" w:hAnsi="Palatino Linotype"/>
          <w:i/>
          <w:color w:val="000000"/>
        </w:rPr>
        <w:t xml:space="preserve"> 24 </w:t>
      </w:r>
      <w:proofErr w:type="spellStart"/>
      <w:r w:rsidR="00586A53" w:rsidRPr="00874AFB">
        <w:rPr>
          <w:rFonts w:ascii="Palatino Linotype" w:hAnsi="Palatino Linotype"/>
          <w:i/>
          <w:color w:val="000000"/>
        </w:rPr>
        <w:t>fracc</w:t>
      </w:r>
      <w:proofErr w:type="spellEnd"/>
      <w:r w:rsidR="00586A53" w:rsidRPr="00874AFB">
        <w:rPr>
          <w:rFonts w:ascii="Palatino Linotype" w:hAnsi="Palatino Linotype"/>
          <w:i/>
          <w:color w:val="000000"/>
        </w:rPr>
        <w:t xml:space="preserve"> XIV de la Ley de Transparencia y Acceso a la Información </w:t>
      </w:r>
      <w:proofErr w:type="spellStart"/>
      <w:r w:rsidR="00586A53" w:rsidRPr="00874AFB">
        <w:rPr>
          <w:rFonts w:ascii="Palatino Linotype" w:hAnsi="Palatino Linotype"/>
          <w:i/>
          <w:color w:val="000000"/>
        </w:rPr>
        <w:t>Publica</w:t>
      </w:r>
      <w:proofErr w:type="spellEnd"/>
      <w:r w:rsidR="00586A53" w:rsidRPr="00874AFB">
        <w:rPr>
          <w:rFonts w:ascii="Palatino Linotype" w:hAnsi="Palatino Linotype"/>
          <w:i/>
          <w:color w:val="000000"/>
        </w:rPr>
        <w:t xml:space="preserve"> del Estado de México y Municipios.</w:t>
      </w:r>
      <w:r w:rsidRPr="00874AFB">
        <w:rPr>
          <w:rFonts w:ascii="Palatino Linotype" w:hAnsi="Palatino Linotype"/>
          <w:i/>
          <w:color w:val="000000"/>
        </w:rPr>
        <w:t xml:space="preserve">” (Sic) </w:t>
      </w:r>
    </w:p>
    <w:p w:rsidR="003F27EF" w:rsidRPr="00874AFB" w:rsidRDefault="003F27EF" w:rsidP="001774E1">
      <w:pPr>
        <w:pStyle w:val="Prrafodelista"/>
        <w:spacing w:line="360" w:lineRule="auto"/>
        <w:ind w:left="1069" w:right="567"/>
        <w:jc w:val="both"/>
        <w:rPr>
          <w:rFonts w:ascii="Palatino Linotype" w:hAnsi="Palatino Linotype"/>
          <w:i/>
          <w:color w:val="000000"/>
        </w:rPr>
      </w:pPr>
    </w:p>
    <w:p w:rsidR="00D771ED" w:rsidRPr="00874AFB" w:rsidRDefault="00D771ED" w:rsidP="009B6FD5">
      <w:pPr>
        <w:numPr>
          <w:ilvl w:val="0"/>
          <w:numId w:val="1"/>
        </w:numPr>
        <w:spacing w:line="360" w:lineRule="auto"/>
        <w:ind w:left="0" w:firstLine="0"/>
        <w:contextualSpacing/>
        <w:jc w:val="both"/>
        <w:rPr>
          <w:rFonts w:ascii="Palatino Linotype" w:eastAsia="Calibri" w:hAnsi="Palatino Linotype"/>
          <w:lang w:val="es-ES" w:eastAsia="es-ES"/>
        </w:rPr>
      </w:pPr>
      <w:r w:rsidRPr="00874AFB">
        <w:rPr>
          <w:rFonts w:ascii="Palatino Linotype" w:eastAsia="Calibri" w:hAnsi="Palatino Linotype"/>
          <w:lang w:val="es-ES" w:eastAsia="es-ES"/>
        </w:rPr>
        <w:lastRenderedPageBreak/>
        <w:t>Se eligió como modalidad de entrega a través de la plataforma digital Sistema de Acceso a la Información Mexiquense (SAIMEX).</w:t>
      </w:r>
    </w:p>
    <w:p w:rsidR="00243CBD" w:rsidRPr="00874AFB" w:rsidRDefault="00243CBD" w:rsidP="00243CBD">
      <w:pPr>
        <w:spacing w:line="360" w:lineRule="auto"/>
        <w:contextualSpacing/>
        <w:jc w:val="both"/>
        <w:rPr>
          <w:rFonts w:ascii="Palatino Linotype" w:eastAsia="Calibri" w:hAnsi="Palatino Linotype"/>
          <w:lang w:val="es-ES" w:eastAsia="es-ES"/>
        </w:rPr>
      </w:pPr>
    </w:p>
    <w:p w:rsidR="00243CBD" w:rsidRPr="00874AFB" w:rsidRDefault="00243CBD" w:rsidP="009B6FD5">
      <w:pPr>
        <w:numPr>
          <w:ilvl w:val="0"/>
          <w:numId w:val="1"/>
        </w:numPr>
        <w:spacing w:line="360" w:lineRule="auto"/>
        <w:ind w:left="0" w:firstLine="0"/>
        <w:contextualSpacing/>
        <w:jc w:val="both"/>
        <w:rPr>
          <w:rFonts w:ascii="Palatino Linotype" w:eastAsia="Calibri" w:hAnsi="Palatino Linotype"/>
          <w:lang w:val="es-ES" w:eastAsia="es-ES"/>
        </w:rPr>
      </w:pPr>
      <w:r w:rsidRPr="00874AFB">
        <w:rPr>
          <w:rFonts w:ascii="Palatino Linotype" w:eastAsia="Calibri" w:hAnsi="Palatino Linotype"/>
          <w:lang w:val="es-ES" w:eastAsia="es-ES"/>
        </w:rPr>
        <w:t xml:space="preserve">El seis (06) de </w:t>
      </w:r>
      <w:r w:rsidR="00586A53" w:rsidRPr="00874AFB">
        <w:rPr>
          <w:rFonts w:ascii="Palatino Linotype" w:eastAsia="Calibri" w:hAnsi="Palatino Linotype"/>
          <w:lang w:val="es-ES" w:eastAsia="es-ES"/>
        </w:rPr>
        <w:t>septiembre</w:t>
      </w:r>
      <w:r w:rsidRPr="00874AFB">
        <w:rPr>
          <w:rFonts w:ascii="Palatino Linotype" w:eastAsia="Calibri" w:hAnsi="Palatino Linotype"/>
          <w:lang w:val="es-ES" w:eastAsia="es-ES"/>
        </w:rPr>
        <w:t xml:space="preserve"> de dos mil veintidós, se realizó un requerimiento al servidor público habilitado.</w:t>
      </w:r>
    </w:p>
    <w:p w:rsidR="00964900" w:rsidRPr="00874AFB" w:rsidRDefault="00964900" w:rsidP="00964900">
      <w:pPr>
        <w:spacing w:line="360" w:lineRule="auto"/>
        <w:contextualSpacing/>
        <w:jc w:val="both"/>
        <w:rPr>
          <w:rFonts w:ascii="Palatino Linotype" w:eastAsia="Calibri" w:hAnsi="Palatino Linotype"/>
          <w:lang w:val="es-ES" w:eastAsia="es-ES"/>
        </w:rPr>
      </w:pPr>
    </w:p>
    <w:p w:rsidR="00D771ED" w:rsidRPr="00874AFB" w:rsidRDefault="00C60D17" w:rsidP="009B6FD5">
      <w:pPr>
        <w:numPr>
          <w:ilvl w:val="0"/>
          <w:numId w:val="1"/>
        </w:numPr>
        <w:spacing w:line="360" w:lineRule="auto"/>
        <w:ind w:left="0" w:firstLine="0"/>
        <w:contextualSpacing/>
        <w:jc w:val="both"/>
        <w:rPr>
          <w:rFonts w:ascii="Palatino Linotype" w:eastAsia="Calibri" w:hAnsi="Palatino Linotype"/>
          <w:lang w:val="es-ES" w:eastAsia="es-ES"/>
        </w:rPr>
      </w:pPr>
      <w:r w:rsidRPr="00874AFB">
        <w:rPr>
          <w:rFonts w:ascii="Palatino Linotype" w:eastAsiaTheme="minorEastAsia" w:hAnsi="Palatino Linotype"/>
          <w:lang w:val="es-ES_tradnl" w:eastAsia="es-ES"/>
        </w:rPr>
        <w:t xml:space="preserve">El </w:t>
      </w:r>
      <w:r w:rsidR="00586A53" w:rsidRPr="00874AFB">
        <w:rPr>
          <w:rFonts w:ascii="Palatino Linotype" w:eastAsiaTheme="minorEastAsia" w:hAnsi="Palatino Linotype"/>
          <w:lang w:val="es-ES_tradnl" w:eastAsia="es-ES"/>
        </w:rPr>
        <w:t>veintiocho (28) de septiembre</w:t>
      </w:r>
      <w:r w:rsidR="00D900AF" w:rsidRPr="00874AFB">
        <w:rPr>
          <w:rFonts w:ascii="Palatino Linotype" w:eastAsiaTheme="minorEastAsia" w:hAnsi="Palatino Linotype"/>
          <w:lang w:val="es-ES_tradnl" w:eastAsia="es-ES"/>
        </w:rPr>
        <w:t xml:space="preserve"> </w:t>
      </w:r>
      <w:r w:rsidR="00A3041A" w:rsidRPr="00874AFB">
        <w:rPr>
          <w:rFonts w:ascii="Palatino Linotype" w:eastAsiaTheme="minorEastAsia" w:hAnsi="Palatino Linotype"/>
          <w:lang w:val="es-ES_tradnl" w:eastAsia="es-ES"/>
        </w:rPr>
        <w:t xml:space="preserve"> de dos mil veintidós</w:t>
      </w:r>
      <w:r w:rsidR="00D771ED" w:rsidRPr="00874AFB">
        <w:rPr>
          <w:rFonts w:ascii="Palatino Linotype" w:eastAsiaTheme="minorEastAsia" w:hAnsi="Palatino Linotype"/>
          <w:lang w:val="es-ES_tradnl" w:eastAsia="es-ES"/>
        </w:rPr>
        <w:t xml:space="preserve">, </w:t>
      </w:r>
      <w:r w:rsidR="00D771ED" w:rsidRPr="00874AFB">
        <w:rPr>
          <w:rFonts w:ascii="Palatino Linotype" w:eastAsia="Calibri" w:hAnsi="Palatino Linotype"/>
          <w:lang w:val="es-ES" w:eastAsia="es-ES"/>
        </w:rPr>
        <w:t xml:space="preserve">el </w:t>
      </w:r>
      <w:r w:rsidR="00D771ED" w:rsidRPr="00874AFB">
        <w:rPr>
          <w:rFonts w:ascii="Palatino Linotype" w:eastAsia="Calibri" w:hAnsi="Palatino Linotype" w:cs="Arial"/>
          <w:b/>
          <w:lang w:val="es-AR" w:eastAsia="es-ES"/>
        </w:rPr>
        <w:t>SUJETO OBLIGADO</w:t>
      </w:r>
      <w:r w:rsidR="00D771ED" w:rsidRPr="00874AFB">
        <w:rPr>
          <w:rFonts w:ascii="Palatino Linotype" w:eastAsia="Calibri" w:hAnsi="Palatino Linotype" w:cs="Arial"/>
          <w:b/>
          <w:i/>
          <w:lang w:val="es-AR" w:eastAsia="es-ES"/>
        </w:rPr>
        <w:t xml:space="preserve"> </w:t>
      </w:r>
      <w:r w:rsidR="00A657B2" w:rsidRPr="00874AFB">
        <w:rPr>
          <w:rFonts w:ascii="Palatino Linotype" w:hAnsi="Palatino Linotype" w:cs="Arial"/>
          <w:lang w:val="es-ES" w:eastAsia="es-ES"/>
        </w:rPr>
        <w:t>dio respuesta</w:t>
      </w:r>
      <w:r w:rsidR="00D771ED" w:rsidRPr="00874AFB">
        <w:rPr>
          <w:rFonts w:ascii="Palatino Linotype" w:hAnsi="Palatino Linotype" w:cs="Arial"/>
          <w:lang w:val="es-ES" w:eastAsia="es-ES"/>
        </w:rPr>
        <w:t xml:space="preserve"> a la solicitud de información en los siguientes términos:</w:t>
      </w:r>
    </w:p>
    <w:p w:rsidR="00D771ED" w:rsidRPr="00874AFB" w:rsidRDefault="00D771ED" w:rsidP="009B6FD5">
      <w:pPr>
        <w:spacing w:line="360" w:lineRule="auto"/>
        <w:contextualSpacing/>
        <w:jc w:val="both"/>
        <w:rPr>
          <w:rFonts w:ascii="Palatino Linotype" w:eastAsia="Calibri" w:hAnsi="Palatino Linotype"/>
          <w:lang w:val="es-ES" w:eastAsia="es-ES"/>
        </w:rPr>
      </w:pPr>
    </w:p>
    <w:tbl>
      <w:tblPr>
        <w:tblW w:w="7405" w:type="dxa"/>
        <w:jc w:val="center"/>
        <w:tblCellSpacing w:w="0" w:type="dxa"/>
        <w:tblCellMar>
          <w:left w:w="0" w:type="dxa"/>
          <w:right w:w="0" w:type="dxa"/>
        </w:tblCellMar>
        <w:tblLook w:val="04A0" w:firstRow="1" w:lastRow="0" w:firstColumn="1" w:lastColumn="0" w:noHBand="0" w:noVBand="1"/>
      </w:tblPr>
      <w:tblGrid>
        <w:gridCol w:w="7405"/>
      </w:tblGrid>
      <w:tr w:rsidR="00586A53" w:rsidRPr="00874AFB" w:rsidTr="00586A53">
        <w:trPr>
          <w:trHeight w:val="343"/>
          <w:tblCellSpacing w:w="0" w:type="dxa"/>
          <w:jc w:val="center"/>
        </w:trPr>
        <w:tc>
          <w:tcPr>
            <w:tcW w:w="0" w:type="auto"/>
            <w:vAlign w:val="center"/>
            <w:hideMark/>
          </w:tcPr>
          <w:p w:rsidR="00586A53" w:rsidRPr="00874AFB" w:rsidRDefault="00586A53" w:rsidP="00586A53">
            <w:pPr>
              <w:jc w:val="right"/>
              <w:rPr>
                <w:rFonts w:ascii="Palatino Linotype" w:hAnsi="Palatino Linotype"/>
                <w:i/>
                <w:sz w:val="22"/>
                <w:lang w:val="es-ES" w:eastAsia="es-ES"/>
              </w:rPr>
            </w:pPr>
            <w:r w:rsidRPr="00874AFB">
              <w:rPr>
                <w:rFonts w:ascii="Palatino Linotype" w:hAnsi="Palatino Linotype"/>
                <w:i/>
                <w:sz w:val="22"/>
                <w:szCs w:val="18"/>
                <w:lang w:val="es-ES" w:eastAsia="es-ES"/>
              </w:rPr>
              <w:t>“</w:t>
            </w:r>
            <w:proofErr w:type="spellStart"/>
            <w:r w:rsidRPr="00874AFB">
              <w:rPr>
                <w:rFonts w:ascii="Palatino Linotype" w:hAnsi="Palatino Linotype"/>
                <w:i/>
                <w:sz w:val="22"/>
                <w:szCs w:val="18"/>
                <w:lang w:val="es-ES" w:eastAsia="es-ES"/>
              </w:rPr>
              <w:t>Atlautla</w:t>
            </w:r>
            <w:proofErr w:type="spellEnd"/>
            <w:r w:rsidRPr="00874AFB">
              <w:rPr>
                <w:rFonts w:ascii="Palatino Linotype" w:hAnsi="Palatino Linotype"/>
                <w:i/>
                <w:sz w:val="22"/>
                <w:szCs w:val="18"/>
                <w:lang w:val="es-ES" w:eastAsia="es-ES"/>
              </w:rPr>
              <w:t>, México a 28 de Septiembre de 2022</w:t>
            </w:r>
          </w:p>
        </w:tc>
      </w:tr>
      <w:tr w:rsidR="00586A53" w:rsidRPr="00874AFB" w:rsidTr="00586A53">
        <w:trPr>
          <w:trHeight w:val="343"/>
          <w:tblCellSpacing w:w="0" w:type="dxa"/>
          <w:jc w:val="center"/>
        </w:trPr>
        <w:tc>
          <w:tcPr>
            <w:tcW w:w="0" w:type="auto"/>
            <w:vAlign w:val="center"/>
            <w:hideMark/>
          </w:tcPr>
          <w:p w:rsidR="00586A53" w:rsidRPr="00874AFB" w:rsidRDefault="00586A53" w:rsidP="00586A53">
            <w:pPr>
              <w:jc w:val="right"/>
              <w:rPr>
                <w:rFonts w:ascii="Palatino Linotype" w:hAnsi="Palatino Linotype"/>
                <w:i/>
                <w:sz w:val="22"/>
                <w:lang w:val="es-ES" w:eastAsia="es-ES"/>
              </w:rPr>
            </w:pPr>
            <w:r w:rsidRPr="00874AFB">
              <w:rPr>
                <w:rFonts w:ascii="Palatino Linotype" w:hAnsi="Palatino Linotype"/>
                <w:i/>
                <w:sz w:val="22"/>
                <w:szCs w:val="18"/>
                <w:lang w:val="es-ES" w:eastAsia="es-ES"/>
              </w:rPr>
              <w:t>Nombre del solicitante: C. Solicitante</w:t>
            </w:r>
          </w:p>
        </w:tc>
      </w:tr>
      <w:tr w:rsidR="00586A53" w:rsidRPr="00874AFB" w:rsidTr="00586A53">
        <w:trPr>
          <w:trHeight w:val="343"/>
          <w:tblCellSpacing w:w="0" w:type="dxa"/>
          <w:jc w:val="center"/>
        </w:trPr>
        <w:tc>
          <w:tcPr>
            <w:tcW w:w="0" w:type="auto"/>
            <w:vAlign w:val="center"/>
            <w:hideMark/>
          </w:tcPr>
          <w:p w:rsidR="00586A53" w:rsidRPr="00874AFB" w:rsidRDefault="00586A53" w:rsidP="00586A53">
            <w:pPr>
              <w:jc w:val="right"/>
              <w:rPr>
                <w:rFonts w:ascii="Palatino Linotype" w:hAnsi="Palatino Linotype"/>
                <w:i/>
                <w:sz w:val="22"/>
                <w:lang w:val="es-ES" w:eastAsia="es-ES"/>
              </w:rPr>
            </w:pPr>
            <w:r w:rsidRPr="00874AFB">
              <w:rPr>
                <w:rFonts w:ascii="Palatino Linotype" w:hAnsi="Palatino Linotype"/>
                <w:i/>
                <w:sz w:val="22"/>
                <w:szCs w:val="18"/>
                <w:lang w:val="es-ES" w:eastAsia="es-ES"/>
              </w:rPr>
              <w:t>Folio de la solicitud: 00101/ATLAUTLA/IP/2022</w:t>
            </w:r>
          </w:p>
        </w:tc>
      </w:tr>
      <w:tr w:rsidR="00586A53" w:rsidRPr="00874AFB" w:rsidTr="00586A53">
        <w:trPr>
          <w:trHeight w:val="514"/>
          <w:tblCellSpacing w:w="0" w:type="dxa"/>
          <w:jc w:val="center"/>
        </w:trPr>
        <w:tc>
          <w:tcPr>
            <w:tcW w:w="0" w:type="auto"/>
            <w:vAlign w:val="center"/>
            <w:hideMark/>
          </w:tcPr>
          <w:p w:rsidR="00586A53" w:rsidRPr="00874AFB" w:rsidRDefault="00586A53" w:rsidP="00586A53">
            <w:pPr>
              <w:jc w:val="right"/>
              <w:rPr>
                <w:rFonts w:ascii="Palatino Linotype" w:hAnsi="Palatino Linotype"/>
                <w:i/>
                <w:sz w:val="22"/>
                <w:lang w:val="es-ES" w:eastAsia="es-ES"/>
              </w:rPr>
            </w:pPr>
          </w:p>
        </w:tc>
      </w:tr>
      <w:tr w:rsidR="00586A53" w:rsidRPr="00874AFB" w:rsidTr="00586A53">
        <w:trPr>
          <w:trHeight w:val="171"/>
          <w:tblCellSpacing w:w="0" w:type="dxa"/>
          <w:jc w:val="center"/>
        </w:trPr>
        <w:tc>
          <w:tcPr>
            <w:tcW w:w="0" w:type="auto"/>
            <w:vAlign w:val="center"/>
            <w:hideMark/>
          </w:tcPr>
          <w:p w:rsidR="00586A53" w:rsidRPr="00874AFB" w:rsidRDefault="00586A53" w:rsidP="00586A53">
            <w:pPr>
              <w:jc w:val="both"/>
              <w:rPr>
                <w:rFonts w:ascii="Palatino Linotype" w:hAnsi="Palatino Linotype"/>
                <w:i/>
                <w:sz w:val="22"/>
                <w:lang w:val="es-ES" w:eastAsia="es-ES"/>
              </w:rPr>
            </w:pPr>
            <w:r w:rsidRPr="00874AFB">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86A53" w:rsidRPr="00874AFB" w:rsidTr="00586A53">
        <w:trPr>
          <w:trHeight w:val="428"/>
          <w:tblCellSpacing w:w="0" w:type="dxa"/>
          <w:jc w:val="center"/>
        </w:trPr>
        <w:tc>
          <w:tcPr>
            <w:tcW w:w="0" w:type="auto"/>
            <w:vAlign w:val="center"/>
            <w:hideMark/>
          </w:tcPr>
          <w:p w:rsidR="00586A53" w:rsidRPr="00874AFB" w:rsidRDefault="00586A53" w:rsidP="00586A53">
            <w:pPr>
              <w:jc w:val="both"/>
              <w:rPr>
                <w:rFonts w:ascii="Palatino Linotype" w:hAnsi="Palatino Linotype"/>
                <w:i/>
                <w:sz w:val="22"/>
                <w:lang w:val="es-ES" w:eastAsia="es-ES"/>
              </w:rPr>
            </w:pPr>
          </w:p>
        </w:tc>
      </w:tr>
      <w:tr w:rsidR="00586A53" w:rsidRPr="00874AFB" w:rsidTr="00586A53">
        <w:trPr>
          <w:trHeight w:val="171"/>
          <w:tblCellSpacing w:w="0" w:type="dxa"/>
          <w:jc w:val="center"/>
        </w:trPr>
        <w:tc>
          <w:tcPr>
            <w:tcW w:w="0" w:type="auto"/>
            <w:vAlign w:val="center"/>
            <w:hideMark/>
          </w:tcPr>
          <w:p w:rsidR="00586A53" w:rsidRPr="00874AFB" w:rsidRDefault="00586A53" w:rsidP="00586A53">
            <w:pPr>
              <w:jc w:val="both"/>
              <w:rPr>
                <w:rFonts w:ascii="Palatino Linotype" w:hAnsi="Palatino Linotype"/>
                <w:i/>
                <w:sz w:val="22"/>
                <w:lang w:val="es-ES" w:eastAsia="es-ES"/>
              </w:rPr>
            </w:pPr>
            <w:r w:rsidRPr="00874AFB">
              <w:rPr>
                <w:rFonts w:ascii="Palatino Linotype" w:hAnsi="Palatino Linotype"/>
                <w:i/>
                <w:sz w:val="22"/>
                <w:szCs w:val="18"/>
                <w:lang w:val="es-ES" w:eastAsia="es-ES"/>
              </w:rPr>
              <w:t>Estimado (a) solicitante reciba con el presente un cordial saludo, con fundamento en lo dispuesto en el artículo 50, 51, 53 59 y 160 de la Ley de Transparencia y Accesos a la Información Pública del Estado de México y Municipios; le adjunto el oficio emitido por el área de Tesorería Municipal. Sin más por el momento, quedo de usted.”</w:t>
            </w:r>
          </w:p>
        </w:tc>
      </w:tr>
      <w:tr w:rsidR="00586A53" w:rsidRPr="00874AFB" w:rsidTr="00586A53">
        <w:trPr>
          <w:trHeight w:val="164"/>
          <w:tblCellSpacing w:w="0" w:type="dxa"/>
          <w:jc w:val="center"/>
        </w:trPr>
        <w:tc>
          <w:tcPr>
            <w:tcW w:w="0" w:type="auto"/>
            <w:vAlign w:val="center"/>
            <w:hideMark/>
          </w:tcPr>
          <w:p w:rsidR="00586A53" w:rsidRPr="00874AFB" w:rsidRDefault="00586A53" w:rsidP="00586A53">
            <w:pPr>
              <w:rPr>
                <w:lang w:val="es-ES" w:eastAsia="es-ES"/>
              </w:rPr>
            </w:pPr>
          </w:p>
        </w:tc>
      </w:tr>
    </w:tbl>
    <w:p w:rsidR="00D43761" w:rsidRPr="00874AFB" w:rsidRDefault="00D43761" w:rsidP="00586A53">
      <w:pPr>
        <w:spacing w:line="360" w:lineRule="auto"/>
        <w:ind w:right="567"/>
        <w:jc w:val="both"/>
        <w:rPr>
          <w:rFonts w:ascii="Palatino Linotype" w:hAnsi="Palatino Linotype"/>
        </w:rPr>
      </w:pPr>
    </w:p>
    <w:p w:rsidR="00586A53" w:rsidRPr="00874AFB" w:rsidRDefault="00586A53" w:rsidP="00586A53">
      <w:pPr>
        <w:spacing w:line="360" w:lineRule="auto"/>
        <w:ind w:right="567"/>
        <w:jc w:val="both"/>
        <w:rPr>
          <w:rFonts w:ascii="Palatino Linotype" w:hAnsi="Palatino Linotype"/>
        </w:rPr>
      </w:pPr>
      <w:r w:rsidRPr="00874AFB">
        <w:rPr>
          <w:rFonts w:ascii="Palatino Linotype" w:hAnsi="Palatino Linotype"/>
        </w:rPr>
        <w:t xml:space="preserve">A la respuesta se adjuntaron los archivos </w:t>
      </w:r>
      <w:r w:rsidR="00F2185C" w:rsidRPr="00874AFB">
        <w:rPr>
          <w:rFonts w:ascii="Palatino Linotype" w:hAnsi="Palatino Linotype"/>
        </w:rPr>
        <w:t>que constan del mismo documento y que se describe a</w:t>
      </w:r>
      <w:r w:rsidRPr="00874AFB">
        <w:rPr>
          <w:rFonts w:ascii="Palatino Linotype" w:hAnsi="Palatino Linotype"/>
        </w:rPr>
        <w:t xml:space="preserve"> continuación:</w:t>
      </w:r>
    </w:p>
    <w:p w:rsidR="00586A53" w:rsidRPr="00874AFB" w:rsidRDefault="00586A53" w:rsidP="00586A53">
      <w:pPr>
        <w:spacing w:line="360" w:lineRule="auto"/>
        <w:ind w:right="567"/>
        <w:jc w:val="both"/>
        <w:rPr>
          <w:rFonts w:ascii="Palatino Linotype" w:hAnsi="Palatino Linotype"/>
        </w:rPr>
      </w:pPr>
    </w:p>
    <w:p w:rsidR="00586A53" w:rsidRPr="00874AFB" w:rsidRDefault="000240A8" w:rsidP="00586A53">
      <w:pPr>
        <w:pStyle w:val="Prrafodelista"/>
        <w:numPr>
          <w:ilvl w:val="0"/>
          <w:numId w:val="43"/>
        </w:numPr>
        <w:spacing w:line="360" w:lineRule="auto"/>
        <w:ind w:right="567"/>
        <w:jc w:val="both"/>
        <w:rPr>
          <w:rFonts w:ascii="Palatino Linotype" w:hAnsi="Palatino Linotype"/>
          <w:szCs w:val="22"/>
        </w:rPr>
      </w:pPr>
      <w:hyperlink r:id="rId8" w:tgtFrame="_blank" w:history="1">
        <w:r w:rsidR="00586A53" w:rsidRPr="00874AFB">
          <w:rPr>
            <w:rStyle w:val="Hipervnculo"/>
            <w:rFonts w:ascii="Palatino Linotype" w:eastAsiaTheme="majorEastAsia" w:hAnsi="Palatino Linotype" w:cs="Arial"/>
            <w:b/>
            <w:bCs/>
            <w:color w:val="auto"/>
            <w:szCs w:val="22"/>
          </w:rPr>
          <w:t>T-1.pdf</w:t>
        </w:r>
      </w:hyperlink>
      <w:r w:rsidR="00586A53" w:rsidRPr="00874AFB">
        <w:rPr>
          <w:rFonts w:ascii="Palatino Linotype" w:hAnsi="Palatino Linotype"/>
          <w:szCs w:val="22"/>
        </w:rPr>
        <w:t xml:space="preserve">: oficio ATL/TM/DIR/0112/2022, de fecha veintiocho (28) de septiembre de dos mil veintidós, suscrito por la Tesorera Municipal mediante el cual manifestó </w:t>
      </w:r>
      <w:r w:rsidR="00586A53" w:rsidRPr="00874AFB">
        <w:rPr>
          <w:rFonts w:ascii="Palatino Linotype" w:hAnsi="Palatino Linotype"/>
          <w:i/>
          <w:szCs w:val="22"/>
        </w:rPr>
        <w:t>“</w:t>
      </w:r>
      <w:r w:rsidR="00586A53" w:rsidRPr="00874AFB">
        <w:rPr>
          <w:rFonts w:ascii="Palatino Linotype" w:hAnsi="Palatino Linotype"/>
          <w:i/>
        </w:rPr>
        <w:t xml:space="preserve">Por lo descrito, al tratarse de información de extrema importancia y que por </w:t>
      </w:r>
      <w:r w:rsidR="00586A53" w:rsidRPr="00874AFB">
        <w:rPr>
          <w:rFonts w:ascii="Palatino Linotype" w:hAnsi="Palatino Linotype"/>
          <w:i/>
        </w:rPr>
        <w:lastRenderedPageBreak/>
        <w:t>su naturaleza al publicar esta información debo contar primordialmente con la autorización de cada uno de los nombrados en este apartado (Nomina) además de las pólizas y comprobantes fiscales digitales, a su petición se le ha de hacer del conocimiento a cada uno de los funcionarios dicha publicación para no violar algún Articulo o Norma que se aplique al caso.”</w:t>
      </w:r>
    </w:p>
    <w:p w:rsidR="00586A53" w:rsidRPr="00874AFB" w:rsidRDefault="00586A53" w:rsidP="00586A53">
      <w:pPr>
        <w:spacing w:line="360" w:lineRule="auto"/>
        <w:ind w:right="567"/>
        <w:jc w:val="both"/>
        <w:rPr>
          <w:rFonts w:ascii="Palatino Linotype" w:hAnsi="Palatino Linotype"/>
        </w:rPr>
      </w:pPr>
      <w:r w:rsidRPr="00874AFB">
        <w:rPr>
          <w:rFonts w:ascii="Palatino Linotype" w:hAnsi="Palatino Linotype"/>
        </w:rPr>
        <w:t xml:space="preserve"> </w:t>
      </w:r>
    </w:p>
    <w:p w:rsidR="00D771ED" w:rsidRPr="00874AFB" w:rsidRDefault="00D771ED" w:rsidP="009B6FD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874AFB">
        <w:rPr>
          <w:rFonts w:ascii="Palatino Linotype" w:eastAsia="Calibri" w:hAnsi="Palatino Linotype" w:cs="Arial"/>
          <w:lang w:val="es-AR" w:eastAsia="es-ES"/>
        </w:rPr>
        <w:t xml:space="preserve">El </w:t>
      </w:r>
      <w:r w:rsidR="00F2185C" w:rsidRPr="00874AFB">
        <w:rPr>
          <w:rFonts w:ascii="Palatino Linotype" w:eastAsia="Calibri" w:hAnsi="Palatino Linotype" w:cs="Arial"/>
          <w:lang w:val="es-AR" w:eastAsia="es-ES"/>
        </w:rPr>
        <w:t>uno (01) de octubre</w:t>
      </w:r>
      <w:r w:rsidR="00110A17" w:rsidRPr="00874AFB">
        <w:rPr>
          <w:rFonts w:ascii="Palatino Linotype" w:eastAsia="Calibri" w:hAnsi="Palatino Linotype" w:cs="Arial"/>
          <w:lang w:val="es-AR" w:eastAsia="es-ES"/>
        </w:rPr>
        <w:t xml:space="preserve"> </w:t>
      </w:r>
      <w:r w:rsidR="00770803" w:rsidRPr="00874AFB">
        <w:rPr>
          <w:rFonts w:ascii="Palatino Linotype" w:eastAsia="Calibri" w:hAnsi="Palatino Linotype" w:cs="Arial"/>
          <w:lang w:val="es-AR" w:eastAsia="es-ES"/>
        </w:rPr>
        <w:t xml:space="preserve"> </w:t>
      </w:r>
      <w:r w:rsidR="007D429F" w:rsidRPr="00874AFB">
        <w:rPr>
          <w:rFonts w:ascii="Palatino Linotype" w:eastAsia="Calibri" w:hAnsi="Palatino Linotype" w:cs="Arial"/>
          <w:lang w:val="es-AR" w:eastAsia="es-ES"/>
        </w:rPr>
        <w:t xml:space="preserve"> de dos mil veintidós</w:t>
      </w:r>
      <w:r w:rsidRPr="00874AFB">
        <w:rPr>
          <w:rFonts w:ascii="Palatino Linotype" w:hAnsi="Palatino Linotype" w:cs="Arial"/>
          <w:lang w:val="es-ES" w:eastAsia="es-ES"/>
        </w:rPr>
        <w:t xml:space="preserve">, </w:t>
      </w:r>
      <w:r w:rsidRPr="00874AFB">
        <w:rPr>
          <w:rFonts w:ascii="Palatino Linotype" w:eastAsiaTheme="minorEastAsia" w:hAnsi="Palatino Linotype"/>
          <w:b/>
          <w:lang w:val="es-ES_tradnl" w:eastAsia="es-ES"/>
        </w:rPr>
        <w:t>EL RECURRENTE</w:t>
      </w:r>
      <w:r w:rsidRPr="00874AFB">
        <w:rPr>
          <w:rFonts w:ascii="Palatino Linotype" w:hAnsi="Palatino Linotype" w:cs="Arial"/>
          <w:lang w:val="es-ES" w:eastAsia="es-ES"/>
        </w:rPr>
        <w:t xml:space="preserve"> interpuso el recurso de revisión, en contr</w:t>
      </w:r>
      <w:bookmarkStart w:id="1" w:name="_Toc462307683"/>
      <w:bookmarkStart w:id="2" w:name="_Toc472427085"/>
      <w:bookmarkStart w:id="3" w:name="_Toc472500652"/>
      <w:r w:rsidR="00D24A01" w:rsidRPr="00874AFB">
        <w:rPr>
          <w:rFonts w:ascii="Palatino Linotype" w:hAnsi="Palatino Linotype" w:cs="Arial"/>
          <w:lang w:val="es-ES" w:eastAsia="es-ES"/>
        </w:rPr>
        <w:t>a de la respuesta, señalando como:</w:t>
      </w:r>
    </w:p>
    <w:p w:rsidR="00D771ED" w:rsidRPr="00874AFB" w:rsidRDefault="00D771ED" w:rsidP="009B6FD5">
      <w:pPr>
        <w:spacing w:line="360" w:lineRule="auto"/>
        <w:ind w:left="567" w:right="567"/>
        <w:contextualSpacing/>
        <w:rPr>
          <w:rFonts w:ascii="Palatino Linotype" w:eastAsiaTheme="minorEastAsia" w:hAnsi="Palatino Linotype" w:cs="Arial"/>
          <w:i/>
          <w:lang w:val="es-ES_tradnl" w:eastAsia="es-ES"/>
        </w:rPr>
      </w:pPr>
    </w:p>
    <w:p w:rsidR="00D771ED" w:rsidRPr="00874AFB" w:rsidRDefault="00D771ED" w:rsidP="009B6FD5">
      <w:pPr>
        <w:spacing w:line="360" w:lineRule="auto"/>
        <w:ind w:left="567" w:right="567"/>
        <w:contextualSpacing/>
        <w:jc w:val="both"/>
        <w:rPr>
          <w:rFonts w:ascii="Palatino Linotype" w:eastAsia="Calibri" w:hAnsi="Palatino Linotype" w:cs="Arial"/>
          <w:i/>
          <w:lang w:val="es-ES" w:eastAsia="es-ES"/>
        </w:rPr>
      </w:pPr>
      <w:r w:rsidRPr="00874AFB">
        <w:rPr>
          <w:rFonts w:ascii="Palatino Linotype" w:eastAsiaTheme="minorEastAsia" w:hAnsi="Palatino Linotype"/>
          <w:b/>
          <w:lang w:val="es-ES_tradnl" w:eastAsia="es-ES"/>
        </w:rPr>
        <w:t>Acto impugnado</w:t>
      </w:r>
      <w:r w:rsidRPr="00874AFB">
        <w:rPr>
          <w:rFonts w:ascii="Palatino Linotype" w:eastAsiaTheme="minorEastAsia" w:hAnsi="Palatino Linotype"/>
          <w:b/>
          <w:i/>
          <w:lang w:val="es-ES_tradnl" w:eastAsia="es-ES"/>
        </w:rPr>
        <w:t>:</w:t>
      </w:r>
      <w:r w:rsidRPr="00874AFB">
        <w:rPr>
          <w:rFonts w:ascii="Palatino Linotype" w:hAnsi="Palatino Linotype"/>
          <w:i/>
          <w:color w:val="000000"/>
        </w:rPr>
        <w:t xml:space="preserve"> “</w:t>
      </w:r>
      <w:r w:rsidR="00F2185C" w:rsidRPr="00874AFB">
        <w:rPr>
          <w:rFonts w:ascii="Palatino Linotype" w:hAnsi="Palatino Linotype"/>
          <w:i/>
          <w:color w:val="000000"/>
        </w:rPr>
        <w:t xml:space="preserve">No se entrega </w:t>
      </w:r>
      <w:proofErr w:type="spellStart"/>
      <w:r w:rsidR="00F2185C" w:rsidRPr="00874AFB">
        <w:rPr>
          <w:rFonts w:ascii="Palatino Linotype" w:hAnsi="Palatino Linotype"/>
          <w:i/>
          <w:color w:val="000000"/>
        </w:rPr>
        <w:t>informacion</w:t>
      </w:r>
      <w:proofErr w:type="spellEnd"/>
      <w:r w:rsidR="00F2185C" w:rsidRPr="00874AFB">
        <w:rPr>
          <w:rFonts w:ascii="Palatino Linotype" w:hAnsi="Palatino Linotype"/>
          <w:i/>
          <w:color w:val="000000"/>
        </w:rPr>
        <w:t xml:space="preserve"> solicitada el </w:t>
      </w:r>
      <w:proofErr w:type="spellStart"/>
      <w:r w:rsidR="00F2185C" w:rsidRPr="00874AFB">
        <w:rPr>
          <w:rFonts w:ascii="Palatino Linotype" w:hAnsi="Palatino Linotype"/>
          <w:i/>
          <w:color w:val="000000"/>
        </w:rPr>
        <w:t>dia</w:t>
      </w:r>
      <w:proofErr w:type="spellEnd"/>
      <w:r w:rsidR="00F2185C" w:rsidRPr="00874AFB">
        <w:rPr>
          <w:rFonts w:ascii="Palatino Linotype" w:hAnsi="Palatino Linotype"/>
          <w:i/>
          <w:color w:val="000000"/>
        </w:rPr>
        <w:t xml:space="preserve"> 06 de septiembre de 2022 mediante </w:t>
      </w:r>
      <w:proofErr w:type="spellStart"/>
      <w:r w:rsidR="00F2185C" w:rsidRPr="00874AFB">
        <w:rPr>
          <w:rFonts w:ascii="Palatino Linotype" w:hAnsi="Palatino Linotype"/>
          <w:i/>
          <w:color w:val="000000"/>
        </w:rPr>
        <w:t>numero</w:t>
      </w:r>
      <w:proofErr w:type="spellEnd"/>
      <w:r w:rsidR="00F2185C" w:rsidRPr="00874AFB">
        <w:rPr>
          <w:rFonts w:ascii="Palatino Linotype" w:hAnsi="Palatino Linotype"/>
          <w:i/>
          <w:color w:val="000000"/>
        </w:rPr>
        <w:t xml:space="preserve"> de folio de la </w:t>
      </w:r>
      <w:proofErr w:type="spellStart"/>
      <w:r w:rsidR="00F2185C" w:rsidRPr="00874AFB">
        <w:rPr>
          <w:rFonts w:ascii="Palatino Linotype" w:hAnsi="Palatino Linotype"/>
          <w:i/>
          <w:color w:val="000000"/>
        </w:rPr>
        <w:t>solictud</w:t>
      </w:r>
      <w:proofErr w:type="spellEnd"/>
      <w:r w:rsidR="00F2185C" w:rsidRPr="00874AFB">
        <w:rPr>
          <w:rFonts w:ascii="Palatino Linotype" w:hAnsi="Palatino Linotype"/>
          <w:i/>
          <w:color w:val="000000"/>
        </w:rPr>
        <w:t xml:space="preserve"> 00101//ATLAUTLA/IP/2022, </w:t>
      </w:r>
      <w:proofErr w:type="spellStart"/>
      <w:r w:rsidR="00F2185C" w:rsidRPr="00874AFB">
        <w:rPr>
          <w:rFonts w:ascii="Palatino Linotype" w:hAnsi="Palatino Linotype"/>
          <w:i/>
          <w:color w:val="000000"/>
        </w:rPr>
        <w:t>unicamente</w:t>
      </w:r>
      <w:proofErr w:type="spellEnd"/>
      <w:r w:rsidR="00F2185C" w:rsidRPr="00874AFB">
        <w:rPr>
          <w:rFonts w:ascii="Palatino Linotype" w:hAnsi="Palatino Linotype"/>
          <w:i/>
          <w:color w:val="000000"/>
        </w:rPr>
        <w:t xml:space="preserve"> se entrega un oficio redactado y firmado por la Tesorera Municipal el cual no se comprende la </w:t>
      </w:r>
      <w:proofErr w:type="spellStart"/>
      <w:r w:rsidR="00F2185C" w:rsidRPr="00874AFB">
        <w:rPr>
          <w:rFonts w:ascii="Palatino Linotype" w:hAnsi="Palatino Linotype"/>
          <w:i/>
          <w:color w:val="000000"/>
        </w:rPr>
        <w:t>rerspuesta</w:t>
      </w:r>
      <w:proofErr w:type="spellEnd"/>
      <w:r w:rsidR="00F2185C" w:rsidRPr="00874AFB">
        <w:rPr>
          <w:rFonts w:ascii="Palatino Linotype" w:hAnsi="Palatino Linotype"/>
          <w:i/>
          <w:color w:val="000000"/>
        </w:rPr>
        <w:t xml:space="preserve"> que quiere declarar sin mencionar nada de lo solicitado.</w:t>
      </w:r>
      <w:r w:rsidR="00D24A01" w:rsidRPr="00874AFB">
        <w:rPr>
          <w:rFonts w:ascii="Palatino Linotype" w:hAnsi="Palatino Linotype"/>
          <w:i/>
          <w:color w:val="000000"/>
        </w:rPr>
        <w:t>” (Sic)</w:t>
      </w:r>
      <w:r w:rsidRPr="00874AFB">
        <w:rPr>
          <w:rFonts w:ascii="Palatino Linotype" w:hAnsi="Palatino Linotype"/>
          <w:i/>
          <w:color w:val="000000"/>
        </w:rPr>
        <w:t xml:space="preserve"> </w:t>
      </w:r>
    </w:p>
    <w:p w:rsidR="00D771ED" w:rsidRPr="00874AFB" w:rsidRDefault="00D771ED" w:rsidP="009B6FD5">
      <w:pPr>
        <w:spacing w:line="360" w:lineRule="auto"/>
        <w:ind w:left="567" w:right="567"/>
        <w:contextualSpacing/>
        <w:jc w:val="both"/>
        <w:rPr>
          <w:rFonts w:ascii="Palatino Linotype" w:eastAsia="Calibri" w:hAnsi="Palatino Linotype" w:cs="Arial"/>
          <w:lang w:val="es-ES" w:eastAsia="es-ES"/>
        </w:rPr>
      </w:pPr>
    </w:p>
    <w:p w:rsidR="00D771ED" w:rsidRPr="00874AFB" w:rsidRDefault="00D771ED" w:rsidP="009B6FD5">
      <w:pPr>
        <w:spacing w:line="360" w:lineRule="auto"/>
        <w:ind w:left="567" w:right="567"/>
        <w:contextualSpacing/>
        <w:jc w:val="both"/>
        <w:rPr>
          <w:rFonts w:ascii="Palatino Linotype" w:hAnsi="Palatino Linotype"/>
          <w:i/>
          <w:color w:val="000000"/>
        </w:rPr>
      </w:pPr>
      <w:r w:rsidRPr="00874AFB">
        <w:rPr>
          <w:rFonts w:ascii="Palatino Linotype" w:eastAsiaTheme="minorEastAsia" w:hAnsi="Palatino Linotype"/>
          <w:b/>
          <w:lang w:val="es-ES_tradnl" w:eastAsia="es-ES"/>
        </w:rPr>
        <w:t>Razones o Motivos de inconformidad:</w:t>
      </w:r>
      <w:r w:rsidRPr="00874AFB">
        <w:rPr>
          <w:rFonts w:ascii="Palatino Linotype" w:eastAsiaTheme="majorEastAsia" w:hAnsi="Palatino Linotype" w:cstheme="majorBidi"/>
          <w:b/>
          <w:color w:val="2E74B5" w:themeColor="accent1" w:themeShade="BF"/>
          <w:sz w:val="26"/>
          <w:szCs w:val="26"/>
          <w:lang w:val="es-ES" w:eastAsia="es-ES"/>
        </w:rPr>
        <w:t xml:space="preserve"> </w:t>
      </w:r>
      <w:r w:rsidRPr="00874AFB">
        <w:rPr>
          <w:rFonts w:ascii="Palatino Linotype" w:eastAsiaTheme="majorEastAsia" w:hAnsi="Palatino Linotype" w:cstheme="majorBidi"/>
          <w:i/>
          <w:lang w:val="es-ES" w:eastAsia="es-ES"/>
        </w:rPr>
        <w:t>“</w:t>
      </w:r>
      <w:r w:rsidR="00F2185C" w:rsidRPr="00874AFB">
        <w:rPr>
          <w:rFonts w:ascii="Palatino Linotype" w:hAnsi="Palatino Linotype"/>
          <w:i/>
          <w:color w:val="000000"/>
        </w:rPr>
        <w:t xml:space="preserve">Tras la respuesta a la solicitud enviada por parte del Municipio de </w:t>
      </w:r>
      <w:proofErr w:type="spellStart"/>
      <w:r w:rsidR="00F2185C" w:rsidRPr="00874AFB">
        <w:rPr>
          <w:rFonts w:ascii="Palatino Linotype" w:hAnsi="Palatino Linotype"/>
          <w:i/>
          <w:color w:val="000000"/>
        </w:rPr>
        <w:t>Atlautla</w:t>
      </w:r>
      <w:proofErr w:type="spellEnd"/>
      <w:r w:rsidR="00F2185C" w:rsidRPr="00874AFB">
        <w:rPr>
          <w:rFonts w:ascii="Palatino Linotype" w:hAnsi="Palatino Linotype"/>
          <w:i/>
          <w:color w:val="000000"/>
        </w:rPr>
        <w:t xml:space="preserve">, manifestada por medio del oficio ATL/TM/DIR/ 0112 /2022 , estoy en total desacuerdo debido a que no exponen nada de la </w:t>
      </w:r>
      <w:proofErr w:type="spellStart"/>
      <w:r w:rsidR="00F2185C" w:rsidRPr="00874AFB">
        <w:rPr>
          <w:rFonts w:ascii="Palatino Linotype" w:hAnsi="Palatino Linotype"/>
          <w:i/>
          <w:color w:val="000000"/>
        </w:rPr>
        <w:t>informacion</w:t>
      </w:r>
      <w:proofErr w:type="spellEnd"/>
      <w:r w:rsidR="00F2185C" w:rsidRPr="00874AFB">
        <w:rPr>
          <w:rFonts w:ascii="Palatino Linotype" w:hAnsi="Palatino Linotype"/>
          <w:i/>
          <w:color w:val="000000"/>
        </w:rPr>
        <w:t xml:space="preserve"> solicitada, sabiendo que esa </w:t>
      </w:r>
      <w:proofErr w:type="spellStart"/>
      <w:r w:rsidR="00F2185C" w:rsidRPr="00874AFB">
        <w:rPr>
          <w:rFonts w:ascii="Palatino Linotype" w:hAnsi="Palatino Linotype"/>
          <w:i/>
          <w:color w:val="000000"/>
        </w:rPr>
        <w:t>informacion</w:t>
      </w:r>
      <w:proofErr w:type="spellEnd"/>
      <w:r w:rsidR="00F2185C" w:rsidRPr="00874AFB">
        <w:rPr>
          <w:rFonts w:ascii="Palatino Linotype" w:hAnsi="Palatino Linotype"/>
          <w:i/>
          <w:color w:val="000000"/>
        </w:rPr>
        <w:t xml:space="preserve"> se tuvo que haber procesado en la segunda quincena de julio de 2022 para poder cubrir la </w:t>
      </w:r>
      <w:proofErr w:type="spellStart"/>
      <w:r w:rsidR="00F2185C" w:rsidRPr="00874AFB">
        <w:rPr>
          <w:rFonts w:ascii="Palatino Linotype" w:hAnsi="Palatino Linotype"/>
          <w:i/>
          <w:color w:val="000000"/>
        </w:rPr>
        <w:t>nomina</w:t>
      </w:r>
      <w:proofErr w:type="spellEnd"/>
      <w:r w:rsidR="00F2185C" w:rsidRPr="00874AFB">
        <w:rPr>
          <w:rFonts w:ascii="Palatino Linotype" w:hAnsi="Palatino Linotype"/>
          <w:i/>
          <w:color w:val="000000"/>
        </w:rPr>
        <w:t xml:space="preserve"> de los trabajadores que laboran en dicho ayuntamiento, cabe mencionar que en el oficio que contestaron se refiere a que dicha </w:t>
      </w:r>
      <w:proofErr w:type="spellStart"/>
      <w:r w:rsidR="00F2185C" w:rsidRPr="00874AFB">
        <w:rPr>
          <w:rFonts w:ascii="Palatino Linotype" w:hAnsi="Palatino Linotype"/>
          <w:i/>
          <w:color w:val="000000"/>
        </w:rPr>
        <w:t>informacion</w:t>
      </w:r>
      <w:proofErr w:type="spellEnd"/>
      <w:r w:rsidR="00F2185C" w:rsidRPr="00874AFB">
        <w:rPr>
          <w:rFonts w:ascii="Palatino Linotype" w:hAnsi="Palatino Linotype"/>
          <w:i/>
          <w:color w:val="000000"/>
        </w:rPr>
        <w:t xml:space="preserve"> es de suma importancia y que debe contar con la </w:t>
      </w:r>
      <w:proofErr w:type="spellStart"/>
      <w:r w:rsidR="00F2185C" w:rsidRPr="00874AFB">
        <w:rPr>
          <w:rFonts w:ascii="Palatino Linotype" w:hAnsi="Palatino Linotype"/>
          <w:i/>
          <w:color w:val="000000"/>
        </w:rPr>
        <w:t>autorizacion</w:t>
      </w:r>
      <w:proofErr w:type="spellEnd"/>
      <w:r w:rsidR="00F2185C" w:rsidRPr="00874AFB">
        <w:rPr>
          <w:rFonts w:ascii="Palatino Linotype" w:hAnsi="Palatino Linotype"/>
          <w:i/>
          <w:color w:val="000000"/>
        </w:rPr>
        <w:t xml:space="preserve"> de los involucrados (nomina) </w:t>
      </w:r>
      <w:proofErr w:type="spellStart"/>
      <w:r w:rsidR="00F2185C" w:rsidRPr="00874AFB">
        <w:rPr>
          <w:rFonts w:ascii="Palatino Linotype" w:hAnsi="Palatino Linotype"/>
          <w:i/>
          <w:color w:val="000000"/>
        </w:rPr>
        <w:t>quiza</w:t>
      </w:r>
      <w:proofErr w:type="spellEnd"/>
      <w:r w:rsidR="00F2185C" w:rsidRPr="00874AFB">
        <w:rPr>
          <w:rFonts w:ascii="Palatino Linotype" w:hAnsi="Palatino Linotype"/>
          <w:i/>
          <w:color w:val="000000"/>
        </w:rPr>
        <w:t xml:space="preserve"> se </w:t>
      </w:r>
      <w:proofErr w:type="spellStart"/>
      <w:r w:rsidR="00F2185C" w:rsidRPr="00874AFB">
        <w:rPr>
          <w:rFonts w:ascii="Palatino Linotype" w:hAnsi="Palatino Linotype"/>
          <w:i/>
          <w:color w:val="000000"/>
        </w:rPr>
        <w:t>refiara</w:t>
      </w:r>
      <w:proofErr w:type="spellEnd"/>
      <w:r w:rsidR="00F2185C" w:rsidRPr="00874AFB">
        <w:rPr>
          <w:rFonts w:ascii="Palatino Linotype" w:hAnsi="Palatino Linotype"/>
          <w:i/>
          <w:color w:val="000000"/>
        </w:rPr>
        <w:t xml:space="preserve"> a la los datos personales motivo por el cual se </w:t>
      </w:r>
      <w:proofErr w:type="spellStart"/>
      <w:r w:rsidR="00F2185C" w:rsidRPr="00874AFB">
        <w:rPr>
          <w:rFonts w:ascii="Palatino Linotype" w:hAnsi="Palatino Linotype"/>
          <w:i/>
          <w:color w:val="000000"/>
        </w:rPr>
        <w:t>habia</w:t>
      </w:r>
      <w:proofErr w:type="spellEnd"/>
      <w:r w:rsidR="00F2185C" w:rsidRPr="00874AFB">
        <w:rPr>
          <w:rFonts w:ascii="Palatino Linotype" w:hAnsi="Palatino Linotype"/>
          <w:i/>
          <w:color w:val="000000"/>
        </w:rPr>
        <w:t xml:space="preserve"> mencionado en la solicitud que se omitiera la información personal que considere necesario para proteger los datos a </w:t>
      </w:r>
      <w:r w:rsidR="00F2185C" w:rsidRPr="00874AFB">
        <w:rPr>
          <w:rFonts w:ascii="Palatino Linotype" w:hAnsi="Palatino Linotype"/>
          <w:i/>
          <w:color w:val="000000"/>
        </w:rPr>
        <w:lastRenderedPageBreak/>
        <w:t xml:space="preserve">que se refiere el </w:t>
      </w:r>
      <w:proofErr w:type="spellStart"/>
      <w:r w:rsidR="00F2185C" w:rsidRPr="00874AFB">
        <w:rPr>
          <w:rFonts w:ascii="Palatino Linotype" w:hAnsi="Palatino Linotype"/>
          <w:i/>
          <w:color w:val="000000"/>
        </w:rPr>
        <w:t>articulo</w:t>
      </w:r>
      <w:proofErr w:type="spellEnd"/>
      <w:r w:rsidR="00F2185C" w:rsidRPr="00874AFB">
        <w:rPr>
          <w:rFonts w:ascii="Palatino Linotype" w:hAnsi="Palatino Linotype"/>
          <w:i/>
          <w:color w:val="000000"/>
        </w:rPr>
        <w:t xml:space="preserve"> 24 </w:t>
      </w:r>
      <w:proofErr w:type="spellStart"/>
      <w:r w:rsidR="00F2185C" w:rsidRPr="00874AFB">
        <w:rPr>
          <w:rFonts w:ascii="Palatino Linotype" w:hAnsi="Palatino Linotype"/>
          <w:i/>
          <w:color w:val="000000"/>
        </w:rPr>
        <w:t>fracc</w:t>
      </w:r>
      <w:proofErr w:type="spellEnd"/>
      <w:r w:rsidR="00F2185C" w:rsidRPr="00874AFB">
        <w:rPr>
          <w:rFonts w:ascii="Palatino Linotype" w:hAnsi="Palatino Linotype"/>
          <w:i/>
          <w:color w:val="000000"/>
        </w:rPr>
        <w:t xml:space="preserve"> XIV de la Ley de Transparencia y Acceso a la Información </w:t>
      </w:r>
      <w:proofErr w:type="spellStart"/>
      <w:r w:rsidR="00F2185C" w:rsidRPr="00874AFB">
        <w:rPr>
          <w:rFonts w:ascii="Palatino Linotype" w:hAnsi="Palatino Linotype"/>
          <w:i/>
          <w:color w:val="000000"/>
        </w:rPr>
        <w:t>Publica</w:t>
      </w:r>
      <w:proofErr w:type="spellEnd"/>
      <w:r w:rsidR="00F2185C" w:rsidRPr="00874AFB">
        <w:rPr>
          <w:rFonts w:ascii="Palatino Linotype" w:hAnsi="Palatino Linotype"/>
          <w:i/>
          <w:color w:val="000000"/>
        </w:rPr>
        <w:t xml:space="preserve"> del Estado de México y Municipios. </w:t>
      </w:r>
      <w:proofErr w:type="gramStart"/>
      <w:r w:rsidR="00F2185C" w:rsidRPr="00874AFB">
        <w:rPr>
          <w:rFonts w:ascii="Palatino Linotype" w:hAnsi="Palatino Linotype"/>
          <w:i/>
          <w:color w:val="000000"/>
        </w:rPr>
        <w:t>sabiendo</w:t>
      </w:r>
      <w:proofErr w:type="gramEnd"/>
      <w:r w:rsidR="00F2185C" w:rsidRPr="00874AFB">
        <w:rPr>
          <w:rFonts w:ascii="Palatino Linotype" w:hAnsi="Palatino Linotype"/>
          <w:i/>
          <w:color w:val="000000"/>
        </w:rPr>
        <w:t xml:space="preserve"> que el resto de la </w:t>
      </w:r>
      <w:proofErr w:type="spellStart"/>
      <w:r w:rsidR="00F2185C" w:rsidRPr="00874AFB">
        <w:rPr>
          <w:rFonts w:ascii="Palatino Linotype" w:hAnsi="Palatino Linotype"/>
          <w:i/>
          <w:color w:val="000000"/>
        </w:rPr>
        <w:t>informacion</w:t>
      </w:r>
      <w:proofErr w:type="spellEnd"/>
      <w:r w:rsidR="00F2185C" w:rsidRPr="00874AFB">
        <w:rPr>
          <w:rFonts w:ascii="Palatino Linotype" w:hAnsi="Palatino Linotype"/>
          <w:i/>
          <w:color w:val="000000"/>
        </w:rPr>
        <w:t xml:space="preserve"> es publica, sin embargo como sujetos obligados deben cumplir con lo que dice el </w:t>
      </w:r>
      <w:proofErr w:type="spellStart"/>
      <w:r w:rsidR="00F2185C" w:rsidRPr="00874AFB">
        <w:rPr>
          <w:rFonts w:ascii="Palatino Linotype" w:hAnsi="Palatino Linotype"/>
          <w:i/>
          <w:color w:val="000000"/>
        </w:rPr>
        <w:t>articulo</w:t>
      </w:r>
      <w:proofErr w:type="spellEnd"/>
      <w:r w:rsidR="00F2185C" w:rsidRPr="00874AFB">
        <w:rPr>
          <w:rFonts w:ascii="Palatino Linotype" w:hAnsi="Palatino Linotype"/>
          <w:i/>
          <w:color w:val="000000"/>
        </w:rPr>
        <w:t xml:space="preserve"> 23 en su </w:t>
      </w:r>
      <w:proofErr w:type="spellStart"/>
      <w:r w:rsidR="00F2185C" w:rsidRPr="00874AFB">
        <w:rPr>
          <w:rFonts w:ascii="Palatino Linotype" w:hAnsi="Palatino Linotype"/>
          <w:i/>
          <w:color w:val="000000"/>
        </w:rPr>
        <w:t>penultimo</w:t>
      </w:r>
      <w:proofErr w:type="spellEnd"/>
      <w:r w:rsidR="00F2185C" w:rsidRPr="00874AFB">
        <w:rPr>
          <w:rFonts w:ascii="Palatino Linotype" w:hAnsi="Palatino Linotype"/>
          <w:i/>
          <w:color w:val="000000"/>
        </w:rPr>
        <w:t xml:space="preserve"> y ultimo </w:t>
      </w:r>
      <w:proofErr w:type="spellStart"/>
      <w:r w:rsidR="00F2185C" w:rsidRPr="00874AFB">
        <w:rPr>
          <w:rFonts w:ascii="Palatino Linotype" w:hAnsi="Palatino Linotype"/>
          <w:i/>
          <w:color w:val="000000"/>
        </w:rPr>
        <w:t>parrafo</w:t>
      </w:r>
      <w:proofErr w:type="spellEnd"/>
      <w:r w:rsidR="00F2185C" w:rsidRPr="00874AFB">
        <w:rPr>
          <w:rFonts w:ascii="Palatino Linotype" w:hAnsi="Palatino Linotype"/>
          <w:i/>
          <w:color w:val="000000"/>
        </w:rPr>
        <w:t xml:space="preserve">, articulo 24 en sus </w:t>
      </w:r>
      <w:proofErr w:type="spellStart"/>
      <w:r w:rsidR="00F2185C" w:rsidRPr="00874AFB">
        <w:rPr>
          <w:rFonts w:ascii="Palatino Linotype" w:hAnsi="Palatino Linotype"/>
          <w:i/>
          <w:color w:val="000000"/>
        </w:rPr>
        <w:t>fracc</w:t>
      </w:r>
      <w:proofErr w:type="spellEnd"/>
      <w:r w:rsidR="00F2185C" w:rsidRPr="00874AFB">
        <w:rPr>
          <w:rFonts w:ascii="Palatino Linotype" w:hAnsi="Palatino Linotype"/>
          <w:i/>
          <w:color w:val="000000"/>
        </w:rPr>
        <w:t xml:space="preserve"> XVIII Y XIX de la Lay de Transparencia y Acceso a la </w:t>
      </w:r>
      <w:proofErr w:type="spellStart"/>
      <w:r w:rsidR="00F2185C" w:rsidRPr="00874AFB">
        <w:rPr>
          <w:rFonts w:ascii="Palatino Linotype" w:hAnsi="Palatino Linotype"/>
          <w:i/>
          <w:color w:val="000000"/>
        </w:rPr>
        <w:t>Informacion</w:t>
      </w:r>
      <w:proofErr w:type="spellEnd"/>
      <w:r w:rsidR="00F2185C" w:rsidRPr="00874AFB">
        <w:rPr>
          <w:rFonts w:ascii="Palatino Linotype" w:hAnsi="Palatino Linotype"/>
          <w:i/>
          <w:color w:val="000000"/>
        </w:rPr>
        <w:t xml:space="preserve"> Publica del Estado de </w:t>
      </w:r>
      <w:proofErr w:type="spellStart"/>
      <w:r w:rsidR="00F2185C" w:rsidRPr="00874AFB">
        <w:rPr>
          <w:rFonts w:ascii="Palatino Linotype" w:hAnsi="Palatino Linotype"/>
          <w:i/>
          <w:color w:val="000000"/>
        </w:rPr>
        <w:t>Mexico</w:t>
      </w:r>
      <w:proofErr w:type="spellEnd"/>
      <w:r w:rsidR="00F2185C" w:rsidRPr="00874AFB">
        <w:rPr>
          <w:rFonts w:ascii="Palatino Linotype" w:hAnsi="Palatino Linotype"/>
          <w:i/>
          <w:color w:val="000000"/>
        </w:rPr>
        <w:t xml:space="preserve"> y Municipios.</w:t>
      </w:r>
      <w:r w:rsidR="00D24A01" w:rsidRPr="00874AFB">
        <w:rPr>
          <w:rFonts w:ascii="Palatino Linotype" w:hAnsi="Palatino Linotype"/>
          <w:i/>
          <w:color w:val="000000"/>
        </w:rPr>
        <w:t>” (Sic)</w:t>
      </w:r>
    </w:p>
    <w:bookmarkEnd w:id="1"/>
    <w:bookmarkEnd w:id="2"/>
    <w:bookmarkEnd w:id="3"/>
    <w:p w:rsidR="00D771ED" w:rsidRPr="00874AFB" w:rsidRDefault="00D771ED" w:rsidP="009B6FD5">
      <w:pPr>
        <w:spacing w:line="360" w:lineRule="auto"/>
        <w:jc w:val="both"/>
        <w:rPr>
          <w:rFonts w:ascii="Palatino Linotype" w:eastAsia="Calibri" w:hAnsi="Palatino Linotype" w:cs="Arial"/>
          <w:lang w:val="es-AR" w:eastAsia="es-ES"/>
        </w:rPr>
      </w:pPr>
    </w:p>
    <w:p w:rsidR="00D771ED" w:rsidRPr="00874AFB" w:rsidRDefault="00D771ED" w:rsidP="009B6FD5">
      <w:pPr>
        <w:numPr>
          <w:ilvl w:val="0"/>
          <w:numId w:val="1"/>
        </w:numPr>
        <w:spacing w:line="360" w:lineRule="auto"/>
        <w:ind w:left="0" w:firstLine="0"/>
        <w:contextualSpacing/>
        <w:jc w:val="both"/>
        <w:rPr>
          <w:rFonts w:ascii="Palatino Linotype" w:eastAsia="Calibri" w:hAnsi="Palatino Linotype" w:cs="Arial"/>
          <w:lang w:val="es-AR" w:eastAsia="es-ES"/>
        </w:rPr>
      </w:pPr>
      <w:r w:rsidRPr="00874AFB">
        <w:rPr>
          <w:rFonts w:ascii="Palatino Linotype" w:hAnsi="Palatino Linotype" w:cs="Arial"/>
          <w:lang w:val="es-ES" w:eastAsia="es-ES"/>
        </w:rPr>
        <w:t xml:space="preserve">Se registró el recurso de revisión bajo el número de expediente </w:t>
      </w:r>
      <w:r w:rsidRPr="00874AFB">
        <w:rPr>
          <w:rFonts w:ascii="Palatino Linotype" w:eastAsiaTheme="minorEastAsia" w:hAnsi="Palatino Linotype" w:cs="Arial"/>
          <w:bCs/>
          <w:lang w:val="es-ES_tradnl" w:eastAsia="es-ES"/>
        </w:rPr>
        <w:t xml:space="preserve">al rubro indicado, asimismo con fundamento en lo dispuesto por el </w:t>
      </w:r>
      <w:r w:rsidRPr="00874AFB">
        <w:rPr>
          <w:rFonts w:ascii="Palatino Linotype" w:eastAsia="Calibri" w:hAnsi="Palatino Linotype" w:cs="Arial"/>
          <w:lang w:val="es-ES" w:eastAsia="es-ES"/>
        </w:rPr>
        <w:t xml:space="preserve">artículo 185 fracción I de la </w:t>
      </w:r>
      <w:r w:rsidRPr="00874AFB">
        <w:rPr>
          <w:rFonts w:ascii="Palatino Linotype" w:eastAsia="Calibri" w:hAnsi="Palatino Linotype" w:cs="Arial"/>
          <w:b/>
          <w:lang w:val="es-ES" w:eastAsia="es-ES"/>
        </w:rPr>
        <w:t xml:space="preserve">Ley de Transparencia y Acceso a la Información Pública del Estado de México y Municipios </w:t>
      </w:r>
      <w:r w:rsidR="007D429F" w:rsidRPr="00874AFB">
        <w:rPr>
          <w:rFonts w:ascii="Palatino Linotype" w:hAnsi="Palatino Linotype" w:cs="Arial"/>
          <w:lang w:val="es-ES" w:eastAsia="es-ES"/>
        </w:rPr>
        <w:t xml:space="preserve">se turnó a la </w:t>
      </w:r>
      <w:r w:rsidR="007D429F" w:rsidRPr="00874AFB">
        <w:rPr>
          <w:rFonts w:ascii="Palatino Linotype" w:hAnsi="Palatino Linotype" w:cs="Arial"/>
          <w:b/>
          <w:lang w:val="es-ES" w:eastAsia="es-ES"/>
        </w:rPr>
        <w:t>Comisionada</w:t>
      </w:r>
      <w:r w:rsidRPr="00874AFB">
        <w:rPr>
          <w:rFonts w:ascii="Palatino Linotype" w:hAnsi="Palatino Linotype" w:cs="Arial"/>
          <w:b/>
          <w:lang w:val="es-ES" w:eastAsia="es-ES"/>
        </w:rPr>
        <w:t xml:space="preserve"> </w:t>
      </w:r>
      <w:r w:rsidR="007D429F" w:rsidRPr="00874AFB">
        <w:rPr>
          <w:rFonts w:ascii="Palatino Linotype" w:hAnsi="Palatino Linotype" w:cs="Arial"/>
          <w:b/>
          <w:lang w:val="es-ES" w:eastAsia="es-ES"/>
        </w:rPr>
        <w:t>María del Rosario Mejía Ayala</w:t>
      </w:r>
      <w:r w:rsidRPr="00874AFB">
        <w:rPr>
          <w:rFonts w:ascii="Palatino Linotype" w:hAnsi="Palatino Linotype" w:cs="Arial"/>
          <w:b/>
          <w:lang w:val="es-ES" w:eastAsia="es-ES"/>
        </w:rPr>
        <w:t xml:space="preserve">, </w:t>
      </w:r>
      <w:r w:rsidRPr="00874AFB">
        <w:rPr>
          <w:rFonts w:ascii="Palatino Linotype" w:hAnsi="Palatino Linotype" w:cs="Arial"/>
          <w:lang w:val="es-ES" w:eastAsia="es-ES"/>
        </w:rPr>
        <w:t xml:space="preserve">con el objeto de </w:t>
      </w:r>
      <w:r w:rsidRPr="00874AFB">
        <w:rPr>
          <w:rFonts w:ascii="Palatino Linotype" w:hAnsi="Palatino Linotype" w:cs="Arial"/>
          <w:lang w:eastAsia="es-ES"/>
        </w:rPr>
        <w:t xml:space="preserve">su análisis. </w:t>
      </w:r>
    </w:p>
    <w:p w:rsidR="00D771ED" w:rsidRPr="00874AFB" w:rsidRDefault="00D771ED" w:rsidP="009B6FD5">
      <w:pPr>
        <w:spacing w:line="360" w:lineRule="auto"/>
        <w:contextualSpacing/>
        <w:jc w:val="both"/>
        <w:rPr>
          <w:rFonts w:ascii="Palatino Linotype" w:eastAsia="Calibri" w:hAnsi="Palatino Linotype" w:cs="Arial"/>
          <w:lang w:val="es-AR" w:eastAsia="es-ES"/>
        </w:rPr>
      </w:pPr>
    </w:p>
    <w:p w:rsidR="00476A23" w:rsidRPr="00874AFB" w:rsidRDefault="00D771ED" w:rsidP="0003313A">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874AFB">
        <w:rPr>
          <w:rFonts w:ascii="Palatino Linotype" w:eastAsia="Calibri" w:hAnsi="Palatino Linotype" w:cs="Arial"/>
          <w:lang w:val="es-ES" w:eastAsia="es-ES"/>
        </w:rPr>
        <w:t>El Comisionado Ponente con fundamento en lo dispuesto por el artículo 185 fracción II de la ley de la materia, a t</w:t>
      </w:r>
      <w:r w:rsidR="00996A56" w:rsidRPr="00874AFB">
        <w:rPr>
          <w:rFonts w:ascii="Palatino Linotype" w:eastAsia="Calibri" w:hAnsi="Palatino Linotype" w:cs="Arial"/>
          <w:lang w:val="es-ES" w:eastAsia="es-ES"/>
        </w:rPr>
        <w:t xml:space="preserve">ravés del acuerdo de admisión del </w:t>
      </w:r>
      <w:r w:rsidR="00F2185C" w:rsidRPr="00874AFB">
        <w:rPr>
          <w:rFonts w:ascii="Palatino Linotype" w:eastAsia="Calibri" w:hAnsi="Palatino Linotype" w:cs="Arial"/>
          <w:lang w:val="es-ES" w:eastAsia="es-ES"/>
        </w:rPr>
        <w:t>seis (06) de octubre</w:t>
      </w:r>
      <w:r w:rsidR="00D43761" w:rsidRPr="00874AFB">
        <w:rPr>
          <w:rFonts w:ascii="Palatino Linotype" w:eastAsia="Calibri" w:hAnsi="Palatino Linotype" w:cs="Arial"/>
          <w:lang w:val="es-ES" w:eastAsia="es-ES"/>
        </w:rPr>
        <w:t xml:space="preserve"> </w:t>
      </w:r>
      <w:r w:rsidR="00D24A01" w:rsidRPr="00874AFB">
        <w:rPr>
          <w:rFonts w:ascii="Palatino Linotype" w:eastAsia="Calibri" w:hAnsi="Palatino Linotype" w:cs="Arial"/>
          <w:lang w:val="es-ES" w:eastAsia="es-ES"/>
        </w:rPr>
        <w:t xml:space="preserve"> </w:t>
      </w:r>
      <w:r w:rsidR="00996A56" w:rsidRPr="00874AFB">
        <w:rPr>
          <w:rFonts w:ascii="Palatino Linotype" w:eastAsia="Calibri" w:hAnsi="Palatino Linotype" w:cs="Arial"/>
          <w:lang w:val="es-ES" w:eastAsia="es-ES"/>
        </w:rPr>
        <w:t>de dos mil veintidós</w:t>
      </w:r>
      <w:r w:rsidRPr="00874AFB">
        <w:rPr>
          <w:rFonts w:ascii="Palatino Linotype" w:eastAsia="Calibri" w:hAnsi="Palatino Linotype" w:cs="Arial"/>
          <w:lang w:val="es-ES" w:eastAsia="es-ES"/>
        </w:rPr>
        <w:t xml:space="preserve">, puso a disposición de las partes el expediente electrónico </w:t>
      </w:r>
      <w:r w:rsidRPr="00874AFB">
        <w:rPr>
          <w:rFonts w:ascii="Palatino Linotype" w:eastAsia="Calibri" w:hAnsi="Palatino Linotype" w:cs="Arial"/>
          <w:lang w:val="es-ES_tradnl" w:eastAsia="es-ES"/>
        </w:rPr>
        <w:t xml:space="preserve">vía </w:t>
      </w:r>
      <w:r w:rsidRPr="00874AFB">
        <w:rPr>
          <w:rFonts w:ascii="Palatino Linotype" w:eastAsia="Calibri" w:hAnsi="Palatino Linotype" w:cs="Arial"/>
          <w:b/>
          <w:lang w:val="es-ES" w:eastAsia="es-ES"/>
        </w:rPr>
        <w:t xml:space="preserve">SAIMEX </w:t>
      </w:r>
      <w:r w:rsidRPr="00874AF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874AFB">
        <w:rPr>
          <w:rFonts w:ascii="Palatino Linotype" w:eastAsia="Calibri" w:hAnsi="Palatino Linotype" w:cs="Arial"/>
          <w:b/>
          <w:lang w:val="es-ES" w:eastAsia="es-ES"/>
        </w:rPr>
        <w:t>SUJETO OBLIGADO</w:t>
      </w:r>
      <w:r w:rsidRPr="00874AFB">
        <w:rPr>
          <w:rFonts w:ascii="Palatino Linotype" w:eastAsia="Calibri" w:hAnsi="Palatino Linotype" w:cs="Arial"/>
          <w:lang w:val="es-ES" w:eastAsia="es-ES"/>
        </w:rPr>
        <w:t xml:space="preserve"> presentara el informe justificado procedente. </w:t>
      </w:r>
      <w:r w:rsidR="00D24A01" w:rsidRPr="00874AFB">
        <w:rPr>
          <w:rFonts w:ascii="Palatino Linotype" w:eastAsia="Calibri" w:hAnsi="Palatino Linotype" w:cs="Arial"/>
          <w:lang w:val="es-ES" w:eastAsia="es-ES"/>
        </w:rPr>
        <w:t xml:space="preserve">De las constancias que obran en el expediente electrónico SAIMEX, se advierte que el RECURRENTE no realizó manifestaciones, no ofreció pruebas y alegatos que a su derecho conviniera. </w:t>
      </w:r>
      <w:r w:rsidR="007E19E4" w:rsidRPr="00874AFB">
        <w:rPr>
          <w:rFonts w:ascii="Palatino Linotype" w:eastAsiaTheme="minorEastAsia" w:hAnsi="Palatino Linotype"/>
          <w:lang w:val="es-ES_tradnl" w:eastAsia="es-ES"/>
        </w:rPr>
        <w:t>Por su parte, el Sujeto Obligado</w:t>
      </w:r>
      <w:r w:rsidR="0003313A" w:rsidRPr="00874AFB">
        <w:rPr>
          <w:rFonts w:ascii="Palatino Linotype" w:eastAsiaTheme="minorEastAsia" w:hAnsi="Palatino Linotype"/>
          <w:lang w:val="es-ES_tradnl" w:eastAsia="es-ES"/>
        </w:rPr>
        <w:t xml:space="preserve"> no rindió informe justificado.</w:t>
      </w:r>
    </w:p>
    <w:p w:rsidR="007E19E4" w:rsidRPr="00874AFB" w:rsidRDefault="007E19E4" w:rsidP="007E19E4">
      <w:pPr>
        <w:spacing w:line="360" w:lineRule="auto"/>
        <w:contextualSpacing/>
        <w:jc w:val="both"/>
        <w:rPr>
          <w:rFonts w:ascii="Palatino Linotype" w:eastAsiaTheme="minorEastAsia" w:hAnsi="Palatino Linotype"/>
          <w:b/>
          <w:u w:val="single"/>
          <w:lang w:val="es-ES_tradnl" w:eastAsia="es-ES"/>
        </w:rPr>
      </w:pPr>
    </w:p>
    <w:p w:rsidR="00D771ED" w:rsidRPr="00874AFB" w:rsidRDefault="0003313A" w:rsidP="009B6FD5">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874AFB">
        <w:rPr>
          <w:rFonts w:ascii="Palatino Linotype" w:eastAsiaTheme="minorEastAsia" w:hAnsi="Palatino Linotype"/>
          <w:lang w:val="es-ES_tradnl" w:eastAsia="es-ES"/>
        </w:rPr>
        <w:lastRenderedPageBreak/>
        <w:t>El Comisionado Ponente decretó el cierre de instrucción</w:t>
      </w:r>
      <w:r w:rsidR="00AF6419" w:rsidRPr="00874AFB">
        <w:rPr>
          <w:rFonts w:ascii="Palatino Linotype" w:eastAsiaTheme="minorEastAsia" w:hAnsi="Palatino Linotype"/>
          <w:lang w:val="es-ES_tradnl" w:eastAsia="es-ES"/>
        </w:rPr>
        <w:t xml:space="preserve"> y ampliación de plazo para emitir resolución, </w:t>
      </w:r>
      <w:r w:rsidRPr="00874AFB">
        <w:rPr>
          <w:rFonts w:ascii="Palatino Linotype" w:eastAsiaTheme="minorEastAsia" w:hAnsi="Palatino Linotype" w:cs="Arial"/>
          <w:lang w:val="es-ES_tradnl" w:eastAsia="es-ES"/>
        </w:rPr>
        <w:t xml:space="preserve"> </w:t>
      </w:r>
      <w:r w:rsidRPr="00874AFB">
        <w:rPr>
          <w:rFonts w:ascii="Palatino Linotype" w:eastAsiaTheme="minorEastAsia" w:hAnsi="Palatino Linotype"/>
          <w:lang w:val="es-ES_tradnl" w:eastAsia="es-ES"/>
        </w:rPr>
        <w:t>mediante el acuerdo de fecha</w:t>
      </w:r>
      <w:r w:rsidR="00D43761" w:rsidRPr="00874AFB">
        <w:rPr>
          <w:rFonts w:ascii="Palatino Linotype" w:eastAsiaTheme="minorEastAsia" w:hAnsi="Palatino Linotype"/>
          <w:lang w:val="es-ES_tradnl" w:eastAsia="es-ES"/>
        </w:rPr>
        <w:t xml:space="preserve"> </w:t>
      </w:r>
      <w:r w:rsidR="00F2185C" w:rsidRPr="00874AFB">
        <w:rPr>
          <w:rFonts w:ascii="Palatino Linotype" w:eastAsiaTheme="minorEastAsia" w:hAnsi="Palatino Linotype"/>
          <w:lang w:val="es-ES_tradnl" w:eastAsia="es-ES"/>
        </w:rPr>
        <w:t>veintiséis (26) de octubre</w:t>
      </w:r>
      <w:r w:rsidRPr="00874AFB">
        <w:rPr>
          <w:rFonts w:ascii="Palatino Linotype" w:eastAsiaTheme="minorEastAsia" w:hAnsi="Palatino Linotype"/>
          <w:lang w:val="es-ES_tradnl" w:eastAsia="es-ES"/>
        </w:rPr>
        <w:t xml:space="preserve"> </w:t>
      </w:r>
      <w:r w:rsidR="003F27EF" w:rsidRPr="00874AFB">
        <w:rPr>
          <w:rFonts w:ascii="Palatino Linotype" w:eastAsiaTheme="minorEastAsia" w:hAnsi="Palatino Linotype"/>
          <w:lang w:val="es-ES_tradnl" w:eastAsia="es-ES"/>
        </w:rPr>
        <w:t xml:space="preserve">  de dos mil veintidós.</w:t>
      </w:r>
    </w:p>
    <w:p w:rsidR="00D43761" w:rsidRPr="00874AFB" w:rsidRDefault="00D43761" w:rsidP="00D43761">
      <w:pPr>
        <w:spacing w:line="360" w:lineRule="auto"/>
        <w:contextualSpacing/>
        <w:jc w:val="both"/>
        <w:rPr>
          <w:rFonts w:ascii="Palatino Linotype" w:eastAsiaTheme="minorEastAsia" w:hAnsi="Palatino Linotype"/>
          <w:b/>
          <w:u w:val="single"/>
          <w:lang w:val="es-ES_tradnl" w:eastAsia="es-ES"/>
        </w:rPr>
      </w:pPr>
    </w:p>
    <w:p w:rsidR="00D771ED" w:rsidRPr="00874AFB" w:rsidRDefault="00D771ED" w:rsidP="009B6FD5">
      <w:pPr>
        <w:keepNext/>
        <w:keepLines/>
        <w:spacing w:line="360" w:lineRule="auto"/>
        <w:jc w:val="center"/>
        <w:outlineLvl w:val="0"/>
        <w:rPr>
          <w:rFonts w:ascii="Palatino Linotype" w:eastAsiaTheme="majorEastAsia" w:hAnsi="Palatino Linotype" w:cstheme="majorBidi"/>
        </w:rPr>
      </w:pPr>
      <w:bookmarkStart w:id="4" w:name="_Toc83301634"/>
      <w:r w:rsidRPr="00874AFB">
        <w:rPr>
          <w:rFonts w:ascii="Palatino Linotype" w:eastAsiaTheme="majorEastAsia" w:hAnsi="Palatino Linotype" w:cstheme="majorBidi"/>
          <w:b/>
        </w:rPr>
        <w:t>CONSIDERANDO</w:t>
      </w:r>
      <w:bookmarkEnd w:id="4"/>
      <w:r w:rsidRPr="00874AFB">
        <w:rPr>
          <w:rFonts w:ascii="Palatino Linotype" w:eastAsiaTheme="majorEastAsia" w:hAnsi="Palatino Linotype" w:cstheme="majorBidi"/>
          <w:b/>
        </w:rPr>
        <w:t xml:space="preserve"> </w:t>
      </w:r>
    </w:p>
    <w:p w:rsidR="00D771ED" w:rsidRPr="00874AFB" w:rsidRDefault="00D771ED" w:rsidP="009B6FD5">
      <w:pPr>
        <w:spacing w:line="360" w:lineRule="auto"/>
        <w:rPr>
          <w:rFonts w:ascii="Palatino Linotype" w:eastAsiaTheme="minorEastAsia" w:hAnsi="Palatino Linotype"/>
        </w:rPr>
      </w:pPr>
    </w:p>
    <w:p w:rsidR="00D771ED" w:rsidRPr="00874AFB" w:rsidRDefault="00D771ED" w:rsidP="009B6FD5">
      <w:pPr>
        <w:keepNext/>
        <w:keepLines/>
        <w:spacing w:line="360" w:lineRule="auto"/>
        <w:outlineLvl w:val="1"/>
        <w:rPr>
          <w:rFonts w:ascii="Palatino Linotype" w:eastAsiaTheme="majorEastAsia" w:hAnsi="Palatino Linotype" w:cstheme="majorBidi"/>
          <w:b/>
          <w:szCs w:val="26"/>
        </w:rPr>
      </w:pPr>
      <w:bookmarkStart w:id="5" w:name="_Toc83301635"/>
      <w:r w:rsidRPr="00874AFB">
        <w:rPr>
          <w:rFonts w:ascii="Palatino Linotype" w:eastAsiaTheme="majorEastAsia" w:hAnsi="Palatino Linotype" w:cstheme="majorBidi"/>
          <w:b/>
          <w:szCs w:val="26"/>
        </w:rPr>
        <w:t>PRIMERO. De la competencia</w:t>
      </w:r>
      <w:bookmarkEnd w:id="5"/>
    </w:p>
    <w:p w:rsidR="00D771ED" w:rsidRPr="00874AFB" w:rsidRDefault="00D771ED" w:rsidP="009B6FD5">
      <w:pPr>
        <w:keepNext/>
        <w:keepLines/>
        <w:spacing w:line="360" w:lineRule="auto"/>
        <w:outlineLvl w:val="1"/>
        <w:rPr>
          <w:rFonts w:ascii="Palatino Linotype" w:eastAsiaTheme="majorEastAsia" w:hAnsi="Palatino Linotype" w:cstheme="majorBidi"/>
          <w:b/>
          <w:bCs/>
          <w:spacing w:val="60"/>
          <w:szCs w:val="26"/>
        </w:rPr>
      </w:pPr>
    </w:p>
    <w:p w:rsidR="00476A23" w:rsidRPr="00874AFB" w:rsidRDefault="00476A23" w:rsidP="00476A23">
      <w:pPr>
        <w:numPr>
          <w:ilvl w:val="0"/>
          <w:numId w:val="1"/>
        </w:numPr>
        <w:spacing w:line="360" w:lineRule="auto"/>
        <w:ind w:left="0" w:firstLine="0"/>
        <w:contextualSpacing/>
        <w:jc w:val="both"/>
        <w:rPr>
          <w:rFonts w:ascii="Palatino Linotype" w:eastAsia="Calibri" w:hAnsi="Palatino Linotype"/>
          <w:lang w:eastAsia="es-ES"/>
        </w:rPr>
      </w:pPr>
      <w:r w:rsidRPr="00874AFB">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874AFB">
        <w:rPr>
          <w:rFonts w:ascii="Palatino Linotype" w:eastAsia="Calibri" w:hAnsi="Palatino Linotype"/>
          <w:b/>
          <w:lang w:val="es-ES" w:eastAsia="es-ES"/>
        </w:rPr>
        <w:t>Constitución Política de los Estados Unidos Mexicanos</w:t>
      </w:r>
      <w:r w:rsidRPr="00874AFB">
        <w:rPr>
          <w:rFonts w:ascii="Palatino Linotype" w:eastAsia="Calibri" w:hAnsi="Palatino Linotype"/>
          <w:lang w:val="es-ES" w:eastAsia="es-ES"/>
        </w:rPr>
        <w:t xml:space="preserve">; 5, </w:t>
      </w:r>
      <w:r w:rsidRPr="00874AFB">
        <w:rPr>
          <w:rFonts w:ascii="Palatino Linotype" w:eastAsia="Calibri" w:hAnsi="Palatino Linotype"/>
          <w:lang w:eastAsia="es-ES"/>
        </w:rPr>
        <w:t xml:space="preserve">párrafos trigésimo, trigésimo primero y trigésimo segundo, fracciones I, II, III, IV y V de la </w:t>
      </w:r>
      <w:r w:rsidRPr="00874AFB">
        <w:rPr>
          <w:rFonts w:ascii="Palatino Linotype" w:eastAsia="Calibri" w:hAnsi="Palatino Linotype"/>
          <w:b/>
          <w:lang w:eastAsia="es-ES"/>
        </w:rPr>
        <w:t>Constitución Política del Estado Libre y Soberano de México</w:t>
      </w:r>
      <w:r w:rsidRPr="00874AFB">
        <w:rPr>
          <w:rFonts w:ascii="Palatino Linotype" w:eastAsia="Calibri" w:hAnsi="Palatino Linotype"/>
          <w:b/>
          <w:lang w:val="es-ES" w:eastAsia="es-ES"/>
        </w:rPr>
        <w:t>;</w:t>
      </w:r>
      <w:r w:rsidRPr="00874AFB">
        <w:rPr>
          <w:rFonts w:ascii="Palatino Linotype" w:eastAsia="Calibri" w:hAnsi="Palatino Linotype"/>
          <w:lang w:val="es-ES" w:eastAsia="es-ES"/>
        </w:rPr>
        <w:t xml:space="preserve"> 1, 3 fracción I, 82, 97, 98, 119, 123, 124, 127, 128 y 133 </w:t>
      </w:r>
      <w:r w:rsidRPr="00874AFB">
        <w:rPr>
          <w:rFonts w:ascii="Palatino Linotype" w:eastAsia="Calibri" w:hAnsi="Palatino Linotype"/>
          <w:b/>
          <w:lang w:eastAsia="es-ES"/>
        </w:rPr>
        <w:t>Ley de Protección de Datos Personales en Posesión de Sujetos Obligados del Estado de México y Municipios</w:t>
      </w:r>
      <w:r w:rsidRPr="00874AFB">
        <w:rPr>
          <w:rFonts w:ascii="Palatino Linotype" w:eastAsia="Calibri" w:hAnsi="Palatino Linotype"/>
          <w:lang w:val="es-ES" w:eastAsia="es-ES"/>
        </w:rPr>
        <w:t xml:space="preserve">; y 10, 7, 9 fracciones I y XXIV, y 11 del </w:t>
      </w:r>
      <w:r w:rsidRPr="00874AFB">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D771ED" w:rsidRPr="00874AFB" w:rsidRDefault="00D771ED" w:rsidP="009B6FD5">
      <w:pPr>
        <w:spacing w:line="360" w:lineRule="auto"/>
        <w:contextualSpacing/>
        <w:jc w:val="both"/>
        <w:rPr>
          <w:rFonts w:ascii="Palatino Linotype" w:eastAsiaTheme="minorEastAsia" w:hAnsi="Palatino Linotype"/>
          <w:lang w:val="es-ES_tradnl" w:eastAsia="es-ES"/>
        </w:rPr>
      </w:pPr>
    </w:p>
    <w:p w:rsidR="00D771ED" w:rsidRPr="00874AFB" w:rsidRDefault="00D771ED" w:rsidP="009B6FD5">
      <w:pPr>
        <w:keepNext/>
        <w:keepLines/>
        <w:spacing w:line="360" w:lineRule="auto"/>
        <w:outlineLvl w:val="1"/>
        <w:rPr>
          <w:rFonts w:ascii="Palatino Linotype" w:eastAsiaTheme="majorEastAsia" w:hAnsi="Palatino Linotype" w:cstheme="majorBidi"/>
          <w:b/>
          <w:szCs w:val="26"/>
        </w:rPr>
      </w:pPr>
      <w:bookmarkStart w:id="6" w:name="_Toc83301636"/>
      <w:r w:rsidRPr="00874AFB">
        <w:rPr>
          <w:rFonts w:ascii="Palatino Linotype" w:eastAsiaTheme="majorEastAsia" w:hAnsi="Palatino Linotype" w:cstheme="majorBidi"/>
          <w:b/>
          <w:szCs w:val="26"/>
        </w:rPr>
        <w:t>SEGUNDO. De la oportunidad y procedencia.</w:t>
      </w:r>
      <w:bookmarkEnd w:id="6"/>
    </w:p>
    <w:p w:rsidR="00D771ED" w:rsidRPr="00874AFB" w:rsidRDefault="00D771ED" w:rsidP="009B6FD5">
      <w:pPr>
        <w:spacing w:line="360" w:lineRule="auto"/>
        <w:rPr>
          <w:rFonts w:ascii="Palatino Linotype" w:eastAsiaTheme="minorEastAsia" w:hAnsi="Palatino Linotype"/>
        </w:rPr>
      </w:pPr>
    </w:p>
    <w:p w:rsidR="00D771ED" w:rsidRPr="00874AF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74AFB">
        <w:rPr>
          <w:rFonts w:ascii="Palatino Linotype" w:eastAsia="Calibri" w:hAnsi="Palatino Linotype" w:cs="Arial"/>
          <w:lang w:val="es-ES_tradnl" w:eastAsia="es-ES"/>
        </w:rPr>
        <w:t xml:space="preserve">El medio de impugnación fue presentado a través del </w:t>
      </w:r>
      <w:r w:rsidRPr="00874AFB">
        <w:rPr>
          <w:rFonts w:ascii="Palatino Linotype" w:eastAsia="Calibri" w:hAnsi="Palatino Linotype" w:cs="Arial"/>
          <w:b/>
          <w:lang w:val="es-ES_tradnl" w:eastAsia="es-ES"/>
        </w:rPr>
        <w:t>SAIMEX,</w:t>
      </w:r>
      <w:r w:rsidRPr="00874AFB">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874AFB">
        <w:rPr>
          <w:rFonts w:ascii="Palatino Linotype" w:eastAsia="Calibri" w:hAnsi="Palatino Linotype" w:cs="Arial"/>
          <w:b/>
          <w:lang w:val="es-ES_tradnl" w:eastAsia="es-ES"/>
        </w:rPr>
        <w:t>SUJETO OBLIGADO</w:t>
      </w:r>
      <w:r w:rsidRPr="00874AFB">
        <w:rPr>
          <w:rFonts w:ascii="Palatino Linotype" w:eastAsia="Calibri" w:hAnsi="Palatino Linotype" w:cs="Arial"/>
          <w:lang w:val="es-ES_tradnl" w:eastAsia="es-ES"/>
        </w:rPr>
        <w:t xml:space="preserve"> entregó respuesta</w:t>
      </w:r>
      <w:r w:rsidR="00476A23" w:rsidRPr="00874AFB">
        <w:rPr>
          <w:rFonts w:ascii="Palatino Linotype" w:eastAsia="Calibri" w:hAnsi="Palatino Linotype" w:cs="Arial"/>
          <w:lang w:val="es-ES_tradnl" w:eastAsia="es-ES"/>
        </w:rPr>
        <w:t xml:space="preserve"> a la so</w:t>
      </w:r>
      <w:r w:rsidR="00DD183F" w:rsidRPr="00874AFB">
        <w:rPr>
          <w:rFonts w:ascii="Palatino Linotype" w:eastAsia="Calibri" w:hAnsi="Palatino Linotype" w:cs="Arial"/>
          <w:lang w:val="es-ES_tradnl" w:eastAsia="es-ES"/>
        </w:rPr>
        <w:t xml:space="preserve">licitud el día </w:t>
      </w:r>
      <w:r w:rsidR="0073692D" w:rsidRPr="00874AFB">
        <w:rPr>
          <w:rFonts w:ascii="Palatino Linotype" w:eastAsia="Calibri" w:hAnsi="Palatino Linotype" w:cs="Arial"/>
          <w:lang w:val="es-ES_tradnl" w:eastAsia="es-ES"/>
        </w:rPr>
        <w:t>veintiocho (28) de septiembre</w:t>
      </w:r>
      <w:r w:rsidR="00AF6419" w:rsidRPr="00874AFB">
        <w:rPr>
          <w:rFonts w:ascii="Palatino Linotype" w:eastAsia="Calibri" w:hAnsi="Palatino Linotype" w:cs="Arial"/>
          <w:lang w:val="es-ES_tradnl" w:eastAsia="es-ES"/>
        </w:rPr>
        <w:t xml:space="preserve"> </w:t>
      </w:r>
      <w:r w:rsidR="00DD183F" w:rsidRPr="00874AFB">
        <w:rPr>
          <w:rFonts w:ascii="Palatino Linotype" w:eastAsia="Calibri" w:hAnsi="Palatino Linotype" w:cs="Arial"/>
          <w:lang w:val="es-ES_tradnl" w:eastAsia="es-ES"/>
        </w:rPr>
        <w:t xml:space="preserve"> </w:t>
      </w:r>
      <w:r w:rsidR="00476A23" w:rsidRPr="00874AFB">
        <w:rPr>
          <w:rFonts w:ascii="Palatino Linotype" w:eastAsia="Calibri" w:hAnsi="Palatino Linotype" w:cs="Arial"/>
          <w:lang w:val="es-ES_tradnl" w:eastAsia="es-ES"/>
        </w:rPr>
        <w:t xml:space="preserve"> de dos mil veintidós</w:t>
      </w:r>
      <w:r w:rsidRPr="00874AFB">
        <w:rPr>
          <w:rFonts w:ascii="Palatino Linotype" w:eastAsia="Calibri" w:hAnsi="Palatino Linotype" w:cs="Arial"/>
          <w:lang w:val="es-ES_tradnl" w:eastAsia="es-ES"/>
        </w:rPr>
        <w:t xml:space="preserve">, </w:t>
      </w:r>
      <w:r w:rsidRPr="00874AFB">
        <w:rPr>
          <w:rFonts w:ascii="Palatino Linotype" w:eastAsiaTheme="minorEastAsia" w:hAnsi="Palatino Linotype" w:cs="Arial"/>
          <w:lang w:val="es-ES_tradnl" w:eastAsia="es-ES"/>
        </w:rPr>
        <w:t xml:space="preserve">de tal forma que el plazo para </w:t>
      </w:r>
      <w:r w:rsidRPr="00874AFB">
        <w:rPr>
          <w:rFonts w:ascii="Palatino Linotype" w:eastAsiaTheme="minorEastAsia" w:hAnsi="Palatino Linotype" w:cs="Arial"/>
          <w:lang w:val="es-ES_tradnl" w:eastAsia="es-ES"/>
        </w:rPr>
        <w:lastRenderedPageBreak/>
        <w:t xml:space="preserve">interponer el recurso de revisión transcurrió del </w:t>
      </w:r>
      <w:r w:rsidR="0073692D" w:rsidRPr="00874AFB">
        <w:rPr>
          <w:rFonts w:ascii="Palatino Linotype" w:eastAsiaTheme="minorEastAsia" w:hAnsi="Palatino Linotype" w:cs="Arial"/>
          <w:lang w:val="es-ES_tradnl" w:eastAsia="es-ES"/>
        </w:rPr>
        <w:t xml:space="preserve">veintinueve (29) de septiembre </w:t>
      </w:r>
      <w:r w:rsidR="009A28FC" w:rsidRPr="00874AFB">
        <w:rPr>
          <w:rFonts w:ascii="Palatino Linotype" w:eastAsiaTheme="minorEastAsia" w:hAnsi="Palatino Linotype" w:cs="Arial"/>
          <w:lang w:val="es-ES_tradnl" w:eastAsia="es-ES"/>
        </w:rPr>
        <w:t xml:space="preserve">al </w:t>
      </w:r>
      <w:r w:rsidR="0073692D" w:rsidRPr="00874AFB">
        <w:rPr>
          <w:rFonts w:ascii="Palatino Linotype" w:eastAsiaTheme="minorEastAsia" w:hAnsi="Palatino Linotype" w:cs="Arial"/>
          <w:lang w:val="es-ES_tradnl" w:eastAsia="es-ES"/>
        </w:rPr>
        <w:t>diecinueve (19) de octubre</w:t>
      </w:r>
      <w:r w:rsidR="003F27EF" w:rsidRPr="00874AFB">
        <w:rPr>
          <w:rFonts w:ascii="Palatino Linotype" w:eastAsiaTheme="minorEastAsia" w:hAnsi="Palatino Linotype" w:cs="Arial"/>
          <w:lang w:val="es-ES_tradnl" w:eastAsia="es-ES"/>
        </w:rPr>
        <w:t xml:space="preserve"> </w:t>
      </w:r>
      <w:r w:rsidR="00476A23" w:rsidRPr="00874AFB">
        <w:rPr>
          <w:rFonts w:ascii="Palatino Linotype" w:eastAsiaTheme="minorEastAsia" w:hAnsi="Palatino Linotype" w:cs="Arial"/>
          <w:lang w:val="es-ES_tradnl" w:eastAsia="es-ES"/>
        </w:rPr>
        <w:t xml:space="preserve"> de dos mil veintidós</w:t>
      </w:r>
      <w:r w:rsidRPr="00874AFB">
        <w:rPr>
          <w:rFonts w:ascii="Palatino Linotype" w:eastAsiaTheme="minorEastAsia" w:hAnsi="Palatino Linotype" w:cs="Arial"/>
          <w:lang w:val="es-ES_tradnl" w:eastAsia="es-ES"/>
        </w:rPr>
        <w:t xml:space="preserve">; en consecuencia, presentó su inconformidad el día </w:t>
      </w:r>
      <w:r w:rsidR="0073692D" w:rsidRPr="00874AFB">
        <w:rPr>
          <w:rFonts w:ascii="Palatino Linotype" w:eastAsiaTheme="minorEastAsia" w:hAnsi="Palatino Linotype" w:cs="Arial"/>
          <w:lang w:val="es-ES_tradnl" w:eastAsia="es-ES"/>
        </w:rPr>
        <w:t>uno (01) de octubre</w:t>
      </w:r>
      <w:r w:rsidR="00501A5B" w:rsidRPr="00874AFB">
        <w:rPr>
          <w:rFonts w:ascii="Palatino Linotype" w:eastAsiaTheme="minorEastAsia" w:hAnsi="Palatino Linotype" w:cs="Arial"/>
          <w:lang w:val="es-ES_tradnl" w:eastAsia="es-ES"/>
        </w:rPr>
        <w:t xml:space="preserve"> </w:t>
      </w:r>
      <w:r w:rsidR="00B00F9B" w:rsidRPr="00874AFB">
        <w:rPr>
          <w:rFonts w:ascii="Palatino Linotype" w:eastAsiaTheme="minorEastAsia" w:hAnsi="Palatino Linotype" w:cs="Arial"/>
          <w:lang w:val="es-ES_tradnl" w:eastAsia="es-ES"/>
        </w:rPr>
        <w:t>del presente año</w:t>
      </w:r>
      <w:r w:rsidRPr="00874AFB">
        <w:rPr>
          <w:rFonts w:ascii="Palatino Linotype" w:eastAsiaTheme="minorEastAsia" w:hAnsi="Palatino Linotype" w:cs="Arial"/>
          <w:lang w:val="es-ES_tradnl" w:eastAsia="es-ES"/>
        </w:rPr>
        <w:t xml:space="preserve">, por lo que se encuentra dentro de los márgenes temporales previstos en el artículo 178 de la </w:t>
      </w:r>
      <w:r w:rsidRPr="00874AFB">
        <w:rPr>
          <w:rFonts w:ascii="Palatino Linotype" w:eastAsiaTheme="minorEastAsia" w:hAnsi="Palatino Linotype" w:cs="Arial"/>
          <w:b/>
          <w:lang w:val="es-ES_tradnl" w:eastAsia="es-ES"/>
        </w:rPr>
        <w:t xml:space="preserve">Ley de Transparencia y Acceso a la Información Pública del Estado de México y Municipios </w:t>
      </w:r>
      <w:r w:rsidRPr="00874AFB">
        <w:rPr>
          <w:rFonts w:ascii="Palatino Linotype" w:eastAsiaTheme="minorEastAsia" w:hAnsi="Palatino Linotype" w:cs="Arial"/>
          <w:lang w:val="es-ES_tradnl" w:eastAsia="es-ES"/>
        </w:rPr>
        <w:t>vigente.</w:t>
      </w:r>
    </w:p>
    <w:p w:rsidR="00546BFA" w:rsidRPr="00874AFB" w:rsidRDefault="00546BFA" w:rsidP="00546BFA">
      <w:pPr>
        <w:spacing w:line="360" w:lineRule="auto"/>
        <w:ind w:right="49"/>
        <w:contextualSpacing/>
        <w:jc w:val="both"/>
        <w:rPr>
          <w:rFonts w:ascii="Palatino Linotype" w:eastAsiaTheme="minorEastAsia" w:hAnsi="Palatino Linotype"/>
          <w:lang w:val="es-ES_tradnl" w:eastAsia="es-ES"/>
        </w:rPr>
      </w:pPr>
    </w:p>
    <w:p w:rsidR="00D771ED" w:rsidRPr="00874AF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74AFB">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546BFA" w:rsidRPr="00874AFB" w:rsidRDefault="00546BFA" w:rsidP="00B00F9B">
      <w:pPr>
        <w:spacing w:line="360" w:lineRule="auto"/>
        <w:ind w:right="49"/>
        <w:contextualSpacing/>
        <w:jc w:val="both"/>
        <w:rPr>
          <w:rFonts w:ascii="Palatino Linotype" w:eastAsia="MS Gothic" w:hAnsi="Palatino Linotype" w:cstheme="majorBidi"/>
          <w:lang w:eastAsia="es-ES"/>
        </w:rPr>
      </w:pPr>
      <w:bookmarkStart w:id="10" w:name="_Toc65713731"/>
      <w:bookmarkStart w:id="11" w:name="_Toc94119614"/>
    </w:p>
    <w:p w:rsidR="00B34EE2" w:rsidRPr="00874AFB" w:rsidRDefault="00DD183F" w:rsidP="00B00F9B">
      <w:pPr>
        <w:spacing w:line="360" w:lineRule="auto"/>
        <w:ind w:right="49"/>
        <w:contextualSpacing/>
        <w:jc w:val="both"/>
        <w:rPr>
          <w:rFonts w:ascii="Palatino Linotype" w:eastAsia="MS Gothic" w:hAnsi="Palatino Linotype" w:cstheme="majorBidi"/>
          <w:b/>
          <w:lang w:eastAsia="es-ES"/>
        </w:rPr>
      </w:pPr>
      <w:r w:rsidRPr="00874AFB">
        <w:rPr>
          <w:rFonts w:ascii="Palatino Linotype" w:eastAsia="MS Gothic" w:hAnsi="Palatino Linotype" w:cstheme="majorBidi"/>
          <w:b/>
          <w:lang w:val="es-ES_tradnl" w:eastAsia="es-ES"/>
        </w:rPr>
        <w:t>TERCER</w:t>
      </w:r>
      <w:r w:rsidR="00B00F9B" w:rsidRPr="00874AFB">
        <w:rPr>
          <w:rFonts w:ascii="Palatino Linotype" w:eastAsia="MS Gothic" w:hAnsi="Palatino Linotype" w:cstheme="majorBidi"/>
          <w:b/>
          <w:lang w:val="es-ES_tradnl" w:eastAsia="es-ES"/>
        </w:rPr>
        <w:t>O. Planteamiento de la Litis</w:t>
      </w:r>
      <w:r w:rsidR="00B00F9B" w:rsidRPr="00874AFB">
        <w:rPr>
          <w:rFonts w:ascii="Palatino Linotype" w:eastAsia="MS Gothic" w:hAnsi="Palatino Linotype" w:cstheme="majorBidi"/>
          <w:b/>
          <w:lang w:eastAsia="es-ES"/>
        </w:rPr>
        <w:t>.</w:t>
      </w:r>
      <w:bookmarkEnd w:id="10"/>
      <w:bookmarkEnd w:id="11"/>
    </w:p>
    <w:p w:rsidR="00B34EE2" w:rsidRPr="00874AFB" w:rsidRDefault="00B34EE2" w:rsidP="00B00F9B">
      <w:pPr>
        <w:spacing w:line="360" w:lineRule="auto"/>
        <w:ind w:right="49"/>
        <w:contextualSpacing/>
        <w:jc w:val="both"/>
        <w:rPr>
          <w:rFonts w:ascii="Palatino Linotype" w:eastAsia="MS Gothic" w:hAnsi="Palatino Linotype" w:cstheme="majorBidi"/>
          <w:b/>
          <w:lang w:eastAsia="es-ES"/>
        </w:rPr>
      </w:pPr>
    </w:p>
    <w:p w:rsidR="0073692D" w:rsidRPr="00874AFB" w:rsidRDefault="00B00F9B" w:rsidP="00B00F9B">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874AFB">
        <w:rPr>
          <w:rFonts w:ascii="Palatino Linotype" w:eastAsia="MS Gothic" w:hAnsi="Palatino Linotype" w:cstheme="majorBidi"/>
          <w:lang w:eastAsia="es-ES"/>
        </w:rPr>
        <w:t>El particular solicitó</w:t>
      </w:r>
      <w:r w:rsidR="0073692D" w:rsidRPr="00874AFB">
        <w:rPr>
          <w:rFonts w:ascii="Palatino Linotype" w:eastAsia="MS Gothic" w:hAnsi="Palatino Linotype" w:cstheme="majorBidi"/>
          <w:lang w:eastAsia="es-ES"/>
        </w:rPr>
        <w:t>:</w:t>
      </w:r>
    </w:p>
    <w:p w:rsidR="0073692D" w:rsidRPr="00874AFB" w:rsidRDefault="0073692D" w:rsidP="0073692D">
      <w:pPr>
        <w:spacing w:line="360" w:lineRule="auto"/>
        <w:ind w:right="49"/>
        <w:contextualSpacing/>
        <w:jc w:val="both"/>
        <w:rPr>
          <w:rFonts w:ascii="Palatino Linotype" w:eastAsia="MS Gothic" w:hAnsi="Palatino Linotype" w:cstheme="majorBidi"/>
          <w:i/>
          <w:sz w:val="28"/>
          <w:lang w:val="es-ES_tradnl" w:eastAsia="es-ES"/>
        </w:rPr>
      </w:pPr>
    </w:p>
    <w:p w:rsidR="00B00F9B" w:rsidRPr="00874AFB" w:rsidRDefault="0073692D" w:rsidP="0073692D">
      <w:pPr>
        <w:pStyle w:val="Prrafodelista"/>
        <w:numPr>
          <w:ilvl w:val="0"/>
          <w:numId w:val="43"/>
        </w:numPr>
        <w:spacing w:line="360" w:lineRule="auto"/>
        <w:ind w:right="49"/>
        <w:jc w:val="both"/>
        <w:rPr>
          <w:rFonts w:ascii="Palatino Linotype" w:eastAsia="MS Gothic" w:hAnsi="Palatino Linotype" w:cstheme="majorBidi"/>
          <w:i/>
          <w:sz w:val="24"/>
          <w:lang w:val="es-ES_tradnl" w:eastAsia="es-ES"/>
        </w:rPr>
      </w:pPr>
      <w:r w:rsidRPr="00874AFB">
        <w:rPr>
          <w:rFonts w:ascii="Palatino Linotype" w:eastAsia="MS Gothic" w:hAnsi="Palatino Linotype" w:cstheme="majorBidi"/>
          <w:sz w:val="24"/>
          <w:lang w:eastAsia="es-ES"/>
        </w:rPr>
        <w:t>Comprobantes digitales por concepto de nómina de la segunda quincena de julio de dos mil veintidós;</w:t>
      </w:r>
    </w:p>
    <w:p w:rsidR="0073692D" w:rsidRPr="00874AFB" w:rsidRDefault="0073692D" w:rsidP="0073692D">
      <w:pPr>
        <w:pStyle w:val="Prrafodelista"/>
        <w:numPr>
          <w:ilvl w:val="0"/>
          <w:numId w:val="43"/>
        </w:numPr>
        <w:spacing w:line="360" w:lineRule="auto"/>
        <w:ind w:right="49"/>
        <w:jc w:val="both"/>
        <w:rPr>
          <w:rFonts w:ascii="Palatino Linotype" w:eastAsia="MS Gothic" w:hAnsi="Palatino Linotype" w:cstheme="majorBidi"/>
          <w:i/>
          <w:sz w:val="24"/>
          <w:lang w:val="es-ES_tradnl" w:eastAsia="es-ES"/>
        </w:rPr>
      </w:pPr>
      <w:r w:rsidRPr="00874AFB">
        <w:rPr>
          <w:rFonts w:ascii="Palatino Linotype" w:eastAsia="MS Gothic" w:hAnsi="Palatino Linotype" w:cstheme="majorBidi"/>
          <w:sz w:val="24"/>
          <w:lang w:eastAsia="es-ES"/>
        </w:rPr>
        <w:t xml:space="preserve">Pólizas de egresos o cheque donde se realizó el pago de nómina; y </w:t>
      </w:r>
    </w:p>
    <w:p w:rsidR="0073692D" w:rsidRPr="00874AFB" w:rsidRDefault="0073692D" w:rsidP="0073692D">
      <w:pPr>
        <w:pStyle w:val="Prrafodelista"/>
        <w:numPr>
          <w:ilvl w:val="0"/>
          <w:numId w:val="43"/>
        </w:numPr>
        <w:spacing w:line="360" w:lineRule="auto"/>
        <w:ind w:right="49"/>
        <w:jc w:val="both"/>
        <w:rPr>
          <w:rFonts w:ascii="Palatino Linotype" w:eastAsia="MS Gothic" w:hAnsi="Palatino Linotype" w:cstheme="majorBidi"/>
          <w:i/>
          <w:sz w:val="24"/>
          <w:lang w:val="es-ES_tradnl" w:eastAsia="es-ES"/>
        </w:rPr>
      </w:pPr>
      <w:r w:rsidRPr="00874AFB">
        <w:rPr>
          <w:rFonts w:ascii="Palatino Linotype" w:eastAsia="MS Gothic" w:hAnsi="Palatino Linotype" w:cstheme="majorBidi"/>
          <w:sz w:val="24"/>
          <w:lang w:eastAsia="es-ES"/>
        </w:rPr>
        <w:t xml:space="preserve">Reporte de nómina detallada de la segunda quince de julio de dos mil veintidós. </w:t>
      </w:r>
    </w:p>
    <w:p w:rsidR="00DD183F" w:rsidRPr="00874AFB" w:rsidRDefault="00DD183F" w:rsidP="00DD183F">
      <w:pPr>
        <w:spacing w:line="360" w:lineRule="auto"/>
        <w:ind w:right="49"/>
        <w:contextualSpacing/>
        <w:jc w:val="both"/>
        <w:rPr>
          <w:rFonts w:ascii="Palatino Linotype" w:eastAsia="MS Gothic" w:hAnsi="Palatino Linotype" w:cstheme="majorBidi"/>
          <w:i/>
          <w:lang w:val="es-ES_tradnl" w:eastAsia="es-ES"/>
        </w:rPr>
      </w:pPr>
    </w:p>
    <w:p w:rsidR="00B00F9B" w:rsidRPr="00874AFB"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874AFB">
        <w:rPr>
          <w:rFonts w:ascii="Palatino Linotype" w:eastAsia="MS Gothic" w:hAnsi="Palatino Linotype" w:cstheme="majorBidi"/>
          <w:iCs/>
          <w:lang w:eastAsia="es-ES"/>
        </w:rPr>
        <w:lastRenderedPageBreak/>
        <w:t>En</w:t>
      </w:r>
      <w:r w:rsidR="0022714D" w:rsidRPr="00874AFB">
        <w:rPr>
          <w:rFonts w:ascii="Palatino Linotype" w:eastAsia="MS Gothic" w:hAnsi="Palatino Linotype" w:cstheme="majorBidi"/>
          <w:iCs/>
          <w:lang w:eastAsia="es-ES"/>
        </w:rPr>
        <w:t xml:space="preserve"> respuesta, el SUJETO OBLIGADO</w:t>
      </w:r>
      <w:r w:rsidR="009D4D00" w:rsidRPr="00874AFB">
        <w:rPr>
          <w:rFonts w:ascii="Palatino Linotype" w:eastAsia="MS Gothic" w:hAnsi="Palatino Linotype" w:cstheme="majorBidi"/>
          <w:iCs/>
          <w:lang w:eastAsia="es-ES"/>
        </w:rPr>
        <w:t xml:space="preserve"> manifestó de forma medular, que al tratarse de información de importancia, se debe contar con la autorización del personal para su publicación. </w:t>
      </w:r>
      <w:r w:rsidR="00E91521" w:rsidRPr="00874AFB">
        <w:rPr>
          <w:rFonts w:ascii="Palatino Linotype" w:eastAsia="MS Gothic" w:hAnsi="Palatino Linotype" w:cstheme="majorBidi"/>
          <w:iCs/>
          <w:lang w:eastAsia="es-ES"/>
        </w:rPr>
        <w:t xml:space="preserve"> </w:t>
      </w:r>
    </w:p>
    <w:p w:rsidR="004F29FB" w:rsidRPr="00874AFB" w:rsidRDefault="004F29FB" w:rsidP="004F29FB">
      <w:pPr>
        <w:pStyle w:val="Prrafodelista"/>
        <w:rPr>
          <w:rFonts w:ascii="Palatino Linotype" w:eastAsia="MS Gothic" w:hAnsi="Palatino Linotype" w:cstheme="majorBidi"/>
          <w:lang w:val="es-ES_tradnl" w:eastAsia="es-ES"/>
        </w:rPr>
      </w:pPr>
    </w:p>
    <w:p w:rsidR="004F29FB" w:rsidRPr="00874AFB" w:rsidRDefault="004F29FB" w:rsidP="00B00F9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874AFB">
        <w:rPr>
          <w:rFonts w:ascii="Palatino Linotype" w:eastAsia="MS Gothic" w:hAnsi="Palatino Linotype" w:cstheme="majorBidi"/>
          <w:lang w:val="es-ES_tradnl" w:eastAsia="es-ES"/>
        </w:rPr>
        <w:t>Derivado de la respuesta, el Recurrente interpuso recurso de revisión mediante el cual señalo, de forma medular, en sus motivos de inconformidad la negativa de la información.</w:t>
      </w:r>
    </w:p>
    <w:p w:rsidR="00E91521" w:rsidRPr="00874AFB" w:rsidRDefault="00E91521" w:rsidP="00E91521">
      <w:pPr>
        <w:spacing w:line="360" w:lineRule="auto"/>
        <w:ind w:right="49"/>
        <w:contextualSpacing/>
        <w:jc w:val="both"/>
        <w:rPr>
          <w:rFonts w:ascii="Palatino Linotype" w:eastAsia="MS Gothic" w:hAnsi="Palatino Linotype" w:cstheme="majorBidi"/>
          <w:lang w:val="es-ES_tradnl" w:eastAsia="es-ES"/>
        </w:rPr>
      </w:pPr>
    </w:p>
    <w:p w:rsidR="00B00F9B" w:rsidRPr="00874AFB" w:rsidRDefault="00B00F9B" w:rsidP="00B00F9B">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874AFB">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 causal de procedencia prevista </w:t>
      </w:r>
      <w:r w:rsidR="00B34EE2" w:rsidRPr="00874AFB">
        <w:rPr>
          <w:rFonts w:ascii="Palatino Linotype" w:eastAsia="MS Gothic" w:hAnsi="Palatino Linotype" w:cstheme="majorBidi"/>
          <w:lang w:eastAsia="es-ES"/>
        </w:rPr>
        <w:t xml:space="preserve">en el artículo 179, fracción </w:t>
      </w:r>
      <w:r w:rsidR="00174E58" w:rsidRPr="00874AFB">
        <w:rPr>
          <w:rFonts w:ascii="Palatino Linotype" w:eastAsia="MS Gothic" w:hAnsi="Palatino Linotype" w:cstheme="majorBidi"/>
          <w:lang w:eastAsia="es-ES"/>
        </w:rPr>
        <w:t>I</w:t>
      </w:r>
      <w:r w:rsidRPr="00874AFB">
        <w:rPr>
          <w:rFonts w:ascii="Palatino Linotype" w:eastAsia="MS Gothic" w:hAnsi="Palatino Linotype" w:cstheme="majorBidi"/>
          <w:lang w:eastAsia="es-ES"/>
        </w:rPr>
        <w:t xml:space="preserve"> de la Ley de Transparencia y Acceso a la Información Pública del Estado de México y M</w:t>
      </w:r>
      <w:r w:rsidR="00174E58" w:rsidRPr="00874AFB">
        <w:rPr>
          <w:rFonts w:ascii="Palatino Linotype" w:eastAsia="MS Gothic" w:hAnsi="Palatino Linotype" w:cstheme="majorBidi"/>
          <w:lang w:eastAsia="es-ES"/>
        </w:rPr>
        <w:t>unicipios; que establece la negativa de la información</w:t>
      </w:r>
      <w:r w:rsidRPr="00874AFB">
        <w:rPr>
          <w:rFonts w:ascii="Palatino Linotype" w:eastAsia="MS Gothic" w:hAnsi="Palatino Linotype" w:cstheme="majorBidi"/>
          <w:lang w:eastAsia="es-ES"/>
        </w:rPr>
        <w:t>.</w:t>
      </w:r>
    </w:p>
    <w:p w:rsidR="00D771ED" w:rsidRPr="00874AFB" w:rsidRDefault="00D771ED" w:rsidP="009B6FD5">
      <w:pPr>
        <w:spacing w:line="360" w:lineRule="auto"/>
        <w:ind w:right="49"/>
        <w:contextualSpacing/>
        <w:jc w:val="both"/>
        <w:rPr>
          <w:rFonts w:ascii="Palatino Linotype" w:eastAsia="MS Gothic" w:hAnsi="Palatino Linotype"/>
        </w:rPr>
      </w:pPr>
    </w:p>
    <w:p w:rsidR="00D771ED" w:rsidRPr="00874AFB" w:rsidRDefault="00DD183F" w:rsidP="009B6FD5">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874AFB">
        <w:rPr>
          <w:rFonts w:ascii="Palatino Linotype" w:eastAsia="MS Gothic" w:hAnsi="Palatino Linotype" w:cstheme="majorBidi"/>
          <w:b/>
          <w:lang w:val="es-ES_tradnl" w:eastAsia="es-ES"/>
        </w:rPr>
        <w:t>CUART</w:t>
      </w:r>
      <w:r w:rsidR="00D771ED" w:rsidRPr="00874AFB">
        <w:rPr>
          <w:rFonts w:ascii="Palatino Linotype" w:eastAsia="MS Gothic" w:hAnsi="Palatino Linotype" w:cstheme="majorBidi"/>
          <w:b/>
          <w:lang w:val="es-ES_tradnl" w:eastAsia="es-ES"/>
        </w:rPr>
        <w:t>O. Del estudio y resolución del recurso de revisión.</w:t>
      </w:r>
      <w:bookmarkEnd w:id="12"/>
      <w:bookmarkEnd w:id="13"/>
      <w:bookmarkEnd w:id="14"/>
    </w:p>
    <w:p w:rsidR="00D771ED" w:rsidRPr="00874AFB" w:rsidRDefault="00D771ED" w:rsidP="009B6FD5">
      <w:pPr>
        <w:keepNext/>
        <w:keepLines/>
        <w:spacing w:line="360" w:lineRule="auto"/>
        <w:ind w:right="48"/>
        <w:outlineLvl w:val="0"/>
        <w:rPr>
          <w:rFonts w:ascii="Palatino Linotype" w:eastAsia="MS Gothic" w:hAnsi="Palatino Linotype" w:cstheme="majorBidi"/>
          <w:b/>
          <w:lang w:val="es-ES_tradnl" w:eastAsia="es-ES"/>
        </w:rPr>
      </w:pPr>
    </w:p>
    <w:p w:rsidR="00D771ED" w:rsidRPr="00874AFB" w:rsidRDefault="00D771ED" w:rsidP="009B6FD5">
      <w:pPr>
        <w:pStyle w:val="Prrafodelista"/>
        <w:keepNext/>
        <w:keepLines/>
        <w:numPr>
          <w:ilvl w:val="0"/>
          <w:numId w:val="4"/>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874AFB">
        <w:rPr>
          <w:rFonts w:ascii="Palatino Linotype" w:eastAsia="MS Gothic" w:hAnsi="Palatino Linotype"/>
          <w:b/>
          <w:sz w:val="24"/>
          <w:lang w:val="es-ES_tradnl" w:eastAsia="es-ES"/>
        </w:rPr>
        <w:t>De</w:t>
      </w:r>
      <w:bookmarkEnd w:id="15"/>
      <w:r w:rsidRPr="00874AFB">
        <w:rPr>
          <w:rFonts w:ascii="Palatino Linotype" w:eastAsia="MS Gothic" w:hAnsi="Palatino Linotype"/>
          <w:b/>
          <w:sz w:val="24"/>
          <w:lang w:val="es-ES_tradnl" w:eastAsia="es-ES"/>
        </w:rPr>
        <w:t>l derecho de acceso a la información.</w:t>
      </w:r>
      <w:bookmarkEnd w:id="16"/>
      <w:bookmarkEnd w:id="17"/>
      <w:bookmarkEnd w:id="18"/>
      <w:bookmarkEnd w:id="19"/>
    </w:p>
    <w:p w:rsidR="00D771ED" w:rsidRPr="00874AFB"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874AF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74AFB">
        <w:rPr>
          <w:rFonts w:ascii="Palatino Linotype" w:eastAsiaTheme="minorEastAsia" w:hAnsi="Palatino Linotype"/>
          <w:lang w:val="es-ES_tradnl" w:eastAsia="es-ES"/>
        </w:rPr>
        <w:t>E</w:t>
      </w:r>
      <w:r w:rsidRPr="00874AF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74AFB">
        <w:rPr>
          <w:rFonts w:ascii="Palatino Linotype" w:hAnsi="Palatino Linotype" w:cs="Arial"/>
          <w:color w:val="000000"/>
          <w:lang w:val="es-ES_tradnl" w:eastAsia="es-ES"/>
        </w:rPr>
        <w:t xml:space="preserve">. </w:t>
      </w:r>
    </w:p>
    <w:p w:rsidR="00D771ED" w:rsidRPr="00874AFB"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874AF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74AFB">
        <w:rPr>
          <w:rFonts w:ascii="Palatino Linotype" w:hAnsi="Palatino Linotype"/>
          <w:lang w:val="es-ES_tradnl" w:eastAsia="es-ES"/>
        </w:rPr>
        <w:lastRenderedPageBreak/>
        <w:t xml:space="preserve">Definiendo el Derecho de Acceso a la Información Pública como: </w:t>
      </w:r>
      <w:r w:rsidRPr="00874AFB">
        <w:rPr>
          <w:rFonts w:ascii="Palatino Linotype" w:eastAsiaTheme="minorEastAsia" w:hAnsi="Palatino Linotype"/>
          <w:i/>
          <w:color w:val="000000"/>
          <w:lang w:val="es-ES_tradnl" w:eastAsia="es-ES"/>
        </w:rPr>
        <w:t>La igualdad de oportunidades para recibir, buscar e impartir información</w:t>
      </w:r>
      <w:r w:rsidRPr="00874AFB">
        <w:rPr>
          <w:rFonts w:ascii="Palatino Linotype" w:eastAsiaTheme="minorEastAsia" w:hAnsi="Palatino Linotype"/>
          <w:i/>
          <w:vertAlign w:val="superscript"/>
          <w:lang w:val="es-ES_tradnl" w:eastAsia="es-ES"/>
        </w:rPr>
        <w:footnoteReference w:id="1"/>
      </w:r>
      <w:r w:rsidRPr="00874AF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74AFB">
        <w:rPr>
          <w:rFonts w:ascii="Palatino Linotype" w:eastAsiaTheme="minorEastAsia" w:hAnsi="Palatino Linotype"/>
          <w:i/>
          <w:vertAlign w:val="superscript"/>
          <w:lang w:val="es-ES_tradnl" w:eastAsia="es-ES"/>
        </w:rPr>
        <w:footnoteReference w:id="2"/>
      </w:r>
      <w:r w:rsidRPr="00874AFB">
        <w:rPr>
          <w:rFonts w:ascii="Palatino Linotype" w:eastAsiaTheme="minorEastAsia" w:hAnsi="Palatino Linotype"/>
          <w:color w:val="000000"/>
          <w:lang w:val="es-ES_tradnl" w:eastAsia="es-ES"/>
        </w:rPr>
        <w:t>que se constituye como una herramienta fundamental para ejercer</w:t>
      </w:r>
      <w:r w:rsidRPr="00874AF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874AFB">
        <w:rPr>
          <w:rFonts w:ascii="Palatino Linotype" w:eastAsiaTheme="minorEastAsia" w:hAnsi="Palatino Linotype"/>
          <w:i/>
          <w:vertAlign w:val="superscript"/>
          <w:lang w:val="es-ES_tradnl" w:eastAsia="es-ES"/>
        </w:rPr>
        <w:footnoteReference w:id="3"/>
      </w:r>
      <w:r w:rsidRPr="00874AFB">
        <w:rPr>
          <w:rFonts w:ascii="Palatino Linotype" w:eastAsiaTheme="minorEastAsia" w:hAnsi="Palatino Linotype"/>
          <w:color w:val="000000"/>
          <w:lang w:val="es-ES_tradnl" w:eastAsia="es-ES"/>
        </w:rPr>
        <w:t>fomentando</w:t>
      </w:r>
      <w:r w:rsidRPr="00874AFB">
        <w:rPr>
          <w:rFonts w:ascii="Palatino Linotype" w:eastAsiaTheme="minorEastAsia" w:hAnsi="Palatino Linotype"/>
          <w:i/>
          <w:color w:val="000000"/>
          <w:lang w:val="es-ES_tradnl" w:eastAsia="es-ES"/>
        </w:rPr>
        <w:t xml:space="preserve"> la transparencia de las actividades estatales y </w:t>
      </w:r>
      <w:r w:rsidRPr="00874AFB">
        <w:rPr>
          <w:rFonts w:ascii="Palatino Linotype" w:eastAsiaTheme="minorEastAsia" w:hAnsi="Palatino Linotype"/>
          <w:color w:val="000000"/>
          <w:lang w:val="es-ES_tradnl" w:eastAsia="es-ES"/>
        </w:rPr>
        <w:t>promoviendo</w:t>
      </w:r>
      <w:r w:rsidRPr="00874AFB">
        <w:rPr>
          <w:rFonts w:ascii="Palatino Linotype" w:eastAsiaTheme="minorEastAsia" w:hAnsi="Palatino Linotype"/>
          <w:i/>
          <w:color w:val="000000"/>
          <w:lang w:val="es-ES_tradnl" w:eastAsia="es-ES"/>
        </w:rPr>
        <w:t xml:space="preserve"> la responsabilidad de los funcionarios sobre su gestión pública,</w:t>
      </w:r>
      <w:r w:rsidRPr="00874AFB">
        <w:rPr>
          <w:rFonts w:ascii="Palatino Linotype" w:eastAsiaTheme="minorEastAsia" w:hAnsi="Palatino Linotype"/>
          <w:i/>
          <w:vertAlign w:val="superscript"/>
          <w:lang w:val="es-ES_tradnl" w:eastAsia="es-ES"/>
        </w:rPr>
        <w:footnoteReference w:id="4"/>
      </w:r>
      <w:r w:rsidRPr="00874AFB">
        <w:rPr>
          <w:rFonts w:ascii="Palatino Linotype" w:eastAsiaTheme="minorEastAsia" w:hAnsi="Palatino Linotype"/>
          <w:color w:val="000000"/>
          <w:lang w:val="es-ES_tradnl" w:eastAsia="es-ES"/>
        </w:rPr>
        <w:t>que permite</w:t>
      </w:r>
      <w:r w:rsidRPr="00874AF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D771ED" w:rsidRPr="00874AFB"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874AF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74AF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D771ED" w:rsidRPr="00874AFB" w:rsidRDefault="00D771ED" w:rsidP="009B6FD5">
      <w:pPr>
        <w:spacing w:line="360" w:lineRule="auto"/>
        <w:ind w:right="49"/>
        <w:contextualSpacing/>
        <w:jc w:val="both"/>
        <w:rPr>
          <w:rFonts w:ascii="Palatino Linotype" w:hAnsi="Palatino Linotype"/>
          <w:lang w:val="es-ES_tradnl" w:eastAsia="es-ES"/>
        </w:rPr>
      </w:pPr>
    </w:p>
    <w:p w:rsidR="00D771ED" w:rsidRPr="00874AFB" w:rsidRDefault="00D771ED" w:rsidP="009B6FD5">
      <w:pPr>
        <w:spacing w:line="360" w:lineRule="auto"/>
        <w:ind w:left="567" w:right="567"/>
        <w:contextualSpacing/>
        <w:jc w:val="both"/>
        <w:rPr>
          <w:rFonts w:ascii="Palatino Linotype" w:hAnsi="Palatino Linotype"/>
          <w:i/>
          <w:sz w:val="22"/>
          <w:lang w:val="es-ES_tradnl" w:eastAsia="es-ES"/>
        </w:rPr>
      </w:pPr>
      <w:r w:rsidRPr="00874AFB">
        <w:rPr>
          <w:rFonts w:ascii="Palatino Linotype" w:hAnsi="Palatino Linotype"/>
          <w:i/>
          <w:sz w:val="22"/>
          <w:lang w:val="es-ES_tradnl" w:eastAsia="es-ES"/>
        </w:rPr>
        <w:t>“</w:t>
      </w:r>
      <w:r w:rsidRPr="00874AFB">
        <w:rPr>
          <w:rFonts w:ascii="Palatino Linotype" w:hAnsi="Palatino Linotype"/>
          <w:b/>
          <w:i/>
          <w:sz w:val="22"/>
          <w:lang w:val="es-ES_tradnl" w:eastAsia="es-ES"/>
        </w:rPr>
        <w:t>Artículo 1.-</w:t>
      </w:r>
      <w:r w:rsidRPr="00874AFB">
        <w:rPr>
          <w:rFonts w:ascii="Palatino Linotype" w:hAnsi="Palatino Linotype"/>
          <w:i/>
          <w:sz w:val="22"/>
          <w:lang w:val="es-ES_tradnl" w:eastAsia="es-ES"/>
        </w:rPr>
        <w:t xml:space="preserve"> </w:t>
      </w:r>
    </w:p>
    <w:p w:rsidR="00D771ED" w:rsidRPr="00874AFB" w:rsidRDefault="00D771ED" w:rsidP="009B6FD5">
      <w:pPr>
        <w:spacing w:line="360" w:lineRule="auto"/>
        <w:ind w:left="567" w:right="567"/>
        <w:contextualSpacing/>
        <w:jc w:val="both"/>
        <w:rPr>
          <w:rFonts w:ascii="Palatino Linotype" w:hAnsi="Palatino Linotype"/>
          <w:i/>
          <w:sz w:val="22"/>
          <w:lang w:val="es-ES_tradnl" w:eastAsia="es-ES"/>
        </w:rPr>
      </w:pPr>
      <w:r w:rsidRPr="00874AFB">
        <w:rPr>
          <w:rFonts w:ascii="Palatino Linotype" w:hAnsi="Palatino Linotype"/>
          <w:i/>
          <w:sz w:val="22"/>
          <w:lang w:val="es-ES_tradnl" w:eastAsia="es-ES"/>
        </w:rPr>
        <w:t>(…)</w:t>
      </w:r>
    </w:p>
    <w:p w:rsidR="00D771ED" w:rsidRPr="00874AFB" w:rsidRDefault="00D771ED" w:rsidP="009B6FD5">
      <w:pPr>
        <w:spacing w:line="360" w:lineRule="auto"/>
        <w:ind w:left="567" w:right="567"/>
        <w:contextualSpacing/>
        <w:jc w:val="both"/>
        <w:rPr>
          <w:rFonts w:ascii="Palatino Linotype" w:hAnsi="Palatino Linotype"/>
          <w:i/>
          <w:sz w:val="22"/>
        </w:rPr>
      </w:pPr>
      <w:r w:rsidRPr="00874AFB">
        <w:rPr>
          <w:rFonts w:ascii="Palatino Linotype" w:hAnsi="Palatino Linotype"/>
          <w:i/>
          <w:sz w:val="22"/>
          <w:lang w:val="es-ES_tradnl" w:eastAsia="es-ES"/>
        </w:rPr>
        <w:t>Todas las</w:t>
      </w:r>
      <w:r w:rsidRPr="00874AFB">
        <w:rPr>
          <w:rFonts w:ascii="Palatino Linotype" w:hAnsi="Palatino Linotype"/>
          <w:sz w:val="22"/>
          <w:lang w:val="es-ES_tradnl" w:eastAsia="es-ES"/>
        </w:rPr>
        <w:t xml:space="preserve"> </w:t>
      </w:r>
      <w:r w:rsidRPr="00874AFB">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874AFB">
        <w:rPr>
          <w:rFonts w:ascii="Palatino Linotype" w:hAnsi="Palatino Linotype"/>
          <w:i/>
          <w:sz w:val="22"/>
        </w:rPr>
        <w:lastRenderedPageBreak/>
        <w:t>Estado deberá prevenir, investigar, sancionar y reparar las violaciones a los derechos humanos, en los términos que establezca la ley.</w:t>
      </w:r>
    </w:p>
    <w:p w:rsidR="00D771ED" w:rsidRPr="00874AFB" w:rsidRDefault="00D771ED" w:rsidP="009B6FD5">
      <w:pPr>
        <w:spacing w:line="360" w:lineRule="auto"/>
        <w:ind w:left="567" w:right="567"/>
        <w:contextualSpacing/>
        <w:jc w:val="both"/>
        <w:rPr>
          <w:rFonts w:ascii="Palatino Linotype" w:hAnsi="Palatino Linotype"/>
          <w:sz w:val="22"/>
          <w:lang w:val="es-ES_tradnl" w:eastAsia="es-ES"/>
        </w:rPr>
      </w:pPr>
      <w:r w:rsidRPr="00874AFB">
        <w:rPr>
          <w:rFonts w:ascii="Palatino Linotype" w:hAnsi="Palatino Linotype"/>
          <w:i/>
          <w:sz w:val="22"/>
        </w:rPr>
        <w:t>(…)</w:t>
      </w:r>
      <w:r w:rsidRPr="00874AFB">
        <w:rPr>
          <w:rFonts w:ascii="Palatino Linotype" w:hAnsi="Palatino Linotype"/>
          <w:sz w:val="22"/>
          <w:lang w:val="es-ES_tradnl" w:eastAsia="es-ES"/>
        </w:rPr>
        <w:t>”.</w:t>
      </w:r>
    </w:p>
    <w:p w:rsidR="00D771ED" w:rsidRPr="00874AFB" w:rsidRDefault="00D771ED" w:rsidP="009B6FD5">
      <w:pPr>
        <w:spacing w:line="360" w:lineRule="auto"/>
        <w:ind w:left="567" w:right="567"/>
        <w:contextualSpacing/>
        <w:jc w:val="both"/>
        <w:rPr>
          <w:rFonts w:ascii="Palatino Linotype" w:hAnsi="Palatino Linotype"/>
          <w:b/>
          <w:sz w:val="22"/>
          <w:lang w:val="es-ES_tradnl" w:eastAsia="es-ES"/>
        </w:rPr>
      </w:pPr>
      <w:r w:rsidRPr="00874AFB">
        <w:rPr>
          <w:rFonts w:ascii="Palatino Linotype" w:hAnsi="Palatino Linotype"/>
          <w:b/>
          <w:i/>
          <w:sz w:val="22"/>
        </w:rPr>
        <w:t>(Énfasis Añadido)</w:t>
      </w:r>
    </w:p>
    <w:p w:rsidR="00D771ED" w:rsidRPr="00874AFB"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874AF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74AF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D771ED" w:rsidRPr="00874AFB"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874AF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74AFB">
        <w:rPr>
          <w:rFonts w:ascii="Palatino Linotype" w:eastAsiaTheme="minorEastAsia" w:hAnsi="Palatino Linotype"/>
          <w:lang w:val="es-ES_tradnl" w:eastAsia="es-ES"/>
        </w:rPr>
        <w:t xml:space="preserve">Así, conforme a la Constitución Política de las Estado Unidos Mexicanos </w:t>
      </w:r>
      <w:r w:rsidRPr="00874AFB">
        <w:rPr>
          <w:rFonts w:ascii="Palatino Linotype" w:eastAsia="Calibri" w:hAnsi="Palatino Linotype"/>
          <w:lang w:val="es-ES_tradnl" w:eastAsia="es-ES"/>
        </w:rPr>
        <w:t>y la Constitución Política del Estado Libre y Soberano de México respectivamente</w:t>
      </w:r>
      <w:r w:rsidRPr="00874AF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D771ED" w:rsidRPr="00874AFB"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874AFB" w:rsidRDefault="00D771ED" w:rsidP="009B6FD5">
      <w:pPr>
        <w:spacing w:line="360" w:lineRule="auto"/>
        <w:ind w:left="567" w:right="567"/>
        <w:jc w:val="center"/>
        <w:rPr>
          <w:rFonts w:ascii="Palatino Linotype" w:eastAsiaTheme="minorEastAsia" w:hAnsi="Palatino Linotype" w:cs="Arial"/>
          <w:b/>
          <w:bCs/>
          <w:i/>
          <w:sz w:val="22"/>
          <w:lang w:val="es-ES_tradnl" w:eastAsia="es-ES"/>
        </w:rPr>
      </w:pPr>
      <w:r w:rsidRPr="00874AFB">
        <w:rPr>
          <w:rFonts w:ascii="Palatino Linotype" w:eastAsiaTheme="minorEastAsia" w:hAnsi="Palatino Linotype" w:cs="Arial"/>
          <w:b/>
          <w:bCs/>
          <w:i/>
          <w:sz w:val="22"/>
          <w:lang w:val="es-ES_tradnl" w:eastAsia="es-ES"/>
        </w:rPr>
        <w:t>Constitución Política de los Estados Unidos Mexicanos</w:t>
      </w:r>
    </w:p>
    <w:p w:rsidR="00D771ED" w:rsidRPr="00874AFB" w:rsidRDefault="00D771ED" w:rsidP="009B6FD5">
      <w:pPr>
        <w:spacing w:line="360" w:lineRule="auto"/>
        <w:ind w:left="567" w:right="567"/>
        <w:jc w:val="both"/>
        <w:rPr>
          <w:rFonts w:ascii="Palatino Linotype" w:eastAsiaTheme="minorEastAsia" w:hAnsi="Palatino Linotype" w:cs="Arial"/>
          <w:b/>
          <w:bCs/>
          <w:i/>
          <w:sz w:val="22"/>
          <w:lang w:val="es-ES_tradnl" w:eastAsia="es-ES"/>
        </w:rPr>
      </w:pPr>
      <w:r w:rsidRPr="00874AFB">
        <w:rPr>
          <w:rFonts w:ascii="Palatino Linotype" w:eastAsiaTheme="minorEastAsia" w:hAnsi="Palatino Linotype" w:cs="Arial"/>
          <w:b/>
          <w:bCs/>
          <w:i/>
          <w:sz w:val="22"/>
          <w:lang w:val="es-ES_tradnl" w:eastAsia="es-ES"/>
        </w:rPr>
        <w:t>“Artículo 6.</w:t>
      </w:r>
      <w:r w:rsidRPr="00874AFB">
        <w:rPr>
          <w:rFonts w:ascii="Palatino Linotype" w:eastAsiaTheme="minorEastAsia" w:hAnsi="Palatino Linotype" w:cs="Arial"/>
          <w:bCs/>
          <w:i/>
          <w:sz w:val="22"/>
          <w:lang w:val="es-ES_tradnl" w:eastAsia="es-ES"/>
        </w:rPr>
        <w:t xml:space="preserve"> …</w:t>
      </w:r>
    </w:p>
    <w:p w:rsidR="00D771ED" w:rsidRPr="00874AF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74AFB">
        <w:rPr>
          <w:rFonts w:ascii="Palatino Linotype" w:eastAsiaTheme="minorEastAsia" w:hAnsi="Palatino Linotype" w:cs="Arial"/>
          <w:bCs/>
          <w:i/>
          <w:sz w:val="22"/>
          <w:lang w:val="es-ES_tradnl" w:eastAsia="es-ES"/>
        </w:rPr>
        <w:t>…</w:t>
      </w:r>
    </w:p>
    <w:p w:rsidR="00D771ED" w:rsidRPr="00874AF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74AFB">
        <w:rPr>
          <w:rFonts w:ascii="Palatino Linotype" w:eastAsiaTheme="minorEastAsia" w:hAnsi="Palatino Linotype" w:cs="Arial"/>
          <w:bCs/>
          <w:i/>
          <w:sz w:val="22"/>
          <w:lang w:val="es-ES_tradnl" w:eastAsia="es-ES"/>
        </w:rPr>
        <w:t>Para efectos de lo dispuesto en el presente artículo se observará lo siguiente:</w:t>
      </w:r>
    </w:p>
    <w:p w:rsidR="00D771ED" w:rsidRPr="00874AFB" w:rsidRDefault="00D771ED" w:rsidP="009B6FD5">
      <w:pPr>
        <w:spacing w:line="360" w:lineRule="auto"/>
        <w:ind w:left="567" w:right="567"/>
        <w:jc w:val="both"/>
        <w:rPr>
          <w:rFonts w:ascii="Palatino Linotype" w:eastAsiaTheme="minorEastAsia" w:hAnsi="Palatino Linotype" w:cs="Arial"/>
          <w:b/>
          <w:bCs/>
          <w:i/>
          <w:sz w:val="22"/>
          <w:lang w:val="es-ES_tradnl" w:eastAsia="es-ES"/>
        </w:rPr>
      </w:pPr>
      <w:r w:rsidRPr="00874AFB">
        <w:rPr>
          <w:rFonts w:ascii="Palatino Linotype" w:eastAsiaTheme="minorEastAsia" w:hAnsi="Palatino Linotype" w:cs="Arial"/>
          <w:b/>
          <w:bCs/>
          <w:i/>
          <w:sz w:val="22"/>
          <w:lang w:val="es-ES_tradnl" w:eastAsia="es-ES"/>
        </w:rPr>
        <w:t>A</w:t>
      </w:r>
      <w:r w:rsidRPr="00874AFB">
        <w:rPr>
          <w:rFonts w:ascii="Palatino Linotype" w:eastAsiaTheme="minorEastAsia" w:hAnsi="Palatino Linotype" w:cs="Arial"/>
          <w:bCs/>
          <w:i/>
          <w:sz w:val="22"/>
          <w:lang w:val="es-ES_tradnl" w:eastAsia="es-ES"/>
        </w:rPr>
        <w:t xml:space="preserve">. </w:t>
      </w:r>
      <w:r w:rsidRPr="00874AFB">
        <w:rPr>
          <w:rFonts w:ascii="Palatino Linotype" w:eastAsiaTheme="minorEastAsia" w:hAnsi="Palatino Linotype" w:cs="Arial"/>
          <w:b/>
          <w:bCs/>
          <w:i/>
          <w:sz w:val="22"/>
          <w:lang w:val="es-ES_tradnl" w:eastAsia="es-ES"/>
        </w:rPr>
        <w:t>Para el ejercicio del derecho de acceso a la información</w:t>
      </w:r>
      <w:r w:rsidRPr="00874AFB">
        <w:rPr>
          <w:rFonts w:ascii="Palatino Linotype" w:eastAsiaTheme="minorEastAsia" w:hAnsi="Palatino Linotype" w:cs="Arial"/>
          <w:bCs/>
          <w:i/>
          <w:sz w:val="22"/>
          <w:lang w:val="es-ES_tradnl" w:eastAsia="es-ES"/>
        </w:rPr>
        <w:t xml:space="preserve">, la Federación y </w:t>
      </w:r>
      <w:r w:rsidRPr="00874AF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D771ED" w:rsidRPr="00874AF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74AFB">
        <w:rPr>
          <w:rFonts w:ascii="Palatino Linotype" w:eastAsiaTheme="minorEastAsia" w:hAnsi="Palatino Linotype" w:cs="Arial"/>
          <w:b/>
          <w:bCs/>
          <w:i/>
          <w:sz w:val="22"/>
          <w:lang w:val="es-ES_tradnl" w:eastAsia="es-ES"/>
        </w:rPr>
        <w:t xml:space="preserve">I. </w:t>
      </w:r>
      <w:r w:rsidRPr="00874AFB">
        <w:rPr>
          <w:rFonts w:ascii="Palatino Linotype" w:eastAsiaTheme="minorEastAsia" w:hAnsi="Palatino Linotype" w:cs="Arial"/>
          <w:b/>
          <w:bCs/>
          <w:i/>
          <w:sz w:val="22"/>
          <w:lang w:val="es-ES_tradnl" w:eastAsia="es-ES"/>
        </w:rPr>
        <w:tab/>
        <w:t>Toda la información en posesión de cualquier</w:t>
      </w:r>
      <w:r w:rsidRPr="00874AFB">
        <w:rPr>
          <w:rFonts w:ascii="Palatino Linotype" w:eastAsiaTheme="minorEastAsia" w:hAnsi="Palatino Linotype" w:cs="Arial"/>
          <w:bCs/>
          <w:i/>
          <w:sz w:val="22"/>
          <w:lang w:val="es-ES_tradnl" w:eastAsia="es-ES"/>
        </w:rPr>
        <w:t xml:space="preserve"> </w:t>
      </w:r>
      <w:r w:rsidRPr="00874AFB">
        <w:rPr>
          <w:rFonts w:ascii="Palatino Linotype" w:eastAsiaTheme="minorEastAsia" w:hAnsi="Palatino Linotype" w:cs="Arial"/>
          <w:b/>
          <w:bCs/>
          <w:i/>
          <w:sz w:val="22"/>
          <w:lang w:val="es-ES_tradnl" w:eastAsia="es-ES"/>
        </w:rPr>
        <w:t>autoridad</w:t>
      </w:r>
      <w:r w:rsidRPr="00874AF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w:t>
      </w:r>
      <w:r w:rsidRPr="00874AFB">
        <w:rPr>
          <w:rFonts w:ascii="Palatino Linotype" w:eastAsiaTheme="minorEastAsia" w:hAnsi="Palatino Linotype" w:cs="Arial"/>
          <w:bCs/>
          <w:i/>
          <w:sz w:val="22"/>
          <w:lang w:val="es-ES_tradnl" w:eastAsia="es-ES"/>
        </w:rPr>
        <w:lastRenderedPageBreak/>
        <w:t xml:space="preserve">políticos, fideicomisos y fondos públicos, así como de cualquier persona física, moral o sindicato que reciba y ejerza recursos públicos o realice actos de autoridad en el ámbito federal, estatal y </w:t>
      </w:r>
      <w:r w:rsidRPr="00874AFB">
        <w:rPr>
          <w:rFonts w:ascii="Palatino Linotype" w:eastAsiaTheme="minorEastAsia" w:hAnsi="Palatino Linotype" w:cs="Arial"/>
          <w:b/>
          <w:bCs/>
          <w:i/>
          <w:sz w:val="22"/>
          <w:lang w:val="es-ES_tradnl" w:eastAsia="es-ES"/>
        </w:rPr>
        <w:t>municipal</w:t>
      </w:r>
      <w:r w:rsidRPr="00874AFB">
        <w:rPr>
          <w:rFonts w:ascii="Palatino Linotype" w:eastAsiaTheme="minorEastAsia" w:hAnsi="Palatino Linotype" w:cs="Arial"/>
          <w:bCs/>
          <w:i/>
          <w:sz w:val="22"/>
          <w:lang w:val="es-ES_tradnl" w:eastAsia="es-ES"/>
        </w:rPr>
        <w:t xml:space="preserve">, </w:t>
      </w:r>
      <w:r w:rsidRPr="00874AFB">
        <w:rPr>
          <w:rFonts w:ascii="Palatino Linotype" w:eastAsiaTheme="minorEastAsia" w:hAnsi="Palatino Linotype" w:cs="Arial"/>
          <w:b/>
          <w:bCs/>
          <w:i/>
          <w:sz w:val="22"/>
          <w:lang w:val="es-ES_tradnl" w:eastAsia="es-ES"/>
        </w:rPr>
        <w:t>es pública</w:t>
      </w:r>
      <w:r w:rsidRPr="00874AFB">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874AFB">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874AF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771ED" w:rsidRPr="00874AFB" w:rsidRDefault="00D771ED" w:rsidP="009B6FD5">
      <w:pPr>
        <w:pStyle w:val="Prrafodelista"/>
        <w:tabs>
          <w:tab w:val="left" w:pos="567"/>
        </w:tabs>
        <w:spacing w:line="360" w:lineRule="auto"/>
        <w:ind w:left="567" w:right="567"/>
        <w:jc w:val="both"/>
        <w:rPr>
          <w:rFonts w:ascii="Palatino Linotype" w:hAnsi="Palatino Linotype" w:cs="Arial"/>
          <w:b/>
          <w:bCs/>
          <w:i/>
        </w:rPr>
      </w:pPr>
      <w:r w:rsidRPr="00874AFB">
        <w:rPr>
          <w:rFonts w:ascii="Palatino Linotype" w:hAnsi="Palatino Linotype" w:cs="Arial"/>
          <w:b/>
          <w:bCs/>
          <w:i/>
        </w:rPr>
        <w:t>(Énfasis añadido)</w:t>
      </w:r>
    </w:p>
    <w:p w:rsidR="00D771ED" w:rsidRPr="00874AFB" w:rsidRDefault="00D771ED" w:rsidP="009B6FD5">
      <w:pPr>
        <w:pStyle w:val="Prrafodelista"/>
        <w:tabs>
          <w:tab w:val="left" w:pos="567"/>
        </w:tabs>
        <w:spacing w:line="360" w:lineRule="auto"/>
        <w:ind w:left="567" w:right="567"/>
        <w:jc w:val="both"/>
        <w:rPr>
          <w:rFonts w:ascii="Palatino Linotype" w:hAnsi="Palatino Linotype" w:cs="Arial"/>
          <w:b/>
          <w:bCs/>
          <w:i/>
        </w:rPr>
      </w:pPr>
    </w:p>
    <w:p w:rsidR="00D771ED" w:rsidRPr="00874AFB" w:rsidRDefault="00D771ED" w:rsidP="009B6FD5">
      <w:pPr>
        <w:spacing w:line="360" w:lineRule="auto"/>
        <w:ind w:left="567" w:right="567"/>
        <w:jc w:val="center"/>
        <w:rPr>
          <w:rFonts w:ascii="Palatino Linotype" w:eastAsiaTheme="minorEastAsia" w:hAnsi="Palatino Linotype" w:cs="Arial"/>
          <w:b/>
          <w:bCs/>
          <w:i/>
          <w:sz w:val="22"/>
          <w:lang w:val="es-ES_tradnl" w:eastAsia="es-ES"/>
        </w:rPr>
      </w:pPr>
      <w:r w:rsidRPr="00874AFB">
        <w:rPr>
          <w:rFonts w:ascii="Palatino Linotype" w:eastAsiaTheme="minorEastAsia" w:hAnsi="Palatino Linotype" w:cs="Arial"/>
          <w:b/>
          <w:bCs/>
          <w:i/>
          <w:sz w:val="22"/>
          <w:lang w:val="es-ES_tradnl" w:eastAsia="es-ES"/>
        </w:rPr>
        <w:t>Constitución Política del Estado Libre y Soberano de México</w:t>
      </w:r>
    </w:p>
    <w:p w:rsidR="00D771ED" w:rsidRPr="00874AF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74AFB">
        <w:rPr>
          <w:rFonts w:ascii="Palatino Linotype" w:eastAsiaTheme="minorEastAsia" w:hAnsi="Palatino Linotype" w:cs="Arial"/>
          <w:b/>
          <w:bCs/>
          <w:i/>
          <w:sz w:val="22"/>
          <w:lang w:val="es-ES_tradnl" w:eastAsia="es-ES"/>
        </w:rPr>
        <w:t>“Artículo 5</w:t>
      </w:r>
      <w:r w:rsidRPr="00874AFB">
        <w:rPr>
          <w:rFonts w:ascii="Palatino Linotype" w:eastAsiaTheme="minorEastAsia" w:hAnsi="Palatino Linotype" w:cs="Arial"/>
          <w:bCs/>
          <w:i/>
          <w:sz w:val="22"/>
          <w:lang w:val="es-ES_tradnl" w:eastAsia="es-ES"/>
        </w:rPr>
        <w:t>.</w:t>
      </w:r>
      <w:proofErr w:type="gramStart"/>
      <w:r w:rsidRPr="00874AFB">
        <w:rPr>
          <w:rFonts w:ascii="Palatino Linotype" w:eastAsiaTheme="minorEastAsia" w:hAnsi="Palatino Linotype" w:cs="Arial"/>
          <w:bCs/>
          <w:i/>
          <w:sz w:val="22"/>
          <w:lang w:val="es-ES_tradnl" w:eastAsia="es-ES"/>
        </w:rPr>
        <w:t>- …</w:t>
      </w:r>
      <w:proofErr w:type="gramEnd"/>
    </w:p>
    <w:p w:rsidR="00D771ED" w:rsidRPr="00874AF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74AFB">
        <w:rPr>
          <w:rFonts w:ascii="Palatino Linotype" w:eastAsiaTheme="minorEastAsia" w:hAnsi="Palatino Linotype" w:cs="Arial"/>
          <w:bCs/>
          <w:i/>
          <w:sz w:val="22"/>
          <w:lang w:val="es-ES_tradnl" w:eastAsia="es-ES"/>
        </w:rPr>
        <w:t>…</w:t>
      </w:r>
    </w:p>
    <w:p w:rsidR="00D771ED" w:rsidRPr="00874AF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74AFB">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874AFB">
        <w:rPr>
          <w:rFonts w:ascii="Palatino Linotype" w:eastAsiaTheme="minorEastAsia" w:hAnsi="Palatino Linotype" w:cs="Arial"/>
          <w:bCs/>
          <w:i/>
          <w:sz w:val="22"/>
          <w:lang w:val="es-ES_tradnl" w:eastAsia="es-ES"/>
        </w:rPr>
        <w:t>.</w:t>
      </w:r>
    </w:p>
    <w:p w:rsidR="00D771ED" w:rsidRPr="00874AF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74AFB">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771ED" w:rsidRPr="00874AF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74AFB">
        <w:rPr>
          <w:rFonts w:ascii="Palatino Linotype" w:eastAsiaTheme="minorEastAsia" w:hAnsi="Palatino Linotype" w:cs="Arial"/>
          <w:b/>
          <w:bCs/>
          <w:i/>
          <w:sz w:val="22"/>
          <w:lang w:val="es-ES_tradnl" w:eastAsia="es-ES"/>
        </w:rPr>
        <w:t>Este derecho se regirá por los principios y bases siguientes</w:t>
      </w:r>
      <w:r w:rsidRPr="00874AFB">
        <w:rPr>
          <w:rFonts w:ascii="Palatino Linotype" w:eastAsiaTheme="minorEastAsia" w:hAnsi="Palatino Linotype" w:cs="Arial"/>
          <w:bCs/>
          <w:i/>
          <w:sz w:val="22"/>
          <w:lang w:val="es-ES_tradnl" w:eastAsia="es-ES"/>
        </w:rPr>
        <w:t>:</w:t>
      </w:r>
    </w:p>
    <w:p w:rsidR="00D771ED" w:rsidRPr="00874AF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74AFB">
        <w:rPr>
          <w:rFonts w:ascii="Palatino Linotype" w:eastAsiaTheme="minorEastAsia" w:hAnsi="Palatino Linotype" w:cs="Arial"/>
          <w:b/>
          <w:bCs/>
          <w:i/>
          <w:sz w:val="22"/>
          <w:lang w:val="es-ES_tradnl" w:eastAsia="es-ES"/>
        </w:rPr>
        <w:t>I. Toda la información en posesión de cualquier autoridad, entidad, órgano y organismos de los</w:t>
      </w:r>
      <w:r w:rsidRPr="00874AF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874AFB">
        <w:rPr>
          <w:rFonts w:ascii="Palatino Linotype" w:eastAsiaTheme="minorEastAsia" w:hAnsi="Palatino Linotype" w:cs="Arial"/>
          <w:b/>
          <w:bCs/>
          <w:i/>
          <w:sz w:val="22"/>
          <w:lang w:val="es-ES_tradnl" w:eastAsia="es-ES"/>
        </w:rPr>
        <w:t>municipales</w:t>
      </w:r>
      <w:r w:rsidRPr="00874AF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74AFB">
        <w:rPr>
          <w:rFonts w:ascii="Palatino Linotype" w:eastAsiaTheme="minorEastAsia" w:hAnsi="Palatino Linotype" w:cs="Arial"/>
          <w:b/>
          <w:bCs/>
          <w:i/>
          <w:sz w:val="22"/>
          <w:lang w:val="es-ES_tradnl" w:eastAsia="es-ES"/>
        </w:rPr>
        <w:t>es pública</w:t>
      </w:r>
      <w:r w:rsidRPr="00874AFB">
        <w:rPr>
          <w:rFonts w:ascii="Palatino Linotype" w:eastAsiaTheme="minorEastAsia" w:hAnsi="Palatino Linotype" w:cs="Arial"/>
          <w:bCs/>
          <w:i/>
          <w:sz w:val="22"/>
          <w:lang w:val="es-ES_tradnl" w:eastAsia="es-ES"/>
        </w:rPr>
        <w:t xml:space="preserve"> y sólo podrá ser </w:t>
      </w:r>
      <w:r w:rsidRPr="00874AFB">
        <w:rPr>
          <w:rFonts w:ascii="Palatino Linotype" w:eastAsiaTheme="minorEastAsia" w:hAnsi="Palatino Linotype" w:cs="Arial"/>
          <w:bCs/>
          <w:i/>
          <w:sz w:val="22"/>
          <w:lang w:val="es-ES_tradnl" w:eastAsia="es-ES"/>
        </w:rPr>
        <w:lastRenderedPageBreak/>
        <w:t xml:space="preserve">reservada temporalmente por razones previstas en la Constitución Política de los Estados Unidos Mexicanos de interés público y seguridad, en los términos que fijen las leyes. </w:t>
      </w:r>
      <w:r w:rsidRPr="00874AFB">
        <w:rPr>
          <w:rFonts w:ascii="Palatino Linotype" w:eastAsiaTheme="minorEastAsia" w:hAnsi="Palatino Linotype" w:cs="Arial"/>
          <w:b/>
          <w:bCs/>
          <w:i/>
          <w:sz w:val="22"/>
          <w:lang w:val="es-ES_tradnl" w:eastAsia="es-ES"/>
        </w:rPr>
        <w:t>En la interpretación de este derecho deberá prevalecer el principio de máxima publicidad</w:t>
      </w:r>
      <w:r w:rsidRPr="00874AFB">
        <w:rPr>
          <w:rFonts w:ascii="Palatino Linotype" w:eastAsiaTheme="minorEastAsia" w:hAnsi="Palatino Linotype" w:cs="Arial"/>
          <w:bCs/>
          <w:i/>
          <w:sz w:val="22"/>
          <w:lang w:val="es-ES_tradnl" w:eastAsia="es-ES"/>
        </w:rPr>
        <w:t xml:space="preserve">. </w:t>
      </w:r>
      <w:r w:rsidRPr="00874AFB">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874AF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771ED" w:rsidRPr="00874AFB" w:rsidRDefault="00D771ED" w:rsidP="009B6FD5">
      <w:pPr>
        <w:pStyle w:val="Prrafodelista"/>
        <w:tabs>
          <w:tab w:val="left" w:pos="567"/>
        </w:tabs>
        <w:spacing w:line="360" w:lineRule="auto"/>
        <w:ind w:left="567" w:right="567"/>
        <w:jc w:val="both"/>
        <w:rPr>
          <w:rFonts w:ascii="Palatino Linotype" w:hAnsi="Palatino Linotype" w:cs="Arial"/>
          <w:b/>
          <w:bCs/>
          <w:i/>
        </w:rPr>
      </w:pPr>
      <w:r w:rsidRPr="00874AFB">
        <w:rPr>
          <w:rFonts w:ascii="Palatino Linotype" w:hAnsi="Palatino Linotype" w:cs="Arial"/>
          <w:b/>
          <w:bCs/>
          <w:i/>
        </w:rPr>
        <w:t>(Énfasis añadido)</w:t>
      </w:r>
    </w:p>
    <w:p w:rsidR="00D771ED" w:rsidRPr="00874AFB"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874AF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74AF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874AFB">
        <w:rPr>
          <w:rFonts w:ascii="Palatino Linotype" w:eastAsiaTheme="minorEastAsia" w:hAnsi="Palatino Linotype" w:cs="Arial"/>
          <w:i/>
          <w:lang w:val="es-ES_tradnl" w:eastAsia="es-ES"/>
        </w:rPr>
        <w:t>por los principios de simplicidad, rapidez gratuidad del procedimiento, auxilio y orientación a los particulares</w:t>
      </w:r>
      <w:r w:rsidRPr="00874AFB">
        <w:rPr>
          <w:rFonts w:ascii="Palatino Linotype" w:eastAsiaTheme="minorEastAsia" w:hAnsi="Palatino Linotype" w:cs="Arial"/>
          <w:lang w:val="es-ES_tradnl" w:eastAsia="es-ES"/>
        </w:rPr>
        <w:t>, contemplando el derecho de las personas con discapacidad y hablantes de lengua indígena.</w:t>
      </w:r>
    </w:p>
    <w:p w:rsidR="00D771ED" w:rsidRPr="00874AFB"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874AF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74AF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74AFB">
        <w:rPr>
          <w:rFonts w:ascii="Palatino Linotype" w:eastAsiaTheme="minorEastAsia" w:hAnsi="Palatino Linotype" w:cs="Arial"/>
          <w:i/>
          <w:lang w:val="es-ES_tradnl" w:eastAsia="es-ES"/>
        </w:rPr>
        <w:t>solicitudes de acceso a la información</w:t>
      </w:r>
      <w:r w:rsidRPr="00874AFB">
        <w:rPr>
          <w:rFonts w:ascii="Palatino Linotype" w:eastAsiaTheme="minorEastAsia" w:hAnsi="Palatino Linotype" w:cs="Arial"/>
          <w:lang w:val="es-ES_tradnl" w:eastAsia="es-ES"/>
        </w:rPr>
        <w:t>.</w:t>
      </w:r>
    </w:p>
    <w:p w:rsidR="00D771ED" w:rsidRPr="00874AFB" w:rsidRDefault="00D771ED" w:rsidP="009B6FD5">
      <w:pPr>
        <w:spacing w:line="360" w:lineRule="auto"/>
        <w:ind w:right="49"/>
        <w:contextualSpacing/>
        <w:jc w:val="both"/>
        <w:rPr>
          <w:rFonts w:ascii="Palatino Linotype" w:eastAsiaTheme="minorEastAsia" w:hAnsi="Palatino Linotype"/>
          <w:lang w:val="es-ES_tradnl" w:eastAsia="es-ES"/>
        </w:rPr>
      </w:pPr>
    </w:p>
    <w:p w:rsidR="00D771ED" w:rsidRPr="00874AF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74AFB">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6D15E0" w:rsidRPr="00874AFB" w:rsidRDefault="006D15E0" w:rsidP="009B6FD5">
      <w:pPr>
        <w:spacing w:line="360" w:lineRule="auto"/>
        <w:ind w:right="49"/>
        <w:contextualSpacing/>
        <w:jc w:val="both"/>
        <w:rPr>
          <w:rFonts w:ascii="Palatino Linotype" w:eastAsiaTheme="minorEastAsia" w:hAnsi="Palatino Linotype" w:cs="Arial"/>
          <w:lang w:val="es-ES_tradnl" w:eastAsia="es-ES"/>
        </w:rPr>
      </w:pPr>
    </w:p>
    <w:p w:rsidR="002030FA" w:rsidRPr="00874AFB" w:rsidRDefault="00D64AFE" w:rsidP="009B6FD5">
      <w:pPr>
        <w:pStyle w:val="Ttulo1"/>
        <w:spacing w:before="0" w:line="360" w:lineRule="auto"/>
        <w:rPr>
          <w:rFonts w:ascii="Palatino Linotype" w:hAnsi="Palatino Linotype"/>
          <w:b/>
          <w:color w:val="auto"/>
          <w:sz w:val="24"/>
          <w:szCs w:val="24"/>
        </w:rPr>
      </w:pPr>
      <w:bookmarkStart w:id="20" w:name="_Toc80812777"/>
      <w:bookmarkStart w:id="21" w:name="_Toc83301641"/>
      <w:r w:rsidRPr="00874AFB">
        <w:rPr>
          <w:rFonts w:ascii="Palatino Linotype" w:hAnsi="Palatino Linotype"/>
          <w:b/>
          <w:color w:val="auto"/>
          <w:sz w:val="24"/>
          <w:szCs w:val="24"/>
        </w:rPr>
        <w:lastRenderedPageBreak/>
        <w:t xml:space="preserve">II. </w:t>
      </w:r>
      <w:r w:rsidR="00D771ED" w:rsidRPr="00874AFB">
        <w:rPr>
          <w:rFonts w:ascii="Palatino Linotype" w:hAnsi="Palatino Linotype"/>
          <w:b/>
          <w:color w:val="auto"/>
          <w:sz w:val="24"/>
          <w:szCs w:val="24"/>
        </w:rPr>
        <w:t>De la información solicitada y la respuesta del Sujeto Obligado.</w:t>
      </w:r>
      <w:bookmarkEnd w:id="20"/>
      <w:bookmarkEnd w:id="21"/>
    </w:p>
    <w:p w:rsidR="002030FA" w:rsidRPr="00874AFB" w:rsidRDefault="002030FA" w:rsidP="009B6FD5">
      <w:pPr>
        <w:spacing w:line="360" w:lineRule="auto"/>
        <w:ind w:right="49"/>
        <w:contextualSpacing/>
        <w:jc w:val="both"/>
        <w:rPr>
          <w:rFonts w:ascii="Palatino Linotype" w:eastAsiaTheme="minorEastAsia" w:hAnsi="Palatino Linotype"/>
          <w:lang w:val="es-ES_tradnl" w:eastAsia="es-ES"/>
        </w:rPr>
      </w:pPr>
    </w:p>
    <w:p w:rsidR="00A80D02" w:rsidRPr="00874AFB" w:rsidRDefault="002030FA"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74AFB">
        <w:rPr>
          <w:rFonts w:ascii="Palatino Linotype" w:eastAsia="Cambria" w:hAnsi="Palatino Linotype" w:cs="Arial"/>
        </w:rPr>
        <w:t xml:space="preserve">Se </w:t>
      </w:r>
      <w:r w:rsidR="00D771ED" w:rsidRPr="00874AFB">
        <w:rPr>
          <w:rFonts w:ascii="Palatino Linotype" w:eastAsia="Cambria" w:hAnsi="Palatino Linotype" w:cs="Arial"/>
        </w:rPr>
        <w:t xml:space="preserve">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00D771ED" w:rsidRPr="00874AFB">
        <w:rPr>
          <w:rFonts w:ascii="Palatino Linotype" w:eastAsia="Calibri" w:hAnsi="Palatino Linotype" w:cs="Arial"/>
          <w:lang w:val="es-ES"/>
        </w:rPr>
        <w:t>Ley de Transparencia y Acceso a la Información Pública del Estado de México y Municipios</w:t>
      </w:r>
      <w:r w:rsidR="00D771ED" w:rsidRPr="00874AFB">
        <w:rPr>
          <w:rFonts w:ascii="Palatino Linotype" w:hAnsi="Palatino Linotype" w:cs="Arial"/>
          <w:lang w:val="es-ES"/>
        </w:rPr>
        <w:t>.</w:t>
      </w:r>
    </w:p>
    <w:p w:rsidR="00D771ED" w:rsidRPr="00874AFB" w:rsidRDefault="00D771ED" w:rsidP="009B6FD5">
      <w:pPr>
        <w:spacing w:line="360" w:lineRule="auto"/>
        <w:ind w:right="49"/>
        <w:contextualSpacing/>
        <w:jc w:val="both"/>
        <w:rPr>
          <w:rFonts w:ascii="Palatino Linotype" w:eastAsiaTheme="minorEastAsia" w:hAnsi="Palatino Linotype"/>
          <w:lang w:val="es-ES_tradnl" w:eastAsia="es-ES"/>
        </w:rPr>
      </w:pPr>
    </w:p>
    <w:p w:rsidR="00B00F9B" w:rsidRPr="00874AFB" w:rsidRDefault="00D771ED" w:rsidP="007C5B27">
      <w:pPr>
        <w:numPr>
          <w:ilvl w:val="0"/>
          <w:numId w:val="1"/>
        </w:numPr>
        <w:spacing w:line="360" w:lineRule="auto"/>
        <w:ind w:left="0" w:firstLine="0"/>
        <w:rPr>
          <w:rFonts w:ascii="Palatino Linotype" w:eastAsia="MS Gothic" w:hAnsi="Palatino Linotype" w:cstheme="majorBidi"/>
          <w:i/>
          <w:lang w:val="es-ES_tradnl" w:eastAsia="es-ES"/>
        </w:rPr>
      </w:pPr>
      <w:r w:rsidRPr="00874AFB">
        <w:rPr>
          <w:rFonts w:ascii="Palatino Linotype" w:hAnsi="Palatino Linotype" w:cs="Arial"/>
          <w:lang w:val="es-ES"/>
        </w:rPr>
        <w:t>En est</w:t>
      </w:r>
      <w:r w:rsidR="007C5B27" w:rsidRPr="00874AFB">
        <w:rPr>
          <w:rFonts w:ascii="Palatino Linotype" w:hAnsi="Palatino Linotype" w:cs="Arial"/>
          <w:lang w:val="es-ES"/>
        </w:rPr>
        <w:t xml:space="preserve">e caso, el particular  solicitó los </w:t>
      </w:r>
      <w:r w:rsidR="007C5B27" w:rsidRPr="00874AFB">
        <w:rPr>
          <w:rFonts w:ascii="Palatino Linotype" w:eastAsia="MS Gothic" w:hAnsi="Palatino Linotype" w:cstheme="majorBidi"/>
          <w:lang w:eastAsia="es-ES"/>
        </w:rPr>
        <w:t>comprobantes</w:t>
      </w:r>
      <w:r w:rsidR="0073692D" w:rsidRPr="00874AFB">
        <w:rPr>
          <w:rFonts w:ascii="Palatino Linotype" w:eastAsia="MS Gothic" w:hAnsi="Palatino Linotype" w:cstheme="majorBidi"/>
          <w:lang w:eastAsia="es-ES"/>
        </w:rPr>
        <w:t xml:space="preserve"> digitales por concepto de nómina de</w:t>
      </w:r>
      <w:r w:rsidR="007C5B27" w:rsidRPr="00874AFB">
        <w:rPr>
          <w:rFonts w:ascii="Palatino Linotype" w:eastAsia="MS Gothic" w:hAnsi="Palatino Linotype" w:cstheme="majorBidi"/>
          <w:lang w:eastAsia="es-ES"/>
        </w:rPr>
        <w:t xml:space="preserve"> la segunda quincena de julio de dos mil veintidós, pólizas de egresos o cheque donde se realizó el pago de nómina y el reporte de nómina detallada de la segunda quince de julio de dos mil veintidós. </w:t>
      </w:r>
    </w:p>
    <w:p w:rsidR="007C5B27" w:rsidRPr="00874AFB" w:rsidRDefault="007C5B27" w:rsidP="007C5B27">
      <w:pPr>
        <w:spacing w:line="360" w:lineRule="auto"/>
        <w:ind w:right="49"/>
        <w:contextualSpacing/>
        <w:jc w:val="both"/>
        <w:rPr>
          <w:rFonts w:ascii="Palatino Linotype" w:eastAsia="MS Gothic" w:hAnsi="Palatino Linotype" w:cstheme="majorBidi"/>
          <w:i/>
          <w:lang w:val="es-ES_tradnl" w:eastAsia="es-ES"/>
        </w:rPr>
      </w:pPr>
    </w:p>
    <w:p w:rsidR="007C5B27" w:rsidRPr="00874AFB" w:rsidRDefault="007C5B27" w:rsidP="007C5B2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874AFB">
        <w:rPr>
          <w:rFonts w:ascii="Palatino Linotype" w:eastAsia="MS Gothic" w:hAnsi="Palatino Linotype" w:cstheme="majorBidi"/>
          <w:iCs/>
          <w:lang w:eastAsia="es-ES"/>
        </w:rPr>
        <w:t xml:space="preserve">En respuesta, el SUJETO OBLIGADO manifestó de forma medular, que al tratarse de información de importancia, se debe contar con la autorización del personal para su publicación.  </w:t>
      </w:r>
    </w:p>
    <w:p w:rsidR="007C5B27" w:rsidRPr="00874AFB" w:rsidRDefault="007C5B27" w:rsidP="007C5B27">
      <w:pPr>
        <w:pStyle w:val="Prrafodelista"/>
        <w:tabs>
          <w:tab w:val="left" w:pos="567"/>
        </w:tabs>
        <w:spacing w:line="360" w:lineRule="auto"/>
        <w:ind w:left="0"/>
        <w:jc w:val="both"/>
        <w:rPr>
          <w:rFonts w:ascii="Palatino Linotype" w:eastAsia="Calibri" w:hAnsi="Palatino Linotype" w:cs="Arial"/>
          <w:sz w:val="24"/>
        </w:rPr>
      </w:pPr>
    </w:p>
    <w:p w:rsidR="009A5185" w:rsidRPr="00874AFB" w:rsidRDefault="007C5B27" w:rsidP="009A5185">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874AFB">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 que indicó que no podía entregarla ya que necesita autorización del personal para su publicación. </w:t>
      </w:r>
    </w:p>
    <w:p w:rsidR="009A5185" w:rsidRPr="00874AFB" w:rsidRDefault="009A5185" w:rsidP="009A5185">
      <w:pPr>
        <w:pStyle w:val="Prrafodelista"/>
        <w:numPr>
          <w:ilvl w:val="0"/>
          <w:numId w:val="1"/>
        </w:numPr>
        <w:spacing w:line="360" w:lineRule="auto"/>
        <w:ind w:left="0" w:firstLine="0"/>
        <w:jc w:val="both"/>
        <w:rPr>
          <w:rFonts w:ascii="Palatino Linotype" w:hAnsi="Palatino Linotype"/>
          <w:color w:val="000000" w:themeColor="text1"/>
          <w:sz w:val="24"/>
        </w:rPr>
      </w:pPr>
      <w:r w:rsidRPr="00874AFB">
        <w:rPr>
          <w:rFonts w:ascii="Palatino Linotype" w:hAnsi="Palatino Linotype"/>
          <w:color w:val="000000" w:themeColor="text1"/>
          <w:sz w:val="24"/>
        </w:rPr>
        <w:lastRenderedPageBreak/>
        <w:t xml:space="preserve">Por lo que, al haber asumido </w:t>
      </w:r>
      <w:r w:rsidRPr="00874AFB">
        <w:rPr>
          <w:rFonts w:ascii="Palatino Linotype" w:hAnsi="Palatino Linotype"/>
          <w:b/>
          <w:bCs/>
          <w:color w:val="000000" w:themeColor="text1"/>
          <w:sz w:val="24"/>
        </w:rPr>
        <w:t>EL SUJETO OBLIGADO</w:t>
      </w:r>
      <w:r w:rsidRPr="00874AFB">
        <w:rPr>
          <w:rFonts w:ascii="Palatino Linotype" w:hAnsi="Palatino Linotype"/>
          <w:color w:val="000000" w:themeColor="text1"/>
          <w:sz w:val="24"/>
        </w:rPr>
        <w:t xml:space="preserve"> contar con la información pública solicitada, aceptó que genera, posee y administra dicha información en el ejercicio de sus funciones de derecho público, motivo por el cual se actualiza el supuesto jurídico, previsto en el artículo 12 de la Ley de Transparencia y Acceso a la Información Pública del Estado de México y Municipios, que a la letra señala:</w:t>
      </w:r>
    </w:p>
    <w:p w:rsidR="009A5185" w:rsidRPr="00874AFB" w:rsidRDefault="009A5185" w:rsidP="009A5185">
      <w:pPr>
        <w:pStyle w:val="Prrafodelista"/>
        <w:ind w:left="644"/>
        <w:jc w:val="both"/>
        <w:rPr>
          <w:rFonts w:ascii="Palatino Linotype" w:hAnsi="Palatino Linotype"/>
          <w:color w:val="000000" w:themeColor="text1"/>
        </w:rPr>
      </w:pPr>
    </w:p>
    <w:p w:rsidR="009A5185" w:rsidRPr="00874AFB" w:rsidRDefault="009A5185" w:rsidP="009A5185">
      <w:pPr>
        <w:pStyle w:val="Prrafodelista"/>
        <w:shd w:val="clear" w:color="auto" w:fill="FFFFFF"/>
        <w:spacing w:line="360" w:lineRule="auto"/>
        <w:ind w:left="851" w:right="902"/>
        <w:jc w:val="both"/>
        <w:rPr>
          <w:rFonts w:ascii="Palatino Linotype" w:hAnsi="Palatino Linotype"/>
          <w:color w:val="000000" w:themeColor="text1"/>
        </w:rPr>
      </w:pPr>
      <w:r w:rsidRPr="00874AFB">
        <w:rPr>
          <w:rFonts w:ascii="Palatino Linotype" w:hAnsi="Palatino Linotype"/>
          <w:i/>
          <w:iCs/>
          <w:color w:val="000000" w:themeColor="text1"/>
          <w:szCs w:val="22"/>
        </w:rPr>
        <w:t>“</w:t>
      </w:r>
      <w:r w:rsidRPr="00874AFB">
        <w:rPr>
          <w:rFonts w:ascii="Palatino Linotype" w:hAnsi="Palatino Linotype"/>
          <w:b/>
          <w:bCs/>
          <w:i/>
          <w:iCs/>
          <w:color w:val="000000" w:themeColor="text1"/>
          <w:szCs w:val="22"/>
        </w:rPr>
        <w:t>Artículo 12.</w:t>
      </w:r>
      <w:r w:rsidRPr="00874AFB">
        <w:rPr>
          <w:rFonts w:ascii="Palatino Linotype" w:hAnsi="Palatino Linotype"/>
          <w:i/>
          <w:iCs/>
          <w:color w:val="000000" w:themeColor="text1"/>
          <w:szCs w:val="22"/>
        </w:rPr>
        <w:t> Quienes generen, recopilen, administren, manejen, procesen, archiven o conserven información pública serán responsables de la misma en los términos de las disposiciones jurídicas aplicables.</w:t>
      </w:r>
    </w:p>
    <w:p w:rsidR="009A5185" w:rsidRPr="00874AFB" w:rsidRDefault="009A5185" w:rsidP="009A5185">
      <w:pPr>
        <w:pStyle w:val="Prrafodelista"/>
        <w:shd w:val="clear" w:color="auto" w:fill="FFFFFF"/>
        <w:spacing w:line="360" w:lineRule="auto"/>
        <w:ind w:left="851" w:right="902"/>
        <w:jc w:val="both"/>
        <w:rPr>
          <w:rFonts w:ascii="Palatino Linotype" w:hAnsi="Palatino Linotype"/>
          <w:i/>
          <w:iCs/>
          <w:color w:val="000000" w:themeColor="text1"/>
          <w:szCs w:val="22"/>
        </w:rPr>
      </w:pPr>
      <w:r w:rsidRPr="00874AFB">
        <w:rPr>
          <w:rFonts w:ascii="Palatino Linotype" w:hAnsi="Palatino Linotype"/>
          <w:b/>
          <w:i/>
          <w:iCs/>
          <w:color w:val="000000" w:themeColor="text1"/>
          <w:szCs w:val="22"/>
        </w:rPr>
        <w:t>Los sujetos obligados sólo proporcionarán la información pública que se les requiera y que obre en sus archivos y en el estado en que ésta se encuentre.</w:t>
      </w:r>
      <w:r w:rsidRPr="00874AFB">
        <w:rPr>
          <w:rFonts w:ascii="Palatino Linotype" w:hAnsi="Palatino Linotype"/>
          <w:i/>
          <w:iCs/>
          <w:color w:val="000000" w:themeColor="text1"/>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9A5185" w:rsidRPr="00874AFB" w:rsidRDefault="009A5185" w:rsidP="009A5185">
      <w:pPr>
        <w:pStyle w:val="Prrafodelista"/>
        <w:shd w:val="clear" w:color="auto" w:fill="FFFFFF"/>
        <w:ind w:left="644" w:right="902"/>
        <w:jc w:val="both"/>
        <w:rPr>
          <w:rFonts w:ascii="Palatino Linotype" w:hAnsi="Palatino Linotype"/>
          <w:i/>
          <w:iCs/>
          <w:color w:val="000000" w:themeColor="text1"/>
          <w:szCs w:val="22"/>
        </w:rPr>
      </w:pPr>
    </w:p>
    <w:p w:rsidR="009A5185" w:rsidRPr="00874AFB" w:rsidRDefault="009A5185" w:rsidP="009A5185">
      <w:pPr>
        <w:numPr>
          <w:ilvl w:val="0"/>
          <w:numId w:val="1"/>
        </w:numPr>
        <w:spacing w:line="360" w:lineRule="auto"/>
        <w:ind w:left="0" w:right="49" w:firstLine="0"/>
        <w:contextualSpacing/>
        <w:jc w:val="both"/>
        <w:rPr>
          <w:rFonts w:ascii="Palatino Linotype" w:hAnsi="Palatino Linotype" w:cs="Arial"/>
          <w:bCs/>
          <w:szCs w:val="28"/>
        </w:rPr>
      </w:pPr>
      <w:r w:rsidRPr="00874AFB">
        <w:rPr>
          <w:rFonts w:ascii="Palatino Linotype" w:hAnsi="Palatino Linotype" w:cs="Arial"/>
          <w:szCs w:val="28"/>
        </w:rPr>
        <w:t xml:space="preserve">Puntualizado lo anterior, </w:t>
      </w:r>
      <w:r w:rsidRPr="00874AFB">
        <w:rPr>
          <w:rFonts w:ascii="Palatino Linotype" w:hAnsi="Palatino Linotype" w:cs="Arial"/>
          <w:bCs/>
          <w:szCs w:val="28"/>
        </w:rPr>
        <w:t xml:space="preserve">resulta necesario </w:t>
      </w:r>
      <w:r w:rsidR="009E07E9" w:rsidRPr="00874AFB">
        <w:rPr>
          <w:rFonts w:ascii="Palatino Linotype" w:hAnsi="Palatino Linotype" w:cs="Arial"/>
          <w:bCs/>
          <w:szCs w:val="28"/>
        </w:rPr>
        <w:t xml:space="preserve">establecer el concepto de nómina localizado en el </w:t>
      </w:r>
      <w:r w:rsidRPr="00874AFB">
        <w:rPr>
          <w:rFonts w:ascii="Palatino Linotype" w:hAnsi="Palatino Linotype" w:cs="Arial"/>
          <w:szCs w:val="28"/>
          <w:lang w:val="es-ES"/>
        </w:rPr>
        <w:t xml:space="preserve"> Glosario localizado en la página de Transparencia Presupuestaria de la Secretaría de Hacienda y Crédito Público (</w:t>
      </w:r>
      <w:hyperlink r:id="rId9" w:history="1">
        <w:r w:rsidRPr="00874AFB">
          <w:rPr>
            <w:rStyle w:val="Hipervnculo"/>
            <w:rFonts w:ascii="Palatino Linotype" w:hAnsi="Palatino Linotype" w:cs="Arial"/>
            <w:szCs w:val="28"/>
            <w:lang w:val="es-ES"/>
          </w:rPr>
          <w:t>http://www.transparenciapresupuestaria.gob.mx/es/PTP/Glosario</w:t>
        </w:r>
      </w:hyperlink>
      <w:r w:rsidRPr="00874AFB">
        <w:rPr>
          <w:rFonts w:ascii="Palatino Linotype" w:hAnsi="Palatino Linotype" w:cs="Arial"/>
          <w:szCs w:val="28"/>
          <w:lang w:val="es-ES"/>
        </w:rPr>
        <w:t xml:space="preserve">, </w:t>
      </w:r>
      <w:r w:rsidR="009E07E9" w:rsidRPr="00874AFB">
        <w:rPr>
          <w:rFonts w:ascii="Palatino Linotype" w:hAnsi="Palatino Linotype" w:cs="Arial"/>
          <w:szCs w:val="28"/>
          <w:lang w:val="es-ES"/>
        </w:rPr>
        <w:t>que refiere que</w:t>
      </w:r>
      <w:r w:rsidRPr="00874AFB">
        <w:rPr>
          <w:rFonts w:ascii="Palatino Linotype" w:hAnsi="Palatino Linotype" w:cs="Arial"/>
          <w:szCs w:val="28"/>
          <w:lang w:val="es-ES"/>
        </w:rPr>
        <w:t xml:space="preserve">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009A5185" w:rsidRPr="00874AFB" w:rsidRDefault="009A5185" w:rsidP="009A5185">
      <w:pPr>
        <w:spacing w:line="360" w:lineRule="auto"/>
        <w:ind w:right="49"/>
        <w:contextualSpacing/>
        <w:jc w:val="both"/>
        <w:rPr>
          <w:rFonts w:ascii="Palatino Linotype" w:hAnsi="Palatino Linotype" w:cs="Arial"/>
          <w:bCs/>
          <w:szCs w:val="28"/>
        </w:rPr>
      </w:pPr>
    </w:p>
    <w:p w:rsidR="009A5185" w:rsidRPr="00874AFB" w:rsidRDefault="009A5185" w:rsidP="009A5185">
      <w:pPr>
        <w:pStyle w:val="Prrafodelista"/>
        <w:numPr>
          <w:ilvl w:val="0"/>
          <w:numId w:val="1"/>
        </w:numPr>
        <w:spacing w:line="360" w:lineRule="auto"/>
        <w:ind w:left="0" w:firstLine="0"/>
        <w:jc w:val="both"/>
        <w:rPr>
          <w:rFonts w:ascii="Palatino Linotype" w:hAnsi="Palatino Linotype" w:cs="Tahoma"/>
          <w:sz w:val="24"/>
          <w:szCs w:val="22"/>
          <w:lang w:val="es-ES"/>
        </w:rPr>
      </w:pPr>
      <w:r w:rsidRPr="00874AFB">
        <w:rPr>
          <w:rFonts w:ascii="Palatino Linotype" w:hAnsi="Palatino Linotype" w:cs="Tahoma"/>
          <w:sz w:val="24"/>
          <w:szCs w:val="22"/>
          <w:lang w:val="es-ES"/>
        </w:rPr>
        <w:lastRenderedPageBreak/>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rsidR="009A5185" w:rsidRPr="00874AFB" w:rsidRDefault="009A5185" w:rsidP="009A5185">
      <w:pPr>
        <w:pStyle w:val="Prrafodelista"/>
        <w:spacing w:line="360" w:lineRule="auto"/>
        <w:ind w:left="0"/>
        <w:jc w:val="both"/>
        <w:rPr>
          <w:rFonts w:ascii="Palatino Linotype" w:hAnsi="Palatino Linotype" w:cs="Tahoma"/>
          <w:sz w:val="24"/>
          <w:szCs w:val="22"/>
          <w:lang w:val="es-ES"/>
        </w:rPr>
      </w:pPr>
    </w:p>
    <w:p w:rsidR="009A5185" w:rsidRPr="00874AFB" w:rsidRDefault="009A5185" w:rsidP="009A5185">
      <w:pPr>
        <w:pStyle w:val="Prrafodelista"/>
        <w:numPr>
          <w:ilvl w:val="0"/>
          <w:numId w:val="1"/>
        </w:numPr>
        <w:spacing w:line="360" w:lineRule="auto"/>
        <w:ind w:left="0" w:firstLine="0"/>
        <w:jc w:val="both"/>
        <w:rPr>
          <w:rFonts w:ascii="Palatino Linotype" w:hAnsi="Palatino Linotype" w:cs="Tahoma"/>
          <w:sz w:val="24"/>
          <w:szCs w:val="22"/>
          <w:lang w:val="es-ES"/>
        </w:rPr>
      </w:pPr>
      <w:r w:rsidRPr="00874AFB">
        <w:rPr>
          <w:rFonts w:ascii="Palatino Linotype" w:hAnsi="Palatino Linotype" w:cs="Tahoma"/>
          <w:sz w:val="24"/>
          <w:szCs w:val="22"/>
          <w:lang w:val="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9A5185" w:rsidRPr="00874AFB" w:rsidRDefault="009A5185" w:rsidP="009A5185">
      <w:pPr>
        <w:pStyle w:val="Prrafodelista"/>
        <w:spacing w:line="360" w:lineRule="auto"/>
        <w:ind w:left="0"/>
        <w:jc w:val="both"/>
        <w:rPr>
          <w:rFonts w:ascii="Palatino Linotype" w:hAnsi="Palatino Linotype" w:cs="Tahoma"/>
          <w:sz w:val="24"/>
          <w:szCs w:val="22"/>
          <w:lang w:val="es-ES"/>
        </w:rPr>
      </w:pPr>
    </w:p>
    <w:p w:rsidR="009A5185" w:rsidRPr="00874AFB" w:rsidRDefault="009A5185" w:rsidP="009A5185">
      <w:pPr>
        <w:pStyle w:val="Prrafodelista"/>
        <w:numPr>
          <w:ilvl w:val="0"/>
          <w:numId w:val="1"/>
        </w:numPr>
        <w:spacing w:line="360" w:lineRule="auto"/>
        <w:ind w:left="0" w:firstLine="0"/>
        <w:jc w:val="both"/>
        <w:rPr>
          <w:rFonts w:ascii="Palatino Linotype" w:hAnsi="Palatino Linotype" w:cs="Tahoma"/>
          <w:sz w:val="24"/>
          <w:szCs w:val="22"/>
          <w:lang w:val="es-ES"/>
        </w:rPr>
      </w:pPr>
      <w:r w:rsidRPr="00874AFB">
        <w:rPr>
          <w:rFonts w:ascii="Palatino Linotype" w:hAnsi="Palatino Linotype" w:cs="Tahoma"/>
          <w:sz w:val="24"/>
          <w:szCs w:val="22"/>
          <w:lang w:val="es-ES"/>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9A5185" w:rsidRPr="00874AFB" w:rsidRDefault="009A5185" w:rsidP="009A5185">
      <w:pPr>
        <w:pStyle w:val="Prrafodelista"/>
        <w:spacing w:line="360" w:lineRule="auto"/>
        <w:ind w:left="644"/>
        <w:jc w:val="both"/>
        <w:rPr>
          <w:rFonts w:ascii="Palatino Linotype" w:hAnsi="Palatino Linotype" w:cs="Tahoma"/>
          <w:szCs w:val="22"/>
          <w:lang w:val="es-ES"/>
        </w:rPr>
      </w:pPr>
    </w:p>
    <w:p w:rsidR="009A5185" w:rsidRPr="00874AFB" w:rsidRDefault="009A5185" w:rsidP="009A5185">
      <w:pPr>
        <w:pStyle w:val="Prrafodelista"/>
        <w:spacing w:line="360" w:lineRule="auto"/>
        <w:ind w:left="644" w:right="539"/>
        <w:jc w:val="both"/>
        <w:rPr>
          <w:rFonts w:ascii="Palatino Linotype" w:hAnsi="Palatino Linotype" w:cs="Tahoma"/>
          <w:i/>
          <w:szCs w:val="22"/>
          <w:lang w:val="es-ES"/>
        </w:rPr>
      </w:pPr>
      <w:r w:rsidRPr="00874AFB">
        <w:rPr>
          <w:rFonts w:ascii="Palatino Linotype" w:hAnsi="Palatino Linotype" w:cs="Tahoma"/>
          <w:b/>
          <w:i/>
          <w:szCs w:val="22"/>
          <w:lang w:val="es-ES"/>
        </w:rPr>
        <w:t>ARTÍCULO 220 K.-</w:t>
      </w:r>
      <w:r w:rsidRPr="00874AFB">
        <w:rPr>
          <w:rFonts w:ascii="Palatino Linotype" w:hAnsi="Palatino Linotype" w:cs="Tahoma"/>
          <w:i/>
          <w:szCs w:val="22"/>
          <w:lang w:val="es-ES"/>
        </w:rPr>
        <w:t xml:space="preserve"> La institución o dependencia pública tiene la obligación de conservar y exhibir en el proceso los documentos que a continuación se precisan:</w:t>
      </w:r>
    </w:p>
    <w:p w:rsidR="009A5185" w:rsidRPr="00874AFB" w:rsidRDefault="009A5185" w:rsidP="009A5185">
      <w:pPr>
        <w:pStyle w:val="Prrafodelista"/>
        <w:spacing w:line="360" w:lineRule="auto"/>
        <w:ind w:left="644" w:right="539"/>
        <w:jc w:val="both"/>
        <w:rPr>
          <w:rFonts w:ascii="Palatino Linotype" w:hAnsi="Palatino Linotype" w:cs="Tahoma"/>
          <w:i/>
          <w:szCs w:val="22"/>
          <w:lang w:val="es-ES"/>
        </w:rPr>
      </w:pPr>
      <w:r w:rsidRPr="00874AFB">
        <w:rPr>
          <w:rFonts w:ascii="Palatino Linotype" w:hAnsi="Palatino Linotype" w:cs="Tahoma"/>
          <w:i/>
          <w:szCs w:val="22"/>
          <w:lang w:val="es-ES"/>
        </w:rPr>
        <w:t>I. Contratos, Nombramientos o Formato Único de Movimientos de Personal, cuando no exista Convenio de condiciones generales de trabajo aplicable;</w:t>
      </w:r>
    </w:p>
    <w:p w:rsidR="009A5185" w:rsidRPr="00874AFB" w:rsidRDefault="009A5185" w:rsidP="009A5185">
      <w:pPr>
        <w:pStyle w:val="Prrafodelista"/>
        <w:spacing w:line="360" w:lineRule="auto"/>
        <w:ind w:left="644" w:right="539"/>
        <w:jc w:val="both"/>
        <w:rPr>
          <w:rFonts w:ascii="Palatino Linotype" w:hAnsi="Palatino Linotype" w:cs="Tahoma"/>
          <w:i/>
          <w:szCs w:val="22"/>
          <w:lang w:val="es-ES"/>
        </w:rPr>
      </w:pPr>
      <w:r w:rsidRPr="00874AFB">
        <w:rPr>
          <w:rFonts w:ascii="Palatino Linotype" w:hAnsi="Palatino Linotype" w:cs="Tahoma"/>
          <w:i/>
          <w:szCs w:val="22"/>
          <w:lang w:val="es-ES"/>
        </w:rPr>
        <w:t>II. Recibos de pagos de salarios o las constancias documentales del pago de salario cuando sea por depósito o mediante información electrónica;</w:t>
      </w:r>
    </w:p>
    <w:p w:rsidR="009A5185" w:rsidRPr="00874AFB" w:rsidRDefault="009A5185" w:rsidP="009A5185">
      <w:pPr>
        <w:pStyle w:val="Prrafodelista"/>
        <w:spacing w:line="360" w:lineRule="auto"/>
        <w:ind w:left="644" w:right="539"/>
        <w:jc w:val="both"/>
        <w:rPr>
          <w:rFonts w:ascii="Palatino Linotype" w:hAnsi="Palatino Linotype" w:cs="Tahoma"/>
          <w:i/>
          <w:szCs w:val="22"/>
          <w:lang w:val="es-ES"/>
        </w:rPr>
      </w:pPr>
      <w:r w:rsidRPr="00874AFB">
        <w:rPr>
          <w:rFonts w:ascii="Palatino Linotype" w:hAnsi="Palatino Linotype" w:cs="Tahoma"/>
          <w:i/>
          <w:szCs w:val="22"/>
          <w:lang w:val="es-ES"/>
        </w:rPr>
        <w:t>III. Controles de asistencia o la información magnética o electrónica de asistencia de los servidores públicos;</w:t>
      </w:r>
    </w:p>
    <w:p w:rsidR="009A5185" w:rsidRPr="00874AFB" w:rsidRDefault="009A5185" w:rsidP="009A5185">
      <w:pPr>
        <w:pStyle w:val="Prrafodelista"/>
        <w:spacing w:line="360" w:lineRule="auto"/>
        <w:ind w:left="644" w:right="539"/>
        <w:jc w:val="both"/>
        <w:rPr>
          <w:rFonts w:ascii="Palatino Linotype" w:hAnsi="Palatino Linotype" w:cs="Tahoma"/>
          <w:i/>
          <w:szCs w:val="22"/>
          <w:lang w:val="es-ES"/>
        </w:rPr>
      </w:pPr>
      <w:r w:rsidRPr="00874AFB">
        <w:rPr>
          <w:rFonts w:ascii="Palatino Linotype" w:hAnsi="Palatino Linotype" w:cs="Tahoma"/>
          <w:i/>
          <w:szCs w:val="22"/>
          <w:lang w:val="es-ES"/>
        </w:rPr>
        <w:lastRenderedPageBreak/>
        <w:t>IV. Recibos o las constancias de depósito o del medio de información magnética o electrónica que sean utilizadas para el pago de salarios, prima vacacional, aguinaldo y demás prestaciones establecidas en la presente ley; y</w:t>
      </w:r>
    </w:p>
    <w:p w:rsidR="009A5185" w:rsidRPr="00874AFB" w:rsidRDefault="009A5185" w:rsidP="009A5185">
      <w:pPr>
        <w:pStyle w:val="Prrafodelista"/>
        <w:spacing w:line="360" w:lineRule="auto"/>
        <w:ind w:left="644" w:right="539"/>
        <w:jc w:val="both"/>
        <w:rPr>
          <w:rFonts w:ascii="Palatino Linotype" w:hAnsi="Palatino Linotype" w:cs="Tahoma"/>
          <w:i/>
          <w:szCs w:val="22"/>
          <w:lang w:val="es-ES"/>
        </w:rPr>
      </w:pPr>
      <w:r w:rsidRPr="00874AFB">
        <w:rPr>
          <w:rFonts w:ascii="Palatino Linotype" w:hAnsi="Palatino Linotype" w:cs="Tahoma"/>
          <w:i/>
          <w:szCs w:val="22"/>
          <w:lang w:val="es-ES"/>
        </w:rPr>
        <w:t>V. Los demás que señalen las leyes.</w:t>
      </w:r>
    </w:p>
    <w:p w:rsidR="009A5185" w:rsidRPr="00874AFB" w:rsidRDefault="009A5185" w:rsidP="009A5185">
      <w:pPr>
        <w:pStyle w:val="Prrafodelista"/>
        <w:spacing w:line="360" w:lineRule="auto"/>
        <w:ind w:left="644" w:right="539"/>
        <w:jc w:val="both"/>
        <w:rPr>
          <w:rFonts w:ascii="Palatino Linotype" w:hAnsi="Palatino Linotype" w:cs="Tahoma"/>
          <w:i/>
          <w:szCs w:val="22"/>
          <w:lang w:val="es-ES"/>
        </w:rPr>
      </w:pPr>
      <w:r w:rsidRPr="00874AFB">
        <w:rPr>
          <w:rFonts w:ascii="Palatino Linotype" w:hAnsi="Palatino Linotype" w:cs="Tahoma"/>
          <w:i/>
          <w:szCs w:val="22"/>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9A5185" w:rsidRPr="00874AFB" w:rsidRDefault="009A5185" w:rsidP="009A5185">
      <w:pPr>
        <w:pStyle w:val="Prrafodelista"/>
        <w:spacing w:line="360" w:lineRule="auto"/>
        <w:ind w:left="644" w:right="539"/>
        <w:jc w:val="both"/>
        <w:rPr>
          <w:rFonts w:ascii="Palatino Linotype" w:hAnsi="Palatino Linotype" w:cs="Tahoma"/>
          <w:i/>
          <w:szCs w:val="22"/>
          <w:lang w:val="es-ES"/>
        </w:rPr>
      </w:pPr>
      <w:r w:rsidRPr="00874AFB">
        <w:rPr>
          <w:rFonts w:ascii="Palatino Linotype" w:hAnsi="Palatino Linotype" w:cs="Tahoma"/>
          <w:i/>
          <w:szCs w:val="22"/>
          <w:lang w:val="es-ES"/>
        </w:rPr>
        <w:t>…”</w:t>
      </w:r>
    </w:p>
    <w:p w:rsidR="009A5185" w:rsidRPr="00874AFB" w:rsidRDefault="009A5185" w:rsidP="009A5185">
      <w:pPr>
        <w:pStyle w:val="Prrafodelista"/>
        <w:spacing w:line="360" w:lineRule="auto"/>
        <w:ind w:left="644"/>
        <w:jc w:val="both"/>
        <w:rPr>
          <w:rFonts w:ascii="Palatino Linotype" w:hAnsi="Palatino Linotype" w:cs="Tahoma"/>
          <w:szCs w:val="22"/>
          <w:lang w:val="es-ES"/>
        </w:rPr>
      </w:pPr>
    </w:p>
    <w:p w:rsidR="00081119" w:rsidRPr="00874AFB" w:rsidRDefault="009A5185" w:rsidP="00081119">
      <w:pPr>
        <w:pStyle w:val="Prrafodelista"/>
        <w:numPr>
          <w:ilvl w:val="0"/>
          <w:numId w:val="1"/>
        </w:numPr>
        <w:spacing w:line="360" w:lineRule="auto"/>
        <w:ind w:left="0" w:firstLine="0"/>
        <w:jc w:val="both"/>
        <w:rPr>
          <w:rFonts w:ascii="Palatino Linotype" w:hAnsi="Palatino Linotype" w:cs="Tahoma"/>
          <w:sz w:val="24"/>
          <w:szCs w:val="22"/>
          <w:lang w:val="es-ES"/>
        </w:rPr>
      </w:pPr>
      <w:r w:rsidRPr="00874AFB">
        <w:rPr>
          <w:rFonts w:ascii="Palatino Linotype" w:hAnsi="Palatino Linotype" w:cs="Tahoma"/>
          <w:sz w:val="24"/>
          <w:szCs w:val="22"/>
          <w:lang w:val="es-ES"/>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rsidR="001F5905" w:rsidRPr="00874AFB" w:rsidRDefault="001F5905" w:rsidP="001F5905">
      <w:pPr>
        <w:pStyle w:val="Prrafodelista"/>
        <w:spacing w:line="360" w:lineRule="auto"/>
        <w:ind w:left="0"/>
        <w:jc w:val="both"/>
        <w:rPr>
          <w:rFonts w:ascii="Palatino Linotype" w:hAnsi="Palatino Linotype" w:cs="Tahoma"/>
          <w:sz w:val="24"/>
          <w:szCs w:val="22"/>
          <w:lang w:val="es-ES"/>
        </w:rPr>
      </w:pPr>
    </w:p>
    <w:p w:rsidR="001F5905" w:rsidRPr="00874AFB" w:rsidRDefault="001F5905" w:rsidP="001F5905">
      <w:pPr>
        <w:pStyle w:val="Prrafodelista"/>
        <w:numPr>
          <w:ilvl w:val="0"/>
          <w:numId w:val="1"/>
        </w:numPr>
        <w:spacing w:line="360" w:lineRule="auto"/>
        <w:ind w:left="0" w:firstLine="0"/>
        <w:jc w:val="both"/>
        <w:rPr>
          <w:rFonts w:ascii="Palatino Linotype" w:hAnsi="Palatino Linotype" w:cs="Tahoma"/>
          <w:bCs/>
          <w:sz w:val="24"/>
          <w:szCs w:val="22"/>
        </w:rPr>
      </w:pPr>
      <w:r w:rsidRPr="00874AFB">
        <w:rPr>
          <w:rFonts w:ascii="Palatino Linotype" w:hAnsi="Palatino Linotype" w:cs="Tahoma"/>
          <w:sz w:val="24"/>
          <w:szCs w:val="22"/>
          <w:lang w:val="es-ES"/>
        </w:rPr>
        <w:t>Aunado a lo anterior, el Órgano Superior de Fiscalización del Estado de México emitió para el año dos mil veintidós el Instructivo</w:t>
      </w:r>
      <w:r w:rsidRPr="00874AFB">
        <w:rPr>
          <w:rFonts w:ascii="Palatino Linotype" w:hAnsi="Palatino Linotype" w:cs="Tahoma"/>
          <w:sz w:val="24"/>
          <w:szCs w:val="22"/>
        </w:rPr>
        <w:t xml:space="preserve"> </w:t>
      </w:r>
      <w:r w:rsidRPr="00874AFB">
        <w:rPr>
          <w:rFonts w:ascii="Palatino Linotype" w:hAnsi="Palatino Linotype" w:cs="Tahoma"/>
          <w:bCs/>
          <w:sz w:val="24"/>
          <w:szCs w:val="22"/>
        </w:rPr>
        <w:t xml:space="preserve">para la Integración del Informe Trimestral de los Sujetos de Fiscalización Municipales, en el cual </w:t>
      </w:r>
      <w:r w:rsidRPr="00874AFB">
        <w:rPr>
          <w:rFonts w:ascii="Palatino Linotype" w:eastAsia="Calibri" w:hAnsi="Palatino Linotype" w:cs="Tahoma"/>
          <w:bCs/>
          <w:sz w:val="24"/>
          <w:szCs w:val="22"/>
          <w:lang w:val="es-ES_tradnl" w:eastAsia="en-US"/>
        </w:rPr>
        <w:t xml:space="preserve">se advierte que el Sujeto Obligado debe seguir lo señalado en </w:t>
      </w:r>
      <w:r w:rsidRPr="00874AFB">
        <w:rPr>
          <w:rFonts w:ascii="Palatino Linotype" w:hAnsi="Palatino Linotype" w:cs="Tahoma"/>
          <w:bCs/>
          <w:sz w:val="24"/>
          <w:szCs w:val="22"/>
        </w:rPr>
        <w:t xml:space="preserve">el </w:t>
      </w:r>
      <w:r w:rsidRPr="00874AFB">
        <w:rPr>
          <w:rFonts w:ascii="Palatino Linotype" w:hAnsi="Palatino Linotype" w:cs="Tahoma"/>
          <w:b/>
          <w:bCs/>
          <w:sz w:val="24"/>
          <w:szCs w:val="22"/>
        </w:rPr>
        <w:t>Módulo 4</w:t>
      </w:r>
      <w:r w:rsidRPr="00874AFB">
        <w:rPr>
          <w:rFonts w:ascii="Palatino Linotype" w:hAnsi="Palatino Linotype" w:cs="Tahoma"/>
          <w:bCs/>
          <w:sz w:val="24"/>
          <w:szCs w:val="22"/>
        </w:rPr>
        <w:t xml:space="preserve">, mismo que tiene como contenido el </w:t>
      </w:r>
      <w:proofErr w:type="spellStart"/>
      <w:r w:rsidRPr="00874AFB">
        <w:rPr>
          <w:rFonts w:ascii="Palatino Linotype" w:hAnsi="Palatino Linotype" w:cs="Tahoma"/>
          <w:b/>
          <w:bCs/>
          <w:sz w:val="24"/>
          <w:szCs w:val="22"/>
        </w:rPr>
        <w:t>Submódulo</w:t>
      </w:r>
      <w:proofErr w:type="spellEnd"/>
      <w:r w:rsidRPr="00874AFB">
        <w:rPr>
          <w:rFonts w:ascii="Palatino Linotype" w:hAnsi="Palatino Linotype" w:cs="Tahoma"/>
          <w:b/>
          <w:bCs/>
          <w:sz w:val="24"/>
          <w:szCs w:val="22"/>
        </w:rPr>
        <w:t xml:space="preserve"> Nómina y comprobantes fiscales</w:t>
      </w:r>
      <w:r w:rsidRPr="00874AFB">
        <w:rPr>
          <w:rFonts w:ascii="Palatino Linotype" w:hAnsi="Palatino Linotype" w:cs="Tahoma"/>
          <w:bCs/>
          <w:sz w:val="24"/>
          <w:szCs w:val="22"/>
        </w:rPr>
        <w:t xml:space="preserve">, el cual incluye la </w:t>
      </w:r>
      <w:r w:rsidRPr="00874AFB">
        <w:rPr>
          <w:rFonts w:ascii="Palatino Linotype" w:hAnsi="Palatino Linotype" w:cs="Tahoma"/>
          <w:bCs/>
          <w:sz w:val="24"/>
          <w:szCs w:val="22"/>
        </w:rPr>
        <w:lastRenderedPageBreak/>
        <w:t>conciliación den nómina y los comprobantes fiscales digitales por internet por concepto de nómina como se muestra a continuación:</w:t>
      </w:r>
    </w:p>
    <w:p w:rsidR="001F5905" w:rsidRPr="00874AFB" w:rsidRDefault="001F5905" w:rsidP="001F5905">
      <w:pPr>
        <w:pStyle w:val="Prrafodelista"/>
        <w:spacing w:line="360" w:lineRule="auto"/>
        <w:ind w:left="0"/>
        <w:jc w:val="both"/>
        <w:rPr>
          <w:rFonts w:ascii="Palatino Linotype" w:hAnsi="Palatino Linotype" w:cs="Tahoma"/>
          <w:bCs/>
          <w:szCs w:val="22"/>
        </w:rPr>
      </w:pPr>
    </w:p>
    <w:p w:rsidR="00081119" w:rsidRPr="00874AFB" w:rsidRDefault="001F5905" w:rsidP="001F5905">
      <w:pPr>
        <w:pStyle w:val="Prrafodelista"/>
        <w:spacing w:line="360" w:lineRule="auto"/>
        <w:ind w:left="0"/>
        <w:jc w:val="center"/>
        <w:rPr>
          <w:rFonts w:ascii="Palatino Linotype" w:hAnsi="Palatino Linotype" w:cs="Tahoma"/>
          <w:sz w:val="24"/>
          <w:szCs w:val="22"/>
          <w:lang w:val="es-ES"/>
        </w:rPr>
      </w:pPr>
      <w:r w:rsidRPr="00874AFB">
        <w:rPr>
          <w:noProof/>
        </w:rPr>
        <w:drawing>
          <wp:inline distT="0" distB="0" distL="0" distR="0" wp14:anchorId="3D45CE21" wp14:editId="74BC134D">
            <wp:extent cx="5228167" cy="3457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337" t="33025" r="34321" b="35129"/>
                    <a:stretch/>
                  </pic:blipFill>
                  <pic:spPr bwMode="auto">
                    <a:xfrm>
                      <a:off x="0" y="0"/>
                      <a:ext cx="5256037" cy="3476007"/>
                    </a:xfrm>
                    <a:prstGeom prst="rect">
                      <a:avLst/>
                    </a:prstGeom>
                    <a:ln>
                      <a:noFill/>
                    </a:ln>
                    <a:extLst>
                      <a:ext uri="{53640926-AAD7-44D8-BBD7-CCE9431645EC}">
                        <a14:shadowObscured xmlns:a14="http://schemas.microsoft.com/office/drawing/2010/main"/>
                      </a:ext>
                    </a:extLst>
                  </pic:spPr>
                </pic:pic>
              </a:graphicData>
            </a:graphic>
          </wp:inline>
        </w:drawing>
      </w:r>
    </w:p>
    <w:p w:rsidR="001F5905" w:rsidRPr="00874AFB" w:rsidRDefault="001F5905" w:rsidP="001F5905">
      <w:pPr>
        <w:pStyle w:val="Prrafodelista"/>
        <w:spacing w:line="360" w:lineRule="auto"/>
        <w:ind w:left="0"/>
        <w:jc w:val="center"/>
        <w:rPr>
          <w:rFonts w:ascii="Palatino Linotype" w:hAnsi="Palatino Linotype" w:cs="Tahoma"/>
          <w:sz w:val="24"/>
          <w:szCs w:val="22"/>
          <w:lang w:val="es-ES"/>
        </w:rPr>
      </w:pPr>
    </w:p>
    <w:p w:rsidR="001F5905" w:rsidRPr="00874AFB" w:rsidRDefault="001F5905" w:rsidP="001F5905">
      <w:pPr>
        <w:pStyle w:val="Prrafodelista"/>
        <w:spacing w:line="360" w:lineRule="auto"/>
        <w:ind w:left="0"/>
        <w:jc w:val="center"/>
        <w:rPr>
          <w:rFonts w:ascii="Palatino Linotype" w:hAnsi="Palatino Linotype" w:cs="Tahoma"/>
          <w:sz w:val="24"/>
          <w:szCs w:val="22"/>
          <w:lang w:val="es-ES"/>
        </w:rPr>
      </w:pPr>
    </w:p>
    <w:p w:rsidR="001F5905" w:rsidRPr="00874AFB" w:rsidRDefault="001F5905" w:rsidP="001F5905">
      <w:pPr>
        <w:pStyle w:val="Prrafodelista"/>
        <w:spacing w:line="360" w:lineRule="auto"/>
        <w:ind w:left="0"/>
        <w:jc w:val="center"/>
        <w:rPr>
          <w:rFonts w:ascii="Palatino Linotype" w:hAnsi="Palatino Linotype" w:cs="Tahoma"/>
          <w:sz w:val="24"/>
          <w:szCs w:val="22"/>
          <w:lang w:val="es-ES"/>
        </w:rPr>
      </w:pPr>
      <w:r w:rsidRPr="00874AFB">
        <w:rPr>
          <w:noProof/>
        </w:rPr>
        <w:lastRenderedPageBreak/>
        <w:drawing>
          <wp:inline distT="0" distB="0" distL="0" distR="0" wp14:anchorId="38A0B294" wp14:editId="0B303E9E">
            <wp:extent cx="4295775" cy="557108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503" t="18577" r="34653" b="8000"/>
                    <a:stretch/>
                  </pic:blipFill>
                  <pic:spPr bwMode="auto">
                    <a:xfrm>
                      <a:off x="0" y="0"/>
                      <a:ext cx="4299388" cy="5575769"/>
                    </a:xfrm>
                    <a:prstGeom prst="rect">
                      <a:avLst/>
                    </a:prstGeom>
                    <a:ln>
                      <a:noFill/>
                    </a:ln>
                    <a:extLst>
                      <a:ext uri="{53640926-AAD7-44D8-BBD7-CCE9431645EC}">
                        <a14:shadowObscured xmlns:a14="http://schemas.microsoft.com/office/drawing/2010/main"/>
                      </a:ext>
                    </a:extLst>
                  </pic:spPr>
                </pic:pic>
              </a:graphicData>
            </a:graphic>
          </wp:inline>
        </w:drawing>
      </w:r>
    </w:p>
    <w:p w:rsidR="001F5905" w:rsidRPr="00874AFB" w:rsidRDefault="001F5905" w:rsidP="001F5905">
      <w:pPr>
        <w:pStyle w:val="Prrafodelista"/>
        <w:spacing w:line="360" w:lineRule="auto"/>
        <w:ind w:left="0"/>
        <w:jc w:val="center"/>
        <w:rPr>
          <w:rFonts w:ascii="Palatino Linotype" w:hAnsi="Palatino Linotype" w:cs="Tahoma"/>
          <w:sz w:val="24"/>
          <w:szCs w:val="22"/>
          <w:lang w:val="es-ES"/>
        </w:rPr>
      </w:pPr>
    </w:p>
    <w:p w:rsidR="009E07E9" w:rsidRPr="00874AFB" w:rsidRDefault="00133B1C" w:rsidP="009E07E9">
      <w:pPr>
        <w:numPr>
          <w:ilvl w:val="0"/>
          <w:numId w:val="1"/>
        </w:numPr>
        <w:spacing w:line="360" w:lineRule="auto"/>
        <w:ind w:left="0" w:right="49" w:firstLine="0"/>
        <w:contextualSpacing/>
        <w:jc w:val="both"/>
        <w:rPr>
          <w:rFonts w:ascii="Palatino Linotype" w:hAnsi="Palatino Linotype" w:cs="Arial"/>
          <w:bCs/>
          <w:iCs/>
          <w:szCs w:val="28"/>
        </w:rPr>
      </w:pPr>
      <w:r w:rsidRPr="00874AFB">
        <w:rPr>
          <w:rFonts w:ascii="Palatino Linotype" w:hAnsi="Palatino Linotype" w:cs="Arial"/>
        </w:rPr>
        <w:t xml:space="preserve">Ahora bien, el Sujeto Obligado manifestó que al ser información de extrema importancia, requería del </w:t>
      </w:r>
      <w:r w:rsidR="00081119" w:rsidRPr="00874AFB">
        <w:rPr>
          <w:rFonts w:ascii="Palatino Linotype" w:hAnsi="Palatino Linotype" w:cs="Arial"/>
        </w:rPr>
        <w:t>consentimiento del personal para su publicaci</w:t>
      </w:r>
      <w:r w:rsidR="009E07E9" w:rsidRPr="00874AFB">
        <w:rPr>
          <w:rFonts w:ascii="Palatino Linotype" w:hAnsi="Palatino Linotype" w:cs="Arial"/>
        </w:rPr>
        <w:t xml:space="preserve">ón. Al respecto cabe señalar que </w:t>
      </w:r>
      <w:r w:rsidR="009E07E9" w:rsidRPr="00874AFB">
        <w:rPr>
          <w:rFonts w:ascii="Palatino Linotype" w:hAnsi="Palatino Linotype" w:cs="Arial"/>
          <w:bCs/>
          <w:iCs/>
          <w:szCs w:val="28"/>
        </w:rPr>
        <w:t xml:space="preserve">el artículo 6°, Apartado A), fracción II, de la Constitución Política de los Estados Unidos Mexicanos, prevé que la información que se refiere a la vida privada y los datos personales, será protegida en los términos y con las </w:t>
      </w:r>
      <w:r w:rsidR="009E07E9" w:rsidRPr="00874AFB">
        <w:rPr>
          <w:rFonts w:ascii="Palatino Linotype" w:hAnsi="Palatino Linotype" w:cs="Arial"/>
          <w:bCs/>
          <w:iCs/>
          <w:szCs w:val="28"/>
        </w:rPr>
        <w:lastRenderedPageBreak/>
        <w:t>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P</w:t>
      </w:r>
      <w:r w:rsidR="009E07E9" w:rsidRPr="00874AFB">
        <w:rPr>
          <w:rFonts w:ascii="Palatino Linotype" w:hAnsi="Palatino Linotype" w:cs="Arial"/>
          <w:szCs w:val="28"/>
        </w:rPr>
        <w:t xml:space="preserve">or lo tanto, la información solicitada por el particular, es susceptible de entregarse en versión pública. </w:t>
      </w:r>
    </w:p>
    <w:p w:rsidR="009E07E9" w:rsidRPr="00874AFB" w:rsidRDefault="009E07E9" w:rsidP="009E07E9">
      <w:pPr>
        <w:pStyle w:val="Prrafodelista"/>
        <w:spacing w:line="360" w:lineRule="auto"/>
        <w:ind w:left="0"/>
        <w:jc w:val="both"/>
        <w:rPr>
          <w:rFonts w:ascii="Palatino Linotype" w:hAnsi="Palatino Linotype" w:cs="Tahoma"/>
          <w:sz w:val="24"/>
          <w:lang w:val="es-ES"/>
        </w:rPr>
      </w:pPr>
    </w:p>
    <w:p w:rsidR="009E07E9" w:rsidRPr="00874AFB" w:rsidRDefault="009E07E9" w:rsidP="009E07E9">
      <w:pPr>
        <w:pStyle w:val="Prrafodelista"/>
        <w:numPr>
          <w:ilvl w:val="0"/>
          <w:numId w:val="1"/>
        </w:numPr>
        <w:spacing w:line="360" w:lineRule="auto"/>
        <w:ind w:left="0" w:firstLine="0"/>
        <w:jc w:val="both"/>
        <w:rPr>
          <w:rFonts w:ascii="Palatino Linotype" w:hAnsi="Palatino Linotype" w:cs="Tahoma"/>
          <w:sz w:val="24"/>
          <w:lang w:val="es-ES"/>
        </w:rPr>
      </w:pPr>
      <w:r w:rsidRPr="00874AFB">
        <w:rPr>
          <w:rFonts w:ascii="Palatino Linotype" w:hAnsi="Palatino Linotype" w:cs="Tahoma"/>
          <w:sz w:val="24"/>
          <w:lang w:val="es-E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9E07E9" w:rsidRPr="00874AFB" w:rsidRDefault="009E07E9" w:rsidP="009E07E9">
      <w:pPr>
        <w:pStyle w:val="Prrafodelista"/>
        <w:spacing w:line="360" w:lineRule="auto"/>
        <w:ind w:left="0"/>
        <w:jc w:val="both"/>
        <w:rPr>
          <w:rFonts w:ascii="Palatino Linotype" w:hAnsi="Palatino Linotype" w:cs="Tahoma"/>
          <w:sz w:val="24"/>
          <w:lang w:val="es-ES"/>
        </w:rPr>
      </w:pPr>
    </w:p>
    <w:p w:rsidR="009E07E9" w:rsidRPr="00874AFB" w:rsidRDefault="009E07E9" w:rsidP="009E07E9">
      <w:pPr>
        <w:pStyle w:val="Prrafodelista"/>
        <w:numPr>
          <w:ilvl w:val="0"/>
          <w:numId w:val="1"/>
        </w:numPr>
        <w:spacing w:line="360" w:lineRule="auto"/>
        <w:ind w:left="0" w:firstLine="0"/>
        <w:jc w:val="both"/>
        <w:rPr>
          <w:rFonts w:ascii="Palatino Linotype" w:hAnsi="Palatino Linotype" w:cs="Tahoma"/>
          <w:sz w:val="24"/>
          <w:lang w:val="es-ES"/>
        </w:rPr>
      </w:pPr>
      <w:r w:rsidRPr="00874AFB">
        <w:rPr>
          <w:rFonts w:ascii="Palatino Linotype" w:hAnsi="Palatino Linotype" w:cs="Tahoma"/>
          <w:sz w:val="24"/>
          <w:lang w:val="es-E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9E07E9" w:rsidRPr="00874AFB" w:rsidRDefault="009E07E9" w:rsidP="009E07E9">
      <w:pPr>
        <w:pStyle w:val="Prrafodelista"/>
        <w:spacing w:line="360" w:lineRule="auto"/>
        <w:ind w:left="0"/>
        <w:jc w:val="both"/>
        <w:rPr>
          <w:rFonts w:ascii="Palatino Linotype" w:hAnsi="Palatino Linotype" w:cs="Tahoma"/>
          <w:sz w:val="24"/>
          <w:lang w:val="es-ES"/>
        </w:rPr>
      </w:pPr>
    </w:p>
    <w:p w:rsidR="009E07E9" w:rsidRPr="00874AFB" w:rsidRDefault="009E07E9" w:rsidP="009E07E9">
      <w:pPr>
        <w:pStyle w:val="Prrafodelista"/>
        <w:numPr>
          <w:ilvl w:val="0"/>
          <w:numId w:val="1"/>
        </w:numPr>
        <w:spacing w:line="360" w:lineRule="auto"/>
        <w:ind w:left="0" w:firstLine="0"/>
        <w:jc w:val="both"/>
        <w:rPr>
          <w:rFonts w:ascii="Palatino Linotype" w:hAnsi="Palatino Linotype" w:cs="Tahoma"/>
          <w:sz w:val="24"/>
          <w:lang w:val="es-ES"/>
        </w:rPr>
      </w:pPr>
      <w:r w:rsidRPr="00874AFB">
        <w:rPr>
          <w:rFonts w:ascii="Palatino Linotype" w:hAnsi="Palatino Linotype" w:cs="Tahoma"/>
          <w:sz w:val="24"/>
          <w:lang w:val="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9E07E9" w:rsidRPr="00874AFB" w:rsidRDefault="009E07E9" w:rsidP="007E3BF5">
      <w:pPr>
        <w:pStyle w:val="Prrafodelista"/>
        <w:numPr>
          <w:ilvl w:val="0"/>
          <w:numId w:val="1"/>
        </w:numPr>
        <w:spacing w:line="360" w:lineRule="auto"/>
        <w:ind w:left="0" w:firstLine="0"/>
        <w:jc w:val="both"/>
        <w:rPr>
          <w:rFonts w:ascii="Palatino Linotype" w:hAnsi="Palatino Linotype" w:cs="Tahoma"/>
          <w:sz w:val="24"/>
          <w:lang w:val="es-ES"/>
        </w:rPr>
      </w:pPr>
      <w:r w:rsidRPr="00874AFB">
        <w:rPr>
          <w:rFonts w:ascii="Palatino Linotype" w:hAnsi="Palatino Linotype" w:cs="Tahoma"/>
          <w:sz w:val="24"/>
          <w:lang w:val="es-E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rsidR="007E3BF5" w:rsidRPr="00874AFB" w:rsidRDefault="007E3BF5" w:rsidP="007E3BF5">
      <w:pPr>
        <w:pStyle w:val="Prrafodelista"/>
        <w:spacing w:line="360" w:lineRule="auto"/>
        <w:ind w:left="0"/>
        <w:jc w:val="both"/>
        <w:rPr>
          <w:rFonts w:ascii="Palatino Linotype" w:hAnsi="Palatino Linotype" w:cs="Tahoma"/>
          <w:sz w:val="24"/>
          <w:lang w:val="es-ES"/>
        </w:rPr>
      </w:pPr>
    </w:p>
    <w:p w:rsidR="009E07E9" w:rsidRPr="00874AFB" w:rsidRDefault="009E07E9" w:rsidP="007E3BF5">
      <w:pPr>
        <w:pStyle w:val="Prrafodelista"/>
        <w:numPr>
          <w:ilvl w:val="0"/>
          <w:numId w:val="1"/>
        </w:numPr>
        <w:spacing w:line="360" w:lineRule="auto"/>
        <w:ind w:left="0" w:firstLine="0"/>
        <w:jc w:val="both"/>
        <w:rPr>
          <w:rFonts w:ascii="Palatino Linotype" w:hAnsi="Palatino Linotype" w:cs="Tahoma"/>
          <w:sz w:val="24"/>
          <w:lang w:val="es-ES"/>
        </w:rPr>
      </w:pPr>
      <w:r w:rsidRPr="00874AFB">
        <w:rPr>
          <w:rFonts w:ascii="Palatino Linotype" w:hAnsi="Palatino Linotype" w:cs="Tahoma"/>
          <w:sz w:val="24"/>
          <w:lang w:val="es-E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w:t>
      </w:r>
    </w:p>
    <w:p w:rsidR="007E3BF5" w:rsidRPr="00874AFB" w:rsidRDefault="007E3BF5" w:rsidP="007E3BF5">
      <w:pPr>
        <w:pStyle w:val="Prrafodelista"/>
        <w:spacing w:line="360" w:lineRule="auto"/>
        <w:ind w:left="0"/>
        <w:jc w:val="both"/>
        <w:rPr>
          <w:rFonts w:ascii="Palatino Linotype" w:hAnsi="Palatino Linotype" w:cs="Tahoma"/>
          <w:sz w:val="24"/>
          <w:lang w:val="es-ES"/>
        </w:rPr>
      </w:pPr>
    </w:p>
    <w:p w:rsidR="009E07E9" w:rsidRPr="00874AFB" w:rsidRDefault="009E07E9" w:rsidP="007E3BF5">
      <w:pPr>
        <w:pStyle w:val="Prrafodelista"/>
        <w:spacing w:line="360" w:lineRule="auto"/>
        <w:ind w:left="644"/>
        <w:jc w:val="both"/>
        <w:rPr>
          <w:rFonts w:ascii="Palatino Linotype" w:hAnsi="Palatino Linotype" w:cs="Tahoma"/>
          <w:sz w:val="24"/>
          <w:lang w:val="es-ES"/>
        </w:rPr>
      </w:pPr>
      <w:r w:rsidRPr="00874AFB">
        <w:rPr>
          <w:rFonts w:ascii="Palatino Linotype" w:hAnsi="Palatino Linotype" w:cs="Tahoma"/>
          <w:sz w:val="24"/>
          <w:lang w:val="es-ES"/>
        </w:rPr>
        <w:t xml:space="preserve"> i) La información se encuentre en registros públicos o fuentes de acceso público; </w:t>
      </w:r>
    </w:p>
    <w:p w:rsidR="009E07E9" w:rsidRPr="00874AFB" w:rsidRDefault="009E07E9" w:rsidP="007E3BF5">
      <w:pPr>
        <w:pStyle w:val="Prrafodelista"/>
        <w:spacing w:line="360" w:lineRule="auto"/>
        <w:ind w:left="644"/>
        <w:jc w:val="both"/>
        <w:rPr>
          <w:rFonts w:ascii="Palatino Linotype" w:hAnsi="Palatino Linotype" w:cs="Tahoma"/>
          <w:sz w:val="24"/>
          <w:lang w:val="es-ES"/>
        </w:rPr>
      </w:pPr>
      <w:r w:rsidRPr="00874AFB">
        <w:rPr>
          <w:rFonts w:ascii="Palatino Linotype" w:hAnsi="Palatino Linotype" w:cs="Tahoma"/>
          <w:sz w:val="24"/>
          <w:lang w:val="es-ES"/>
        </w:rPr>
        <w:t>ii) Por ley tenga el carácter de pública;</w:t>
      </w:r>
    </w:p>
    <w:p w:rsidR="009E07E9" w:rsidRPr="00874AFB" w:rsidRDefault="009E07E9" w:rsidP="007E3BF5">
      <w:pPr>
        <w:pStyle w:val="Prrafodelista"/>
        <w:spacing w:line="360" w:lineRule="auto"/>
        <w:ind w:left="644"/>
        <w:jc w:val="both"/>
        <w:rPr>
          <w:rFonts w:ascii="Palatino Linotype" w:hAnsi="Palatino Linotype" w:cs="Tahoma"/>
          <w:sz w:val="24"/>
          <w:lang w:val="es-ES"/>
        </w:rPr>
      </w:pPr>
      <w:r w:rsidRPr="00874AFB">
        <w:rPr>
          <w:rFonts w:ascii="Palatino Linotype" w:hAnsi="Palatino Linotype" w:cs="Tahoma"/>
          <w:sz w:val="24"/>
          <w:lang w:val="es-ES"/>
        </w:rPr>
        <w:t xml:space="preserve">iii) Exista una orden judicial; </w:t>
      </w:r>
    </w:p>
    <w:p w:rsidR="009E07E9" w:rsidRPr="00874AFB" w:rsidRDefault="009E07E9" w:rsidP="007E3BF5">
      <w:pPr>
        <w:pStyle w:val="Prrafodelista"/>
        <w:spacing w:line="360" w:lineRule="auto"/>
        <w:ind w:left="644"/>
        <w:jc w:val="both"/>
        <w:rPr>
          <w:rFonts w:ascii="Palatino Linotype" w:hAnsi="Palatino Linotype" w:cs="Tahoma"/>
          <w:sz w:val="24"/>
          <w:lang w:val="es-ES"/>
        </w:rPr>
      </w:pPr>
      <w:r w:rsidRPr="00874AFB">
        <w:rPr>
          <w:rFonts w:ascii="Palatino Linotype" w:hAnsi="Palatino Linotype" w:cs="Tahoma"/>
          <w:sz w:val="24"/>
          <w:lang w:val="es-ES"/>
        </w:rPr>
        <w:t xml:space="preserve">iv) Por razones de seguridad nacional y salubridad general,  o </w:t>
      </w:r>
    </w:p>
    <w:p w:rsidR="009E07E9" w:rsidRPr="00874AFB" w:rsidRDefault="009E07E9" w:rsidP="007E3BF5">
      <w:pPr>
        <w:pStyle w:val="Prrafodelista"/>
        <w:spacing w:line="360" w:lineRule="auto"/>
        <w:ind w:left="644"/>
        <w:jc w:val="both"/>
        <w:rPr>
          <w:rFonts w:ascii="Palatino Linotype" w:hAnsi="Palatino Linotype" w:cs="Tahoma"/>
          <w:sz w:val="24"/>
          <w:lang w:val="es-ES"/>
        </w:rPr>
      </w:pPr>
      <w:r w:rsidRPr="00874AFB">
        <w:rPr>
          <w:rFonts w:ascii="Palatino Linotype" w:hAnsi="Palatino Linotype" w:cs="Tahoma"/>
          <w:sz w:val="24"/>
          <w:lang w:val="es-ES"/>
        </w:rPr>
        <w:t>v) Para proteger los derechos de terceros o cuando se transmita entre sujetos obligados en términos de los tratados y los acuerdos interinstitucionales.</w:t>
      </w:r>
    </w:p>
    <w:p w:rsidR="009E07E9" w:rsidRPr="00874AFB" w:rsidRDefault="009E07E9" w:rsidP="007E3BF5">
      <w:pPr>
        <w:pStyle w:val="Prrafodelista"/>
        <w:spacing w:line="360" w:lineRule="auto"/>
        <w:ind w:left="644"/>
        <w:jc w:val="both"/>
        <w:rPr>
          <w:rFonts w:ascii="Palatino Linotype" w:hAnsi="Palatino Linotype" w:cs="Tahoma"/>
          <w:sz w:val="24"/>
          <w:lang w:val="es-ES"/>
        </w:rPr>
      </w:pPr>
    </w:p>
    <w:p w:rsidR="009E07E9" w:rsidRPr="00874AFB" w:rsidRDefault="009E07E9" w:rsidP="007E3BF5">
      <w:pPr>
        <w:pStyle w:val="Prrafodelista"/>
        <w:numPr>
          <w:ilvl w:val="0"/>
          <w:numId w:val="1"/>
        </w:numPr>
        <w:spacing w:line="360" w:lineRule="auto"/>
        <w:ind w:left="0" w:firstLine="0"/>
        <w:jc w:val="both"/>
        <w:rPr>
          <w:rFonts w:ascii="Palatino Linotype" w:hAnsi="Palatino Linotype" w:cs="Tahoma"/>
          <w:sz w:val="24"/>
          <w:lang w:val="es-ES"/>
        </w:rPr>
      </w:pPr>
      <w:r w:rsidRPr="00874AFB">
        <w:rPr>
          <w:rFonts w:ascii="Palatino Linotype" w:hAnsi="Palatino Linotype" w:cs="Tahoma"/>
          <w:sz w:val="24"/>
          <w:lang w:val="es-ES"/>
        </w:rPr>
        <w:t>En términos de lo expuesto, la documentación y aquellos datos que se consideren confidenciales, serán una limitante del derecho de acceso a la información, siempre y cuando:</w:t>
      </w:r>
    </w:p>
    <w:p w:rsidR="007E3BF5" w:rsidRPr="00874AFB" w:rsidRDefault="007E3BF5" w:rsidP="007E3BF5">
      <w:pPr>
        <w:pStyle w:val="Prrafodelista"/>
        <w:spacing w:line="360" w:lineRule="auto"/>
        <w:ind w:left="0"/>
        <w:jc w:val="both"/>
        <w:rPr>
          <w:rFonts w:ascii="Palatino Linotype" w:hAnsi="Palatino Linotype" w:cs="Tahoma"/>
          <w:sz w:val="24"/>
          <w:lang w:val="es-ES"/>
        </w:rPr>
      </w:pPr>
    </w:p>
    <w:p w:rsidR="009E07E9" w:rsidRPr="00874AFB" w:rsidRDefault="009E07E9" w:rsidP="005F0724">
      <w:pPr>
        <w:pStyle w:val="Prrafodelista"/>
        <w:numPr>
          <w:ilvl w:val="0"/>
          <w:numId w:val="44"/>
        </w:numPr>
        <w:spacing w:line="360" w:lineRule="auto"/>
        <w:jc w:val="both"/>
        <w:rPr>
          <w:rFonts w:ascii="Palatino Linotype" w:hAnsi="Palatino Linotype" w:cs="Tahoma"/>
          <w:sz w:val="24"/>
          <w:lang w:val="es-ES"/>
        </w:rPr>
      </w:pPr>
      <w:r w:rsidRPr="00874AFB">
        <w:rPr>
          <w:rFonts w:ascii="Palatino Linotype" w:hAnsi="Palatino Linotype" w:cs="Tahoma"/>
          <w:sz w:val="24"/>
          <w:lang w:val="es-ES"/>
        </w:rPr>
        <w:t xml:space="preserve">Se trate de datos personales o información privada; esto es, información concerniente a una persona física o jurídico colectiva y que esta sea identificada o identificable. </w:t>
      </w:r>
    </w:p>
    <w:p w:rsidR="005F0724" w:rsidRPr="00874AFB" w:rsidRDefault="005F0724" w:rsidP="005F0724">
      <w:pPr>
        <w:pStyle w:val="Prrafodelista"/>
        <w:spacing w:line="360" w:lineRule="auto"/>
        <w:ind w:left="780"/>
        <w:jc w:val="both"/>
        <w:rPr>
          <w:rFonts w:ascii="Palatino Linotype" w:hAnsi="Palatino Linotype" w:cs="Tahoma"/>
          <w:sz w:val="24"/>
          <w:lang w:val="es-ES"/>
        </w:rPr>
      </w:pPr>
    </w:p>
    <w:p w:rsidR="009E07E9" w:rsidRPr="00874AFB" w:rsidRDefault="005F0724" w:rsidP="00081119">
      <w:pPr>
        <w:pStyle w:val="Prrafodelista"/>
        <w:numPr>
          <w:ilvl w:val="0"/>
          <w:numId w:val="1"/>
        </w:numPr>
        <w:spacing w:line="360" w:lineRule="auto"/>
        <w:ind w:left="0" w:firstLine="0"/>
        <w:jc w:val="both"/>
        <w:rPr>
          <w:rFonts w:ascii="Palatino Linotype" w:hAnsi="Palatino Linotype" w:cs="Tahoma"/>
          <w:sz w:val="24"/>
          <w:lang w:val="es-ES"/>
        </w:rPr>
      </w:pPr>
      <w:r w:rsidRPr="00874AFB">
        <w:rPr>
          <w:rFonts w:ascii="Palatino Linotype" w:hAnsi="Palatino Linotype" w:cs="Tahoma"/>
          <w:bCs/>
          <w:iCs/>
          <w:sz w:val="24"/>
        </w:rPr>
        <w:lastRenderedPageBreak/>
        <w:t xml:space="preserve">En ese orden de ideas,  es importante precisar que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Además, refiere que se consideran Datos Personales Sensibles </w:t>
      </w:r>
      <w:r w:rsidRPr="00874AFB">
        <w:rPr>
          <w:rFonts w:ascii="Palatino Linotype" w:hAnsi="Palatino Linotype"/>
          <w:sz w:val="24"/>
        </w:rPr>
        <w:t>las referentes de la esfera de su titular cuya utilización indebida pueda dar origen a discriminación o conlleve un riesgo grave para éste.</w:t>
      </w:r>
    </w:p>
    <w:p w:rsidR="005F0724" w:rsidRPr="00874AFB" w:rsidRDefault="005F0724" w:rsidP="005F0724">
      <w:pPr>
        <w:pStyle w:val="Prrafodelista"/>
        <w:spacing w:line="360" w:lineRule="auto"/>
        <w:ind w:left="0"/>
        <w:jc w:val="both"/>
        <w:rPr>
          <w:rFonts w:ascii="Palatino Linotype" w:hAnsi="Palatino Linotype" w:cs="Tahoma"/>
          <w:sz w:val="24"/>
          <w:lang w:val="es-ES"/>
        </w:rPr>
      </w:pPr>
    </w:p>
    <w:p w:rsidR="005F0724" w:rsidRPr="00874AFB" w:rsidRDefault="005F0724" w:rsidP="005F0724">
      <w:pPr>
        <w:pStyle w:val="Prrafodelista"/>
        <w:numPr>
          <w:ilvl w:val="0"/>
          <w:numId w:val="1"/>
        </w:numPr>
        <w:spacing w:line="360" w:lineRule="auto"/>
        <w:ind w:left="0" w:right="-93" w:firstLine="0"/>
        <w:jc w:val="both"/>
        <w:rPr>
          <w:rFonts w:ascii="Palatino Linotype" w:hAnsi="Palatino Linotype" w:cs="Tahoma"/>
          <w:bCs/>
          <w:iCs/>
          <w:sz w:val="24"/>
        </w:rPr>
      </w:pPr>
      <w:r w:rsidRPr="00874AFB">
        <w:rPr>
          <w:rFonts w:ascii="Palatino Linotype" w:hAnsi="Palatino Linotype" w:cs="Tahoma"/>
          <w:bCs/>
          <w:iCs/>
          <w:sz w:val="24"/>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5F0724" w:rsidRPr="00874AFB" w:rsidRDefault="005F0724" w:rsidP="005F0724">
      <w:pPr>
        <w:pStyle w:val="Sinespaciado"/>
        <w:spacing w:line="360" w:lineRule="auto"/>
        <w:jc w:val="both"/>
        <w:rPr>
          <w:rFonts w:ascii="Palatino Linotype" w:hAnsi="Palatino Linotype" w:cs="Tahoma"/>
          <w:sz w:val="32"/>
        </w:rPr>
      </w:pPr>
    </w:p>
    <w:p w:rsidR="005F0724" w:rsidRPr="00874AFB" w:rsidRDefault="005F0724" w:rsidP="005F0724">
      <w:pPr>
        <w:pStyle w:val="Prrafodelista"/>
        <w:numPr>
          <w:ilvl w:val="0"/>
          <w:numId w:val="1"/>
        </w:numPr>
        <w:spacing w:line="360" w:lineRule="auto"/>
        <w:ind w:left="0" w:right="-93" w:firstLine="0"/>
        <w:jc w:val="both"/>
        <w:rPr>
          <w:rFonts w:ascii="Palatino Linotype" w:hAnsi="Palatino Linotype" w:cs="Tahoma"/>
          <w:bCs/>
          <w:iCs/>
          <w:sz w:val="24"/>
        </w:rPr>
      </w:pPr>
      <w:r w:rsidRPr="00874AFB">
        <w:rPr>
          <w:rFonts w:ascii="Palatino Linotype" w:hAnsi="Palatino Linotype" w:cs="Tahoma"/>
          <w:bCs/>
          <w:iCs/>
          <w:sz w:val="24"/>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w:t>
      </w:r>
      <w:r w:rsidRPr="00874AFB">
        <w:rPr>
          <w:rFonts w:ascii="Palatino Linotype" w:hAnsi="Palatino Linotype" w:cs="Tahoma"/>
          <w:bCs/>
          <w:iCs/>
          <w:sz w:val="24"/>
        </w:rPr>
        <w:lastRenderedPageBreak/>
        <w:t>constituyen datos personales. En este sentido, cualquier información que por sí sola o relacionada con otra permita hacer identificable a una persona, es un dato personal, susceptible de ser clasificado.</w:t>
      </w:r>
    </w:p>
    <w:p w:rsidR="005F0724" w:rsidRPr="00874AFB" w:rsidRDefault="005F0724" w:rsidP="005F0724">
      <w:pPr>
        <w:pStyle w:val="Sinespaciado"/>
        <w:spacing w:line="360" w:lineRule="auto"/>
        <w:jc w:val="both"/>
        <w:rPr>
          <w:rFonts w:ascii="Palatino Linotype" w:hAnsi="Palatino Linotype" w:cs="Tahoma"/>
          <w:sz w:val="24"/>
        </w:rPr>
      </w:pPr>
    </w:p>
    <w:p w:rsidR="005F0724" w:rsidRPr="00874AFB" w:rsidRDefault="005F0724" w:rsidP="005F0724">
      <w:pPr>
        <w:pStyle w:val="Prrafodelista"/>
        <w:numPr>
          <w:ilvl w:val="0"/>
          <w:numId w:val="1"/>
        </w:numPr>
        <w:spacing w:line="360" w:lineRule="auto"/>
        <w:ind w:left="0" w:right="-93" w:firstLine="0"/>
        <w:jc w:val="both"/>
        <w:rPr>
          <w:rFonts w:ascii="Palatino Linotype" w:hAnsi="Palatino Linotype" w:cs="Tahoma"/>
          <w:bCs/>
          <w:iCs/>
          <w:sz w:val="24"/>
        </w:rPr>
      </w:pPr>
      <w:r w:rsidRPr="00874AFB">
        <w:rPr>
          <w:rFonts w:ascii="Palatino Linotype" w:hAnsi="Palatino Linotype" w:cs="Tahoma"/>
          <w:bCs/>
          <w:iCs/>
          <w:sz w:val="24"/>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w:t>
      </w:r>
      <w:r w:rsidRPr="00874AFB">
        <w:rPr>
          <w:rFonts w:ascii="Palatino Linotype" w:hAnsi="Palatino Linotype" w:cs="Tahoma"/>
          <w:b/>
          <w:bCs/>
          <w:iCs/>
          <w:sz w:val="24"/>
          <w:u w:val="single"/>
        </w:rPr>
        <w:t>se ponderaban dos derechos: el derecho a la intimidad y la protección de los datos personales versus el interés público de conocer el ejercicio de atribuciones y de recursos públicos de las instituciones</w:t>
      </w:r>
      <w:r w:rsidRPr="00874AFB">
        <w:rPr>
          <w:rFonts w:ascii="Palatino Linotype" w:hAnsi="Palatino Linotype" w:cs="Tahoma"/>
          <w:bCs/>
          <w:iCs/>
          <w:sz w:val="24"/>
        </w:rPr>
        <w:t xml:space="preserve"> y es a partir de ahí, en donde las instituciones públicas deben determinar la publicidad de su información.</w:t>
      </w:r>
    </w:p>
    <w:p w:rsidR="005F0724" w:rsidRPr="00874AFB" w:rsidRDefault="005F0724" w:rsidP="005F0724">
      <w:pPr>
        <w:pStyle w:val="Prrafodelista"/>
        <w:spacing w:line="360" w:lineRule="auto"/>
        <w:ind w:left="0" w:right="-93"/>
        <w:jc w:val="both"/>
        <w:rPr>
          <w:rFonts w:ascii="Palatino Linotype" w:hAnsi="Palatino Linotype" w:cs="Tahoma"/>
          <w:bCs/>
          <w:iCs/>
          <w:sz w:val="24"/>
        </w:rPr>
      </w:pPr>
    </w:p>
    <w:p w:rsidR="00081119" w:rsidRPr="00874AFB" w:rsidRDefault="005F0724" w:rsidP="005F0724">
      <w:pPr>
        <w:pStyle w:val="Prrafodelista"/>
        <w:numPr>
          <w:ilvl w:val="0"/>
          <w:numId w:val="1"/>
        </w:numPr>
        <w:spacing w:line="360" w:lineRule="auto"/>
        <w:ind w:left="0" w:right="-93" w:firstLine="0"/>
        <w:jc w:val="both"/>
        <w:rPr>
          <w:rFonts w:ascii="Palatino Linotype" w:hAnsi="Palatino Linotype" w:cs="Tahoma"/>
          <w:bCs/>
          <w:iCs/>
          <w:sz w:val="24"/>
        </w:rPr>
      </w:pPr>
      <w:r w:rsidRPr="00874AFB">
        <w:rPr>
          <w:rFonts w:ascii="Palatino Linotype" w:hAnsi="Palatino Linotype" w:cs="Tahoma"/>
          <w:bCs/>
          <w:iCs/>
          <w:sz w:val="24"/>
        </w:rPr>
        <w:t>De tal suerte, las instituciones públicas tienen la doble responsabilidad, por un lado de proteger los datos personales y por otro, darles publicidad cuando la relevancia de esos datos sea de interés público. En este orden de ideas</w:t>
      </w:r>
      <w:r w:rsidRPr="00874AFB">
        <w:rPr>
          <w:rFonts w:ascii="Palatino Linotype" w:hAnsi="Palatino Linotype" w:cs="Arial"/>
          <w:sz w:val="24"/>
        </w:rPr>
        <w:t xml:space="preserve">, </w:t>
      </w:r>
      <w:r w:rsidR="00081119" w:rsidRPr="00874AFB">
        <w:rPr>
          <w:rFonts w:ascii="Palatino Linotype" w:hAnsi="Palatino Linotype" w:cs="Tahoma"/>
          <w:bCs/>
          <w:iCs/>
          <w:sz w:val="24"/>
        </w:rPr>
        <w:t>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081119" w:rsidRPr="00874AFB" w:rsidRDefault="00081119" w:rsidP="00081119">
      <w:pPr>
        <w:pStyle w:val="Prrafodelista"/>
        <w:spacing w:line="360" w:lineRule="auto"/>
        <w:ind w:left="0"/>
        <w:jc w:val="both"/>
        <w:rPr>
          <w:rFonts w:ascii="Palatino Linotype" w:hAnsi="Palatino Linotype" w:cs="Tahoma"/>
          <w:sz w:val="24"/>
          <w:lang w:val="es-ES"/>
        </w:rPr>
      </w:pPr>
    </w:p>
    <w:p w:rsidR="00081119" w:rsidRPr="00874AFB" w:rsidRDefault="00081119" w:rsidP="00081119">
      <w:pPr>
        <w:pStyle w:val="Prrafodelista"/>
        <w:numPr>
          <w:ilvl w:val="0"/>
          <w:numId w:val="1"/>
        </w:numPr>
        <w:spacing w:line="360" w:lineRule="auto"/>
        <w:ind w:left="0" w:firstLine="0"/>
        <w:jc w:val="both"/>
        <w:rPr>
          <w:rFonts w:ascii="Palatino Linotype" w:hAnsi="Palatino Linotype" w:cs="Tahoma"/>
          <w:sz w:val="24"/>
          <w:lang w:val="es-ES"/>
        </w:rPr>
      </w:pPr>
      <w:r w:rsidRPr="00874AFB">
        <w:rPr>
          <w:rFonts w:ascii="Palatino Linotype" w:hAnsi="Palatino Linotype" w:cs="Arial"/>
          <w:sz w:val="24"/>
        </w:rPr>
        <w:t xml:space="preserve">Sirve de sustento, por analogía, para justificar la publicidad sobre los datos relativos a los montos por concepto de pago de las remuneraciones, los criterios </w:t>
      </w:r>
      <w:r w:rsidRPr="00874AFB">
        <w:rPr>
          <w:rFonts w:ascii="Palatino Linotype" w:hAnsi="Palatino Linotype" w:cs="Arial"/>
          <w:sz w:val="24"/>
        </w:rPr>
        <w:lastRenderedPageBreak/>
        <w:t xml:space="preserve">01/2003 y 02/2003, emitidos por el Comité de Acceso a la Información Pública y Protección de Datos Personales de la Suprema Corte de Justicia de la Nación, que a continuación se citan: </w:t>
      </w:r>
    </w:p>
    <w:p w:rsidR="00081119" w:rsidRPr="00874AFB" w:rsidRDefault="00081119" w:rsidP="00081119">
      <w:pPr>
        <w:pStyle w:val="Sinespaciado"/>
      </w:pPr>
    </w:p>
    <w:p w:rsidR="00081119" w:rsidRPr="00874AFB" w:rsidRDefault="00081119" w:rsidP="00081119">
      <w:pPr>
        <w:spacing w:line="360" w:lineRule="auto"/>
        <w:ind w:left="851" w:right="822"/>
        <w:jc w:val="both"/>
        <w:rPr>
          <w:rFonts w:ascii="Palatino Linotype" w:hAnsi="Palatino Linotype" w:cs="Arial"/>
          <w:b/>
          <w:i/>
          <w:szCs w:val="20"/>
        </w:rPr>
      </w:pPr>
      <w:r w:rsidRPr="00874AFB">
        <w:rPr>
          <w:rFonts w:ascii="Palatino Linotype" w:hAnsi="Palatino Linotype" w:cs="Arial"/>
          <w:i/>
          <w:szCs w:val="20"/>
        </w:rPr>
        <w:t>“</w:t>
      </w:r>
      <w:r w:rsidRPr="00874AFB">
        <w:rPr>
          <w:rFonts w:ascii="Palatino Linotype" w:hAnsi="Palatino Linotype" w:cs="Arial"/>
          <w:b/>
          <w:i/>
          <w:szCs w:val="20"/>
        </w:rPr>
        <w:t>Criterio 01/2003.</w:t>
      </w:r>
    </w:p>
    <w:p w:rsidR="00081119" w:rsidRPr="00874AFB" w:rsidRDefault="00081119" w:rsidP="00081119">
      <w:pPr>
        <w:spacing w:line="360" w:lineRule="auto"/>
        <w:ind w:left="851" w:right="822"/>
        <w:jc w:val="both"/>
        <w:rPr>
          <w:rFonts w:ascii="Palatino Linotype" w:hAnsi="Palatino Linotype" w:cs="Arial"/>
          <w:i/>
          <w:szCs w:val="20"/>
        </w:rPr>
      </w:pPr>
      <w:r w:rsidRPr="00874AFB">
        <w:rPr>
          <w:rFonts w:ascii="Palatino Linotype" w:hAnsi="Palatino Linotype" w:cs="Arial"/>
          <w:b/>
          <w:i/>
          <w:szCs w:val="20"/>
        </w:rPr>
        <w:t>“INGRESOS DE LOS SERVIDORES PÚBLICOS. CONSTITUYEN INFORMACIÓN PÚBLICA AÚN Y CUANDO SU DIFUSIÓN PUEDE AFECTAR LA VIDA O LA SEGURIDAD DE AQUELLOS</w:t>
      </w:r>
      <w:r w:rsidRPr="00874AFB">
        <w:rPr>
          <w:rFonts w:ascii="Palatino Linotype" w:hAnsi="Palatino Linotype" w:cs="Arial"/>
          <w:b/>
          <w:i/>
          <w:szCs w:val="20"/>
          <w:u w:val="single"/>
        </w:rPr>
        <w:t>.</w:t>
      </w:r>
      <w:r w:rsidRPr="00874AFB">
        <w:rPr>
          <w:rFonts w:ascii="Palatino Linotype" w:hAnsi="Palatino Linotype" w:cs="Arial"/>
          <w:i/>
          <w:szCs w:val="20"/>
          <w:u w:val="single"/>
        </w:rPr>
        <w:t xml:space="preserve"> Si </w:t>
      </w:r>
      <w:r w:rsidRPr="00874AFB">
        <w:rPr>
          <w:rFonts w:ascii="Palatino Linotype" w:hAnsi="Palatino Linotype" w:cs="Arial"/>
          <w:b/>
          <w:i/>
          <w:szCs w:val="20"/>
          <w:u w:val="single"/>
        </w:rPr>
        <w:t>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874AFB">
        <w:rPr>
          <w:rFonts w:ascii="Palatino Linotype" w:hAnsi="Palatino Linotype" w:cs="Arial"/>
          <w:b/>
          <w:i/>
          <w:szCs w:val="20"/>
        </w:rPr>
        <w:t xml:space="preserve">, </w:t>
      </w:r>
      <w:r w:rsidRPr="00874AFB">
        <w:rPr>
          <w:rFonts w:ascii="Palatino Linotype" w:hAnsi="Palatino Linotype" w:cs="Arial"/>
          <w:b/>
          <w:i/>
          <w:szCs w:val="20"/>
          <w:u w:val="single"/>
        </w:rPr>
        <w:t>debe reconocerse que aun y  cuando en ese supuesto podría encuadrar la relativa a las percepciones ordinarias y extraordinaria de los servidores públicos</w:t>
      </w:r>
      <w:r w:rsidRPr="00874AFB">
        <w:rPr>
          <w:rFonts w:ascii="Palatino Linotype" w:hAnsi="Palatino Linotype" w:cs="Arial"/>
          <w:b/>
          <w:i/>
          <w:szCs w:val="20"/>
        </w:rPr>
        <w:t>,</w:t>
      </w:r>
      <w:r w:rsidRPr="00874AFB">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874AFB">
        <w:rPr>
          <w:rFonts w:ascii="Palatino Linotype" w:hAnsi="Palatino Linotype" w:cs="Arial"/>
          <w:b/>
          <w:i/>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874AFB">
        <w:rPr>
          <w:rFonts w:ascii="Palatino Linotype" w:hAnsi="Palatino Linotype" w:cs="Arial"/>
          <w:i/>
          <w:szCs w:val="20"/>
        </w:rPr>
        <w:t>…”</w:t>
      </w:r>
    </w:p>
    <w:p w:rsidR="00081119" w:rsidRPr="00874AFB" w:rsidRDefault="00081119" w:rsidP="009E07E9">
      <w:pPr>
        <w:spacing w:line="360" w:lineRule="auto"/>
        <w:ind w:right="822"/>
        <w:jc w:val="both"/>
        <w:rPr>
          <w:rFonts w:ascii="Palatino Linotype" w:hAnsi="Palatino Linotype" w:cs="Arial"/>
          <w:b/>
          <w:i/>
          <w:szCs w:val="20"/>
        </w:rPr>
      </w:pPr>
    </w:p>
    <w:p w:rsidR="00081119" w:rsidRPr="00874AFB" w:rsidRDefault="00081119" w:rsidP="00081119">
      <w:pPr>
        <w:spacing w:line="360" w:lineRule="auto"/>
        <w:ind w:left="851" w:right="822"/>
        <w:jc w:val="both"/>
        <w:rPr>
          <w:rFonts w:ascii="Palatino Linotype" w:hAnsi="Palatino Linotype" w:cs="Arial"/>
          <w:b/>
          <w:i/>
          <w:szCs w:val="20"/>
        </w:rPr>
      </w:pPr>
      <w:r w:rsidRPr="00874AFB">
        <w:rPr>
          <w:rFonts w:ascii="Palatino Linotype" w:hAnsi="Palatino Linotype" w:cs="Arial"/>
          <w:b/>
          <w:i/>
          <w:szCs w:val="20"/>
        </w:rPr>
        <w:t>“Criterio 02/2003.</w:t>
      </w:r>
    </w:p>
    <w:p w:rsidR="00081119" w:rsidRPr="00874AFB" w:rsidRDefault="00081119" w:rsidP="00081119">
      <w:pPr>
        <w:spacing w:line="360" w:lineRule="auto"/>
        <w:ind w:left="851" w:right="822"/>
        <w:jc w:val="both"/>
        <w:rPr>
          <w:rFonts w:ascii="Palatino Linotype" w:hAnsi="Palatino Linotype" w:cs="Arial"/>
          <w:i/>
          <w:szCs w:val="20"/>
        </w:rPr>
      </w:pPr>
      <w:r w:rsidRPr="00874AFB">
        <w:rPr>
          <w:rFonts w:ascii="Palatino Linotype" w:hAnsi="Palatino Linotype" w:cs="Arial"/>
          <w:b/>
          <w:i/>
          <w:szCs w:val="20"/>
          <w:u w:val="single"/>
        </w:rPr>
        <w:t>INGRESOS DE LOS SERVIDORES PÚBLICOS, SON INFORMACIÓN PÚBLICA AÚN Y CUANDO CONSTITUYEN DATOS PERSONALES</w:t>
      </w:r>
      <w:r w:rsidRPr="00874AFB">
        <w:rPr>
          <w:rFonts w:ascii="Palatino Linotype" w:hAnsi="Palatino Linotype" w:cs="Arial"/>
          <w:b/>
          <w:i/>
          <w:szCs w:val="20"/>
        </w:rPr>
        <w:t xml:space="preserve"> QUE SE REFIEREN AL PATRIMONIO DE AQUÉLLOS.</w:t>
      </w:r>
      <w:r w:rsidRPr="00874AFB">
        <w:rPr>
          <w:rFonts w:ascii="Palatino Linotype" w:hAnsi="Palatino Linotype" w:cs="Arial"/>
          <w:i/>
          <w:szCs w:val="20"/>
        </w:rPr>
        <w:t xml:space="preserve"> De la interpretación sistemática de lo previsto en los artículos 3º, fracción II; 7º, 9º y 18, fracción II, de la Ley Federal de Transparencia y Acceso a la Información Pública Gubernamental </w:t>
      </w:r>
      <w:r w:rsidRPr="00874AFB">
        <w:rPr>
          <w:rFonts w:ascii="Palatino Linotype" w:hAnsi="Palatino Linotype" w:cs="Arial"/>
          <w:i/>
          <w:szCs w:val="20"/>
          <w:u w:val="single"/>
        </w:rPr>
        <w:t>se advierte que no constituye información confidencial la relativa a los ingresos que reciben los servidores públicos, ya que aun y cuando se trata de datos personales relativos a su patrimonio</w:t>
      </w:r>
      <w:r w:rsidRPr="00874AFB">
        <w:rPr>
          <w:rFonts w:ascii="Palatino Linotype" w:hAnsi="Palatino Linotype" w:cs="Arial"/>
          <w:i/>
          <w:szCs w:val="20"/>
        </w:rPr>
        <w:t xml:space="preserve">, para su difusión no se requiere consentimiento de aquellos, </w:t>
      </w:r>
      <w:r w:rsidRPr="00874AFB">
        <w:rPr>
          <w:rFonts w:ascii="Palatino Linotype" w:hAnsi="Palatino Linotype" w:cs="Arial"/>
          <w:b/>
          <w:i/>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74AFB">
        <w:rPr>
          <w:rFonts w:ascii="Palatino Linotype" w:hAnsi="Palatino Linotype" w:cs="Arial"/>
          <w:i/>
          <w:szCs w:val="20"/>
        </w:rPr>
        <w:t xml:space="preserve"> el sistema de compensación…” (</w:t>
      </w:r>
      <w:proofErr w:type="gramStart"/>
      <w:r w:rsidRPr="00874AFB">
        <w:rPr>
          <w:rFonts w:ascii="Palatino Linotype" w:hAnsi="Palatino Linotype" w:cs="Arial"/>
          <w:i/>
          <w:szCs w:val="20"/>
        </w:rPr>
        <w:t>sic</w:t>
      </w:r>
      <w:proofErr w:type="gramEnd"/>
      <w:r w:rsidRPr="00874AFB">
        <w:rPr>
          <w:rFonts w:ascii="Palatino Linotype" w:hAnsi="Palatino Linotype" w:cs="Arial"/>
          <w:i/>
          <w:szCs w:val="20"/>
        </w:rPr>
        <w:t>)</w:t>
      </w:r>
    </w:p>
    <w:p w:rsidR="00081119" w:rsidRPr="00874AFB" w:rsidRDefault="00081119" w:rsidP="00081119">
      <w:pPr>
        <w:pStyle w:val="Sinespaciado"/>
        <w:spacing w:line="360" w:lineRule="auto"/>
        <w:jc w:val="both"/>
        <w:rPr>
          <w:rFonts w:ascii="Palatino Linotype" w:hAnsi="Palatino Linotype" w:cs="Tahoma"/>
        </w:rPr>
      </w:pPr>
    </w:p>
    <w:p w:rsidR="005F0724" w:rsidRPr="00874AFB" w:rsidRDefault="00081119" w:rsidP="005F0724">
      <w:pPr>
        <w:numPr>
          <w:ilvl w:val="0"/>
          <w:numId w:val="1"/>
        </w:numPr>
        <w:spacing w:line="360" w:lineRule="auto"/>
        <w:ind w:left="0" w:right="49" w:firstLine="0"/>
        <w:contextualSpacing/>
        <w:jc w:val="both"/>
        <w:rPr>
          <w:rFonts w:ascii="Palatino Linotype" w:hAnsi="Palatino Linotype" w:cs="Arial"/>
          <w:szCs w:val="28"/>
        </w:rPr>
      </w:pPr>
      <w:r w:rsidRPr="00874AFB">
        <w:rPr>
          <w:rFonts w:ascii="Palatino Linotype" w:hAnsi="Palatino Linotype" w:cs="Arial"/>
          <w:szCs w:val="28"/>
        </w:rPr>
        <w:t xml:space="preserve"> </w:t>
      </w:r>
      <w:r w:rsidR="005F0724" w:rsidRPr="00874AFB">
        <w:rPr>
          <w:rFonts w:ascii="Palatino Linotype" w:hAnsi="Palatino Linotype" w:cs="Arial"/>
          <w:bCs/>
          <w:iCs/>
          <w:szCs w:val="28"/>
          <w:lang w:val="es-ES"/>
        </w:rPr>
        <w:t>En principio</w:t>
      </w:r>
      <w:r w:rsidR="005F0724" w:rsidRPr="00874AFB">
        <w:rPr>
          <w:rFonts w:ascii="Palatino Linotype" w:hAnsi="Palatino Linotype" w:cs="Arial"/>
          <w:bCs/>
          <w:iCs/>
          <w:szCs w:val="28"/>
        </w:rPr>
        <w:t>, cuando los documentos de acceso público</w:t>
      </w:r>
      <w:r w:rsidR="005F0724" w:rsidRPr="00874AFB">
        <w:rPr>
          <w:rFonts w:ascii="Palatino Linotype" w:hAnsi="Palatino Linotype" w:cs="Arial"/>
          <w:szCs w:val="28"/>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005F0724" w:rsidRPr="00874AFB" w:rsidRDefault="005F0724" w:rsidP="005F0724">
      <w:pPr>
        <w:pStyle w:val="Prrafodelista"/>
        <w:numPr>
          <w:ilvl w:val="0"/>
          <w:numId w:val="1"/>
        </w:numPr>
        <w:spacing w:before="240" w:after="240" w:line="360" w:lineRule="auto"/>
        <w:ind w:left="0" w:firstLine="0"/>
        <w:jc w:val="both"/>
        <w:rPr>
          <w:rFonts w:ascii="Palatino Linotype" w:hAnsi="Palatino Linotype" w:cs="Tahoma"/>
          <w:bCs/>
          <w:sz w:val="24"/>
        </w:rPr>
      </w:pPr>
      <w:r w:rsidRPr="00874AFB">
        <w:rPr>
          <w:rFonts w:ascii="Palatino Linotype" w:hAnsi="Palatino Linotype" w:cs="Tahoma"/>
          <w:bCs/>
          <w:sz w:val="24"/>
        </w:rPr>
        <w:lastRenderedPageBreak/>
        <w:t>En este sentido</w:t>
      </w:r>
      <w:r w:rsidR="00484116" w:rsidRPr="00874AFB">
        <w:rPr>
          <w:rFonts w:ascii="Palatino Linotype" w:hAnsi="Palatino Linotype" w:cs="Tahoma"/>
          <w:bCs/>
          <w:sz w:val="24"/>
        </w:rPr>
        <w:t>, no</w:t>
      </w:r>
      <w:r w:rsidRPr="00874AFB">
        <w:rPr>
          <w:rFonts w:ascii="Palatino Linotype" w:hAnsi="Palatino Linotype" w:cs="Tahoma"/>
          <w:bCs/>
          <w:sz w:val="24"/>
        </w:rPr>
        <w:t xml:space="preserve"> resulta procedente la negativa del Sujeto Obligado a impedir al particular acceder a la información solicitada</w:t>
      </w:r>
      <w:r w:rsidR="00484116" w:rsidRPr="00874AFB">
        <w:rPr>
          <w:rFonts w:ascii="Palatino Linotype" w:hAnsi="Palatino Linotype" w:cs="Tahoma"/>
          <w:bCs/>
          <w:sz w:val="24"/>
        </w:rPr>
        <w:t xml:space="preserve">, por tal motivo es </w:t>
      </w:r>
      <w:r w:rsidRPr="00874AFB">
        <w:rPr>
          <w:rFonts w:ascii="Palatino Linotype" w:hAnsi="Palatino Linotype" w:cs="Tahoma"/>
          <w:bCs/>
          <w:sz w:val="24"/>
        </w:rPr>
        <w:t xml:space="preserve">procedente ordenar la entrega de la información. </w:t>
      </w:r>
    </w:p>
    <w:p w:rsidR="002B36F1" w:rsidRPr="00874AFB" w:rsidRDefault="00484116" w:rsidP="002B36F1">
      <w:pPr>
        <w:numPr>
          <w:ilvl w:val="0"/>
          <w:numId w:val="1"/>
        </w:numPr>
        <w:spacing w:line="360" w:lineRule="auto"/>
        <w:ind w:left="0" w:right="49" w:firstLine="0"/>
        <w:contextualSpacing/>
        <w:jc w:val="both"/>
        <w:rPr>
          <w:rFonts w:ascii="Palatino Linotype" w:hAnsi="Palatino Linotype"/>
          <w:lang w:val="es-ES"/>
        </w:rPr>
      </w:pPr>
      <w:r w:rsidRPr="00874AFB">
        <w:rPr>
          <w:rFonts w:ascii="Palatino Linotype" w:hAnsi="Palatino Linotype" w:cs="Arial"/>
          <w:szCs w:val="28"/>
        </w:rPr>
        <w:t xml:space="preserve">Po otro lado, debemos recordar que el particular solicitó la póliza de egresos con documentos probatorios </w:t>
      </w:r>
      <w:r w:rsidR="002B36F1" w:rsidRPr="00874AFB">
        <w:rPr>
          <w:rFonts w:ascii="Palatino Linotype" w:hAnsi="Palatino Linotype" w:cs="Arial"/>
          <w:szCs w:val="28"/>
        </w:rPr>
        <w:t xml:space="preserve">o en su caso, el cheque por concepto de pago de la nómina de la segunda quincena de julio de dos mil veintidós </w:t>
      </w:r>
      <w:r w:rsidR="00460471" w:rsidRPr="00874AFB">
        <w:rPr>
          <w:rFonts w:ascii="Palatino Linotype" w:hAnsi="Palatino Linotype" w:cs="Arial"/>
          <w:szCs w:val="28"/>
        </w:rPr>
        <w:t>, misma que contempla el Módulo uno del Informe Trimestral que se entrega al Ó</w:t>
      </w:r>
      <w:r w:rsidR="002B36F1" w:rsidRPr="00874AFB">
        <w:rPr>
          <w:rFonts w:ascii="Palatino Linotype" w:hAnsi="Palatino Linotype" w:cs="Arial"/>
          <w:szCs w:val="28"/>
        </w:rPr>
        <w:t>rgano Superior de Fiscalización:</w:t>
      </w:r>
    </w:p>
    <w:p w:rsidR="002B36F1" w:rsidRPr="00874AFB" w:rsidRDefault="002B36F1" w:rsidP="002B36F1">
      <w:pPr>
        <w:spacing w:line="360" w:lineRule="auto"/>
        <w:ind w:right="49"/>
        <w:contextualSpacing/>
        <w:jc w:val="both"/>
        <w:rPr>
          <w:rFonts w:ascii="Palatino Linotype" w:hAnsi="Palatino Linotype"/>
          <w:lang w:val="es-ES"/>
        </w:rPr>
      </w:pPr>
    </w:p>
    <w:p w:rsidR="00E155C6" w:rsidRPr="00874AFB" w:rsidRDefault="002B36F1" w:rsidP="002B36F1">
      <w:pPr>
        <w:spacing w:line="360" w:lineRule="auto"/>
        <w:ind w:right="49"/>
        <w:contextualSpacing/>
        <w:jc w:val="center"/>
        <w:rPr>
          <w:rFonts w:ascii="Palatino Linotype" w:hAnsi="Palatino Linotype"/>
          <w:lang w:val="es-ES"/>
        </w:rPr>
      </w:pPr>
      <w:r w:rsidRPr="00874AFB">
        <w:rPr>
          <w:noProof/>
        </w:rPr>
        <w:drawing>
          <wp:inline distT="0" distB="0" distL="0" distR="0" wp14:anchorId="2F557F0D" wp14:editId="1D35C058">
            <wp:extent cx="4458150" cy="4305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830" t="20345" r="36145" b="29822"/>
                    <a:stretch/>
                  </pic:blipFill>
                  <pic:spPr bwMode="auto">
                    <a:xfrm>
                      <a:off x="0" y="0"/>
                      <a:ext cx="4467603" cy="4314429"/>
                    </a:xfrm>
                    <a:prstGeom prst="rect">
                      <a:avLst/>
                    </a:prstGeom>
                    <a:ln>
                      <a:noFill/>
                    </a:ln>
                    <a:extLst>
                      <a:ext uri="{53640926-AAD7-44D8-BBD7-CCE9431645EC}">
                        <a14:shadowObscured xmlns:a14="http://schemas.microsoft.com/office/drawing/2010/main"/>
                      </a:ext>
                    </a:extLst>
                  </pic:spPr>
                </pic:pic>
              </a:graphicData>
            </a:graphic>
          </wp:inline>
        </w:drawing>
      </w:r>
    </w:p>
    <w:p w:rsidR="00460471" w:rsidRPr="00874AFB" w:rsidRDefault="00E155C6" w:rsidP="00A566CD">
      <w:pPr>
        <w:numPr>
          <w:ilvl w:val="0"/>
          <w:numId w:val="1"/>
        </w:numPr>
        <w:spacing w:line="360" w:lineRule="auto"/>
        <w:ind w:left="0" w:right="49" w:firstLine="0"/>
        <w:jc w:val="both"/>
        <w:rPr>
          <w:rFonts w:ascii="Palatino Linotype" w:hAnsi="Palatino Linotype" w:cs="Arial"/>
          <w:b/>
          <w:szCs w:val="28"/>
        </w:rPr>
      </w:pPr>
      <w:r w:rsidRPr="00874AFB">
        <w:rPr>
          <w:rFonts w:ascii="Palatino Linotype" w:hAnsi="Palatino Linotype" w:cs="Arial"/>
          <w:szCs w:val="28"/>
        </w:rPr>
        <w:lastRenderedPageBreak/>
        <w:t>Por lo anteriormente expuesto, este Órgano Garante determina procedente REVOCAR la respuesta del Sujeto Obligado y ORDENAR la entrega de ser procedente en versión pública de</w:t>
      </w:r>
      <w:r w:rsidR="00A566CD" w:rsidRPr="00874AFB">
        <w:rPr>
          <w:rFonts w:ascii="Palatino Linotype" w:hAnsi="Palatino Linotype" w:cs="Arial"/>
          <w:szCs w:val="28"/>
        </w:rPr>
        <w:t xml:space="preserve"> </w:t>
      </w:r>
      <w:r w:rsidR="00A566CD" w:rsidRPr="00874AFB">
        <w:rPr>
          <w:rFonts w:ascii="Palatino Linotype" w:hAnsi="Palatino Linotype" w:cs="Arial"/>
          <w:b/>
          <w:szCs w:val="28"/>
        </w:rPr>
        <w:t xml:space="preserve">los comprobantes fiscales digitales por internet por concepto de nómina de la segunda quincena de julio de dos mil veintidós, conciliación  de nómina de la segunda quincena de julio de dos mil veintidós y póliza de egresos con documentos probatorios o cheque por concepto de pago de la nómina de la segunda quincena de junio de dos mil veintidós. </w:t>
      </w:r>
    </w:p>
    <w:p w:rsidR="007C5B27" w:rsidRPr="00874AFB" w:rsidRDefault="007C5B27" w:rsidP="00E155C6">
      <w:pPr>
        <w:spacing w:line="360" w:lineRule="auto"/>
        <w:ind w:right="49"/>
        <w:contextualSpacing/>
        <w:jc w:val="both"/>
        <w:rPr>
          <w:rFonts w:ascii="Palatino Linotype" w:hAnsi="Palatino Linotype" w:cs="Arial"/>
          <w:szCs w:val="28"/>
        </w:rPr>
      </w:pPr>
    </w:p>
    <w:p w:rsidR="009954DB" w:rsidRPr="00874AFB" w:rsidRDefault="009954DB" w:rsidP="00056A59">
      <w:pPr>
        <w:numPr>
          <w:ilvl w:val="0"/>
          <w:numId w:val="1"/>
        </w:numPr>
        <w:spacing w:line="360" w:lineRule="auto"/>
        <w:ind w:left="0" w:right="49" w:firstLine="0"/>
        <w:contextualSpacing/>
        <w:jc w:val="both"/>
        <w:rPr>
          <w:rFonts w:ascii="Palatino Linotype" w:hAnsi="Palatino Linotype" w:cs="Arial"/>
          <w:szCs w:val="28"/>
        </w:rPr>
      </w:pPr>
      <w:r w:rsidRPr="00874AFB">
        <w:rPr>
          <w:rFonts w:ascii="Palatino Linotype" w:hAnsi="Palatino Linotype" w:cs="Arial"/>
          <w:szCs w:val="28"/>
        </w:rPr>
        <w:t xml:space="preserve">Ahora bien, atendiendo a que la información que se ordena entregar, pudiera contener información susceptible de clasificarse, el Sujeto Obligado deberá observar lo establecido en el Considerando Quinto de la presente resolución. </w:t>
      </w:r>
    </w:p>
    <w:p w:rsidR="00262BA7" w:rsidRPr="00874AFB" w:rsidRDefault="00262BA7" w:rsidP="00262BA7">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pStyle w:val="Ttulo1"/>
        <w:spacing w:before="0" w:line="360" w:lineRule="auto"/>
        <w:rPr>
          <w:rFonts w:ascii="Palatino Linotype" w:hAnsi="Palatino Linotype"/>
          <w:b/>
          <w:color w:val="000000" w:themeColor="text1"/>
          <w:sz w:val="24"/>
          <w:szCs w:val="24"/>
        </w:rPr>
      </w:pPr>
      <w:bookmarkStart w:id="22" w:name="_Toc74188153"/>
      <w:bookmarkStart w:id="23" w:name="_Toc83301642"/>
      <w:r w:rsidRPr="00874AFB">
        <w:rPr>
          <w:rFonts w:ascii="Palatino Linotype" w:hAnsi="Palatino Linotype" w:cs="Times New Roman"/>
          <w:b/>
          <w:color w:val="000000" w:themeColor="text1"/>
          <w:sz w:val="24"/>
          <w:szCs w:val="24"/>
          <w:lang w:eastAsia="es-ES_tradnl"/>
        </w:rPr>
        <w:t xml:space="preserve">QUINTO. </w:t>
      </w:r>
      <w:r w:rsidRPr="00874AFB">
        <w:rPr>
          <w:rFonts w:ascii="Palatino Linotype" w:hAnsi="Palatino Linotype"/>
          <w:b/>
          <w:color w:val="000000" w:themeColor="text1"/>
          <w:sz w:val="24"/>
          <w:szCs w:val="24"/>
        </w:rPr>
        <w:t xml:space="preserve"> </w:t>
      </w:r>
      <w:bookmarkEnd w:id="22"/>
      <w:bookmarkEnd w:id="23"/>
      <w:r w:rsidRPr="00874AFB">
        <w:rPr>
          <w:rFonts w:ascii="Palatino Linotype" w:hAnsi="Palatino Linotype" w:cs="Arial"/>
          <w:b/>
          <w:color w:val="000000"/>
          <w:sz w:val="24"/>
          <w:lang w:val="es-ES_tradnl"/>
        </w:rPr>
        <w:t>De la versión pública y clasificación de la información.</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Por otro lado, debe destacarse que debido a la naturaleza de la información solicitada</w:t>
      </w:r>
      <w:r w:rsidRPr="00874AFB">
        <w:rPr>
          <w:rFonts w:ascii="Palatino Linotype" w:hAnsi="Palatino Linotype" w:cs="Arial"/>
          <w:b/>
          <w:color w:val="000000"/>
          <w:lang w:val="es-ES_tradnl"/>
        </w:rPr>
        <w:t xml:space="preserve">, </w:t>
      </w:r>
      <w:r w:rsidRPr="00874AFB">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74AFB">
        <w:rPr>
          <w:rFonts w:ascii="Palatino Linotype" w:hAnsi="Palatino Linotype" w:cs="Arial"/>
          <w:b/>
          <w:color w:val="000000"/>
          <w:u w:val="single"/>
          <w:lang w:val="es-ES_tradnl"/>
        </w:rPr>
        <w:t>versión pública</w:t>
      </w:r>
      <w:r w:rsidRPr="00874AFB">
        <w:rPr>
          <w:rFonts w:ascii="Palatino Linotype" w:hAnsi="Palatino Linotype" w:cs="Arial"/>
          <w:color w:val="000000"/>
          <w:lang w:val="es-ES_tradnl"/>
        </w:rPr>
        <w:t xml:space="preserve"> del documento por las consideraciones que se estimen pertinentes.</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eastAsia="Calibri" w:hAnsi="Palatino Linotype" w:cs="Arial"/>
          <w:color w:val="000000"/>
        </w:rPr>
        <w:t xml:space="preserve">Es de </w:t>
      </w:r>
      <w:r w:rsidRPr="00874AFB">
        <w:rPr>
          <w:rFonts w:ascii="Palatino Linotype" w:hAnsi="Palatino Linotype" w:cs="Arial"/>
          <w:color w:val="000000"/>
          <w:lang w:val="es-ES_tradnl"/>
        </w:rPr>
        <w:t>señalar</w:t>
      </w:r>
      <w:r w:rsidRPr="00874AFB">
        <w:rPr>
          <w:rFonts w:ascii="Palatino Linotype" w:eastAsia="Calibri" w:hAnsi="Palatino Linotype" w:cs="Arial"/>
          <w:color w:val="000000"/>
        </w:rPr>
        <w:t xml:space="preserve"> que, por lo que hace a las versiones públicas, el </w:t>
      </w:r>
      <w:r w:rsidRPr="00874AFB">
        <w:rPr>
          <w:rFonts w:ascii="Palatino Linotype" w:eastAsia="Calibri" w:hAnsi="Palatino Linotype" w:cs="Arial"/>
          <w:b/>
          <w:color w:val="000000"/>
        </w:rPr>
        <w:t>SUJETO OBLIGADO</w:t>
      </w:r>
      <w:r w:rsidRPr="00874AFB">
        <w:rPr>
          <w:rFonts w:ascii="Palatino Linotype" w:eastAsia="Calibri" w:hAnsi="Palatino Linotype" w:cs="Arial"/>
          <w:color w:val="000000"/>
        </w:rPr>
        <w:t xml:space="preserve"> debe cumplir con las formalidades exigidas en la Ley, por lo que </w:t>
      </w:r>
      <w:r w:rsidRPr="00874AFB">
        <w:rPr>
          <w:rFonts w:ascii="Palatino Linotype" w:hAnsi="Palatino Linotype" w:cs="Arial"/>
          <w:color w:val="000000"/>
          <w:lang w:val="es-ES_tradnl"/>
        </w:rPr>
        <w:t xml:space="preserve">para tal efecto emitirá el </w:t>
      </w:r>
      <w:r w:rsidRPr="00874AFB">
        <w:rPr>
          <w:rFonts w:ascii="Palatino Linotype" w:eastAsia="Calibri" w:hAnsi="Palatino Linotype" w:cs="Arial"/>
          <w:color w:val="000000"/>
        </w:rPr>
        <w:t xml:space="preserve">Acuerdo del Comité de Transparencia en términos de los artículos </w:t>
      </w:r>
      <w:r w:rsidRPr="00874AFB">
        <w:rPr>
          <w:rFonts w:ascii="Palatino Linotype" w:eastAsia="Calibri" w:hAnsi="Palatino Linotype" w:cs="Arial"/>
          <w:color w:val="000000"/>
        </w:rPr>
        <w:lastRenderedPageBreak/>
        <w:t>49 fracción</w:t>
      </w:r>
      <w:r w:rsidRPr="00874AFB">
        <w:rPr>
          <w:rFonts w:ascii="Palatino Linotype" w:eastAsia="Calibri" w:hAnsi="Palatino Linotype" w:cs="Arial"/>
          <w:bCs/>
          <w:color w:val="000000"/>
          <w:lang w:val="es-ES_tradnl"/>
        </w:rPr>
        <w:t xml:space="preserve"> VIII,</w:t>
      </w:r>
      <w:r w:rsidRPr="00874AFB">
        <w:rPr>
          <w:rFonts w:ascii="Palatino Linotype" w:eastAsia="Calibri" w:hAnsi="Palatino Linotype" w:cs="Arial"/>
          <w:color w:val="000000"/>
        </w:rPr>
        <w:t xml:space="preserve"> 122</w:t>
      </w:r>
      <w:r w:rsidRPr="00874AFB">
        <w:rPr>
          <w:rFonts w:ascii="Palatino Linotype" w:hAnsi="Palatino Linotype"/>
          <w:vertAlign w:val="superscript"/>
        </w:rPr>
        <w:footnoteReference w:id="5"/>
      </w:r>
      <w:r w:rsidRPr="00874AFB">
        <w:rPr>
          <w:rFonts w:ascii="Palatino Linotype" w:eastAsia="Calibri" w:hAnsi="Palatino Linotype" w:cs="Arial"/>
          <w:color w:val="000000"/>
        </w:rPr>
        <w:t>, 135</w:t>
      </w:r>
      <w:r w:rsidRPr="00874AFB">
        <w:rPr>
          <w:rFonts w:ascii="Palatino Linotype" w:hAnsi="Palatino Linotype"/>
          <w:vertAlign w:val="superscript"/>
        </w:rPr>
        <w:footnoteReference w:id="6"/>
      </w:r>
      <w:r w:rsidRPr="00874AFB">
        <w:rPr>
          <w:rFonts w:ascii="Palatino Linotype" w:eastAsia="Calibri" w:hAnsi="Palatino Linotype" w:cs="Arial"/>
          <w:color w:val="000000"/>
        </w:rPr>
        <w:t xml:space="preserve"> y 149 de la </w:t>
      </w:r>
      <w:r w:rsidRPr="00874AFB">
        <w:rPr>
          <w:rFonts w:ascii="Palatino Linotype" w:eastAsia="Calibri" w:hAnsi="Palatino Linotype" w:cs="Arial"/>
          <w:b/>
          <w:color w:val="000000"/>
        </w:rPr>
        <w:t>Ley de Transparencia y Acceso a la Información Pública del Estado de México y Municipios</w:t>
      </w:r>
      <w:r w:rsidRPr="00874AFB">
        <w:rPr>
          <w:rFonts w:ascii="Palatino Linotype" w:eastAsia="Calibri" w:hAnsi="Palatino Linotype" w:cs="Arial"/>
          <w:color w:val="000000"/>
        </w:rPr>
        <w:t>, con el cual sustentara de forma fundada y motivada la clasificación de datos y con ello la "versión pública" de los documentos materia de la solicitud.</w:t>
      </w:r>
    </w:p>
    <w:p w:rsidR="00E62455" w:rsidRPr="00874AFB" w:rsidRDefault="00E62455" w:rsidP="00E62455">
      <w:pPr>
        <w:spacing w:line="360" w:lineRule="auto"/>
        <w:ind w:right="49"/>
        <w:contextualSpacing/>
        <w:jc w:val="both"/>
        <w:rPr>
          <w:rFonts w:ascii="Palatino Linotype" w:eastAsia="Calibri" w:hAnsi="Palatino Linotype" w:cs="Arial"/>
          <w:color w:val="000000"/>
        </w:rPr>
      </w:pPr>
    </w:p>
    <w:p w:rsidR="00E62455" w:rsidRPr="00874AFB" w:rsidRDefault="00E62455" w:rsidP="00E62455">
      <w:pPr>
        <w:keepNext/>
        <w:keepLines/>
        <w:spacing w:line="360" w:lineRule="auto"/>
        <w:outlineLvl w:val="1"/>
        <w:rPr>
          <w:rFonts w:ascii="Palatino Linotype" w:hAnsi="Palatino Linotype"/>
          <w:b/>
          <w:color w:val="000000"/>
          <w:lang w:eastAsia="en-US"/>
        </w:rPr>
      </w:pPr>
      <w:bookmarkStart w:id="24" w:name="_Toc500756709"/>
      <w:bookmarkStart w:id="25" w:name="_Toc536691777"/>
      <w:bookmarkStart w:id="26" w:name="_Toc80889844"/>
      <w:bookmarkStart w:id="27" w:name="_Toc81384827"/>
      <w:r w:rsidRPr="00874AFB">
        <w:rPr>
          <w:rFonts w:ascii="Palatino Linotype" w:hAnsi="Palatino Linotype"/>
          <w:b/>
          <w:color w:val="000000"/>
          <w:lang w:eastAsia="en-US"/>
        </w:rPr>
        <w:t>I. De la clasificación de la información.</w:t>
      </w:r>
      <w:bookmarkEnd w:id="24"/>
      <w:bookmarkEnd w:id="25"/>
      <w:bookmarkEnd w:id="26"/>
      <w:bookmarkEnd w:id="27"/>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eastAsia="Calibri" w:hAnsi="Palatino Linotype" w:cs="Arial"/>
          <w:color w:val="000000"/>
        </w:rPr>
        <w:t>La</w:t>
      </w:r>
      <w:r w:rsidRPr="00874AFB">
        <w:rPr>
          <w:rFonts w:ascii="Palatino Linotype" w:hAnsi="Palatino Linotype"/>
          <w:color w:val="000000"/>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74AFB">
        <w:rPr>
          <w:rFonts w:ascii="Palatino Linotype" w:hAnsi="Palatino Linotype"/>
          <w:vertAlign w:val="superscript"/>
          <w:lang w:val="es-ES_tradnl"/>
        </w:rPr>
        <w:footnoteReference w:id="7"/>
      </w:r>
      <w:r w:rsidRPr="00874AFB">
        <w:rPr>
          <w:rFonts w:ascii="Palatino Linotype" w:hAnsi="Palatino Linotype"/>
          <w:color w:val="000000"/>
          <w:lang w:val="es-ES_tradnl"/>
        </w:rPr>
        <w:t xml:space="preserve"> aunque cualquier límite o restricción, </w:t>
      </w:r>
      <w:r w:rsidRPr="00874AFB">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74AFB">
        <w:rPr>
          <w:rFonts w:ascii="Palatino Linotype" w:hAnsi="Palatino Linotype"/>
          <w:vertAlign w:val="superscript"/>
          <w:lang w:val="es-ES_tradnl"/>
        </w:rPr>
        <w:footnoteReference w:id="8"/>
      </w:r>
      <w:r w:rsidRPr="00874AFB">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w:t>
      </w:r>
      <w:r w:rsidRPr="00874AFB">
        <w:rPr>
          <w:rFonts w:ascii="Palatino Linotype" w:hAnsi="Palatino Linotype"/>
          <w:color w:val="000000"/>
          <w:lang w:val="es-ES_tradnl"/>
        </w:rPr>
        <w:lastRenderedPageBreak/>
        <w:t>información que emiten los Sujetos Obligados siguen sin observar los requisitos, tanto por la complejidad del procedimiento como por la falta de atención de los operadores jurídicos.</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874AFB">
        <w:rPr>
          <w:rFonts w:ascii="Palatino Linotype" w:hAnsi="Palatino Linotype" w:cs="Arial"/>
          <w:b/>
          <w:bCs/>
          <w:color w:val="000000"/>
          <w:lang w:val="es-ES_tradnl"/>
        </w:rPr>
        <w:t>SUJETO OBLIGADO</w:t>
      </w:r>
      <w:r w:rsidRPr="00874AFB">
        <w:rPr>
          <w:rFonts w:ascii="Palatino Linotype" w:hAnsi="Palatino Linotype" w:cs="Arial"/>
          <w:color w:val="000000"/>
          <w:lang w:val="es-ES_tradnl"/>
        </w:rPr>
        <w:t xml:space="preserve"> </w:t>
      </w:r>
      <w:r w:rsidRPr="00874AFB">
        <w:rPr>
          <w:rFonts w:ascii="Palatino Linotype" w:hAnsi="Palatino Linotype"/>
          <w:color w:val="000000"/>
          <w:lang w:val="es-ES_tradnl"/>
        </w:rPr>
        <w:t>para emitir este tipo de acuerdos y que el Órgano Garante debe verificar que se cumplan.</w:t>
      </w:r>
    </w:p>
    <w:p w:rsidR="00E62455" w:rsidRPr="00874AFB" w:rsidRDefault="00E62455" w:rsidP="00E62455">
      <w:pPr>
        <w:spacing w:line="360" w:lineRule="auto"/>
        <w:jc w:val="both"/>
        <w:rPr>
          <w:rFonts w:ascii="Palatino Linotype" w:hAnsi="Palatino Linotype"/>
          <w:color w:val="000000"/>
          <w:lang w:val="es-ES_tradnl"/>
        </w:rPr>
      </w:pPr>
    </w:p>
    <w:p w:rsidR="00E62455" w:rsidRPr="00874AFB" w:rsidRDefault="00E62455" w:rsidP="00E62455">
      <w:pPr>
        <w:keepNext/>
        <w:keepLines/>
        <w:pBdr>
          <w:top w:val="nil"/>
          <w:left w:val="nil"/>
          <w:bottom w:val="nil"/>
          <w:right w:val="nil"/>
          <w:between w:val="nil"/>
          <w:bar w:val="nil"/>
        </w:pBdr>
        <w:spacing w:line="360" w:lineRule="auto"/>
        <w:contextualSpacing/>
        <w:outlineLvl w:val="0"/>
        <w:rPr>
          <w:rFonts w:ascii="Palatino Linotype" w:hAnsi="Palatino Linotype"/>
          <w:b/>
          <w:color w:val="000000"/>
          <w:lang w:eastAsia="en-US"/>
        </w:rPr>
      </w:pPr>
      <w:bookmarkStart w:id="28" w:name="_Toc485631700"/>
      <w:bookmarkStart w:id="29" w:name="_Toc500756710"/>
      <w:bookmarkStart w:id="30" w:name="_Toc536691778"/>
      <w:bookmarkStart w:id="31" w:name="_Toc80889845"/>
      <w:bookmarkStart w:id="32" w:name="_Toc81260556"/>
      <w:bookmarkStart w:id="33" w:name="_Toc81384828"/>
      <w:r w:rsidRPr="00874AFB">
        <w:rPr>
          <w:rFonts w:ascii="Palatino Linotype" w:hAnsi="Palatino Linotype"/>
          <w:b/>
          <w:color w:val="000000"/>
          <w:lang w:eastAsia="en-US"/>
        </w:rPr>
        <w:t>a) Requisitos previos.</w:t>
      </w:r>
      <w:bookmarkEnd w:id="28"/>
      <w:bookmarkEnd w:id="29"/>
      <w:bookmarkEnd w:id="30"/>
      <w:bookmarkEnd w:id="31"/>
      <w:bookmarkEnd w:id="32"/>
      <w:bookmarkEnd w:id="33"/>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 xml:space="preserve">Los </w:t>
      </w:r>
      <w:r w:rsidRPr="00874AFB">
        <w:rPr>
          <w:rFonts w:ascii="Palatino Linotype" w:hAnsi="Palatino Linotype"/>
          <w:color w:val="000000"/>
          <w:lang w:val="es-ES_tradnl"/>
        </w:rPr>
        <w:t>artículos</w:t>
      </w:r>
      <w:r w:rsidRPr="00874AFB">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 xml:space="preserve">Además, se debe señalar el procedimiento, de los tres que establecen los artículos 132 y 106 de la Ley Estatal y General, respectivamente, por el que se realiza dicha clasificación, a saber, cuando se atiende una solicitud de acceso a la información, </w:t>
      </w:r>
      <w:r w:rsidRPr="00874AFB">
        <w:rPr>
          <w:rFonts w:ascii="Palatino Linotype" w:hAnsi="Palatino Linotype" w:cs="Arial"/>
          <w:color w:val="000000"/>
          <w:lang w:val="es-ES_tradnl"/>
        </w:rPr>
        <w:lastRenderedPageBreak/>
        <w:t>porque lo determina una autoridad competente o porque se va a generar una versión pública para cumplir con sus obligaciones.</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62455" w:rsidRPr="00874AFB" w:rsidRDefault="00E62455" w:rsidP="00E62455">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34" w:name="_Toc485631701"/>
      <w:bookmarkStart w:id="35" w:name="_Toc500756711"/>
      <w:bookmarkStart w:id="36" w:name="_Toc536691779"/>
      <w:bookmarkStart w:id="37" w:name="_Toc80889846"/>
      <w:bookmarkStart w:id="38" w:name="_Toc81260557"/>
      <w:bookmarkStart w:id="39" w:name="_Toc81384829"/>
      <w:r w:rsidRPr="00874AFB">
        <w:rPr>
          <w:rFonts w:ascii="Palatino Linotype" w:hAnsi="Palatino Linotype"/>
          <w:b/>
          <w:color w:val="000000"/>
          <w:lang w:eastAsia="en-US"/>
        </w:rPr>
        <w:t>b) Supuestos de clasificación.</w:t>
      </w:r>
      <w:bookmarkEnd w:id="34"/>
      <w:bookmarkEnd w:id="35"/>
      <w:bookmarkEnd w:id="36"/>
      <w:bookmarkEnd w:id="37"/>
      <w:bookmarkEnd w:id="38"/>
      <w:bookmarkEnd w:id="39"/>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rsidR="00E62455" w:rsidRPr="00874AFB" w:rsidRDefault="00E62455" w:rsidP="00E62455">
      <w:pPr>
        <w:spacing w:line="360" w:lineRule="auto"/>
        <w:ind w:right="49"/>
        <w:contextualSpacing/>
        <w:jc w:val="both"/>
        <w:rPr>
          <w:rFonts w:ascii="Palatino Linotype" w:hAnsi="Palatino Linotype" w:cs="Arial"/>
          <w:color w:val="000000"/>
          <w:lang w:val="es-ES_tradnl"/>
        </w:rPr>
      </w:pPr>
    </w:p>
    <w:p w:rsidR="00E62455" w:rsidRPr="00874AFB" w:rsidRDefault="00E62455" w:rsidP="00E62455">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874AFB">
        <w:rPr>
          <w:rFonts w:ascii="Palatino Linotype" w:hAnsi="Palatino Linotype" w:cs="Bookman Old Style"/>
          <w:bCs/>
          <w:i/>
          <w:iCs/>
          <w:color w:val="000000"/>
          <w:lang w:val="es-ES_tradnl"/>
        </w:rPr>
        <w:t>“</w:t>
      </w:r>
      <w:r w:rsidRPr="00874AFB">
        <w:rPr>
          <w:rFonts w:ascii="Palatino Linotype" w:hAnsi="Palatino Linotype" w:cs="Bookman Old Style"/>
          <w:b/>
          <w:i/>
          <w:iCs/>
          <w:color w:val="000000"/>
          <w:lang w:val="es-ES_tradnl"/>
        </w:rPr>
        <w:t>I.</w:t>
      </w:r>
      <w:r w:rsidRPr="00874AFB">
        <w:rPr>
          <w:rFonts w:ascii="Palatino Linotype" w:hAnsi="Palatino Linotype" w:cs="Bookman Old Style"/>
          <w:bCs/>
          <w:i/>
          <w:iCs/>
          <w:color w:val="000000"/>
          <w:lang w:val="es-ES_tradnl"/>
        </w:rPr>
        <w:t xml:space="preserve"> </w:t>
      </w:r>
      <w:r w:rsidRPr="00874AFB">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rsidR="00E62455" w:rsidRPr="00874AFB" w:rsidRDefault="00E62455" w:rsidP="00E62455">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874AFB">
        <w:rPr>
          <w:rFonts w:ascii="Palatino Linotype" w:hAnsi="Palatino Linotype" w:cs="Bookman Old Style"/>
          <w:b/>
          <w:i/>
          <w:iCs/>
          <w:color w:val="000000"/>
          <w:lang w:val="es-ES_tradnl"/>
        </w:rPr>
        <w:t>II.</w:t>
      </w:r>
      <w:r w:rsidRPr="00874AFB">
        <w:rPr>
          <w:rFonts w:ascii="Palatino Linotype" w:hAnsi="Palatino Linotype" w:cs="Bookman Old Style"/>
          <w:bCs/>
          <w:i/>
          <w:iCs/>
          <w:color w:val="000000"/>
          <w:lang w:val="es-ES_tradnl"/>
        </w:rPr>
        <w:t xml:space="preserve"> </w:t>
      </w:r>
      <w:r w:rsidRPr="00874AFB">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2455" w:rsidRPr="00874AFB" w:rsidRDefault="00E62455" w:rsidP="00E62455">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874AFB">
        <w:rPr>
          <w:rFonts w:ascii="Palatino Linotype" w:hAnsi="Palatino Linotype" w:cs="Bookman Old Style"/>
          <w:b/>
          <w:i/>
          <w:iCs/>
          <w:color w:val="000000"/>
          <w:lang w:val="es-ES_tradnl"/>
        </w:rPr>
        <w:t>III.</w:t>
      </w:r>
      <w:r w:rsidRPr="00874AFB">
        <w:rPr>
          <w:rFonts w:ascii="Palatino Linotype" w:hAnsi="Palatino Linotype" w:cs="Bookman Old Style"/>
          <w:bCs/>
          <w:i/>
          <w:iCs/>
          <w:color w:val="000000"/>
          <w:lang w:val="es-ES_tradnl"/>
        </w:rPr>
        <w:t xml:space="preserve"> </w:t>
      </w:r>
      <w:r w:rsidRPr="00874AFB">
        <w:rPr>
          <w:rFonts w:ascii="Palatino Linotype" w:hAnsi="Palatino Linotype" w:cs="Bookman Old Style"/>
          <w:i/>
          <w:iCs/>
          <w:color w:val="000000"/>
          <w:lang w:val="es-ES_tradnl"/>
        </w:rPr>
        <w:t xml:space="preserve">La que presenten los particulares a los sujetos obligados, de conformidad con </w:t>
      </w:r>
      <w:r w:rsidRPr="00874AFB">
        <w:rPr>
          <w:rFonts w:ascii="Palatino Linotype" w:hAnsi="Palatino Linotype" w:cs="Bookman Old Style"/>
          <w:i/>
          <w:iCs/>
          <w:color w:val="000000"/>
          <w:lang w:val="es-ES_tradnl"/>
        </w:rPr>
        <w:lastRenderedPageBreak/>
        <w:t xml:space="preserve">lo dispuesto por las leyes o los tratados internacionales. </w:t>
      </w:r>
    </w:p>
    <w:p w:rsidR="00E62455" w:rsidRPr="00874AFB" w:rsidRDefault="00E62455" w:rsidP="00E62455">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874AFB">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rsidR="00E62455" w:rsidRPr="00874AFB" w:rsidRDefault="00E62455" w:rsidP="00E62455">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874AFB">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 xml:space="preserve">Como consecuencia de lo anterior, el </w:t>
      </w:r>
      <w:r w:rsidRPr="00874AFB">
        <w:rPr>
          <w:rFonts w:ascii="Palatino Linotype" w:hAnsi="Palatino Linotype" w:cs="Arial"/>
          <w:b/>
          <w:bCs/>
          <w:color w:val="000000"/>
          <w:lang w:val="es-ES_tradnl"/>
        </w:rPr>
        <w:t>SUJETO OBLIGADO</w:t>
      </w:r>
      <w:r w:rsidRPr="00874AFB">
        <w:rPr>
          <w:rFonts w:ascii="Palatino Linotype" w:hAnsi="Palatino Linotype" w:cs="Arial"/>
          <w:color w:val="000000"/>
          <w:lang w:val="es-ES_tradnl"/>
        </w:rPr>
        <w:t xml:space="preserve"> debe identificar claramente el tipo de información y hacer un juicio de subsunción o encaje</w:t>
      </w:r>
      <w:r w:rsidRPr="00874AFB">
        <w:rPr>
          <w:rFonts w:ascii="Palatino Linotype" w:hAnsi="Palatino Linotype"/>
          <w:vertAlign w:val="superscript"/>
          <w:lang w:val="es-ES_tradnl"/>
        </w:rPr>
        <w:footnoteReference w:id="9"/>
      </w:r>
      <w:r w:rsidRPr="00874AFB">
        <w:rPr>
          <w:rFonts w:ascii="Palatino Linotype" w:hAnsi="Palatino Linotype" w:cs="Arial"/>
          <w:color w:val="000000"/>
          <w:lang w:val="es-ES_tradnl"/>
        </w:rPr>
        <w:t xml:space="preserve"> para </w:t>
      </w:r>
      <w:r w:rsidRPr="00874AFB">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rsidR="00E62455" w:rsidRPr="00874AFB" w:rsidRDefault="00E62455" w:rsidP="00E62455">
      <w:pPr>
        <w:spacing w:line="360" w:lineRule="auto"/>
        <w:contextualSpacing/>
        <w:jc w:val="both"/>
        <w:rPr>
          <w:rFonts w:ascii="Palatino Linotype" w:hAnsi="Palatino Linotype"/>
          <w:b/>
          <w:color w:val="000000"/>
          <w:lang w:val="es-ES_tradnl"/>
        </w:rPr>
      </w:pPr>
    </w:p>
    <w:p w:rsidR="00E62455" w:rsidRPr="00874AFB" w:rsidRDefault="00E62455" w:rsidP="00E62455">
      <w:pPr>
        <w:keepNext/>
        <w:keepLines/>
        <w:pBdr>
          <w:top w:val="nil"/>
          <w:left w:val="nil"/>
          <w:bottom w:val="nil"/>
          <w:right w:val="nil"/>
          <w:between w:val="nil"/>
          <w:bar w:val="nil"/>
        </w:pBdr>
        <w:spacing w:line="360" w:lineRule="auto"/>
        <w:contextualSpacing/>
        <w:jc w:val="both"/>
        <w:outlineLvl w:val="0"/>
        <w:rPr>
          <w:rFonts w:ascii="Palatino Linotype" w:hAnsi="Palatino Linotype"/>
          <w:b/>
          <w:color w:val="000000"/>
          <w:lang w:eastAsia="en-US"/>
        </w:rPr>
      </w:pPr>
      <w:bookmarkStart w:id="40" w:name="_Toc485631702"/>
      <w:bookmarkStart w:id="41" w:name="_Toc500756712"/>
      <w:bookmarkStart w:id="42" w:name="_Toc536691780"/>
      <w:bookmarkStart w:id="43" w:name="_Toc80889847"/>
      <w:bookmarkStart w:id="44" w:name="_Toc81260558"/>
      <w:bookmarkStart w:id="45" w:name="_Toc81384830"/>
      <w:r w:rsidRPr="00874AFB">
        <w:rPr>
          <w:rFonts w:ascii="Palatino Linotype" w:hAnsi="Palatino Linotype"/>
          <w:b/>
          <w:color w:val="000000"/>
          <w:lang w:eastAsia="en-US"/>
        </w:rPr>
        <w:t>c) Excepciones a los supuestos de clasificación de la información como reservada.</w:t>
      </w:r>
      <w:bookmarkEnd w:id="40"/>
      <w:bookmarkEnd w:id="41"/>
      <w:bookmarkEnd w:id="42"/>
      <w:bookmarkEnd w:id="43"/>
      <w:bookmarkEnd w:id="44"/>
      <w:bookmarkEnd w:id="45"/>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olor w:val="000000"/>
        </w:rPr>
        <w:t xml:space="preserve">En </w:t>
      </w:r>
      <w:r w:rsidRPr="00874AFB">
        <w:rPr>
          <w:rFonts w:ascii="Palatino Linotype" w:hAnsi="Palatino Linotype" w:cs="Arial"/>
          <w:color w:val="000000"/>
          <w:lang w:val="es-ES_tradnl"/>
        </w:rPr>
        <w:t>todos</w:t>
      </w:r>
      <w:r w:rsidRPr="00874AFB">
        <w:rPr>
          <w:rFonts w:ascii="Palatino Linotype" w:hAnsi="Palatino Linotype"/>
          <w:color w:val="000000"/>
        </w:rPr>
        <w:t xml:space="preserve"> aquellos casos en los que se pretende adoptar una clasificación de la información como reservada, hay que considerar lo señalado por los artículos 5, 140 y 142 de la Ley Estatal y 5, 113 fracción III y 115 de la Ley General, que establecen </w:t>
      </w:r>
      <w:r w:rsidRPr="00874AFB">
        <w:rPr>
          <w:rFonts w:ascii="Palatino Linotype" w:hAnsi="Palatino Linotype"/>
          <w:b/>
          <w:color w:val="000000"/>
        </w:rPr>
        <w:t>qué no puede clasificarse como información reservada:</w:t>
      </w:r>
    </w:p>
    <w:p w:rsidR="00E62455" w:rsidRPr="00874AFB" w:rsidRDefault="00E62455" w:rsidP="00E62455">
      <w:pPr>
        <w:spacing w:line="360" w:lineRule="auto"/>
        <w:ind w:right="49"/>
        <w:contextualSpacing/>
        <w:jc w:val="both"/>
        <w:rPr>
          <w:rFonts w:ascii="Palatino Linotype" w:hAnsi="Palatino Linotype"/>
          <w:b/>
          <w:color w:val="000000"/>
        </w:rPr>
      </w:pPr>
    </w:p>
    <w:p w:rsidR="00E62455" w:rsidRPr="00874AFB" w:rsidRDefault="00E62455" w:rsidP="00E62455">
      <w:pPr>
        <w:spacing w:line="360" w:lineRule="auto"/>
        <w:ind w:left="567" w:right="567"/>
        <w:contextualSpacing/>
        <w:jc w:val="both"/>
        <w:rPr>
          <w:rFonts w:ascii="Palatino Linotype" w:hAnsi="Palatino Linotype"/>
          <w:b/>
          <w:i/>
          <w:iCs/>
          <w:color w:val="000000"/>
          <w:lang w:val="es-ES"/>
        </w:rPr>
      </w:pPr>
      <w:r w:rsidRPr="00874AFB">
        <w:rPr>
          <w:rFonts w:ascii="Palatino Linotype" w:hAnsi="Palatino Linotype"/>
          <w:bCs/>
          <w:color w:val="000000"/>
          <w:lang w:val="es-ES"/>
        </w:rPr>
        <w:t>“</w:t>
      </w:r>
      <w:r w:rsidRPr="00874AFB">
        <w:rPr>
          <w:rFonts w:ascii="Palatino Linotype" w:hAnsi="Palatino Linotype"/>
          <w:b/>
          <w:i/>
          <w:iCs/>
          <w:color w:val="000000"/>
          <w:lang w:val="es-ES"/>
        </w:rPr>
        <w:t>I. Se trate de violaciones graves de derechos humanos, calificada así por autoridad competente;</w:t>
      </w:r>
    </w:p>
    <w:p w:rsidR="00E62455" w:rsidRPr="00874AFB" w:rsidRDefault="00E62455" w:rsidP="00E62455">
      <w:pPr>
        <w:spacing w:line="360" w:lineRule="auto"/>
        <w:ind w:left="567" w:right="567"/>
        <w:contextualSpacing/>
        <w:jc w:val="both"/>
        <w:rPr>
          <w:rFonts w:ascii="Palatino Linotype" w:hAnsi="Palatino Linotype"/>
          <w:b/>
          <w:i/>
          <w:iCs/>
          <w:color w:val="000000"/>
          <w:lang w:val="es-ES"/>
        </w:rPr>
      </w:pPr>
      <w:r w:rsidRPr="00874AFB">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62455" w:rsidRPr="00874AFB" w:rsidRDefault="00E62455" w:rsidP="00E62455">
      <w:pPr>
        <w:spacing w:line="360" w:lineRule="auto"/>
        <w:ind w:left="567" w:right="567"/>
        <w:contextualSpacing/>
        <w:jc w:val="both"/>
        <w:rPr>
          <w:rFonts w:ascii="Palatino Linotype" w:hAnsi="Palatino Linotype"/>
          <w:b/>
          <w:i/>
          <w:iCs/>
          <w:color w:val="000000"/>
          <w:lang w:val="es-ES"/>
        </w:rPr>
      </w:pPr>
      <w:r w:rsidRPr="00874AFB">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62455" w:rsidRPr="00874AFB" w:rsidRDefault="00E62455" w:rsidP="00E62455">
      <w:pPr>
        <w:spacing w:line="360" w:lineRule="auto"/>
        <w:ind w:left="567" w:right="567"/>
        <w:contextualSpacing/>
        <w:jc w:val="both"/>
        <w:rPr>
          <w:rFonts w:ascii="Palatino Linotype" w:hAnsi="Palatino Linotype"/>
          <w:bCs/>
          <w:color w:val="000000"/>
          <w:lang w:val="es-ES"/>
        </w:rPr>
      </w:pPr>
      <w:r w:rsidRPr="00874AFB">
        <w:rPr>
          <w:rFonts w:ascii="Palatino Linotype" w:hAnsi="Palatino Linotype"/>
          <w:b/>
          <w:i/>
          <w:iCs/>
          <w:color w:val="000000"/>
          <w:lang w:val="es-ES"/>
        </w:rPr>
        <w:lastRenderedPageBreak/>
        <w:t>IV. Se trate de información relacionada con actos de corrupción de conformidad con las disposiciones jurídicas aplicables.</w:t>
      </w:r>
      <w:r w:rsidRPr="00874AFB">
        <w:rPr>
          <w:rFonts w:ascii="Palatino Linotype" w:hAnsi="Palatino Linotype"/>
          <w:bCs/>
          <w:color w:val="000000"/>
          <w:lang w:val="es-ES"/>
        </w:rPr>
        <w:t>”</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olor w:val="000000"/>
        </w:rPr>
        <w:t>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w:t>
      </w:r>
    </w:p>
    <w:p w:rsidR="00E62455" w:rsidRPr="00874AFB" w:rsidRDefault="00E62455" w:rsidP="00E62455">
      <w:pPr>
        <w:spacing w:line="360" w:lineRule="auto"/>
        <w:contextualSpacing/>
        <w:jc w:val="both"/>
        <w:rPr>
          <w:rFonts w:ascii="Palatino Linotype" w:hAnsi="Palatino Linotype"/>
          <w:color w:val="000000"/>
          <w:lang w:val="es-ES"/>
        </w:rPr>
      </w:pPr>
    </w:p>
    <w:p w:rsidR="00E62455" w:rsidRPr="00874AFB" w:rsidRDefault="00E62455" w:rsidP="00E62455">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46" w:name="_Toc485631703"/>
      <w:bookmarkStart w:id="47" w:name="_Toc500756713"/>
      <w:bookmarkStart w:id="48" w:name="_Toc536691781"/>
      <w:bookmarkStart w:id="49" w:name="_Toc80889848"/>
      <w:bookmarkStart w:id="50" w:name="_Toc81384831"/>
      <w:r w:rsidRPr="00874AFB">
        <w:rPr>
          <w:rFonts w:ascii="Palatino Linotype" w:hAnsi="Palatino Linotype"/>
          <w:b/>
          <w:color w:val="000000"/>
          <w:lang w:eastAsia="en-US"/>
        </w:rPr>
        <w:t>II. La intervención del Comité de Transparencia.</w:t>
      </w:r>
      <w:bookmarkEnd w:id="46"/>
      <w:bookmarkEnd w:id="47"/>
      <w:bookmarkEnd w:id="48"/>
      <w:bookmarkEnd w:id="49"/>
      <w:bookmarkEnd w:id="50"/>
    </w:p>
    <w:p w:rsidR="00E62455" w:rsidRPr="00874AFB" w:rsidRDefault="00E62455" w:rsidP="00E62455">
      <w:pPr>
        <w:spacing w:line="360" w:lineRule="auto"/>
        <w:contextualSpacing/>
        <w:jc w:val="both"/>
        <w:rPr>
          <w:rFonts w:ascii="Palatino Linotype" w:hAnsi="Palatino Linotype" w:cs="Arial"/>
          <w:b/>
          <w:color w:val="000000"/>
          <w:lang w:val="es-ES_tradnl"/>
        </w:rPr>
      </w:pPr>
    </w:p>
    <w:p w:rsidR="00E62455" w:rsidRPr="00874AFB" w:rsidRDefault="00E62455" w:rsidP="00E62455">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51" w:name="_Toc485631704"/>
      <w:bookmarkStart w:id="52" w:name="_Toc500756714"/>
      <w:bookmarkStart w:id="53" w:name="_Toc536691782"/>
      <w:bookmarkStart w:id="54" w:name="_Toc80889849"/>
      <w:bookmarkStart w:id="55" w:name="_Toc81260560"/>
      <w:bookmarkStart w:id="56" w:name="_Toc81384832"/>
      <w:r w:rsidRPr="00874AFB">
        <w:rPr>
          <w:rFonts w:ascii="Palatino Linotype" w:hAnsi="Palatino Linotype"/>
          <w:b/>
          <w:color w:val="000000"/>
          <w:lang w:eastAsia="en-US"/>
        </w:rPr>
        <w:t>a) Formalidades para emitir el acuerdo de clasificación.</w:t>
      </w:r>
      <w:bookmarkEnd w:id="51"/>
      <w:bookmarkEnd w:id="52"/>
      <w:bookmarkEnd w:id="53"/>
      <w:bookmarkEnd w:id="54"/>
      <w:bookmarkEnd w:id="55"/>
      <w:bookmarkEnd w:id="56"/>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 xml:space="preserve">El </w:t>
      </w:r>
      <w:r w:rsidRPr="00874AFB">
        <w:rPr>
          <w:rFonts w:ascii="Palatino Linotype" w:hAnsi="Palatino Linotype"/>
          <w:color w:val="000000"/>
        </w:rPr>
        <w:t>Comité</w:t>
      </w:r>
      <w:r w:rsidRPr="00874AFB">
        <w:rPr>
          <w:rFonts w:ascii="Palatino Linotype" w:hAnsi="Palatino Linotype" w:cs="Arial"/>
          <w:color w:val="000000"/>
          <w:lang w:val="es-ES_tradnl"/>
        </w:rPr>
        <w:t xml:space="preserve"> de Transparencia, según lo dispuesto en los artículos 128 y 103 de la Ley Estatal y de la Ley General, respectivamente, y </w:t>
      </w:r>
      <w:r w:rsidRPr="00874AFB">
        <w:rPr>
          <w:rFonts w:ascii="Palatino Linotype" w:hAnsi="Palatino Linotype"/>
          <w:color w:val="000000"/>
          <w:lang w:val="es-ES_tradnl"/>
        </w:rPr>
        <w:t xml:space="preserve">la fracción III del numeral Segundo de los </w:t>
      </w:r>
      <w:r w:rsidRPr="00874AFB">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874AFB">
        <w:rPr>
          <w:rFonts w:ascii="Palatino Linotype" w:hAnsi="Palatino Linotype"/>
          <w:color w:val="000000"/>
          <w:lang w:val="es-ES_tradnl"/>
        </w:rPr>
        <w:t xml:space="preserve"> </w:t>
      </w:r>
      <w:r w:rsidRPr="00874AFB">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olor w:val="000000"/>
          <w:lang w:val="es-ES_tradnl"/>
        </w:rPr>
        <w:t xml:space="preserve">La </w:t>
      </w:r>
      <w:r w:rsidRPr="00874AFB">
        <w:rPr>
          <w:rFonts w:ascii="Palatino Linotype" w:hAnsi="Palatino Linotype" w:cs="Arial"/>
          <w:color w:val="000000"/>
          <w:lang w:val="es-ES_tradnl"/>
        </w:rPr>
        <w:t>decisión</w:t>
      </w:r>
      <w:r w:rsidRPr="00874AFB">
        <w:rPr>
          <w:rFonts w:ascii="Palatino Linotype" w:hAnsi="Palatino Linotype"/>
          <w:color w:val="000000"/>
          <w:lang w:val="es-ES_tradnl"/>
        </w:rPr>
        <w:t xml:space="preserve">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57" w:name="_Toc485631705"/>
      <w:bookmarkStart w:id="58" w:name="_Toc500756715"/>
      <w:bookmarkStart w:id="59" w:name="_Toc536691783"/>
      <w:bookmarkStart w:id="60" w:name="_Toc80889850"/>
      <w:bookmarkStart w:id="61" w:name="_Toc81260561"/>
      <w:bookmarkStart w:id="62" w:name="_Toc81384833"/>
      <w:r w:rsidRPr="00874AFB">
        <w:rPr>
          <w:rFonts w:ascii="Palatino Linotype" w:hAnsi="Palatino Linotype"/>
          <w:b/>
          <w:color w:val="000000"/>
          <w:lang w:eastAsia="en-US"/>
        </w:rPr>
        <w:t>b) Requisitos de fondo del acuerdo de clasificación.</w:t>
      </w:r>
      <w:bookmarkEnd w:id="57"/>
      <w:bookmarkEnd w:id="58"/>
      <w:bookmarkEnd w:id="59"/>
      <w:bookmarkEnd w:id="60"/>
      <w:bookmarkEnd w:id="61"/>
      <w:bookmarkEnd w:id="62"/>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 xml:space="preserve">Como </w:t>
      </w:r>
      <w:r w:rsidRPr="00874AFB">
        <w:rPr>
          <w:rFonts w:ascii="Palatino Linotype" w:hAnsi="Palatino Linotype"/>
          <w:color w:val="000000"/>
          <w:lang w:val="es-ES_tradnl"/>
        </w:rPr>
        <w:t>se</w:t>
      </w:r>
      <w:r w:rsidRPr="00874AFB">
        <w:rPr>
          <w:rFonts w:ascii="Palatino Linotype" w:hAnsi="Palatino Linotype" w:cs="Arial"/>
          <w:color w:val="000000"/>
          <w:lang w:val="es-ES_tradnl"/>
        </w:rPr>
        <w:t xml:space="preserve"> ha señalado antes, al hacer el juicio de subsunción o encaje entre el supuesto de hecho y la hipótesis jurídica, se debe acreditar la estricta correspondencia </w:t>
      </w:r>
      <w:r w:rsidRPr="00874AFB">
        <w:rPr>
          <w:rFonts w:ascii="Palatino Linotype" w:hAnsi="Palatino Linotype" w:cs="Arial"/>
          <w:color w:val="000000"/>
          <w:lang w:val="es-ES_tradnl"/>
        </w:rPr>
        <w:lastRenderedPageBreak/>
        <w:t xml:space="preserve">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olor w:val="000000"/>
          <w:lang w:val="es-ES_tradnl"/>
        </w:rPr>
        <w:t xml:space="preserve">De lo </w:t>
      </w:r>
      <w:r w:rsidRPr="00874AFB">
        <w:rPr>
          <w:rFonts w:ascii="Palatino Linotype" w:hAnsi="Palatino Linotype" w:cs="Arial"/>
          <w:color w:val="000000"/>
          <w:lang w:val="es-ES_tradnl"/>
        </w:rPr>
        <w:t>anterior</w:t>
      </w:r>
      <w:r w:rsidRPr="00874AFB">
        <w:rPr>
          <w:rFonts w:ascii="Palatino Linotype" w:hAnsi="Palatino Linotype"/>
          <w:color w:val="000000"/>
          <w:lang w:val="es-ES_tradnl"/>
        </w:rPr>
        <w:t>,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Han sido vastos los estudios doctrinarios relativos a estos derechos fundamentales y al principio de legalidad en ellos contenidos; como ejemplo, el procesalista José Ovalle Fabela, en su obra “Garantías Constitucionales del Proceso”, refiere que “...</w:t>
      </w:r>
      <w:r w:rsidRPr="00874AFB">
        <w:rPr>
          <w:rFonts w:ascii="Palatino Linotype" w:hAnsi="Palatino Linotype" w:cs="Arial"/>
          <w:i/>
          <w:iCs/>
          <w:color w:val="000000"/>
          <w:lang w:val="es-ES_tradnl"/>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w:t>
      </w:r>
      <w:r w:rsidRPr="00874AFB">
        <w:rPr>
          <w:rFonts w:ascii="Palatino Linotype" w:hAnsi="Palatino Linotype" w:cs="Arial"/>
          <w:i/>
          <w:iCs/>
          <w:color w:val="000000"/>
          <w:lang w:val="es-ES_tradnl"/>
        </w:rPr>
        <w:lastRenderedPageBreak/>
        <w:t>partir del análisis de las pruebas, lo cual se debe exteriorizar en una argumentación o juicio de hecho</w:t>
      </w:r>
      <w:r w:rsidRPr="00874AFB">
        <w:rPr>
          <w:rFonts w:ascii="Palatino Linotype" w:hAnsi="Palatino Linotype" w:cs="Arial"/>
          <w:color w:val="000000"/>
          <w:lang w:val="es-ES_tradnl"/>
        </w:rPr>
        <w:t>...”.</w:t>
      </w:r>
      <w:r w:rsidRPr="00874AFB">
        <w:rPr>
          <w:rFonts w:ascii="Palatino Linotype" w:hAnsi="Palatino Linotype"/>
          <w:vertAlign w:val="superscript"/>
          <w:lang w:val="es-ES_tradnl"/>
        </w:rPr>
        <w:footnoteReference w:id="10"/>
      </w: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Por su parte, el intérprete judicial del país ha establecido una jurisprudencia respecto a qué debe entenderse por fundamentación y motivación, en los siguientes términos</w:t>
      </w:r>
      <w:r w:rsidRPr="00874AFB">
        <w:rPr>
          <w:rFonts w:ascii="Palatino Linotype" w:hAnsi="Palatino Linotype"/>
          <w:i/>
          <w:vertAlign w:val="superscript"/>
          <w:lang w:val="es-ES_tradnl"/>
        </w:rPr>
        <w:footnoteReference w:id="11"/>
      </w:r>
      <w:r w:rsidRPr="00874AFB">
        <w:rPr>
          <w:rFonts w:ascii="Palatino Linotype" w:hAnsi="Palatino Linotype" w:cs="Arial"/>
          <w:color w:val="000000"/>
          <w:lang w:val="es-ES_tradnl"/>
        </w:rPr>
        <w:t>:</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pStyle w:val="Prrafodelista"/>
        <w:spacing w:line="360" w:lineRule="auto"/>
        <w:ind w:left="644" w:right="618"/>
        <w:jc w:val="both"/>
        <w:rPr>
          <w:rFonts w:ascii="Palatino Linotype" w:hAnsi="Palatino Linotype" w:cs="Arial"/>
          <w:i/>
          <w:color w:val="000000"/>
          <w:lang w:val="es-ES_tradnl"/>
        </w:rPr>
      </w:pPr>
      <w:r w:rsidRPr="00874AFB">
        <w:rPr>
          <w:rFonts w:ascii="Palatino Linotype" w:hAnsi="Palatino Linotype" w:cs="Arial"/>
          <w:b/>
          <w:i/>
          <w:color w:val="000000"/>
          <w:lang w:val="es-ES_tradnl"/>
        </w:rPr>
        <w:t>FUNDAMENTACIÓN Y MOTIVACIÓN.</w:t>
      </w:r>
      <w:r w:rsidRPr="00874AFB">
        <w:rPr>
          <w:rFonts w:ascii="Palatino Linotype" w:hAnsi="Palatino Linotype" w:cs="Arial"/>
          <w:i/>
          <w:color w:val="000000"/>
          <w:lang w:val="es-ES_tradnl"/>
        </w:rPr>
        <w:t xml:space="preserve"> “La </w:t>
      </w:r>
      <w:r w:rsidRPr="00874AFB">
        <w:rPr>
          <w:rFonts w:ascii="Palatino Linotype" w:hAnsi="Palatino Linotype" w:cs="Arial"/>
          <w:i/>
          <w:color w:val="000000"/>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74AFB">
        <w:rPr>
          <w:rFonts w:ascii="Palatino Linotype" w:hAnsi="Palatino Linotype" w:cs="Arial"/>
          <w:i/>
          <w:color w:val="000000"/>
          <w:lang w:val="es-ES_tradnl"/>
        </w:rPr>
        <w:t>.”</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874AFB">
        <w:rPr>
          <w:rFonts w:ascii="Palatino Linotype" w:hAnsi="Palatino Linotype" w:cs="Arial"/>
          <w:color w:val="000000"/>
          <w:lang w:val="es-ES_tradnl"/>
        </w:rPr>
        <w:lastRenderedPageBreak/>
        <w:t>modo, la persona que se sienta afectada pueda impugnar la decisión, permitiéndole una real y auténtica defensa.</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En ese mismo sentido, el lineamiento trigésimo tercero fracción V de los Lineamientos Generales, precisa que para motivar la clasificación se deben acreditar las circunstancias de tiempo, modo y lugar.</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74AFB">
        <w:rPr>
          <w:rFonts w:ascii="Palatino Linotype" w:hAnsi="Palatino Linotype"/>
          <w:color w:val="000000"/>
          <w:lang w:val="es-ES_tradnl"/>
        </w:rPr>
        <w:t xml:space="preserve"> </w:t>
      </w:r>
      <w:r w:rsidRPr="00874AFB">
        <w:rPr>
          <w:rFonts w:ascii="Palatino Linotype" w:hAnsi="Palatino Linotype" w:cs="Arial"/>
          <w:color w:val="000000"/>
          <w:lang w:val="es-ES_tradnl"/>
        </w:rPr>
        <w:t>datos personales</w:t>
      </w:r>
      <w:r w:rsidRPr="00874AFB">
        <w:rPr>
          <w:rFonts w:ascii="Palatino Linotype" w:hAnsi="Palatino Linotype"/>
          <w:vertAlign w:val="superscript"/>
          <w:lang w:val="es-ES_tradnl"/>
        </w:rPr>
        <w:footnoteReference w:id="12"/>
      </w:r>
      <w:r w:rsidRPr="00874AFB">
        <w:rPr>
          <w:rFonts w:ascii="Palatino Linotype" w:hAnsi="Palatino Linotype" w:cs="Arial"/>
          <w:color w:val="000000"/>
          <w:lang w:val="es-ES_tradnl"/>
        </w:rPr>
        <w:t xml:space="preserve"> del servidor público que no tienen ninguna injerencia en el tema de la transparencia y la rendición de cuentas,  por ejemplo, </w:t>
      </w:r>
      <w:r w:rsidRPr="00874AFB">
        <w:rPr>
          <w:rFonts w:ascii="Palatino Linotype" w:eastAsia="Calibri" w:hAnsi="Palatino Linotype" w:cs="Arial"/>
          <w:color w:val="000000"/>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eastAsia="Calibri" w:hAnsi="Palatino Linotype" w:cs="Arial"/>
          <w:color w:val="000000"/>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E62455" w:rsidRPr="00874AFB" w:rsidRDefault="00E62455" w:rsidP="00E62455">
      <w:pPr>
        <w:pStyle w:val="Prrafodelista"/>
        <w:spacing w:line="360" w:lineRule="auto"/>
        <w:ind w:left="644"/>
        <w:jc w:val="both"/>
        <w:rPr>
          <w:rFonts w:ascii="Palatino Linotype" w:hAnsi="Palatino Linotype" w:cs="Arial"/>
          <w:color w:val="000000"/>
          <w:lang w:val="es-ES_tradnl"/>
        </w:rPr>
      </w:pPr>
    </w:p>
    <w:p w:rsidR="00E62455" w:rsidRPr="00874AFB" w:rsidRDefault="00E62455" w:rsidP="00E62455">
      <w:pPr>
        <w:pStyle w:val="Prrafodelista"/>
        <w:keepNext/>
        <w:keepLines/>
        <w:pBdr>
          <w:top w:val="nil"/>
          <w:left w:val="nil"/>
          <w:bottom w:val="nil"/>
          <w:right w:val="nil"/>
          <w:between w:val="nil"/>
          <w:bar w:val="nil"/>
        </w:pBdr>
        <w:spacing w:line="360" w:lineRule="auto"/>
        <w:ind w:left="644"/>
        <w:jc w:val="both"/>
        <w:outlineLvl w:val="1"/>
        <w:rPr>
          <w:rFonts w:ascii="Palatino Linotype" w:hAnsi="Palatino Linotype"/>
          <w:b/>
          <w:color w:val="000000"/>
          <w:lang w:eastAsia="en-US"/>
        </w:rPr>
      </w:pPr>
      <w:bookmarkStart w:id="63" w:name="_Toc485631706"/>
      <w:bookmarkStart w:id="64" w:name="_Toc500756716"/>
      <w:bookmarkStart w:id="65" w:name="_Toc536691784"/>
      <w:bookmarkStart w:id="66" w:name="_Toc80889851"/>
      <w:bookmarkStart w:id="67" w:name="_Toc81384834"/>
      <w:r w:rsidRPr="00874AFB">
        <w:rPr>
          <w:rFonts w:ascii="Palatino Linotype" w:hAnsi="Palatino Linotype"/>
          <w:b/>
          <w:color w:val="000000"/>
          <w:lang w:eastAsia="en-US"/>
        </w:rPr>
        <w:t>III. Condiciones especiales de la clasificación de la información como reservada</w:t>
      </w:r>
      <w:bookmarkEnd w:id="63"/>
      <w:bookmarkEnd w:id="64"/>
      <w:bookmarkEnd w:id="65"/>
      <w:bookmarkEnd w:id="66"/>
      <w:bookmarkEnd w:id="67"/>
      <w:r w:rsidRPr="00874AFB">
        <w:rPr>
          <w:rFonts w:ascii="Palatino Linotype" w:hAnsi="Palatino Linotype"/>
          <w:b/>
          <w:color w:val="000000"/>
          <w:lang w:eastAsia="en-US"/>
        </w:rPr>
        <w:t xml:space="preserve"> </w:t>
      </w:r>
    </w:p>
    <w:p w:rsidR="00E62455" w:rsidRPr="00874AFB" w:rsidRDefault="00E62455" w:rsidP="00E62455">
      <w:pPr>
        <w:pStyle w:val="Prrafodelista"/>
        <w:spacing w:line="360" w:lineRule="auto"/>
        <w:ind w:left="644"/>
        <w:jc w:val="both"/>
        <w:rPr>
          <w:rFonts w:ascii="Palatino Linotype" w:hAnsi="Palatino Linotype" w:cs="Arial"/>
          <w:b/>
          <w:color w:val="000000"/>
          <w:lang w:val="es-ES_tradnl"/>
        </w:rPr>
      </w:pPr>
    </w:p>
    <w:p w:rsidR="00E62455" w:rsidRPr="00874AFB" w:rsidRDefault="00E62455" w:rsidP="00E62455">
      <w:pPr>
        <w:pStyle w:val="Ttulo1"/>
        <w:spacing w:before="0" w:line="360" w:lineRule="auto"/>
        <w:ind w:left="644"/>
        <w:rPr>
          <w:rFonts w:ascii="Palatino Linotype" w:hAnsi="Palatino Linotype"/>
          <w:b/>
          <w:color w:val="000000" w:themeColor="text1"/>
          <w:sz w:val="24"/>
          <w:szCs w:val="24"/>
        </w:rPr>
      </w:pPr>
      <w:bookmarkStart w:id="68" w:name="_Toc485631707"/>
      <w:bookmarkStart w:id="69" w:name="_Toc500756717"/>
      <w:bookmarkStart w:id="70" w:name="_Toc536691785"/>
      <w:bookmarkStart w:id="71" w:name="_Toc80889852"/>
      <w:bookmarkStart w:id="72" w:name="_Toc81260563"/>
      <w:bookmarkStart w:id="73" w:name="_Toc81384835"/>
      <w:r w:rsidRPr="00874AFB">
        <w:rPr>
          <w:rFonts w:ascii="Palatino Linotype" w:hAnsi="Palatino Linotype"/>
          <w:b/>
          <w:color w:val="000000" w:themeColor="text1"/>
          <w:sz w:val="24"/>
          <w:szCs w:val="24"/>
        </w:rPr>
        <w:t>a) La fundamentación específica.</w:t>
      </w:r>
      <w:bookmarkEnd w:id="68"/>
      <w:bookmarkEnd w:id="69"/>
      <w:bookmarkEnd w:id="70"/>
      <w:bookmarkEnd w:id="71"/>
      <w:bookmarkEnd w:id="72"/>
      <w:bookmarkEnd w:id="73"/>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874AFB">
        <w:rPr>
          <w:rFonts w:ascii="Palatino Linotype" w:hAnsi="Palatino Linotype" w:cs="Arial"/>
          <w:b/>
          <w:bCs/>
          <w:color w:val="000000"/>
          <w:lang w:val="es-ES_tradnl"/>
        </w:rPr>
        <w:t>SUJETO OBLIGADO</w:t>
      </w:r>
      <w:r w:rsidRPr="00874AFB">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E62455" w:rsidRPr="00874AFB" w:rsidRDefault="00E62455" w:rsidP="00E62455">
      <w:pPr>
        <w:pStyle w:val="Ttulo1"/>
        <w:spacing w:before="0" w:line="360" w:lineRule="auto"/>
        <w:rPr>
          <w:rFonts w:ascii="Palatino Linotype" w:hAnsi="Palatino Linotype"/>
          <w:b/>
          <w:sz w:val="24"/>
          <w:szCs w:val="24"/>
          <w:lang w:eastAsia="en-US"/>
        </w:rPr>
      </w:pPr>
      <w:bookmarkStart w:id="74" w:name="_Toc485631709"/>
      <w:bookmarkStart w:id="75" w:name="_Toc500756719"/>
      <w:bookmarkStart w:id="76" w:name="_Toc536691787"/>
      <w:bookmarkStart w:id="77" w:name="_Toc80889854"/>
      <w:bookmarkStart w:id="78" w:name="_Toc81260564"/>
      <w:bookmarkStart w:id="79" w:name="_Toc81384836"/>
      <w:r w:rsidRPr="00874AFB">
        <w:rPr>
          <w:rFonts w:ascii="Palatino Linotype" w:hAnsi="Palatino Linotype"/>
          <w:b/>
          <w:color w:val="000000" w:themeColor="text1"/>
          <w:sz w:val="24"/>
          <w:szCs w:val="24"/>
          <w:lang w:eastAsia="en-US"/>
        </w:rPr>
        <w:t>b) La clasificación de la información reservada debe ser de manera temporal.</w:t>
      </w:r>
      <w:bookmarkEnd w:id="74"/>
      <w:bookmarkEnd w:id="75"/>
      <w:bookmarkEnd w:id="76"/>
      <w:bookmarkEnd w:id="77"/>
      <w:bookmarkEnd w:id="78"/>
      <w:bookmarkEnd w:id="79"/>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olor w:val="000000"/>
          <w:lang w:val="es-ES_tradnl"/>
        </w:rPr>
        <w:t xml:space="preserve">La información que ha sido clasificada como reservada, tiene la cualidad de que esta debe ser de carácter temporal, es decir, no debe perpetuarse o petrificarse su </w:t>
      </w:r>
      <w:r w:rsidRPr="00874AFB">
        <w:rPr>
          <w:rFonts w:ascii="Palatino Linotype" w:hAnsi="Palatino Linotype"/>
          <w:color w:val="000000"/>
          <w:lang w:val="es-ES_tradnl"/>
        </w:rPr>
        <w:lastRenderedPageBreak/>
        <w:t>clasificación y que esto traiga como consecuencia el no acceso a la misma y por tanto pierda en definitiva su calidad de pública.</w:t>
      </w: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olor w:val="000000"/>
          <w:lang w:val="es-ES_tradnl"/>
        </w:rPr>
        <w:t>De</w:t>
      </w:r>
      <w:r w:rsidRPr="00874AFB">
        <w:rPr>
          <w:rFonts w:ascii="Palatino Linotype" w:hAnsi="Palatino Linotype"/>
          <w:b/>
          <w:color w:val="000000"/>
          <w:lang w:val="es-ES_tradnl"/>
        </w:rPr>
        <w:t xml:space="preserve"> </w:t>
      </w:r>
      <w:r w:rsidRPr="00874AFB">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olor w:val="000000"/>
          <w:lang w:val="es-ES_tradnl"/>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w:t>
      </w:r>
      <w:r w:rsidRPr="00874AFB">
        <w:rPr>
          <w:rFonts w:ascii="Palatino Linotype" w:hAnsi="Palatino Linotype"/>
          <w:color w:val="000000"/>
          <w:lang w:val="es-ES_tradnl"/>
        </w:rPr>
        <w:lastRenderedPageBreak/>
        <w:t>correspondiente al Instituto, debidamente fundada y motivada, aplicando la prueba de daño y señalando el plazo de reserva, por lo menos con tres meses de anticipación al vencimiento del periodo.</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keepNext/>
        <w:keepLines/>
        <w:pBdr>
          <w:top w:val="nil"/>
          <w:left w:val="nil"/>
          <w:bottom w:val="nil"/>
          <w:right w:val="nil"/>
          <w:between w:val="nil"/>
          <w:bar w:val="nil"/>
        </w:pBdr>
        <w:spacing w:line="360" w:lineRule="auto"/>
        <w:ind w:left="644"/>
        <w:contextualSpacing/>
        <w:jc w:val="both"/>
        <w:outlineLvl w:val="1"/>
        <w:rPr>
          <w:rFonts w:ascii="Palatino Linotype" w:hAnsi="Palatino Linotype"/>
          <w:b/>
          <w:color w:val="000000"/>
          <w:lang w:eastAsia="en-US"/>
        </w:rPr>
      </w:pPr>
      <w:bookmarkStart w:id="80" w:name="_Toc485631710"/>
      <w:bookmarkStart w:id="81" w:name="_Toc500756720"/>
      <w:bookmarkStart w:id="82" w:name="_Toc536691788"/>
      <w:bookmarkStart w:id="83" w:name="_Toc80889855"/>
      <w:bookmarkStart w:id="84" w:name="_Toc81260565"/>
      <w:bookmarkStart w:id="85" w:name="_Toc81384837"/>
      <w:r w:rsidRPr="00874AFB">
        <w:rPr>
          <w:rFonts w:ascii="Palatino Linotype" w:hAnsi="Palatino Linotype"/>
          <w:b/>
          <w:color w:val="000000"/>
          <w:lang w:eastAsia="en-US"/>
        </w:rPr>
        <w:t>Condiciones especiales de la clasificación de la información como confidencial.</w:t>
      </w:r>
      <w:bookmarkEnd w:id="80"/>
      <w:bookmarkEnd w:id="81"/>
      <w:bookmarkEnd w:id="82"/>
      <w:bookmarkEnd w:id="83"/>
      <w:bookmarkEnd w:id="84"/>
      <w:bookmarkEnd w:id="85"/>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hAnsi="Palatino Linotype"/>
          <w:color w:val="000000"/>
          <w:lang w:val="es-ES_tradnl"/>
        </w:rPr>
        <w:t>Lo</w:t>
      </w:r>
      <w:r w:rsidRPr="00874AFB">
        <w:rPr>
          <w:rFonts w:ascii="Palatino Linotype" w:eastAsia="Calibri" w:hAnsi="Palatino Linotype"/>
          <w:color w:val="000000"/>
          <w:lang w:eastAsia="en-US"/>
        </w:rPr>
        <w:t xml:space="preserve">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pStyle w:val="Prrafodelista"/>
        <w:spacing w:line="360" w:lineRule="auto"/>
        <w:ind w:left="644" w:right="567"/>
        <w:jc w:val="both"/>
        <w:rPr>
          <w:rFonts w:ascii="Palatino Linotype" w:hAnsi="Palatino Linotype"/>
          <w:bCs/>
          <w:i/>
          <w:iCs/>
          <w:color w:val="000000"/>
          <w:lang w:val="es-ES"/>
        </w:rPr>
      </w:pPr>
      <w:r w:rsidRPr="00874AFB">
        <w:rPr>
          <w:rFonts w:ascii="Palatino Linotype" w:hAnsi="Palatino Linotype"/>
          <w:bCs/>
          <w:i/>
          <w:iCs/>
          <w:color w:val="000000"/>
          <w:lang w:val="es-ES"/>
        </w:rPr>
        <w:t>“</w:t>
      </w:r>
      <w:r w:rsidRPr="00874AFB">
        <w:rPr>
          <w:rFonts w:ascii="Palatino Linotype" w:hAnsi="Palatino Linotype"/>
          <w:b/>
          <w:i/>
          <w:iCs/>
          <w:color w:val="000000"/>
          <w:lang w:val="es-ES"/>
        </w:rPr>
        <w:t>I.</w:t>
      </w:r>
      <w:r w:rsidRPr="00874AFB">
        <w:rPr>
          <w:rFonts w:ascii="Palatino Linotype" w:hAnsi="Palatino Linotype"/>
          <w:i/>
          <w:iCs/>
          <w:color w:val="000000"/>
          <w:lang w:val="es-ES"/>
        </w:rPr>
        <w:t xml:space="preserve"> La información se encuentre en registros públicos o fuentes de acceso público;</w:t>
      </w:r>
    </w:p>
    <w:p w:rsidR="00E62455" w:rsidRPr="00874AFB" w:rsidRDefault="00E62455" w:rsidP="00E62455">
      <w:pPr>
        <w:pStyle w:val="Prrafodelista"/>
        <w:spacing w:line="360" w:lineRule="auto"/>
        <w:ind w:left="644" w:right="567"/>
        <w:jc w:val="both"/>
        <w:rPr>
          <w:rFonts w:ascii="Palatino Linotype" w:hAnsi="Palatino Linotype"/>
          <w:bCs/>
          <w:i/>
          <w:iCs/>
          <w:color w:val="000000"/>
          <w:lang w:val="es-ES"/>
        </w:rPr>
      </w:pPr>
      <w:r w:rsidRPr="00874AFB">
        <w:rPr>
          <w:rFonts w:ascii="Palatino Linotype" w:hAnsi="Palatino Linotype"/>
          <w:b/>
          <w:i/>
          <w:iCs/>
          <w:color w:val="000000"/>
          <w:lang w:val="es-ES"/>
        </w:rPr>
        <w:t>II.</w:t>
      </w:r>
      <w:r w:rsidRPr="00874AFB">
        <w:rPr>
          <w:rFonts w:ascii="Palatino Linotype" w:hAnsi="Palatino Linotype"/>
          <w:bCs/>
          <w:i/>
          <w:iCs/>
          <w:color w:val="000000"/>
          <w:lang w:val="es-ES"/>
        </w:rPr>
        <w:t xml:space="preserve"> </w:t>
      </w:r>
      <w:r w:rsidRPr="00874AFB">
        <w:rPr>
          <w:rFonts w:ascii="Palatino Linotype" w:hAnsi="Palatino Linotype"/>
          <w:i/>
          <w:iCs/>
          <w:color w:val="000000"/>
          <w:lang w:val="es-ES"/>
        </w:rPr>
        <w:t>Por Ley tenga el carácter de pública;</w:t>
      </w:r>
    </w:p>
    <w:p w:rsidR="00E62455" w:rsidRPr="00874AFB" w:rsidRDefault="00E62455" w:rsidP="00E62455">
      <w:pPr>
        <w:pStyle w:val="Prrafodelista"/>
        <w:spacing w:line="360" w:lineRule="auto"/>
        <w:ind w:left="644" w:right="567"/>
        <w:jc w:val="both"/>
        <w:rPr>
          <w:rFonts w:ascii="Palatino Linotype" w:hAnsi="Palatino Linotype"/>
          <w:i/>
          <w:iCs/>
          <w:color w:val="000000"/>
          <w:lang w:val="es-ES"/>
        </w:rPr>
      </w:pPr>
      <w:r w:rsidRPr="00874AFB">
        <w:rPr>
          <w:rFonts w:ascii="Palatino Linotype" w:hAnsi="Palatino Linotype"/>
          <w:b/>
          <w:i/>
          <w:iCs/>
          <w:color w:val="000000"/>
          <w:lang w:val="es-ES"/>
        </w:rPr>
        <w:t>III.</w:t>
      </w:r>
      <w:r w:rsidRPr="00874AFB">
        <w:rPr>
          <w:rFonts w:ascii="Palatino Linotype" w:hAnsi="Palatino Linotype"/>
          <w:bCs/>
          <w:i/>
          <w:iCs/>
          <w:color w:val="000000"/>
          <w:lang w:val="es-ES"/>
        </w:rPr>
        <w:t xml:space="preserve"> </w:t>
      </w:r>
      <w:r w:rsidRPr="00874AFB">
        <w:rPr>
          <w:rFonts w:ascii="Palatino Linotype" w:hAnsi="Palatino Linotype"/>
          <w:i/>
          <w:iCs/>
          <w:color w:val="000000"/>
          <w:lang w:val="es-ES"/>
        </w:rPr>
        <w:t xml:space="preserve">Exista una orden judicial; </w:t>
      </w:r>
    </w:p>
    <w:p w:rsidR="00E62455" w:rsidRPr="00874AFB" w:rsidRDefault="00E62455" w:rsidP="00E62455">
      <w:pPr>
        <w:pStyle w:val="Prrafodelista"/>
        <w:spacing w:line="360" w:lineRule="auto"/>
        <w:ind w:left="644" w:right="567"/>
        <w:jc w:val="both"/>
        <w:rPr>
          <w:rFonts w:ascii="Palatino Linotype" w:hAnsi="Palatino Linotype"/>
          <w:i/>
          <w:iCs/>
          <w:color w:val="000000"/>
          <w:lang w:val="es-ES"/>
        </w:rPr>
      </w:pPr>
      <w:r w:rsidRPr="00874AFB">
        <w:rPr>
          <w:rFonts w:ascii="Palatino Linotype" w:hAnsi="Palatino Linotype"/>
          <w:b/>
          <w:i/>
          <w:iCs/>
          <w:color w:val="000000"/>
          <w:lang w:val="es-ES"/>
        </w:rPr>
        <w:t>IV.</w:t>
      </w:r>
      <w:r w:rsidRPr="00874AFB">
        <w:rPr>
          <w:rFonts w:ascii="Palatino Linotype" w:hAnsi="Palatino Linotype"/>
          <w:bCs/>
          <w:i/>
          <w:iCs/>
          <w:color w:val="000000"/>
          <w:lang w:val="es-ES"/>
        </w:rPr>
        <w:t xml:space="preserve"> </w:t>
      </w:r>
      <w:r w:rsidRPr="00874AFB">
        <w:rPr>
          <w:rFonts w:ascii="Palatino Linotype" w:hAnsi="Palatino Linotype"/>
          <w:i/>
          <w:iCs/>
          <w:color w:val="000000"/>
          <w:lang w:val="es-ES"/>
        </w:rPr>
        <w:t xml:space="preserve">Por razones de seguridad pública, o para proteger los derechos de terceros, se requiera su publicación; o </w:t>
      </w:r>
    </w:p>
    <w:p w:rsidR="00E62455" w:rsidRPr="00874AFB" w:rsidRDefault="00E62455" w:rsidP="00E62455">
      <w:pPr>
        <w:pStyle w:val="Prrafodelista"/>
        <w:spacing w:line="360" w:lineRule="auto"/>
        <w:ind w:left="644" w:right="567"/>
        <w:jc w:val="both"/>
        <w:rPr>
          <w:rFonts w:ascii="Palatino Linotype" w:hAnsi="Palatino Linotype"/>
          <w:i/>
          <w:iCs/>
          <w:color w:val="000000"/>
          <w:lang w:val="es-ES"/>
        </w:rPr>
      </w:pPr>
      <w:r w:rsidRPr="00874AFB">
        <w:rPr>
          <w:rFonts w:ascii="Palatino Linotype" w:hAnsi="Palatino Linotype"/>
          <w:b/>
          <w:i/>
          <w:iCs/>
          <w:color w:val="000000"/>
          <w:lang w:val="es-ES"/>
        </w:rPr>
        <w:t>V.</w:t>
      </w:r>
      <w:r w:rsidRPr="00874AFB">
        <w:rPr>
          <w:rFonts w:ascii="Palatino Linotype" w:hAnsi="Palatino Linotype"/>
          <w:bCs/>
          <w:i/>
          <w:iCs/>
          <w:color w:val="000000"/>
          <w:lang w:val="es-ES"/>
        </w:rPr>
        <w:t xml:space="preserve"> </w:t>
      </w:r>
      <w:r w:rsidRPr="00874AFB">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eastAsia="Calibri" w:hAnsi="Palatino Linotype"/>
          <w:color w:val="000000"/>
          <w:lang w:eastAsia="en-US"/>
        </w:rPr>
        <w:t>En</w:t>
      </w:r>
      <w:r w:rsidRPr="00874AFB">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eastAsia="Calibri" w:hAnsi="Palatino Linotype"/>
          <w:color w:val="000000"/>
          <w:lang w:eastAsia="en-US"/>
        </w:rPr>
        <w:t>Pero</w:t>
      </w:r>
      <w:r w:rsidRPr="00874AFB">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eastAsia="Calibri" w:hAnsi="Palatino Linotype"/>
          <w:color w:val="000000"/>
          <w:lang w:eastAsia="en-US"/>
        </w:rPr>
        <w:t>Los</w:t>
      </w:r>
      <w:r w:rsidRPr="00874AFB">
        <w:rPr>
          <w:rFonts w:ascii="Palatino Linotype" w:hAnsi="Palatino Linotype"/>
          <w:color w:val="000000"/>
          <w:lang w:val="es-ES_tradnl"/>
        </w:rPr>
        <w:t xml:space="preserve">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rsidR="00E62455" w:rsidRPr="00874AFB" w:rsidRDefault="00E62455" w:rsidP="00E62455">
      <w:pPr>
        <w:spacing w:line="360" w:lineRule="auto"/>
        <w:ind w:right="49"/>
        <w:contextualSpacing/>
        <w:jc w:val="both"/>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55"/>
        <w:gridCol w:w="1759"/>
        <w:gridCol w:w="2269"/>
        <w:gridCol w:w="2268"/>
      </w:tblGrid>
      <w:tr w:rsidR="00E62455" w:rsidRPr="00874AFB" w:rsidTr="00E62455">
        <w:tc>
          <w:tcPr>
            <w:tcW w:w="2155" w:type="dxa"/>
            <w:vMerge w:val="restart"/>
            <w:shd w:val="clear" w:color="auto" w:fill="D5DCE4"/>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Requisitos previos</w:t>
            </w:r>
          </w:p>
        </w:tc>
        <w:tc>
          <w:tcPr>
            <w:tcW w:w="175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Los sujetos obligados determinan que la información actualiza alguno de los supuestos de clasificación:</w:t>
            </w:r>
          </w:p>
        </w:tc>
        <w:tc>
          <w:tcPr>
            <w:tcW w:w="2269" w:type="dxa"/>
          </w:tcPr>
          <w:p w:rsidR="00E62455" w:rsidRPr="00874AFB" w:rsidRDefault="00E62455" w:rsidP="002B36F1">
            <w:pPr>
              <w:jc w:val="both"/>
              <w:rPr>
                <w:rFonts w:ascii="Palatino Linotype" w:hAnsi="Palatino Linotype"/>
                <w:color w:val="000000"/>
                <w:sz w:val="20"/>
                <w:szCs w:val="20"/>
              </w:rPr>
            </w:pPr>
          </w:p>
          <w:p w:rsidR="00E62455" w:rsidRPr="00874AFB" w:rsidRDefault="00E62455" w:rsidP="002B36F1">
            <w:pPr>
              <w:numPr>
                <w:ilvl w:val="0"/>
                <w:numId w:val="31"/>
              </w:numPr>
              <w:contextualSpacing/>
              <w:jc w:val="both"/>
              <w:rPr>
                <w:rFonts w:ascii="Palatino Linotype" w:hAnsi="Palatino Linotype"/>
                <w:color w:val="000000"/>
                <w:sz w:val="20"/>
                <w:szCs w:val="20"/>
              </w:rPr>
            </w:pPr>
            <w:r w:rsidRPr="00874AFB">
              <w:rPr>
                <w:rFonts w:ascii="Palatino Linotype" w:hAnsi="Palatino Linotype"/>
                <w:color w:val="000000"/>
                <w:sz w:val="20"/>
                <w:szCs w:val="20"/>
              </w:rPr>
              <w:t xml:space="preserve">Confidencialidad </w:t>
            </w:r>
          </w:p>
          <w:p w:rsidR="00E62455" w:rsidRPr="00874AFB" w:rsidRDefault="00E62455" w:rsidP="002B36F1">
            <w:pPr>
              <w:numPr>
                <w:ilvl w:val="0"/>
                <w:numId w:val="31"/>
              </w:numPr>
              <w:contextualSpacing/>
              <w:jc w:val="both"/>
              <w:rPr>
                <w:rFonts w:ascii="Palatino Linotype" w:hAnsi="Palatino Linotype"/>
                <w:color w:val="000000"/>
                <w:sz w:val="20"/>
                <w:szCs w:val="20"/>
              </w:rPr>
            </w:pPr>
            <w:r w:rsidRPr="00874AFB">
              <w:rPr>
                <w:rFonts w:ascii="Palatino Linotype" w:hAnsi="Palatino Linotype"/>
                <w:color w:val="000000"/>
                <w:sz w:val="20"/>
                <w:szCs w:val="20"/>
              </w:rPr>
              <w:t>Reserva</w:t>
            </w:r>
          </w:p>
        </w:tc>
        <w:tc>
          <w:tcPr>
            <w:tcW w:w="2268" w:type="dxa"/>
          </w:tcPr>
          <w:p w:rsidR="00E62455" w:rsidRPr="00874AFB" w:rsidRDefault="00E62455" w:rsidP="002B36F1">
            <w:pPr>
              <w:jc w:val="both"/>
              <w:rPr>
                <w:rFonts w:ascii="Palatino Linotype" w:hAnsi="Palatino Linotype"/>
                <w:color w:val="000000"/>
                <w:sz w:val="20"/>
                <w:szCs w:val="20"/>
              </w:rPr>
            </w:pPr>
          </w:p>
        </w:tc>
      </w:tr>
      <w:tr w:rsidR="00E62455" w:rsidRPr="00874AFB" w:rsidTr="00E62455">
        <w:tc>
          <w:tcPr>
            <w:tcW w:w="2155" w:type="dxa"/>
            <w:vMerge/>
            <w:shd w:val="clear" w:color="auto" w:fill="D5DCE4"/>
          </w:tcPr>
          <w:p w:rsidR="00E62455" w:rsidRPr="00874AFB" w:rsidRDefault="00E62455" w:rsidP="002B36F1">
            <w:pPr>
              <w:jc w:val="both"/>
              <w:rPr>
                <w:rFonts w:ascii="Palatino Linotype" w:hAnsi="Palatino Linotype"/>
                <w:color w:val="000000"/>
                <w:sz w:val="20"/>
                <w:szCs w:val="20"/>
              </w:rPr>
            </w:pPr>
          </w:p>
        </w:tc>
        <w:tc>
          <w:tcPr>
            <w:tcW w:w="175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 xml:space="preserve">Los titulares de las áreas que administran la información son los que aprueban la clasificación </w:t>
            </w:r>
          </w:p>
        </w:tc>
        <w:tc>
          <w:tcPr>
            <w:tcW w:w="2269" w:type="dxa"/>
          </w:tcPr>
          <w:p w:rsidR="00E62455" w:rsidRPr="00874AFB" w:rsidRDefault="00E62455" w:rsidP="002B36F1">
            <w:pPr>
              <w:jc w:val="both"/>
              <w:rPr>
                <w:rFonts w:ascii="Palatino Linotype" w:hAnsi="Palatino Linotype"/>
                <w:color w:val="000000"/>
                <w:sz w:val="20"/>
                <w:szCs w:val="20"/>
              </w:rPr>
            </w:pPr>
          </w:p>
        </w:tc>
        <w:tc>
          <w:tcPr>
            <w:tcW w:w="2268" w:type="dxa"/>
          </w:tcPr>
          <w:p w:rsidR="00E62455" w:rsidRPr="00874AFB" w:rsidRDefault="00E62455" w:rsidP="002B36F1">
            <w:pPr>
              <w:jc w:val="both"/>
              <w:rPr>
                <w:rFonts w:ascii="Palatino Linotype" w:hAnsi="Palatino Linotype"/>
                <w:color w:val="000000"/>
                <w:sz w:val="20"/>
                <w:szCs w:val="20"/>
              </w:rPr>
            </w:pPr>
          </w:p>
        </w:tc>
      </w:tr>
      <w:tr w:rsidR="00E62455" w:rsidRPr="00874AFB" w:rsidTr="00E62455">
        <w:tc>
          <w:tcPr>
            <w:tcW w:w="2155" w:type="dxa"/>
            <w:vMerge/>
            <w:shd w:val="clear" w:color="auto" w:fill="D5DCE4"/>
          </w:tcPr>
          <w:p w:rsidR="00E62455" w:rsidRPr="00874AFB" w:rsidRDefault="00E62455" w:rsidP="002B36F1">
            <w:pPr>
              <w:jc w:val="both"/>
              <w:rPr>
                <w:rFonts w:ascii="Palatino Linotype" w:hAnsi="Palatino Linotype"/>
                <w:color w:val="000000"/>
                <w:sz w:val="20"/>
                <w:szCs w:val="20"/>
              </w:rPr>
            </w:pPr>
          </w:p>
        </w:tc>
        <w:tc>
          <w:tcPr>
            <w:tcW w:w="175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La clasificación de la información se realiza al momento de:</w:t>
            </w:r>
          </w:p>
        </w:tc>
        <w:tc>
          <w:tcPr>
            <w:tcW w:w="2269" w:type="dxa"/>
          </w:tcPr>
          <w:p w:rsidR="00E62455" w:rsidRPr="00874AFB" w:rsidRDefault="00E62455" w:rsidP="002B36F1">
            <w:pPr>
              <w:numPr>
                <w:ilvl w:val="0"/>
                <w:numId w:val="30"/>
              </w:numPr>
              <w:contextualSpacing/>
              <w:jc w:val="both"/>
              <w:rPr>
                <w:rFonts w:ascii="Palatino Linotype" w:hAnsi="Palatino Linotype"/>
                <w:color w:val="000000"/>
                <w:sz w:val="20"/>
                <w:szCs w:val="20"/>
              </w:rPr>
            </w:pPr>
            <w:r w:rsidRPr="00874AFB">
              <w:rPr>
                <w:rFonts w:ascii="Palatino Linotype" w:hAnsi="Palatino Linotype"/>
                <w:color w:val="000000"/>
                <w:sz w:val="20"/>
                <w:szCs w:val="20"/>
              </w:rPr>
              <w:t>Atender una solicitud</w:t>
            </w:r>
          </w:p>
          <w:p w:rsidR="00E62455" w:rsidRPr="00874AFB" w:rsidRDefault="00E62455" w:rsidP="002B36F1">
            <w:pPr>
              <w:numPr>
                <w:ilvl w:val="0"/>
                <w:numId w:val="30"/>
              </w:numPr>
              <w:contextualSpacing/>
              <w:jc w:val="both"/>
              <w:rPr>
                <w:rFonts w:ascii="Palatino Linotype" w:hAnsi="Palatino Linotype"/>
                <w:color w:val="000000"/>
                <w:sz w:val="20"/>
                <w:szCs w:val="20"/>
              </w:rPr>
            </w:pPr>
            <w:r w:rsidRPr="00874AFB">
              <w:rPr>
                <w:rFonts w:ascii="Palatino Linotype" w:hAnsi="Palatino Linotype"/>
                <w:color w:val="000000"/>
                <w:sz w:val="20"/>
                <w:szCs w:val="20"/>
              </w:rPr>
              <w:lastRenderedPageBreak/>
              <w:t>Por mandato de una autoridad competente</w:t>
            </w:r>
          </w:p>
          <w:p w:rsidR="00E62455" w:rsidRPr="00874AFB" w:rsidRDefault="00E62455" w:rsidP="002B36F1">
            <w:pPr>
              <w:numPr>
                <w:ilvl w:val="0"/>
                <w:numId w:val="30"/>
              </w:numPr>
              <w:contextualSpacing/>
              <w:jc w:val="both"/>
              <w:rPr>
                <w:rFonts w:ascii="Palatino Linotype" w:hAnsi="Palatino Linotype"/>
                <w:color w:val="000000"/>
                <w:sz w:val="20"/>
                <w:szCs w:val="20"/>
              </w:rPr>
            </w:pPr>
            <w:r w:rsidRPr="00874AFB">
              <w:rPr>
                <w:rFonts w:ascii="Palatino Linotype" w:hAnsi="Palatino Linotype"/>
                <w:color w:val="000000"/>
                <w:sz w:val="20"/>
                <w:szCs w:val="20"/>
              </w:rPr>
              <w:t>Para elaborar una versión pública y cumplir una obligación de transparencia</w:t>
            </w:r>
          </w:p>
        </w:tc>
        <w:tc>
          <w:tcPr>
            <w:tcW w:w="2268" w:type="dxa"/>
          </w:tcPr>
          <w:p w:rsidR="00E62455" w:rsidRPr="00874AFB" w:rsidRDefault="00E62455" w:rsidP="002B36F1">
            <w:pPr>
              <w:jc w:val="both"/>
              <w:rPr>
                <w:rFonts w:ascii="Palatino Linotype" w:hAnsi="Palatino Linotype"/>
                <w:color w:val="000000"/>
                <w:sz w:val="20"/>
                <w:szCs w:val="20"/>
              </w:rPr>
            </w:pPr>
          </w:p>
        </w:tc>
      </w:tr>
      <w:tr w:rsidR="00E62455" w:rsidRPr="00874AFB" w:rsidTr="00E62455">
        <w:tc>
          <w:tcPr>
            <w:tcW w:w="2155" w:type="dxa"/>
            <w:vMerge/>
            <w:shd w:val="clear" w:color="auto" w:fill="D5DCE4"/>
          </w:tcPr>
          <w:p w:rsidR="00E62455" w:rsidRPr="00874AFB" w:rsidRDefault="00E62455" w:rsidP="002B36F1">
            <w:pPr>
              <w:jc w:val="both"/>
              <w:rPr>
                <w:rFonts w:ascii="Palatino Linotype" w:hAnsi="Palatino Linotype"/>
                <w:color w:val="000000"/>
                <w:sz w:val="20"/>
                <w:szCs w:val="20"/>
              </w:rPr>
            </w:pPr>
          </w:p>
        </w:tc>
        <w:tc>
          <w:tcPr>
            <w:tcW w:w="175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No se pueden emitir acuerdos de carácter general ni particular</w:t>
            </w:r>
          </w:p>
        </w:tc>
        <w:tc>
          <w:tcPr>
            <w:tcW w:w="226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 xml:space="preserve">El </w:t>
            </w:r>
            <w:r w:rsidRPr="00874AFB">
              <w:rPr>
                <w:rFonts w:ascii="Palatino Linotype" w:hAnsi="Palatino Linotype"/>
                <w:b/>
                <w:bCs/>
                <w:color w:val="000000"/>
                <w:sz w:val="20"/>
                <w:szCs w:val="20"/>
              </w:rPr>
              <w:t>SUJETO OBLIGADO</w:t>
            </w:r>
            <w:r w:rsidRPr="00874AFB">
              <w:rPr>
                <w:rFonts w:ascii="Palatino Linotype" w:hAnsi="Palatino Linotype"/>
                <w:color w:val="000000"/>
                <w:sz w:val="20"/>
                <w:szCs w:val="20"/>
              </w:rPr>
              <w:t xml:space="preserve"> debe emitir un acuerdo describiendo y analizando cada documento de un expediente y todos los datos incluidos en un documento </w:t>
            </w:r>
          </w:p>
        </w:tc>
        <w:tc>
          <w:tcPr>
            <w:tcW w:w="2268" w:type="dxa"/>
          </w:tcPr>
          <w:p w:rsidR="00E62455" w:rsidRPr="00874AFB" w:rsidRDefault="00E62455" w:rsidP="002B36F1">
            <w:pPr>
              <w:jc w:val="both"/>
              <w:rPr>
                <w:rFonts w:ascii="Palatino Linotype" w:hAnsi="Palatino Linotype"/>
                <w:color w:val="000000"/>
                <w:sz w:val="20"/>
                <w:szCs w:val="20"/>
              </w:rPr>
            </w:pPr>
          </w:p>
        </w:tc>
      </w:tr>
      <w:tr w:rsidR="00E62455" w:rsidRPr="00874AFB" w:rsidTr="00E62455">
        <w:tc>
          <w:tcPr>
            <w:tcW w:w="2155" w:type="dxa"/>
            <w:vMerge w:val="restart"/>
            <w:shd w:val="clear" w:color="auto" w:fill="D5DCE4"/>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Supuestos de clasificación</w:t>
            </w:r>
          </w:p>
        </w:tc>
        <w:tc>
          <w:tcPr>
            <w:tcW w:w="175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Para clasificar la información como reservada hay</w:t>
            </w:r>
          </w:p>
        </w:tc>
        <w:tc>
          <w:tcPr>
            <w:tcW w:w="2269" w:type="dxa"/>
          </w:tcPr>
          <w:p w:rsidR="00E62455" w:rsidRPr="00874AFB" w:rsidRDefault="00E62455" w:rsidP="002B36F1">
            <w:pPr>
              <w:numPr>
                <w:ilvl w:val="0"/>
                <w:numId w:val="32"/>
              </w:numPr>
              <w:contextualSpacing/>
              <w:jc w:val="both"/>
              <w:rPr>
                <w:rFonts w:ascii="Palatino Linotype" w:hAnsi="Palatino Linotype"/>
                <w:color w:val="000000"/>
                <w:sz w:val="20"/>
                <w:szCs w:val="20"/>
              </w:rPr>
            </w:pPr>
            <w:r w:rsidRPr="00874AFB">
              <w:rPr>
                <w:rFonts w:ascii="Palatino Linotype" w:hAnsi="Palatino Linotype"/>
                <w:color w:val="000000"/>
                <w:sz w:val="20"/>
                <w:szCs w:val="20"/>
              </w:rPr>
              <w:t>11 supuestos en la Ley Estatal</w:t>
            </w:r>
          </w:p>
          <w:p w:rsidR="00E62455" w:rsidRPr="00874AFB" w:rsidRDefault="00E62455" w:rsidP="002B36F1">
            <w:pPr>
              <w:numPr>
                <w:ilvl w:val="0"/>
                <w:numId w:val="32"/>
              </w:numPr>
              <w:contextualSpacing/>
              <w:jc w:val="both"/>
              <w:rPr>
                <w:rFonts w:ascii="Palatino Linotype" w:hAnsi="Palatino Linotype"/>
                <w:color w:val="000000"/>
                <w:sz w:val="20"/>
                <w:szCs w:val="20"/>
              </w:rPr>
            </w:pPr>
            <w:r w:rsidRPr="00874AFB">
              <w:rPr>
                <w:rFonts w:ascii="Palatino Linotype" w:hAnsi="Palatino Linotype"/>
                <w:color w:val="000000"/>
                <w:sz w:val="20"/>
                <w:szCs w:val="20"/>
              </w:rPr>
              <w:t>13 supuestos en la Ley General</w:t>
            </w:r>
          </w:p>
        </w:tc>
        <w:tc>
          <w:tcPr>
            <w:tcW w:w="2268"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 xml:space="preserve">El </w:t>
            </w:r>
            <w:r w:rsidRPr="00874AFB">
              <w:rPr>
                <w:rFonts w:ascii="Palatino Linotype" w:hAnsi="Palatino Linotype"/>
                <w:b/>
                <w:bCs/>
                <w:color w:val="000000"/>
                <w:sz w:val="20"/>
                <w:szCs w:val="20"/>
              </w:rPr>
              <w:t>SUJETO OBLIGADO</w:t>
            </w:r>
            <w:r w:rsidRPr="00874AFB">
              <w:rPr>
                <w:rFonts w:ascii="Palatino Linotype" w:hAnsi="Palatino Linotype"/>
                <w:color w:val="000000"/>
                <w:sz w:val="20"/>
                <w:szCs w:val="20"/>
              </w:rPr>
              <w:t xml:space="preserve"> debe identificar claramente la información que se pretende clasificar y realizar un juicio de subsunción o encaje</w:t>
            </w:r>
          </w:p>
        </w:tc>
      </w:tr>
      <w:tr w:rsidR="00E62455" w:rsidRPr="00874AFB" w:rsidTr="00E62455">
        <w:tc>
          <w:tcPr>
            <w:tcW w:w="2155" w:type="dxa"/>
            <w:vMerge/>
            <w:shd w:val="clear" w:color="auto" w:fill="D5DCE4"/>
          </w:tcPr>
          <w:p w:rsidR="00E62455" w:rsidRPr="00874AFB" w:rsidRDefault="00E62455" w:rsidP="002B36F1">
            <w:pPr>
              <w:jc w:val="both"/>
              <w:rPr>
                <w:rFonts w:ascii="Palatino Linotype" w:hAnsi="Palatino Linotype"/>
                <w:color w:val="000000"/>
                <w:sz w:val="20"/>
                <w:szCs w:val="20"/>
              </w:rPr>
            </w:pPr>
          </w:p>
        </w:tc>
        <w:tc>
          <w:tcPr>
            <w:tcW w:w="175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Para clasificar la información como confidencial hay</w:t>
            </w:r>
          </w:p>
        </w:tc>
        <w:tc>
          <w:tcPr>
            <w:tcW w:w="226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que considerar la definición de dato personal</w:t>
            </w:r>
          </w:p>
        </w:tc>
        <w:tc>
          <w:tcPr>
            <w:tcW w:w="2268" w:type="dxa"/>
          </w:tcPr>
          <w:p w:rsidR="00E62455" w:rsidRPr="00874AFB" w:rsidRDefault="00E62455" w:rsidP="002B36F1">
            <w:pPr>
              <w:jc w:val="both"/>
              <w:rPr>
                <w:rFonts w:ascii="Palatino Linotype" w:hAnsi="Palatino Linotype"/>
                <w:color w:val="000000"/>
                <w:sz w:val="20"/>
                <w:szCs w:val="20"/>
              </w:rPr>
            </w:pPr>
          </w:p>
        </w:tc>
      </w:tr>
      <w:tr w:rsidR="00E62455" w:rsidRPr="00874AFB" w:rsidTr="00E62455">
        <w:tc>
          <w:tcPr>
            <w:tcW w:w="2155" w:type="dxa"/>
            <w:vMerge/>
            <w:shd w:val="clear" w:color="auto" w:fill="D5DCE4"/>
          </w:tcPr>
          <w:p w:rsidR="00E62455" w:rsidRPr="00874AFB" w:rsidRDefault="00E62455" w:rsidP="002B36F1">
            <w:pPr>
              <w:jc w:val="both"/>
              <w:rPr>
                <w:rFonts w:ascii="Palatino Linotype" w:hAnsi="Palatino Linotype"/>
                <w:color w:val="000000"/>
                <w:sz w:val="20"/>
                <w:szCs w:val="20"/>
              </w:rPr>
            </w:pPr>
          </w:p>
        </w:tc>
        <w:tc>
          <w:tcPr>
            <w:tcW w:w="175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Estos supuestos se aplican de manera restrictiva y estricta, no pueden ampliarse</w:t>
            </w:r>
          </w:p>
        </w:tc>
        <w:tc>
          <w:tcPr>
            <w:tcW w:w="2269" w:type="dxa"/>
          </w:tcPr>
          <w:p w:rsidR="00E62455" w:rsidRPr="00874AFB" w:rsidRDefault="00E62455" w:rsidP="002B36F1">
            <w:pPr>
              <w:jc w:val="both"/>
              <w:rPr>
                <w:rFonts w:ascii="Palatino Linotype" w:hAnsi="Palatino Linotype"/>
                <w:color w:val="000000"/>
                <w:sz w:val="20"/>
                <w:szCs w:val="20"/>
              </w:rPr>
            </w:pPr>
          </w:p>
        </w:tc>
        <w:tc>
          <w:tcPr>
            <w:tcW w:w="2268" w:type="dxa"/>
          </w:tcPr>
          <w:p w:rsidR="00E62455" w:rsidRPr="00874AFB" w:rsidRDefault="00E62455" w:rsidP="002B36F1">
            <w:pPr>
              <w:jc w:val="both"/>
              <w:rPr>
                <w:rFonts w:ascii="Palatino Linotype" w:hAnsi="Palatino Linotype"/>
                <w:color w:val="000000"/>
                <w:sz w:val="20"/>
                <w:szCs w:val="20"/>
              </w:rPr>
            </w:pPr>
          </w:p>
        </w:tc>
      </w:tr>
      <w:tr w:rsidR="00E62455" w:rsidRPr="00874AFB" w:rsidTr="00E62455">
        <w:tc>
          <w:tcPr>
            <w:tcW w:w="2155" w:type="dxa"/>
            <w:vMerge w:val="restart"/>
            <w:shd w:val="clear" w:color="auto" w:fill="D5DCE4"/>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Excepciones a la clasificación de reserva</w:t>
            </w:r>
          </w:p>
        </w:tc>
        <w:tc>
          <w:tcPr>
            <w:tcW w:w="1759" w:type="dxa"/>
            <w:vMerge w:val="restart"/>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No puede clasificarse como información reservada la concerniente a:</w:t>
            </w:r>
          </w:p>
        </w:tc>
        <w:tc>
          <w:tcPr>
            <w:tcW w:w="226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Actos (probados o en investigación) graves de violaciones a derechos humanos</w:t>
            </w:r>
          </w:p>
        </w:tc>
        <w:tc>
          <w:tcPr>
            <w:tcW w:w="2268" w:type="dxa"/>
          </w:tcPr>
          <w:p w:rsidR="00E62455" w:rsidRPr="00874AFB" w:rsidRDefault="00E62455" w:rsidP="002B36F1">
            <w:pPr>
              <w:jc w:val="both"/>
              <w:rPr>
                <w:rFonts w:ascii="Palatino Linotype" w:hAnsi="Palatino Linotype"/>
                <w:color w:val="000000"/>
                <w:sz w:val="20"/>
                <w:szCs w:val="20"/>
              </w:rPr>
            </w:pPr>
          </w:p>
        </w:tc>
      </w:tr>
      <w:tr w:rsidR="00E62455" w:rsidRPr="00874AFB" w:rsidTr="00E62455">
        <w:tc>
          <w:tcPr>
            <w:tcW w:w="2155" w:type="dxa"/>
            <w:vMerge/>
            <w:shd w:val="clear" w:color="auto" w:fill="D5DCE4"/>
          </w:tcPr>
          <w:p w:rsidR="00E62455" w:rsidRPr="00874AFB" w:rsidRDefault="00E62455" w:rsidP="002B36F1">
            <w:pPr>
              <w:jc w:val="both"/>
              <w:rPr>
                <w:rFonts w:ascii="Palatino Linotype" w:hAnsi="Palatino Linotype"/>
                <w:color w:val="000000"/>
                <w:sz w:val="20"/>
                <w:szCs w:val="20"/>
              </w:rPr>
            </w:pPr>
          </w:p>
        </w:tc>
        <w:tc>
          <w:tcPr>
            <w:tcW w:w="1759" w:type="dxa"/>
            <w:vMerge/>
          </w:tcPr>
          <w:p w:rsidR="00E62455" w:rsidRPr="00874AFB" w:rsidRDefault="00E62455" w:rsidP="002B36F1">
            <w:pPr>
              <w:jc w:val="both"/>
              <w:rPr>
                <w:rFonts w:ascii="Palatino Linotype" w:hAnsi="Palatino Linotype"/>
                <w:color w:val="000000"/>
                <w:sz w:val="20"/>
                <w:szCs w:val="20"/>
              </w:rPr>
            </w:pPr>
          </w:p>
        </w:tc>
        <w:tc>
          <w:tcPr>
            <w:tcW w:w="226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 xml:space="preserve">Delitos de </w:t>
            </w:r>
            <w:proofErr w:type="spellStart"/>
            <w:r w:rsidRPr="00874AFB">
              <w:rPr>
                <w:rFonts w:ascii="Palatino Linotype" w:hAnsi="Palatino Linotype"/>
                <w:color w:val="000000"/>
                <w:sz w:val="20"/>
                <w:szCs w:val="20"/>
              </w:rPr>
              <w:t>lessa</w:t>
            </w:r>
            <w:proofErr w:type="spellEnd"/>
            <w:r w:rsidRPr="00874AFB">
              <w:rPr>
                <w:rFonts w:ascii="Palatino Linotype" w:hAnsi="Palatino Linotype"/>
                <w:color w:val="000000"/>
                <w:sz w:val="20"/>
                <w:szCs w:val="20"/>
              </w:rPr>
              <w:t xml:space="preserve"> humanidad</w:t>
            </w:r>
          </w:p>
        </w:tc>
        <w:tc>
          <w:tcPr>
            <w:tcW w:w="2268" w:type="dxa"/>
          </w:tcPr>
          <w:p w:rsidR="00E62455" w:rsidRPr="00874AFB" w:rsidRDefault="00E62455" w:rsidP="002B36F1">
            <w:pPr>
              <w:jc w:val="both"/>
              <w:rPr>
                <w:rFonts w:ascii="Palatino Linotype" w:hAnsi="Palatino Linotype"/>
                <w:color w:val="000000"/>
                <w:sz w:val="20"/>
                <w:szCs w:val="20"/>
              </w:rPr>
            </w:pPr>
          </w:p>
        </w:tc>
      </w:tr>
      <w:tr w:rsidR="00E62455" w:rsidRPr="00874AFB" w:rsidTr="00E62455">
        <w:tc>
          <w:tcPr>
            <w:tcW w:w="2155" w:type="dxa"/>
            <w:vMerge/>
            <w:shd w:val="clear" w:color="auto" w:fill="D5DCE4"/>
          </w:tcPr>
          <w:p w:rsidR="00E62455" w:rsidRPr="00874AFB" w:rsidRDefault="00E62455" w:rsidP="002B36F1">
            <w:pPr>
              <w:jc w:val="both"/>
              <w:rPr>
                <w:rFonts w:ascii="Palatino Linotype" w:hAnsi="Palatino Linotype"/>
                <w:color w:val="000000"/>
                <w:sz w:val="20"/>
                <w:szCs w:val="20"/>
              </w:rPr>
            </w:pPr>
          </w:p>
        </w:tc>
        <w:tc>
          <w:tcPr>
            <w:tcW w:w="1759" w:type="dxa"/>
            <w:vMerge/>
          </w:tcPr>
          <w:p w:rsidR="00E62455" w:rsidRPr="00874AFB" w:rsidRDefault="00E62455" w:rsidP="002B36F1">
            <w:pPr>
              <w:jc w:val="both"/>
              <w:rPr>
                <w:rFonts w:ascii="Palatino Linotype" w:hAnsi="Palatino Linotype"/>
                <w:color w:val="000000"/>
                <w:sz w:val="20"/>
                <w:szCs w:val="20"/>
              </w:rPr>
            </w:pPr>
          </w:p>
        </w:tc>
        <w:tc>
          <w:tcPr>
            <w:tcW w:w="226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Actos de Corrupción</w:t>
            </w:r>
          </w:p>
        </w:tc>
        <w:tc>
          <w:tcPr>
            <w:tcW w:w="2268"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 xml:space="preserve">Los comprendidos en el Título Sexto del </w:t>
            </w:r>
            <w:r w:rsidRPr="00874AFB">
              <w:rPr>
                <w:rFonts w:ascii="Palatino Linotype" w:hAnsi="Palatino Linotype"/>
                <w:color w:val="000000"/>
                <w:sz w:val="20"/>
                <w:szCs w:val="20"/>
              </w:rPr>
              <w:lastRenderedPageBreak/>
              <w:t>Código Penal del Estado</w:t>
            </w:r>
          </w:p>
        </w:tc>
      </w:tr>
      <w:tr w:rsidR="00E62455" w:rsidRPr="00874AFB" w:rsidTr="00E62455">
        <w:tc>
          <w:tcPr>
            <w:tcW w:w="2155" w:type="dxa"/>
            <w:vMerge w:val="restart"/>
            <w:shd w:val="clear" w:color="auto" w:fill="D5DCE4"/>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lastRenderedPageBreak/>
              <w:t>Participación del Comité de Transparencia</w:t>
            </w:r>
          </w:p>
        </w:tc>
        <w:tc>
          <w:tcPr>
            <w:tcW w:w="1759" w:type="dxa"/>
            <w:vMerge w:val="restart"/>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Formalidades</w:t>
            </w:r>
          </w:p>
        </w:tc>
        <w:tc>
          <w:tcPr>
            <w:tcW w:w="226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El Comité debe de estar debidamente integrado</w:t>
            </w:r>
          </w:p>
        </w:tc>
        <w:tc>
          <w:tcPr>
            <w:tcW w:w="2268" w:type="dxa"/>
          </w:tcPr>
          <w:p w:rsidR="00E62455" w:rsidRPr="00874AFB" w:rsidRDefault="00E62455" w:rsidP="002B36F1">
            <w:pPr>
              <w:jc w:val="both"/>
              <w:rPr>
                <w:rFonts w:ascii="Palatino Linotype" w:hAnsi="Palatino Linotype"/>
                <w:color w:val="000000"/>
                <w:sz w:val="20"/>
                <w:szCs w:val="20"/>
              </w:rPr>
            </w:pPr>
          </w:p>
        </w:tc>
      </w:tr>
      <w:tr w:rsidR="00E62455" w:rsidRPr="00874AFB" w:rsidTr="00E62455">
        <w:tc>
          <w:tcPr>
            <w:tcW w:w="2155" w:type="dxa"/>
            <w:vMerge/>
            <w:shd w:val="clear" w:color="auto" w:fill="D5DCE4"/>
          </w:tcPr>
          <w:p w:rsidR="00E62455" w:rsidRPr="00874AFB" w:rsidRDefault="00E62455" w:rsidP="002B36F1">
            <w:pPr>
              <w:jc w:val="both"/>
              <w:rPr>
                <w:rFonts w:ascii="Palatino Linotype" w:hAnsi="Palatino Linotype"/>
                <w:color w:val="000000"/>
                <w:sz w:val="20"/>
                <w:szCs w:val="20"/>
              </w:rPr>
            </w:pPr>
          </w:p>
        </w:tc>
        <w:tc>
          <w:tcPr>
            <w:tcW w:w="1759" w:type="dxa"/>
            <w:vMerge/>
          </w:tcPr>
          <w:p w:rsidR="00E62455" w:rsidRPr="00874AFB" w:rsidRDefault="00E62455" w:rsidP="002B36F1">
            <w:pPr>
              <w:jc w:val="both"/>
              <w:rPr>
                <w:rFonts w:ascii="Palatino Linotype" w:hAnsi="Palatino Linotype"/>
                <w:color w:val="000000"/>
                <w:sz w:val="20"/>
                <w:szCs w:val="20"/>
              </w:rPr>
            </w:pPr>
          </w:p>
        </w:tc>
        <w:tc>
          <w:tcPr>
            <w:tcW w:w="226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 xml:space="preserve">El Comité no aprueba la clasificación, sólo: confirma, modifica o revoca la decisión de las áreas </w:t>
            </w:r>
          </w:p>
        </w:tc>
        <w:tc>
          <w:tcPr>
            <w:tcW w:w="2268" w:type="dxa"/>
          </w:tcPr>
          <w:p w:rsidR="00E62455" w:rsidRPr="00874AFB" w:rsidRDefault="00E62455" w:rsidP="002B36F1">
            <w:pPr>
              <w:jc w:val="both"/>
              <w:rPr>
                <w:rFonts w:ascii="Palatino Linotype" w:hAnsi="Palatino Linotype"/>
                <w:color w:val="000000"/>
                <w:sz w:val="20"/>
                <w:szCs w:val="20"/>
              </w:rPr>
            </w:pPr>
          </w:p>
        </w:tc>
      </w:tr>
      <w:tr w:rsidR="00E62455" w:rsidRPr="00874AFB" w:rsidTr="00E62455">
        <w:tc>
          <w:tcPr>
            <w:tcW w:w="2155" w:type="dxa"/>
            <w:shd w:val="clear" w:color="auto" w:fill="D5DCE4"/>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Fondo del acuerdo de clasificación</w:t>
            </w:r>
          </w:p>
        </w:tc>
        <w:tc>
          <w:tcPr>
            <w:tcW w:w="175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 xml:space="preserve">La carga de la prueba para justificar la restricción corresponde al </w:t>
            </w:r>
            <w:r w:rsidRPr="00874AFB">
              <w:rPr>
                <w:rFonts w:ascii="Palatino Linotype" w:hAnsi="Palatino Linotype"/>
                <w:b/>
                <w:bCs/>
                <w:color w:val="000000"/>
                <w:sz w:val="20"/>
                <w:szCs w:val="20"/>
              </w:rPr>
              <w:t>SUJETO OBLIGADO</w:t>
            </w:r>
          </w:p>
        </w:tc>
        <w:tc>
          <w:tcPr>
            <w:tcW w:w="226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Deber de fundar y motivar</w:t>
            </w:r>
          </w:p>
        </w:tc>
        <w:tc>
          <w:tcPr>
            <w:tcW w:w="2268" w:type="dxa"/>
          </w:tcPr>
          <w:p w:rsidR="00E62455" w:rsidRPr="00874AFB" w:rsidRDefault="00E62455" w:rsidP="002B36F1">
            <w:pPr>
              <w:jc w:val="both"/>
              <w:rPr>
                <w:rFonts w:ascii="Palatino Linotype" w:hAnsi="Palatino Linotype"/>
                <w:color w:val="000000"/>
                <w:sz w:val="20"/>
                <w:szCs w:val="20"/>
              </w:rPr>
            </w:pPr>
          </w:p>
        </w:tc>
      </w:tr>
      <w:tr w:rsidR="00E62455" w:rsidRPr="00874AFB" w:rsidTr="00E62455">
        <w:trPr>
          <w:trHeight w:val="685"/>
        </w:trPr>
        <w:tc>
          <w:tcPr>
            <w:tcW w:w="2155" w:type="dxa"/>
            <w:vMerge w:val="restart"/>
            <w:shd w:val="clear" w:color="auto" w:fill="D5DCE4"/>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Condiciones especiales de la reserva</w:t>
            </w:r>
          </w:p>
        </w:tc>
        <w:tc>
          <w:tcPr>
            <w:tcW w:w="1759" w:type="dxa"/>
            <w:vMerge w:val="restart"/>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Motivar implica</w:t>
            </w:r>
          </w:p>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Además se debe aplicar, caso por caso, una prueba de daño.</w:t>
            </w:r>
          </w:p>
        </w:tc>
        <w:tc>
          <w:tcPr>
            <w:tcW w:w="2269" w:type="dxa"/>
            <w:vMerge w:val="restart"/>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Señalar las razones, motivos o circunstancias.</w:t>
            </w:r>
          </w:p>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Se deben señalar las razones objetivas y acreditar.</w:t>
            </w:r>
          </w:p>
          <w:p w:rsidR="00E62455" w:rsidRPr="00874AFB" w:rsidRDefault="00E62455" w:rsidP="002B36F1">
            <w:pPr>
              <w:jc w:val="both"/>
              <w:rPr>
                <w:rFonts w:ascii="Palatino Linotype" w:hAnsi="Palatino Linotype"/>
                <w:color w:val="000000"/>
                <w:sz w:val="20"/>
                <w:szCs w:val="20"/>
              </w:rPr>
            </w:pPr>
          </w:p>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*Adquiere la condición especial de ser temporal por un periodo de 5 años con la posibilidad de ampliarse por un periodo igual.</w:t>
            </w:r>
          </w:p>
        </w:tc>
        <w:tc>
          <w:tcPr>
            <w:tcW w:w="2268" w:type="dxa"/>
            <w:vMerge w:val="restart"/>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Que entregar la información provoca un riesgo real, demostrable e identificable al interés público o a la seguridad pública</w:t>
            </w:r>
          </w:p>
        </w:tc>
      </w:tr>
      <w:tr w:rsidR="00E62455" w:rsidRPr="00874AFB" w:rsidTr="00E62455">
        <w:trPr>
          <w:trHeight w:val="685"/>
        </w:trPr>
        <w:tc>
          <w:tcPr>
            <w:tcW w:w="2155" w:type="dxa"/>
            <w:vMerge/>
            <w:shd w:val="clear" w:color="auto" w:fill="D5DCE4"/>
          </w:tcPr>
          <w:p w:rsidR="00E62455" w:rsidRPr="00874AFB" w:rsidRDefault="00E62455" w:rsidP="002B36F1">
            <w:pPr>
              <w:jc w:val="both"/>
              <w:rPr>
                <w:rFonts w:ascii="Palatino Linotype" w:hAnsi="Palatino Linotype"/>
                <w:color w:val="000000"/>
                <w:sz w:val="20"/>
                <w:szCs w:val="20"/>
              </w:rPr>
            </w:pPr>
          </w:p>
        </w:tc>
        <w:tc>
          <w:tcPr>
            <w:tcW w:w="1759" w:type="dxa"/>
            <w:vMerge/>
          </w:tcPr>
          <w:p w:rsidR="00E62455" w:rsidRPr="00874AFB" w:rsidRDefault="00E62455" w:rsidP="002B36F1">
            <w:pPr>
              <w:jc w:val="both"/>
              <w:rPr>
                <w:rFonts w:ascii="Palatino Linotype" w:hAnsi="Palatino Linotype"/>
                <w:color w:val="000000"/>
                <w:sz w:val="20"/>
                <w:szCs w:val="20"/>
              </w:rPr>
            </w:pPr>
          </w:p>
        </w:tc>
        <w:tc>
          <w:tcPr>
            <w:tcW w:w="2269" w:type="dxa"/>
            <w:vMerge/>
          </w:tcPr>
          <w:p w:rsidR="00E62455" w:rsidRPr="00874AFB" w:rsidRDefault="00E62455" w:rsidP="002B36F1">
            <w:pPr>
              <w:jc w:val="both"/>
              <w:rPr>
                <w:rFonts w:ascii="Palatino Linotype" w:hAnsi="Palatino Linotype"/>
                <w:color w:val="000000"/>
                <w:sz w:val="20"/>
                <w:szCs w:val="20"/>
              </w:rPr>
            </w:pPr>
          </w:p>
        </w:tc>
        <w:tc>
          <w:tcPr>
            <w:tcW w:w="2268" w:type="dxa"/>
            <w:vMerge/>
          </w:tcPr>
          <w:p w:rsidR="00E62455" w:rsidRPr="00874AFB" w:rsidRDefault="00E62455" w:rsidP="002B36F1">
            <w:pPr>
              <w:jc w:val="both"/>
              <w:rPr>
                <w:rFonts w:ascii="Palatino Linotype" w:hAnsi="Palatino Linotype"/>
                <w:color w:val="000000"/>
                <w:sz w:val="20"/>
                <w:szCs w:val="20"/>
              </w:rPr>
            </w:pPr>
          </w:p>
        </w:tc>
      </w:tr>
      <w:tr w:rsidR="00E62455" w:rsidRPr="00874AFB" w:rsidTr="00E62455">
        <w:tc>
          <w:tcPr>
            <w:tcW w:w="2155" w:type="dxa"/>
            <w:vMerge/>
            <w:shd w:val="clear" w:color="auto" w:fill="D5DCE4"/>
          </w:tcPr>
          <w:p w:rsidR="00E62455" w:rsidRPr="00874AFB" w:rsidRDefault="00E62455" w:rsidP="002B36F1">
            <w:pPr>
              <w:jc w:val="both"/>
              <w:rPr>
                <w:rFonts w:ascii="Palatino Linotype" w:hAnsi="Palatino Linotype"/>
                <w:color w:val="000000"/>
                <w:sz w:val="20"/>
                <w:szCs w:val="20"/>
              </w:rPr>
            </w:pPr>
          </w:p>
        </w:tc>
        <w:tc>
          <w:tcPr>
            <w:tcW w:w="1759" w:type="dxa"/>
            <w:vMerge/>
          </w:tcPr>
          <w:p w:rsidR="00E62455" w:rsidRPr="00874AFB" w:rsidRDefault="00E62455" w:rsidP="002B36F1">
            <w:pPr>
              <w:jc w:val="both"/>
              <w:rPr>
                <w:rFonts w:ascii="Palatino Linotype" w:hAnsi="Palatino Linotype"/>
                <w:color w:val="000000"/>
                <w:sz w:val="20"/>
                <w:szCs w:val="20"/>
              </w:rPr>
            </w:pPr>
          </w:p>
        </w:tc>
        <w:tc>
          <w:tcPr>
            <w:tcW w:w="2269" w:type="dxa"/>
            <w:vMerge/>
          </w:tcPr>
          <w:p w:rsidR="00E62455" w:rsidRPr="00874AFB" w:rsidRDefault="00E62455" w:rsidP="002B36F1">
            <w:pPr>
              <w:jc w:val="both"/>
              <w:rPr>
                <w:rFonts w:ascii="Palatino Linotype" w:hAnsi="Palatino Linotype"/>
                <w:color w:val="000000"/>
                <w:sz w:val="20"/>
                <w:szCs w:val="20"/>
              </w:rPr>
            </w:pPr>
          </w:p>
        </w:tc>
        <w:tc>
          <w:tcPr>
            <w:tcW w:w="2268"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 xml:space="preserve">El riesgo por divulgar es mayor que el interés público de que se difunda  </w:t>
            </w:r>
          </w:p>
        </w:tc>
      </w:tr>
      <w:tr w:rsidR="00E62455" w:rsidRPr="00874AFB" w:rsidTr="00E62455">
        <w:trPr>
          <w:trHeight w:val="1454"/>
        </w:trPr>
        <w:tc>
          <w:tcPr>
            <w:tcW w:w="2155" w:type="dxa"/>
            <w:vMerge/>
            <w:shd w:val="clear" w:color="auto" w:fill="D5DCE4"/>
          </w:tcPr>
          <w:p w:rsidR="00E62455" w:rsidRPr="00874AFB" w:rsidRDefault="00E62455" w:rsidP="002B36F1">
            <w:pPr>
              <w:jc w:val="both"/>
              <w:rPr>
                <w:rFonts w:ascii="Palatino Linotype" w:hAnsi="Palatino Linotype"/>
                <w:color w:val="000000"/>
                <w:sz w:val="20"/>
                <w:szCs w:val="20"/>
              </w:rPr>
            </w:pPr>
          </w:p>
        </w:tc>
        <w:tc>
          <w:tcPr>
            <w:tcW w:w="1759" w:type="dxa"/>
            <w:vMerge/>
          </w:tcPr>
          <w:p w:rsidR="00E62455" w:rsidRPr="00874AFB" w:rsidRDefault="00E62455" w:rsidP="002B36F1">
            <w:pPr>
              <w:jc w:val="both"/>
              <w:rPr>
                <w:rFonts w:ascii="Palatino Linotype" w:hAnsi="Palatino Linotype"/>
                <w:color w:val="000000"/>
                <w:sz w:val="20"/>
                <w:szCs w:val="20"/>
              </w:rPr>
            </w:pPr>
          </w:p>
        </w:tc>
        <w:tc>
          <w:tcPr>
            <w:tcW w:w="2269" w:type="dxa"/>
            <w:vMerge/>
          </w:tcPr>
          <w:p w:rsidR="00E62455" w:rsidRPr="00874AFB" w:rsidRDefault="00E62455" w:rsidP="002B36F1">
            <w:pPr>
              <w:jc w:val="both"/>
              <w:rPr>
                <w:rFonts w:ascii="Palatino Linotype" w:hAnsi="Palatino Linotype"/>
                <w:color w:val="000000"/>
                <w:sz w:val="20"/>
                <w:szCs w:val="20"/>
              </w:rPr>
            </w:pPr>
          </w:p>
        </w:tc>
        <w:tc>
          <w:tcPr>
            <w:tcW w:w="2268"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El principio de proporcionalidad</w:t>
            </w:r>
          </w:p>
        </w:tc>
      </w:tr>
      <w:tr w:rsidR="00E62455" w:rsidRPr="00874AFB" w:rsidTr="00E62455">
        <w:tc>
          <w:tcPr>
            <w:tcW w:w="2155" w:type="dxa"/>
            <w:vMerge w:val="restart"/>
            <w:shd w:val="clear" w:color="auto" w:fill="D5DCE4"/>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Condiciones especiales de la confidencialidad</w:t>
            </w:r>
          </w:p>
        </w:tc>
        <w:tc>
          <w:tcPr>
            <w:tcW w:w="175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 xml:space="preserve">Para clasificar se debe verificar que no se encuentre en los supuestos del artículo 148 de la ley Estatal </w:t>
            </w:r>
          </w:p>
        </w:tc>
        <w:tc>
          <w:tcPr>
            <w:tcW w:w="226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 xml:space="preserve">Si se encuentra en los supuestos de dicho artículo se entrega aún sin consentimiento del titular del dato personal </w:t>
            </w:r>
          </w:p>
        </w:tc>
        <w:tc>
          <w:tcPr>
            <w:tcW w:w="2268" w:type="dxa"/>
          </w:tcPr>
          <w:p w:rsidR="00E62455" w:rsidRPr="00874AFB" w:rsidRDefault="00E62455" w:rsidP="002B36F1">
            <w:pPr>
              <w:jc w:val="both"/>
              <w:rPr>
                <w:rFonts w:ascii="Palatino Linotype" w:hAnsi="Palatino Linotype"/>
                <w:color w:val="000000"/>
                <w:sz w:val="20"/>
                <w:szCs w:val="20"/>
              </w:rPr>
            </w:pPr>
          </w:p>
        </w:tc>
      </w:tr>
      <w:tr w:rsidR="00E62455" w:rsidRPr="00874AFB" w:rsidTr="00E62455">
        <w:trPr>
          <w:trHeight w:val="3404"/>
        </w:trPr>
        <w:tc>
          <w:tcPr>
            <w:tcW w:w="2155" w:type="dxa"/>
            <w:vMerge/>
            <w:shd w:val="clear" w:color="auto" w:fill="D5DCE4"/>
          </w:tcPr>
          <w:p w:rsidR="00E62455" w:rsidRPr="00874AFB" w:rsidRDefault="00E62455" w:rsidP="002B36F1">
            <w:pPr>
              <w:jc w:val="both"/>
              <w:rPr>
                <w:rFonts w:ascii="Palatino Linotype" w:hAnsi="Palatino Linotype"/>
                <w:color w:val="000000"/>
                <w:sz w:val="20"/>
                <w:szCs w:val="20"/>
              </w:rPr>
            </w:pPr>
          </w:p>
        </w:tc>
        <w:tc>
          <w:tcPr>
            <w:tcW w:w="1759" w:type="dxa"/>
          </w:tcPr>
          <w:p w:rsidR="00E62455" w:rsidRPr="00874AFB" w:rsidRDefault="00E62455" w:rsidP="002B36F1">
            <w:pPr>
              <w:jc w:val="both"/>
              <w:rPr>
                <w:rFonts w:ascii="Palatino Linotype" w:hAnsi="Palatino Linotype"/>
                <w:color w:val="000000"/>
                <w:sz w:val="20"/>
                <w:szCs w:val="20"/>
              </w:rPr>
            </w:pPr>
            <w:r w:rsidRPr="00874AFB">
              <w:rPr>
                <w:rFonts w:ascii="Palatino Linotype" w:hAnsi="Palatino Linotype"/>
                <w:color w:val="000000"/>
                <w:sz w:val="20"/>
                <w:szCs w:val="20"/>
              </w:rPr>
              <w:t>Si es posible, se debe consultar al titular de los datos para requerir su autorización para entregarlo</w:t>
            </w:r>
          </w:p>
        </w:tc>
        <w:tc>
          <w:tcPr>
            <w:tcW w:w="2269" w:type="dxa"/>
          </w:tcPr>
          <w:p w:rsidR="00E62455" w:rsidRPr="00874AFB" w:rsidRDefault="00E62455" w:rsidP="002B36F1">
            <w:pPr>
              <w:jc w:val="both"/>
              <w:rPr>
                <w:rFonts w:ascii="Palatino Linotype" w:hAnsi="Palatino Linotype"/>
                <w:color w:val="000000"/>
                <w:sz w:val="20"/>
                <w:szCs w:val="20"/>
              </w:rPr>
            </w:pPr>
          </w:p>
        </w:tc>
        <w:tc>
          <w:tcPr>
            <w:tcW w:w="2268" w:type="dxa"/>
          </w:tcPr>
          <w:p w:rsidR="00E62455" w:rsidRPr="00874AFB" w:rsidRDefault="00E62455" w:rsidP="002B36F1">
            <w:pPr>
              <w:jc w:val="both"/>
              <w:rPr>
                <w:rFonts w:ascii="Palatino Linotype" w:hAnsi="Palatino Linotype"/>
                <w:color w:val="000000"/>
                <w:sz w:val="20"/>
                <w:szCs w:val="20"/>
              </w:rPr>
            </w:pPr>
          </w:p>
        </w:tc>
      </w:tr>
    </w:tbl>
    <w:p w:rsidR="00E62455" w:rsidRPr="00874AFB" w:rsidRDefault="00E62455" w:rsidP="00E62455">
      <w:pPr>
        <w:spacing w:line="360" w:lineRule="auto"/>
        <w:ind w:right="49"/>
        <w:contextualSpacing/>
        <w:jc w:val="both"/>
        <w:rPr>
          <w:rFonts w:ascii="Palatino Linotype" w:eastAsiaTheme="minorEastAsia" w:hAnsi="Palatino Linotype"/>
          <w:lang w:eastAsia="es-ES"/>
        </w:rPr>
      </w:pPr>
    </w:p>
    <w:p w:rsidR="00E62455" w:rsidRPr="00874AFB" w:rsidRDefault="00E62455" w:rsidP="00E62455">
      <w:pPr>
        <w:numPr>
          <w:ilvl w:val="0"/>
          <w:numId w:val="1"/>
        </w:numPr>
        <w:spacing w:line="360" w:lineRule="auto"/>
        <w:ind w:left="0" w:right="49" w:firstLine="0"/>
        <w:contextualSpacing/>
        <w:jc w:val="both"/>
        <w:rPr>
          <w:rFonts w:ascii="Palatino Linotype" w:eastAsiaTheme="minorEastAsia" w:hAnsi="Palatino Linotype"/>
          <w:lang w:eastAsia="es-ES"/>
        </w:rPr>
      </w:pPr>
      <w:r w:rsidRPr="00874AFB">
        <w:rPr>
          <w:rFonts w:ascii="Palatino Linotype" w:eastAsia="Calibri" w:hAnsi="Palatino Linotype"/>
          <w:color w:val="000000"/>
          <w:lang w:eastAsia="en-US"/>
        </w:rPr>
        <w:t>Pero</w:t>
      </w:r>
      <w:r w:rsidRPr="00874AFB">
        <w:rPr>
          <w:rFonts w:ascii="Palatino Linotype" w:eastAsia="Calibri" w:hAnsi="Palatino Linotype"/>
          <w:color w:val="000000"/>
          <w:lang w:val="es-ES_tradnl" w:eastAsia="es-ES_tradnl"/>
        </w:rPr>
        <w:t xml:space="preserve"> si la información que se pretende clasificar como confidencial no se </w:t>
      </w:r>
      <w:r w:rsidRPr="00874AFB">
        <w:rPr>
          <w:rFonts w:ascii="Palatino Linotype" w:eastAsia="Calibri" w:hAnsi="Palatino Linotype"/>
          <w:color w:val="000000"/>
          <w:lang w:eastAsia="en-US"/>
        </w:rPr>
        <w:t>encuentra</w:t>
      </w:r>
      <w:r w:rsidRPr="00874AFB">
        <w:rPr>
          <w:rFonts w:ascii="Palatino Linotype" w:eastAsia="Calibri" w:hAnsi="Palatino Linotype"/>
          <w:color w:val="000000"/>
          <w:lang w:val="es-ES_tradnl" w:eastAsia="es-ES_tradnl"/>
        </w:rPr>
        <w:t xml:space="preserve"> en los supuestos antes señalados y es posible, se deberá consultar al titular de los datos si permite o no el acceso. De no ser posible, la realización de la consulta procede, fundando y motivando, la clasificación.</w:t>
      </w:r>
    </w:p>
    <w:p w:rsidR="00BF5933" w:rsidRPr="00874AFB" w:rsidRDefault="00BF5933" w:rsidP="00BF5933">
      <w:pPr>
        <w:spacing w:line="360" w:lineRule="auto"/>
        <w:ind w:right="49"/>
        <w:contextualSpacing/>
        <w:jc w:val="both"/>
        <w:rPr>
          <w:rFonts w:ascii="Palatino Linotype" w:eastAsiaTheme="minorEastAsia" w:hAnsi="Palatino Linotype"/>
          <w:lang w:eastAsia="es-ES"/>
        </w:rPr>
      </w:pPr>
    </w:p>
    <w:p w:rsidR="00BF5933" w:rsidRPr="00874AFB" w:rsidRDefault="00BF5933" w:rsidP="00BF5933">
      <w:pPr>
        <w:pStyle w:val="Prrafodelista"/>
        <w:numPr>
          <w:ilvl w:val="0"/>
          <w:numId w:val="45"/>
        </w:numPr>
        <w:rPr>
          <w:rFonts w:ascii="Palatino Linotype" w:hAnsi="Palatino Linotype" w:cs="Arial"/>
          <w:b/>
          <w:sz w:val="24"/>
        </w:rPr>
      </w:pPr>
      <w:r w:rsidRPr="00874AFB">
        <w:rPr>
          <w:rFonts w:ascii="Palatino Linotype" w:hAnsi="Palatino Linotype" w:cs="Arial"/>
          <w:b/>
        </w:rPr>
        <w:t>De los elementos de seguridad pública</w:t>
      </w:r>
    </w:p>
    <w:p w:rsidR="00BF5933" w:rsidRPr="00874AFB" w:rsidRDefault="00BF5933" w:rsidP="00BF5933">
      <w:pPr>
        <w:pStyle w:val="Prrafodelista"/>
        <w:rPr>
          <w:rFonts w:ascii="Palatino Linotype" w:hAnsi="Palatino Linotype" w:cs="Arial"/>
        </w:rPr>
      </w:pPr>
    </w:p>
    <w:p w:rsidR="00BF5933" w:rsidRPr="00874AFB" w:rsidRDefault="00BF5933" w:rsidP="00E33B40">
      <w:pPr>
        <w:pStyle w:val="Prrafodelista"/>
        <w:numPr>
          <w:ilvl w:val="0"/>
          <w:numId w:val="1"/>
        </w:numPr>
        <w:spacing w:line="360" w:lineRule="auto"/>
        <w:ind w:left="0" w:firstLine="0"/>
        <w:jc w:val="both"/>
        <w:rPr>
          <w:rFonts w:ascii="Palatino Linotype" w:hAnsi="Palatino Linotype" w:cs="Tahoma"/>
          <w:bCs/>
        </w:rPr>
      </w:pPr>
      <w:r w:rsidRPr="00874AFB">
        <w:rPr>
          <w:rFonts w:ascii="Palatino Linotype" w:hAnsi="Palatino Linotype" w:cs="Arial"/>
        </w:rPr>
        <w:t xml:space="preserve">Finalmente, </w:t>
      </w:r>
      <w:r w:rsidRPr="00874AFB">
        <w:rPr>
          <w:rFonts w:ascii="Palatino Linotype" w:hAnsi="Palatino Linotype" w:cs="Tahoma"/>
          <w:bCs/>
        </w:rPr>
        <w:t xml:space="preserve">al haberse requerido la información tocante a todos los servidores públicos </w:t>
      </w:r>
      <w:r w:rsidRPr="00874AFB">
        <w:rPr>
          <w:rFonts w:ascii="Palatino Linotype" w:hAnsi="Palatino Linotype" w:cs="Arial"/>
          <w:color w:val="000000" w:themeColor="text1"/>
        </w:rPr>
        <w:t>adscritos</w:t>
      </w:r>
      <w:r w:rsidRPr="00874AFB">
        <w:rPr>
          <w:rFonts w:ascii="Palatino Linotype" w:hAnsi="Palatino Linotype" w:cs="Tahoma"/>
          <w:bCs/>
        </w:rPr>
        <w:t xml:space="preserve"> a la estructura orgánica del </w:t>
      </w:r>
      <w:r w:rsidRPr="00874AFB">
        <w:rPr>
          <w:rFonts w:ascii="Palatino Linotype" w:hAnsi="Palatino Linotype" w:cs="Tahoma"/>
          <w:b/>
          <w:bCs/>
        </w:rPr>
        <w:t xml:space="preserve">SUJETO OBLIGADO, </w:t>
      </w:r>
      <w:r w:rsidRPr="00874AFB">
        <w:rPr>
          <w:rFonts w:ascii="Palatino Linotype" w:hAnsi="Palatino Linotype" w:cs="Tahoma"/>
          <w:bCs/>
        </w:rPr>
        <w:t xml:space="preserve">naturalmente se </w:t>
      </w:r>
      <w:r w:rsidRPr="00874AFB">
        <w:rPr>
          <w:rFonts w:ascii="Palatino Linotype" w:hAnsi="Palatino Linotype" w:cs="Tahoma"/>
          <w:b/>
          <w:bCs/>
        </w:rPr>
        <w:t>incluye a la entonces denominada</w:t>
      </w:r>
      <w:r w:rsidR="00BB271D" w:rsidRPr="00874AFB">
        <w:rPr>
          <w:rFonts w:ascii="Palatino Linotype" w:hAnsi="Palatino Linotype" w:cs="Tahoma"/>
          <w:b/>
          <w:bCs/>
        </w:rPr>
        <w:t xml:space="preserve"> Dirección de Seguridad Pública</w:t>
      </w:r>
      <w:r w:rsidRPr="00874AFB">
        <w:rPr>
          <w:rFonts w:ascii="Palatino Linotype" w:hAnsi="Palatino Linotype" w:cs="Tahoma"/>
          <w:bCs/>
        </w:rPr>
        <w:t xml:space="preserve">, de acuerdo con el vigente </w:t>
      </w:r>
      <w:r w:rsidRPr="00874AFB">
        <w:rPr>
          <w:rFonts w:ascii="Palatino Linotype" w:hAnsi="Palatino Linotype" w:cs="Tahoma"/>
          <w:b/>
          <w:bCs/>
        </w:rPr>
        <w:t xml:space="preserve">Bando Municipal de </w:t>
      </w:r>
      <w:proofErr w:type="spellStart"/>
      <w:r w:rsidRPr="00874AFB">
        <w:rPr>
          <w:rFonts w:ascii="Palatino Linotype" w:hAnsi="Palatino Linotype" w:cs="Tahoma"/>
          <w:b/>
          <w:bCs/>
        </w:rPr>
        <w:t>A</w:t>
      </w:r>
      <w:r w:rsidR="00BB271D" w:rsidRPr="00874AFB">
        <w:rPr>
          <w:rFonts w:ascii="Palatino Linotype" w:hAnsi="Palatino Linotype" w:cs="Tahoma"/>
          <w:b/>
          <w:bCs/>
        </w:rPr>
        <w:t>tlautl</w:t>
      </w:r>
      <w:r w:rsidRPr="00874AFB">
        <w:rPr>
          <w:rFonts w:ascii="Palatino Linotype" w:hAnsi="Palatino Linotype" w:cs="Tahoma"/>
          <w:b/>
          <w:bCs/>
        </w:rPr>
        <w:t>a</w:t>
      </w:r>
      <w:proofErr w:type="spellEnd"/>
      <w:r w:rsidR="0029311A" w:rsidRPr="00874AFB">
        <w:rPr>
          <w:rFonts w:ascii="Palatino Linotype" w:hAnsi="Palatino Linotype" w:cs="Tahoma"/>
          <w:bCs/>
        </w:rPr>
        <w:t>.</w:t>
      </w:r>
    </w:p>
    <w:p w:rsidR="0029311A" w:rsidRPr="00874AFB" w:rsidRDefault="0029311A" w:rsidP="0029311A">
      <w:pPr>
        <w:pStyle w:val="Prrafodelista"/>
        <w:spacing w:line="360" w:lineRule="auto"/>
        <w:ind w:left="0"/>
        <w:jc w:val="both"/>
        <w:rPr>
          <w:rFonts w:ascii="Palatino Linotype" w:hAnsi="Palatino Linotype" w:cs="Tahoma"/>
          <w:bCs/>
        </w:rPr>
      </w:pPr>
    </w:p>
    <w:p w:rsidR="00BF5933" w:rsidRPr="00874AFB" w:rsidRDefault="00BF5933" w:rsidP="00BF5933">
      <w:pPr>
        <w:numPr>
          <w:ilvl w:val="0"/>
          <w:numId w:val="46"/>
        </w:numPr>
        <w:spacing w:line="360" w:lineRule="auto"/>
        <w:ind w:left="0" w:firstLine="0"/>
        <w:contextualSpacing/>
        <w:jc w:val="both"/>
        <w:rPr>
          <w:rFonts w:ascii="Palatino Linotype" w:eastAsia="Calibri" w:hAnsi="Palatino Linotype" w:cs="Tahoma"/>
          <w:bCs/>
          <w:color w:val="000000" w:themeColor="text1"/>
          <w:lang w:eastAsia="en-US"/>
        </w:rPr>
      </w:pPr>
      <w:r w:rsidRPr="00874AFB">
        <w:rPr>
          <w:rFonts w:ascii="Palatino Linotype" w:eastAsia="Calibri" w:hAnsi="Palatino Linotype" w:cs="Tahoma"/>
          <w:bCs/>
          <w:color w:val="000000" w:themeColor="text1"/>
          <w:lang w:eastAsia="en-US"/>
        </w:rPr>
        <w:t>La cual, está estaba encargada de salvaguardar y garantizar el orden público y la paz social, así como de la prevención, combate y persecución de delitos; lo anterior, a través de servidores públicos que realizan funciones operativas en materia de seguridad pública, como lo son, los elementos policiales.</w:t>
      </w:r>
    </w:p>
    <w:p w:rsidR="00BF5933" w:rsidRPr="00874AFB" w:rsidRDefault="00BF5933" w:rsidP="00BF5933">
      <w:pPr>
        <w:spacing w:line="360" w:lineRule="auto"/>
        <w:ind w:right="-93"/>
        <w:jc w:val="both"/>
        <w:rPr>
          <w:rFonts w:ascii="Palatino Linotype" w:eastAsia="Calibri" w:hAnsi="Palatino Linotype" w:cs="Tahoma"/>
          <w:bCs/>
          <w:color w:val="000000" w:themeColor="text1"/>
          <w:lang w:eastAsia="en-US"/>
        </w:rPr>
      </w:pPr>
    </w:p>
    <w:p w:rsidR="00BF5933" w:rsidRPr="00874AFB" w:rsidRDefault="00BF5933" w:rsidP="00BF5933">
      <w:pPr>
        <w:numPr>
          <w:ilvl w:val="0"/>
          <w:numId w:val="46"/>
        </w:numPr>
        <w:spacing w:line="360" w:lineRule="auto"/>
        <w:ind w:left="0" w:firstLine="0"/>
        <w:contextualSpacing/>
        <w:jc w:val="both"/>
        <w:rPr>
          <w:rFonts w:ascii="Palatino Linotype" w:eastAsia="Calibri" w:hAnsi="Palatino Linotype" w:cstheme="minorBidi"/>
          <w:lang w:eastAsia="es-ES"/>
        </w:rPr>
      </w:pPr>
      <w:r w:rsidRPr="00874AFB">
        <w:rPr>
          <w:rFonts w:ascii="Palatino Linotype" w:eastAsia="Calibri" w:hAnsi="Palatino Linotype"/>
        </w:rPr>
        <w:lastRenderedPageBreak/>
        <w:t>En ese contexto, el nombre de los servidores públicos adscritos al área de mérito, actualiza una causal de clasificación contenida en el artículo 140, fracción IV, de la Ley de Transparencia y Acceso a la Información Pública del Estado de México y Municipios, homólogo a parte del artículo 113, fracción V de la Ley General de Transparencia y Acceso a la Información Pública), que prevé lo siguiente:</w:t>
      </w:r>
    </w:p>
    <w:p w:rsidR="00BF5933" w:rsidRPr="00874AFB" w:rsidRDefault="00BF5933" w:rsidP="00BF5933">
      <w:pPr>
        <w:spacing w:line="360" w:lineRule="auto"/>
        <w:jc w:val="both"/>
        <w:rPr>
          <w:rFonts w:ascii="Palatino Linotype" w:eastAsiaTheme="minorEastAsia" w:hAnsi="Palatino Linotype" w:cs="Tahoma"/>
        </w:rPr>
      </w:pPr>
    </w:p>
    <w:p w:rsidR="00BF5933" w:rsidRPr="00874AFB" w:rsidRDefault="00BF5933" w:rsidP="00BF5933">
      <w:pPr>
        <w:tabs>
          <w:tab w:val="left" w:pos="4962"/>
        </w:tabs>
        <w:spacing w:line="360" w:lineRule="auto"/>
        <w:ind w:left="567" w:right="567"/>
        <w:jc w:val="both"/>
        <w:rPr>
          <w:rFonts w:ascii="Palatino Linotype" w:eastAsia="Calibri" w:hAnsi="Palatino Linotype" w:cs="Tahoma"/>
          <w:i/>
          <w:iCs/>
          <w:lang w:val="es-ES" w:eastAsia="es-ES_tradnl"/>
        </w:rPr>
      </w:pPr>
      <w:r w:rsidRPr="00874AFB">
        <w:rPr>
          <w:rFonts w:ascii="Palatino Linotype" w:eastAsia="Calibri" w:hAnsi="Palatino Linotype" w:cs="Tahoma"/>
          <w:i/>
          <w:iCs/>
          <w:lang w:val="es-ES" w:eastAsia="es-ES_tradnl"/>
        </w:rPr>
        <w:t>“</w:t>
      </w:r>
      <w:r w:rsidRPr="00874AFB">
        <w:rPr>
          <w:rFonts w:ascii="Palatino Linotype" w:eastAsia="Calibri" w:hAnsi="Palatino Linotype" w:cs="Tahoma"/>
          <w:b/>
          <w:i/>
          <w:iCs/>
          <w:lang w:val="es-ES" w:eastAsia="es-ES_tradnl"/>
        </w:rPr>
        <w:t>Artículo 140.</w:t>
      </w:r>
      <w:r w:rsidRPr="00874AFB">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rsidR="00BF5933" w:rsidRPr="00874AFB" w:rsidRDefault="00BF5933" w:rsidP="00BF5933">
      <w:pPr>
        <w:tabs>
          <w:tab w:val="left" w:pos="4962"/>
        </w:tabs>
        <w:spacing w:line="360" w:lineRule="auto"/>
        <w:ind w:left="567" w:right="567"/>
        <w:jc w:val="both"/>
        <w:rPr>
          <w:rFonts w:ascii="Palatino Linotype" w:eastAsia="Calibri" w:hAnsi="Palatino Linotype" w:cs="Tahoma"/>
          <w:i/>
          <w:iCs/>
          <w:lang w:val="es-ES" w:eastAsia="es-ES_tradnl"/>
        </w:rPr>
      </w:pPr>
      <w:r w:rsidRPr="00874AFB">
        <w:rPr>
          <w:rFonts w:ascii="Palatino Linotype" w:eastAsia="Calibri" w:hAnsi="Palatino Linotype" w:cs="Tahoma"/>
          <w:i/>
          <w:iCs/>
          <w:lang w:val="es-ES" w:eastAsia="es-ES_tradnl"/>
        </w:rPr>
        <w:t>…</w:t>
      </w:r>
    </w:p>
    <w:p w:rsidR="00BF5933" w:rsidRPr="00874AFB" w:rsidRDefault="00BF5933" w:rsidP="00BF5933">
      <w:pPr>
        <w:tabs>
          <w:tab w:val="left" w:pos="4962"/>
        </w:tabs>
        <w:spacing w:line="360" w:lineRule="auto"/>
        <w:ind w:left="567" w:right="567"/>
        <w:jc w:val="both"/>
        <w:rPr>
          <w:rFonts w:ascii="Palatino Linotype" w:eastAsia="Calibri" w:hAnsi="Palatino Linotype" w:cs="Tahoma"/>
          <w:i/>
          <w:iCs/>
          <w:lang w:val="es-ES_tradnl" w:eastAsia="es-ES_tradnl"/>
        </w:rPr>
      </w:pPr>
      <w:r w:rsidRPr="00874AFB">
        <w:rPr>
          <w:rFonts w:ascii="Palatino Linotype" w:eastAsia="Calibri" w:hAnsi="Palatino Linotype" w:cs="Tahoma"/>
          <w:i/>
          <w:iCs/>
          <w:lang w:eastAsia="es-ES_tradnl"/>
        </w:rPr>
        <w:t>IV. Ponga en riesgo la vida, la seguridad o la salud de una persona física;</w:t>
      </w:r>
    </w:p>
    <w:p w:rsidR="00BF5933" w:rsidRPr="00874AFB" w:rsidRDefault="00BF5933" w:rsidP="00BF5933">
      <w:pPr>
        <w:tabs>
          <w:tab w:val="left" w:pos="4962"/>
        </w:tabs>
        <w:spacing w:line="360" w:lineRule="auto"/>
        <w:ind w:left="567" w:right="567"/>
        <w:jc w:val="both"/>
        <w:rPr>
          <w:rFonts w:ascii="Palatino Linotype" w:eastAsia="Calibri" w:hAnsi="Palatino Linotype" w:cs="Tahoma"/>
          <w:i/>
          <w:iCs/>
          <w:lang w:val="es-ES" w:eastAsia="es-ES_tradnl"/>
        </w:rPr>
      </w:pPr>
      <w:r w:rsidRPr="00874AFB">
        <w:rPr>
          <w:rFonts w:ascii="Palatino Linotype" w:eastAsia="Calibri" w:hAnsi="Palatino Linotype" w:cs="Tahoma"/>
          <w:i/>
          <w:iCs/>
          <w:lang w:val="es-ES" w:eastAsia="es-ES_tradnl"/>
        </w:rPr>
        <w:t xml:space="preserve">…” </w:t>
      </w:r>
    </w:p>
    <w:p w:rsidR="00BF5933" w:rsidRPr="00874AFB" w:rsidRDefault="00BF5933" w:rsidP="00BF5933">
      <w:pPr>
        <w:spacing w:line="360" w:lineRule="auto"/>
        <w:jc w:val="both"/>
        <w:rPr>
          <w:rFonts w:ascii="Palatino Linotype" w:eastAsia="Calibri" w:hAnsi="Palatino Linotype" w:cs="Tahoma"/>
          <w:bCs/>
          <w:lang w:val="es-ES_tradnl" w:eastAsia="en-US"/>
        </w:rPr>
      </w:pPr>
    </w:p>
    <w:p w:rsidR="00BF5933" w:rsidRPr="00874AFB" w:rsidRDefault="00BF5933" w:rsidP="00BF5933">
      <w:pPr>
        <w:numPr>
          <w:ilvl w:val="0"/>
          <w:numId w:val="46"/>
        </w:numPr>
        <w:spacing w:line="360" w:lineRule="auto"/>
        <w:ind w:left="0" w:firstLine="0"/>
        <w:contextualSpacing/>
        <w:jc w:val="both"/>
        <w:rPr>
          <w:rFonts w:ascii="Palatino Linotype" w:eastAsia="Calibri" w:hAnsi="Palatino Linotype" w:cs="Tahoma"/>
          <w:bCs/>
          <w:lang w:eastAsia="en-US"/>
        </w:rPr>
      </w:pPr>
      <w:r w:rsidRPr="00874AFB">
        <w:rPr>
          <w:rFonts w:ascii="Palatino Linotype" w:eastAsia="Calibri" w:hAnsi="Palatino Linotype" w:cs="Tahoma"/>
          <w:bCs/>
          <w:lang w:eastAsia="en-US"/>
        </w:rPr>
        <w:t xml:space="preserve">Del precepto legal en cita se desprende que como información reservada podrá clasificarse aquella cuya publicación pueda poner en riesgo la vida, seguridad o salud de una persona física; para acreditar lo anterior, los </w:t>
      </w:r>
      <w:r w:rsidRPr="00874AFB">
        <w:rPr>
          <w:rFonts w:ascii="Palatino Linotype" w:eastAsia="Calibri" w:hAnsi="Palatino Linotype" w:cs="Tahoma"/>
          <w:bCs/>
          <w:lang w:val="es-ES" w:eastAsia="en-US"/>
        </w:rPr>
        <w:t xml:space="preserve">lineamientos generales en materia de clasificación y desclasificación de la información, </w:t>
      </w:r>
      <w:r w:rsidRPr="00874AFB">
        <w:rPr>
          <w:rFonts w:ascii="Palatino Linotype" w:eastAsia="Calibri" w:hAnsi="Palatino Linotype" w:cs="Tahoma"/>
          <w:bCs/>
          <w:lang w:eastAsia="en-US"/>
        </w:rPr>
        <w:t>establecen lo siguiente:</w:t>
      </w:r>
    </w:p>
    <w:p w:rsidR="00BF5933" w:rsidRPr="00874AFB" w:rsidRDefault="00BF5933" w:rsidP="00BF5933">
      <w:pPr>
        <w:spacing w:line="360" w:lineRule="auto"/>
        <w:jc w:val="both"/>
        <w:rPr>
          <w:rFonts w:ascii="Palatino Linotype" w:eastAsia="Calibri" w:hAnsi="Palatino Linotype" w:cs="Tahoma"/>
          <w:bCs/>
          <w:lang w:eastAsia="en-US"/>
        </w:rPr>
      </w:pPr>
    </w:p>
    <w:p w:rsidR="00BF5933" w:rsidRPr="00874AFB" w:rsidRDefault="00BF5933" w:rsidP="00BF5933">
      <w:pPr>
        <w:spacing w:line="360" w:lineRule="auto"/>
        <w:ind w:left="567" w:right="567"/>
        <w:jc w:val="both"/>
        <w:rPr>
          <w:rFonts w:ascii="Palatino Linotype" w:eastAsia="Calibri" w:hAnsi="Palatino Linotype" w:cs="Tahoma"/>
          <w:b/>
          <w:bCs/>
          <w:i/>
          <w:lang w:eastAsia="en-US"/>
        </w:rPr>
      </w:pPr>
      <w:r w:rsidRPr="00874AFB">
        <w:rPr>
          <w:rFonts w:ascii="Palatino Linotype" w:eastAsia="Calibri" w:hAnsi="Palatino Linotype" w:cs="Tahoma"/>
          <w:b/>
          <w:bCs/>
          <w:i/>
          <w:lang w:eastAsia="en-US"/>
        </w:rPr>
        <w:t xml:space="preserve">“Vigésimo tercero. </w:t>
      </w:r>
      <w:r w:rsidRPr="00874AFB">
        <w:rPr>
          <w:rFonts w:ascii="Palatino Linotype" w:eastAsia="Calibri" w:hAnsi="Palatino Linotype" w:cs="Tahoma"/>
          <w:bCs/>
          <w:i/>
          <w:lang w:eastAsia="en-US"/>
        </w:rPr>
        <w:t xml:space="preserve">Para clasificar la información como reservada, de conformidad con el artículo 113, fracción V de la Ley General, será necesario acreditar un vínculo, entre la persona física y la información que </w:t>
      </w:r>
      <w:r w:rsidRPr="00874AFB">
        <w:rPr>
          <w:rFonts w:ascii="Palatino Linotype" w:eastAsia="Calibri" w:hAnsi="Palatino Linotype" w:cs="Tahoma"/>
          <w:b/>
          <w:bCs/>
          <w:i/>
          <w:lang w:eastAsia="en-US"/>
        </w:rPr>
        <w:t>pueda poner en riesgo su vida, seguridad o salud.”</w:t>
      </w:r>
    </w:p>
    <w:p w:rsidR="00BF5933" w:rsidRPr="00874AFB" w:rsidRDefault="00BF5933" w:rsidP="00BF5933">
      <w:pPr>
        <w:spacing w:line="360" w:lineRule="auto"/>
        <w:ind w:left="567" w:right="567"/>
        <w:jc w:val="both"/>
        <w:rPr>
          <w:rFonts w:ascii="Palatino Linotype" w:eastAsia="Calibri" w:hAnsi="Palatino Linotype" w:cs="Tahoma"/>
          <w:bCs/>
          <w:lang w:eastAsia="en-US"/>
        </w:rPr>
      </w:pPr>
      <w:r w:rsidRPr="00874AFB">
        <w:rPr>
          <w:rFonts w:ascii="Palatino Linotype" w:eastAsia="Calibri" w:hAnsi="Palatino Linotype" w:cs="Tahoma"/>
          <w:bCs/>
          <w:lang w:eastAsia="en-US"/>
        </w:rPr>
        <w:t>Énfasis añadido</w:t>
      </w:r>
    </w:p>
    <w:p w:rsidR="00BF5933" w:rsidRPr="00874AFB" w:rsidRDefault="00BF5933" w:rsidP="00BF5933">
      <w:pPr>
        <w:spacing w:line="360" w:lineRule="auto"/>
        <w:ind w:left="567" w:right="567"/>
        <w:jc w:val="both"/>
        <w:rPr>
          <w:rFonts w:ascii="Palatino Linotype" w:eastAsia="Calibri" w:hAnsi="Palatino Linotype" w:cs="Tahoma"/>
          <w:bCs/>
          <w:lang w:eastAsia="en-US"/>
        </w:rPr>
      </w:pPr>
    </w:p>
    <w:p w:rsidR="00BF5933" w:rsidRPr="00874AFB" w:rsidRDefault="00BF5933" w:rsidP="00BF5933">
      <w:pPr>
        <w:numPr>
          <w:ilvl w:val="0"/>
          <w:numId w:val="46"/>
        </w:numPr>
        <w:spacing w:line="360" w:lineRule="auto"/>
        <w:ind w:left="0" w:firstLine="0"/>
        <w:contextualSpacing/>
        <w:jc w:val="both"/>
        <w:rPr>
          <w:rFonts w:ascii="Palatino Linotype" w:eastAsia="Calibri" w:hAnsi="Palatino Linotype" w:cs="Tahoma"/>
          <w:bCs/>
          <w:lang w:eastAsia="en-US"/>
        </w:rPr>
      </w:pPr>
      <w:r w:rsidRPr="00874AFB">
        <w:rPr>
          <w:rFonts w:ascii="Palatino Linotype" w:eastAsia="Calibri" w:hAnsi="Palatino Linotype" w:cs="Tahoma"/>
          <w:bCs/>
          <w:lang w:eastAsia="en-US"/>
        </w:rPr>
        <w:lastRenderedPageBreak/>
        <w:t>Por otro lado, el artículo 81, fracción III, de la Ley de Seguridad del Estado de México, establece lo siguiente:</w:t>
      </w:r>
    </w:p>
    <w:p w:rsidR="00BF5933" w:rsidRPr="00874AFB" w:rsidRDefault="00BF5933" w:rsidP="00BF5933">
      <w:pPr>
        <w:spacing w:line="360" w:lineRule="auto"/>
        <w:jc w:val="both"/>
        <w:rPr>
          <w:rFonts w:ascii="Palatino Linotype" w:eastAsia="Calibri" w:hAnsi="Palatino Linotype" w:cs="Tahoma"/>
          <w:bCs/>
          <w:lang w:eastAsia="en-US"/>
        </w:rPr>
      </w:pPr>
    </w:p>
    <w:p w:rsidR="00BF5933" w:rsidRPr="00874AFB" w:rsidRDefault="00BF5933" w:rsidP="00BF5933">
      <w:pPr>
        <w:spacing w:line="360" w:lineRule="auto"/>
        <w:ind w:left="567" w:right="567"/>
        <w:jc w:val="both"/>
        <w:rPr>
          <w:rFonts w:ascii="Palatino Linotype" w:eastAsia="Calibri" w:hAnsi="Palatino Linotype" w:cs="Tahoma"/>
          <w:bCs/>
          <w:i/>
          <w:lang w:eastAsia="en-US"/>
        </w:rPr>
      </w:pPr>
      <w:r w:rsidRPr="00874AFB">
        <w:rPr>
          <w:rFonts w:ascii="Palatino Linotype" w:eastAsia="Calibri" w:hAnsi="Palatino Linotype" w:cs="Tahoma"/>
          <w:b/>
          <w:bCs/>
          <w:i/>
          <w:lang w:eastAsia="en-US"/>
        </w:rPr>
        <w:t>“Artículo 81.-</w:t>
      </w:r>
      <w:r w:rsidRPr="00874AFB">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BF5933" w:rsidRPr="00874AFB" w:rsidRDefault="00BF5933" w:rsidP="00BF5933">
      <w:pPr>
        <w:spacing w:line="360" w:lineRule="auto"/>
        <w:ind w:left="567" w:right="567"/>
        <w:jc w:val="both"/>
        <w:rPr>
          <w:rFonts w:ascii="Palatino Linotype" w:eastAsia="Calibri" w:hAnsi="Palatino Linotype" w:cs="Tahoma"/>
          <w:bCs/>
          <w:i/>
          <w:lang w:eastAsia="en-US"/>
        </w:rPr>
      </w:pPr>
      <w:r w:rsidRPr="00874AFB">
        <w:rPr>
          <w:rFonts w:ascii="Palatino Linotype" w:eastAsia="Calibri" w:hAnsi="Palatino Linotype" w:cs="Tahoma"/>
          <w:bCs/>
          <w:i/>
          <w:lang w:eastAsia="en-US"/>
        </w:rPr>
        <w:t>…</w:t>
      </w:r>
    </w:p>
    <w:p w:rsidR="00BF5933" w:rsidRPr="00874AFB" w:rsidRDefault="00BF5933" w:rsidP="00BF5933">
      <w:pPr>
        <w:spacing w:line="360" w:lineRule="auto"/>
        <w:ind w:left="567" w:right="567"/>
        <w:jc w:val="both"/>
        <w:rPr>
          <w:rFonts w:ascii="Palatino Linotype" w:eastAsia="Calibri" w:hAnsi="Palatino Linotype" w:cs="Tahoma"/>
          <w:bCs/>
          <w:i/>
          <w:lang w:eastAsia="en-US"/>
        </w:rPr>
      </w:pPr>
      <w:r w:rsidRPr="00874AFB">
        <w:rPr>
          <w:rFonts w:ascii="Palatino Linotype" w:eastAsia="Calibri" w:hAnsi="Palatino Linotype" w:cs="Tahoma"/>
          <w:bCs/>
          <w:i/>
          <w:lang w:eastAsia="en-US"/>
        </w:rPr>
        <w:t xml:space="preserve">III. </w:t>
      </w:r>
      <w:r w:rsidRPr="00874AFB">
        <w:rPr>
          <w:rFonts w:ascii="Palatino Linotype" w:eastAsia="Calibri" w:hAnsi="Palatino Linotype" w:cs="Tahoma"/>
          <w:b/>
          <w:bCs/>
          <w:i/>
          <w:lang w:eastAsia="en-US"/>
        </w:rPr>
        <w:t>La relativa a los servidores públicos integrantes de las instituciones de seguridad pública</w:t>
      </w:r>
      <w:r w:rsidRPr="00874AFB">
        <w:rPr>
          <w:rFonts w:ascii="Palatino Linotype" w:eastAsia="Calibri" w:hAnsi="Palatino Linotype" w:cs="Tahoma"/>
          <w:bCs/>
          <w:i/>
          <w:lang w:eastAsia="en-US"/>
        </w:rPr>
        <w:t>, cuya revelación pueda poner en riesgo su vida e integridad física con motivo de sus funciones;</w:t>
      </w:r>
    </w:p>
    <w:p w:rsidR="00BF5933" w:rsidRPr="00874AFB" w:rsidRDefault="00BF5933" w:rsidP="00BF5933">
      <w:pPr>
        <w:spacing w:line="360" w:lineRule="auto"/>
        <w:ind w:left="567" w:right="567"/>
        <w:jc w:val="both"/>
        <w:rPr>
          <w:rFonts w:ascii="Palatino Linotype" w:eastAsia="Calibri" w:hAnsi="Palatino Linotype" w:cs="Tahoma"/>
          <w:bCs/>
          <w:i/>
          <w:lang w:eastAsia="en-US"/>
        </w:rPr>
      </w:pPr>
      <w:r w:rsidRPr="00874AFB">
        <w:rPr>
          <w:rFonts w:ascii="Palatino Linotype" w:eastAsia="Calibri" w:hAnsi="Palatino Linotype" w:cs="Tahoma"/>
          <w:bCs/>
          <w:i/>
          <w:lang w:eastAsia="en-US"/>
        </w:rPr>
        <w:t>…”</w:t>
      </w:r>
    </w:p>
    <w:p w:rsidR="00BF5933" w:rsidRPr="00874AFB" w:rsidRDefault="00BF5933" w:rsidP="00BF5933">
      <w:pPr>
        <w:spacing w:line="360" w:lineRule="auto"/>
        <w:ind w:left="567" w:right="567"/>
        <w:jc w:val="both"/>
        <w:rPr>
          <w:rFonts w:ascii="Palatino Linotype" w:eastAsia="Calibri" w:hAnsi="Palatino Linotype" w:cs="Tahoma"/>
          <w:bCs/>
          <w:lang w:eastAsia="en-US"/>
        </w:rPr>
      </w:pPr>
      <w:r w:rsidRPr="00874AFB">
        <w:rPr>
          <w:rFonts w:ascii="Palatino Linotype" w:eastAsia="Calibri" w:hAnsi="Palatino Linotype" w:cs="Tahoma"/>
          <w:bCs/>
          <w:lang w:eastAsia="en-US"/>
        </w:rPr>
        <w:t>Énfasis añadido</w:t>
      </w:r>
    </w:p>
    <w:p w:rsidR="00BF5933" w:rsidRPr="00874AFB" w:rsidRDefault="00BF5933" w:rsidP="00BF5933">
      <w:pPr>
        <w:spacing w:line="360" w:lineRule="auto"/>
        <w:jc w:val="both"/>
        <w:rPr>
          <w:rFonts w:ascii="Palatino Linotype" w:eastAsia="Calibri" w:hAnsi="Palatino Linotype" w:cs="Tahoma"/>
          <w:bCs/>
          <w:lang w:eastAsia="en-US"/>
        </w:rPr>
      </w:pPr>
    </w:p>
    <w:p w:rsidR="00BF5933" w:rsidRPr="00874AFB" w:rsidRDefault="00BF5933" w:rsidP="00BF5933">
      <w:pPr>
        <w:numPr>
          <w:ilvl w:val="0"/>
          <w:numId w:val="46"/>
        </w:numPr>
        <w:spacing w:line="360" w:lineRule="auto"/>
        <w:ind w:left="0" w:firstLine="0"/>
        <w:contextualSpacing/>
        <w:jc w:val="both"/>
        <w:rPr>
          <w:rFonts w:ascii="Palatino Linotype" w:eastAsiaTheme="minorEastAsia" w:hAnsi="Palatino Linotype" w:cs="Tahoma"/>
          <w:lang w:eastAsia="es-ES"/>
        </w:rPr>
      </w:pPr>
      <w:r w:rsidRPr="00874AFB">
        <w:rPr>
          <w:rFonts w:ascii="Palatino Linotype" w:hAnsi="Palatino Linotype" w:cs="Tahoma"/>
        </w:rPr>
        <w:t xml:space="preserve">Del </w:t>
      </w:r>
      <w:r w:rsidRPr="00874AFB">
        <w:rPr>
          <w:rFonts w:ascii="Palatino Linotype" w:eastAsia="Calibri" w:hAnsi="Palatino Linotype" w:cs="Tahoma"/>
          <w:bCs/>
          <w:lang w:eastAsia="en-US"/>
        </w:rPr>
        <w:t>citado</w:t>
      </w:r>
      <w:r w:rsidRPr="00874AFB">
        <w:rPr>
          <w:rFonts w:ascii="Palatino Linotype" w:hAnsi="Palatino Linotype" w:cs="Tahoma"/>
        </w:rPr>
        <w:t xml:space="preserve"> artículo, se desprende que es reservada toda aquella información de los servidores públicos integrantes de las </w:t>
      </w:r>
      <w:r w:rsidRPr="00874AFB">
        <w:rPr>
          <w:rFonts w:ascii="Palatino Linotype" w:hAnsi="Palatino Linotype" w:cs="Tahoma"/>
          <w:b/>
        </w:rPr>
        <w:t>instituciones de seguridad pública</w:t>
      </w:r>
      <w:r w:rsidRPr="00874AFB">
        <w:rPr>
          <w:rFonts w:ascii="Palatino Linotype" w:hAnsi="Palatino Linotype" w:cs="Tahoma"/>
        </w:rPr>
        <w:t>, cuya revelación pueda poner en riesgo su vida e integridad física con motivo de sus funciones.</w:t>
      </w:r>
    </w:p>
    <w:p w:rsidR="00BF5933" w:rsidRPr="00874AFB" w:rsidRDefault="00BF5933" w:rsidP="00BF5933">
      <w:pPr>
        <w:spacing w:line="360" w:lineRule="auto"/>
        <w:jc w:val="both"/>
        <w:rPr>
          <w:rFonts w:ascii="Palatino Linotype" w:eastAsia="Calibri" w:hAnsi="Palatino Linotype" w:cs="Tahoma"/>
          <w:bCs/>
          <w:lang w:eastAsia="en-US"/>
        </w:rPr>
      </w:pPr>
    </w:p>
    <w:p w:rsidR="00BF5933" w:rsidRPr="00874AFB" w:rsidRDefault="00BF5933" w:rsidP="00BF5933">
      <w:pPr>
        <w:numPr>
          <w:ilvl w:val="0"/>
          <w:numId w:val="46"/>
        </w:numPr>
        <w:spacing w:line="360" w:lineRule="auto"/>
        <w:ind w:left="0" w:firstLine="0"/>
        <w:contextualSpacing/>
        <w:jc w:val="both"/>
        <w:rPr>
          <w:rFonts w:ascii="Palatino Linotype" w:eastAsia="Calibri" w:hAnsi="Palatino Linotype" w:cs="Tahoma"/>
          <w:bCs/>
          <w:lang w:eastAsia="en-US"/>
        </w:rPr>
      </w:pPr>
      <w:r w:rsidRPr="00874AFB">
        <w:rPr>
          <w:rFonts w:ascii="Palatino Linotype" w:eastAsia="Calibri" w:hAnsi="Palatino Linotype" w:cs="Tahoma"/>
          <w:bCs/>
          <w:lang w:eastAsia="en-US"/>
        </w:rPr>
        <w:t xml:space="preserve">En ese </w:t>
      </w:r>
      <w:r w:rsidRPr="00874AFB">
        <w:rPr>
          <w:rFonts w:ascii="Palatino Linotype" w:hAnsi="Palatino Linotype" w:cs="Tahoma"/>
        </w:rPr>
        <w:t>contexto</w:t>
      </w:r>
      <w:r w:rsidRPr="00874AFB">
        <w:rPr>
          <w:rFonts w:ascii="Palatino Linotype" w:eastAsia="Calibri" w:hAnsi="Palatino Linotype" w:cs="Tahoma"/>
          <w:bCs/>
          <w:lang w:eastAsia="en-US"/>
        </w:rPr>
        <w:t>, es de señalar que los datos de servidores públicos, entre los que se encuentran el nombre,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rsidR="00BF5933" w:rsidRPr="00874AFB" w:rsidRDefault="00BF5933" w:rsidP="00BF5933">
      <w:pPr>
        <w:numPr>
          <w:ilvl w:val="0"/>
          <w:numId w:val="46"/>
        </w:numPr>
        <w:spacing w:line="360" w:lineRule="auto"/>
        <w:ind w:left="0" w:firstLine="0"/>
        <w:contextualSpacing/>
        <w:jc w:val="both"/>
        <w:rPr>
          <w:rFonts w:ascii="Palatino Linotype" w:eastAsiaTheme="minorEastAsia" w:hAnsi="Palatino Linotype" w:cs="Tahoma"/>
          <w:lang w:eastAsia="es-ES"/>
        </w:rPr>
      </w:pPr>
      <w:r w:rsidRPr="00874AFB">
        <w:rPr>
          <w:rFonts w:ascii="Palatino Linotype" w:eastAsia="Calibri" w:hAnsi="Palatino Linotype" w:cs="Tahoma"/>
          <w:bCs/>
          <w:lang w:eastAsia="en-US"/>
        </w:rPr>
        <w:lastRenderedPageBreak/>
        <w:t xml:space="preserve">No obstante, resulta necesario traer a colación por analogía, el </w:t>
      </w:r>
      <w:r w:rsidRPr="00874AFB">
        <w:rPr>
          <w:rFonts w:ascii="Palatino Linotype" w:eastAsia="Calibri" w:hAnsi="Palatino Linotype" w:cs="Tahoma"/>
          <w:b/>
          <w:bCs/>
          <w:lang w:eastAsia="en-US"/>
        </w:rPr>
        <w:t>Criterio 06/09,</w:t>
      </w:r>
      <w:r w:rsidRPr="00874AFB">
        <w:rPr>
          <w:rFonts w:ascii="Palatino Linotype" w:eastAsia="Calibri" w:hAnsi="Palatino Linotype" w:cs="Tahoma"/>
          <w:bCs/>
          <w:lang w:eastAsia="en-US"/>
        </w:rPr>
        <w:t xml:space="preserve"> emitido por </w:t>
      </w:r>
      <w:r w:rsidRPr="00874AFB">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rsidR="00BF5933" w:rsidRPr="00874AFB" w:rsidRDefault="00BF5933" w:rsidP="00BF5933">
      <w:pPr>
        <w:spacing w:line="360" w:lineRule="auto"/>
        <w:jc w:val="both"/>
        <w:rPr>
          <w:rFonts w:ascii="Palatino Linotype" w:hAnsi="Palatino Linotype" w:cs="Tahoma"/>
          <w:i/>
        </w:rPr>
      </w:pPr>
    </w:p>
    <w:p w:rsidR="00BF5933" w:rsidRPr="00874AFB" w:rsidRDefault="00BF5933" w:rsidP="00BF5933">
      <w:pPr>
        <w:tabs>
          <w:tab w:val="left" w:pos="4962"/>
        </w:tabs>
        <w:spacing w:line="360" w:lineRule="auto"/>
        <w:ind w:left="567" w:right="567"/>
        <w:jc w:val="both"/>
        <w:rPr>
          <w:rFonts w:ascii="Palatino Linotype" w:hAnsi="Palatino Linotype" w:cs="Tahoma"/>
          <w:i/>
        </w:rPr>
      </w:pPr>
      <w:r w:rsidRPr="00874AFB">
        <w:rPr>
          <w:rFonts w:ascii="Palatino Linotype" w:hAnsi="Palatino Linotype" w:cs="Tahoma"/>
          <w:b/>
          <w:i/>
        </w:rPr>
        <w:t>“Nombres de servidores públicos dedicados a actividades en materia de seguridad, por excepción pueden considerarse información reservada.</w:t>
      </w:r>
      <w:r w:rsidRPr="00874AFB">
        <w:rPr>
          <w:rFonts w:ascii="Palatino Linotype" w:hAnsi="Palatino Linotype" w:cs="Tahoma"/>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w:t>
      </w:r>
      <w:r w:rsidRPr="00874AFB">
        <w:rPr>
          <w:rFonts w:ascii="Palatino Linotype" w:hAnsi="Palatino Linotype" w:cs="Tahoma"/>
          <w:i/>
        </w:rPr>
        <w:lastRenderedPageBreak/>
        <w:t>llegar a constituirse en un componente fundamental en el esfuerzo que realiza el Estado Mexicano para garantizar la seguridad del país en sus diferentes vertientes.”</w:t>
      </w:r>
    </w:p>
    <w:p w:rsidR="00BF5933" w:rsidRPr="00874AFB" w:rsidRDefault="00BF5933" w:rsidP="00BF5933">
      <w:pPr>
        <w:spacing w:line="360" w:lineRule="auto"/>
        <w:jc w:val="both"/>
        <w:rPr>
          <w:rFonts w:ascii="Palatino Linotype" w:eastAsia="Calibri" w:hAnsi="Palatino Linotype" w:cs="Tahoma"/>
          <w:bCs/>
          <w:lang w:eastAsia="en-US"/>
        </w:rPr>
      </w:pPr>
    </w:p>
    <w:p w:rsidR="00BF5933" w:rsidRPr="00874AFB" w:rsidRDefault="00BF5933" w:rsidP="00BF5933">
      <w:pPr>
        <w:numPr>
          <w:ilvl w:val="0"/>
          <w:numId w:val="46"/>
        </w:numPr>
        <w:spacing w:line="360" w:lineRule="auto"/>
        <w:ind w:left="0" w:firstLine="0"/>
        <w:contextualSpacing/>
        <w:jc w:val="both"/>
        <w:rPr>
          <w:rFonts w:ascii="Palatino Linotype" w:eastAsia="Calibri" w:hAnsi="Palatino Linotype" w:cs="Tahoma"/>
          <w:bCs/>
          <w:lang w:eastAsia="en-US"/>
        </w:rPr>
      </w:pPr>
      <w:r w:rsidRPr="00874AFB">
        <w:rPr>
          <w:rFonts w:ascii="Palatino Linotype" w:eastAsia="Calibri" w:hAnsi="Palatino Linotype" w:cs="Tahoma"/>
          <w:bCs/>
          <w:lang w:eastAsia="en-US"/>
        </w:rPr>
        <w:t>Del Criterio de referencia, se advierte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BF5933" w:rsidRPr="00874AFB" w:rsidRDefault="00BF5933" w:rsidP="00BF5933">
      <w:pPr>
        <w:spacing w:line="360" w:lineRule="auto"/>
        <w:jc w:val="both"/>
        <w:rPr>
          <w:rFonts w:ascii="Palatino Linotype" w:eastAsia="Calibri" w:hAnsi="Palatino Linotype" w:cs="Tahoma"/>
          <w:bCs/>
          <w:lang w:eastAsia="en-US"/>
        </w:rPr>
      </w:pPr>
    </w:p>
    <w:p w:rsidR="00BF5933" w:rsidRPr="00874AFB" w:rsidRDefault="00BF5933" w:rsidP="00BF5933">
      <w:pPr>
        <w:numPr>
          <w:ilvl w:val="0"/>
          <w:numId w:val="46"/>
        </w:numPr>
        <w:spacing w:line="360" w:lineRule="auto"/>
        <w:ind w:left="0" w:firstLine="0"/>
        <w:contextualSpacing/>
        <w:jc w:val="both"/>
        <w:rPr>
          <w:rFonts w:ascii="Palatino Linotype" w:eastAsia="Calibri" w:hAnsi="Palatino Linotype" w:cs="Tahoma"/>
          <w:bCs/>
          <w:lang w:eastAsia="en-US"/>
        </w:rPr>
      </w:pPr>
      <w:r w:rsidRPr="00874AFB">
        <w:rPr>
          <w:rFonts w:ascii="Palatino Linotype" w:eastAsia="Calibri" w:hAnsi="Palatino Linotype" w:cs="Tahoma"/>
          <w:bCs/>
          <w:lang w:eastAsia="en-US"/>
        </w:rPr>
        <w:t xml:space="preserve">En ese orden de ideas, si bien por regla general los </w:t>
      </w:r>
      <w:r w:rsidRPr="00874AFB">
        <w:rPr>
          <w:rFonts w:ascii="Palatino Linotype" w:eastAsia="Calibri" w:hAnsi="Palatino Linotype" w:cs="Tahoma"/>
          <w:b/>
          <w:bCs/>
          <w:lang w:eastAsia="en-US"/>
        </w:rPr>
        <w:t xml:space="preserve">NOMBRES </w:t>
      </w:r>
      <w:r w:rsidRPr="00874AFB">
        <w:rPr>
          <w:rFonts w:ascii="Palatino Linotype" w:eastAsia="Calibri" w:hAnsi="Palatino Linotype" w:cs="Tahoma"/>
          <w:bCs/>
          <w:lang w:eastAsia="en-US"/>
        </w:rPr>
        <w:t xml:space="preserve">de los trabajadores gubernamentales son información pública de oficio, existe una excepción relativa a </w:t>
      </w:r>
      <w:r w:rsidRPr="00874AFB">
        <w:rPr>
          <w:rFonts w:ascii="Palatino Linotype" w:eastAsia="Calibri" w:hAnsi="Palatino Linotype" w:cs="Tahoma"/>
          <w:b/>
          <w:bCs/>
          <w:lang w:eastAsia="en-US"/>
        </w:rPr>
        <w:t>aquellos que realicen actividades operativas en materia de seguridad,</w:t>
      </w:r>
      <w:r w:rsidRPr="00874AFB">
        <w:rPr>
          <w:rFonts w:ascii="Palatino Linotype" w:eastAsia="Calibri" w:hAnsi="Palatino Linotype" w:cs="Tahoma"/>
          <w:bCs/>
          <w:lang w:eastAsia="en-US"/>
        </w:rPr>
        <w:t xml:space="preserve"> como es el caso de los elementos operativos y la policía municipal, de modo tal que la entrega de sus nombres resulta improcedente, por lo que deberá clasificarse como información reservada.</w:t>
      </w:r>
    </w:p>
    <w:p w:rsidR="00E155C6" w:rsidRPr="00874AFB" w:rsidRDefault="00E155C6" w:rsidP="00E155C6">
      <w:pPr>
        <w:pStyle w:val="Prrafodelista"/>
        <w:shd w:val="clear" w:color="auto" w:fill="FFFFFF"/>
        <w:spacing w:line="360" w:lineRule="auto"/>
        <w:ind w:left="0"/>
        <w:jc w:val="both"/>
        <w:rPr>
          <w:rFonts w:ascii="Palatino Linotype" w:hAnsi="Palatino Linotype" w:cs="Arial"/>
          <w:sz w:val="24"/>
        </w:rPr>
      </w:pPr>
    </w:p>
    <w:p w:rsidR="00C02C47" w:rsidRPr="00874AFB" w:rsidRDefault="00D771ED" w:rsidP="009B6FD5">
      <w:pPr>
        <w:pStyle w:val="Sinespaciado"/>
        <w:numPr>
          <w:ilvl w:val="0"/>
          <w:numId w:val="1"/>
        </w:numPr>
        <w:spacing w:line="360" w:lineRule="auto"/>
        <w:ind w:left="0" w:firstLine="0"/>
        <w:contextualSpacing/>
        <w:jc w:val="both"/>
        <w:rPr>
          <w:rFonts w:ascii="Palatino Linotype" w:eastAsia="Calibri" w:hAnsi="Palatino Linotype"/>
          <w:sz w:val="24"/>
        </w:rPr>
      </w:pPr>
      <w:r w:rsidRPr="00874AFB">
        <w:rPr>
          <w:rFonts w:ascii="Palatino Linotype" w:eastAsia="Calibri" w:hAnsi="Palatino Linotype"/>
          <w:sz w:val="24"/>
        </w:rPr>
        <w:t xml:space="preserve">Por lo anteriormente expuesto y fundado, este </w:t>
      </w:r>
      <w:r w:rsidRPr="00874AFB">
        <w:rPr>
          <w:rFonts w:ascii="Palatino Linotype" w:eastAsia="Calibri" w:hAnsi="Palatino Linotype"/>
          <w:b/>
          <w:bCs/>
          <w:sz w:val="24"/>
        </w:rPr>
        <w:t>ÓRGANO GARANTE</w:t>
      </w:r>
      <w:r w:rsidRPr="00874AFB">
        <w:rPr>
          <w:rFonts w:ascii="Palatino Linotype" w:eastAsia="Calibri" w:hAnsi="Palatino Linotype"/>
          <w:sz w:val="24"/>
        </w:rPr>
        <w:t xml:space="preserve"> emite los siguientes:</w:t>
      </w:r>
    </w:p>
    <w:p w:rsidR="00C02C47" w:rsidRPr="00874AFB" w:rsidRDefault="00C02C47" w:rsidP="009B6FD5">
      <w:pPr>
        <w:spacing w:line="360" w:lineRule="auto"/>
        <w:contextualSpacing/>
        <w:jc w:val="both"/>
        <w:rPr>
          <w:rFonts w:ascii="Palatino Linotype" w:eastAsia="Calibri" w:hAnsi="Palatino Linotype"/>
        </w:rPr>
      </w:pPr>
    </w:p>
    <w:p w:rsidR="00D771ED" w:rsidRPr="00874AFB" w:rsidRDefault="00D771ED" w:rsidP="009B6FD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86" w:name="_Toc528153792"/>
      <w:bookmarkStart w:id="87" w:name="_Toc71158406"/>
      <w:bookmarkStart w:id="88" w:name="_Toc83301643"/>
      <w:r w:rsidRPr="00874AFB">
        <w:rPr>
          <w:rFonts w:ascii="Palatino Linotype" w:eastAsiaTheme="majorEastAsia" w:hAnsi="Palatino Linotype" w:cstheme="majorBidi"/>
          <w:b/>
          <w:color w:val="000000" w:themeColor="text1"/>
          <w:lang w:eastAsia="en-US"/>
        </w:rPr>
        <w:lastRenderedPageBreak/>
        <w:t>R E S O L U T I V O S</w:t>
      </w:r>
      <w:bookmarkEnd w:id="86"/>
      <w:bookmarkEnd w:id="87"/>
      <w:bookmarkEnd w:id="88"/>
    </w:p>
    <w:p w:rsidR="00D771ED" w:rsidRPr="00874AFB" w:rsidRDefault="00D771ED" w:rsidP="009B6FD5">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D771ED" w:rsidRPr="00874AFB" w:rsidRDefault="00D771ED" w:rsidP="009B6FD5">
      <w:pPr>
        <w:spacing w:line="360" w:lineRule="auto"/>
        <w:ind w:right="48"/>
        <w:jc w:val="both"/>
        <w:rPr>
          <w:rFonts w:ascii="Palatino Linotype" w:hAnsi="Palatino Linotype" w:cs="Arial"/>
          <w:bCs/>
        </w:rPr>
      </w:pPr>
      <w:r w:rsidRPr="00874AFB">
        <w:rPr>
          <w:rFonts w:ascii="Palatino Linotype" w:hAnsi="Palatino Linotype" w:cs="Arial"/>
          <w:b/>
        </w:rPr>
        <w:t xml:space="preserve">PRIMERO. </w:t>
      </w:r>
      <w:r w:rsidR="00675D3E" w:rsidRPr="00874AFB">
        <w:rPr>
          <w:rFonts w:ascii="Palatino Linotype" w:hAnsi="Palatino Linotype" w:cs="Arial"/>
        </w:rPr>
        <w:t>Resultan</w:t>
      </w:r>
      <w:r w:rsidR="00787C4C" w:rsidRPr="00874AFB">
        <w:rPr>
          <w:rFonts w:ascii="Palatino Linotype" w:hAnsi="Palatino Linotype" w:cs="Arial"/>
        </w:rPr>
        <w:t xml:space="preserve"> </w:t>
      </w:r>
      <w:r w:rsidRPr="00874AFB">
        <w:rPr>
          <w:rFonts w:ascii="Palatino Linotype" w:hAnsi="Palatino Linotype" w:cs="Arial"/>
        </w:rPr>
        <w:t>fundadas las</w:t>
      </w:r>
      <w:r w:rsidRPr="00874AFB">
        <w:rPr>
          <w:rFonts w:ascii="Palatino Linotype" w:hAnsi="Palatino Linotype" w:cs="Arial"/>
          <w:b/>
        </w:rPr>
        <w:t xml:space="preserve"> </w:t>
      </w:r>
      <w:r w:rsidRPr="00874AFB">
        <w:rPr>
          <w:rFonts w:ascii="Palatino Linotype" w:hAnsi="Palatino Linotype" w:cs="Arial"/>
          <w:lang w:val="es-ES"/>
        </w:rPr>
        <w:t xml:space="preserve">razones o motivos de inconformidad hechos valer </w:t>
      </w:r>
      <w:r w:rsidRPr="00874AFB">
        <w:rPr>
          <w:rFonts w:ascii="Palatino Linotype" w:eastAsia="Calibri" w:hAnsi="Palatino Linotype" w:cs="Arial"/>
          <w:lang w:val="es-ES"/>
        </w:rPr>
        <w:t xml:space="preserve">en el recurso de revisión </w:t>
      </w:r>
      <w:r w:rsidR="00E62455" w:rsidRPr="00874AFB">
        <w:rPr>
          <w:rFonts w:ascii="Palatino Linotype" w:hAnsi="Palatino Linotype" w:cs="Arial"/>
          <w:b/>
          <w:bCs/>
        </w:rPr>
        <w:t>15253</w:t>
      </w:r>
      <w:r w:rsidR="005D445E" w:rsidRPr="00874AFB">
        <w:rPr>
          <w:rFonts w:ascii="Palatino Linotype" w:hAnsi="Palatino Linotype" w:cs="Arial"/>
          <w:b/>
          <w:bCs/>
        </w:rPr>
        <w:t>/INFOEM/IP/RR/2022</w:t>
      </w:r>
      <w:r w:rsidRPr="00874AFB">
        <w:rPr>
          <w:rFonts w:ascii="Palatino Linotype" w:hAnsi="Palatino Linotype" w:cs="Arial"/>
          <w:b/>
          <w:bCs/>
        </w:rPr>
        <w:t xml:space="preserve">, </w:t>
      </w:r>
      <w:r w:rsidRPr="00874AFB">
        <w:rPr>
          <w:rFonts w:ascii="Palatino Linotype" w:hAnsi="Palatino Linotype" w:cs="Arial"/>
          <w:bCs/>
        </w:rPr>
        <w:t xml:space="preserve">en términos del </w:t>
      </w:r>
      <w:r w:rsidRPr="00874AFB">
        <w:rPr>
          <w:rFonts w:ascii="Palatino Linotype" w:hAnsi="Palatino Linotype" w:cs="Arial"/>
          <w:b/>
          <w:bCs/>
        </w:rPr>
        <w:t>Considerando</w:t>
      </w:r>
      <w:r w:rsidRPr="00874AFB">
        <w:rPr>
          <w:rFonts w:ascii="Palatino Linotype" w:hAnsi="Palatino Linotype" w:cs="Arial"/>
          <w:bCs/>
        </w:rPr>
        <w:t xml:space="preserve"> </w:t>
      </w:r>
      <w:r w:rsidR="00F720E4" w:rsidRPr="00874AFB">
        <w:rPr>
          <w:rFonts w:ascii="Palatino Linotype" w:hAnsi="Palatino Linotype" w:cs="Arial"/>
          <w:b/>
          <w:bCs/>
        </w:rPr>
        <w:t>CUARTO Y QUINTO</w:t>
      </w:r>
      <w:r w:rsidRPr="00874AFB">
        <w:rPr>
          <w:rFonts w:ascii="Palatino Linotype" w:hAnsi="Palatino Linotype" w:cs="Arial"/>
          <w:b/>
          <w:bCs/>
        </w:rPr>
        <w:t xml:space="preserve">  </w:t>
      </w:r>
      <w:r w:rsidRPr="00874AFB">
        <w:rPr>
          <w:rFonts w:ascii="Palatino Linotype" w:hAnsi="Palatino Linotype" w:cs="Arial"/>
          <w:bCs/>
        </w:rPr>
        <w:t>de la presente resolución.</w:t>
      </w:r>
    </w:p>
    <w:p w:rsidR="00D771ED" w:rsidRPr="00874AFB" w:rsidRDefault="00D771ED" w:rsidP="009B6FD5">
      <w:pPr>
        <w:spacing w:line="360" w:lineRule="auto"/>
        <w:ind w:right="48"/>
        <w:jc w:val="both"/>
        <w:rPr>
          <w:rFonts w:ascii="Palatino Linotype" w:hAnsi="Palatino Linotype" w:cs="Arial"/>
          <w:bCs/>
        </w:rPr>
      </w:pPr>
    </w:p>
    <w:p w:rsidR="00624906" w:rsidRPr="00874AFB" w:rsidRDefault="00D771ED" w:rsidP="009B6FD5">
      <w:pPr>
        <w:spacing w:line="360" w:lineRule="auto"/>
        <w:ind w:right="48"/>
        <w:jc w:val="both"/>
        <w:rPr>
          <w:rFonts w:ascii="Palatino Linotype" w:hAnsi="Palatino Linotype" w:cs="Arial"/>
          <w:bCs/>
        </w:rPr>
      </w:pPr>
      <w:bookmarkStart w:id="89" w:name="_Toc477891768"/>
      <w:bookmarkStart w:id="90" w:name="_Toc477891858"/>
      <w:bookmarkStart w:id="91" w:name="_Toc481576259"/>
      <w:bookmarkStart w:id="92" w:name="_Toc492590391"/>
      <w:bookmarkStart w:id="93" w:name="_Toc462653937"/>
      <w:bookmarkStart w:id="94" w:name="_Toc453696502"/>
      <w:bookmarkStart w:id="95" w:name="_Toc454301155"/>
      <w:r w:rsidRPr="00874AFB">
        <w:rPr>
          <w:rFonts w:ascii="Palatino Linotype" w:hAnsi="Palatino Linotype"/>
          <w:b/>
        </w:rPr>
        <w:t>SEGUNDO.</w:t>
      </w:r>
      <w:r w:rsidRPr="00874AFB">
        <w:rPr>
          <w:rStyle w:val="Ttulo2Car"/>
          <w:rFonts w:ascii="Palatino Linotype" w:hAnsi="Palatino Linotype"/>
          <w:sz w:val="28"/>
        </w:rPr>
        <w:t xml:space="preserve"> </w:t>
      </w:r>
      <w:bookmarkEnd w:id="89"/>
      <w:bookmarkEnd w:id="90"/>
      <w:bookmarkEnd w:id="91"/>
      <w:bookmarkEnd w:id="92"/>
      <w:bookmarkEnd w:id="93"/>
      <w:bookmarkEnd w:id="94"/>
      <w:bookmarkEnd w:id="95"/>
      <w:r w:rsidRPr="00874AFB">
        <w:rPr>
          <w:rFonts w:ascii="Palatino Linotype" w:eastAsia="Calibri" w:hAnsi="Palatino Linotype" w:cs="Arial"/>
          <w:lang w:val="es-ES"/>
        </w:rPr>
        <w:t>Se</w:t>
      </w:r>
      <w:r w:rsidR="005B0948" w:rsidRPr="00874AFB">
        <w:rPr>
          <w:rFonts w:ascii="Palatino Linotype" w:eastAsia="Calibri" w:hAnsi="Palatino Linotype" w:cs="Arial"/>
          <w:b/>
          <w:lang w:val="es-ES"/>
        </w:rPr>
        <w:t xml:space="preserve"> REVOCA</w:t>
      </w:r>
      <w:r w:rsidRPr="00874AFB">
        <w:rPr>
          <w:rFonts w:ascii="Palatino Linotype" w:eastAsia="Calibri" w:hAnsi="Palatino Linotype" w:cs="Arial"/>
          <w:b/>
          <w:lang w:val="es-ES"/>
        </w:rPr>
        <w:t xml:space="preserve"> </w:t>
      </w:r>
      <w:r w:rsidR="00464213" w:rsidRPr="00874AFB">
        <w:rPr>
          <w:rFonts w:ascii="Palatino Linotype" w:eastAsia="Calibri" w:hAnsi="Palatino Linotype" w:cs="Arial"/>
          <w:lang w:val="es-ES"/>
        </w:rPr>
        <w:t>la respuesta emitida por el</w:t>
      </w:r>
      <w:r w:rsidRPr="00874AFB">
        <w:rPr>
          <w:rFonts w:ascii="Palatino Linotype" w:eastAsia="Calibri" w:hAnsi="Palatino Linotype" w:cs="Arial"/>
          <w:lang w:val="es-ES"/>
        </w:rPr>
        <w:t xml:space="preserve"> </w:t>
      </w:r>
      <w:r w:rsidR="00675D3E" w:rsidRPr="00874AFB">
        <w:rPr>
          <w:rFonts w:ascii="Palatino Linotype" w:hAnsi="Palatino Linotype" w:cs="Arial"/>
          <w:b/>
        </w:rPr>
        <w:t>Ayu</w:t>
      </w:r>
      <w:r w:rsidR="00E62455" w:rsidRPr="00874AFB">
        <w:rPr>
          <w:rFonts w:ascii="Palatino Linotype" w:hAnsi="Palatino Linotype" w:cs="Arial"/>
          <w:b/>
        </w:rPr>
        <w:t xml:space="preserve">ntamiento de </w:t>
      </w:r>
      <w:proofErr w:type="spellStart"/>
      <w:r w:rsidR="00E62455" w:rsidRPr="00874AFB">
        <w:rPr>
          <w:rFonts w:ascii="Palatino Linotype" w:hAnsi="Palatino Linotype" w:cs="Arial"/>
          <w:b/>
        </w:rPr>
        <w:t>Atlautla</w:t>
      </w:r>
      <w:proofErr w:type="spellEnd"/>
      <w:r w:rsidR="00F720E4" w:rsidRPr="00874AFB">
        <w:rPr>
          <w:rFonts w:ascii="Palatino Linotype" w:hAnsi="Palatino Linotype" w:cs="Arial"/>
          <w:b/>
        </w:rPr>
        <w:t xml:space="preserve"> </w:t>
      </w:r>
      <w:r w:rsidRPr="00874AFB">
        <w:rPr>
          <w:rFonts w:ascii="Palatino Linotype" w:eastAsia="Calibri" w:hAnsi="Palatino Linotype" w:cs="Arial"/>
          <w:lang w:val="es-ES"/>
        </w:rPr>
        <w:t>y se</w:t>
      </w:r>
      <w:r w:rsidRPr="00874AFB">
        <w:rPr>
          <w:rFonts w:ascii="Palatino Linotype" w:eastAsia="Calibri" w:hAnsi="Palatino Linotype" w:cs="Arial"/>
          <w:b/>
          <w:lang w:val="es-ES"/>
        </w:rPr>
        <w:t xml:space="preserve"> ORDENA </w:t>
      </w:r>
      <w:r w:rsidRPr="00874AFB">
        <w:rPr>
          <w:rFonts w:ascii="Palatino Linotype" w:hAnsi="Palatino Linotype" w:cs="Arial"/>
          <w:lang w:val="es-ES"/>
        </w:rPr>
        <w:t>entregar vía Sistema de Accesos a la Información Mexiquense (SAIMEX),</w:t>
      </w:r>
      <w:r w:rsidR="00675D3E" w:rsidRPr="00874AFB">
        <w:rPr>
          <w:rFonts w:ascii="Palatino Linotype" w:hAnsi="Palatino Linotype" w:cs="Arial"/>
          <w:lang w:val="es-ES"/>
        </w:rPr>
        <w:t xml:space="preserve"> de ser procedente</w:t>
      </w:r>
      <w:r w:rsidRPr="00874AFB">
        <w:rPr>
          <w:rFonts w:ascii="Palatino Linotype" w:hAnsi="Palatino Linotype" w:cs="Arial"/>
          <w:lang w:val="es-ES"/>
        </w:rPr>
        <w:t xml:space="preserve"> en versión pública, la siguiente </w:t>
      </w:r>
      <w:r w:rsidRPr="00874AFB">
        <w:rPr>
          <w:rFonts w:ascii="Palatino Linotype" w:hAnsi="Palatino Linotype" w:cs="Arial"/>
          <w:bCs/>
        </w:rPr>
        <w:t>información:</w:t>
      </w:r>
    </w:p>
    <w:p w:rsidR="00C02C47" w:rsidRPr="00874AFB" w:rsidRDefault="00C02C47" w:rsidP="009B6FD5">
      <w:pPr>
        <w:spacing w:line="360" w:lineRule="auto"/>
        <w:ind w:right="48"/>
        <w:jc w:val="both"/>
        <w:rPr>
          <w:rFonts w:ascii="Palatino Linotype" w:hAnsi="Palatino Linotype" w:cs="Arial"/>
          <w:b/>
          <w:bCs/>
          <w:sz w:val="28"/>
        </w:rPr>
      </w:pPr>
    </w:p>
    <w:p w:rsidR="00787C4C" w:rsidRPr="00874AFB" w:rsidRDefault="002B36F1" w:rsidP="00AE554E">
      <w:pPr>
        <w:pStyle w:val="Prrafodelista"/>
        <w:spacing w:line="360" w:lineRule="auto"/>
        <w:ind w:left="1276" w:right="48"/>
        <w:jc w:val="both"/>
        <w:rPr>
          <w:rFonts w:ascii="Palatino Linotype" w:hAnsi="Palatino Linotype" w:cs="Arial"/>
          <w:b/>
          <w:sz w:val="24"/>
          <w:szCs w:val="28"/>
        </w:rPr>
      </w:pPr>
      <w:bookmarkStart w:id="96" w:name="_Toc460947013"/>
      <w:r w:rsidRPr="00874AFB">
        <w:rPr>
          <w:rFonts w:ascii="Palatino Linotype" w:hAnsi="Palatino Linotype" w:cs="Arial"/>
          <w:b/>
          <w:sz w:val="24"/>
          <w:szCs w:val="28"/>
        </w:rPr>
        <w:t>a</w:t>
      </w:r>
      <w:r w:rsidR="00AE554E" w:rsidRPr="00874AFB">
        <w:rPr>
          <w:rFonts w:ascii="Palatino Linotype" w:hAnsi="Palatino Linotype" w:cs="Arial"/>
          <w:b/>
          <w:sz w:val="24"/>
          <w:szCs w:val="28"/>
        </w:rPr>
        <w:t xml:space="preserve">). </w:t>
      </w:r>
      <w:r w:rsidR="00E62455" w:rsidRPr="00874AFB">
        <w:rPr>
          <w:rFonts w:ascii="Palatino Linotype" w:hAnsi="Palatino Linotype" w:cs="Arial"/>
          <w:b/>
          <w:sz w:val="24"/>
          <w:szCs w:val="28"/>
        </w:rPr>
        <w:t>Comprobantes fiscales digitales por internet por concepto de nómina</w:t>
      </w:r>
      <w:r w:rsidRPr="00874AFB">
        <w:rPr>
          <w:rFonts w:ascii="Palatino Linotype" w:hAnsi="Palatino Linotype" w:cs="Arial"/>
          <w:b/>
          <w:sz w:val="24"/>
          <w:szCs w:val="28"/>
        </w:rPr>
        <w:t xml:space="preserve"> de la segunda quincena de julio de dos mil veintidós.</w:t>
      </w:r>
    </w:p>
    <w:p w:rsidR="002B36F1" w:rsidRPr="00874AFB" w:rsidRDefault="002B36F1" w:rsidP="00AE554E">
      <w:pPr>
        <w:pStyle w:val="Prrafodelista"/>
        <w:spacing w:line="360" w:lineRule="auto"/>
        <w:ind w:left="1276" w:right="48"/>
        <w:jc w:val="both"/>
        <w:rPr>
          <w:rFonts w:ascii="Palatino Linotype" w:hAnsi="Palatino Linotype" w:cs="Arial"/>
          <w:b/>
          <w:sz w:val="24"/>
          <w:szCs w:val="28"/>
        </w:rPr>
      </w:pPr>
      <w:r w:rsidRPr="00874AFB">
        <w:rPr>
          <w:rFonts w:ascii="Palatino Linotype" w:hAnsi="Palatino Linotype" w:cs="Arial"/>
          <w:b/>
          <w:sz w:val="24"/>
          <w:szCs w:val="28"/>
        </w:rPr>
        <w:t xml:space="preserve">b). Conciliación  de nómina de la segunda quincena de julio de dos mil veintidós. </w:t>
      </w:r>
    </w:p>
    <w:p w:rsidR="002B36F1" w:rsidRPr="00874AFB" w:rsidRDefault="002B36F1" w:rsidP="00AE554E">
      <w:pPr>
        <w:pStyle w:val="Prrafodelista"/>
        <w:spacing w:line="360" w:lineRule="auto"/>
        <w:ind w:left="1276" w:right="48"/>
        <w:jc w:val="both"/>
        <w:rPr>
          <w:rFonts w:ascii="Palatino Linotype" w:eastAsia="Palatino Linotype" w:hAnsi="Palatino Linotype" w:cs="Palatino Linotype"/>
          <w:b/>
          <w:sz w:val="28"/>
        </w:rPr>
      </w:pPr>
      <w:proofErr w:type="gramStart"/>
      <w:r w:rsidRPr="00874AFB">
        <w:rPr>
          <w:rFonts w:ascii="Palatino Linotype" w:hAnsi="Palatino Linotype" w:cs="Arial"/>
          <w:b/>
          <w:sz w:val="24"/>
          <w:szCs w:val="28"/>
        </w:rPr>
        <w:t>c)</w:t>
      </w:r>
      <w:proofErr w:type="gramEnd"/>
      <w:r w:rsidRPr="00874AFB">
        <w:rPr>
          <w:rFonts w:ascii="Palatino Linotype" w:hAnsi="Palatino Linotype" w:cs="Arial"/>
          <w:b/>
          <w:sz w:val="24"/>
          <w:szCs w:val="28"/>
        </w:rPr>
        <w:t xml:space="preserve">. Póliza de egresos con documentos probatorios o cheque por concepto de pago de la nómina de la segunda quincena de junio de dos mil veintidós. </w:t>
      </w:r>
    </w:p>
    <w:p w:rsidR="00F720E4" w:rsidRPr="00874AFB" w:rsidRDefault="00F720E4" w:rsidP="00F720E4">
      <w:pPr>
        <w:pStyle w:val="Prrafodelista"/>
        <w:spacing w:line="360" w:lineRule="auto"/>
        <w:ind w:left="1276" w:right="48"/>
        <w:jc w:val="both"/>
        <w:rPr>
          <w:rFonts w:ascii="Palatino Linotype" w:eastAsia="Palatino Linotype" w:hAnsi="Palatino Linotype" w:cs="Palatino Linotype"/>
          <w:b/>
          <w:sz w:val="24"/>
        </w:rPr>
      </w:pPr>
    </w:p>
    <w:p w:rsidR="009B6FD5" w:rsidRPr="00874AFB" w:rsidRDefault="009B6FD5" w:rsidP="009B6FD5">
      <w:pPr>
        <w:spacing w:line="360" w:lineRule="auto"/>
        <w:jc w:val="both"/>
        <w:rPr>
          <w:rFonts w:ascii="Palatino Linotype" w:eastAsia="Calibri" w:hAnsi="Palatino Linotype" w:cs="Arial"/>
          <w:b/>
        </w:rPr>
      </w:pPr>
      <w:r w:rsidRPr="00874AFB">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74AFB">
        <w:rPr>
          <w:rFonts w:ascii="Palatino Linotype" w:eastAsia="Calibri" w:hAnsi="Palatino Linotype" w:cs="Arial"/>
          <w:b/>
        </w:rPr>
        <w:t>RECURRENTE.</w:t>
      </w:r>
    </w:p>
    <w:p w:rsidR="009B6FD5" w:rsidRPr="00874AFB" w:rsidRDefault="009B6FD5" w:rsidP="009B6FD5">
      <w:pPr>
        <w:pStyle w:val="Prrafodelista"/>
        <w:spacing w:line="360" w:lineRule="auto"/>
        <w:ind w:right="48"/>
        <w:jc w:val="both"/>
        <w:rPr>
          <w:rFonts w:ascii="Palatino Linotype" w:eastAsia="Palatino Linotype" w:hAnsi="Palatino Linotype" w:cs="Palatino Linotype"/>
          <w:b/>
          <w:sz w:val="24"/>
        </w:rPr>
      </w:pPr>
    </w:p>
    <w:p w:rsidR="00D771ED" w:rsidRPr="00874AFB" w:rsidRDefault="00D771ED" w:rsidP="009B6FD5">
      <w:pPr>
        <w:tabs>
          <w:tab w:val="left" w:pos="8080"/>
        </w:tabs>
        <w:spacing w:line="360" w:lineRule="auto"/>
        <w:ind w:right="48"/>
        <w:contextualSpacing/>
        <w:jc w:val="both"/>
        <w:rPr>
          <w:rFonts w:ascii="Palatino Linotype" w:eastAsia="Palatino Linotype" w:hAnsi="Palatino Linotype" w:cs="Palatino Linotype"/>
          <w:b/>
        </w:rPr>
      </w:pPr>
      <w:r w:rsidRPr="00874AFB">
        <w:rPr>
          <w:rFonts w:ascii="Palatino Linotype" w:eastAsia="Palatino Linotype" w:hAnsi="Palatino Linotype" w:cs="Palatino Linotype"/>
          <w:b/>
        </w:rPr>
        <w:t xml:space="preserve">TERCERO. Notifíquese </w:t>
      </w:r>
      <w:r w:rsidRPr="00874AFB">
        <w:rPr>
          <w:rFonts w:ascii="Palatino Linotype" w:eastAsia="Palatino Linotype" w:hAnsi="Palatino Linotype" w:cs="Palatino Linotype"/>
        </w:rPr>
        <w:t xml:space="preserve">al Titular de la Unidad de Transparencia del </w:t>
      </w:r>
      <w:r w:rsidRPr="00874AFB">
        <w:rPr>
          <w:rFonts w:ascii="Palatino Linotype" w:eastAsia="Palatino Linotype" w:hAnsi="Palatino Linotype" w:cs="Palatino Linotype"/>
          <w:b/>
        </w:rPr>
        <w:t>SUJETO OBLIGADO</w:t>
      </w:r>
      <w:r w:rsidRPr="00874AF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74AF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D771ED" w:rsidRPr="00874AFB" w:rsidRDefault="00D771ED" w:rsidP="009B6FD5">
      <w:pPr>
        <w:shd w:val="clear" w:color="auto" w:fill="FFFFFF"/>
        <w:tabs>
          <w:tab w:val="left" w:pos="4020"/>
        </w:tabs>
        <w:spacing w:line="360" w:lineRule="auto"/>
        <w:ind w:right="48"/>
        <w:jc w:val="both"/>
        <w:rPr>
          <w:rFonts w:ascii="Palatino Linotype" w:hAnsi="Palatino Linotype" w:cs="Arial"/>
          <w:b/>
        </w:rPr>
      </w:pPr>
      <w:r w:rsidRPr="00874AFB">
        <w:rPr>
          <w:rFonts w:ascii="Palatino Linotype" w:hAnsi="Palatino Linotype" w:cs="Arial"/>
          <w:b/>
        </w:rPr>
        <w:tab/>
      </w:r>
    </w:p>
    <w:p w:rsidR="00D771ED" w:rsidRPr="00874AFB" w:rsidRDefault="00D771ED" w:rsidP="009B6FD5">
      <w:pPr>
        <w:shd w:val="clear" w:color="auto" w:fill="FFFFFF"/>
        <w:spacing w:line="360" w:lineRule="auto"/>
        <w:ind w:right="48"/>
        <w:jc w:val="both"/>
        <w:rPr>
          <w:rFonts w:ascii="Palatino Linotype" w:hAnsi="Palatino Linotype"/>
        </w:rPr>
      </w:pPr>
      <w:r w:rsidRPr="00874AFB">
        <w:rPr>
          <w:rFonts w:ascii="Palatino Linotype" w:hAnsi="Palatino Linotype" w:cs="Arial"/>
          <w:b/>
        </w:rPr>
        <w:t xml:space="preserve">CUARTO. </w:t>
      </w:r>
      <w:r w:rsidRPr="00874AFB">
        <w:rPr>
          <w:rFonts w:ascii="Palatino Linotype" w:hAnsi="Palatino Linotype"/>
          <w:b/>
          <w:bCs/>
          <w:lang w:val="es-ES"/>
        </w:rPr>
        <w:t>Notifíquese al RECURRENTE</w:t>
      </w:r>
      <w:r w:rsidRPr="00874AFB">
        <w:rPr>
          <w:rFonts w:ascii="Palatino Linotype" w:hAnsi="Palatino Linotype"/>
        </w:rPr>
        <w:t xml:space="preserve"> la presente resolución.</w:t>
      </w:r>
    </w:p>
    <w:p w:rsidR="00D771ED" w:rsidRPr="00874AFB" w:rsidRDefault="00D771ED" w:rsidP="009B6FD5">
      <w:pPr>
        <w:shd w:val="clear" w:color="auto" w:fill="FFFFFF"/>
        <w:spacing w:line="360" w:lineRule="auto"/>
        <w:ind w:right="48"/>
        <w:jc w:val="both"/>
        <w:rPr>
          <w:rFonts w:ascii="Palatino Linotype" w:hAnsi="Palatino Linotype"/>
          <w:b/>
          <w:color w:val="FF0000"/>
        </w:rPr>
      </w:pPr>
    </w:p>
    <w:bookmarkEnd w:id="96"/>
    <w:p w:rsidR="00D771ED" w:rsidRPr="00874AFB" w:rsidRDefault="00D771ED" w:rsidP="009B6FD5">
      <w:pPr>
        <w:spacing w:line="360" w:lineRule="auto"/>
        <w:ind w:right="48"/>
        <w:jc w:val="both"/>
        <w:rPr>
          <w:rFonts w:ascii="Palatino Linotype" w:eastAsia="MS Mincho" w:hAnsi="Palatino Linotype"/>
          <w:lang w:val="es-ES"/>
        </w:rPr>
      </w:pPr>
      <w:r w:rsidRPr="00874AFB">
        <w:rPr>
          <w:rFonts w:ascii="Palatino Linotype" w:eastAsia="MS Mincho" w:hAnsi="Palatino Linotype"/>
          <w:b/>
        </w:rPr>
        <w:t>QUINTO.</w:t>
      </w:r>
      <w:r w:rsidRPr="00874AFB">
        <w:rPr>
          <w:rFonts w:ascii="Palatino Linotype" w:eastAsia="MS Mincho" w:hAnsi="Palatino Linotype"/>
        </w:rPr>
        <w:t xml:space="preserve"> </w:t>
      </w:r>
      <w:r w:rsidRPr="00874AFB">
        <w:rPr>
          <w:rFonts w:ascii="Palatino Linotype" w:eastAsia="MS Mincho" w:hAnsi="Palatino Linotype"/>
          <w:lang w:val="es-ES"/>
        </w:rPr>
        <w:t xml:space="preserve">Se hace del conocimiento del </w:t>
      </w:r>
      <w:r w:rsidRPr="00874AFB">
        <w:rPr>
          <w:rFonts w:ascii="Palatino Linotype" w:hAnsi="Palatino Linotype"/>
          <w:b/>
        </w:rPr>
        <w:t>RECURRENTE</w:t>
      </w:r>
      <w:r w:rsidRPr="00874AFB">
        <w:rPr>
          <w:rFonts w:ascii="Palatino Linotype" w:hAnsi="Palatino Linotype"/>
        </w:rPr>
        <w:t xml:space="preserve"> </w:t>
      </w:r>
      <w:r w:rsidRPr="00874AF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74AFB">
        <w:rPr>
          <w:rFonts w:ascii="Palatino Linotype" w:eastAsia="MS Mincho" w:hAnsi="Palatino Linotype"/>
          <w:bCs/>
          <w:lang w:val="es-ES"/>
        </w:rPr>
        <w:t>vía juicio de amparo</w:t>
      </w:r>
      <w:r w:rsidRPr="00874AFB">
        <w:rPr>
          <w:rFonts w:ascii="Palatino Linotype" w:eastAsia="MS Mincho" w:hAnsi="Palatino Linotype"/>
          <w:lang w:val="es-ES"/>
        </w:rPr>
        <w:t> en los términos de las leyes aplicables.</w:t>
      </w:r>
    </w:p>
    <w:p w:rsidR="00D771ED" w:rsidRPr="00874AFB" w:rsidRDefault="00D771ED" w:rsidP="009B6FD5">
      <w:pPr>
        <w:spacing w:line="360" w:lineRule="auto"/>
        <w:ind w:right="48"/>
        <w:jc w:val="both"/>
        <w:rPr>
          <w:rFonts w:ascii="Palatino Linotype" w:hAnsi="Palatino Linotype"/>
          <w:color w:val="000000"/>
          <w:shd w:val="clear" w:color="auto" w:fill="FFFFFF"/>
        </w:rPr>
      </w:pPr>
    </w:p>
    <w:p w:rsidR="00D771ED" w:rsidRPr="00874AFB" w:rsidRDefault="00D771ED" w:rsidP="009B6FD5">
      <w:pPr>
        <w:spacing w:line="360" w:lineRule="auto"/>
        <w:ind w:right="48"/>
        <w:jc w:val="both"/>
        <w:rPr>
          <w:rFonts w:ascii="Palatino Linotype" w:eastAsia="Calibri" w:hAnsi="Palatino Linotype" w:cs="Arial"/>
          <w:bCs/>
        </w:rPr>
      </w:pPr>
      <w:r w:rsidRPr="00874AFB">
        <w:rPr>
          <w:rFonts w:ascii="Palatino Linotype" w:hAnsi="Palatino Linotype"/>
          <w:b/>
          <w:color w:val="000000"/>
          <w:shd w:val="clear" w:color="auto" w:fill="FFFFFF"/>
        </w:rPr>
        <w:t xml:space="preserve">SEXTO. </w:t>
      </w:r>
      <w:r w:rsidRPr="00874AF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B50A9" w:rsidRPr="00874AFB" w:rsidRDefault="009B50A9" w:rsidP="009B50A9">
      <w:pPr>
        <w:spacing w:line="360" w:lineRule="auto"/>
        <w:ind w:right="48"/>
        <w:jc w:val="both"/>
        <w:rPr>
          <w:rFonts w:ascii="Palatino Linotype" w:hAnsi="Palatino Linotype"/>
        </w:rPr>
      </w:pPr>
    </w:p>
    <w:p w:rsidR="00B85CA3" w:rsidRDefault="00B85CA3" w:rsidP="00B85CA3">
      <w:pPr>
        <w:spacing w:before="240" w:after="240" w:line="360" w:lineRule="auto"/>
        <w:jc w:val="both"/>
        <w:rPr>
          <w:rFonts w:ascii="Palatino Linotype" w:hAnsi="Palatino Linotype"/>
        </w:rPr>
      </w:pPr>
      <w:r w:rsidRPr="00874AFB">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874AFB">
        <w:rPr>
          <w:rFonts w:ascii="Palatino Linotype" w:hAnsi="Palatino Linotype"/>
        </w:rPr>
        <w:lastRenderedPageBreak/>
        <w:t>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97" w:name="_GoBack"/>
      <w:bookmarkEnd w:id="97"/>
      <w:r w:rsidRPr="00624AAD">
        <w:rPr>
          <w:rFonts w:ascii="Palatino Linotype" w:hAnsi="Palatino Linotype"/>
        </w:rPr>
        <w:t xml:space="preserve"> </w:t>
      </w:r>
    </w:p>
    <w:p w:rsidR="00D771ED" w:rsidRPr="009B6FD5" w:rsidRDefault="00D771ED" w:rsidP="009B6FD5">
      <w:pPr>
        <w:spacing w:line="360" w:lineRule="auto"/>
        <w:ind w:right="48"/>
        <w:rPr>
          <w:rFonts w:ascii="Palatino Linotype" w:hAnsi="Palatino Linotype"/>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D771ED" w:rsidRPr="009B6FD5" w:rsidRDefault="00D771ED" w:rsidP="009B6FD5">
      <w:pPr>
        <w:spacing w:line="360" w:lineRule="auto"/>
        <w:rPr>
          <w:rFonts w:ascii="Palatino Linotype" w:hAnsi="Palatino Linotype"/>
        </w:rPr>
      </w:pPr>
    </w:p>
    <w:p w:rsidR="009177B0" w:rsidRPr="009B6FD5" w:rsidRDefault="009177B0" w:rsidP="009B6FD5">
      <w:pPr>
        <w:spacing w:line="360" w:lineRule="auto"/>
        <w:rPr>
          <w:rFonts w:ascii="Palatino Linotype" w:hAnsi="Palatino Linotype"/>
        </w:rPr>
      </w:pPr>
    </w:p>
    <w:sectPr w:rsidR="009177B0" w:rsidRPr="009B6FD5" w:rsidSect="009177B0">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0A8" w:rsidRDefault="000240A8" w:rsidP="00D771ED">
      <w:r>
        <w:separator/>
      </w:r>
    </w:p>
  </w:endnote>
  <w:endnote w:type="continuationSeparator" w:id="0">
    <w:p w:rsidR="000240A8" w:rsidRDefault="000240A8" w:rsidP="00D7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455" w:rsidRDefault="00E62455">
    <w:pPr>
      <w:pStyle w:val="Piedepgina"/>
      <w:jc w:val="right"/>
    </w:pPr>
    <w:r>
      <w:rPr>
        <w:lang w:val="es-ES"/>
      </w:rPr>
      <w:t xml:space="preserve">Página </w:t>
    </w:r>
    <w:r>
      <w:rPr>
        <w:b/>
        <w:bCs/>
      </w:rPr>
      <w:fldChar w:fldCharType="begin"/>
    </w:r>
    <w:r>
      <w:rPr>
        <w:b/>
        <w:bCs/>
      </w:rPr>
      <w:instrText>PAGE</w:instrText>
    </w:r>
    <w:r>
      <w:rPr>
        <w:b/>
        <w:bCs/>
      </w:rPr>
      <w:fldChar w:fldCharType="separate"/>
    </w:r>
    <w:r w:rsidR="00874AFB">
      <w:rPr>
        <w:b/>
        <w:bCs/>
        <w:noProof/>
      </w:rPr>
      <w:t>49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74AFB">
      <w:rPr>
        <w:b/>
        <w:bCs/>
        <w:noProof/>
      </w:rPr>
      <w:t>51</w:t>
    </w:r>
    <w:r>
      <w:rPr>
        <w:b/>
        <w:bCs/>
      </w:rPr>
      <w:fldChar w:fldCharType="end"/>
    </w:r>
  </w:p>
  <w:p w:rsidR="00E62455" w:rsidRDefault="00E624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455" w:rsidRDefault="00E62455">
    <w:pPr>
      <w:pStyle w:val="Piedepgina"/>
      <w:jc w:val="right"/>
    </w:pPr>
    <w:r>
      <w:rPr>
        <w:lang w:val="es-ES"/>
      </w:rPr>
      <w:t xml:space="preserve">Página </w:t>
    </w:r>
    <w:r>
      <w:rPr>
        <w:b/>
        <w:bCs/>
      </w:rPr>
      <w:fldChar w:fldCharType="begin"/>
    </w:r>
    <w:r>
      <w:rPr>
        <w:b/>
        <w:bCs/>
      </w:rPr>
      <w:instrText>PAGE</w:instrText>
    </w:r>
    <w:r>
      <w:rPr>
        <w:b/>
        <w:bCs/>
      </w:rPr>
      <w:fldChar w:fldCharType="separate"/>
    </w:r>
    <w:r w:rsidR="00874AF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74AFB">
      <w:rPr>
        <w:b/>
        <w:bCs/>
        <w:noProof/>
      </w:rPr>
      <w:t>51</w:t>
    </w:r>
    <w:r>
      <w:rPr>
        <w:b/>
        <w:bCs/>
      </w:rPr>
      <w:fldChar w:fldCharType="end"/>
    </w:r>
  </w:p>
  <w:p w:rsidR="00E62455" w:rsidRDefault="00E624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0A8" w:rsidRDefault="000240A8" w:rsidP="00D771ED">
      <w:r>
        <w:separator/>
      </w:r>
    </w:p>
  </w:footnote>
  <w:footnote w:type="continuationSeparator" w:id="0">
    <w:p w:rsidR="000240A8" w:rsidRDefault="000240A8" w:rsidP="00D771ED">
      <w:r>
        <w:continuationSeparator/>
      </w:r>
    </w:p>
  </w:footnote>
  <w:footnote w:id="1">
    <w:p w:rsidR="00E62455" w:rsidRDefault="00E62455" w:rsidP="00D771ED">
      <w:pPr>
        <w:pStyle w:val="Textonotapie"/>
      </w:pPr>
      <w:r>
        <w:rPr>
          <w:rStyle w:val="Refdenotaalpie"/>
        </w:rPr>
        <w:footnoteRef/>
      </w:r>
      <w:r>
        <w:t xml:space="preserve"> Convención Americana sobre Derechos Humanos. Artículo 13.</w:t>
      </w:r>
    </w:p>
  </w:footnote>
  <w:footnote w:id="2">
    <w:p w:rsidR="00E62455" w:rsidRDefault="00E62455" w:rsidP="00D771ED">
      <w:pPr>
        <w:pStyle w:val="Textonotapie"/>
      </w:pPr>
      <w:r>
        <w:rPr>
          <w:rStyle w:val="Refdenotaalpie"/>
        </w:rPr>
        <w:footnoteRef/>
      </w:r>
      <w:r>
        <w:t xml:space="preserve"> Constitución Política de los Estados Unidos Mexicanos. Artículo sexto, sección A, fracción I.</w:t>
      </w:r>
    </w:p>
  </w:footnote>
  <w:footnote w:id="3">
    <w:p w:rsidR="00E62455" w:rsidRDefault="00E62455" w:rsidP="00D771E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62455" w:rsidRDefault="00E62455" w:rsidP="00D771ED">
      <w:pPr>
        <w:pStyle w:val="Textonotapie"/>
      </w:pPr>
      <w:r>
        <w:rPr>
          <w:rStyle w:val="Refdenotaalpie"/>
        </w:rPr>
        <w:footnoteRef/>
      </w:r>
      <w:r>
        <w:t xml:space="preserve"> Ibídem. </w:t>
      </w:r>
      <w:proofErr w:type="spellStart"/>
      <w:r>
        <w:t>Parr</w:t>
      </w:r>
      <w:proofErr w:type="spellEnd"/>
      <w:r>
        <w:t>. 87.</w:t>
      </w:r>
    </w:p>
  </w:footnote>
  <w:footnote w:id="5">
    <w:p w:rsidR="00E62455" w:rsidRPr="00985DD4" w:rsidRDefault="00E62455" w:rsidP="00E6245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E62455" w:rsidRPr="00985DD4" w:rsidRDefault="00E62455" w:rsidP="00E6245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E62455" w:rsidRPr="00BE13A0" w:rsidRDefault="00E62455" w:rsidP="00E6245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6">
    <w:p w:rsidR="00E62455" w:rsidRPr="00985DD4" w:rsidRDefault="00E62455" w:rsidP="00E6245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E62455" w:rsidRDefault="00E62455" w:rsidP="00E62455">
      <w:pPr>
        <w:pStyle w:val="Textonotapie"/>
        <w:jc w:val="both"/>
      </w:pPr>
      <w:r>
        <w:rPr>
          <w:rStyle w:val="Refdenotaalpie"/>
        </w:rPr>
        <w:footnoteRef/>
      </w:r>
      <w:r w:rsidRPr="00266430">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E62455" w:rsidRPr="00266430" w:rsidRDefault="00E62455" w:rsidP="00E62455">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8">
    <w:p w:rsidR="00E62455" w:rsidRPr="00A870EF" w:rsidRDefault="00E62455" w:rsidP="00E62455">
      <w:pPr>
        <w:pStyle w:val="Textonotapie"/>
        <w:jc w:val="both"/>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E62455" w:rsidRDefault="00E62455" w:rsidP="00E62455">
      <w:pPr>
        <w:pStyle w:val="Textonotapie"/>
        <w:jc w:val="both"/>
      </w:pPr>
      <w:r>
        <w:rPr>
          <w:rStyle w:val="Refdenotaalpie"/>
        </w:rPr>
        <w:footnoteRef/>
      </w:r>
      <w: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2455" w:rsidRDefault="00E62455" w:rsidP="00E62455">
      <w:pPr>
        <w:pStyle w:val="Textonotapie"/>
        <w:jc w:val="both"/>
      </w:pPr>
      <w: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2455" w:rsidRPr="001E1F95" w:rsidRDefault="00E62455" w:rsidP="00E62455">
      <w:pPr>
        <w:pStyle w:val="Textonotapie"/>
        <w:jc w:val="both"/>
      </w:pPr>
      <w: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t>Pp</w:t>
      </w:r>
      <w:proofErr w:type="spellEnd"/>
      <w:r>
        <w:t xml:space="preserve"> 1-19. </w:t>
      </w:r>
    </w:p>
  </w:footnote>
  <w:footnote w:id="10">
    <w:p w:rsidR="00E62455" w:rsidRPr="00191180" w:rsidRDefault="00E62455" w:rsidP="00E62455">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xml:space="preserve">, 2a. ed., México, Oxford </w:t>
      </w:r>
      <w:proofErr w:type="spellStart"/>
      <w:r w:rsidRPr="00191180">
        <w:rPr>
          <w:bCs/>
          <w:color w:val="000000"/>
          <w:bdr w:val="none" w:sz="0" w:space="0" w:color="auto" w:frame="1"/>
          <w:shd w:val="clear" w:color="auto" w:fill="FFFFFF"/>
        </w:rPr>
        <w:t>University</w:t>
      </w:r>
      <w:proofErr w:type="spellEnd"/>
      <w:r w:rsidRPr="00191180">
        <w:rPr>
          <w:bCs/>
          <w:color w:val="000000"/>
          <w:bdr w:val="none" w:sz="0" w:space="0" w:color="auto" w:frame="1"/>
          <w:shd w:val="clear" w:color="auto" w:fill="FFFFFF"/>
        </w:rPr>
        <w:t xml:space="preserve"> </w:t>
      </w:r>
      <w:proofErr w:type="spellStart"/>
      <w:r w:rsidRPr="00191180">
        <w:rPr>
          <w:bCs/>
          <w:color w:val="000000"/>
          <w:bdr w:val="none" w:sz="0" w:space="0" w:color="auto" w:frame="1"/>
          <w:shd w:val="clear" w:color="auto" w:fill="FFFFFF"/>
        </w:rPr>
        <w:t>Press</w:t>
      </w:r>
      <w:proofErr w:type="spellEnd"/>
      <w:r w:rsidRPr="00191180">
        <w:rPr>
          <w:bCs/>
          <w:color w:val="000000"/>
          <w:bdr w:val="none" w:sz="0" w:space="0" w:color="auto" w:frame="1"/>
          <w:shd w:val="clear" w:color="auto" w:fill="FFFFFF"/>
        </w:rPr>
        <w:t>, 2002, 474 pp.</w:t>
      </w:r>
    </w:p>
  </w:footnote>
  <w:footnote w:id="11">
    <w:p w:rsidR="00E62455" w:rsidRPr="0037004E" w:rsidRDefault="00E62455" w:rsidP="00E62455">
      <w:pPr>
        <w:pStyle w:val="Textonotapie"/>
        <w:jc w:val="both"/>
      </w:pPr>
      <w:r>
        <w:rPr>
          <w:rStyle w:val="Refdenotaalpie"/>
        </w:rPr>
        <w:footnoteRef/>
      </w:r>
      <w:r>
        <w:t xml:space="preserve"> </w:t>
      </w:r>
      <w:r w:rsidRPr="00C4034A">
        <w:t xml:space="preserve">Tribunales Colegiados de Circuito. Novena Época. Semanario Judicial de la Federación y su Gaceta. Tomo III, marzo de 1996. </w:t>
      </w:r>
      <w:proofErr w:type="spellStart"/>
      <w:r w:rsidRPr="00C4034A">
        <w:t>Pág</w:t>
      </w:r>
      <w:proofErr w:type="spellEnd"/>
      <w:r w:rsidRPr="00C4034A">
        <w:t xml:space="preserve"> 769. Consultado en http://sjf.scjn.gob.mx/sjfsist/Documentos/Tesis/203/203143.pdf  el viernes 16 de junio de 2017.</w:t>
      </w:r>
    </w:p>
    <w:p w:rsidR="00E62455" w:rsidRDefault="00E62455" w:rsidP="00E62455">
      <w:pPr>
        <w:pStyle w:val="Textonotapie"/>
      </w:pPr>
    </w:p>
  </w:footnote>
  <w:footnote w:id="12">
    <w:p w:rsidR="00E62455" w:rsidRDefault="00E62455" w:rsidP="00E62455">
      <w:pPr>
        <w:pStyle w:val="Textonotapie"/>
        <w:jc w:val="both"/>
      </w:pPr>
      <w:r>
        <w:rPr>
          <w:rStyle w:val="Refdenotaalpie"/>
        </w:rPr>
        <w:footnoteRef/>
      </w:r>
      <w:r>
        <w:t xml:space="preserve"> Artículo 3. Para los efectos de la presente Ley se entenderá por:</w:t>
      </w:r>
    </w:p>
    <w:p w:rsidR="00E62455" w:rsidRDefault="00E62455" w:rsidP="00E62455">
      <w:pPr>
        <w:pStyle w:val="Textonotapie"/>
        <w:jc w:val="both"/>
      </w:pPr>
      <w:r>
        <w:t xml:space="preserve"> (…)</w:t>
      </w:r>
    </w:p>
    <w:p w:rsidR="00E62455" w:rsidRDefault="00E62455" w:rsidP="00E62455">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455" w:rsidRDefault="000240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E62455" w:rsidRPr="005C106F" w:rsidTr="009177B0">
      <w:trPr>
        <w:trHeight w:val="1435"/>
      </w:trPr>
      <w:tc>
        <w:tcPr>
          <w:tcW w:w="2268" w:type="dxa"/>
          <w:shd w:val="clear" w:color="auto" w:fill="auto"/>
        </w:tcPr>
        <w:p w:rsidR="00E62455" w:rsidRPr="005C106F" w:rsidRDefault="00E62455" w:rsidP="009177B0">
          <w:pPr>
            <w:tabs>
              <w:tab w:val="right" w:pos="4273"/>
            </w:tabs>
            <w:rPr>
              <w:rFonts w:ascii="Garamond" w:eastAsia="Calibri" w:hAnsi="Garamond"/>
              <w:sz w:val="16"/>
              <w:szCs w:val="16"/>
              <w:lang w:eastAsia="en-US"/>
            </w:rPr>
          </w:pPr>
        </w:p>
      </w:tc>
      <w:tc>
        <w:tcPr>
          <w:tcW w:w="6946" w:type="dxa"/>
          <w:shd w:val="clear" w:color="auto" w:fill="auto"/>
        </w:tcPr>
        <w:p w:rsidR="00E62455" w:rsidRDefault="00E62455" w:rsidP="009177B0"/>
        <w:tbl>
          <w:tblPr>
            <w:tblW w:w="6662" w:type="dxa"/>
            <w:tblInd w:w="40" w:type="dxa"/>
            <w:tblLayout w:type="fixed"/>
            <w:tblLook w:val="0420" w:firstRow="1" w:lastRow="0" w:firstColumn="0" w:lastColumn="0" w:noHBand="0" w:noVBand="1"/>
          </w:tblPr>
          <w:tblGrid>
            <w:gridCol w:w="2551"/>
            <w:gridCol w:w="4111"/>
          </w:tblGrid>
          <w:tr w:rsidR="00E62455" w:rsidTr="009177B0">
            <w:trPr>
              <w:trHeight w:val="150"/>
            </w:trPr>
            <w:tc>
              <w:tcPr>
                <w:tcW w:w="2551" w:type="dxa"/>
                <w:shd w:val="clear" w:color="auto" w:fill="auto"/>
              </w:tcPr>
              <w:p w:rsidR="00E62455" w:rsidRPr="00020E73" w:rsidRDefault="00E62455"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E62455" w:rsidRPr="00020E73" w:rsidRDefault="00E62455" w:rsidP="009177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15253/INFOEM/IP/RR/2022</w:t>
                </w:r>
                <w:r w:rsidRPr="009E7B0A">
                  <w:rPr>
                    <w:rFonts w:ascii="Palatino Linotype" w:eastAsia="Calibri" w:hAnsi="Palatino Linotype" w:cs="Tahoma"/>
                    <w:b/>
                    <w:bCs/>
                    <w:sz w:val="22"/>
                    <w:szCs w:val="22"/>
                    <w:lang w:eastAsia="en-US"/>
                  </w:rPr>
                  <w:t xml:space="preserve"> </w:t>
                </w:r>
              </w:p>
            </w:tc>
          </w:tr>
          <w:tr w:rsidR="00E62455" w:rsidTr="009177B0">
            <w:trPr>
              <w:trHeight w:val="295"/>
            </w:trPr>
            <w:tc>
              <w:tcPr>
                <w:tcW w:w="2551" w:type="dxa"/>
                <w:shd w:val="clear" w:color="auto" w:fill="auto"/>
              </w:tcPr>
              <w:p w:rsidR="00E62455" w:rsidRPr="00020E73" w:rsidRDefault="00E62455"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E62455" w:rsidRPr="00020E73" w:rsidRDefault="00E62455" w:rsidP="009177B0">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Atlautla</w:t>
                </w:r>
                <w:proofErr w:type="spellEnd"/>
              </w:p>
            </w:tc>
          </w:tr>
          <w:tr w:rsidR="00E62455" w:rsidTr="009177B0">
            <w:trPr>
              <w:trHeight w:val="295"/>
            </w:trPr>
            <w:tc>
              <w:tcPr>
                <w:tcW w:w="2551" w:type="dxa"/>
                <w:shd w:val="clear" w:color="auto" w:fill="auto"/>
              </w:tcPr>
              <w:p w:rsidR="00E62455" w:rsidRPr="00020E73" w:rsidRDefault="00E62455" w:rsidP="009177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E62455" w:rsidRPr="00020E73" w:rsidRDefault="00E62455" w:rsidP="009177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E62455" w:rsidRPr="00020E73" w:rsidRDefault="00E62455" w:rsidP="009177B0">
                <w:pPr>
                  <w:tabs>
                    <w:tab w:val="right" w:pos="8838"/>
                  </w:tabs>
                  <w:ind w:left="-108" w:right="171"/>
                  <w:jc w:val="both"/>
                  <w:rPr>
                    <w:rFonts w:ascii="Palatino Linotype" w:eastAsia="Calibri" w:hAnsi="Palatino Linotype" w:cs="Tahoma"/>
                    <w:b/>
                    <w:sz w:val="22"/>
                    <w:szCs w:val="22"/>
                    <w:lang w:val="es-ES" w:eastAsia="en-US"/>
                  </w:rPr>
                </w:pPr>
              </w:p>
            </w:tc>
          </w:tr>
        </w:tbl>
        <w:p w:rsidR="00E62455" w:rsidRPr="005C106F" w:rsidRDefault="00E62455" w:rsidP="009177B0">
          <w:pPr>
            <w:tabs>
              <w:tab w:val="right" w:pos="8838"/>
            </w:tabs>
            <w:ind w:left="-28"/>
            <w:jc w:val="both"/>
            <w:rPr>
              <w:rFonts w:ascii="Arial" w:eastAsia="Calibri" w:hAnsi="Arial" w:cs="Arial"/>
              <w:b/>
              <w:sz w:val="22"/>
              <w:szCs w:val="22"/>
              <w:lang w:eastAsia="en-US"/>
            </w:rPr>
          </w:pPr>
        </w:p>
      </w:tc>
    </w:tr>
  </w:tbl>
  <w:p w:rsidR="00E62455" w:rsidRPr="00443C6B" w:rsidRDefault="000240A8" w:rsidP="009177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E62455" w:rsidRPr="00330DA7" w:rsidTr="009177B0">
      <w:trPr>
        <w:trHeight w:val="1435"/>
      </w:trPr>
      <w:tc>
        <w:tcPr>
          <w:tcW w:w="2268" w:type="dxa"/>
          <w:shd w:val="clear" w:color="auto" w:fill="auto"/>
        </w:tcPr>
        <w:p w:rsidR="00E62455" w:rsidRPr="00330DA7" w:rsidRDefault="00E62455" w:rsidP="009177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E62455" w:rsidRPr="00330DA7" w:rsidTr="009177B0">
            <w:trPr>
              <w:trHeight w:val="144"/>
            </w:trPr>
            <w:tc>
              <w:tcPr>
                <w:tcW w:w="2444" w:type="dxa"/>
                <w:shd w:val="clear" w:color="auto" w:fill="auto"/>
              </w:tcPr>
              <w:p w:rsidR="00E62455" w:rsidRPr="00020E73" w:rsidRDefault="00E62455" w:rsidP="009177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E62455" w:rsidRPr="00020E73" w:rsidRDefault="00E62455" w:rsidP="009177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15253/INFOEM/IP/RR/2022</w:t>
                </w:r>
                <w:r>
                  <w:rPr>
                    <w:rFonts w:ascii="Palatino Linotype" w:eastAsia="Calibri" w:hAnsi="Palatino Linotype" w:cs="Tahoma"/>
                    <w:b/>
                    <w:bCs/>
                    <w:sz w:val="22"/>
                    <w:szCs w:val="22"/>
                    <w:lang w:eastAsia="en-US"/>
                  </w:rPr>
                  <w:t xml:space="preserve"> </w:t>
                </w:r>
              </w:p>
            </w:tc>
          </w:tr>
          <w:tr w:rsidR="00E62455" w:rsidRPr="00330DA7" w:rsidTr="009177B0">
            <w:trPr>
              <w:trHeight w:val="144"/>
            </w:trPr>
            <w:tc>
              <w:tcPr>
                <w:tcW w:w="2444" w:type="dxa"/>
                <w:shd w:val="clear" w:color="auto" w:fill="auto"/>
              </w:tcPr>
              <w:p w:rsidR="00E62455" w:rsidRPr="00020E73" w:rsidRDefault="00E62455"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E62455" w:rsidRPr="00020E73" w:rsidRDefault="00E62455" w:rsidP="00874AFB">
                <w:pPr>
                  <w:tabs>
                    <w:tab w:val="left" w:pos="1185"/>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r w:rsidR="00874AFB">
                  <w:rPr>
                    <w:rFonts w:ascii="Palatino Linotype" w:eastAsia="Calibri" w:hAnsi="Palatino Linotype" w:cs="Tahoma"/>
                    <w:sz w:val="22"/>
                    <w:szCs w:val="22"/>
                    <w:lang w:val="es-ES" w:eastAsia="en-US"/>
                  </w:rPr>
                  <w:t xml:space="preserve">XXXX </w:t>
                </w:r>
                <w:proofErr w:type="spellStart"/>
                <w:r w:rsidR="00874AFB">
                  <w:rPr>
                    <w:rFonts w:ascii="Palatino Linotype" w:eastAsia="Calibri" w:hAnsi="Palatino Linotype" w:cs="Tahoma"/>
                    <w:sz w:val="22"/>
                    <w:szCs w:val="22"/>
                    <w:lang w:val="es-ES" w:eastAsia="en-US"/>
                  </w:rPr>
                  <w:t>XXXX</w:t>
                </w:r>
                <w:proofErr w:type="spellEnd"/>
                <w:r w:rsidR="00874AFB">
                  <w:rPr>
                    <w:rFonts w:ascii="Palatino Linotype" w:eastAsia="Calibri" w:hAnsi="Palatino Linotype" w:cs="Tahoma"/>
                    <w:sz w:val="22"/>
                    <w:szCs w:val="22"/>
                    <w:lang w:val="es-ES" w:eastAsia="en-US"/>
                  </w:rPr>
                  <w:t xml:space="preserve"> XXXXX</w:t>
                </w:r>
              </w:p>
            </w:tc>
          </w:tr>
          <w:tr w:rsidR="00E62455" w:rsidRPr="00330DA7" w:rsidTr="009177B0">
            <w:trPr>
              <w:trHeight w:val="283"/>
            </w:trPr>
            <w:tc>
              <w:tcPr>
                <w:tcW w:w="2444" w:type="dxa"/>
                <w:shd w:val="clear" w:color="auto" w:fill="auto"/>
              </w:tcPr>
              <w:p w:rsidR="00E62455" w:rsidRPr="00020E73" w:rsidRDefault="00E62455"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E62455" w:rsidRPr="009E7B0A" w:rsidRDefault="00E62455" w:rsidP="009177B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Atlautla</w:t>
                </w:r>
                <w:proofErr w:type="spellEnd"/>
              </w:p>
            </w:tc>
          </w:tr>
          <w:tr w:rsidR="00E62455" w:rsidRPr="00330DA7" w:rsidTr="009177B0">
            <w:trPr>
              <w:trHeight w:val="283"/>
            </w:trPr>
            <w:tc>
              <w:tcPr>
                <w:tcW w:w="2444" w:type="dxa"/>
                <w:shd w:val="clear" w:color="auto" w:fill="auto"/>
              </w:tcPr>
              <w:p w:rsidR="00E62455" w:rsidRPr="00020E73" w:rsidRDefault="00E62455" w:rsidP="009177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E62455" w:rsidRPr="00020E73" w:rsidRDefault="00E62455" w:rsidP="009177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E62455" w:rsidRPr="00020E73" w:rsidRDefault="00E62455" w:rsidP="009177B0">
                <w:pPr>
                  <w:tabs>
                    <w:tab w:val="right" w:pos="8838"/>
                  </w:tabs>
                  <w:ind w:left="-74" w:right="-105"/>
                  <w:jc w:val="both"/>
                  <w:rPr>
                    <w:rFonts w:ascii="Palatino Linotype" w:eastAsia="Calibri" w:hAnsi="Palatino Linotype" w:cs="Tahoma"/>
                    <w:b/>
                    <w:sz w:val="22"/>
                    <w:szCs w:val="22"/>
                    <w:lang w:val="es-ES" w:eastAsia="en-US"/>
                  </w:rPr>
                </w:pPr>
              </w:p>
            </w:tc>
          </w:tr>
        </w:tbl>
        <w:p w:rsidR="00E62455" w:rsidRPr="00330DA7" w:rsidRDefault="00E62455" w:rsidP="009177B0">
          <w:pPr>
            <w:tabs>
              <w:tab w:val="right" w:pos="8838"/>
            </w:tabs>
            <w:ind w:left="-28"/>
            <w:jc w:val="both"/>
            <w:rPr>
              <w:rFonts w:ascii="Arial" w:eastAsia="Calibri" w:hAnsi="Arial" w:cs="Arial"/>
              <w:b/>
              <w:sz w:val="22"/>
              <w:szCs w:val="22"/>
              <w:lang w:eastAsia="en-US"/>
            </w:rPr>
          </w:pPr>
        </w:p>
      </w:tc>
    </w:tr>
  </w:tbl>
  <w:p w:rsidR="00E62455" w:rsidRPr="00827FA0" w:rsidRDefault="000240A8" w:rsidP="009177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B51"/>
    <w:multiLevelType w:val="hybridMultilevel"/>
    <w:tmpl w:val="36585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45075"/>
    <w:multiLevelType w:val="hybridMultilevel"/>
    <w:tmpl w:val="CAD28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DA5C41"/>
    <w:multiLevelType w:val="hybridMultilevel"/>
    <w:tmpl w:val="0D6C64A4"/>
    <w:lvl w:ilvl="0" w:tplc="3DEC157E">
      <w:start w:val="1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B4687"/>
    <w:multiLevelType w:val="hybridMultilevel"/>
    <w:tmpl w:val="D3D413D6"/>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0"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76F8C"/>
    <w:multiLevelType w:val="hybridMultilevel"/>
    <w:tmpl w:val="A0D6B406"/>
    <w:lvl w:ilvl="0" w:tplc="0AD289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A0565B"/>
    <w:multiLevelType w:val="hybridMultilevel"/>
    <w:tmpl w:val="8788E8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3736CB"/>
    <w:multiLevelType w:val="hybridMultilevel"/>
    <w:tmpl w:val="02524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317490"/>
    <w:multiLevelType w:val="hybridMultilevel"/>
    <w:tmpl w:val="C8D88A20"/>
    <w:lvl w:ilvl="0" w:tplc="92BE0B36">
      <w:start w:val="1"/>
      <w:numFmt w:val="decimal"/>
      <w:lvlText w:val="%1."/>
      <w:lvlJc w:val="left"/>
      <w:pPr>
        <w:ind w:left="3338"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CCA62DB"/>
    <w:multiLevelType w:val="hybridMultilevel"/>
    <w:tmpl w:val="13306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D431B"/>
    <w:multiLevelType w:val="hybridMultilevel"/>
    <w:tmpl w:val="118A4F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6831A2"/>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034487"/>
    <w:multiLevelType w:val="hybridMultilevel"/>
    <w:tmpl w:val="6876023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560839D1"/>
    <w:multiLevelType w:val="hybridMultilevel"/>
    <w:tmpl w:val="69765CEE"/>
    <w:lvl w:ilvl="0" w:tplc="89E0DA48">
      <w:start w:val="1"/>
      <w:numFmt w:val="decimal"/>
      <w:lvlText w:val="%1."/>
      <w:lvlJc w:val="left"/>
      <w:pPr>
        <w:ind w:left="644"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1042D"/>
    <w:multiLevelType w:val="hybridMultilevel"/>
    <w:tmpl w:val="06B6C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2B190D"/>
    <w:multiLevelType w:val="hybridMultilevel"/>
    <w:tmpl w:val="936ACE08"/>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E43C6D"/>
    <w:multiLevelType w:val="hybridMultilevel"/>
    <w:tmpl w:val="18FAA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2C32A8"/>
    <w:multiLevelType w:val="hybridMultilevel"/>
    <w:tmpl w:val="D5A0E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0"/>
  </w:num>
  <w:num w:numId="3">
    <w:abstractNumId w:val="38"/>
  </w:num>
  <w:num w:numId="4">
    <w:abstractNumId w:val="14"/>
  </w:num>
  <w:num w:numId="5">
    <w:abstractNumId w:val="26"/>
  </w:num>
  <w:num w:numId="6">
    <w:abstractNumId w:val="25"/>
  </w:num>
  <w:num w:numId="7">
    <w:abstractNumId w:val="16"/>
  </w:num>
  <w:num w:numId="8">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23"/>
  </w:num>
  <w:num w:numId="13">
    <w:abstractNumId w:val="8"/>
  </w:num>
  <w:num w:numId="14">
    <w:abstractNumId w:val="12"/>
  </w:num>
  <w:num w:numId="15">
    <w:abstractNumId w:val="36"/>
  </w:num>
  <w:num w:numId="16">
    <w:abstractNumId w:val="35"/>
  </w:num>
  <w:num w:numId="17">
    <w:abstractNumId w:val="35"/>
    <w:lvlOverride w:ilvl="0">
      <w:startOverride w:val="2"/>
    </w:lvlOverride>
  </w:num>
  <w:num w:numId="18">
    <w:abstractNumId w:val="35"/>
    <w:lvlOverride w:ilvl="0">
      <w:startOverride w:val="3"/>
    </w:lvlOverride>
  </w:num>
  <w:num w:numId="19">
    <w:abstractNumId w:val="35"/>
    <w:lvlOverride w:ilvl="0">
      <w:startOverride w:val="4"/>
    </w:lvlOverride>
  </w:num>
  <w:num w:numId="20">
    <w:abstractNumId w:val="35"/>
    <w:lvlOverride w:ilvl="0">
      <w:startOverride w:val="5"/>
    </w:lvlOverride>
  </w:num>
  <w:num w:numId="21">
    <w:abstractNumId w:val="30"/>
  </w:num>
  <w:num w:numId="22">
    <w:abstractNumId w:val="22"/>
  </w:num>
  <w:num w:numId="23">
    <w:abstractNumId w:val="19"/>
  </w:num>
  <w:num w:numId="24">
    <w:abstractNumId w:val="34"/>
  </w:num>
  <w:num w:numId="25">
    <w:abstractNumId w:val="10"/>
  </w:num>
  <w:num w:numId="26">
    <w:abstractNumId w:val="7"/>
  </w:num>
  <w:num w:numId="27">
    <w:abstractNumId w:val="29"/>
  </w:num>
  <w:num w:numId="28">
    <w:abstractNumId w:val="2"/>
  </w:num>
  <w:num w:numId="29">
    <w:abstractNumId w:val="11"/>
  </w:num>
  <w:num w:numId="30">
    <w:abstractNumId w:val="33"/>
  </w:num>
  <w:num w:numId="31">
    <w:abstractNumId w:val="28"/>
  </w:num>
  <w:num w:numId="32">
    <w:abstractNumId w:val="6"/>
  </w:num>
  <w:num w:numId="33">
    <w:abstractNumId w:val="5"/>
  </w:num>
  <w:num w:numId="34">
    <w:abstractNumId w:val="32"/>
  </w:num>
  <w:num w:numId="35">
    <w:abstractNumId w:val="24"/>
  </w:num>
  <w:num w:numId="36">
    <w:abstractNumId w:val="39"/>
  </w:num>
  <w:num w:numId="37">
    <w:abstractNumId w:val="4"/>
  </w:num>
  <w:num w:numId="38">
    <w:abstractNumId w:val="31"/>
  </w:num>
  <w:num w:numId="39">
    <w:abstractNumId w:val="17"/>
  </w:num>
  <w:num w:numId="40">
    <w:abstractNumId w:val="21"/>
  </w:num>
  <w:num w:numId="41">
    <w:abstractNumId w:val="37"/>
  </w:num>
  <w:num w:numId="42">
    <w:abstractNumId w:val="3"/>
  </w:num>
  <w:num w:numId="43">
    <w:abstractNumId w:val="15"/>
  </w:num>
  <w:num w:numId="44">
    <w:abstractNumId w:val="9"/>
  </w:num>
  <w:num w:numId="45">
    <w:abstractNumId w:val="27"/>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ED"/>
    <w:rsid w:val="000010B3"/>
    <w:rsid w:val="00007A3C"/>
    <w:rsid w:val="000240A8"/>
    <w:rsid w:val="00026EC3"/>
    <w:rsid w:val="0003313A"/>
    <w:rsid w:val="000421BA"/>
    <w:rsid w:val="00056A59"/>
    <w:rsid w:val="00057CC7"/>
    <w:rsid w:val="00081119"/>
    <w:rsid w:val="000839E0"/>
    <w:rsid w:val="00086B87"/>
    <w:rsid w:val="000902FB"/>
    <w:rsid w:val="000D3605"/>
    <w:rsid w:val="000D710D"/>
    <w:rsid w:val="000F0B2D"/>
    <w:rsid w:val="000F2137"/>
    <w:rsid w:val="001031C5"/>
    <w:rsid w:val="00110A17"/>
    <w:rsid w:val="00112A54"/>
    <w:rsid w:val="00133B1C"/>
    <w:rsid w:val="001465F8"/>
    <w:rsid w:val="00174E58"/>
    <w:rsid w:val="001774E1"/>
    <w:rsid w:val="001A7A6B"/>
    <w:rsid w:val="001C623B"/>
    <w:rsid w:val="001D5CA3"/>
    <w:rsid w:val="001D6B0A"/>
    <w:rsid w:val="001F362D"/>
    <w:rsid w:val="001F5905"/>
    <w:rsid w:val="002030FA"/>
    <w:rsid w:val="0021125A"/>
    <w:rsid w:val="00214EBE"/>
    <w:rsid w:val="0022714D"/>
    <w:rsid w:val="00235936"/>
    <w:rsid w:val="00237B30"/>
    <w:rsid w:val="00243CBD"/>
    <w:rsid w:val="00262BA7"/>
    <w:rsid w:val="00281368"/>
    <w:rsid w:val="0029311A"/>
    <w:rsid w:val="002B0C3D"/>
    <w:rsid w:val="002B36F1"/>
    <w:rsid w:val="002F0045"/>
    <w:rsid w:val="0030306B"/>
    <w:rsid w:val="00320A33"/>
    <w:rsid w:val="00345582"/>
    <w:rsid w:val="00354870"/>
    <w:rsid w:val="00365331"/>
    <w:rsid w:val="0037058E"/>
    <w:rsid w:val="0037329C"/>
    <w:rsid w:val="00397389"/>
    <w:rsid w:val="003A0EBB"/>
    <w:rsid w:val="003B12BB"/>
    <w:rsid w:val="003B1517"/>
    <w:rsid w:val="003C70C2"/>
    <w:rsid w:val="003D14CF"/>
    <w:rsid w:val="003F27EF"/>
    <w:rsid w:val="00410AEF"/>
    <w:rsid w:val="00417ACD"/>
    <w:rsid w:val="00460471"/>
    <w:rsid w:val="00464213"/>
    <w:rsid w:val="00476A23"/>
    <w:rsid w:val="00484116"/>
    <w:rsid w:val="004A7012"/>
    <w:rsid w:val="004F29FB"/>
    <w:rsid w:val="004F78EA"/>
    <w:rsid w:val="00501A5B"/>
    <w:rsid w:val="00544F84"/>
    <w:rsid w:val="00546BFA"/>
    <w:rsid w:val="0054757B"/>
    <w:rsid w:val="00563053"/>
    <w:rsid w:val="005701EA"/>
    <w:rsid w:val="0058435A"/>
    <w:rsid w:val="00586A53"/>
    <w:rsid w:val="00593BE3"/>
    <w:rsid w:val="005B0948"/>
    <w:rsid w:val="005B1E72"/>
    <w:rsid w:val="005B202E"/>
    <w:rsid w:val="005B447E"/>
    <w:rsid w:val="005C5176"/>
    <w:rsid w:val="005C7CFA"/>
    <w:rsid w:val="005D020A"/>
    <w:rsid w:val="005D445E"/>
    <w:rsid w:val="005D7A0B"/>
    <w:rsid w:val="005E0589"/>
    <w:rsid w:val="005E1D5E"/>
    <w:rsid w:val="005F0724"/>
    <w:rsid w:val="00605506"/>
    <w:rsid w:val="006200BF"/>
    <w:rsid w:val="00624906"/>
    <w:rsid w:val="00641E0C"/>
    <w:rsid w:val="006642B9"/>
    <w:rsid w:val="00664C6F"/>
    <w:rsid w:val="0067259A"/>
    <w:rsid w:val="00675D3E"/>
    <w:rsid w:val="00677531"/>
    <w:rsid w:val="00690A62"/>
    <w:rsid w:val="00697765"/>
    <w:rsid w:val="006A378D"/>
    <w:rsid w:val="006B2450"/>
    <w:rsid w:val="006B73B2"/>
    <w:rsid w:val="006D0141"/>
    <w:rsid w:val="006D15E0"/>
    <w:rsid w:val="006D1ED3"/>
    <w:rsid w:val="006F66A4"/>
    <w:rsid w:val="007115E5"/>
    <w:rsid w:val="00712860"/>
    <w:rsid w:val="00715022"/>
    <w:rsid w:val="0073692D"/>
    <w:rsid w:val="007400B8"/>
    <w:rsid w:val="00755754"/>
    <w:rsid w:val="0076643E"/>
    <w:rsid w:val="00770803"/>
    <w:rsid w:val="0077204A"/>
    <w:rsid w:val="00787C4C"/>
    <w:rsid w:val="007C0134"/>
    <w:rsid w:val="007C5B27"/>
    <w:rsid w:val="007D429F"/>
    <w:rsid w:val="007D5A0C"/>
    <w:rsid w:val="007E19E4"/>
    <w:rsid w:val="007E3BF5"/>
    <w:rsid w:val="00860157"/>
    <w:rsid w:val="00874AFB"/>
    <w:rsid w:val="00874BC8"/>
    <w:rsid w:val="008755DD"/>
    <w:rsid w:val="0088142D"/>
    <w:rsid w:val="008A5D8C"/>
    <w:rsid w:val="008B628C"/>
    <w:rsid w:val="008F22D8"/>
    <w:rsid w:val="008F381E"/>
    <w:rsid w:val="009013B1"/>
    <w:rsid w:val="009177B0"/>
    <w:rsid w:val="00923909"/>
    <w:rsid w:val="00931773"/>
    <w:rsid w:val="0094246A"/>
    <w:rsid w:val="00964900"/>
    <w:rsid w:val="00982FFF"/>
    <w:rsid w:val="00994FEB"/>
    <w:rsid w:val="009954DB"/>
    <w:rsid w:val="00996A56"/>
    <w:rsid w:val="009A28FC"/>
    <w:rsid w:val="009A5185"/>
    <w:rsid w:val="009B50A9"/>
    <w:rsid w:val="009B6FD5"/>
    <w:rsid w:val="009C1C1F"/>
    <w:rsid w:val="009D4D00"/>
    <w:rsid w:val="009E07E9"/>
    <w:rsid w:val="00A02D82"/>
    <w:rsid w:val="00A14B38"/>
    <w:rsid w:val="00A3041A"/>
    <w:rsid w:val="00A566CD"/>
    <w:rsid w:val="00A62C1F"/>
    <w:rsid w:val="00A63369"/>
    <w:rsid w:val="00A657B2"/>
    <w:rsid w:val="00A80D02"/>
    <w:rsid w:val="00A834B6"/>
    <w:rsid w:val="00A9346F"/>
    <w:rsid w:val="00A96646"/>
    <w:rsid w:val="00AD078B"/>
    <w:rsid w:val="00AD6B52"/>
    <w:rsid w:val="00AE554E"/>
    <w:rsid w:val="00AF6419"/>
    <w:rsid w:val="00B00F9B"/>
    <w:rsid w:val="00B34EE2"/>
    <w:rsid w:val="00B72B98"/>
    <w:rsid w:val="00B76E16"/>
    <w:rsid w:val="00B773D9"/>
    <w:rsid w:val="00B85CA3"/>
    <w:rsid w:val="00B8615F"/>
    <w:rsid w:val="00B92590"/>
    <w:rsid w:val="00BA5E14"/>
    <w:rsid w:val="00BB271D"/>
    <w:rsid w:val="00BB7308"/>
    <w:rsid w:val="00BD4BF5"/>
    <w:rsid w:val="00BF459B"/>
    <w:rsid w:val="00BF5933"/>
    <w:rsid w:val="00BF5C26"/>
    <w:rsid w:val="00C02C47"/>
    <w:rsid w:val="00C60D17"/>
    <w:rsid w:val="00C92DB2"/>
    <w:rsid w:val="00C931FC"/>
    <w:rsid w:val="00CD24B8"/>
    <w:rsid w:val="00D24A01"/>
    <w:rsid w:val="00D4273E"/>
    <w:rsid w:val="00D43761"/>
    <w:rsid w:val="00D64AFE"/>
    <w:rsid w:val="00D70833"/>
    <w:rsid w:val="00D771ED"/>
    <w:rsid w:val="00D82C77"/>
    <w:rsid w:val="00D855D4"/>
    <w:rsid w:val="00D900AF"/>
    <w:rsid w:val="00DD183F"/>
    <w:rsid w:val="00DF2A3A"/>
    <w:rsid w:val="00DF666E"/>
    <w:rsid w:val="00E155C6"/>
    <w:rsid w:val="00E62455"/>
    <w:rsid w:val="00E91521"/>
    <w:rsid w:val="00EB7FE2"/>
    <w:rsid w:val="00ED78EA"/>
    <w:rsid w:val="00F10F86"/>
    <w:rsid w:val="00F11CA3"/>
    <w:rsid w:val="00F2185C"/>
    <w:rsid w:val="00F24524"/>
    <w:rsid w:val="00F720E4"/>
    <w:rsid w:val="00FA273A"/>
    <w:rsid w:val="00FC1638"/>
    <w:rsid w:val="00FC2E76"/>
    <w:rsid w:val="00FC7473"/>
    <w:rsid w:val="00FC7B9E"/>
    <w:rsid w:val="00FE2824"/>
    <w:rsid w:val="00FE4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EE087A-53DA-4ED8-930E-84266214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1E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771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771E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5B202E"/>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1ED"/>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D771ED"/>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D771ED"/>
    <w:pPr>
      <w:tabs>
        <w:tab w:val="center" w:pos="4419"/>
        <w:tab w:val="right" w:pos="8838"/>
      </w:tabs>
    </w:pPr>
  </w:style>
  <w:style w:type="character" w:customStyle="1" w:styleId="EncabezadoCar">
    <w:name w:val="Encabezado Car"/>
    <w:basedOn w:val="Fuentedeprrafopredeter"/>
    <w:link w:val="Encabezado"/>
    <w:uiPriority w:val="99"/>
    <w:rsid w:val="00D771E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771ED"/>
    <w:pPr>
      <w:tabs>
        <w:tab w:val="center" w:pos="4419"/>
        <w:tab w:val="right" w:pos="8838"/>
      </w:tabs>
    </w:pPr>
  </w:style>
  <w:style w:type="character" w:customStyle="1" w:styleId="PiedepginaCar">
    <w:name w:val="Pie de página Car"/>
    <w:basedOn w:val="Fuentedeprrafopredeter"/>
    <w:link w:val="Piedepgina"/>
    <w:uiPriority w:val="99"/>
    <w:rsid w:val="00D771E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71E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771E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D771ED"/>
    <w:rPr>
      <w:color w:val="0563C1"/>
      <w:u w:val="single"/>
    </w:rPr>
  </w:style>
  <w:style w:type="paragraph" w:styleId="Sinespaciado">
    <w:name w:val="No Spacing"/>
    <w:aliases w:val="Francesa,INAI"/>
    <w:link w:val="SinespaciadoCar"/>
    <w:uiPriority w:val="1"/>
    <w:qFormat/>
    <w:rsid w:val="00D771ED"/>
    <w:pPr>
      <w:spacing w:after="0" w:line="240" w:lineRule="auto"/>
    </w:pPr>
    <w:rPr>
      <w:lang w:val="es-MX"/>
    </w:rPr>
  </w:style>
  <w:style w:type="character" w:customStyle="1" w:styleId="SinespaciadoCar">
    <w:name w:val="Sin espaciado Car"/>
    <w:aliases w:val="Francesa Car,INAI Car"/>
    <w:link w:val="Sinespaciado"/>
    <w:uiPriority w:val="1"/>
    <w:locked/>
    <w:rsid w:val="00D771ED"/>
    <w:rPr>
      <w:lang w:val="es-MX"/>
    </w:rPr>
  </w:style>
  <w:style w:type="paragraph" w:styleId="TDC1">
    <w:name w:val="toc 1"/>
    <w:basedOn w:val="Normal"/>
    <w:next w:val="Normal"/>
    <w:autoRedefine/>
    <w:uiPriority w:val="39"/>
    <w:unhideWhenUsed/>
    <w:rsid w:val="00D771ED"/>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771ED"/>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771E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D771E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771E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D771ED"/>
    <w:rPr>
      <w:rFonts w:ascii="Times New Roman" w:eastAsia="Times New Roman" w:hAnsi="Times New Roman" w:cs="Times New Roman"/>
      <w:sz w:val="20"/>
      <w:szCs w:val="20"/>
      <w:lang w:val="es-MX" w:eastAsia="es-MX"/>
    </w:rPr>
  </w:style>
  <w:style w:type="paragraph" w:styleId="TDC3">
    <w:name w:val="toc 3"/>
    <w:basedOn w:val="Normal"/>
    <w:next w:val="Normal"/>
    <w:autoRedefine/>
    <w:uiPriority w:val="39"/>
    <w:unhideWhenUsed/>
    <w:rsid w:val="00D771ED"/>
    <w:pPr>
      <w:spacing w:after="100"/>
      <w:ind w:left="480"/>
    </w:pPr>
  </w:style>
  <w:style w:type="table" w:styleId="Tabladecuadrcula6concolores">
    <w:name w:val="Grid Table 6 Colorful"/>
    <w:basedOn w:val="Tablanormal"/>
    <w:uiPriority w:val="51"/>
    <w:rsid w:val="003030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Fuentedeprrafopredeter"/>
    <w:qFormat/>
    <w:rsid w:val="001A7A6B"/>
  </w:style>
  <w:style w:type="table" w:customStyle="1" w:styleId="Tablaconcuadrcula27">
    <w:name w:val="Tabla con cuadrícula27"/>
    <w:basedOn w:val="Tablanormal"/>
    <w:next w:val="Tablaconcuadrcula"/>
    <w:uiPriority w:val="39"/>
    <w:rsid w:val="001A7A6B"/>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A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4246A"/>
    <w:rPr>
      <w:color w:val="954F72" w:themeColor="followedHyperlink"/>
      <w:u w:val="single"/>
    </w:rPr>
  </w:style>
  <w:style w:type="table" w:styleId="Tablanormal1">
    <w:name w:val="Plain Table 1"/>
    <w:basedOn w:val="Tablanormal"/>
    <w:uiPriority w:val="41"/>
    <w:rsid w:val="00AD078B"/>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C7473"/>
    <w:pPr>
      <w:autoSpaceDE w:val="0"/>
      <w:autoSpaceDN w:val="0"/>
      <w:adjustRightInd w:val="0"/>
      <w:spacing w:after="0" w:line="240" w:lineRule="auto"/>
    </w:pPr>
    <w:rPr>
      <w:rFonts w:ascii="Arial" w:hAnsi="Arial" w:cs="Arial"/>
      <w:color w:val="000000"/>
      <w:sz w:val="24"/>
      <w:szCs w:val="24"/>
      <w:lang w:val="es-MX"/>
    </w:rPr>
  </w:style>
  <w:style w:type="character" w:customStyle="1" w:styleId="Ttulo3Car">
    <w:name w:val="Título 3 Car"/>
    <w:basedOn w:val="Fuentedeprrafopredeter"/>
    <w:link w:val="Ttulo3"/>
    <w:uiPriority w:val="9"/>
    <w:rsid w:val="005B202E"/>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171155">
      <w:bodyDiv w:val="1"/>
      <w:marLeft w:val="0"/>
      <w:marRight w:val="0"/>
      <w:marTop w:val="0"/>
      <w:marBottom w:val="0"/>
      <w:divBdr>
        <w:top w:val="none" w:sz="0" w:space="0" w:color="auto"/>
        <w:left w:val="none" w:sz="0" w:space="0" w:color="auto"/>
        <w:bottom w:val="none" w:sz="0" w:space="0" w:color="auto"/>
        <w:right w:val="none" w:sz="0" w:space="0" w:color="auto"/>
      </w:divBdr>
    </w:div>
    <w:div w:id="710416886">
      <w:bodyDiv w:val="1"/>
      <w:marLeft w:val="0"/>
      <w:marRight w:val="0"/>
      <w:marTop w:val="0"/>
      <w:marBottom w:val="0"/>
      <w:divBdr>
        <w:top w:val="none" w:sz="0" w:space="0" w:color="auto"/>
        <w:left w:val="none" w:sz="0" w:space="0" w:color="auto"/>
        <w:bottom w:val="none" w:sz="0" w:space="0" w:color="auto"/>
        <w:right w:val="none" w:sz="0" w:space="0" w:color="auto"/>
      </w:divBdr>
    </w:div>
    <w:div w:id="762605703">
      <w:bodyDiv w:val="1"/>
      <w:marLeft w:val="0"/>
      <w:marRight w:val="0"/>
      <w:marTop w:val="0"/>
      <w:marBottom w:val="0"/>
      <w:divBdr>
        <w:top w:val="none" w:sz="0" w:space="0" w:color="auto"/>
        <w:left w:val="none" w:sz="0" w:space="0" w:color="auto"/>
        <w:bottom w:val="none" w:sz="0" w:space="0" w:color="auto"/>
        <w:right w:val="none" w:sz="0" w:space="0" w:color="auto"/>
      </w:divBdr>
    </w:div>
    <w:div w:id="871918528">
      <w:bodyDiv w:val="1"/>
      <w:marLeft w:val="0"/>
      <w:marRight w:val="0"/>
      <w:marTop w:val="0"/>
      <w:marBottom w:val="0"/>
      <w:divBdr>
        <w:top w:val="none" w:sz="0" w:space="0" w:color="auto"/>
        <w:left w:val="none" w:sz="0" w:space="0" w:color="auto"/>
        <w:bottom w:val="none" w:sz="0" w:space="0" w:color="auto"/>
        <w:right w:val="none" w:sz="0" w:space="0" w:color="auto"/>
      </w:divBdr>
    </w:div>
    <w:div w:id="984897592">
      <w:bodyDiv w:val="1"/>
      <w:marLeft w:val="0"/>
      <w:marRight w:val="0"/>
      <w:marTop w:val="0"/>
      <w:marBottom w:val="0"/>
      <w:divBdr>
        <w:top w:val="none" w:sz="0" w:space="0" w:color="auto"/>
        <w:left w:val="none" w:sz="0" w:space="0" w:color="auto"/>
        <w:bottom w:val="none" w:sz="0" w:space="0" w:color="auto"/>
        <w:right w:val="none" w:sz="0" w:space="0" w:color="auto"/>
      </w:divBdr>
    </w:div>
    <w:div w:id="1327125575">
      <w:bodyDiv w:val="1"/>
      <w:marLeft w:val="0"/>
      <w:marRight w:val="0"/>
      <w:marTop w:val="0"/>
      <w:marBottom w:val="0"/>
      <w:divBdr>
        <w:top w:val="none" w:sz="0" w:space="0" w:color="auto"/>
        <w:left w:val="none" w:sz="0" w:space="0" w:color="auto"/>
        <w:bottom w:val="none" w:sz="0" w:space="0" w:color="auto"/>
        <w:right w:val="none" w:sz="0" w:space="0" w:color="auto"/>
      </w:divBdr>
    </w:div>
    <w:div w:id="1356078717">
      <w:bodyDiv w:val="1"/>
      <w:marLeft w:val="0"/>
      <w:marRight w:val="0"/>
      <w:marTop w:val="0"/>
      <w:marBottom w:val="0"/>
      <w:divBdr>
        <w:top w:val="none" w:sz="0" w:space="0" w:color="auto"/>
        <w:left w:val="none" w:sz="0" w:space="0" w:color="auto"/>
        <w:bottom w:val="none" w:sz="0" w:space="0" w:color="auto"/>
        <w:right w:val="none" w:sz="0" w:space="0" w:color="auto"/>
      </w:divBdr>
    </w:div>
    <w:div w:id="1438792582">
      <w:bodyDiv w:val="1"/>
      <w:marLeft w:val="0"/>
      <w:marRight w:val="0"/>
      <w:marTop w:val="0"/>
      <w:marBottom w:val="0"/>
      <w:divBdr>
        <w:top w:val="none" w:sz="0" w:space="0" w:color="auto"/>
        <w:left w:val="none" w:sz="0" w:space="0" w:color="auto"/>
        <w:bottom w:val="none" w:sz="0" w:space="0" w:color="auto"/>
        <w:right w:val="none" w:sz="0" w:space="0" w:color="auto"/>
      </w:divBdr>
    </w:div>
    <w:div w:id="1591159543">
      <w:bodyDiv w:val="1"/>
      <w:marLeft w:val="0"/>
      <w:marRight w:val="0"/>
      <w:marTop w:val="0"/>
      <w:marBottom w:val="0"/>
      <w:divBdr>
        <w:top w:val="none" w:sz="0" w:space="0" w:color="auto"/>
        <w:left w:val="none" w:sz="0" w:space="0" w:color="auto"/>
        <w:bottom w:val="none" w:sz="0" w:space="0" w:color="auto"/>
        <w:right w:val="none" w:sz="0" w:space="0" w:color="auto"/>
      </w:divBdr>
    </w:div>
    <w:div w:id="1602639496">
      <w:bodyDiv w:val="1"/>
      <w:marLeft w:val="0"/>
      <w:marRight w:val="0"/>
      <w:marTop w:val="0"/>
      <w:marBottom w:val="0"/>
      <w:divBdr>
        <w:top w:val="none" w:sz="0" w:space="0" w:color="auto"/>
        <w:left w:val="none" w:sz="0" w:space="0" w:color="auto"/>
        <w:bottom w:val="none" w:sz="0" w:space="0" w:color="auto"/>
        <w:right w:val="none" w:sz="0" w:space="0" w:color="auto"/>
      </w:divBdr>
    </w:div>
    <w:div w:id="1731923635">
      <w:bodyDiv w:val="1"/>
      <w:marLeft w:val="0"/>
      <w:marRight w:val="0"/>
      <w:marTop w:val="0"/>
      <w:marBottom w:val="0"/>
      <w:divBdr>
        <w:top w:val="none" w:sz="0" w:space="0" w:color="auto"/>
        <w:left w:val="none" w:sz="0" w:space="0" w:color="auto"/>
        <w:bottom w:val="none" w:sz="0" w:space="0" w:color="auto"/>
        <w:right w:val="none" w:sz="0" w:space="0" w:color="auto"/>
      </w:divBdr>
    </w:div>
    <w:div w:id="199872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87628.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2DC1-5AF7-4304-B5CF-C558FF98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51</Pages>
  <Words>10309</Words>
  <Characters>56704</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DELL</cp:lastModifiedBy>
  <cp:revision>12</cp:revision>
  <dcterms:created xsi:type="dcterms:W3CDTF">2022-10-26T21:03:00Z</dcterms:created>
  <dcterms:modified xsi:type="dcterms:W3CDTF">2022-11-27T03:04:00Z</dcterms:modified>
</cp:coreProperties>
</file>