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CDB67" w14:textId="294DEDFC"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297755">
        <w:rPr>
          <w:rFonts w:ascii="Palatino Linotype" w:eastAsia="Times New Roman" w:hAnsi="Palatino Linotype" w:cs="Arial"/>
          <w:color w:val="000000"/>
          <w:sz w:val="24"/>
          <w:szCs w:val="24"/>
          <w:lang w:eastAsia="es-MX"/>
        </w:rPr>
        <w:t xml:space="preserve">dieciocho de mayo de dos mil veintidós. </w:t>
      </w:r>
      <w:r w:rsidR="001D6523">
        <w:rPr>
          <w:rFonts w:ascii="Palatino Linotype" w:eastAsia="Times New Roman" w:hAnsi="Palatino Linotype" w:cs="Arial"/>
          <w:color w:val="000000"/>
          <w:sz w:val="24"/>
          <w:szCs w:val="24"/>
          <w:lang w:eastAsia="es-MX"/>
        </w:rPr>
        <w:t xml:space="preserve"> </w:t>
      </w:r>
      <w:r w:rsidR="00E63ADD">
        <w:rPr>
          <w:rFonts w:ascii="Palatino Linotype" w:eastAsia="Times New Roman" w:hAnsi="Palatino Linotype" w:cs="Arial"/>
          <w:color w:val="000000"/>
          <w:sz w:val="24"/>
          <w:szCs w:val="24"/>
          <w:lang w:eastAsia="es-MX"/>
        </w:rPr>
        <w:t xml:space="preserve"> </w:t>
      </w:r>
    </w:p>
    <w:p w14:paraId="0FEAD502" w14:textId="05363EEB" w:rsidR="00297755" w:rsidRPr="00A85FF3" w:rsidRDefault="006168E4" w:rsidP="00844569">
      <w:pPr>
        <w:tabs>
          <w:tab w:val="left" w:pos="1701"/>
        </w:tabs>
        <w:spacing w:before="240" w:line="360" w:lineRule="auto"/>
        <w:jc w:val="both"/>
        <w:rPr>
          <w:rFonts w:ascii="Palatino Linotype" w:hAnsi="Palatino Linotype" w:cs="Arial"/>
          <w:bCs/>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176259">
        <w:rPr>
          <w:rFonts w:ascii="Palatino Linotype" w:hAnsi="Palatino Linotype" w:cs="Arial"/>
          <w:b/>
          <w:bCs/>
          <w:sz w:val="24"/>
          <w:lang w:eastAsia="es-MX"/>
        </w:rPr>
        <w:t>3530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983463">
        <w:rPr>
          <w:rFonts w:ascii="Palatino Linotype" w:hAnsi="Palatino Linotype" w:cs="Arial"/>
          <w:b/>
          <w:sz w:val="24"/>
          <w:szCs w:val="24"/>
        </w:rPr>
        <w:t>xxxxxx xxxxx</w:t>
      </w:r>
      <w:r w:rsidR="00176259">
        <w:rPr>
          <w:rFonts w:ascii="Palatino Linotype" w:hAnsi="Palatino Linotype" w:cs="Arial"/>
          <w:b/>
          <w:sz w:val="24"/>
          <w:szCs w:val="24"/>
        </w:rPr>
        <w:t xml:space="preserve">, </w:t>
      </w:r>
      <w:r w:rsidR="00297755">
        <w:rPr>
          <w:rFonts w:ascii="Palatino Linotype" w:hAnsi="Palatino Linotype" w:cs="Arial"/>
          <w:bCs/>
          <w:sz w:val="24"/>
          <w:szCs w:val="24"/>
        </w:rPr>
        <w:t xml:space="preserve">en lo subsecuente </w:t>
      </w:r>
      <w:r w:rsidR="00297755">
        <w:rPr>
          <w:rFonts w:ascii="Palatino Linotype" w:hAnsi="Palatino Linotype" w:cs="Arial"/>
          <w:b/>
          <w:sz w:val="24"/>
          <w:szCs w:val="24"/>
        </w:rPr>
        <w:t xml:space="preserve">El Recurrente, </w:t>
      </w:r>
      <w:r w:rsidR="00297755">
        <w:rPr>
          <w:rFonts w:ascii="Palatino Linotype" w:hAnsi="Palatino Linotype" w:cs="Arial"/>
          <w:bCs/>
          <w:sz w:val="24"/>
          <w:szCs w:val="24"/>
        </w:rPr>
        <w:t xml:space="preserve">en contra de la respuesta de la </w:t>
      </w:r>
      <w:r w:rsidR="00A85FF3">
        <w:rPr>
          <w:rFonts w:ascii="Palatino Linotype" w:hAnsi="Palatino Linotype" w:cs="Arial"/>
          <w:b/>
          <w:sz w:val="24"/>
          <w:szCs w:val="24"/>
        </w:rPr>
        <w:t xml:space="preserve">Secretaría General de Gobierno, </w:t>
      </w:r>
      <w:r w:rsidR="00A85FF3">
        <w:rPr>
          <w:rFonts w:ascii="Palatino Linotype" w:hAnsi="Palatino Linotype" w:cs="Arial"/>
          <w:bCs/>
          <w:sz w:val="24"/>
          <w:szCs w:val="24"/>
        </w:rPr>
        <w:t xml:space="preserve">en lo subsecuente </w:t>
      </w:r>
      <w:r w:rsidR="00A85FF3">
        <w:rPr>
          <w:rFonts w:ascii="Palatino Linotype" w:hAnsi="Palatino Linotype" w:cs="Arial"/>
          <w:b/>
          <w:sz w:val="24"/>
          <w:szCs w:val="24"/>
        </w:rPr>
        <w:t xml:space="preserve">El Sujeto Obligado, </w:t>
      </w:r>
      <w:r w:rsidR="00A85FF3">
        <w:rPr>
          <w:rFonts w:ascii="Palatino Linotype" w:hAnsi="Palatino Linotype" w:cs="Arial"/>
          <w:bCs/>
          <w:sz w:val="24"/>
          <w:szCs w:val="24"/>
        </w:rPr>
        <w:t xml:space="preserve">se procede a dictar la presente resolución. </w:t>
      </w:r>
    </w:p>
    <w:p w14:paraId="2528284F" w14:textId="77777777" w:rsidR="00297755" w:rsidRDefault="00297755" w:rsidP="00844569">
      <w:pPr>
        <w:tabs>
          <w:tab w:val="left" w:pos="1701"/>
        </w:tabs>
        <w:spacing w:before="240" w:line="360" w:lineRule="auto"/>
        <w:jc w:val="both"/>
        <w:rPr>
          <w:rFonts w:ascii="Palatino Linotype" w:hAnsi="Palatino Linotype" w:cs="Arial"/>
          <w:b/>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24FA5B7E" w14:textId="7463BE2A" w:rsidR="00A85FF3" w:rsidRPr="00A85FF3"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176259">
        <w:rPr>
          <w:rFonts w:ascii="Palatino Linotype" w:hAnsi="Palatino Linotype" w:cs="Arial"/>
          <w:sz w:val="24"/>
        </w:rPr>
        <w:t xml:space="preserve">catorce de febrero de dos mil veintidós, </w:t>
      </w:r>
      <w:r w:rsidR="00176259">
        <w:rPr>
          <w:rFonts w:ascii="Palatino Linotype" w:hAnsi="Palatino Linotype" w:cs="Arial"/>
          <w:b/>
          <w:bCs/>
          <w:sz w:val="24"/>
        </w:rPr>
        <w:t xml:space="preserve">El Recurrente, </w:t>
      </w:r>
      <w:r w:rsidR="00176259">
        <w:rPr>
          <w:rFonts w:ascii="Palatino Linotype" w:hAnsi="Palatino Linotype" w:cs="Arial"/>
          <w:sz w:val="24"/>
        </w:rPr>
        <w:t>presentó a través del Sistema de Acceso a la Información Mexiquense (</w:t>
      </w:r>
      <w:r w:rsidR="00176259">
        <w:rPr>
          <w:rFonts w:ascii="Palatino Linotype" w:hAnsi="Palatino Linotype" w:cs="Arial"/>
          <w:b/>
          <w:sz w:val="24"/>
        </w:rPr>
        <w:t>SAIMEX)</w:t>
      </w:r>
      <w:r w:rsidR="00176259">
        <w:rPr>
          <w:rFonts w:ascii="Palatino Linotype" w:hAnsi="Palatino Linotype" w:cs="Arial"/>
          <w:sz w:val="24"/>
        </w:rPr>
        <w:t xml:space="preserve"> ante </w:t>
      </w:r>
      <w:r w:rsidR="00176259">
        <w:rPr>
          <w:rFonts w:ascii="Palatino Linotype" w:hAnsi="Palatino Linotype" w:cs="Arial"/>
          <w:b/>
          <w:sz w:val="24"/>
        </w:rPr>
        <w:t>El Sujeto Obligado</w:t>
      </w:r>
      <w:r w:rsidR="00176259">
        <w:rPr>
          <w:rFonts w:ascii="Palatino Linotype" w:hAnsi="Palatino Linotype" w:cs="Arial"/>
          <w:sz w:val="24"/>
        </w:rPr>
        <w:t xml:space="preserve">, solicitud de acceso a la información pública, registrada bajo el número de expediente </w:t>
      </w:r>
      <w:r w:rsidR="00176259">
        <w:rPr>
          <w:rFonts w:ascii="Palatino Linotype" w:hAnsi="Palatino Linotype" w:cs="Arial"/>
          <w:b/>
          <w:bCs/>
          <w:sz w:val="24"/>
        </w:rPr>
        <w:t xml:space="preserve">00039/SEGEGOB/IP/2022, </w:t>
      </w:r>
      <w:r w:rsidR="00A85FF3">
        <w:rPr>
          <w:rFonts w:ascii="Palatino Linotype" w:hAnsi="Palatino Linotype" w:cs="Arial"/>
          <w:sz w:val="24"/>
        </w:rPr>
        <w:t>mediante la cual solicitó información en el tenor siguiente:</w:t>
      </w:r>
    </w:p>
    <w:p w14:paraId="6BFD33EC" w14:textId="20D5BB37" w:rsidR="00A85FF3" w:rsidRPr="00A85FF3" w:rsidRDefault="00A85FF3" w:rsidP="00A85FF3">
      <w:pPr>
        <w:pStyle w:val="Citas"/>
        <w:rPr>
          <w:b/>
          <w:bCs/>
          <w:sz w:val="24"/>
        </w:rPr>
      </w:pPr>
      <w:r w:rsidRPr="00176259">
        <w:t>“</w:t>
      </w:r>
      <w:r w:rsidR="00176259" w:rsidRPr="00176259">
        <w:t xml:space="preserve">Solicito conocer el Dictamen de Viabilidad número SGG/SSGG/SSSP/DGPC/O-1512/2003, de fecha 17 de junio de 2003, el oficio de Liberación de Condicionantes marcadas en la resolución número SGG/SSGG/SSSP/DGPC/O-1512/2003, así como el oficio de Inicio de Operaciones; y en su caso informar que condicionantes no se han cumplido o faltan por ser liberadas, del proyecto “Construcción y operación de una estación de gas L.P., para carburación con almacenamiento clase B, subdivisión 2, con almacenamiento inciso b con capacidad de almacenamiento 10,000 </w:t>
      </w:r>
      <w:r w:rsidR="00176259" w:rsidRPr="00176259">
        <w:lastRenderedPageBreak/>
        <w:t>litros de agua, en dos tanques de 5,000 litros cada uno, ubicado en la calle Calzada de Guadalupe, sin número, lote 2, manzana 1, sección 1-14-A, municipio de Cuautitlán Izcalli, Estado de México”.</w:t>
      </w:r>
      <w:r w:rsidRPr="00176259">
        <w:t xml:space="preserve">” </w:t>
      </w:r>
      <w:r>
        <w:rPr>
          <w:b/>
          <w:bCs/>
        </w:rPr>
        <w:t>[Sic]</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11EB4831" w14:textId="77777777" w:rsidR="003B4A41" w:rsidRDefault="003B4A4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6D0A6092" w14:textId="358F5B19" w:rsidR="00176259"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176259">
        <w:rPr>
          <w:rFonts w:ascii="Palatino Linotype" w:hAnsi="Palatino Linotype" w:cs="Arial"/>
          <w:sz w:val="24"/>
          <w:szCs w:val="24"/>
        </w:rPr>
        <w:t xml:space="preserve">siete de marzo del presente, </w:t>
      </w:r>
      <w:r w:rsidR="00176259">
        <w:rPr>
          <w:rFonts w:ascii="Palatino Linotype" w:hAnsi="Palatino Linotype" w:cs="Arial"/>
          <w:b/>
          <w:bCs/>
          <w:sz w:val="24"/>
          <w:szCs w:val="24"/>
        </w:rPr>
        <w:t xml:space="preserve">El Sujeto Obligado </w:t>
      </w:r>
      <w:r w:rsidR="00176259">
        <w:rPr>
          <w:rFonts w:ascii="Palatino Linotype" w:hAnsi="Palatino Linotype" w:cs="Arial"/>
          <w:sz w:val="24"/>
          <w:szCs w:val="24"/>
        </w:rPr>
        <w:t xml:space="preserve">dio respuesta a la solicitud de información </w:t>
      </w:r>
      <w:r w:rsidR="00176259">
        <w:rPr>
          <w:rFonts w:ascii="Palatino Linotype" w:hAnsi="Palatino Linotype" w:cs="Arial"/>
          <w:b/>
          <w:bCs/>
          <w:sz w:val="24"/>
          <w:szCs w:val="24"/>
        </w:rPr>
        <w:t xml:space="preserve">00039/SEGEGOB/IP/2022 </w:t>
      </w:r>
      <w:r w:rsidR="00176259">
        <w:rPr>
          <w:rFonts w:ascii="Palatino Linotype" w:hAnsi="Palatino Linotype" w:cs="Arial"/>
          <w:sz w:val="24"/>
          <w:szCs w:val="24"/>
        </w:rPr>
        <w:t>resulta de nuestro interés lo siguiente:</w:t>
      </w:r>
    </w:p>
    <w:p w14:paraId="57A68EE5" w14:textId="2AF8ECDE" w:rsidR="001305B1" w:rsidRPr="001305B1" w:rsidRDefault="001305B1" w:rsidP="001305B1">
      <w:pPr>
        <w:pStyle w:val="Citas"/>
      </w:pPr>
      <w:r w:rsidRPr="001305B1">
        <w:t>”En respuesta a la solicitud recibida, nos permitimos hacer de su conocimiento que con fundamento en el artículo 53, Fracciones: II, V y VI de la Ley de Transparencia y Acceso a la Información Pública del Estado de México y Municipios, le contestamos que:</w:t>
      </w:r>
    </w:p>
    <w:p w14:paraId="2AA3C728" w14:textId="47CF5420" w:rsidR="001305B1" w:rsidRPr="001305B1" w:rsidRDefault="001305B1" w:rsidP="001305B1">
      <w:pPr>
        <w:pStyle w:val="Citas"/>
        <w:rPr>
          <w:b/>
          <w:bCs/>
        </w:rPr>
      </w:pPr>
      <w:r w:rsidRPr="001305B1">
        <w:t>SE ANEXA RESPUESTA EN UN ARCHIVO. EN CASO DE TENER ALGÚN PROBLEMA CON LA RECEPCIÓN DE ESTE ARCHIVO, FAVOR DE COMUNICARSE AL TELÉFONO 722 2138893, EXT. 111, 119 Y 132</w:t>
      </w:r>
      <w:r>
        <w:t xml:space="preserve">” </w:t>
      </w:r>
      <w:r>
        <w:rPr>
          <w:b/>
          <w:bCs/>
        </w:rPr>
        <w:t>[Sic]</w:t>
      </w:r>
    </w:p>
    <w:p w14:paraId="2D6550D1" w14:textId="761C4541" w:rsidR="001305B1" w:rsidRPr="001305B1" w:rsidRDefault="00CD5CD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electrónico </w:t>
      </w:r>
      <w:r w:rsidR="001305B1">
        <w:rPr>
          <w:rFonts w:ascii="Palatino Linotype" w:hAnsi="Palatino Linotype" w:cs="Arial"/>
          <w:b/>
          <w:bCs/>
          <w:sz w:val="24"/>
          <w:szCs w:val="24"/>
        </w:rPr>
        <w:t xml:space="preserve">“Rpta. 00039-2022.pdf” </w:t>
      </w:r>
      <w:r w:rsidR="001305B1">
        <w:rPr>
          <w:rFonts w:ascii="Palatino Linotype" w:hAnsi="Palatino Linotype" w:cs="Arial"/>
          <w:sz w:val="24"/>
          <w:szCs w:val="24"/>
        </w:rPr>
        <w:t xml:space="preserve">cuyo contenido será materia de análisis en párrafos subsecuentes. </w:t>
      </w:r>
    </w:p>
    <w:p w14:paraId="299B1B39" w14:textId="77777777" w:rsidR="001305B1" w:rsidRDefault="001305B1" w:rsidP="00045379">
      <w:pPr>
        <w:spacing w:before="240" w:line="360" w:lineRule="auto"/>
        <w:jc w:val="both"/>
        <w:rPr>
          <w:rFonts w:ascii="Palatino Linotype" w:hAnsi="Palatino Linotype" w:cs="Arial"/>
          <w:sz w:val="24"/>
          <w:szCs w:val="24"/>
        </w:rPr>
      </w:pPr>
    </w:p>
    <w:p w14:paraId="6C68CDBA" w14:textId="77777777" w:rsidR="001305B1" w:rsidRDefault="001305B1"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685DDC92" w14:textId="07835DA6" w:rsidR="001305B1" w:rsidRPr="001305B1"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w:t>
      </w:r>
      <w:r w:rsidR="001305B1">
        <w:rPr>
          <w:rFonts w:ascii="Palatino Linotype" w:hAnsi="Palatino Linotype" w:cs="Arial"/>
          <w:sz w:val="24"/>
          <w:szCs w:val="24"/>
        </w:rPr>
        <w:t xml:space="preserve">siete de marzo de los corrientes, el cual fue registrado en el sistema electrónico con el expediente </w:t>
      </w:r>
      <w:r w:rsidR="001305B1">
        <w:rPr>
          <w:rFonts w:ascii="Palatino Linotype" w:hAnsi="Palatino Linotype" w:cs="Arial"/>
          <w:b/>
          <w:bCs/>
          <w:sz w:val="24"/>
          <w:szCs w:val="24"/>
        </w:rPr>
        <w:t xml:space="preserve">03530/INFOEM/IP/RR/2022, </w:t>
      </w:r>
      <w:r w:rsidR="001305B1">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23CC141B" w:rsidR="006168E4" w:rsidRPr="00AA207C" w:rsidRDefault="006168E4" w:rsidP="00AA207C">
      <w:pPr>
        <w:pStyle w:val="Citas"/>
        <w:rPr>
          <w:b/>
        </w:rPr>
      </w:pPr>
      <w:r w:rsidRPr="001077C1">
        <w:t>“</w:t>
      </w:r>
      <w:r w:rsidR="001077C1" w:rsidRPr="001077C1">
        <w:t>La declaración de inexistencia de la información</w:t>
      </w:r>
      <w:r w:rsidRPr="001077C1">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510FC07C" w:rsidR="00DB5E40" w:rsidRDefault="00EE2C8C" w:rsidP="00AA207C">
      <w:pPr>
        <w:pStyle w:val="Citas"/>
        <w:rPr>
          <w:b/>
        </w:rPr>
      </w:pPr>
      <w:r w:rsidRPr="001077C1">
        <w:t>“</w:t>
      </w:r>
      <w:r w:rsidR="001077C1" w:rsidRPr="001077C1">
        <w:t>La Coordinación General de Protección Civil y Gestión Integral del Riesgo debe tener los documentos solicitados.</w:t>
      </w:r>
      <w:r w:rsidR="00AA207C" w:rsidRPr="001077C1">
        <w:t>”</w:t>
      </w:r>
      <w:r w:rsidR="00AA207C">
        <w:t xml:space="preserve"> </w:t>
      </w:r>
      <w:r w:rsidR="00AA207C">
        <w:rPr>
          <w:b/>
        </w:rPr>
        <w:t>[Sic]</w:t>
      </w:r>
    </w:p>
    <w:p w14:paraId="33458691" w14:textId="77777777" w:rsidR="00FA41C5" w:rsidRDefault="00FA41C5" w:rsidP="00844569">
      <w:pPr>
        <w:spacing w:before="240" w:line="360" w:lineRule="auto"/>
        <w:jc w:val="both"/>
        <w:rPr>
          <w:rFonts w:ascii="Palatino Linotype" w:hAnsi="Palatino Linotype" w:cs="Arial"/>
          <w:b/>
          <w:sz w:val="28"/>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395D99C2"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87D68">
        <w:rPr>
          <w:rFonts w:ascii="Palatino Linotype" w:hAnsi="Palatino Linotype" w:cs="Arial"/>
          <w:sz w:val="24"/>
          <w:szCs w:val="24"/>
        </w:rPr>
        <w:t xml:space="preserve">Presidente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1077C1">
        <w:rPr>
          <w:rFonts w:ascii="Palatino Linotype" w:hAnsi="Palatino Linotype" w:cs="Arial"/>
          <w:sz w:val="24"/>
          <w:szCs w:val="24"/>
        </w:rPr>
        <w:t xml:space="preserve">once de marzo de dos mil veintidós, </w:t>
      </w:r>
      <w:r w:rsidR="00510556">
        <w:rPr>
          <w:rFonts w:ascii="Palatino Linotype" w:hAnsi="Palatino Linotype" w:cs="Arial"/>
          <w:sz w:val="24"/>
          <w:szCs w:val="24"/>
        </w:rPr>
        <w:t>determinándose en él, un plazo de siete días para que las partes manifestaran lo que a su derecho corresponda en términos del numeral ya citado.</w:t>
      </w: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0B3BBE66" w14:textId="5F2552B3" w:rsidR="001077C1" w:rsidRPr="001077C1" w:rsidRDefault="00510556" w:rsidP="00510556">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rindió su informe justificado en fecha</w:t>
      </w:r>
      <w:r w:rsidR="001077C1">
        <w:rPr>
          <w:rFonts w:ascii="Palatino Linotype" w:hAnsi="Palatino Linotype" w:cs="Arial"/>
          <w:sz w:val="24"/>
          <w:szCs w:val="24"/>
        </w:rPr>
        <w:t xml:space="preserve">s </w:t>
      </w:r>
      <w:r w:rsidR="001077C1">
        <w:rPr>
          <w:rFonts w:ascii="Palatino Linotype" w:hAnsi="Palatino Linotype" w:cs="Arial"/>
          <w:b/>
          <w:bCs/>
          <w:sz w:val="24"/>
          <w:szCs w:val="24"/>
        </w:rPr>
        <w:t xml:space="preserve">veintidós y veintiocho de marzo, </w:t>
      </w:r>
      <w:r w:rsidR="001077C1">
        <w:rPr>
          <w:rFonts w:ascii="Palatino Linotype" w:hAnsi="Palatino Linotype" w:cs="Arial"/>
          <w:sz w:val="24"/>
          <w:szCs w:val="24"/>
        </w:rPr>
        <w:t xml:space="preserve">mismo que fue puesto a la vista el </w:t>
      </w:r>
      <w:r w:rsidR="001077C1">
        <w:rPr>
          <w:rFonts w:ascii="Palatino Linotype" w:hAnsi="Palatino Linotype" w:cs="Arial"/>
          <w:b/>
          <w:bCs/>
          <w:sz w:val="24"/>
          <w:szCs w:val="24"/>
        </w:rPr>
        <w:t xml:space="preserve">veintinueve de abril de dos mil veintidós. </w:t>
      </w:r>
    </w:p>
    <w:p w14:paraId="4A3574D6" w14:textId="77777777" w:rsidR="001077C1" w:rsidRDefault="001077C1" w:rsidP="00510556">
      <w:pPr>
        <w:spacing w:after="0" w:line="360" w:lineRule="auto"/>
        <w:jc w:val="both"/>
        <w:rPr>
          <w:rFonts w:ascii="Palatino Linotype" w:hAnsi="Palatino Linotype" w:cs="Arial"/>
          <w:sz w:val="24"/>
          <w:szCs w:val="24"/>
        </w:rPr>
      </w:pPr>
    </w:p>
    <w:p w14:paraId="6187EFF9" w14:textId="6A0B89EE" w:rsidR="00510556" w:rsidRDefault="00887D68" w:rsidP="003E4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sidR="001077C1">
        <w:rPr>
          <w:rFonts w:ascii="Palatino Linotype" w:hAnsi="Palatino Linotype" w:cs="Arial"/>
          <w:b/>
          <w:bCs/>
          <w:sz w:val="24"/>
          <w:szCs w:val="24"/>
        </w:rPr>
        <w:t>seis de mayo</w:t>
      </w:r>
      <w:r w:rsidR="00EA103B">
        <w:rPr>
          <w:rFonts w:ascii="Palatino Linotype" w:hAnsi="Palatino Linotype" w:cs="Arial"/>
          <w:b/>
          <w:bCs/>
          <w:sz w:val="24"/>
          <w:szCs w:val="24"/>
        </w:rPr>
        <w:t xml:space="preserve"> de dos mil veintidós, </w:t>
      </w:r>
      <w:r w:rsidR="0051055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694BB74" w14:textId="5D2205DF" w:rsidR="00887D68" w:rsidRDefault="00887D68" w:rsidP="00887D68">
      <w:pPr>
        <w:spacing w:before="240" w:line="360" w:lineRule="auto"/>
        <w:jc w:val="both"/>
        <w:rPr>
          <w:rFonts w:ascii="Palatino Linotype" w:hAnsi="Palatino Linotype" w:cs="Arial"/>
          <w:sz w:val="24"/>
          <w:szCs w:val="24"/>
        </w:rPr>
      </w:pPr>
      <w:r w:rsidRPr="0036654D">
        <w:rPr>
          <w:rFonts w:ascii="Palatino Linotype" w:hAnsi="Palatino Linotype" w:cs="Arial"/>
          <w:sz w:val="24"/>
          <w:szCs w:val="24"/>
        </w:rPr>
        <w:t>Así,  en fecha</w:t>
      </w:r>
      <w:r>
        <w:rPr>
          <w:rFonts w:ascii="Palatino Linotype" w:hAnsi="Palatino Linotype" w:cs="Arial"/>
          <w:sz w:val="24"/>
          <w:szCs w:val="24"/>
        </w:rPr>
        <w:t xml:space="preserve"> </w:t>
      </w:r>
      <w:r w:rsidR="001077C1">
        <w:rPr>
          <w:rFonts w:ascii="Palatino Linotype" w:hAnsi="Palatino Linotype" w:cs="Arial"/>
          <w:b/>
          <w:sz w:val="24"/>
          <w:szCs w:val="24"/>
        </w:rPr>
        <w:t>seis de mayo</w:t>
      </w:r>
      <w:r>
        <w:rPr>
          <w:rFonts w:ascii="Palatino Linotype" w:hAnsi="Palatino Linotype" w:cs="Arial"/>
          <w:b/>
          <w:sz w:val="24"/>
          <w:szCs w:val="24"/>
        </w:rPr>
        <w:t xml:space="preserve"> de dos mil veintidós,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457959FC" w14:textId="77777777" w:rsidR="00887D68" w:rsidRDefault="00887D68" w:rsidP="003E444C">
      <w:pPr>
        <w:spacing w:after="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D4828E1" w:rsidR="008C6105" w:rsidRDefault="008C6105" w:rsidP="008C6105">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 xml:space="preserve">Constitución </w:t>
      </w:r>
      <w:r>
        <w:rPr>
          <w:rFonts w:ascii="Palatino Linotype" w:eastAsia="Calibri" w:hAnsi="Palatino Linotype"/>
          <w:b/>
          <w:color w:val="000000" w:themeColor="text1"/>
          <w:sz w:val="24"/>
          <w:szCs w:val="24"/>
        </w:rPr>
        <w:lastRenderedPageBreak/>
        <w:t>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54553D04" w14:textId="77777777" w:rsidR="001077C1" w:rsidRDefault="001077C1" w:rsidP="008C6105">
      <w:pPr>
        <w:spacing w:before="240" w:line="360" w:lineRule="auto"/>
        <w:jc w:val="both"/>
        <w:rPr>
          <w:rFonts w:ascii="Palatino Linotype" w:eastAsia="Calibri" w:hAnsi="Palatino Linotype"/>
          <w:b/>
          <w:color w:val="000000" w:themeColor="text1"/>
          <w:sz w:val="24"/>
          <w:szCs w:val="24"/>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4310E34" w14:textId="77777777" w:rsidR="00DC5169" w:rsidRPr="00161CEB" w:rsidRDefault="00DC5169" w:rsidP="00DC5169">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t>TERCERO. Cuestiones de previo y especial pronunciamiento</w:t>
      </w:r>
      <w:r w:rsidRPr="00161CEB">
        <w:rPr>
          <w:rFonts w:ascii="Palatino Linotype" w:hAnsi="Palatino Linotype" w:cs="Arial"/>
          <w:b/>
        </w:rPr>
        <w:t>.</w:t>
      </w:r>
    </w:p>
    <w:p w14:paraId="18FAC3B9" w14:textId="2B54AC5A" w:rsidR="00DC5169" w:rsidRDefault="00DC5169" w:rsidP="00DC5169">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Pr>
          <w:rFonts w:ascii="Palatino Linotype" w:hAnsi="Palatino Linotype" w:cs="Arial"/>
          <w:b/>
          <w:sz w:val="24"/>
          <w:szCs w:val="24"/>
        </w:rPr>
        <w:t>Jardani Wick</w:t>
      </w:r>
      <w:r>
        <w:rPr>
          <w:rFonts w:ascii="Palatino Linotype" w:hAnsi="Palatino Linotype" w:cs="Arial"/>
          <w:sz w:val="24"/>
        </w:rPr>
        <w:t>, del cual no se colige que corresponda al nombre de una persona.</w:t>
      </w:r>
    </w:p>
    <w:p w14:paraId="67335A29" w14:textId="77777777" w:rsidR="00DC5169" w:rsidRDefault="00DC5169" w:rsidP="00DC516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14:paraId="3816BB73" w14:textId="77777777" w:rsidR="00DC5169" w:rsidRDefault="00DC5169" w:rsidP="00DC5169">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5B21FB79" w14:textId="77777777" w:rsidR="00DC5169" w:rsidRDefault="00DC5169" w:rsidP="00DC5169">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41B942D9" w14:textId="77777777" w:rsidR="00DC5169" w:rsidRDefault="00DC5169" w:rsidP="00DC5169">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B465C44" w14:textId="77777777" w:rsidR="00DC5169" w:rsidRDefault="00DC5169" w:rsidP="00DC5169">
      <w:pPr>
        <w:spacing w:before="240" w:line="360" w:lineRule="auto"/>
        <w:ind w:left="851" w:right="851"/>
        <w:rPr>
          <w:rFonts w:ascii="Palatino Linotype" w:hAnsi="Palatino Linotype"/>
          <w:i/>
        </w:rPr>
      </w:pPr>
      <w:r>
        <w:rPr>
          <w:rFonts w:ascii="Palatino Linotype" w:hAnsi="Palatino Linotype"/>
          <w:b/>
          <w:i/>
        </w:rPr>
        <w:t>(…)” [Sic]</w:t>
      </w:r>
    </w:p>
    <w:p w14:paraId="554E89F3" w14:textId="77777777" w:rsidR="00DC5169" w:rsidRDefault="00DC5169" w:rsidP="00DC5169">
      <w:pPr>
        <w:pStyle w:val="Prrafodelista"/>
        <w:widowControl w:val="0"/>
        <w:autoSpaceDE w:val="0"/>
        <w:autoSpaceDN w:val="0"/>
        <w:adjustRightInd w:val="0"/>
        <w:ind w:left="0"/>
        <w:jc w:val="both"/>
        <w:rPr>
          <w:rFonts w:ascii="Palatino Linotype" w:hAnsi="Palatino Linotype"/>
          <w:highlight w:val="yellow"/>
        </w:rPr>
      </w:pPr>
    </w:p>
    <w:p w14:paraId="410F02D3" w14:textId="423ABD3A" w:rsidR="00DC5169" w:rsidRDefault="00DC5169" w:rsidP="00DC516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w:t>
      </w:r>
      <w:r>
        <w:rPr>
          <w:rFonts w:ascii="Palatino Linotype" w:hAnsi="Palatino Linotype"/>
        </w:rPr>
        <w:lastRenderedPageBreak/>
        <w:t xml:space="preserve">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983463">
        <w:rPr>
          <w:rFonts w:ascii="Palatino Linotype" w:hAnsi="Palatino Linotype" w:cs="Arial"/>
          <w:b/>
        </w:rPr>
        <w:t>xxxx xxxxxxxx</w:t>
      </w:r>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14:paraId="77EC206E" w14:textId="77777777" w:rsidR="00DC5169" w:rsidRDefault="00DC5169" w:rsidP="00DC5169">
      <w:pPr>
        <w:pStyle w:val="Prrafodelista"/>
        <w:widowControl w:val="0"/>
        <w:autoSpaceDE w:val="0"/>
        <w:autoSpaceDN w:val="0"/>
        <w:adjustRightInd w:val="0"/>
        <w:spacing w:line="360" w:lineRule="auto"/>
        <w:ind w:left="0"/>
        <w:jc w:val="both"/>
        <w:rPr>
          <w:rFonts w:ascii="Palatino Linotype" w:hAnsi="Palatino Linotype"/>
        </w:rPr>
      </w:pPr>
    </w:p>
    <w:p w14:paraId="38A51C9D" w14:textId="77777777" w:rsidR="00DC5169" w:rsidRDefault="00DC5169" w:rsidP="00DC5169">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3147883B" w14:textId="77777777" w:rsidR="00DC5169" w:rsidRDefault="00DC5169" w:rsidP="00DC5169">
      <w:pPr>
        <w:pStyle w:val="Prrafodelista"/>
        <w:widowControl w:val="0"/>
        <w:autoSpaceDE w:val="0"/>
        <w:autoSpaceDN w:val="0"/>
        <w:adjustRightInd w:val="0"/>
        <w:ind w:left="0"/>
        <w:jc w:val="both"/>
        <w:rPr>
          <w:rFonts w:ascii="Palatino Linotype" w:hAnsi="Palatino Linotype"/>
          <w:highlight w:val="yellow"/>
        </w:rPr>
      </w:pPr>
    </w:p>
    <w:p w14:paraId="20420711" w14:textId="77777777" w:rsidR="00DC5169" w:rsidRDefault="00DC5169" w:rsidP="00DC5169">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9063A3" w14:textId="77777777" w:rsidR="008F4D72" w:rsidRDefault="008F4D7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E4B3297" w14:textId="77777777" w:rsidR="008F4D72" w:rsidRDefault="008F4D72"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03F7014A" w:rsidR="00E743B7" w:rsidRDefault="00DC5169"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lastRenderedPageBreak/>
        <w:t>CUARTO</w:t>
      </w:r>
      <w:r w:rsidR="00E743B7" w:rsidRPr="009510B5">
        <w:rPr>
          <w:rFonts w:ascii="Palatino Linotype" w:hAnsi="Palatino Linotype" w:cs="Arial"/>
          <w:b/>
        </w:rPr>
        <w:t xml:space="preserve">. </w:t>
      </w:r>
      <w:r w:rsidR="00E743B7" w:rsidRPr="009510B5">
        <w:rPr>
          <w:rFonts w:ascii="Palatino Linotype" w:hAnsi="Palatino Linotype" w:cs="Arial"/>
          <w:b/>
          <w:sz w:val="28"/>
          <w:szCs w:val="28"/>
        </w:rPr>
        <w:t>Del estudio de las causas de improcedencia y sobreseimiento</w:t>
      </w:r>
    </w:p>
    <w:p w14:paraId="76869DD9" w14:textId="7171A39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2F9DD609" w14:textId="77777777" w:rsidR="00BC3CE6" w:rsidRDefault="00BC3CE6" w:rsidP="00E743B7">
      <w:pPr>
        <w:pStyle w:val="Prrafodelista"/>
        <w:autoSpaceDE w:val="0"/>
        <w:autoSpaceDN w:val="0"/>
        <w:adjustRightInd w:val="0"/>
        <w:spacing w:line="360" w:lineRule="auto"/>
        <w:ind w:left="0"/>
        <w:jc w:val="both"/>
        <w:rPr>
          <w:rFonts w:ascii="Palatino Linotype" w:hAnsi="Palatino Linotype" w:cs="Arial"/>
        </w:rPr>
      </w:pP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lastRenderedPageBreak/>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53CE0689" w14:textId="78230FF8" w:rsidR="00844C14" w:rsidRPr="00844C14"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7D6045">
        <w:rPr>
          <w:rFonts w:ascii="Palatino Linotype" w:hAnsi="Palatino Linotype"/>
          <w:b/>
          <w:color w:val="000000"/>
          <w:sz w:val="24"/>
          <w:szCs w:val="24"/>
        </w:rPr>
        <w:t>000</w:t>
      </w:r>
      <w:r w:rsidR="00844C14">
        <w:rPr>
          <w:rFonts w:ascii="Palatino Linotype" w:hAnsi="Palatino Linotype"/>
          <w:b/>
          <w:color w:val="000000"/>
          <w:sz w:val="24"/>
          <w:szCs w:val="24"/>
        </w:rPr>
        <w:t>39</w:t>
      </w:r>
      <w:r w:rsidR="007D6045">
        <w:rPr>
          <w:rFonts w:ascii="Palatino Linotype" w:hAnsi="Palatino Linotype"/>
          <w:b/>
          <w:color w:val="000000"/>
          <w:sz w:val="24"/>
          <w:szCs w:val="24"/>
        </w:rPr>
        <w:t>/SEGEGOB/IP/2022</w:t>
      </w:r>
      <w:r w:rsidR="003E444C">
        <w:rPr>
          <w:rFonts w:ascii="Palatino Linotype" w:hAnsi="Palatino Linotype"/>
          <w:b/>
          <w:color w:val="000000"/>
          <w:sz w:val="24"/>
          <w:szCs w:val="24"/>
        </w:rPr>
        <w:t xml:space="preserve"> </w:t>
      </w:r>
      <w:r w:rsidR="007D6045">
        <w:rPr>
          <w:rFonts w:ascii="Palatino Linotype" w:hAnsi="Palatino Linotype"/>
          <w:color w:val="000000"/>
          <w:sz w:val="24"/>
          <w:szCs w:val="24"/>
        </w:rPr>
        <w:t xml:space="preserve">fueron formulados </w:t>
      </w:r>
      <w:r w:rsidR="00844C14">
        <w:rPr>
          <w:rFonts w:ascii="Palatino Linotype" w:hAnsi="Palatino Linotype"/>
          <w:b/>
          <w:bCs/>
          <w:color w:val="000000"/>
          <w:sz w:val="24"/>
          <w:szCs w:val="24"/>
        </w:rPr>
        <w:t xml:space="preserve">4 -cuatro- </w:t>
      </w:r>
      <w:r w:rsidR="00844C14">
        <w:rPr>
          <w:rFonts w:ascii="Palatino Linotype" w:hAnsi="Palatino Linotype"/>
          <w:color w:val="000000"/>
          <w:sz w:val="24"/>
          <w:szCs w:val="24"/>
        </w:rPr>
        <w:t xml:space="preserve">requerimientos, </w:t>
      </w:r>
      <w:r w:rsidR="004F43E5">
        <w:rPr>
          <w:rFonts w:ascii="Palatino Linotype" w:hAnsi="Palatino Linotype"/>
          <w:color w:val="000000"/>
          <w:sz w:val="24"/>
          <w:szCs w:val="24"/>
        </w:rPr>
        <w:lastRenderedPageBreak/>
        <w:t>respecto de los cuales de manera objetiva se precisa que versan en conocer la siguiente información:</w:t>
      </w:r>
    </w:p>
    <w:p w14:paraId="4AF52FB0" w14:textId="3BD82F0C" w:rsidR="00844C14" w:rsidRDefault="004F43E5" w:rsidP="00E743B7">
      <w:pPr>
        <w:spacing w:after="0" w:line="360" w:lineRule="auto"/>
        <w:jc w:val="both"/>
        <w:rPr>
          <w:rFonts w:ascii="Palatino Linotype" w:hAnsi="Palatino Linotype"/>
          <w:b/>
          <w:color w:val="000000"/>
          <w:sz w:val="24"/>
          <w:szCs w:val="24"/>
        </w:rPr>
      </w:pPr>
      <w:r>
        <w:rPr>
          <w:rFonts w:ascii="Palatino Linotype" w:hAnsi="Palatino Linotype"/>
          <w:b/>
          <w:bCs/>
          <w:color w:val="000000"/>
          <w:sz w:val="24"/>
          <w:szCs w:val="24"/>
        </w:rPr>
        <w:t xml:space="preserve">Con relación a la obra referida en la solicitud de información </w:t>
      </w:r>
      <w:r>
        <w:rPr>
          <w:rFonts w:ascii="Palatino Linotype" w:hAnsi="Palatino Linotype"/>
          <w:b/>
          <w:color w:val="000000"/>
          <w:sz w:val="24"/>
          <w:szCs w:val="24"/>
        </w:rPr>
        <w:t>00039/SEGEGOB/IP/2022</w:t>
      </w:r>
    </w:p>
    <w:p w14:paraId="6F91A09F" w14:textId="6510DE2B" w:rsidR="004F43E5" w:rsidRPr="004F43E5" w:rsidRDefault="004F43E5" w:rsidP="004F43E5">
      <w:pPr>
        <w:pStyle w:val="Prrafodelista"/>
        <w:numPr>
          <w:ilvl w:val="0"/>
          <w:numId w:val="22"/>
        </w:numPr>
        <w:spacing w:line="360" w:lineRule="auto"/>
        <w:jc w:val="both"/>
        <w:rPr>
          <w:rFonts w:ascii="Palatino Linotype" w:hAnsi="Palatino Linotype"/>
          <w:color w:val="000000"/>
        </w:rPr>
      </w:pPr>
      <w:r w:rsidRPr="004F43E5">
        <w:rPr>
          <w:rFonts w:ascii="Palatino Linotype" w:hAnsi="Palatino Linotype"/>
        </w:rPr>
        <w:t xml:space="preserve">Dictamen de viabilidad número </w:t>
      </w:r>
      <w:r w:rsidRPr="004F43E5">
        <w:rPr>
          <w:rFonts w:ascii="Palatino Linotype" w:hAnsi="Palatino Linotype"/>
          <w:b/>
          <w:bCs/>
          <w:color w:val="000000"/>
        </w:rPr>
        <w:t>SGG/SSGG/SSSP/DGPC/O-1512/2003</w:t>
      </w:r>
    </w:p>
    <w:p w14:paraId="5328046B" w14:textId="1EC33E4B" w:rsidR="004F43E5" w:rsidRPr="004F43E5" w:rsidRDefault="004F43E5" w:rsidP="004F43E5">
      <w:pPr>
        <w:pStyle w:val="Prrafodelista"/>
        <w:numPr>
          <w:ilvl w:val="0"/>
          <w:numId w:val="22"/>
        </w:numPr>
        <w:spacing w:line="360" w:lineRule="auto"/>
        <w:jc w:val="both"/>
        <w:rPr>
          <w:rFonts w:ascii="Palatino Linotype" w:hAnsi="Palatino Linotype"/>
          <w:b/>
          <w:bCs/>
          <w:color w:val="000000"/>
        </w:rPr>
      </w:pPr>
      <w:r w:rsidRPr="004F43E5">
        <w:rPr>
          <w:rFonts w:ascii="Palatino Linotype" w:hAnsi="Palatino Linotype"/>
          <w:color w:val="000000"/>
        </w:rPr>
        <w:t xml:space="preserve">El o los documentos donde conste la liberación de </w:t>
      </w:r>
      <w:r w:rsidRPr="004F43E5">
        <w:rPr>
          <w:rFonts w:ascii="Palatino Linotype" w:hAnsi="Palatino Linotype"/>
        </w:rPr>
        <w:t xml:space="preserve">condicionantes marcadas en la resolución </w:t>
      </w:r>
      <w:r w:rsidRPr="004F43E5">
        <w:rPr>
          <w:rFonts w:ascii="Palatino Linotype" w:hAnsi="Palatino Linotype"/>
          <w:b/>
          <w:bCs/>
          <w:color w:val="000000"/>
        </w:rPr>
        <w:t>SGG/SSGG/SSSP/DGPC/O-1512/2003</w:t>
      </w:r>
    </w:p>
    <w:p w14:paraId="433985DC" w14:textId="428CFDC2" w:rsidR="004F43E5" w:rsidRPr="004F43E5" w:rsidRDefault="004F43E5" w:rsidP="004F43E5">
      <w:pPr>
        <w:pStyle w:val="Prrafodelista"/>
        <w:numPr>
          <w:ilvl w:val="0"/>
          <w:numId w:val="22"/>
        </w:numPr>
        <w:spacing w:line="360" w:lineRule="auto"/>
        <w:jc w:val="both"/>
        <w:rPr>
          <w:rFonts w:ascii="Palatino Linotype" w:hAnsi="Palatino Linotype"/>
          <w:color w:val="000000"/>
        </w:rPr>
      </w:pPr>
      <w:r w:rsidRPr="004F43E5">
        <w:rPr>
          <w:rFonts w:ascii="Palatino Linotype" w:hAnsi="Palatino Linotype"/>
          <w:color w:val="000000"/>
        </w:rPr>
        <w:t>El o los documentos donde conste el inicio de operaciones.</w:t>
      </w:r>
    </w:p>
    <w:p w14:paraId="35EFD58B" w14:textId="387581B0" w:rsidR="004F43E5" w:rsidRPr="004F43E5" w:rsidRDefault="004F43E5" w:rsidP="004F43E5">
      <w:pPr>
        <w:pStyle w:val="Prrafodelista"/>
        <w:numPr>
          <w:ilvl w:val="0"/>
          <w:numId w:val="22"/>
        </w:numPr>
        <w:spacing w:line="360" w:lineRule="auto"/>
        <w:jc w:val="both"/>
        <w:rPr>
          <w:rFonts w:ascii="Palatino Linotype" w:hAnsi="Palatino Linotype"/>
          <w:color w:val="000000"/>
        </w:rPr>
      </w:pPr>
      <w:r w:rsidRPr="004F43E5">
        <w:rPr>
          <w:rFonts w:ascii="Palatino Linotype" w:hAnsi="Palatino Linotype"/>
          <w:color w:val="000000"/>
        </w:rPr>
        <w:t xml:space="preserve">El o los documentos donde consten las condicionantes que no se han cumplido o faltan por ser liberadas. </w:t>
      </w:r>
    </w:p>
    <w:p w14:paraId="6EEDF34B" w14:textId="77777777" w:rsidR="00AC5581" w:rsidRDefault="00AC5581" w:rsidP="00EA103B">
      <w:pPr>
        <w:tabs>
          <w:tab w:val="left" w:pos="709"/>
        </w:tabs>
        <w:spacing w:before="240" w:line="360" w:lineRule="auto"/>
        <w:ind w:right="51"/>
        <w:jc w:val="both"/>
        <w:rPr>
          <w:rFonts w:ascii="Palatino Linotype" w:hAnsi="Palatino Linotype"/>
          <w:sz w:val="24"/>
          <w:szCs w:val="24"/>
        </w:rPr>
      </w:pPr>
    </w:p>
    <w:p w14:paraId="555D3B9D" w14:textId="703AE4CB" w:rsidR="007B74F3" w:rsidRPr="003D5267" w:rsidRDefault="007B74F3" w:rsidP="007B74F3">
      <w:pPr>
        <w:spacing w:after="0" w:line="360" w:lineRule="auto"/>
        <w:jc w:val="both"/>
        <w:rPr>
          <w:rFonts w:ascii="Palatino Linotype" w:hAnsi="Palatino Linotype" w:cs="Arial"/>
          <w:noProof/>
          <w:color w:val="000000"/>
          <w:sz w:val="24"/>
          <w:lang w:eastAsia="es-MX"/>
        </w:rPr>
      </w:pPr>
      <w:r>
        <w:rPr>
          <w:rFonts w:ascii="Palatino Linotype" w:hAnsi="Palatino Linotype"/>
          <w:sz w:val="24"/>
          <w:szCs w:val="24"/>
        </w:rPr>
        <w:t>Bajo este contexto</w:t>
      </w:r>
      <w:r w:rsidRPr="003D5267">
        <w:rPr>
          <w:rFonts w:ascii="Palatino Linotype" w:hAnsi="Palatino Linotype"/>
          <w:sz w:val="24"/>
          <w:szCs w:val="24"/>
        </w:rPr>
        <w:t xml:space="preserve">, </w:t>
      </w:r>
      <w:r w:rsidRPr="003D5267">
        <w:rPr>
          <w:rFonts w:ascii="Palatino Linotype" w:hAnsi="Palatino Linotype"/>
          <w:bCs/>
          <w:sz w:val="24"/>
          <w:szCs w:val="24"/>
        </w:rPr>
        <w:t xml:space="preserve">resulta oportuno traer a colación los </w:t>
      </w:r>
      <w:r w:rsidRPr="003D5267">
        <w:rPr>
          <w:rFonts w:ascii="Palatino Linotype" w:hAnsi="Palatino Linotype" w:cs="Arial"/>
          <w:noProof/>
          <w:color w:val="000000"/>
          <w:sz w:val="24"/>
          <w:lang w:eastAsia="es-MX"/>
        </w:rPr>
        <w:t>artículos 24, fracción XII, y 92, fracción II de la Ley de Transparencia local, porciones normativas cuyo contenido literal es el siguiente:</w:t>
      </w:r>
    </w:p>
    <w:p w14:paraId="74C4D6D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Pr>
          <w:rFonts w:ascii="Palatino Linotype" w:hAnsi="Palatino Linotype"/>
          <w:i/>
        </w:rPr>
        <w:t>“</w:t>
      </w:r>
      <w:r w:rsidRPr="009535E0">
        <w:rPr>
          <w:rFonts w:ascii="Palatino Linotype" w:hAnsi="Palatino Linotype"/>
          <w:i/>
        </w:rPr>
        <w:t>Artículo 24. Para el cumplimiento de los objetivos de esta Ley, los sujetos obligados deberán cumplir con las siguientes obligaciones, según corresponda, de acuerdo a su naturaleza:</w:t>
      </w:r>
    </w:p>
    <w:p w14:paraId="59889BA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68C84DB3" w14:textId="77777777" w:rsidR="007B74F3" w:rsidRPr="00C231A5" w:rsidRDefault="007B74F3" w:rsidP="007B74F3">
      <w:pPr>
        <w:tabs>
          <w:tab w:val="left" w:pos="709"/>
        </w:tabs>
        <w:spacing w:before="240" w:line="360" w:lineRule="auto"/>
        <w:ind w:left="851" w:right="851"/>
        <w:jc w:val="both"/>
        <w:rPr>
          <w:rFonts w:ascii="Palatino Linotype" w:hAnsi="Palatino Linotype"/>
          <w:b/>
          <w:i/>
        </w:rPr>
      </w:pPr>
      <w:r w:rsidRPr="00C231A5">
        <w:rPr>
          <w:rFonts w:ascii="Palatino Linotype" w:hAnsi="Palatino Linotype"/>
          <w:b/>
          <w:i/>
        </w:rPr>
        <w:t>(…)</w:t>
      </w:r>
    </w:p>
    <w:p w14:paraId="6759CBC7" w14:textId="77777777" w:rsidR="007B74F3" w:rsidRPr="009535E0" w:rsidRDefault="007B74F3" w:rsidP="007B74F3">
      <w:pPr>
        <w:tabs>
          <w:tab w:val="left" w:pos="709"/>
        </w:tabs>
        <w:spacing w:before="240" w:line="360" w:lineRule="auto"/>
        <w:ind w:left="851" w:right="851"/>
        <w:jc w:val="both"/>
        <w:rPr>
          <w:rFonts w:ascii="Palatino Linotype" w:hAnsi="Palatino Linotype"/>
          <w:i/>
        </w:rPr>
      </w:pPr>
      <w:r w:rsidRPr="009535E0">
        <w:rPr>
          <w:rFonts w:ascii="Palatino Linotype" w:hAnsi="Palatino Linotype"/>
          <w:i/>
        </w:rPr>
        <w:lastRenderedPageBreak/>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AEB85E1" w14:textId="77777777" w:rsidR="007B74F3" w:rsidRDefault="007B74F3" w:rsidP="007B74F3">
      <w:pPr>
        <w:tabs>
          <w:tab w:val="left" w:pos="709"/>
        </w:tabs>
        <w:spacing w:before="240" w:line="360" w:lineRule="auto"/>
        <w:ind w:left="851" w:right="851"/>
        <w:jc w:val="both"/>
        <w:rPr>
          <w:rFonts w:ascii="Palatino Linotype" w:hAnsi="Palatino Linotype" w:cs="Arial"/>
          <w:noProof/>
          <w:color w:val="000000"/>
          <w:sz w:val="24"/>
          <w:lang w:eastAsia="es-MX"/>
        </w:rPr>
      </w:pPr>
      <w:r w:rsidRPr="00C231A5">
        <w:rPr>
          <w:rFonts w:ascii="Palatino Linotype" w:hAnsi="Palatino Linotype"/>
          <w:b/>
          <w:i/>
        </w:rPr>
        <w:t>(…)</w:t>
      </w:r>
    </w:p>
    <w:p w14:paraId="387BFADB" w14:textId="77777777" w:rsidR="007B74F3" w:rsidRDefault="007B74F3" w:rsidP="007B74F3">
      <w:pPr>
        <w:pStyle w:val="INFOEM"/>
      </w:pPr>
      <w: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07536F9D" w14:textId="77777777" w:rsidR="007B74F3" w:rsidRPr="00A94BBE" w:rsidRDefault="007B74F3" w:rsidP="007B74F3">
      <w:pPr>
        <w:pStyle w:val="INFOEM"/>
        <w:rPr>
          <w:b/>
        </w:rPr>
      </w:pPr>
      <w:r>
        <w:t xml:space="preserve"> (…)” </w:t>
      </w:r>
      <w:r>
        <w:rPr>
          <w:b/>
        </w:rPr>
        <w:t xml:space="preserve">[Sic] </w:t>
      </w:r>
    </w:p>
    <w:p w14:paraId="7F996872" w14:textId="77777777" w:rsidR="00132C72" w:rsidRDefault="00132C72" w:rsidP="007B74F3">
      <w:pPr>
        <w:spacing w:before="240" w:line="360" w:lineRule="auto"/>
        <w:jc w:val="both"/>
        <w:rPr>
          <w:rFonts w:ascii="Palatino Linotype" w:hAnsi="Palatino Linotype"/>
          <w:bCs/>
          <w:sz w:val="24"/>
          <w:szCs w:val="24"/>
        </w:rPr>
      </w:pPr>
    </w:p>
    <w:p w14:paraId="04743415" w14:textId="5F2DEAE6" w:rsidR="007B74F3" w:rsidRDefault="007B74F3" w:rsidP="007B74F3">
      <w:pPr>
        <w:spacing w:before="240" w:line="360" w:lineRule="auto"/>
        <w:jc w:val="both"/>
        <w:rPr>
          <w:rFonts w:ascii="Palatino Linotype" w:hAnsi="Palatino Linotype"/>
          <w:bCs/>
          <w:sz w:val="24"/>
          <w:szCs w:val="24"/>
        </w:rPr>
      </w:pPr>
      <w:r>
        <w:rPr>
          <w:rFonts w:ascii="Palatino Linotype" w:hAnsi="Palatino Linotype"/>
          <w:bCs/>
          <w:sz w:val="24"/>
          <w:szCs w:val="24"/>
        </w:rPr>
        <w:t xml:space="preserve">Robustece lo anterior, las siguientes imágenes ilustrativas, correspondientes al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1A8B8FF8" w14:textId="40ABA39C" w:rsidR="004F47B9" w:rsidRDefault="00E034C9" w:rsidP="00E743B7">
      <w:pPr>
        <w:spacing w:after="0" w:line="360" w:lineRule="auto"/>
        <w:jc w:val="both"/>
        <w:rPr>
          <w:rFonts w:ascii="Palatino Linotype" w:hAnsi="Palatino Linotype"/>
          <w:color w:val="000000"/>
          <w:sz w:val="24"/>
          <w:szCs w:val="24"/>
        </w:rPr>
      </w:pPr>
      <w:hyperlink r:id="rId8" w:history="1">
        <w:r w:rsidR="007B74F3" w:rsidRPr="00B67EE4">
          <w:rPr>
            <w:rStyle w:val="Hipervnculo"/>
            <w:rFonts w:ascii="Palatino Linotype" w:hAnsi="Palatino Linotype"/>
            <w:sz w:val="24"/>
            <w:szCs w:val="24"/>
          </w:rPr>
          <w:t>https://www.ipomex.org.mx/ipo3/lgt/indice/SGG/organigramas.web</w:t>
        </w:r>
      </w:hyperlink>
      <w:r w:rsidR="007B74F3">
        <w:rPr>
          <w:rFonts w:ascii="Palatino Linotype" w:hAnsi="Palatino Linotype"/>
          <w:color w:val="000000"/>
          <w:sz w:val="24"/>
          <w:szCs w:val="24"/>
        </w:rPr>
        <w:t xml:space="preserve"> </w:t>
      </w:r>
    </w:p>
    <w:p w14:paraId="01FBD3AA" w14:textId="3319FE14" w:rsidR="00132C72" w:rsidRDefault="00DC5169" w:rsidP="009863DD">
      <w:pPr>
        <w:spacing w:after="0" w:line="360" w:lineRule="auto"/>
        <w:jc w:val="both"/>
        <w:rPr>
          <w:rFonts w:ascii="Palatino Linotype" w:hAnsi="Palatino Linotype"/>
          <w:noProof/>
        </w:rPr>
      </w:pPr>
      <w:r>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7350555" wp14:editId="72F529CE">
                <wp:simplePos x="0" y="0"/>
                <wp:positionH relativeFrom="column">
                  <wp:posOffset>-180366</wp:posOffset>
                </wp:positionH>
                <wp:positionV relativeFrom="paragraph">
                  <wp:posOffset>363931</wp:posOffset>
                </wp:positionV>
                <wp:extent cx="5874105" cy="1755648"/>
                <wp:effectExtent l="0" t="0" r="31750" b="35560"/>
                <wp:wrapNone/>
                <wp:docPr id="3" name="Conector recto 3"/>
                <wp:cNvGraphicFramePr/>
                <a:graphic xmlns:a="http://schemas.openxmlformats.org/drawingml/2006/main">
                  <a:graphicData uri="http://schemas.microsoft.com/office/word/2010/wordprocessingShape">
                    <wps:wsp>
                      <wps:cNvCnPr/>
                      <wps:spPr>
                        <a:xfrm>
                          <a:off x="0" y="0"/>
                          <a:ext cx="5874105" cy="175564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F77DB5"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4.2pt,28.65pt" to="448.35pt,1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" strokecolor="#5b9bd5 [3204]" strokeweight=".5pt">
                <v:stroke joinstyle="miter"/>
              </v:line>
            </w:pict>
          </mc:Fallback>
        </mc:AlternateContent>
      </w:r>
    </w:p>
    <w:p w14:paraId="773275F3" w14:textId="037F8237" w:rsidR="009C5328" w:rsidRDefault="008E7F3C" w:rsidP="009863DD">
      <w:pPr>
        <w:spacing w:after="0" w:line="360" w:lineRule="auto"/>
        <w:jc w:val="both"/>
        <w:rPr>
          <w:rFonts w:ascii="Palatino Linotype" w:hAnsi="Palatino Linotype"/>
        </w:rPr>
      </w:pPr>
      <w:r>
        <w:rPr>
          <w:rFonts w:ascii="Palatino Linotype" w:hAnsi="Palatino Linotype" w:cs="Arial"/>
          <w:noProof/>
          <w:lang w:eastAsia="es-MX"/>
        </w:rPr>
        <w:lastRenderedPageBreak/>
        <w:drawing>
          <wp:anchor distT="0" distB="0" distL="114300" distR="114300" simplePos="0" relativeHeight="251657213" behindDoc="0" locked="0" layoutInCell="1" allowOverlap="1" wp14:anchorId="4A6AF2C3" wp14:editId="2BF864F0">
            <wp:simplePos x="0" y="0"/>
            <wp:positionH relativeFrom="column">
              <wp:posOffset>22225</wp:posOffset>
            </wp:positionH>
            <wp:positionV relativeFrom="paragraph">
              <wp:posOffset>3842385</wp:posOffset>
            </wp:positionV>
            <wp:extent cx="5748655" cy="3521075"/>
            <wp:effectExtent l="19050" t="19050" r="23495" b="22225"/>
            <wp:wrapThrough wrapText="bothSides">
              <wp:wrapPolygon edited="0">
                <wp:start x="-72" y="-117"/>
                <wp:lineTo x="-72" y="21619"/>
                <wp:lineTo x="21617" y="21619"/>
                <wp:lineTo x="21617" y="-117"/>
                <wp:lineTo x="-72" y="-11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8655"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32C72">
        <w:rPr>
          <w:rFonts w:ascii="Palatino Linotype" w:hAnsi="Palatino Linotype" w:cs="Arial"/>
          <w:noProof/>
          <w:lang w:eastAsia="es-MX"/>
        </w:rPr>
        <w:drawing>
          <wp:anchor distT="0" distB="0" distL="114300" distR="114300" simplePos="0" relativeHeight="251659263" behindDoc="0" locked="0" layoutInCell="1" allowOverlap="1" wp14:anchorId="038756CF" wp14:editId="4DB33053">
            <wp:simplePos x="0" y="0"/>
            <wp:positionH relativeFrom="column">
              <wp:posOffset>-17780</wp:posOffset>
            </wp:positionH>
            <wp:positionV relativeFrom="paragraph">
              <wp:posOffset>20320</wp:posOffset>
            </wp:positionV>
            <wp:extent cx="5749925" cy="3523615"/>
            <wp:effectExtent l="19050" t="19050" r="22225" b="19685"/>
            <wp:wrapThrough wrapText="bothSides">
              <wp:wrapPolygon edited="0">
                <wp:start x="-72" y="-117"/>
                <wp:lineTo x="-72" y="21604"/>
                <wp:lineTo x="21612" y="21604"/>
                <wp:lineTo x="21612" y="-117"/>
                <wp:lineTo x="-72" y="-117"/>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9925" cy="35236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6A09CD9" w14:textId="049941ED" w:rsidR="00BE5AFF" w:rsidRPr="004A51D8" w:rsidRDefault="007D3776" w:rsidP="007D3776">
      <w:pPr>
        <w:pStyle w:val="Sinespaciado"/>
        <w:spacing w:line="360" w:lineRule="auto"/>
        <w:jc w:val="both"/>
        <w:rPr>
          <w:rFonts w:ascii="Palatino Linotype" w:hAnsi="Palatino Linotype" w:cs="Arial"/>
        </w:rPr>
      </w:pPr>
      <w:r>
        <w:rPr>
          <w:rFonts w:ascii="Palatino Linotype" w:hAnsi="Palatino Linotype" w:cs="Arial"/>
        </w:rPr>
        <w:lastRenderedPageBreak/>
        <w:t xml:space="preserve">De lo expuesto con anterioridad, se desprende que </w:t>
      </w:r>
      <w:r>
        <w:rPr>
          <w:rFonts w:ascii="Palatino Linotype" w:hAnsi="Palatino Linotype" w:cs="Arial"/>
          <w:b/>
        </w:rPr>
        <w:t xml:space="preserve">El Sujeto Obligado </w:t>
      </w:r>
      <w:r>
        <w:rPr>
          <w:rFonts w:ascii="Palatino Linotype" w:hAnsi="Palatino Linotype" w:cs="Arial"/>
        </w:rPr>
        <w:t>se auxilia de diversas Direcciones, Subdirecciones, Departamentos y Unidades Administrativas para cumplir con sus fines y objetivos, resultando de nuestro más amplio interés la</w:t>
      </w:r>
      <w:r w:rsidR="00BE5AFF">
        <w:rPr>
          <w:rFonts w:ascii="Palatino Linotype" w:hAnsi="Palatino Linotype" w:cs="Arial"/>
        </w:rPr>
        <w:t xml:space="preserve"> Coordinación General de Protección </w:t>
      </w:r>
      <w:r w:rsidR="00BE5AFF" w:rsidRPr="004A51D8">
        <w:rPr>
          <w:rFonts w:ascii="Palatino Linotype" w:hAnsi="Palatino Linotype" w:cs="Arial"/>
        </w:rPr>
        <w:t>Civil y Gestión Integral del Riesgo</w:t>
      </w:r>
      <w:r w:rsidR="008E7F3C" w:rsidRPr="004A51D8">
        <w:rPr>
          <w:rFonts w:ascii="Palatino Linotype" w:hAnsi="Palatino Linotype" w:cs="Arial"/>
        </w:rPr>
        <w:t xml:space="preserve">, así como la Dirección General de Protección Civil. </w:t>
      </w:r>
    </w:p>
    <w:p w14:paraId="421E572F" w14:textId="77777777" w:rsidR="00BE5AFF" w:rsidRDefault="00BE5AFF" w:rsidP="007D3776">
      <w:pPr>
        <w:pStyle w:val="Sinespaciado"/>
        <w:spacing w:line="360" w:lineRule="auto"/>
        <w:jc w:val="both"/>
        <w:rPr>
          <w:rFonts w:ascii="Palatino Linotype" w:hAnsi="Palatino Linotype" w:cs="Arial"/>
        </w:rPr>
      </w:pPr>
    </w:p>
    <w:p w14:paraId="19749C84" w14:textId="6EFAA8FA" w:rsidR="008E7F3C" w:rsidRPr="008E7F3C" w:rsidRDefault="008840E6" w:rsidP="007D3776">
      <w:pPr>
        <w:pStyle w:val="Sinespaciado"/>
        <w:spacing w:line="360" w:lineRule="auto"/>
        <w:jc w:val="both"/>
        <w:rPr>
          <w:rFonts w:ascii="Palatino Linotype" w:hAnsi="Palatino Linotype"/>
        </w:rPr>
      </w:pPr>
      <w:r w:rsidRPr="002373F8">
        <w:rPr>
          <w:rFonts w:ascii="Palatino Linotype" w:hAnsi="Palatino Linotype"/>
          <w:iCs/>
        </w:rPr>
        <w:t xml:space="preserve">En virtud de lo anterior, para delimitar las fronteras conceptuales de las unidades administrativas en cita, </w:t>
      </w:r>
      <w:r w:rsidRPr="002373F8">
        <w:rPr>
          <w:rFonts w:ascii="Palatino Linotype" w:hAnsi="Palatino Linotype"/>
        </w:rPr>
        <w:t xml:space="preserve">se traen a colación </w:t>
      </w:r>
      <w:r w:rsidR="0066072B">
        <w:rPr>
          <w:rFonts w:ascii="Palatino Linotype" w:hAnsi="Palatino Linotype"/>
        </w:rPr>
        <w:t xml:space="preserve">los </w:t>
      </w:r>
      <w:r w:rsidR="00324DDA">
        <w:rPr>
          <w:rFonts w:ascii="Palatino Linotype" w:hAnsi="Palatino Linotype"/>
        </w:rPr>
        <w:t xml:space="preserve">apartados </w:t>
      </w:r>
      <w:r w:rsidR="008E7F3C" w:rsidRPr="008E7F3C">
        <w:rPr>
          <w:rFonts w:ascii="Palatino Linotype" w:hAnsi="Palatino Linotype"/>
          <w:b/>
          <w:bCs/>
        </w:rPr>
        <w:t>20500600000000L</w:t>
      </w:r>
      <w:r w:rsidR="008E7F3C">
        <w:rPr>
          <w:rFonts w:ascii="Palatino Linotype" w:hAnsi="Palatino Linotype"/>
          <w:b/>
          <w:bCs/>
        </w:rPr>
        <w:t xml:space="preserve"> “</w:t>
      </w:r>
      <w:r w:rsidR="008E7F3C">
        <w:rPr>
          <w:rFonts w:ascii="Palatino Linotype" w:hAnsi="Palatino Linotype"/>
        </w:rPr>
        <w:t xml:space="preserve">Coordinación General de Protección Civil y Gestión Integral del Riesgo” y </w:t>
      </w:r>
      <w:r w:rsidR="008E7F3C" w:rsidRPr="008E7F3C">
        <w:rPr>
          <w:rFonts w:ascii="Palatino Linotype" w:hAnsi="Palatino Linotype"/>
          <w:b/>
          <w:bCs/>
        </w:rPr>
        <w:t>2050060100000S</w:t>
      </w:r>
      <w:r w:rsidR="008E7F3C">
        <w:rPr>
          <w:rFonts w:ascii="Palatino Linotype" w:hAnsi="Palatino Linotype"/>
          <w:b/>
          <w:bCs/>
        </w:rPr>
        <w:t xml:space="preserve"> </w:t>
      </w:r>
      <w:r w:rsidR="00274D25">
        <w:rPr>
          <w:rFonts w:ascii="Palatino Linotype" w:hAnsi="Palatino Linotype"/>
        </w:rPr>
        <w:t>“Dirección General de Protección Civil”, porciones normativas que disponen a la literalidad lo siguiente:</w:t>
      </w:r>
    </w:p>
    <w:p w14:paraId="6AAA0FBF" w14:textId="3B870D60" w:rsidR="001B7834" w:rsidRPr="00274D25" w:rsidRDefault="00274D25" w:rsidP="001B7834">
      <w:pPr>
        <w:pStyle w:val="Citas"/>
        <w:rPr>
          <w:b/>
          <w:bCs/>
        </w:rPr>
      </w:pPr>
      <w:r>
        <w:rPr>
          <w:b/>
          <w:bCs/>
        </w:rPr>
        <w:t>“</w:t>
      </w:r>
      <w:r w:rsidR="00930B2D" w:rsidRPr="00274D25">
        <w:rPr>
          <w:b/>
          <w:bCs/>
        </w:rPr>
        <w:t xml:space="preserve">20500600000000L COORDINACIÓN GENERAL DE PROTECCIÓN CIVIL Y GESTIÓN INTEGRAL DEL RIESGO </w:t>
      </w:r>
    </w:p>
    <w:p w14:paraId="20674B37" w14:textId="77777777" w:rsidR="001B7834" w:rsidRPr="00274D25" w:rsidRDefault="00930B2D" w:rsidP="001B7834">
      <w:pPr>
        <w:pStyle w:val="Citas"/>
        <w:rPr>
          <w:b/>
          <w:bCs/>
        </w:rPr>
      </w:pPr>
      <w:r w:rsidRPr="00274D25">
        <w:rPr>
          <w:b/>
          <w:bCs/>
        </w:rPr>
        <w:t>OBJETIVO:</w:t>
      </w:r>
    </w:p>
    <w:p w14:paraId="3A62775A" w14:textId="77777777" w:rsidR="001B7834" w:rsidRPr="001B7834" w:rsidRDefault="00930B2D" w:rsidP="001B7834">
      <w:pPr>
        <w:pStyle w:val="Citas"/>
      </w:pPr>
      <w:r w:rsidRPr="001B7834">
        <w:t xml:space="preserve"> Promover, planear, implementar y supervisar acciones preventivas, de apoyo, auxilio, recuperación y atención en materia de protección civil y gestión integral del riesgo en el Estado de México, en coordinación con las autoridades federales, estatales, municipales, y los sectores social y privado, que permitan proteger a las personas y sus bienes en caso de contingencias o desastres. </w:t>
      </w:r>
    </w:p>
    <w:p w14:paraId="45827127" w14:textId="35BD4DE7" w:rsidR="00930B2D" w:rsidRPr="00274D25" w:rsidRDefault="00930B2D" w:rsidP="001B7834">
      <w:pPr>
        <w:pStyle w:val="Citas"/>
        <w:rPr>
          <w:b/>
          <w:bCs/>
        </w:rPr>
      </w:pPr>
      <w:r w:rsidRPr="00274D25">
        <w:rPr>
          <w:b/>
          <w:bCs/>
        </w:rPr>
        <w:t>FUNCIONES:</w:t>
      </w:r>
    </w:p>
    <w:p w14:paraId="6D034058" w14:textId="0C529150" w:rsidR="00930B2D" w:rsidRPr="001B7834" w:rsidRDefault="00930B2D" w:rsidP="001B7834">
      <w:pPr>
        <w:pStyle w:val="Citas"/>
      </w:pPr>
      <w:r w:rsidRPr="001B7834">
        <w:t>Proponer, dirigir y evaluar las acciones que en materia de protección civil y gestión integral del riesgo se desarrollen en la entidad, de conformidad con la legislación vigente.</w:t>
      </w:r>
    </w:p>
    <w:p w14:paraId="60729A55" w14:textId="04246D16" w:rsidR="00930B2D" w:rsidRPr="001B7834" w:rsidRDefault="00930B2D" w:rsidP="001B7834">
      <w:pPr>
        <w:pStyle w:val="Citas"/>
      </w:pPr>
      <w:r w:rsidRPr="001B7834">
        <w:lastRenderedPageBreak/>
        <w:t>(…)</w:t>
      </w:r>
    </w:p>
    <w:p w14:paraId="0479A62F" w14:textId="5153C0CE" w:rsidR="00930B2D" w:rsidRPr="001B7834" w:rsidRDefault="00930B2D" w:rsidP="001B7834">
      <w:pPr>
        <w:pStyle w:val="Citas"/>
      </w:pPr>
      <w:r w:rsidRPr="001B7834">
        <w:t>Supervisar la aplicación de la normatividad en materia de protección civil, en la evaluación de las condiciones de seguridad en inmuebles, instalaciones o sistemas, a fin de prevenir la ocurrencia de accidentes, situaciones de riesgo, emergencias y desastres en la entidad y garantizar la seguridad de las personas.</w:t>
      </w:r>
    </w:p>
    <w:p w14:paraId="637B76A9" w14:textId="54105FF7" w:rsidR="00930B2D" w:rsidRPr="001B7834" w:rsidRDefault="00930B2D" w:rsidP="001B7834">
      <w:pPr>
        <w:pStyle w:val="Citas"/>
      </w:pPr>
      <w:r w:rsidRPr="001B7834">
        <w:t>Coordinar la implementación y ejecución de los programas de inspección en instalaciones industriales, comerciales, de prestación de servicios, zonas habitacionales, edificios públicos, hospitales, centros de abasto, instalaciones estratégicas, que permitan garantizar la seguridad y bienestar de la población en la entidad.</w:t>
      </w:r>
    </w:p>
    <w:p w14:paraId="69E35268" w14:textId="18ACBBC4" w:rsidR="00930B2D" w:rsidRPr="001B7834" w:rsidRDefault="00930B2D" w:rsidP="001B7834">
      <w:pPr>
        <w:pStyle w:val="Citas"/>
      </w:pPr>
      <w:r w:rsidRPr="001B7834">
        <w:t>(…)</w:t>
      </w:r>
    </w:p>
    <w:p w14:paraId="35AC12FD" w14:textId="0105B066" w:rsidR="00930B2D" w:rsidRDefault="00930B2D" w:rsidP="001B7834">
      <w:pPr>
        <w:pStyle w:val="Citas"/>
        <w:rPr>
          <w:b/>
          <w:bCs/>
          <w:u w:val="single"/>
        </w:rPr>
      </w:pPr>
      <w:r w:rsidRPr="004447DA">
        <w:rPr>
          <w:b/>
          <w:bCs/>
          <w:u w:val="single"/>
        </w:rPr>
        <w:t>Verificar que los dictámenes u opiniones técnicas que se emitan como resultado de la aplicación de los programas de inspección en materia de protección civil y gestión del riesgo, cumplan con los lineamientos establecidos para tal efecto, así como autorizarlos</w:t>
      </w:r>
      <w:r w:rsidR="00274D25">
        <w:rPr>
          <w:b/>
          <w:bCs/>
          <w:u w:val="single"/>
        </w:rPr>
        <w:t>.</w:t>
      </w:r>
    </w:p>
    <w:p w14:paraId="524CEC9B" w14:textId="7A0C0D89" w:rsidR="00274D25" w:rsidRPr="00274D25" w:rsidRDefault="00274D25" w:rsidP="001B7834">
      <w:pPr>
        <w:pStyle w:val="Citas"/>
      </w:pPr>
      <w:r>
        <w:t>(…)</w:t>
      </w:r>
    </w:p>
    <w:p w14:paraId="25466BC1" w14:textId="77777777" w:rsidR="00274D25" w:rsidRDefault="00082589" w:rsidP="00385AEB">
      <w:pPr>
        <w:pStyle w:val="Citas"/>
      </w:pPr>
      <w:r w:rsidRPr="00274D25">
        <w:rPr>
          <w:b/>
          <w:bCs/>
        </w:rPr>
        <w:t>2050060100000S DIRECCIÓN GENERAL DE PROTECCIÓN CIVIL OBJETIVO:</w:t>
      </w:r>
      <w:r>
        <w:t xml:space="preserve"> Coordinar las acciones de atención a la población en caso de siniestro o desastre, priorizando la salvaguarda e integridad física de las personas, sus bienes y su entorno; conducir la realización de acciones de rescate en situaciones de emergencia derivadas de la incidencia de los fenómenos perturbadores en el territorio del Estado de México; así como desarrollar, en coordinación con las autoridades federales, estatales, municipales acciones de concertación, inspección, verificación, </w:t>
      </w:r>
      <w:r>
        <w:lastRenderedPageBreak/>
        <w:t xml:space="preserve">prevención, capacitación y supervisión en materia de protección civil y gestión integral del riesgo; establecer los lineamientos para la inscripción anual de los grupos voluntarios, consultoras y consultores externos y unidades internas de protección civil de las dependencias y unidades administrativas del sector público estatal y municipal de la entidad. </w:t>
      </w:r>
    </w:p>
    <w:p w14:paraId="2976650C" w14:textId="471900F4" w:rsidR="00930B2D" w:rsidRPr="00274D25" w:rsidRDefault="00082589" w:rsidP="00385AEB">
      <w:pPr>
        <w:pStyle w:val="Citas"/>
        <w:rPr>
          <w:b/>
          <w:bCs/>
        </w:rPr>
      </w:pPr>
      <w:r w:rsidRPr="00274D25">
        <w:rPr>
          <w:b/>
          <w:bCs/>
        </w:rPr>
        <w:t>FUNCIONES:</w:t>
      </w:r>
    </w:p>
    <w:p w14:paraId="3081061E" w14:textId="17788CAE" w:rsidR="00082589" w:rsidRDefault="00082589" w:rsidP="00385AEB">
      <w:pPr>
        <w:pStyle w:val="Citas"/>
      </w:pPr>
      <w:r>
        <w:t>(…)</w:t>
      </w:r>
    </w:p>
    <w:p w14:paraId="06B9A457" w14:textId="19A0A029" w:rsidR="00082589" w:rsidRDefault="00082589" w:rsidP="00385AEB">
      <w:pPr>
        <w:pStyle w:val="Citas"/>
        <w:rPr>
          <w:b/>
          <w:bCs/>
          <w:u w:val="single"/>
        </w:rPr>
      </w:pPr>
      <w:r w:rsidRPr="00274D25">
        <w:rPr>
          <w:b/>
          <w:bCs/>
          <w:u w:val="single"/>
        </w:rPr>
        <w:t>Coordinar la evaluación de las condiciones de seguridad y riesgo en la construcción y operación de inmuebles destinados al desarrollo de las actividades que produzcan un impacto regional con el propósito de emitir las evaluaciones técnicas correspondientes.</w:t>
      </w:r>
    </w:p>
    <w:p w14:paraId="422CFE97" w14:textId="7A20BB02" w:rsidR="00274D25" w:rsidRPr="00274D25" w:rsidRDefault="00274D25" w:rsidP="00385AEB">
      <w:pPr>
        <w:pStyle w:val="Citas"/>
        <w:rPr>
          <w:b/>
          <w:bCs/>
        </w:rPr>
      </w:pPr>
      <w:r>
        <w:t xml:space="preserve">(…)” </w:t>
      </w:r>
      <w:r>
        <w:rPr>
          <w:b/>
          <w:bCs/>
        </w:rPr>
        <w:t>[Sic]</w:t>
      </w:r>
    </w:p>
    <w:p w14:paraId="6CC21A82" w14:textId="77777777" w:rsidR="00930B2D" w:rsidRPr="00867376" w:rsidRDefault="00930B2D" w:rsidP="00385AEB">
      <w:pPr>
        <w:pStyle w:val="Citas"/>
        <w:rPr>
          <w:b/>
          <w:bCs/>
        </w:rPr>
      </w:pPr>
    </w:p>
    <w:p w14:paraId="0FA6BC58" w14:textId="7943290E" w:rsidR="00C272C9" w:rsidRDefault="00605DCA" w:rsidP="007D3776">
      <w:pPr>
        <w:pStyle w:val="Sinespaciado"/>
        <w:spacing w:line="360" w:lineRule="auto"/>
        <w:jc w:val="both"/>
        <w:rPr>
          <w:rFonts w:ascii="Palatino Linotype" w:hAnsi="Palatino Linotype"/>
        </w:rPr>
      </w:pPr>
      <w:r>
        <w:rPr>
          <w:rFonts w:ascii="Palatino Linotype" w:hAnsi="Palatino Linotype"/>
        </w:rPr>
        <w:t>De ahí que deba arribarse a las siguientes premisas:</w:t>
      </w:r>
    </w:p>
    <w:p w14:paraId="0F24D064" w14:textId="7AE71726" w:rsidR="00605DCA" w:rsidRPr="00242587" w:rsidRDefault="007B1B43" w:rsidP="00605DCA">
      <w:pPr>
        <w:pStyle w:val="Sinespaciado"/>
        <w:numPr>
          <w:ilvl w:val="0"/>
          <w:numId w:val="17"/>
        </w:numPr>
        <w:spacing w:line="360" w:lineRule="auto"/>
        <w:jc w:val="both"/>
        <w:rPr>
          <w:rFonts w:ascii="Palatino Linotype" w:hAnsi="Palatino Linotype"/>
        </w:rPr>
      </w:pPr>
      <w:r>
        <w:rPr>
          <w:rFonts w:ascii="Palatino Linotype" w:hAnsi="Palatino Linotype"/>
        </w:rPr>
        <w:t>El</w:t>
      </w:r>
      <w:r w:rsidR="00605DCA">
        <w:rPr>
          <w:rFonts w:ascii="Palatino Linotype" w:hAnsi="Palatino Linotype"/>
        </w:rPr>
        <w:t xml:space="preserve"> derecho de acceso a la información </w:t>
      </w:r>
      <w:r w:rsidR="000C21D5">
        <w:rPr>
          <w:rFonts w:ascii="Palatino Linotype" w:hAnsi="Palatino Linotype"/>
        </w:rPr>
        <w:t xml:space="preserve">versa </w:t>
      </w:r>
      <w:r w:rsidR="005F0C60">
        <w:rPr>
          <w:rFonts w:ascii="Palatino Linotype" w:hAnsi="Palatino Linotype"/>
        </w:rPr>
        <w:t xml:space="preserve">esencialmente en </w:t>
      </w:r>
      <w:r w:rsidR="00242587">
        <w:rPr>
          <w:rFonts w:ascii="Palatino Linotype" w:hAnsi="Palatino Linotype"/>
        </w:rPr>
        <w:t xml:space="preserve">acceder a información registrada en cualquier soporte documental que en ejercicio de las atribuciones conferidas sea generada, poseída o administrada por los </w:t>
      </w:r>
      <w:r w:rsidR="00242587">
        <w:rPr>
          <w:rFonts w:ascii="Palatino Linotype" w:hAnsi="Palatino Linotype"/>
          <w:b/>
          <w:bCs/>
        </w:rPr>
        <w:t xml:space="preserve">Sujetos Obligados. </w:t>
      </w:r>
    </w:p>
    <w:p w14:paraId="38F881D8" w14:textId="2E681969" w:rsidR="00242587" w:rsidRDefault="005D5554" w:rsidP="00605DCA">
      <w:pPr>
        <w:pStyle w:val="Sinespaciado"/>
        <w:numPr>
          <w:ilvl w:val="0"/>
          <w:numId w:val="17"/>
        </w:numPr>
        <w:spacing w:line="360" w:lineRule="auto"/>
        <w:jc w:val="both"/>
        <w:rPr>
          <w:rFonts w:ascii="Palatino Linotype" w:hAnsi="Palatino Linotype"/>
        </w:rPr>
      </w:pPr>
      <w:r>
        <w:rPr>
          <w:rFonts w:ascii="Palatino Linotype" w:hAnsi="Palatino Linotype"/>
        </w:rPr>
        <w:t xml:space="preserve">Las unidades administrativas deberán de garantizar que las solicitudes de información formuladas por la ciudadanía sean turnadas a todas las áreas administrativas que </w:t>
      </w:r>
      <w:r w:rsidR="005D18FA">
        <w:rPr>
          <w:rFonts w:ascii="Palatino Linotype" w:hAnsi="Palatino Linotype"/>
        </w:rPr>
        <w:t>en razón de las facultades, competencias y funciones reservadas deban de poseerla.</w:t>
      </w:r>
    </w:p>
    <w:p w14:paraId="21161BFB" w14:textId="504FEEC3" w:rsidR="00274D25" w:rsidRPr="00C858DC" w:rsidRDefault="00377530" w:rsidP="00605DCA">
      <w:pPr>
        <w:pStyle w:val="Sinespaciado"/>
        <w:numPr>
          <w:ilvl w:val="0"/>
          <w:numId w:val="17"/>
        </w:numPr>
        <w:spacing w:line="360" w:lineRule="auto"/>
        <w:jc w:val="both"/>
        <w:rPr>
          <w:rFonts w:ascii="Palatino Linotype" w:hAnsi="Palatino Linotype"/>
        </w:rPr>
      </w:pPr>
      <w:r>
        <w:rPr>
          <w:rFonts w:ascii="Palatino Linotype" w:hAnsi="Palatino Linotype"/>
        </w:rPr>
        <w:lastRenderedPageBreak/>
        <w:t>De</w:t>
      </w:r>
      <w:r w:rsidR="005D18FA">
        <w:rPr>
          <w:rFonts w:ascii="Palatino Linotype" w:hAnsi="Palatino Linotype"/>
        </w:rPr>
        <w:t xml:space="preserve"> una interpretación sistemática a la esfera competencial del </w:t>
      </w:r>
      <w:r w:rsidR="005D18FA">
        <w:rPr>
          <w:rFonts w:ascii="Palatino Linotype" w:hAnsi="Palatino Linotype"/>
          <w:b/>
          <w:bCs/>
        </w:rPr>
        <w:t xml:space="preserve">Sujeto Obligado </w:t>
      </w:r>
      <w:r w:rsidR="005D18FA">
        <w:rPr>
          <w:rFonts w:ascii="Palatino Linotype" w:hAnsi="Palatino Linotype"/>
        </w:rPr>
        <w:t xml:space="preserve">se arriba a la premisa de que la </w:t>
      </w:r>
      <w:r w:rsidR="00274D25">
        <w:rPr>
          <w:rFonts w:ascii="Palatino Linotype" w:hAnsi="Palatino Linotype"/>
        </w:rPr>
        <w:t>Coordinación General de Protección Civil y Gestión Integral del Riesgo, así como la Dirección General de Protección Civil</w:t>
      </w:r>
      <w:r w:rsidR="00867C3E">
        <w:rPr>
          <w:rFonts w:ascii="Palatino Linotype" w:hAnsi="Palatino Linotype"/>
        </w:rPr>
        <w:t xml:space="preserve"> fungen como las unidades administrativas competentes para atender la solicitud </w:t>
      </w:r>
      <w:r w:rsidR="00867C3E">
        <w:rPr>
          <w:rFonts w:ascii="Palatino Linotype" w:hAnsi="Palatino Linotype"/>
          <w:b/>
          <w:bCs/>
        </w:rPr>
        <w:t>00039/SEGEGOB/IP/2022</w:t>
      </w:r>
      <w:r w:rsidR="00C858DC">
        <w:rPr>
          <w:rFonts w:ascii="Palatino Linotype" w:hAnsi="Palatino Linotype"/>
          <w:b/>
          <w:bCs/>
        </w:rPr>
        <w:t>.</w:t>
      </w:r>
    </w:p>
    <w:p w14:paraId="7507530A" w14:textId="77777777" w:rsidR="002E0E87" w:rsidRDefault="002E0E87" w:rsidP="00E913E9">
      <w:pPr>
        <w:pStyle w:val="Sinespaciado"/>
        <w:spacing w:line="360" w:lineRule="auto"/>
        <w:jc w:val="both"/>
        <w:rPr>
          <w:rFonts w:ascii="Palatino Linotype" w:hAnsi="Palatino Linotype"/>
        </w:rPr>
      </w:pPr>
    </w:p>
    <w:p w14:paraId="4422A0F4" w14:textId="1B0A4BB6" w:rsidR="00867C3E" w:rsidRDefault="005F13AC" w:rsidP="00E913E9">
      <w:pPr>
        <w:pStyle w:val="Sinespaciado"/>
        <w:spacing w:line="360" w:lineRule="auto"/>
        <w:jc w:val="both"/>
        <w:rPr>
          <w:rFonts w:ascii="Palatino Linotype" w:hAnsi="Palatino Linotype" w:cs="Arial"/>
        </w:rPr>
      </w:pPr>
      <w:r w:rsidRPr="00BE4F42">
        <w:rPr>
          <w:rFonts w:ascii="Palatino Linotype" w:hAnsi="Palatino Linotype"/>
        </w:rPr>
        <w:t>Una vez sentado lo anterior</w:t>
      </w:r>
      <w:r w:rsidR="00E913E9" w:rsidRPr="00BE4F42">
        <w:rPr>
          <w:rFonts w:ascii="Palatino Linotype" w:hAnsi="Palatino Linotype" w:cs="Arial"/>
        </w:rPr>
        <w:t xml:space="preserve">, como se mencionó en el antecedente segundo, </w:t>
      </w:r>
      <w:r w:rsidR="00E913E9" w:rsidRPr="00BE4F42">
        <w:rPr>
          <w:rFonts w:ascii="Palatino Linotype" w:hAnsi="Palatino Linotype" w:cs="Arial"/>
          <w:b/>
          <w:bCs/>
        </w:rPr>
        <w:t xml:space="preserve">El Sujeto Obligado </w:t>
      </w:r>
      <w:r w:rsidR="00E913E9" w:rsidRPr="00BE4F42">
        <w:rPr>
          <w:rFonts w:ascii="Palatino Linotype" w:hAnsi="Palatino Linotype" w:cs="Arial"/>
        </w:rPr>
        <w:t xml:space="preserve"> en fecha </w:t>
      </w:r>
      <w:r w:rsidR="00AE5F26" w:rsidRPr="00BE4F42">
        <w:rPr>
          <w:rFonts w:ascii="Palatino Linotype" w:hAnsi="Palatino Linotype" w:cs="Arial"/>
        </w:rPr>
        <w:tab/>
      </w:r>
      <w:r w:rsidR="00867C3E">
        <w:rPr>
          <w:rFonts w:ascii="Palatino Linotype" w:hAnsi="Palatino Linotype" w:cs="Arial"/>
        </w:rPr>
        <w:t>siete de marzo de dos mil veintidós, rindió su respuesta a la solicitud de información, adjuntando para tal efecto lo siguiente:</w:t>
      </w:r>
    </w:p>
    <w:p w14:paraId="49994FE2" w14:textId="77777777" w:rsidR="00867C3E" w:rsidRDefault="00867C3E" w:rsidP="00E913E9">
      <w:pPr>
        <w:pStyle w:val="Sinespaciado"/>
        <w:spacing w:line="360" w:lineRule="auto"/>
        <w:jc w:val="both"/>
        <w:rPr>
          <w:rFonts w:ascii="Palatino Linotype" w:hAnsi="Palatino Linotype" w:cs="Arial"/>
        </w:rPr>
      </w:pPr>
    </w:p>
    <w:p w14:paraId="460AE653" w14:textId="012EA6F7" w:rsidR="006D3733" w:rsidRPr="00867C3E" w:rsidRDefault="00BE4F42" w:rsidP="00867C3E">
      <w:pPr>
        <w:pStyle w:val="Sinespaciado"/>
        <w:numPr>
          <w:ilvl w:val="0"/>
          <w:numId w:val="18"/>
        </w:numPr>
        <w:spacing w:line="360" w:lineRule="auto"/>
        <w:jc w:val="both"/>
        <w:rPr>
          <w:rFonts w:ascii="Palatino Linotype" w:hAnsi="Palatino Linotype" w:cs="Arial"/>
          <w:b/>
          <w:bCs/>
        </w:rPr>
      </w:pPr>
      <w:r>
        <w:rPr>
          <w:rFonts w:ascii="Palatino Linotype" w:hAnsi="Palatino Linotype" w:cs="Arial"/>
          <w:b/>
          <w:bCs/>
        </w:rPr>
        <w:t>“</w:t>
      </w:r>
      <w:r w:rsidR="00867C3E">
        <w:rPr>
          <w:rFonts w:ascii="Palatino Linotype" w:hAnsi="Palatino Linotype" w:cs="Arial"/>
          <w:b/>
          <w:bCs/>
        </w:rPr>
        <w:t xml:space="preserve">Rpta. 00039-2022.pdf”: </w:t>
      </w:r>
      <w:r w:rsidR="00867C3E">
        <w:rPr>
          <w:rFonts w:ascii="Palatino Linotype" w:hAnsi="Palatino Linotype" w:cs="Arial"/>
        </w:rPr>
        <w:t>Compila lo siguiente:</w:t>
      </w:r>
    </w:p>
    <w:p w14:paraId="75C7F552" w14:textId="34AD5B7D" w:rsidR="00867C3E" w:rsidRPr="00A75628" w:rsidRDefault="00A75628" w:rsidP="00867C3E">
      <w:pPr>
        <w:pStyle w:val="Sinespaciado"/>
        <w:numPr>
          <w:ilvl w:val="0"/>
          <w:numId w:val="24"/>
        </w:numPr>
        <w:spacing w:line="360" w:lineRule="auto"/>
        <w:jc w:val="both"/>
        <w:rPr>
          <w:rFonts w:ascii="Palatino Linotype" w:hAnsi="Palatino Linotype" w:cs="Arial"/>
          <w:b/>
          <w:bCs/>
        </w:rPr>
      </w:pPr>
      <w:r>
        <w:rPr>
          <w:rFonts w:ascii="Palatino Linotype" w:hAnsi="Palatino Linotype" w:cs="Arial"/>
        </w:rPr>
        <w:t xml:space="preserve">Oficio sin número signado por la Titular de la Unidad de Transparencia y dirigido al particular, de fecha siete de marzo de dos mil veintidós, en síntesis, refiere adjuntar oficio emitido por el Servidor público habilitado competente.  </w:t>
      </w:r>
    </w:p>
    <w:p w14:paraId="391BBA51" w14:textId="4C3F7920" w:rsidR="00A75628" w:rsidRPr="00A75628" w:rsidRDefault="00A75628" w:rsidP="00867C3E">
      <w:pPr>
        <w:pStyle w:val="Sinespaciado"/>
        <w:numPr>
          <w:ilvl w:val="0"/>
          <w:numId w:val="24"/>
        </w:numPr>
        <w:spacing w:line="360" w:lineRule="auto"/>
        <w:jc w:val="both"/>
        <w:rPr>
          <w:rFonts w:ascii="Palatino Linotype" w:hAnsi="Palatino Linotype" w:cs="Arial"/>
          <w:b/>
          <w:bCs/>
        </w:rPr>
      </w:pPr>
      <w:r>
        <w:rPr>
          <w:rFonts w:ascii="Palatino Linotype" w:hAnsi="Palatino Linotype" w:cs="Arial"/>
        </w:rPr>
        <w:t xml:space="preserve">Oficio número </w:t>
      </w:r>
      <w:r>
        <w:rPr>
          <w:rFonts w:ascii="Palatino Linotype" w:hAnsi="Palatino Linotype" w:cs="Arial"/>
          <w:b/>
          <w:bCs/>
        </w:rPr>
        <w:t xml:space="preserve">20500600000200S/311/2022 </w:t>
      </w:r>
      <w:r>
        <w:rPr>
          <w:rFonts w:ascii="Palatino Linotype" w:hAnsi="Palatino Linotype" w:cs="Arial"/>
        </w:rPr>
        <w:t>signado por el Delegado Administrativo y Servidor Público Habilitado Suplente y dirigido a la Directora General de Información, Planeación y Evaluación, en términos generales refiere que después de realizar una búsqueda exhaustiva y razonable no encontró la información requerida.</w:t>
      </w:r>
    </w:p>
    <w:p w14:paraId="3A169213" w14:textId="0EEEA764" w:rsidR="00A75628" w:rsidRDefault="00A75628" w:rsidP="00A75628">
      <w:pPr>
        <w:pStyle w:val="Sinespaciado"/>
        <w:spacing w:line="360" w:lineRule="auto"/>
        <w:jc w:val="both"/>
        <w:rPr>
          <w:rFonts w:ascii="Palatino Linotype" w:hAnsi="Palatino Linotype" w:cs="Arial"/>
        </w:rPr>
      </w:pPr>
    </w:p>
    <w:p w14:paraId="7047BCB7" w14:textId="6DF119E5" w:rsidR="00A75628" w:rsidRDefault="00A75628" w:rsidP="007E51E6">
      <w:pPr>
        <w:pStyle w:val="Sinespaciado"/>
        <w:spacing w:line="360" w:lineRule="auto"/>
        <w:jc w:val="both"/>
        <w:rPr>
          <w:rFonts w:ascii="Palatino Linotype" w:hAnsi="Palatino Linotype" w:cs="Arial"/>
        </w:rPr>
      </w:pPr>
      <w:r>
        <w:rPr>
          <w:rFonts w:ascii="Palatino Linotype" w:hAnsi="Palatino Linotype" w:cs="Arial"/>
        </w:rPr>
        <w:t>I</w:t>
      </w:r>
      <w:r w:rsidR="007E51E6">
        <w:rPr>
          <w:rFonts w:ascii="Palatino Linotype" w:hAnsi="Palatino Linotype" w:cs="Arial"/>
        </w:rPr>
        <w:t xml:space="preserve">nconforme con la respuesta del </w:t>
      </w:r>
      <w:r w:rsidR="007E51E6">
        <w:rPr>
          <w:rFonts w:ascii="Palatino Linotype" w:hAnsi="Palatino Linotype" w:cs="Arial"/>
          <w:b/>
          <w:bCs/>
        </w:rPr>
        <w:t xml:space="preserve">Sujeto Obligado, El Recurrente </w:t>
      </w:r>
      <w:r w:rsidR="007E51E6">
        <w:rPr>
          <w:rFonts w:ascii="Palatino Linotype" w:hAnsi="Palatino Linotype" w:cs="Arial"/>
        </w:rPr>
        <w:t xml:space="preserve">interpuso recurso de revisión en fecha </w:t>
      </w:r>
      <w:r>
        <w:rPr>
          <w:rFonts w:ascii="Palatino Linotype" w:hAnsi="Palatino Linotype" w:cs="Arial"/>
        </w:rPr>
        <w:t xml:space="preserve">siete de marzo, admitiéndose el once de marzo, ambos de dos mil veintidós. </w:t>
      </w:r>
      <w:r w:rsidR="00C67878">
        <w:rPr>
          <w:rFonts w:ascii="Palatino Linotype" w:hAnsi="Palatino Linotype" w:cs="Arial"/>
        </w:rPr>
        <w:t>Señalando</w:t>
      </w:r>
      <w:r>
        <w:rPr>
          <w:rFonts w:ascii="Palatino Linotype" w:hAnsi="Palatino Linotype" w:cs="Arial"/>
        </w:rPr>
        <w:t xml:space="preserve"> como </w:t>
      </w:r>
      <w:r w:rsidR="00C67878">
        <w:rPr>
          <w:rFonts w:ascii="Palatino Linotype" w:hAnsi="Palatino Linotype" w:cs="Arial"/>
        </w:rPr>
        <w:t>razones o motivos de inconformidad:</w:t>
      </w:r>
    </w:p>
    <w:p w14:paraId="557B5BE7" w14:textId="2333183B" w:rsidR="00C67878" w:rsidRPr="00C67878" w:rsidRDefault="00C67878" w:rsidP="00C67878">
      <w:pPr>
        <w:pStyle w:val="Citas"/>
        <w:rPr>
          <w:b/>
          <w:bCs/>
        </w:rPr>
      </w:pPr>
      <w:r>
        <w:lastRenderedPageBreak/>
        <w:t xml:space="preserve">“La Coordinación General de Protección Civil y Gestión Integral del Riesgo debe tener los documentos solicitados.” </w:t>
      </w:r>
      <w:r>
        <w:rPr>
          <w:b/>
          <w:bCs/>
        </w:rPr>
        <w:t>[Sic]</w:t>
      </w:r>
    </w:p>
    <w:p w14:paraId="58DD9BD6" w14:textId="77777777" w:rsidR="00A75628" w:rsidRDefault="00A75628" w:rsidP="007E51E6">
      <w:pPr>
        <w:pStyle w:val="Sinespaciado"/>
        <w:spacing w:line="360" w:lineRule="auto"/>
        <w:jc w:val="both"/>
        <w:rPr>
          <w:rFonts w:ascii="Palatino Linotype" w:hAnsi="Palatino Linotype" w:cs="Arial"/>
        </w:rPr>
      </w:pPr>
    </w:p>
    <w:p w14:paraId="43E26801" w14:textId="7C8EBAAC" w:rsidR="009B3D6C" w:rsidRDefault="009B3D6C" w:rsidP="009B3D6C">
      <w:pPr>
        <w:tabs>
          <w:tab w:val="left" w:pos="709"/>
        </w:tabs>
        <w:spacing w:before="240" w:line="360" w:lineRule="auto"/>
        <w:ind w:right="51"/>
        <w:jc w:val="both"/>
        <w:rPr>
          <w:rFonts w:ascii="Palatino Linotype" w:hAnsi="Palatino Linotype"/>
          <w:sz w:val="24"/>
          <w:szCs w:val="24"/>
        </w:rPr>
      </w:pPr>
      <w:r>
        <w:rPr>
          <w:rFonts w:ascii="Palatino Linotype" w:hAnsi="Palatino Linotype" w:cs="Arial"/>
          <w:noProof/>
          <w:color w:val="000000"/>
          <w:sz w:val="24"/>
          <w:lang w:eastAsia="es-MX"/>
        </w:rPr>
        <w:t xml:space="preserve">Así las cosas, resulta inconcuso que </w:t>
      </w:r>
      <w:r w:rsidR="00BF30B0">
        <w:rPr>
          <w:rFonts w:ascii="Palatino Linotype" w:hAnsi="Palatino Linotype" w:cs="Arial"/>
          <w:noProof/>
          <w:color w:val="000000"/>
          <w:sz w:val="24"/>
          <w:lang w:eastAsia="es-MX"/>
        </w:rPr>
        <w:t xml:space="preserve">los motivos de inconformidad aducidos por </w:t>
      </w:r>
      <w:r w:rsidR="00BF30B0">
        <w:rPr>
          <w:rFonts w:ascii="Palatino Linotype" w:hAnsi="Palatino Linotype" w:cs="Arial"/>
          <w:b/>
          <w:bCs/>
          <w:noProof/>
          <w:color w:val="000000"/>
          <w:sz w:val="24"/>
          <w:lang w:eastAsia="es-MX"/>
        </w:rPr>
        <w:t xml:space="preserve">El Recurrente </w:t>
      </w:r>
      <w:r w:rsidR="00BF30B0">
        <w:rPr>
          <w:rFonts w:ascii="Palatino Linotype" w:hAnsi="Palatino Linotype" w:cs="Arial"/>
          <w:noProof/>
          <w:color w:val="000000"/>
          <w:sz w:val="24"/>
          <w:lang w:eastAsia="es-MX"/>
        </w:rPr>
        <w:t xml:space="preserve">se encuentran encauzados a denotar la </w:t>
      </w:r>
      <w:r w:rsidR="00AF535B">
        <w:rPr>
          <w:rFonts w:ascii="Palatino Linotype" w:hAnsi="Palatino Linotype" w:cs="Arial"/>
          <w:noProof/>
          <w:color w:val="000000"/>
          <w:sz w:val="24"/>
          <w:lang w:eastAsia="es-MX"/>
        </w:rPr>
        <w:t xml:space="preserve">actualización </w:t>
      </w:r>
      <w:r w:rsidR="004A51D8">
        <w:rPr>
          <w:rFonts w:ascii="Palatino Linotype" w:hAnsi="Palatino Linotype" w:cs="Arial"/>
          <w:noProof/>
          <w:color w:val="000000"/>
          <w:sz w:val="24"/>
          <w:lang w:eastAsia="es-MX"/>
        </w:rPr>
        <w:t>de la causal de procedencia prevista</w:t>
      </w:r>
      <w:r w:rsidR="00AF535B">
        <w:rPr>
          <w:rFonts w:ascii="Palatino Linotype" w:hAnsi="Palatino Linotype" w:cs="Arial"/>
          <w:noProof/>
          <w:color w:val="000000"/>
          <w:sz w:val="24"/>
          <w:lang w:eastAsia="es-MX"/>
        </w:rPr>
        <w:t xml:space="preserve"> en el </w:t>
      </w:r>
      <w:r>
        <w:rPr>
          <w:rFonts w:ascii="Palatino Linotype" w:hAnsi="Palatino Linotype" w:cs="Arial"/>
          <w:noProof/>
          <w:color w:val="000000"/>
          <w:sz w:val="24"/>
          <w:lang w:eastAsia="es-MX"/>
        </w:rPr>
        <w:t xml:space="preserve">artículo 179, </w:t>
      </w:r>
      <w:r w:rsidR="009D6A1F">
        <w:rPr>
          <w:rFonts w:ascii="Palatino Linotype" w:hAnsi="Palatino Linotype" w:cs="Arial"/>
          <w:noProof/>
          <w:color w:val="000000"/>
          <w:sz w:val="24"/>
          <w:lang w:eastAsia="es-MX"/>
        </w:rPr>
        <w:t xml:space="preserve">fracción </w:t>
      </w:r>
      <w:r w:rsidR="009D6A1F" w:rsidRPr="009D6A1F">
        <w:rPr>
          <w:rFonts w:ascii="Palatino Linotype" w:hAnsi="Palatino Linotype" w:cs="Arial"/>
          <w:noProof/>
          <w:color w:val="000000"/>
          <w:sz w:val="24"/>
          <w:lang w:eastAsia="es-MX"/>
        </w:rPr>
        <w:t>I</w:t>
      </w:r>
      <w:r>
        <w:rPr>
          <w:rFonts w:ascii="Palatino Linotype" w:hAnsi="Palatino Linotype" w:cs="Arial"/>
          <w:noProof/>
          <w:color w:val="000000"/>
          <w:sz w:val="24"/>
          <w:lang w:eastAsia="es-MX"/>
        </w:rPr>
        <w:t xml:space="preserve"> de la Ley de Transparencia </w:t>
      </w:r>
      <w:r w:rsidRPr="00CF156F">
        <w:rPr>
          <w:rFonts w:ascii="Palatino Linotype" w:hAnsi="Palatino Linotype"/>
          <w:sz w:val="24"/>
          <w:szCs w:val="24"/>
        </w:rPr>
        <w:t>y Acceso a la Información Pública del Estado de México y Municipios, cuyo</w:t>
      </w:r>
      <w:r>
        <w:rPr>
          <w:rFonts w:ascii="Palatino Linotype" w:hAnsi="Palatino Linotype"/>
          <w:sz w:val="24"/>
          <w:szCs w:val="24"/>
        </w:rPr>
        <w:t xml:space="preserve"> contenido literal es el siguiente: </w:t>
      </w:r>
    </w:p>
    <w:p w14:paraId="5FBCBE9C" w14:textId="77777777" w:rsidR="009B3D6C" w:rsidRDefault="009B3D6C" w:rsidP="009B3D6C">
      <w:pPr>
        <w:pStyle w:val="Citas"/>
      </w:pPr>
      <w:r>
        <w:t>“Artículo 179. El recurso de revisión es un medio de protección que la Ley otorga a los particulares, para hacer valer su derecho de acceso a la información pública, y procederá en contra de las siguientes causas:</w:t>
      </w:r>
    </w:p>
    <w:p w14:paraId="66E9551D" w14:textId="77777777" w:rsidR="009B3D6C" w:rsidRDefault="009B3D6C" w:rsidP="009B3D6C">
      <w:pPr>
        <w:pStyle w:val="Citas"/>
      </w:pPr>
      <w:r>
        <w:t>I. La negativa a la información solicitada;</w:t>
      </w:r>
    </w:p>
    <w:p w14:paraId="6E14FDEB" w14:textId="3584590A" w:rsidR="009B3D6C" w:rsidRPr="005A12AE" w:rsidRDefault="009B3D6C" w:rsidP="009B3D6C">
      <w:pPr>
        <w:pStyle w:val="Citas"/>
        <w:rPr>
          <w:b/>
          <w:bCs/>
          <w:noProof/>
          <w:color w:val="000000"/>
          <w:sz w:val="24"/>
          <w:lang w:eastAsia="es-MX"/>
        </w:rPr>
      </w:pPr>
      <w:r>
        <w:t>(…)</w:t>
      </w:r>
      <w:r>
        <w:rPr>
          <w:noProof/>
          <w:color w:val="000000"/>
          <w:sz w:val="24"/>
          <w:lang w:eastAsia="es-MX"/>
        </w:rPr>
        <w:t xml:space="preserve">” </w:t>
      </w:r>
      <w:r>
        <w:rPr>
          <w:b/>
          <w:bCs/>
          <w:noProof/>
          <w:color w:val="000000"/>
          <w:sz w:val="24"/>
          <w:lang w:eastAsia="es-MX"/>
        </w:rPr>
        <w:t>[Sic]</w:t>
      </w:r>
    </w:p>
    <w:p w14:paraId="365E0932" w14:textId="77777777" w:rsidR="009B3D6C" w:rsidRDefault="009B3D6C" w:rsidP="009B3D6C">
      <w:pPr>
        <w:pStyle w:val="Citas"/>
        <w:ind w:left="0" w:right="0"/>
        <w:rPr>
          <w:i w:val="0"/>
          <w:sz w:val="24"/>
          <w:szCs w:val="24"/>
        </w:rPr>
      </w:pPr>
    </w:p>
    <w:p w14:paraId="1C82CFB2" w14:textId="064AA775" w:rsidR="00425E1F" w:rsidRDefault="006655C9" w:rsidP="006655C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 en fecha</w:t>
      </w:r>
      <w:r w:rsidR="009D6A1F">
        <w:rPr>
          <w:rFonts w:ascii="Palatino Linotype" w:hAnsi="Palatino Linotype" w:cs="Arial"/>
          <w:color w:val="000000"/>
          <w:sz w:val="24"/>
          <w:lang w:val="es-ES_tradnl"/>
        </w:rPr>
        <w:t>s</w:t>
      </w:r>
      <w:r>
        <w:rPr>
          <w:rFonts w:ascii="Palatino Linotype" w:hAnsi="Palatino Linotype" w:cs="Arial"/>
          <w:color w:val="000000"/>
          <w:sz w:val="24"/>
          <w:lang w:val="es-ES_tradnl"/>
        </w:rPr>
        <w:t xml:space="preserve"> </w:t>
      </w:r>
      <w:r w:rsidR="00425E1F">
        <w:rPr>
          <w:rFonts w:ascii="Palatino Linotype" w:hAnsi="Palatino Linotype" w:cs="Arial"/>
          <w:color w:val="000000"/>
          <w:sz w:val="24"/>
          <w:lang w:val="es-ES_tradnl"/>
        </w:rPr>
        <w:t>veintidós</w:t>
      </w:r>
      <w:r w:rsidR="009D6A1F">
        <w:rPr>
          <w:rFonts w:ascii="Palatino Linotype" w:hAnsi="Palatino Linotype" w:cs="Arial"/>
          <w:color w:val="000000"/>
          <w:sz w:val="24"/>
          <w:lang w:val="es-ES_tradnl"/>
        </w:rPr>
        <w:t xml:space="preserve"> y veintiocho</w:t>
      </w:r>
      <w:r w:rsidR="00425E1F">
        <w:rPr>
          <w:rFonts w:ascii="Palatino Linotype" w:hAnsi="Palatino Linotype" w:cs="Arial"/>
          <w:color w:val="000000"/>
          <w:sz w:val="24"/>
          <w:lang w:val="es-ES_tradnl"/>
        </w:rPr>
        <w:t xml:space="preserve"> de marzo de dos mil veintidós. Adjuntando para tal efecto lo siguiente:</w:t>
      </w:r>
    </w:p>
    <w:p w14:paraId="1FB3A0AA" w14:textId="1DD8975E" w:rsidR="008A6609" w:rsidRPr="004A0262" w:rsidRDefault="008A6609" w:rsidP="009D6A1F">
      <w:pPr>
        <w:pStyle w:val="Prrafodelista"/>
        <w:numPr>
          <w:ilvl w:val="0"/>
          <w:numId w:val="14"/>
        </w:numPr>
        <w:spacing w:line="360" w:lineRule="auto"/>
        <w:jc w:val="both"/>
        <w:rPr>
          <w:rFonts w:ascii="Palatino Linotype" w:hAnsi="Palatino Linotype" w:cs="Arial"/>
          <w:color w:val="000000"/>
        </w:rPr>
      </w:pPr>
      <w:r w:rsidRPr="00864079">
        <w:rPr>
          <w:rFonts w:ascii="Palatino Linotype" w:hAnsi="Palatino Linotype" w:cs="Arial"/>
          <w:b/>
          <w:bCs/>
          <w:color w:val="000000"/>
          <w:lang w:val="es-MX"/>
        </w:rPr>
        <w:t>“</w:t>
      </w:r>
      <w:r w:rsidR="00181884">
        <w:rPr>
          <w:rFonts w:ascii="Palatino Linotype" w:hAnsi="Palatino Linotype" w:cs="Arial"/>
          <w:b/>
          <w:bCs/>
          <w:color w:val="000000"/>
          <w:lang w:val="es-MX"/>
        </w:rPr>
        <w:t xml:space="preserve">I.J. 00039-2022.pdf”: </w:t>
      </w:r>
      <w:r w:rsidR="004A0262">
        <w:rPr>
          <w:rFonts w:ascii="Palatino Linotype" w:hAnsi="Palatino Linotype" w:cs="Arial"/>
          <w:bCs/>
          <w:color w:val="000000"/>
          <w:lang w:val="es-MX"/>
        </w:rPr>
        <w:t>Compila lo siguiente:</w:t>
      </w:r>
    </w:p>
    <w:p w14:paraId="1933AB98" w14:textId="0B042F6C" w:rsidR="004A0262" w:rsidRPr="00DF4E18" w:rsidRDefault="004A0262" w:rsidP="005A66AC">
      <w:pPr>
        <w:pStyle w:val="Prrafodelista"/>
        <w:numPr>
          <w:ilvl w:val="0"/>
          <w:numId w:val="24"/>
        </w:numPr>
        <w:spacing w:line="360" w:lineRule="auto"/>
        <w:jc w:val="both"/>
        <w:rPr>
          <w:rFonts w:ascii="Palatino Linotype" w:hAnsi="Palatino Linotype" w:cs="Arial"/>
          <w:color w:val="000000"/>
        </w:rPr>
      </w:pPr>
      <w:r w:rsidRPr="004A0262">
        <w:rPr>
          <w:rFonts w:ascii="Palatino Linotype" w:hAnsi="Palatino Linotype" w:cs="Arial"/>
          <w:bCs/>
          <w:color w:val="000000"/>
          <w:lang w:val="es-MX"/>
        </w:rPr>
        <w:t xml:space="preserve">Informe justificado signado por la Titular de la Unidad de Transparencia y dirigido al Comisionado Ponente, de fecha veintidós de marzo de dos mil veintidós, en términos generales expone diversos antecedentes, precisa que su respuesta primigenia no versa en </w:t>
      </w:r>
      <w:r w:rsidR="00DF4E18">
        <w:rPr>
          <w:rFonts w:ascii="Palatino Linotype" w:hAnsi="Palatino Linotype" w:cs="Arial"/>
          <w:bCs/>
          <w:color w:val="000000"/>
          <w:lang w:val="es-MX"/>
        </w:rPr>
        <w:t xml:space="preserve">declarar la </w:t>
      </w:r>
      <w:r w:rsidRPr="004A0262">
        <w:rPr>
          <w:rFonts w:ascii="Palatino Linotype" w:hAnsi="Palatino Linotype" w:cs="Arial"/>
          <w:bCs/>
          <w:color w:val="000000"/>
          <w:lang w:val="es-MX"/>
        </w:rPr>
        <w:t xml:space="preserve">inexistencia de la </w:t>
      </w:r>
      <w:r w:rsidRPr="004A0262">
        <w:rPr>
          <w:rFonts w:ascii="Palatino Linotype" w:hAnsi="Palatino Linotype" w:cs="Arial"/>
          <w:bCs/>
          <w:color w:val="000000"/>
          <w:lang w:val="es-MX"/>
        </w:rPr>
        <w:lastRenderedPageBreak/>
        <w:t xml:space="preserve">información sino que </w:t>
      </w:r>
      <w:r w:rsidR="00DF4E18">
        <w:rPr>
          <w:rFonts w:ascii="Palatino Linotype" w:hAnsi="Palatino Linotype" w:cs="Arial"/>
          <w:bCs/>
          <w:color w:val="000000"/>
          <w:lang w:val="es-MX"/>
        </w:rPr>
        <w:t xml:space="preserve">ésta </w:t>
      </w:r>
      <w:r w:rsidRPr="004A0262">
        <w:rPr>
          <w:rFonts w:ascii="Palatino Linotype" w:hAnsi="Palatino Linotype" w:cs="Arial"/>
          <w:bCs/>
          <w:color w:val="000000"/>
          <w:lang w:val="es-MX"/>
        </w:rPr>
        <w:t xml:space="preserve">no había sido localizada, finalmente refiere que realizó una nueva búsqueda exhaustiva y razonable de la información, la cual </w:t>
      </w:r>
      <w:r w:rsidR="00DF4E18">
        <w:rPr>
          <w:rFonts w:ascii="Palatino Linotype" w:hAnsi="Palatino Linotype" w:cs="Arial"/>
          <w:bCs/>
          <w:color w:val="000000"/>
          <w:lang w:val="es-MX"/>
        </w:rPr>
        <w:t xml:space="preserve">adjunta al presente. </w:t>
      </w:r>
      <w:r w:rsidRPr="004A0262">
        <w:rPr>
          <w:rFonts w:ascii="Palatino Linotype" w:hAnsi="Palatino Linotype" w:cs="Arial"/>
          <w:bCs/>
          <w:color w:val="000000"/>
          <w:lang w:val="es-MX"/>
        </w:rPr>
        <w:t xml:space="preserve"> </w:t>
      </w:r>
    </w:p>
    <w:p w14:paraId="3A9BF736" w14:textId="5DFA70B5" w:rsidR="00DF4E18" w:rsidRPr="00B033A0" w:rsidRDefault="00DF4E18" w:rsidP="005A66AC">
      <w:pPr>
        <w:pStyle w:val="Prrafodelista"/>
        <w:numPr>
          <w:ilvl w:val="0"/>
          <w:numId w:val="24"/>
        </w:numPr>
        <w:spacing w:line="360" w:lineRule="auto"/>
        <w:jc w:val="both"/>
        <w:rPr>
          <w:rFonts w:ascii="Palatino Linotype" w:hAnsi="Palatino Linotype" w:cs="Arial"/>
          <w:color w:val="000000"/>
        </w:rPr>
      </w:pPr>
      <w:r>
        <w:rPr>
          <w:rFonts w:ascii="Palatino Linotype" w:hAnsi="Palatino Linotype" w:cs="Arial"/>
          <w:bCs/>
          <w:color w:val="000000"/>
          <w:lang w:val="es-MX"/>
        </w:rPr>
        <w:t xml:space="preserve">Oficio número </w:t>
      </w:r>
      <w:r>
        <w:rPr>
          <w:rFonts w:ascii="Palatino Linotype" w:hAnsi="Palatino Linotype" w:cs="Arial"/>
          <w:b/>
          <w:bCs/>
          <w:color w:val="000000"/>
          <w:lang w:val="es-MX"/>
        </w:rPr>
        <w:t xml:space="preserve">20500600000200S/0417/2022 </w:t>
      </w:r>
      <w:r>
        <w:rPr>
          <w:rFonts w:ascii="Palatino Linotype" w:hAnsi="Palatino Linotype" w:cs="Arial"/>
          <w:bCs/>
          <w:color w:val="000000"/>
          <w:lang w:val="es-MX"/>
        </w:rPr>
        <w:t xml:space="preserve">signado por el Delegado Administrativo de la Coordinación General de Protección Civil y Gestión Integral del Riesgo y dirigido a la Directora de Información, Planeación y Evaluación, de fecha diecisiete de marzo de dos mil veintidós, en síntesis expone que después de realizar una nueva búsqueda exhaustiva y razonable localizo la </w:t>
      </w:r>
      <w:r w:rsidRPr="00B033A0">
        <w:rPr>
          <w:rFonts w:ascii="Palatino Linotype" w:hAnsi="Palatino Linotype" w:cs="Arial"/>
          <w:bCs/>
          <w:color w:val="000000"/>
          <w:lang w:val="es-MX"/>
        </w:rPr>
        <w:t xml:space="preserve">información requerida. </w:t>
      </w:r>
    </w:p>
    <w:p w14:paraId="6BC2B4FB" w14:textId="440B48D0" w:rsidR="00DF4E18" w:rsidRPr="00B033A0" w:rsidRDefault="00DF4E18" w:rsidP="005A66AC">
      <w:pPr>
        <w:pStyle w:val="Prrafodelista"/>
        <w:numPr>
          <w:ilvl w:val="0"/>
          <w:numId w:val="24"/>
        </w:numPr>
        <w:spacing w:line="360" w:lineRule="auto"/>
        <w:jc w:val="both"/>
        <w:rPr>
          <w:rFonts w:ascii="Palatino Linotype" w:hAnsi="Palatino Linotype" w:cs="Arial"/>
          <w:color w:val="000000"/>
        </w:rPr>
      </w:pPr>
      <w:r w:rsidRPr="00B033A0">
        <w:rPr>
          <w:rFonts w:ascii="Palatino Linotype" w:hAnsi="Palatino Linotype" w:cs="Arial"/>
          <w:color w:val="000000"/>
        </w:rPr>
        <w:t xml:space="preserve">Dictamen de viabilidad número </w:t>
      </w:r>
      <w:r w:rsidRPr="00B033A0">
        <w:rPr>
          <w:rFonts w:ascii="Palatino Linotype" w:hAnsi="Palatino Linotype"/>
          <w:b/>
          <w:color w:val="000000"/>
        </w:rPr>
        <w:t xml:space="preserve">SGG/SSGG/SSSP/DGPC/O-1512/2003 </w:t>
      </w:r>
      <w:r w:rsidRPr="00B033A0">
        <w:rPr>
          <w:rFonts w:ascii="Palatino Linotype" w:hAnsi="Palatino Linotype"/>
          <w:color w:val="000000"/>
        </w:rPr>
        <w:t>signado por el Director General de Protección Civil, de fecha diecisiete de junio de dos mil tres, en términos generales emite Dictamen de Viabilidad Condicionado</w:t>
      </w:r>
      <w:r w:rsidR="000B01FF" w:rsidRPr="00B033A0">
        <w:rPr>
          <w:rFonts w:ascii="Palatino Linotype" w:hAnsi="Palatino Linotype"/>
          <w:color w:val="000000"/>
        </w:rPr>
        <w:t>.</w:t>
      </w:r>
    </w:p>
    <w:p w14:paraId="3398D1FF" w14:textId="1A5A1FA4" w:rsidR="00B033A0" w:rsidRPr="00B033A0" w:rsidRDefault="000B01FF" w:rsidP="005A66AC">
      <w:pPr>
        <w:pStyle w:val="Prrafodelista"/>
        <w:numPr>
          <w:ilvl w:val="0"/>
          <w:numId w:val="24"/>
        </w:numPr>
        <w:spacing w:line="360" w:lineRule="auto"/>
        <w:jc w:val="both"/>
        <w:rPr>
          <w:rFonts w:ascii="Palatino Linotype" w:hAnsi="Palatino Linotype" w:cs="Arial"/>
          <w:color w:val="000000"/>
        </w:rPr>
      </w:pPr>
      <w:r w:rsidRPr="00B033A0">
        <w:rPr>
          <w:rFonts w:ascii="Palatino Linotype" w:hAnsi="Palatino Linotype" w:cs="Arial"/>
          <w:color w:val="000000"/>
        </w:rPr>
        <w:t xml:space="preserve">Oficio </w:t>
      </w:r>
      <w:r w:rsidR="00B033A0" w:rsidRPr="00B033A0">
        <w:rPr>
          <w:rFonts w:ascii="Palatino Linotype" w:hAnsi="Palatino Linotype" w:cs="Arial"/>
          <w:color w:val="000000"/>
        </w:rPr>
        <w:t xml:space="preserve">número </w:t>
      </w:r>
      <w:r w:rsidR="00B033A0" w:rsidRPr="00B033A0">
        <w:rPr>
          <w:rFonts w:ascii="Palatino Linotype" w:hAnsi="Palatino Linotype" w:cs="Arial"/>
          <w:b/>
          <w:color w:val="000000"/>
        </w:rPr>
        <w:t xml:space="preserve">SGG/SSGG/SSSP/DGPC/O-3003/03 </w:t>
      </w:r>
      <w:r w:rsidR="00B033A0" w:rsidRPr="00B033A0">
        <w:rPr>
          <w:rFonts w:ascii="Palatino Linotype" w:hAnsi="Palatino Linotype" w:cs="Arial"/>
          <w:color w:val="000000"/>
        </w:rPr>
        <w:t xml:space="preserve">signado por el Director General de Protección Civil y dirigido a un particular, refiere la presentación de diversa documentación en copias simples. De igual forma, se le requiere acreditar la documentación referida en las condicionantes </w:t>
      </w:r>
      <w:r w:rsidR="00B033A0" w:rsidRPr="004A51D8">
        <w:rPr>
          <w:rFonts w:ascii="Palatino Linotype" w:hAnsi="Palatino Linotype" w:cs="Arial"/>
          <w:b/>
          <w:color w:val="000000"/>
        </w:rPr>
        <w:t>QUINTA</w:t>
      </w:r>
      <w:r w:rsidR="00B033A0" w:rsidRPr="00B033A0">
        <w:rPr>
          <w:rFonts w:ascii="Palatino Linotype" w:hAnsi="Palatino Linotype" w:cs="Arial"/>
          <w:color w:val="000000"/>
        </w:rPr>
        <w:t xml:space="preserve"> y </w:t>
      </w:r>
      <w:r w:rsidR="00B033A0" w:rsidRPr="004A51D8">
        <w:rPr>
          <w:rFonts w:ascii="Palatino Linotype" w:hAnsi="Palatino Linotype" w:cs="Arial"/>
          <w:b/>
          <w:color w:val="000000"/>
        </w:rPr>
        <w:t>OCTAVA</w:t>
      </w:r>
      <w:r w:rsidR="00B033A0" w:rsidRPr="00B033A0">
        <w:rPr>
          <w:rFonts w:ascii="Palatino Linotype" w:hAnsi="Palatino Linotype" w:cs="Arial"/>
          <w:color w:val="000000"/>
        </w:rPr>
        <w:t xml:space="preserve"> del Dictamen de viabilidad número </w:t>
      </w:r>
      <w:r w:rsidR="00B033A0" w:rsidRPr="00B033A0">
        <w:rPr>
          <w:rFonts w:ascii="Palatino Linotype" w:hAnsi="Palatino Linotype"/>
          <w:b/>
          <w:color w:val="000000"/>
        </w:rPr>
        <w:t>SGG/SSGG/SSSP/DGPC/O-1512/2003.</w:t>
      </w:r>
    </w:p>
    <w:p w14:paraId="2C333880" w14:textId="504638CC" w:rsidR="000B01FF" w:rsidRPr="00B033A0" w:rsidRDefault="00B033A0" w:rsidP="005A66AC">
      <w:pPr>
        <w:pStyle w:val="Prrafodelista"/>
        <w:numPr>
          <w:ilvl w:val="0"/>
          <w:numId w:val="24"/>
        </w:numPr>
        <w:spacing w:line="360" w:lineRule="auto"/>
        <w:jc w:val="both"/>
        <w:rPr>
          <w:rFonts w:ascii="Palatino Linotype" w:hAnsi="Palatino Linotype" w:cs="Arial"/>
          <w:color w:val="000000"/>
        </w:rPr>
      </w:pPr>
      <w:r w:rsidRPr="00B033A0">
        <w:rPr>
          <w:rFonts w:ascii="Palatino Linotype" w:hAnsi="Palatino Linotype" w:cs="Arial"/>
          <w:color w:val="000000"/>
        </w:rPr>
        <w:t xml:space="preserve">Oficio número </w:t>
      </w:r>
      <w:r w:rsidR="000B01FF" w:rsidRPr="00B033A0">
        <w:rPr>
          <w:rFonts w:ascii="Palatino Linotype" w:hAnsi="Palatino Linotype" w:cs="Arial"/>
          <w:b/>
          <w:color w:val="000000"/>
        </w:rPr>
        <w:t xml:space="preserve">SGG/SSGG/DGPC/O-4781/04 </w:t>
      </w:r>
      <w:r w:rsidR="000B01FF" w:rsidRPr="00B033A0">
        <w:rPr>
          <w:rFonts w:ascii="Palatino Linotype" w:hAnsi="Palatino Linotype" w:cs="Arial"/>
          <w:color w:val="000000"/>
        </w:rPr>
        <w:t xml:space="preserve">signado por el Director de Protección Civil y dirigido a un particular, de fecha ocho de diciembre de dos mil cuatro, en lo medular alude que los trabajos de obra e instalación fueron concluidos, que se cuentan con todas las medidas de seguridad </w:t>
      </w:r>
      <w:r w:rsidR="000B01FF" w:rsidRPr="00B033A0">
        <w:rPr>
          <w:rFonts w:ascii="Palatino Linotype" w:hAnsi="Palatino Linotype" w:cs="Arial"/>
          <w:color w:val="000000"/>
        </w:rPr>
        <w:lastRenderedPageBreak/>
        <w:t xml:space="preserve">necesarias, finalmente, que no se tiene mayor inconveniente para iniciar operaciones.    </w:t>
      </w:r>
    </w:p>
    <w:p w14:paraId="50977F09" w14:textId="72E2A80E" w:rsidR="00181884" w:rsidRPr="00181884" w:rsidRDefault="00181884" w:rsidP="009D6A1F">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b/>
          <w:bCs/>
          <w:color w:val="000000"/>
          <w:lang w:val="es-MX"/>
        </w:rPr>
        <w:t>“Alcance 0003530-03-2022-192139.pdf”:</w:t>
      </w:r>
      <w:r w:rsidR="000B01FF">
        <w:rPr>
          <w:rFonts w:ascii="Palatino Linotype" w:hAnsi="Palatino Linotype" w:cs="Arial"/>
          <w:b/>
          <w:bCs/>
          <w:color w:val="000000"/>
          <w:lang w:val="es-MX"/>
        </w:rPr>
        <w:t xml:space="preserve"> </w:t>
      </w:r>
      <w:r w:rsidR="000B01FF">
        <w:rPr>
          <w:rFonts w:ascii="Palatino Linotype" w:hAnsi="Palatino Linotype" w:cs="Arial"/>
          <w:bCs/>
          <w:color w:val="000000"/>
          <w:lang w:val="es-MX"/>
        </w:rPr>
        <w:t xml:space="preserve">Oficio número </w:t>
      </w:r>
      <w:r w:rsidR="000B01FF">
        <w:rPr>
          <w:rFonts w:ascii="Palatino Linotype" w:hAnsi="Palatino Linotype" w:cs="Arial"/>
          <w:b/>
          <w:bCs/>
          <w:color w:val="000000"/>
          <w:lang w:val="es-MX"/>
        </w:rPr>
        <w:t xml:space="preserve">20502001A/108/2022 </w:t>
      </w:r>
      <w:r w:rsidR="000B01FF">
        <w:rPr>
          <w:rFonts w:ascii="Palatino Linotype" w:hAnsi="Palatino Linotype" w:cs="Arial"/>
          <w:bCs/>
          <w:color w:val="000000"/>
          <w:lang w:val="es-MX"/>
        </w:rPr>
        <w:t xml:space="preserve">signado por la Directora y Titular de la Unidad de Transparencia y dirigido al Comisionado Ponente, </w:t>
      </w:r>
      <w:r w:rsidR="00B033A0">
        <w:rPr>
          <w:rFonts w:ascii="Palatino Linotype" w:hAnsi="Palatino Linotype" w:cs="Arial"/>
          <w:bCs/>
          <w:color w:val="000000"/>
          <w:lang w:val="es-MX"/>
        </w:rPr>
        <w:t xml:space="preserve">de fecha veintiocho de marzo de dos mil veintidós, refiere adjuntar Acta de la Centésima Vigésima Octava Sesión Extraordinaria del Comité de Transparencia de la Secretaría General de Gobierno. </w:t>
      </w:r>
    </w:p>
    <w:p w14:paraId="4181A0C6" w14:textId="66D6BCB5" w:rsidR="00181884" w:rsidRPr="00864079" w:rsidRDefault="00181884" w:rsidP="009D6A1F">
      <w:pPr>
        <w:pStyle w:val="Prrafodelista"/>
        <w:numPr>
          <w:ilvl w:val="0"/>
          <w:numId w:val="14"/>
        </w:numPr>
        <w:spacing w:line="360" w:lineRule="auto"/>
        <w:jc w:val="both"/>
        <w:rPr>
          <w:rFonts w:ascii="Palatino Linotype" w:hAnsi="Palatino Linotype" w:cs="Arial"/>
          <w:color w:val="000000"/>
        </w:rPr>
      </w:pPr>
      <w:r>
        <w:rPr>
          <w:rFonts w:ascii="Palatino Linotype" w:hAnsi="Palatino Linotype" w:cs="Arial"/>
          <w:b/>
          <w:bCs/>
          <w:color w:val="000000"/>
          <w:lang w:val="es-MX"/>
        </w:rPr>
        <w:t>“Acta 128-2022 Extraordinaria Sgg.pdf”:</w:t>
      </w:r>
      <w:r w:rsidR="00B033A0">
        <w:rPr>
          <w:rFonts w:ascii="Palatino Linotype" w:hAnsi="Palatino Linotype" w:cs="Arial"/>
          <w:b/>
          <w:bCs/>
          <w:color w:val="000000"/>
          <w:lang w:val="es-MX"/>
        </w:rPr>
        <w:t xml:space="preserve"> </w:t>
      </w:r>
      <w:r w:rsidR="00B033A0">
        <w:rPr>
          <w:rFonts w:ascii="Palatino Linotype" w:hAnsi="Palatino Linotype" w:cs="Arial"/>
          <w:bCs/>
          <w:color w:val="000000"/>
          <w:lang w:val="es-MX"/>
        </w:rPr>
        <w:t xml:space="preserve">Acta de la Centésima Vigésima Octava Sesión Extraordinaria del Comité de Transparencia de la Secretaría General de Gobierno, confirma la clasificación como confidencial de los datos personales contenidos en los documentos para atender el recurso de revisión </w:t>
      </w:r>
      <w:r w:rsidR="00B033A0">
        <w:rPr>
          <w:rFonts w:ascii="Palatino Linotype" w:hAnsi="Palatino Linotype" w:cs="Arial"/>
          <w:b/>
          <w:bCs/>
          <w:color w:val="000000"/>
          <w:lang w:val="es-MX"/>
        </w:rPr>
        <w:t xml:space="preserve">03530/INFOEM/IP/RR/2022 </w:t>
      </w:r>
      <w:r w:rsidR="00B033A0">
        <w:rPr>
          <w:rFonts w:ascii="Palatino Linotype" w:hAnsi="Palatino Linotype" w:cs="Arial"/>
          <w:bCs/>
          <w:color w:val="000000"/>
          <w:lang w:val="es-MX"/>
        </w:rPr>
        <w:t xml:space="preserve">derivado de la solicitud de información </w:t>
      </w:r>
      <w:r w:rsidR="00B033A0">
        <w:rPr>
          <w:rFonts w:ascii="Palatino Linotype" w:hAnsi="Palatino Linotype" w:cs="Arial"/>
          <w:b/>
          <w:bCs/>
          <w:color w:val="000000"/>
          <w:lang w:val="es-MX"/>
        </w:rPr>
        <w:t xml:space="preserve">00039/SEGEGOB/IP/2022. </w:t>
      </w:r>
    </w:p>
    <w:p w14:paraId="0677C314" w14:textId="77777777" w:rsidR="006655C9" w:rsidRDefault="006655C9" w:rsidP="006655C9">
      <w:pPr>
        <w:spacing w:after="0" w:line="360" w:lineRule="auto"/>
        <w:jc w:val="both"/>
        <w:rPr>
          <w:rFonts w:ascii="Palatino Linotype" w:hAnsi="Palatino Linotype" w:cs="Arial"/>
          <w:color w:val="000000"/>
          <w:sz w:val="24"/>
          <w:lang w:val="es-ES_tradnl"/>
        </w:rPr>
      </w:pPr>
    </w:p>
    <w:p w14:paraId="031E7775" w14:textId="192F093A" w:rsidR="008F4D72" w:rsidRPr="00110F13" w:rsidRDefault="002E0E87" w:rsidP="00E12542">
      <w:pPr>
        <w:spacing w:line="360" w:lineRule="auto"/>
        <w:jc w:val="both"/>
        <w:rPr>
          <w:rFonts w:ascii="Palatino Linotype" w:hAnsi="Palatino Linotype"/>
          <w:sz w:val="24"/>
          <w:szCs w:val="24"/>
        </w:rPr>
      </w:pPr>
      <w:r w:rsidRPr="00110F13">
        <w:rPr>
          <w:rFonts w:ascii="Palatino Linotype" w:hAnsi="Palatino Linotype"/>
          <w:sz w:val="24"/>
          <w:szCs w:val="24"/>
        </w:rPr>
        <w:t xml:space="preserve">De ahí que deba arribarse a la premisa de </w:t>
      </w:r>
      <w:r w:rsidR="000B1250" w:rsidRPr="00110F13">
        <w:rPr>
          <w:rFonts w:ascii="Palatino Linotype" w:hAnsi="Palatino Linotype"/>
          <w:sz w:val="24"/>
          <w:szCs w:val="24"/>
        </w:rPr>
        <w:t>que,</w:t>
      </w:r>
      <w:r w:rsidRPr="00110F13">
        <w:rPr>
          <w:rFonts w:ascii="Palatino Linotype" w:hAnsi="Palatino Linotype"/>
          <w:sz w:val="24"/>
          <w:szCs w:val="24"/>
        </w:rPr>
        <w:t xml:space="preserve"> mediante informe justificado, </w:t>
      </w:r>
      <w:r w:rsidRPr="00110F13">
        <w:rPr>
          <w:rFonts w:ascii="Palatino Linotype" w:hAnsi="Palatino Linotype"/>
          <w:b/>
          <w:bCs/>
          <w:sz w:val="24"/>
          <w:szCs w:val="24"/>
        </w:rPr>
        <w:t xml:space="preserve">El Sujeto Obligado </w:t>
      </w:r>
      <w:r w:rsidRPr="00110F13">
        <w:rPr>
          <w:rFonts w:ascii="Palatino Linotype" w:hAnsi="Palatino Linotype"/>
          <w:sz w:val="24"/>
          <w:szCs w:val="24"/>
        </w:rPr>
        <w:t xml:space="preserve">remitió los soportes documentales vinculados con la solicitud de información </w:t>
      </w:r>
      <w:r w:rsidRPr="00110F13">
        <w:rPr>
          <w:rFonts w:ascii="Palatino Linotype" w:hAnsi="Palatino Linotype"/>
          <w:b/>
          <w:bCs/>
          <w:sz w:val="24"/>
          <w:szCs w:val="24"/>
        </w:rPr>
        <w:t xml:space="preserve">00039/SEGEGOB/IP/2022 </w:t>
      </w:r>
      <w:r w:rsidRPr="00110F13">
        <w:rPr>
          <w:rFonts w:ascii="Palatino Linotype" w:hAnsi="Palatino Linotype"/>
          <w:sz w:val="24"/>
          <w:szCs w:val="24"/>
        </w:rPr>
        <w:t>en versión pública</w:t>
      </w:r>
      <w:r w:rsidR="000B1250" w:rsidRPr="00110F13">
        <w:rPr>
          <w:rFonts w:ascii="Palatino Linotype" w:hAnsi="Palatino Linotype"/>
          <w:sz w:val="24"/>
          <w:szCs w:val="24"/>
        </w:rPr>
        <w:t xml:space="preserve">, la cual es sustentada por el Acuerdo del Comité de Transparencia correspondiente. </w:t>
      </w:r>
    </w:p>
    <w:p w14:paraId="5CA3B03E" w14:textId="64C4C79A" w:rsidR="002E0E87" w:rsidRPr="00110F13" w:rsidRDefault="002E0E87" w:rsidP="002E0E87">
      <w:pPr>
        <w:pStyle w:val="Sinespaciado"/>
        <w:spacing w:line="360" w:lineRule="auto"/>
        <w:jc w:val="both"/>
        <w:rPr>
          <w:rFonts w:ascii="Palatino Linotype" w:hAnsi="Palatino Linotype"/>
        </w:rPr>
      </w:pPr>
      <w:r w:rsidRPr="00110F13">
        <w:rPr>
          <w:rFonts w:ascii="Palatino Linotype" w:hAnsi="Palatino Linotype"/>
        </w:rPr>
        <w:t xml:space="preserve">En razón de lo anterior, si bien es cierto que el derecho de acceso a la información estriba medularmente en acceder a los soportes  documentales generados, poseídos o administrados por los </w:t>
      </w:r>
      <w:r w:rsidRPr="00110F13">
        <w:rPr>
          <w:rFonts w:ascii="Palatino Linotype" w:hAnsi="Palatino Linotype"/>
          <w:b/>
          <w:bCs/>
        </w:rPr>
        <w:t xml:space="preserve">Sujetos Obligados, </w:t>
      </w:r>
      <w:r w:rsidRPr="00110F13">
        <w:rPr>
          <w:rFonts w:ascii="Palatino Linotype" w:hAnsi="Palatino Linotype"/>
        </w:rPr>
        <w:t xml:space="preserve">lo cierto también es que se deberán de observar de </w:t>
      </w:r>
      <w:r w:rsidR="000B1250" w:rsidRPr="00110F13">
        <w:rPr>
          <w:rFonts w:ascii="Palatino Linotype" w:hAnsi="Palatino Linotype"/>
        </w:rPr>
        <w:t>manera diligente</w:t>
      </w:r>
      <w:r w:rsidRPr="00110F13">
        <w:rPr>
          <w:rFonts w:ascii="Palatino Linotype" w:hAnsi="Palatino Linotype"/>
        </w:rPr>
        <w:t xml:space="preserve"> las restricciones previstas en la normatividad aplicable. </w:t>
      </w:r>
    </w:p>
    <w:p w14:paraId="0EAD3170" w14:textId="1F1C6037" w:rsidR="002E0E87" w:rsidRPr="00110F13" w:rsidRDefault="002E0E87" w:rsidP="002E0E87">
      <w:pPr>
        <w:autoSpaceDE w:val="0"/>
        <w:autoSpaceDN w:val="0"/>
        <w:adjustRightInd w:val="0"/>
        <w:spacing w:before="240" w:line="360" w:lineRule="auto"/>
        <w:ind w:right="72"/>
        <w:jc w:val="both"/>
        <w:rPr>
          <w:rFonts w:ascii="Palatino Linotype" w:hAnsi="Palatino Linotype"/>
          <w:bCs/>
          <w:sz w:val="24"/>
          <w:szCs w:val="24"/>
        </w:rPr>
      </w:pPr>
      <w:r w:rsidRPr="00110F13">
        <w:rPr>
          <w:rFonts w:ascii="Palatino Linotype" w:hAnsi="Palatino Linotype"/>
          <w:sz w:val="24"/>
          <w:szCs w:val="24"/>
        </w:rPr>
        <w:lastRenderedPageBreak/>
        <w:t xml:space="preserve">En el caso en </w:t>
      </w:r>
      <w:r w:rsidR="000B1250" w:rsidRPr="00110F13">
        <w:rPr>
          <w:rFonts w:ascii="Palatino Linotype" w:hAnsi="Palatino Linotype"/>
          <w:sz w:val="24"/>
          <w:szCs w:val="24"/>
        </w:rPr>
        <w:t>concreto</w:t>
      </w:r>
      <w:r w:rsidRPr="00110F13">
        <w:rPr>
          <w:rFonts w:ascii="Palatino Linotype" w:hAnsi="Palatino Linotype"/>
          <w:sz w:val="24"/>
          <w:szCs w:val="24"/>
        </w:rPr>
        <w:t xml:space="preserve">, cobra especial relevancia el nombre de particulares como un </w:t>
      </w:r>
      <w:r w:rsidRPr="00110F13">
        <w:rPr>
          <w:rFonts w:ascii="Palatino Linotype" w:hAnsi="Palatino Linotype" w:cs="Arial"/>
          <w:bCs/>
          <w:iCs/>
          <w:sz w:val="24"/>
          <w:szCs w:val="24"/>
          <w:lang w:eastAsia="es-MX"/>
        </w:rPr>
        <w:t xml:space="preserve">atributo de la personalidad que designa e individualiza a una persona, </w:t>
      </w:r>
      <w:r w:rsidRPr="00110F13">
        <w:rPr>
          <w:rFonts w:ascii="Palatino Linotype" w:hAnsi="Palatino Linotype"/>
          <w:bCs/>
          <w:sz w:val="24"/>
          <w:szCs w:val="24"/>
        </w:rPr>
        <w:t xml:space="preserve">compuesto por un sustantivo propio y el primer apellido del padre y el primer apellido de la madre, en el orden que, de común acuerdo se determine, ello atendiendo a los artículos 2.13 y 2.14 del Código Civil del Estado de México. </w:t>
      </w:r>
    </w:p>
    <w:p w14:paraId="254E5348" w14:textId="77777777" w:rsidR="002E0E87" w:rsidRPr="00110F13" w:rsidRDefault="002E0E87" w:rsidP="00EA5DF5">
      <w:pPr>
        <w:pStyle w:val="Sinespaciado"/>
        <w:spacing w:line="360" w:lineRule="auto"/>
        <w:jc w:val="both"/>
        <w:rPr>
          <w:rFonts w:ascii="Palatino Linotype" w:hAnsi="Palatino Linotype"/>
          <w:bCs/>
        </w:rPr>
      </w:pPr>
      <w:r w:rsidRPr="00110F13">
        <w:rPr>
          <w:rFonts w:ascii="Palatino Linotype" w:hAnsi="Palatino Linotype"/>
          <w:bCs/>
        </w:rPr>
        <w:t xml:space="preserve">Circunstancia que de ser visible y otorgarse por los </w:t>
      </w:r>
      <w:r w:rsidRPr="00110F13">
        <w:rPr>
          <w:rFonts w:ascii="Palatino Linotype" w:hAnsi="Palatino Linotype"/>
          <w:b/>
        </w:rPr>
        <w:t>Sujetos Obligados</w:t>
      </w:r>
      <w:r w:rsidRPr="00110F13">
        <w:rPr>
          <w:rFonts w:ascii="Palatino Linotype" w:hAnsi="Palatino Linotype"/>
          <w:bCs/>
        </w:rPr>
        <w:t xml:space="preserve"> vulneraria el derecho de protección de datos personales de las personas mismas, siempre y cuando no se trate de personas físicas que:</w:t>
      </w:r>
    </w:p>
    <w:p w14:paraId="48DDB078" w14:textId="77777777" w:rsidR="002E0E87" w:rsidRPr="00110F13" w:rsidRDefault="002E0E87" w:rsidP="00EA5DF5">
      <w:pPr>
        <w:pStyle w:val="Sinespaciado"/>
        <w:numPr>
          <w:ilvl w:val="0"/>
          <w:numId w:val="29"/>
        </w:numPr>
        <w:spacing w:line="360" w:lineRule="auto"/>
        <w:jc w:val="both"/>
        <w:rPr>
          <w:rFonts w:ascii="Palatino Linotype" w:hAnsi="Palatino Linotype"/>
        </w:rPr>
      </w:pPr>
      <w:r w:rsidRPr="00110F13">
        <w:rPr>
          <w:rFonts w:ascii="Palatino Linotype" w:hAnsi="Palatino Linotype"/>
        </w:rPr>
        <w:t xml:space="preserve">Ejerzan funciones en el ámbito público. </w:t>
      </w:r>
    </w:p>
    <w:p w14:paraId="7BC7D816" w14:textId="77777777" w:rsidR="002E0E87" w:rsidRPr="00110F13" w:rsidRDefault="002E0E87" w:rsidP="00EA5DF5">
      <w:pPr>
        <w:pStyle w:val="Sinespaciado"/>
        <w:numPr>
          <w:ilvl w:val="0"/>
          <w:numId w:val="29"/>
        </w:numPr>
        <w:spacing w:line="360" w:lineRule="auto"/>
        <w:jc w:val="both"/>
        <w:rPr>
          <w:rFonts w:ascii="Palatino Linotype" w:hAnsi="Palatino Linotype"/>
        </w:rPr>
      </w:pPr>
      <w:r w:rsidRPr="00110F13">
        <w:rPr>
          <w:rFonts w:ascii="Palatino Linotype" w:hAnsi="Palatino Linotype"/>
        </w:rPr>
        <w:t xml:space="preserve">Practiquen actos de autoridad </w:t>
      </w:r>
    </w:p>
    <w:p w14:paraId="3CB9C4CB" w14:textId="77777777" w:rsidR="002E0E87" w:rsidRPr="00110F13" w:rsidRDefault="002E0E87" w:rsidP="00EA5DF5">
      <w:pPr>
        <w:pStyle w:val="Sinespaciado"/>
        <w:numPr>
          <w:ilvl w:val="0"/>
          <w:numId w:val="29"/>
        </w:numPr>
        <w:spacing w:line="360" w:lineRule="auto"/>
        <w:jc w:val="both"/>
        <w:rPr>
          <w:rFonts w:ascii="Palatino Linotype" w:hAnsi="Palatino Linotype"/>
        </w:rPr>
      </w:pPr>
      <w:r w:rsidRPr="00110F13">
        <w:rPr>
          <w:rFonts w:ascii="Palatino Linotype" w:hAnsi="Palatino Linotype"/>
        </w:rPr>
        <w:t xml:space="preserve">Sean titulares de licencias que involucren aprovechamientos de bienes, servicios y/o recursos públicos. </w:t>
      </w:r>
    </w:p>
    <w:p w14:paraId="3DBF82E0" w14:textId="77777777" w:rsidR="002E0E87" w:rsidRPr="00110F13" w:rsidRDefault="002E0E87" w:rsidP="002E0E87">
      <w:pPr>
        <w:pStyle w:val="Sinespaciado"/>
        <w:spacing w:line="360" w:lineRule="auto"/>
        <w:jc w:val="both"/>
        <w:rPr>
          <w:rFonts w:ascii="Palatino Linotype" w:hAnsi="Palatino Linotype"/>
        </w:rPr>
      </w:pPr>
    </w:p>
    <w:p w14:paraId="770CB120" w14:textId="1EA3D92D" w:rsidR="002E0E87" w:rsidRPr="00110F13" w:rsidRDefault="002E0E87" w:rsidP="002E0E87">
      <w:pPr>
        <w:pStyle w:val="Sinespaciado"/>
        <w:spacing w:line="360" w:lineRule="auto"/>
        <w:jc w:val="both"/>
        <w:rPr>
          <w:rFonts w:ascii="Palatino Linotype" w:hAnsi="Palatino Linotype"/>
          <w:bCs/>
        </w:rPr>
      </w:pPr>
      <w:r w:rsidRPr="00110F13">
        <w:rPr>
          <w:rFonts w:ascii="Palatino Linotype" w:hAnsi="Palatino Linotype"/>
          <w:bCs/>
        </w:rPr>
        <w:t xml:space="preserve">Hipótesis que se encuentran desvinculadas en el caso factico al tomar en consideración que los requerimientos giran </w:t>
      </w:r>
      <w:r w:rsidR="00EA5DF5" w:rsidRPr="00110F13">
        <w:rPr>
          <w:rFonts w:ascii="Palatino Linotype" w:hAnsi="Palatino Linotype"/>
          <w:bCs/>
        </w:rPr>
        <w:t>en torno</w:t>
      </w:r>
      <w:r w:rsidRPr="00110F13">
        <w:rPr>
          <w:rFonts w:ascii="Palatino Linotype" w:hAnsi="Palatino Linotype"/>
          <w:bCs/>
        </w:rPr>
        <w:t xml:space="preserve"> a una solicitud de construcción de carburación de una estación de gas LP (almacenamiento, distribución y comercialización)</w:t>
      </w:r>
      <w:r w:rsidR="00EA5DF5" w:rsidRPr="00110F13">
        <w:rPr>
          <w:rFonts w:ascii="Palatino Linotype" w:hAnsi="Palatino Linotype"/>
          <w:bCs/>
        </w:rPr>
        <w:t xml:space="preserve">. </w:t>
      </w:r>
    </w:p>
    <w:p w14:paraId="0ECF59DC" w14:textId="77777777" w:rsidR="000B1250" w:rsidRPr="00110F13" w:rsidRDefault="000B1250" w:rsidP="002E0E87">
      <w:pPr>
        <w:pStyle w:val="Sinespaciado"/>
        <w:spacing w:line="360" w:lineRule="auto"/>
        <w:jc w:val="both"/>
        <w:rPr>
          <w:rFonts w:ascii="Palatino Linotype" w:hAnsi="Palatino Linotype"/>
          <w:bCs/>
        </w:rPr>
      </w:pPr>
    </w:p>
    <w:p w14:paraId="42C49A9B" w14:textId="1545637B" w:rsidR="00EA5DF5" w:rsidRPr="00110F13" w:rsidRDefault="00EA5DF5" w:rsidP="002E0E87">
      <w:pPr>
        <w:pStyle w:val="Sinespaciado"/>
        <w:spacing w:line="360" w:lineRule="auto"/>
        <w:jc w:val="both"/>
        <w:rPr>
          <w:rFonts w:ascii="Palatino Linotype" w:hAnsi="Palatino Linotype"/>
          <w:bCs/>
        </w:rPr>
      </w:pPr>
      <w:r w:rsidRPr="00110F13">
        <w:rPr>
          <w:rFonts w:ascii="Palatino Linotype" w:hAnsi="Palatino Linotype"/>
          <w:bCs/>
        </w:rPr>
        <w:t xml:space="preserve">Robustece lo anterior, el criterio relevante </w:t>
      </w:r>
      <w:r w:rsidRPr="00110F13">
        <w:rPr>
          <w:rFonts w:ascii="Palatino Linotype" w:hAnsi="Palatino Linotype"/>
          <w:b/>
        </w:rPr>
        <w:t xml:space="preserve">01-2018 </w:t>
      </w:r>
      <w:r w:rsidRPr="00110F13">
        <w:rPr>
          <w:rFonts w:ascii="Palatino Linotype" w:hAnsi="Palatino Linotype"/>
          <w:bCs/>
        </w:rPr>
        <w:t>de la Segunda Época sustentado por el Órgano Garante local, cuyo texto y rubro disponen a la literalidad lo siguiente:</w:t>
      </w:r>
    </w:p>
    <w:p w14:paraId="22063243" w14:textId="6CDB70E0" w:rsidR="00EA5DF5" w:rsidRPr="00110F13" w:rsidRDefault="00EA5DF5" w:rsidP="00EA5DF5">
      <w:pPr>
        <w:pStyle w:val="Citas"/>
        <w:rPr>
          <w:b/>
          <w:bCs/>
          <w:shd w:val="clear" w:color="auto" w:fill="FFFFFF"/>
        </w:rPr>
      </w:pPr>
      <w:r w:rsidRPr="00110F13">
        <w:rPr>
          <w:b/>
          <w:bCs/>
          <w:shd w:val="clear" w:color="auto" w:fill="FFFFFF"/>
        </w:rPr>
        <w:t>NOMBRE DEL TITULAR DE UNA LICENCIA QUE NO INVOLUCRE EL APROVECHAMIENTO DE BIENES, SERVICIOS Y/O RECURSOS PÚBLICOS, CONSTITUYE UN DATO PERSONAL SUSCEPTIBLE DE CLASIFICAR COMO CONFIDENCIAL.</w:t>
      </w:r>
    </w:p>
    <w:p w14:paraId="2FCA6711" w14:textId="77777777" w:rsidR="00320D12" w:rsidRPr="00110F13" w:rsidRDefault="00320D12" w:rsidP="00320D12">
      <w:pPr>
        <w:pStyle w:val="Citas"/>
        <w:rPr>
          <w:rFonts w:cs="Arial,Bold"/>
          <w:b/>
          <w:bCs/>
        </w:rPr>
      </w:pPr>
      <w:r w:rsidRPr="00110F13">
        <w:lastRenderedPageBreak/>
        <w:t>El artículo 1, párrafo segundo de la Constitución Política de los Estados</w:t>
      </w:r>
      <w:r w:rsidRPr="00110F13">
        <w:rPr>
          <w:rFonts w:cs="Arial,Bold"/>
          <w:b/>
          <w:bCs/>
        </w:rPr>
        <w:t xml:space="preserve"> </w:t>
      </w:r>
      <w:r w:rsidRPr="00110F13">
        <w:t>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w:t>
      </w:r>
      <w:r w:rsidRPr="00110F13">
        <w:rPr>
          <w:rFonts w:cs="Arial,Bold"/>
          <w:b/>
          <w:bCs/>
        </w:rPr>
        <w:t xml:space="preserve"> </w:t>
      </w:r>
      <w:r w:rsidRPr="00110F13">
        <w:t>y/o recursos públicos, caso contrario se deberá clasificar como confidencial.</w:t>
      </w:r>
    </w:p>
    <w:p w14:paraId="0685AF35" w14:textId="77777777" w:rsidR="00320D12" w:rsidRPr="00110F13" w:rsidRDefault="00320D12" w:rsidP="00320D12">
      <w:pPr>
        <w:pStyle w:val="Citas"/>
      </w:pPr>
      <w:r w:rsidRPr="00110F13">
        <w:t>Resolución:</w:t>
      </w:r>
    </w:p>
    <w:p w14:paraId="61BA25A9" w14:textId="4BEBDC9C" w:rsidR="00320D12" w:rsidRPr="00320D12" w:rsidRDefault="00320D12" w:rsidP="00320D12">
      <w:pPr>
        <w:pStyle w:val="Citas"/>
        <w:rPr>
          <w:b/>
          <w:bCs/>
        </w:rPr>
      </w:pPr>
      <w:r w:rsidRPr="00110F13">
        <w:lastRenderedPageBreak/>
        <w:t xml:space="preserve">• 02835/INFOEM/IP/RR/2017. Ayuntamiento de Toluca. 07 de marzo de 2018. Por unanimidad. Comisionada Ponente Zulema Martínez Sánchez” </w:t>
      </w:r>
      <w:r w:rsidRPr="00110F13">
        <w:rPr>
          <w:b/>
          <w:bCs/>
        </w:rPr>
        <w:t>(Sic)</w:t>
      </w:r>
    </w:p>
    <w:p w14:paraId="2F757132" w14:textId="3CF40C17" w:rsidR="002E0E87" w:rsidRPr="002E0E87" w:rsidRDefault="002E0E87" w:rsidP="00E12542">
      <w:pPr>
        <w:spacing w:line="360" w:lineRule="auto"/>
        <w:jc w:val="both"/>
        <w:rPr>
          <w:rFonts w:ascii="Palatino Linotype" w:hAnsi="Palatino Linotype"/>
        </w:rPr>
      </w:pPr>
    </w:p>
    <w:p w14:paraId="55EE8677" w14:textId="77777777" w:rsidR="008F4D72" w:rsidRPr="00E5738E" w:rsidRDefault="008F4D72" w:rsidP="008F4D72">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lo que hace a las causas de sobreseimiento contenidas en el artículo 192 de la Ley de Transparencia y Acceso a la Información Pública del Estado de México y Municipios,</w:t>
      </w:r>
      <w:r w:rsidRPr="007D53D6">
        <w:rPr>
          <w:rFonts w:ascii="Palatino Linotype" w:hAnsi="Palatino Linotype"/>
          <w:noProof/>
          <w:color w:val="000000"/>
        </w:rPr>
        <w:t xml:space="preserve"> </w:t>
      </w:r>
      <w:r w:rsidRPr="00E5738E">
        <w:rPr>
          <w:rFonts w:ascii="Palatino Linotype" w:hAnsi="Palatino Linotype" w:cs="Arial"/>
          <w:sz w:val="24"/>
          <w:szCs w:val="24"/>
        </w:rPr>
        <w:t xml:space="preserve"> es oportuno señalar que estos requisitos privilegian la existencia de elementos de fondo, tales como el d</w:t>
      </w:r>
      <w:r>
        <w:rPr>
          <w:rFonts w:ascii="Palatino Linotype" w:hAnsi="Palatino Linotype" w:cs="Arial"/>
          <w:sz w:val="24"/>
          <w:szCs w:val="24"/>
        </w:rPr>
        <w:t>esistimiento o fallecimiento del</w:t>
      </w:r>
      <w:r w:rsidRPr="00E5738E">
        <w:rPr>
          <w:rFonts w:ascii="Palatino Linotype" w:hAnsi="Palatino Linotype" w:cs="Arial"/>
          <w:b/>
          <w:sz w:val="24"/>
          <w:szCs w:val="24"/>
        </w:rPr>
        <w:t xml:space="preserve"> Recurrente </w:t>
      </w:r>
      <w:r w:rsidRPr="00E5738E">
        <w:rPr>
          <w:rFonts w:ascii="Palatino Linotype" w:hAnsi="Palatino Linotype" w:cs="Arial"/>
          <w:sz w:val="24"/>
          <w:szCs w:val="24"/>
        </w:rPr>
        <w:t xml:space="preserve">o que el </w:t>
      </w:r>
      <w:r w:rsidRPr="00E5738E">
        <w:rPr>
          <w:rFonts w:ascii="Palatino Linotype" w:hAnsi="Palatino Linotype" w:cs="Arial"/>
          <w:b/>
          <w:sz w:val="24"/>
          <w:szCs w:val="24"/>
        </w:rPr>
        <w:t xml:space="preserve">Sujeto Obligado </w:t>
      </w:r>
      <w:r>
        <w:rPr>
          <w:rFonts w:ascii="Palatino Linotype" w:hAnsi="Palatino Linotype" w:cs="Arial"/>
          <w:b/>
          <w:sz w:val="24"/>
          <w:szCs w:val="24"/>
          <w:u w:val="single"/>
        </w:rPr>
        <w:t>revoque</w:t>
      </w:r>
      <w:r w:rsidRPr="00E5738E">
        <w:rPr>
          <w:rFonts w:ascii="Palatino Linotype" w:hAnsi="Palatino Linotype" w:cs="Arial"/>
          <w:b/>
          <w:sz w:val="24"/>
          <w:szCs w:val="24"/>
          <w:u w:val="single"/>
        </w:rPr>
        <w:t xml:space="preserve"> el acto;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3AA976C5" w14:textId="77777777" w:rsidR="008F4D72" w:rsidRDefault="008F4D72" w:rsidP="008F4D72">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123E40DB"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“Época: Novena</w:t>
      </w:r>
    </w:p>
    <w:p w14:paraId="794ACA80"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168019</w:t>
      </w:r>
    </w:p>
    <w:p w14:paraId="45479280"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65CC1808"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sidRPr="009C1A6C">
        <w:rPr>
          <w:rFonts w:ascii="Palatino Linotype" w:hAnsi="Palatino Linotype"/>
          <w:i/>
          <w:sz w:val="22"/>
          <w:szCs w:val="22"/>
        </w:rPr>
        <w:t xml:space="preserve">Fuente: Semanario </w:t>
      </w:r>
      <w:r>
        <w:rPr>
          <w:rFonts w:ascii="Palatino Linotype" w:hAnsi="Palatino Linotype"/>
          <w:i/>
          <w:sz w:val="22"/>
          <w:szCs w:val="22"/>
        </w:rPr>
        <w:t>judicial de la federación y su G</w:t>
      </w:r>
      <w:r w:rsidRPr="009C1A6C">
        <w:rPr>
          <w:rFonts w:ascii="Palatino Linotype" w:hAnsi="Palatino Linotype"/>
          <w:i/>
          <w:sz w:val="22"/>
          <w:szCs w:val="22"/>
        </w:rPr>
        <w:t>aceta</w:t>
      </w:r>
    </w:p>
    <w:p w14:paraId="61C2DB72" w14:textId="77777777" w:rsidR="008F4D72"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Tomo XXIX, Enero de 2009</w:t>
      </w:r>
    </w:p>
    <w:p w14:paraId="0B699DE0" w14:textId="77777777" w:rsidR="008F4D72"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Común</w:t>
      </w:r>
    </w:p>
    <w:p w14:paraId="6DDA5EB5"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lastRenderedPageBreak/>
        <w:t>Tesis: I.7o.C.54 K</w:t>
      </w:r>
    </w:p>
    <w:p w14:paraId="6D7038C4" w14:textId="77777777" w:rsidR="008F4D72" w:rsidRPr="009C1A6C" w:rsidRDefault="008F4D72" w:rsidP="008F4D72">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2837</w:t>
      </w:r>
    </w:p>
    <w:p w14:paraId="053EB084" w14:textId="77777777" w:rsidR="008F4D72" w:rsidRPr="0004467E" w:rsidRDefault="008F4D72" w:rsidP="008F4D72">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51066E6D" w14:textId="77777777" w:rsidR="008F4D72" w:rsidRPr="0004467E" w:rsidRDefault="008F4D72" w:rsidP="008F4D72">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7EC72775" w14:textId="77777777" w:rsidR="008F4D72" w:rsidRPr="0004467E" w:rsidRDefault="008F4D72" w:rsidP="008F4D72">
      <w:pPr>
        <w:spacing w:line="360" w:lineRule="auto"/>
        <w:ind w:left="851" w:right="851"/>
        <w:jc w:val="both"/>
        <w:rPr>
          <w:rFonts w:ascii="Palatino Linotype" w:hAnsi="Palatino Linotype" w:cs="Arial"/>
          <w:b/>
          <w:i/>
        </w:rPr>
      </w:pPr>
      <w:r w:rsidRPr="0004467E">
        <w:rPr>
          <w:rFonts w:ascii="Palatino Linotype" w:hAnsi="Palatino Linotype" w:cs="Arial"/>
          <w:b/>
          <w:i/>
        </w:rPr>
        <w:t>SÉPTIMO TRIBUNAL COLEGIADO EN MATERIA CIVIL DEL PRIMER CIRCUITO.</w:t>
      </w:r>
    </w:p>
    <w:p w14:paraId="3941A7DE" w14:textId="77777777" w:rsidR="008F4D72" w:rsidRPr="0004467E" w:rsidRDefault="008F4D72" w:rsidP="008F4D72">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26D1CCF0" w14:textId="77777777" w:rsidR="008F4D72" w:rsidRPr="0004467E" w:rsidRDefault="008F4D72" w:rsidP="008F4D72">
      <w:pPr>
        <w:ind w:right="141"/>
        <w:jc w:val="both"/>
        <w:rPr>
          <w:rFonts w:ascii="Palatino Linotype" w:hAnsi="Palatino Linotype" w:cs="Arial"/>
        </w:rPr>
      </w:pPr>
    </w:p>
    <w:p w14:paraId="59AFCC22" w14:textId="77777777" w:rsidR="008F4D72" w:rsidRPr="0004467E" w:rsidRDefault="008F4D72" w:rsidP="008F4D72">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w:t>
      </w:r>
      <w:r w:rsidRPr="0004467E">
        <w:rPr>
          <w:rFonts w:ascii="Palatino Linotype" w:hAnsi="Palatino Linotype" w:cs="Arial"/>
          <w:b/>
          <w:sz w:val="24"/>
          <w:szCs w:val="24"/>
        </w:rPr>
        <w:lastRenderedPageBreak/>
        <w:t xml:space="preserve">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48370FFD" w14:textId="77777777" w:rsidR="008F4D72" w:rsidRPr="0004467E" w:rsidRDefault="008F4D72" w:rsidP="008F4D72">
      <w:pPr>
        <w:spacing w:line="360" w:lineRule="auto"/>
        <w:jc w:val="both"/>
        <w:rPr>
          <w:rFonts w:ascii="Palatino Linotype" w:hAnsi="Palatino Linotype" w:cs="Arial"/>
          <w:b/>
          <w:sz w:val="24"/>
          <w:szCs w:val="24"/>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III </w:t>
      </w:r>
      <w:r w:rsidRPr="0004467E">
        <w:rPr>
          <w:rFonts w:ascii="Palatino Linotype" w:hAnsi="Palatino Linotype" w:cs="Arial"/>
          <w:sz w:val="24"/>
          <w:szCs w:val="24"/>
        </w:rPr>
        <w:t xml:space="preserve">de la disposición legal transcrita. Así, procede el sobreseimiento del recurso de revisión cuando el </w:t>
      </w:r>
      <w:r w:rsidRPr="0004467E">
        <w:rPr>
          <w:rFonts w:ascii="Palatino Linotype" w:hAnsi="Palatino Linotype" w:cs="Arial"/>
          <w:b/>
          <w:sz w:val="24"/>
          <w:szCs w:val="24"/>
        </w:rPr>
        <w:t xml:space="preserve">Sujeto Obligado: </w:t>
      </w:r>
    </w:p>
    <w:p w14:paraId="036D3C5F" w14:textId="77777777" w:rsidR="008F4D72" w:rsidRPr="009D68FF" w:rsidRDefault="008F4D72" w:rsidP="008F4D72">
      <w:pPr>
        <w:pStyle w:val="Prrafodelista"/>
        <w:numPr>
          <w:ilvl w:val="0"/>
          <w:numId w:val="25"/>
        </w:numPr>
        <w:spacing w:line="360" w:lineRule="auto"/>
        <w:ind w:right="851"/>
        <w:jc w:val="both"/>
        <w:rPr>
          <w:rFonts w:ascii="Palatino Linotype" w:hAnsi="Palatino Linotype" w:cs="Arial"/>
          <w:b/>
        </w:rPr>
      </w:pPr>
      <w:r>
        <w:rPr>
          <w:rFonts w:ascii="Palatino Linotype" w:hAnsi="Palatino Linotype" w:cs="Arial"/>
          <w:b/>
        </w:rPr>
        <w:t>Revocar</w:t>
      </w:r>
      <w:r w:rsidRPr="0004467E">
        <w:rPr>
          <w:rFonts w:ascii="Palatino Linotype" w:hAnsi="Palatino Linotype" w:cs="Arial"/>
          <w:b/>
        </w:rPr>
        <w:t xml:space="preserve"> el acto impugnado: </w:t>
      </w:r>
      <w:r w:rsidRPr="0004467E">
        <w:rPr>
          <w:rFonts w:ascii="Palatino Linotype" w:hAnsi="Palatino Linotype" w:cs="Arial"/>
        </w:rPr>
        <w:t xml:space="preserve">Se actualiza cuando el </w:t>
      </w:r>
      <w:r w:rsidRPr="0004467E">
        <w:rPr>
          <w:rFonts w:ascii="Palatino Linotype" w:hAnsi="Palatino Linotype" w:cs="Arial"/>
          <w:b/>
        </w:rPr>
        <w:t xml:space="preserve">Sujeto Obligado </w:t>
      </w:r>
      <w:r w:rsidRPr="0004467E">
        <w:rPr>
          <w:rFonts w:ascii="Palatino Linotype" w:hAnsi="Palatino Linotype" w:cs="Arial"/>
        </w:rPr>
        <w:t xml:space="preserve">después de haber otorgado una respuesta y hasta antes de dictada la resolución del recurso de revisión, emite una </w:t>
      </w:r>
      <w:r>
        <w:rPr>
          <w:rFonts w:ascii="Palatino Linotype" w:hAnsi="Palatino Linotype" w:cs="Arial"/>
        </w:rPr>
        <w:t xml:space="preserve">totalmente </w:t>
      </w:r>
      <w:r w:rsidRPr="0004467E">
        <w:rPr>
          <w:rFonts w:ascii="Palatino Linotype" w:hAnsi="Palatino Linotype" w:cs="Arial"/>
        </w:rPr>
        <w:t>diversa</w:t>
      </w:r>
      <w:r>
        <w:rPr>
          <w:rFonts w:ascii="Palatino Linotype" w:hAnsi="Palatino Linotype" w:cs="Arial"/>
        </w:rPr>
        <w:t xml:space="preserve">. </w:t>
      </w:r>
    </w:p>
    <w:p w14:paraId="10B1CBBA" w14:textId="77777777" w:rsidR="008F4D72" w:rsidRPr="00E5738E" w:rsidRDefault="008F4D72" w:rsidP="008F4D72">
      <w:pPr>
        <w:pStyle w:val="Prrafodelista"/>
        <w:spacing w:line="360" w:lineRule="auto"/>
        <w:ind w:left="720" w:right="851"/>
        <w:jc w:val="both"/>
        <w:rPr>
          <w:rFonts w:ascii="Palatino Linotype" w:hAnsi="Palatino Linotype" w:cs="Arial"/>
          <w:b/>
        </w:rPr>
      </w:pPr>
    </w:p>
    <w:p w14:paraId="0FE14F6D" w14:textId="77777777" w:rsidR="008F4D72" w:rsidRPr="0004467E" w:rsidRDefault="008F4D72" w:rsidP="008F4D72">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En este tenor, se advierte que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con la información enviada a este Órgano Garante, </w:t>
      </w:r>
      <w:r w:rsidRPr="006B52A3">
        <w:rPr>
          <w:rFonts w:ascii="Palatino Linotype" w:hAnsi="Palatino Linotype" w:cs="Arial"/>
          <w:b/>
          <w:sz w:val="24"/>
          <w:szCs w:val="24"/>
          <w:u w:val="single"/>
        </w:rPr>
        <w:t>revoca</w:t>
      </w:r>
      <w:r w:rsidRPr="0004467E">
        <w:rPr>
          <w:rFonts w:ascii="Palatino Linotype" w:hAnsi="Palatino Linotype" w:cs="Arial"/>
          <w:b/>
          <w:sz w:val="24"/>
          <w:szCs w:val="24"/>
        </w:rPr>
        <w:t xml:space="preserve"> </w:t>
      </w:r>
      <w:r w:rsidRPr="0004467E">
        <w:rPr>
          <w:rFonts w:ascii="Palatino Linotype" w:hAnsi="Palatino Linotype" w:cs="Arial"/>
          <w:sz w:val="24"/>
          <w:szCs w:val="24"/>
        </w:rPr>
        <w:t>el acto que le dio origen a</w:t>
      </w:r>
      <w:r>
        <w:rPr>
          <w:rFonts w:ascii="Palatino Linotype" w:hAnsi="Palatino Linotype" w:cs="Arial"/>
          <w:sz w:val="24"/>
          <w:szCs w:val="24"/>
        </w:rPr>
        <w:t>l</w:t>
      </w:r>
      <w:r w:rsidRPr="0004467E">
        <w:rPr>
          <w:rFonts w:ascii="Palatino Linotype" w:hAnsi="Palatino Linotype" w:cs="Arial"/>
          <w:sz w:val="24"/>
          <w:szCs w:val="24"/>
        </w:rPr>
        <w:t xml:space="preserve"> recurso de revisión, </w:t>
      </w:r>
      <w:r w:rsidRPr="0004467E">
        <w:rPr>
          <w:rFonts w:ascii="Palatino Linotype" w:hAnsi="Palatino Linotype" w:cs="Arial"/>
          <w:b/>
          <w:sz w:val="24"/>
          <w:szCs w:val="24"/>
        </w:rPr>
        <w:t xml:space="preserve">por lo que trae como consecuencia que </w:t>
      </w:r>
      <w:r>
        <w:rPr>
          <w:rFonts w:ascii="Palatino Linotype" w:hAnsi="Palatino Linotype" w:cs="Arial"/>
          <w:b/>
          <w:sz w:val="24"/>
          <w:szCs w:val="24"/>
        </w:rPr>
        <w:t>el mismo</w:t>
      </w:r>
      <w:r w:rsidRPr="0004467E">
        <w:rPr>
          <w:rFonts w:ascii="Palatino Linotype" w:hAnsi="Palatino Linotype" w:cs="Arial"/>
          <w:b/>
          <w:sz w:val="24"/>
          <w:szCs w:val="24"/>
        </w:rPr>
        <w:t xml:space="preserve"> quede sin materia, </w:t>
      </w:r>
      <w:r w:rsidRPr="0004467E">
        <w:rPr>
          <w:rFonts w:ascii="Palatino Linotype" w:hAnsi="Palatino Linotype" w:cs="Arial"/>
          <w:sz w:val="24"/>
          <w:szCs w:val="24"/>
        </w:rPr>
        <w:t xml:space="preserve">actualizándose de este modo, la hipótesis jurídica contenida en la fracción III del artículo 192. </w:t>
      </w:r>
    </w:p>
    <w:p w14:paraId="51B0CC8F" w14:textId="77777777" w:rsidR="008F4D72" w:rsidRPr="0004467E" w:rsidRDefault="008F4D72" w:rsidP="008F4D72">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cuando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Sujeto Obligado</w:t>
      </w:r>
      <w:r w:rsidRPr="0004467E">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r w:rsidRPr="0004467E">
        <w:rPr>
          <w:rFonts w:ascii="Palatino Linotype" w:hAnsi="Palatino Linotype" w:cs="Arial"/>
          <w:b/>
          <w:i/>
          <w:sz w:val="24"/>
          <w:szCs w:val="24"/>
        </w:rPr>
        <w:t xml:space="preserve">litis </w:t>
      </w:r>
      <w:r w:rsidRPr="0004467E">
        <w:rPr>
          <w:rFonts w:ascii="Palatino Linotype" w:hAnsi="Palatino Linotype" w:cs="Arial"/>
          <w:sz w:val="24"/>
          <w:szCs w:val="24"/>
        </w:rPr>
        <w:t xml:space="preserve">planteada, debido a que la afectación en su esfera de derechos fue restituida por la propia autoridad que emitió el acto de impugnación. </w:t>
      </w:r>
    </w:p>
    <w:p w14:paraId="06A45A20" w14:textId="77777777" w:rsidR="008F4D72" w:rsidRDefault="008F4D72" w:rsidP="008F4D72">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6A223EBC" w14:textId="2D77D2CA" w:rsidR="008F4D72" w:rsidRPr="00717553" w:rsidRDefault="008F4D72" w:rsidP="008F4D72">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lastRenderedPageBreak/>
        <w:t xml:space="preserve">En mérito de lo expuesto en líneas anteriores, resultan fundados los motivos de inconformidad que arguye </w:t>
      </w:r>
      <w:r>
        <w:rPr>
          <w:rFonts w:ascii="Palatino Linotype" w:hAnsi="Palatino Linotype" w:cs="Arial"/>
          <w:b/>
          <w:sz w:val="24"/>
          <w:szCs w:val="24"/>
        </w:rPr>
        <w:t>El</w:t>
      </w:r>
      <w:r w:rsidRPr="002E3488">
        <w:rPr>
          <w:rFonts w:ascii="Palatino Linotype" w:hAnsi="Palatino Linotype" w:cs="Arial"/>
          <w:b/>
          <w:sz w:val="24"/>
          <w:szCs w:val="24"/>
        </w:rPr>
        <w:t xml:space="preserve"> Recurrente </w:t>
      </w:r>
      <w:r w:rsidRPr="002E3488">
        <w:rPr>
          <w:rFonts w:ascii="Palatino Linotype" w:hAnsi="Palatino Linotype" w:cs="Arial"/>
          <w:sz w:val="24"/>
          <w:szCs w:val="24"/>
        </w:rPr>
        <w:t>en s</w:t>
      </w:r>
      <w:r>
        <w:rPr>
          <w:rFonts w:ascii="Palatino Linotype" w:hAnsi="Palatino Linotype" w:cs="Arial"/>
          <w:sz w:val="24"/>
          <w:szCs w:val="24"/>
        </w:rPr>
        <w:t>u medio de impugnación que fue</w:t>
      </w:r>
      <w:r w:rsidRPr="002E3488">
        <w:rPr>
          <w:rFonts w:ascii="Palatino Linotype" w:hAnsi="Palatino Linotype" w:cs="Arial"/>
          <w:sz w:val="24"/>
          <w:szCs w:val="24"/>
        </w:rPr>
        <w:t xml:space="preserve"> materia de estudio, por ello </w:t>
      </w:r>
      <w:r w:rsidRPr="002E3488">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sidRPr="002E3488">
        <w:rPr>
          <w:rFonts w:ascii="Palatino Linotype" w:hAnsi="Palatino Linotype" w:cs="Arial"/>
          <w:sz w:val="24"/>
          <w:szCs w:val="24"/>
        </w:rPr>
        <w:t xml:space="preserve">se </w:t>
      </w:r>
      <w:r w:rsidRPr="002E3488">
        <w:rPr>
          <w:rFonts w:ascii="Palatino Linotype" w:hAnsi="Palatino Linotype" w:cs="Arial"/>
          <w:b/>
          <w:sz w:val="24"/>
          <w:szCs w:val="24"/>
        </w:rPr>
        <w:t xml:space="preserve">SOBRESEE </w:t>
      </w:r>
      <w:r w:rsidRPr="002E3488">
        <w:rPr>
          <w:rFonts w:ascii="Palatino Linotype" w:hAnsi="Palatino Linotype" w:cs="Arial"/>
          <w:sz w:val="24"/>
          <w:szCs w:val="24"/>
        </w:rPr>
        <w:t xml:space="preserve">el recurso de revisión </w:t>
      </w:r>
      <w:r w:rsidRPr="002E3488">
        <w:rPr>
          <w:rFonts w:ascii="Palatino Linotype" w:hAnsi="Palatino Linotype" w:cs="Arial"/>
          <w:b/>
          <w:sz w:val="24"/>
          <w:szCs w:val="24"/>
          <w:lang w:val="es-ES_tradnl"/>
        </w:rPr>
        <w:t>0</w:t>
      </w:r>
      <w:r>
        <w:rPr>
          <w:rFonts w:ascii="Palatino Linotype" w:hAnsi="Palatino Linotype" w:cs="Arial"/>
          <w:b/>
          <w:sz w:val="24"/>
          <w:szCs w:val="24"/>
          <w:lang w:val="es-ES_tradnl"/>
        </w:rPr>
        <w:t>3530</w:t>
      </w:r>
      <w:r w:rsidRPr="002E3488">
        <w:rPr>
          <w:rFonts w:ascii="Palatino Linotype" w:hAnsi="Palatino Linotype" w:cs="Arial"/>
          <w:b/>
          <w:sz w:val="24"/>
          <w:szCs w:val="24"/>
          <w:lang w:val="es-ES_tradnl"/>
        </w:rPr>
        <w:t>/INFOEM/IP/RR/20</w:t>
      </w:r>
      <w:r>
        <w:rPr>
          <w:rFonts w:ascii="Palatino Linotype" w:hAnsi="Palatino Linotype" w:cs="Arial"/>
          <w:b/>
          <w:sz w:val="24"/>
          <w:szCs w:val="24"/>
          <w:lang w:val="es-ES_tradnl"/>
        </w:rPr>
        <w:t>22</w:t>
      </w:r>
      <w:r w:rsidRPr="002E3488">
        <w:rPr>
          <w:rFonts w:ascii="Palatino Linotype" w:hAnsi="Palatino Linotype" w:cs="Arial"/>
          <w:b/>
          <w:sz w:val="24"/>
          <w:szCs w:val="24"/>
          <w:lang w:val="es-ES_tradnl"/>
        </w:rPr>
        <w:t xml:space="preserve">, </w:t>
      </w:r>
      <w:r w:rsidRPr="002E3488">
        <w:rPr>
          <w:rFonts w:ascii="Palatino Linotype" w:hAnsi="Palatino Linotype" w:cs="Arial"/>
          <w:sz w:val="24"/>
          <w:szCs w:val="24"/>
          <w:lang w:val="es-ES_tradnl"/>
        </w:rPr>
        <w:t>que ha sido materia del presente fallo.</w:t>
      </w:r>
      <w:r>
        <w:rPr>
          <w:rFonts w:ascii="Palatino Linotype" w:hAnsi="Palatino Linotype" w:cs="Arial"/>
          <w:sz w:val="24"/>
          <w:szCs w:val="24"/>
          <w:lang w:val="es-ES_tradnl"/>
        </w:rPr>
        <w:t xml:space="preserve"> </w:t>
      </w:r>
    </w:p>
    <w:p w14:paraId="3ECDAC95" w14:textId="77777777" w:rsidR="008F4D72" w:rsidRPr="00523CF0" w:rsidRDefault="008F4D72" w:rsidP="008F4D72">
      <w:pPr>
        <w:tabs>
          <w:tab w:val="left" w:pos="709"/>
        </w:tabs>
        <w:spacing w:before="240" w:line="360" w:lineRule="auto"/>
        <w:ind w:right="51"/>
        <w:jc w:val="both"/>
        <w:rPr>
          <w:rFonts w:ascii="Palatino Linotype" w:hAnsi="Palatino Linotype"/>
          <w:sz w:val="24"/>
          <w:szCs w:val="24"/>
        </w:rPr>
      </w:pPr>
      <w:r w:rsidRPr="00523CF0">
        <w:rPr>
          <w:rFonts w:ascii="Palatino Linotype" w:hAnsi="Palatino Linotype"/>
          <w:sz w:val="24"/>
          <w:szCs w:val="24"/>
        </w:rPr>
        <w:t>Por lo antes expuesto y fundado es de resolverse y;</w:t>
      </w:r>
    </w:p>
    <w:p w14:paraId="42D96DFD" w14:textId="77777777" w:rsidR="008F4D72" w:rsidRDefault="008F4D72" w:rsidP="00E12542">
      <w:pPr>
        <w:spacing w:line="360" w:lineRule="auto"/>
        <w:jc w:val="both"/>
        <w:rPr>
          <w:rFonts w:ascii="Palatino Linotype" w:hAnsi="Palatino Linotype"/>
          <w:sz w:val="24"/>
          <w:szCs w:val="24"/>
        </w:rPr>
      </w:pPr>
    </w:p>
    <w:p w14:paraId="0B81058F"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4A71B21C" w14:textId="682CEF7B" w:rsidR="008F4D72" w:rsidRPr="00717553" w:rsidRDefault="008F4D72" w:rsidP="008F4D72">
      <w:pPr>
        <w:spacing w:before="240" w:line="360" w:lineRule="auto"/>
        <w:jc w:val="both"/>
        <w:rPr>
          <w:rFonts w:ascii="Palatino Linotype" w:hAnsi="Palatino Linotype" w:cs="Arial"/>
          <w:sz w:val="24"/>
          <w:szCs w:val="24"/>
          <w:lang w:val="es-ES_tradnl"/>
        </w:rPr>
      </w:pPr>
      <w:r w:rsidRPr="00AF55AC">
        <w:rPr>
          <w:rFonts w:ascii="Palatino Linotype" w:hAnsi="Palatino Linotype" w:cs="Arial"/>
          <w:b/>
          <w:sz w:val="28"/>
          <w:szCs w:val="28"/>
          <w:lang w:val="es-ES_tradnl"/>
        </w:rPr>
        <w:t>PRIMERO.</w:t>
      </w:r>
      <w:r w:rsidRPr="00AF55AC">
        <w:rPr>
          <w:rFonts w:ascii="Palatino Linotype" w:hAnsi="Palatino Linotype" w:cs="Arial"/>
          <w:lang w:val="es-ES_tradnl"/>
        </w:rPr>
        <w:t xml:space="preserve"> </w:t>
      </w:r>
      <w:r w:rsidRPr="00AF55AC">
        <w:rPr>
          <w:rFonts w:ascii="Palatino Linotype" w:hAnsi="Palatino Linotype" w:cs="Arial"/>
          <w:sz w:val="24"/>
          <w:szCs w:val="24"/>
          <w:lang w:val="es-ES_tradnl"/>
        </w:rPr>
        <w:t xml:space="preserve">Se </w:t>
      </w:r>
      <w:r w:rsidRPr="00AF55AC">
        <w:rPr>
          <w:rFonts w:ascii="Palatino Linotype" w:hAnsi="Palatino Linotype" w:cs="Arial"/>
          <w:b/>
          <w:sz w:val="24"/>
          <w:szCs w:val="24"/>
          <w:lang w:val="es-ES_tradnl"/>
        </w:rPr>
        <w:t xml:space="preserve">SOBRESEE </w:t>
      </w:r>
      <w:r w:rsidRPr="00AF55AC">
        <w:rPr>
          <w:rFonts w:ascii="Palatino Linotype" w:hAnsi="Palatino Linotype" w:cs="Arial"/>
          <w:sz w:val="24"/>
          <w:szCs w:val="24"/>
          <w:lang w:val="es-ES_tradnl"/>
        </w:rPr>
        <w:t xml:space="preserve">el recurso de revisión número </w:t>
      </w:r>
      <w:r>
        <w:rPr>
          <w:rFonts w:ascii="Palatino Linotype" w:hAnsi="Palatino Linotype" w:cs="Arial"/>
          <w:b/>
          <w:sz w:val="24"/>
          <w:szCs w:val="24"/>
          <w:lang w:val="es-ES_tradnl"/>
        </w:rPr>
        <w:t>03530</w:t>
      </w:r>
      <w:r w:rsidRPr="00AF55AC">
        <w:rPr>
          <w:rFonts w:ascii="Palatino Linotype" w:hAnsi="Palatino Linotype" w:cs="Arial"/>
          <w:b/>
          <w:sz w:val="24"/>
          <w:szCs w:val="24"/>
          <w:lang w:val="es-ES_tradnl"/>
        </w:rPr>
        <w:t>/INFOEM/IP/RR/20</w:t>
      </w:r>
      <w:r>
        <w:rPr>
          <w:rFonts w:ascii="Palatino Linotype" w:hAnsi="Palatino Linotype" w:cs="Arial"/>
          <w:b/>
          <w:sz w:val="24"/>
          <w:szCs w:val="24"/>
          <w:lang w:val="es-ES_tradnl"/>
        </w:rPr>
        <w:t>22</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 xml:space="preserve">porque al </w:t>
      </w:r>
      <w:r>
        <w:rPr>
          <w:rFonts w:ascii="Palatino Linotype" w:hAnsi="Palatino Linotype" w:cs="Arial"/>
          <w:sz w:val="24"/>
          <w:szCs w:val="24"/>
          <w:lang w:val="es-ES_tradnl"/>
        </w:rPr>
        <w:t xml:space="preserve">revocar </w:t>
      </w:r>
      <w:r w:rsidRPr="00AF55AC">
        <w:rPr>
          <w:rFonts w:ascii="Palatino Linotype" w:hAnsi="Palatino Linotype" w:cs="Arial"/>
          <w:sz w:val="24"/>
          <w:szCs w:val="24"/>
          <w:lang w:val="es-ES_tradnl"/>
        </w:rPr>
        <w:t xml:space="preserve">la respuesta el recurso de revisión quedó sin materia en términos del Considerando </w:t>
      </w:r>
      <w:r>
        <w:rPr>
          <w:rFonts w:ascii="Palatino Linotype" w:hAnsi="Palatino Linotype" w:cs="Arial"/>
          <w:b/>
          <w:sz w:val="24"/>
          <w:szCs w:val="24"/>
          <w:lang w:val="es-ES_tradnl"/>
        </w:rPr>
        <w:t>CUARTO</w:t>
      </w:r>
      <w:r w:rsidRPr="00AF55AC">
        <w:rPr>
          <w:rFonts w:ascii="Palatino Linotype" w:hAnsi="Palatino Linotype" w:cs="Arial"/>
          <w:b/>
          <w:sz w:val="24"/>
          <w:szCs w:val="24"/>
          <w:lang w:val="es-ES_tradnl"/>
        </w:rPr>
        <w:t xml:space="preserve"> </w:t>
      </w:r>
      <w:r w:rsidRPr="00AF55AC">
        <w:rPr>
          <w:rFonts w:ascii="Palatino Linotype" w:hAnsi="Palatino Linotype" w:cs="Arial"/>
          <w:sz w:val="24"/>
          <w:szCs w:val="24"/>
          <w:lang w:val="es-ES_tradnl"/>
        </w:rPr>
        <w:t>de la presente resolución.</w:t>
      </w:r>
      <w:r>
        <w:rPr>
          <w:rFonts w:ascii="Palatino Linotype" w:hAnsi="Palatino Linotype" w:cs="Arial"/>
          <w:sz w:val="24"/>
          <w:szCs w:val="24"/>
          <w:lang w:val="es-ES_tradnl"/>
        </w:rPr>
        <w:t xml:space="preserve"> </w:t>
      </w:r>
    </w:p>
    <w:p w14:paraId="0C6F8560" w14:textId="77777777" w:rsidR="003B439E" w:rsidRDefault="003B439E" w:rsidP="003B439E">
      <w:pPr>
        <w:spacing w:before="240" w:line="360" w:lineRule="auto"/>
        <w:jc w:val="both"/>
        <w:rPr>
          <w:rFonts w:ascii="Palatino Linotype" w:hAnsi="Palatino Linotype" w:cs="Arial"/>
          <w:sz w:val="24"/>
          <w:szCs w:val="24"/>
          <w:lang w:val="es-ES_tradnl"/>
        </w:rPr>
      </w:pPr>
    </w:p>
    <w:p w14:paraId="2D5C6B8C" w14:textId="2F19D023"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sidRPr="00793F86">
        <w:rPr>
          <w:rFonts w:ascii="Palatino Linotype" w:hAnsi="Palatino Linotype" w:cs="Arial"/>
          <w:b/>
          <w:sz w:val="28"/>
          <w:szCs w:val="28"/>
        </w:rPr>
        <w:t>SEGUNDO.</w:t>
      </w:r>
      <w:r w:rsidRPr="00793F86">
        <w:rPr>
          <w:rFonts w:ascii="Palatino Linotype" w:hAnsi="Palatino Linotype"/>
          <w:b/>
          <w:lang w:eastAsia="es-ES_tradnl"/>
        </w:rPr>
        <w:t xml:space="preserve"> </w:t>
      </w:r>
      <w:r w:rsidRPr="00793F86">
        <w:rPr>
          <w:rFonts w:ascii="Palatino Linotype" w:hAnsi="Palatino Linotype"/>
          <w:b/>
          <w:sz w:val="24"/>
          <w:szCs w:val="24"/>
        </w:rPr>
        <w:t xml:space="preserve">Notifíquese </w:t>
      </w:r>
      <w:r w:rsidRPr="00793F86">
        <w:rPr>
          <w:rFonts w:ascii="Palatino Linotype" w:eastAsia="Times New Roman" w:hAnsi="Palatino Linotype" w:cs="Arial"/>
          <w:b/>
          <w:sz w:val="24"/>
          <w:szCs w:val="24"/>
          <w:lang w:eastAsia="es-ES"/>
        </w:rPr>
        <w:t xml:space="preserve">vía </w:t>
      </w:r>
      <w:r w:rsidRPr="00793F86">
        <w:rPr>
          <w:rFonts w:ascii="Palatino Linotype" w:hAnsi="Palatino Linotype" w:cs="Arial"/>
          <w:sz w:val="24"/>
          <w:szCs w:val="24"/>
        </w:rPr>
        <w:t xml:space="preserve">Sistema de Acceso a la Información Mexiquense </w:t>
      </w:r>
      <w:r w:rsidRPr="00793F86">
        <w:rPr>
          <w:rFonts w:ascii="Palatino Linotype" w:hAnsi="Palatino Linotype" w:cs="Arial"/>
          <w:b/>
          <w:sz w:val="24"/>
          <w:szCs w:val="24"/>
        </w:rPr>
        <w:t xml:space="preserve">(SAIMEX) </w:t>
      </w:r>
      <w:r w:rsidRPr="00793F86">
        <w:rPr>
          <w:rFonts w:ascii="Palatino Linotype" w:hAnsi="Palatino Linotype"/>
          <w:sz w:val="24"/>
          <w:szCs w:val="24"/>
        </w:rPr>
        <w:t>la presente resolución</w:t>
      </w:r>
      <w:r w:rsidRPr="00793F86">
        <w:rPr>
          <w:rFonts w:ascii="Palatino Linotype" w:hAnsi="Palatino Linotype"/>
          <w:b/>
          <w:sz w:val="24"/>
          <w:szCs w:val="24"/>
        </w:rPr>
        <w:t xml:space="preserve"> </w:t>
      </w:r>
      <w:r w:rsidRPr="00793F86">
        <w:rPr>
          <w:rFonts w:ascii="Palatino Linotype" w:hAnsi="Palatino Linotype"/>
          <w:sz w:val="24"/>
          <w:szCs w:val="24"/>
        </w:rPr>
        <w:t>al Titular</w:t>
      </w:r>
      <w:r w:rsidRPr="00044C07">
        <w:rPr>
          <w:rFonts w:ascii="Palatino Linotype" w:hAnsi="Palatino Linotype"/>
          <w:sz w:val="24"/>
          <w:szCs w:val="24"/>
        </w:rPr>
        <w:t xml:space="preserve"> de la Unidad</w:t>
      </w:r>
      <w:r>
        <w:rPr>
          <w:rFonts w:ascii="Palatino Linotype" w:hAnsi="Palatino Linotype"/>
          <w:sz w:val="24"/>
          <w:szCs w:val="24"/>
          <w:shd w:val="clear" w:color="auto" w:fill="FFFFFF"/>
        </w:rPr>
        <w:t xml:space="preserve"> de Transparencia del</w:t>
      </w:r>
      <w:r>
        <w:rPr>
          <w:rStyle w:val="apple-converted-space"/>
          <w:rFonts w:ascii="Palatino Linotype" w:hAnsi="Palatino Linotype"/>
          <w:sz w:val="24"/>
          <w:szCs w:val="24"/>
          <w:shd w:val="clear" w:color="auto" w:fill="FFFFFF"/>
        </w:rPr>
        <w:t> </w:t>
      </w:r>
      <w:r>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4D96B220" w14:textId="77777777"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293C4E6B" w14:textId="35BD8316" w:rsidR="003B439E" w:rsidRDefault="003B439E" w:rsidP="003B439E">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xml:space="preserve">, y hágase de su conocimiento que en caso de que considere que le cause algún perjuicio, podrá promover el Juicio de </w:t>
      </w:r>
      <w:r>
        <w:rPr>
          <w:rFonts w:ascii="Palatino Linotype" w:hAnsi="Palatino Linotype" w:cs="Arial"/>
          <w:sz w:val="24"/>
          <w:szCs w:val="24"/>
          <w:lang w:val="es-ES_tradnl"/>
        </w:rPr>
        <w:lastRenderedPageBreak/>
        <w:t>Amparo en los términos de las leyes aplicables, de acuerdo a lo estipulado por el artículo 196, de la Ley de Transparencia y Acceso a la Información Pública del Estado de México y Municipios.</w:t>
      </w:r>
    </w:p>
    <w:p w14:paraId="01F7E0D8" w14:textId="1806A403"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 S</w:t>
      </w:r>
      <w:r>
        <w:rPr>
          <w:rFonts w:ascii="Palatino Linotype" w:hAnsi="Palatino Linotype" w:cs="Arial"/>
        </w:rPr>
        <w:t xml:space="preserve">HARON CRISTINA MORALES MARTÍNEZ, </w:t>
      </w:r>
      <w:r w:rsidRPr="00266B85">
        <w:rPr>
          <w:rFonts w:ascii="Palatino Linotype" w:hAnsi="Palatino Linotype" w:cs="Arial"/>
        </w:rPr>
        <w:t>LUIS GUSTAVO PARRA NORIEGA</w:t>
      </w:r>
      <w:r w:rsidR="007D4367">
        <w:rPr>
          <w:rFonts w:ascii="Palatino Linotype" w:hAnsi="Palatino Linotype" w:cs="Arial"/>
        </w:rPr>
        <w:t xml:space="preserve"> (VOTO PARTICULAR)</w:t>
      </w:r>
      <w:r>
        <w:rPr>
          <w:rFonts w:ascii="Palatino Linotype" w:hAnsi="Palatino Linotype" w:cs="Arial"/>
        </w:rPr>
        <w:t xml:space="preserve"> </w:t>
      </w:r>
      <w:r w:rsidRPr="00266B85">
        <w:rPr>
          <w:rFonts w:ascii="Palatino Linotype" w:hAnsi="Palatino Linotype" w:cs="Arial"/>
        </w:rPr>
        <w:t xml:space="preserve">Y GUADALUPE RAMÍREZ PEÑA; EN LA </w:t>
      </w:r>
      <w:r>
        <w:rPr>
          <w:rFonts w:ascii="Palatino Linotype" w:hAnsi="Palatino Linotype" w:cs="Arial"/>
        </w:rPr>
        <w:t>DÉCIMA</w:t>
      </w:r>
      <w:r w:rsidRPr="00266B85">
        <w:rPr>
          <w:rFonts w:ascii="Palatino Linotype" w:hAnsi="Palatino Linotype" w:cs="Arial"/>
        </w:rPr>
        <w:t xml:space="preserve">  </w:t>
      </w:r>
      <w:r w:rsidR="00945D0C">
        <w:rPr>
          <w:rFonts w:ascii="Palatino Linotype" w:hAnsi="Palatino Linotype" w:cs="Arial"/>
        </w:rPr>
        <w:t>OCTAVA</w:t>
      </w:r>
      <w:r>
        <w:rPr>
          <w:rFonts w:ascii="Palatino Linotype" w:hAnsi="Palatino Linotype" w:cs="Arial"/>
        </w:rPr>
        <w:t xml:space="preserve"> </w:t>
      </w:r>
      <w:r w:rsidRPr="00266B85">
        <w:rPr>
          <w:rFonts w:ascii="Palatino Linotype" w:hAnsi="Palatino Linotype" w:cs="Arial"/>
        </w:rPr>
        <w:t xml:space="preserve">SESIÓN ORDINARIA CELEBRADA EL </w:t>
      </w:r>
      <w:r w:rsidR="00945D0C">
        <w:rPr>
          <w:rFonts w:ascii="Palatino Linotype" w:hAnsi="Palatino Linotype" w:cs="Arial"/>
        </w:rPr>
        <w:t>DIECIOCHO</w:t>
      </w:r>
      <w:r>
        <w:rPr>
          <w:rFonts w:ascii="Palatino Linotype" w:hAnsi="Palatino Linotype" w:cs="Arial"/>
        </w:rPr>
        <w:t xml:space="preserve"> DE MAYO</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1D796F8D" w14:textId="51CEB326" w:rsidR="008A6F2F" w:rsidRDefault="00537C9F"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63360" behindDoc="0" locked="0" layoutInCell="1" allowOverlap="1" wp14:anchorId="326E8ED2" wp14:editId="0619FDF5">
                <wp:simplePos x="0" y="0"/>
                <wp:positionH relativeFrom="column">
                  <wp:posOffset>-273685</wp:posOffset>
                </wp:positionH>
                <wp:positionV relativeFrom="paragraph">
                  <wp:posOffset>338455</wp:posOffset>
                </wp:positionV>
                <wp:extent cx="6323330" cy="3387090"/>
                <wp:effectExtent l="0" t="0" r="20320" b="22860"/>
                <wp:wrapNone/>
                <wp:docPr id="12" name="Straight Connector 12"/>
                <wp:cNvGraphicFramePr/>
                <a:graphic xmlns:a="http://schemas.openxmlformats.org/drawingml/2006/main">
                  <a:graphicData uri="http://schemas.microsoft.com/office/word/2010/wordprocessingShape">
                    <wps:wsp>
                      <wps:cNvCnPr/>
                      <wps:spPr>
                        <a:xfrm>
                          <a:off x="0" y="0"/>
                          <a:ext cx="6323330" cy="3387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B75C0"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26.65pt" to="476.35pt,2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" strokecolor="#5b9bd5 [3204]" strokeweight=".5pt">
                <v:stroke joinstyle="miter"/>
              </v:line>
            </w:pict>
          </mc:Fallback>
        </mc:AlternateContent>
      </w:r>
      <w:r w:rsidR="008A6F2F">
        <w:rPr>
          <w:rFonts w:ascii="Palatino Linotype" w:hAnsi="Palatino Linotype"/>
          <w:bCs/>
          <w:sz w:val="18"/>
          <w:szCs w:val="18"/>
        </w:rPr>
        <w:t>CCR/J</w:t>
      </w:r>
      <w:r w:rsidR="008A6F2F" w:rsidRPr="00280B8B">
        <w:rPr>
          <w:rFonts w:ascii="Palatino Linotype" w:hAnsi="Palatino Linotype"/>
          <w:bCs/>
          <w:sz w:val="18"/>
          <w:szCs w:val="18"/>
        </w:rPr>
        <w:t>CMA</w:t>
      </w:r>
    </w:p>
    <w:p w14:paraId="56B926BA" w14:textId="1E087C4B" w:rsidR="008A6F2F" w:rsidRDefault="008A6F2F" w:rsidP="008A6F2F">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67988CB" w14:textId="0F81C8DD"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01037618" w14:textId="7CD625D8" w:rsidR="008A6F2F" w:rsidRDefault="008A6F2F"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E71C2" w14:textId="77777777" w:rsidR="00E034C9" w:rsidRDefault="00E034C9" w:rsidP="006168E4">
      <w:pPr>
        <w:spacing w:after="0" w:line="240" w:lineRule="auto"/>
      </w:pPr>
      <w:r>
        <w:separator/>
      </w:r>
    </w:p>
  </w:endnote>
  <w:endnote w:type="continuationSeparator" w:id="0">
    <w:p w14:paraId="7FF71D40" w14:textId="77777777" w:rsidR="00E034C9" w:rsidRDefault="00E034C9"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E2BC"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7C9F">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7C9F">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FBE9"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37C9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37C9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D7D3E" w14:textId="77777777" w:rsidR="00E034C9" w:rsidRDefault="00E034C9" w:rsidP="006168E4">
      <w:pPr>
        <w:spacing w:after="0" w:line="240" w:lineRule="auto"/>
      </w:pPr>
      <w:r>
        <w:separator/>
      </w:r>
    </w:p>
  </w:footnote>
  <w:footnote w:type="continuationSeparator" w:id="0">
    <w:p w14:paraId="579BDD6E" w14:textId="77777777" w:rsidR="00E034C9" w:rsidRDefault="00E034C9" w:rsidP="006168E4">
      <w:pPr>
        <w:spacing w:after="0" w:line="240" w:lineRule="auto"/>
      </w:pPr>
      <w:r>
        <w:continuationSeparator/>
      </w:r>
    </w:p>
  </w:footnote>
  <w:footnote w:id="1">
    <w:p w14:paraId="5BCA5D02" w14:textId="77777777" w:rsidR="00030CC6" w:rsidRPr="00911081" w:rsidRDefault="00030CC6"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030CC6" w:rsidRPr="00911081" w:rsidRDefault="00030CC6"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8AE9" w14:textId="2523050D"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30CC6" w14:paraId="46A8AAF9" w14:textId="77777777" w:rsidTr="00FE7729">
      <w:trPr>
        <w:trHeight w:val="227"/>
      </w:trPr>
      <w:tc>
        <w:tcPr>
          <w:tcW w:w="5529" w:type="dxa"/>
          <w:hideMark/>
        </w:tcPr>
        <w:p w14:paraId="26B5EE34" w14:textId="3BF445B5"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7D089D2F"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76259">
            <w:rPr>
              <w:rFonts w:ascii="Palatino Linotype" w:hAnsi="Palatino Linotype" w:cs="Arial"/>
              <w:bCs/>
              <w:sz w:val="24"/>
              <w:lang w:eastAsia="es-MX"/>
            </w:rPr>
            <w:t>3530</w:t>
          </w:r>
          <w:r w:rsidR="00030CC6">
            <w:rPr>
              <w:rFonts w:ascii="Palatino Linotype" w:hAnsi="Palatino Linotype" w:cs="Arial"/>
              <w:bCs/>
              <w:sz w:val="24"/>
              <w:lang w:eastAsia="es-MX"/>
            </w:rPr>
            <w:t>/INFOEM/IP/RR/2022</w:t>
          </w:r>
        </w:p>
      </w:tc>
    </w:tr>
    <w:tr w:rsidR="00030CC6" w14:paraId="0E72512B" w14:textId="77777777" w:rsidTr="00FE7729">
      <w:trPr>
        <w:trHeight w:val="242"/>
      </w:trPr>
      <w:tc>
        <w:tcPr>
          <w:tcW w:w="5529" w:type="dxa"/>
          <w:hideMark/>
        </w:tcPr>
        <w:p w14:paraId="4FB3E0E8" w14:textId="77777777"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AB55DB5" w:rsidR="00030CC6" w:rsidRPr="00F06FED" w:rsidRDefault="00297755" w:rsidP="006323CA">
          <w:pPr>
            <w:spacing w:after="120" w:line="256" w:lineRule="auto"/>
            <w:ind w:left="639" w:right="214"/>
            <w:jc w:val="both"/>
            <w:rPr>
              <w:rFonts w:ascii="Palatino Linotype" w:hAnsi="Palatino Linotype" w:cs="Arial"/>
            </w:rPr>
          </w:pPr>
          <w:r>
            <w:rPr>
              <w:rFonts w:ascii="Palatino Linotype" w:hAnsi="Palatino Linotype" w:cs="Arial"/>
            </w:rPr>
            <w:t>Secretaría General de Gobierno</w:t>
          </w:r>
        </w:p>
      </w:tc>
    </w:tr>
    <w:tr w:rsidR="00030CC6" w14:paraId="3365CD96" w14:textId="77777777" w:rsidTr="00FE7729">
      <w:trPr>
        <w:trHeight w:val="342"/>
      </w:trPr>
      <w:tc>
        <w:tcPr>
          <w:tcW w:w="5529" w:type="dxa"/>
          <w:hideMark/>
        </w:tcPr>
        <w:p w14:paraId="52A09A43" w14:textId="77777777" w:rsidR="00030CC6" w:rsidRDefault="00030CC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030CC6" w:rsidRDefault="00030CC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030CC6" w:rsidRDefault="00030C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30CC6" w14:paraId="02D9F2E3" w14:textId="77777777" w:rsidTr="00FE7729">
      <w:trPr>
        <w:trHeight w:val="227"/>
      </w:trPr>
      <w:tc>
        <w:tcPr>
          <w:tcW w:w="5529" w:type="dxa"/>
          <w:hideMark/>
        </w:tcPr>
        <w:p w14:paraId="3EA02FD0" w14:textId="3139CF90"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1C000FDE"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176259">
            <w:rPr>
              <w:rFonts w:ascii="Palatino Linotype" w:hAnsi="Palatino Linotype" w:cs="Arial"/>
              <w:bCs/>
              <w:sz w:val="24"/>
              <w:lang w:eastAsia="es-MX"/>
            </w:rPr>
            <w:t>3530</w:t>
          </w:r>
          <w:r w:rsidR="00030CC6">
            <w:rPr>
              <w:rFonts w:ascii="Palatino Linotype" w:hAnsi="Palatino Linotype" w:cs="Arial"/>
              <w:bCs/>
              <w:sz w:val="24"/>
              <w:lang w:eastAsia="es-MX"/>
            </w:rPr>
            <w:t>/INFOEM/IP/RR/2022</w:t>
          </w:r>
        </w:p>
      </w:tc>
    </w:tr>
    <w:tr w:rsidR="00030CC6" w14:paraId="5AC92493" w14:textId="77777777" w:rsidTr="00FE7729">
      <w:trPr>
        <w:trHeight w:val="196"/>
      </w:trPr>
      <w:tc>
        <w:tcPr>
          <w:tcW w:w="5529" w:type="dxa"/>
          <w:hideMark/>
        </w:tcPr>
        <w:p w14:paraId="7E479B7E"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42EED663" w:rsidR="00030CC6" w:rsidRPr="00F06FED" w:rsidRDefault="00983463" w:rsidP="00CC0C5F">
          <w:pPr>
            <w:spacing w:after="120" w:line="256" w:lineRule="auto"/>
            <w:ind w:left="639" w:right="214"/>
            <w:jc w:val="both"/>
            <w:rPr>
              <w:rFonts w:ascii="Palatino Linotype" w:hAnsi="Palatino Linotype" w:cs="Arial"/>
            </w:rPr>
          </w:pPr>
          <w:r>
            <w:rPr>
              <w:rFonts w:ascii="Palatino Linotype" w:hAnsi="Palatino Linotype" w:cs="Arial"/>
            </w:rPr>
            <w:t>xxxxxxxxxxxxxx</w:t>
          </w:r>
          <w:r w:rsidR="00297755">
            <w:rPr>
              <w:rFonts w:ascii="Palatino Linotype" w:hAnsi="Palatino Linotype" w:cs="Arial"/>
            </w:rPr>
            <w:t xml:space="preserve"> </w:t>
          </w:r>
          <w:r w:rsidR="001D6523">
            <w:rPr>
              <w:rFonts w:ascii="Palatino Linotype" w:hAnsi="Palatino Linotype" w:cs="Arial"/>
            </w:rPr>
            <w:t xml:space="preserve"> </w:t>
          </w:r>
          <w:r w:rsidR="00E63ADD">
            <w:rPr>
              <w:rFonts w:ascii="Palatino Linotype" w:hAnsi="Palatino Linotype" w:cs="Arial"/>
            </w:rPr>
            <w:t xml:space="preserve"> </w:t>
          </w:r>
          <w:r w:rsidR="00030CC6">
            <w:rPr>
              <w:rFonts w:ascii="Palatino Linotype" w:hAnsi="Palatino Linotype" w:cs="Arial"/>
            </w:rPr>
            <w:t xml:space="preserve"> </w:t>
          </w:r>
        </w:p>
      </w:tc>
    </w:tr>
    <w:tr w:rsidR="00030CC6" w14:paraId="48DDE1B1" w14:textId="77777777" w:rsidTr="00FE7729">
      <w:trPr>
        <w:trHeight w:val="242"/>
      </w:trPr>
      <w:tc>
        <w:tcPr>
          <w:tcW w:w="5529" w:type="dxa"/>
          <w:hideMark/>
        </w:tcPr>
        <w:p w14:paraId="718D1409"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BDEF2E0" w:rsidR="00030CC6" w:rsidRDefault="00297755"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General de Gobierno</w:t>
          </w:r>
        </w:p>
      </w:tc>
    </w:tr>
    <w:tr w:rsidR="00030CC6" w14:paraId="2E924228" w14:textId="77777777" w:rsidTr="00FE7729">
      <w:trPr>
        <w:trHeight w:val="342"/>
      </w:trPr>
      <w:tc>
        <w:tcPr>
          <w:tcW w:w="5529" w:type="dxa"/>
          <w:hideMark/>
        </w:tcPr>
        <w:p w14:paraId="03281906" w14:textId="77777777" w:rsidR="00030CC6" w:rsidRDefault="00030CC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030CC6" w:rsidRDefault="00030CC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A55C4"/>
    <w:multiLevelType w:val="hybridMultilevel"/>
    <w:tmpl w:val="1590AE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A71C8F"/>
    <w:multiLevelType w:val="hybridMultilevel"/>
    <w:tmpl w:val="5524D2A6"/>
    <w:lvl w:ilvl="0" w:tplc="3702B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618B7"/>
    <w:multiLevelType w:val="hybridMultilevel"/>
    <w:tmpl w:val="CCAC71BC"/>
    <w:lvl w:ilvl="0" w:tplc="8F6225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B17F9"/>
    <w:multiLevelType w:val="hybridMultilevel"/>
    <w:tmpl w:val="CC8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5A01CE"/>
    <w:multiLevelType w:val="hybridMultilevel"/>
    <w:tmpl w:val="5EE03830"/>
    <w:lvl w:ilvl="0" w:tplc="6D62E9D6">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6466F0"/>
    <w:multiLevelType w:val="hybridMultilevel"/>
    <w:tmpl w:val="C42A2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15F7ECC"/>
    <w:multiLevelType w:val="hybridMultilevel"/>
    <w:tmpl w:val="2D360008"/>
    <w:lvl w:ilvl="0" w:tplc="04090001">
      <w:start w:val="1"/>
      <w:numFmt w:val="bullet"/>
      <w:lvlText w:val=""/>
      <w:lvlJc w:val="left"/>
      <w:pPr>
        <w:ind w:left="1211" w:hanging="360"/>
      </w:pPr>
      <w:rPr>
        <w:rFonts w:ascii="Symbol" w:hAnsi="Symbol" w:hint="default"/>
      </w:rPr>
    </w:lvl>
    <w:lvl w:ilvl="1" w:tplc="FFFFFFFF">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0"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0AF5"/>
    <w:multiLevelType w:val="hybridMultilevel"/>
    <w:tmpl w:val="200E0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7B3BD7"/>
    <w:multiLevelType w:val="hybridMultilevel"/>
    <w:tmpl w:val="BC22F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FD80C98"/>
    <w:multiLevelType w:val="hybridMultilevel"/>
    <w:tmpl w:val="09F66592"/>
    <w:lvl w:ilvl="0" w:tplc="64D225EA">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91020E0"/>
    <w:multiLevelType w:val="hybridMultilevel"/>
    <w:tmpl w:val="F0964A94"/>
    <w:lvl w:ilvl="0" w:tplc="0068D2A0">
      <w:start w:val="1"/>
      <w:numFmt w:val="bullet"/>
      <w:lvlText w:val="-"/>
      <w:lvlJc w:val="left"/>
      <w:pPr>
        <w:ind w:left="1931" w:hanging="360"/>
      </w:pPr>
      <w:rPr>
        <w:rFonts w:ascii="Palatino Linotype" w:eastAsia="Times New Roman" w:hAnsi="Palatino Linotype" w:cs="Arial"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20" w15:restartNumberingAfterBreak="0">
    <w:nsid w:val="4C9B090A"/>
    <w:multiLevelType w:val="hybridMultilevel"/>
    <w:tmpl w:val="078CDA94"/>
    <w:lvl w:ilvl="0" w:tplc="17C2F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3A51982"/>
    <w:multiLevelType w:val="hybridMultilevel"/>
    <w:tmpl w:val="179E722E"/>
    <w:lvl w:ilvl="0" w:tplc="689CBCD0">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B91B47"/>
    <w:multiLevelType w:val="hybridMultilevel"/>
    <w:tmpl w:val="FB06BDAC"/>
    <w:lvl w:ilvl="0" w:tplc="D7E28976">
      <w:start w:val="1"/>
      <w:numFmt w:val="bullet"/>
      <w:lvlText w:val="-"/>
      <w:lvlJc w:val="left"/>
      <w:pPr>
        <w:ind w:left="1080" w:hanging="360"/>
      </w:pPr>
      <w:rPr>
        <w:rFonts w:ascii="Palatino Linotype" w:eastAsia="Times New Roman"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D506097"/>
    <w:multiLevelType w:val="hybridMultilevel"/>
    <w:tmpl w:val="A2066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15:restartNumberingAfterBreak="0">
    <w:nsid w:val="7CDF3D66"/>
    <w:multiLevelType w:val="hybridMultilevel"/>
    <w:tmpl w:val="24705FF8"/>
    <w:lvl w:ilvl="0" w:tplc="B1021692">
      <w:start w:val="18"/>
      <w:numFmt w:val="bullet"/>
      <w:lvlText w:val="-"/>
      <w:lvlJc w:val="left"/>
      <w:pPr>
        <w:ind w:left="1211" w:hanging="360"/>
      </w:pPr>
      <w:rPr>
        <w:rFonts w:ascii="Palatino Linotype" w:eastAsiaTheme="minorHAnsi" w:hAnsi="Palatino Linotype" w:cs="Aria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233440386">
    <w:abstractNumId w:val="4"/>
  </w:num>
  <w:num w:numId="2" w16cid:durableId="1413821209">
    <w:abstractNumId w:val="21"/>
  </w:num>
  <w:num w:numId="3" w16cid:durableId="1411152396">
    <w:abstractNumId w:val="10"/>
  </w:num>
  <w:num w:numId="4" w16cid:durableId="1406954987">
    <w:abstractNumId w:val="15"/>
  </w:num>
  <w:num w:numId="5" w16cid:durableId="1440225602">
    <w:abstractNumId w:val="26"/>
  </w:num>
  <w:num w:numId="6" w16cid:durableId="45167785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098237">
    <w:abstractNumId w:val="16"/>
  </w:num>
  <w:num w:numId="8" w16cid:durableId="1004627394">
    <w:abstractNumId w:val="8"/>
  </w:num>
  <w:num w:numId="9" w16cid:durableId="765157245">
    <w:abstractNumId w:val="18"/>
  </w:num>
  <w:num w:numId="10" w16cid:durableId="963192430">
    <w:abstractNumId w:val="6"/>
  </w:num>
  <w:num w:numId="11" w16cid:durableId="1736849969">
    <w:abstractNumId w:val="13"/>
  </w:num>
  <w:num w:numId="12" w16cid:durableId="1169248246">
    <w:abstractNumId w:val="1"/>
  </w:num>
  <w:num w:numId="13" w16cid:durableId="1332099180">
    <w:abstractNumId w:val="24"/>
  </w:num>
  <w:num w:numId="14" w16cid:durableId="1045640532">
    <w:abstractNumId w:val="20"/>
  </w:num>
  <w:num w:numId="15" w16cid:durableId="1632633724">
    <w:abstractNumId w:val="12"/>
  </w:num>
  <w:num w:numId="16" w16cid:durableId="8339736">
    <w:abstractNumId w:val="27"/>
  </w:num>
  <w:num w:numId="17" w16cid:durableId="574048669">
    <w:abstractNumId w:val="7"/>
  </w:num>
  <w:num w:numId="18" w16cid:durableId="1056664092">
    <w:abstractNumId w:val="2"/>
  </w:num>
  <w:num w:numId="19" w16cid:durableId="1412393365">
    <w:abstractNumId w:val="9"/>
  </w:num>
  <w:num w:numId="20" w16cid:durableId="630136576">
    <w:abstractNumId w:val="19"/>
  </w:num>
  <w:num w:numId="21" w16cid:durableId="1803307815">
    <w:abstractNumId w:val="0"/>
  </w:num>
  <w:num w:numId="22" w16cid:durableId="1596093284">
    <w:abstractNumId w:val="25"/>
  </w:num>
  <w:num w:numId="23" w16cid:durableId="1673220549">
    <w:abstractNumId w:val="5"/>
  </w:num>
  <w:num w:numId="24" w16cid:durableId="863633900">
    <w:abstractNumId w:val="17"/>
  </w:num>
  <w:num w:numId="25" w16cid:durableId="719086255">
    <w:abstractNumId w:val="22"/>
  </w:num>
  <w:num w:numId="26" w16cid:durableId="7470742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6490424">
    <w:abstractNumId w:val="23"/>
  </w:num>
  <w:num w:numId="28" w16cid:durableId="1632445600">
    <w:abstractNumId w:val="11"/>
  </w:num>
  <w:num w:numId="29" w16cid:durableId="139384578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1AB0"/>
    <w:rsid w:val="000026CF"/>
    <w:rsid w:val="00002B15"/>
    <w:rsid w:val="00003C82"/>
    <w:rsid w:val="00006FB9"/>
    <w:rsid w:val="00010A92"/>
    <w:rsid w:val="000114DC"/>
    <w:rsid w:val="00012201"/>
    <w:rsid w:val="00012220"/>
    <w:rsid w:val="00014FD1"/>
    <w:rsid w:val="00015E0E"/>
    <w:rsid w:val="00022EAF"/>
    <w:rsid w:val="00023875"/>
    <w:rsid w:val="0002545B"/>
    <w:rsid w:val="000306A7"/>
    <w:rsid w:val="00030CC6"/>
    <w:rsid w:val="00031605"/>
    <w:rsid w:val="00032CE7"/>
    <w:rsid w:val="000335DF"/>
    <w:rsid w:val="0004190A"/>
    <w:rsid w:val="00041C77"/>
    <w:rsid w:val="000426E3"/>
    <w:rsid w:val="00043655"/>
    <w:rsid w:val="00044C07"/>
    <w:rsid w:val="00045379"/>
    <w:rsid w:val="00045B3C"/>
    <w:rsid w:val="0004682D"/>
    <w:rsid w:val="00047449"/>
    <w:rsid w:val="000478DA"/>
    <w:rsid w:val="00047EAF"/>
    <w:rsid w:val="000509CD"/>
    <w:rsid w:val="00055224"/>
    <w:rsid w:val="000608E8"/>
    <w:rsid w:val="00061821"/>
    <w:rsid w:val="000623F9"/>
    <w:rsid w:val="00063A10"/>
    <w:rsid w:val="00063AE3"/>
    <w:rsid w:val="000662F8"/>
    <w:rsid w:val="00066B01"/>
    <w:rsid w:val="00067C47"/>
    <w:rsid w:val="00071571"/>
    <w:rsid w:val="00073CC6"/>
    <w:rsid w:val="00073E78"/>
    <w:rsid w:val="00076441"/>
    <w:rsid w:val="00082589"/>
    <w:rsid w:val="00084221"/>
    <w:rsid w:val="000867E6"/>
    <w:rsid w:val="00090745"/>
    <w:rsid w:val="00091552"/>
    <w:rsid w:val="00091C3A"/>
    <w:rsid w:val="00092586"/>
    <w:rsid w:val="00094155"/>
    <w:rsid w:val="00094C05"/>
    <w:rsid w:val="000976F5"/>
    <w:rsid w:val="000A03E0"/>
    <w:rsid w:val="000A04D9"/>
    <w:rsid w:val="000A0C4B"/>
    <w:rsid w:val="000A33C2"/>
    <w:rsid w:val="000A3486"/>
    <w:rsid w:val="000A378C"/>
    <w:rsid w:val="000A4113"/>
    <w:rsid w:val="000A79DA"/>
    <w:rsid w:val="000B00AD"/>
    <w:rsid w:val="000B01FF"/>
    <w:rsid w:val="000B1250"/>
    <w:rsid w:val="000B3E98"/>
    <w:rsid w:val="000B426F"/>
    <w:rsid w:val="000B4B51"/>
    <w:rsid w:val="000B6D7D"/>
    <w:rsid w:val="000B7158"/>
    <w:rsid w:val="000C06C3"/>
    <w:rsid w:val="000C0F57"/>
    <w:rsid w:val="000C20B2"/>
    <w:rsid w:val="000C21D5"/>
    <w:rsid w:val="000C51A0"/>
    <w:rsid w:val="000C5300"/>
    <w:rsid w:val="000C5B8B"/>
    <w:rsid w:val="000C7AF0"/>
    <w:rsid w:val="000D1B34"/>
    <w:rsid w:val="000D1B55"/>
    <w:rsid w:val="000D391B"/>
    <w:rsid w:val="000D3C75"/>
    <w:rsid w:val="000D6422"/>
    <w:rsid w:val="000E0F23"/>
    <w:rsid w:val="000E2252"/>
    <w:rsid w:val="000E365E"/>
    <w:rsid w:val="000E686B"/>
    <w:rsid w:val="000F1FAB"/>
    <w:rsid w:val="000F3B9E"/>
    <w:rsid w:val="000F4793"/>
    <w:rsid w:val="001032F2"/>
    <w:rsid w:val="00105C41"/>
    <w:rsid w:val="001077C1"/>
    <w:rsid w:val="00110F13"/>
    <w:rsid w:val="00111DCD"/>
    <w:rsid w:val="00112E82"/>
    <w:rsid w:val="00114CF9"/>
    <w:rsid w:val="00115F16"/>
    <w:rsid w:val="00121ED7"/>
    <w:rsid w:val="0012272A"/>
    <w:rsid w:val="00122859"/>
    <w:rsid w:val="00124855"/>
    <w:rsid w:val="00125362"/>
    <w:rsid w:val="001254F5"/>
    <w:rsid w:val="001272B7"/>
    <w:rsid w:val="001305B1"/>
    <w:rsid w:val="00132C72"/>
    <w:rsid w:val="00135828"/>
    <w:rsid w:val="00136FAD"/>
    <w:rsid w:val="001448AF"/>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760E3"/>
    <w:rsid w:val="00176259"/>
    <w:rsid w:val="00180B9F"/>
    <w:rsid w:val="00181884"/>
    <w:rsid w:val="00181CC5"/>
    <w:rsid w:val="00182911"/>
    <w:rsid w:val="00193784"/>
    <w:rsid w:val="0019396C"/>
    <w:rsid w:val="001957D7"/>
    <w:rsid w:val="001A02EC"/>
    <w:rsid w:val="001A1D9B"/>
    <w:rsid w:val="001A1FF5"/>
    <w:rsid w:val="001A318E"/>
    <w:rsid w:val="001A3CAB"/>
    <w:rsid w:val="001A4026"/>
    <w:rsid w:val="001A577E"/>
    <w:rsid w:val="001A7C9B"/>
    <w:rsid w:val="001B05B9"/>
    <w:rsid w:val="001B7834"/>
    <w:rsid w:val="001B7B88"/>
    <w:rsid w:val="001C01B7"/>
    <w:rsid w:val="001C1363"/>
    <w:rsid w:val="001C2D1E"/>
    <w:rsid w:val="001C3E7E"/>
    <w:rsid w:val="001C7319"/>
    <w:rsid w:val="001C7D87"/>
    <w:rsid w:val="001D181B"/>
    <w:rsid w:val="001D3DE9"/>
    <w:rsid w:val="001D3E87"/>
    <w:rsid w:val="001D3F08"/>
    <w:rsid w:val="001D4669"/>
    <w:rsid w:val="001D6523"/>
    <w:rsid w:val="001D6FD5"/>
    <w:rsid w:val="001D7575"/>
    <w:rsid w:val="001F3F3C"/>
    <w:rsid w:val="001F6457"/>
    <w:rsid w:val="00200064"/>
    <w:rsid w:val="00205E59"/>
    <w:rsid w:val="0021296D"/>
    <w:rsid w:val="00212CB5"/>
    <w:rsid w:val="0021501E"/>
    <w:rsid w:val="00215A83"/>
    <w:rsid w:val="00216ABF"/>
    <w:rsid w:val="00217852"/>
    <w:rsid w:val="002205C0"/>
    <w:rsid w:val="00224246"/>
    <w:rsid w:val="00231D77"/>
    <w:rsid w:val="002324F1"/>
    <w:rsid w:val="0023373D"/>
    <w:rsid w:val="0023423C"/>
    <w:rsid w:val="002373F8"/>
    <w:rsid w:val="00242587"/>
    <w:rsid w:val="0024638F"/>
    <w:rsid w:val="00246807"/>
    <w:rsid w:val="00247D10"/>
    <w:rsid w:val="00250470"/>
    <w:rsid w:val="00252985"/>
    <w:rsid w:val="002577FE"/>
    <w:rsid w:val="00266E00"/>
    <w:rsid w:val="002674C9"/>
    <w:rsid w:val="00271EED"/>
    <w:rsid w:val="00273D0E"/>
    <w:rsid w:val="00274D25"/>
    <w:rsid w:val="002807C5"/>
    <w:rsid w:val="0028788A"/>
    <w:rsid w:val="0029367A"/>
    <w:rsid w:val="002942AD"/>
    <w:rsid w:val="00294B75"/>
    <w:rsid w:val="00297140"/>
    <w:rsid w:val="00297368"/>
    <w:rsid w:val="00297755"/>
    <w:rsid w:val="002A0104"/>
    <w:rsid w:val="002A0324"/>
    <w:rsid w:val="002A2034"/>
    <w:rsid w:val="002A24F4"/>
    <w:rsid w:val="002A38BF"/>
    <w:rsid w:val="002A597E"/>
    <w:rsid w:val="002B08DE"/>
    <w:rsid w:val="002B1C1D"/>
    <w:rsid w:val="002B4BC1"/>
    <w:rsid w:val="002B5069"/>
    <w:rsid w:val="002B5DBD"/>
    <w:rsid w:val="002B65BE"/>
    <w:rsid w:val="002B70DD"/>
    <w:rsid w:val="002B75F0"/>
    <w:rsid w:val="002C0A40"/>
    <w:rsid w:val="002C51F7"/>
    <w:rsid w:val="002C72D2"/>
    <w:rsid w:val="002D02A6"/>
    <w:rsid w:val="002D29D7"/>
    <w:rsid w:val="002D64A8"/>
    <w:rsid w:val="002D662C"/>
    <w:rsid w:val="002E0A1A"/>
    <w:rsid w:val="002E0E87"/>
    <w:rsid w:val="002E2D7B"/>
    <w:rsid w:val="002E3488"/>
    <w:rsid w:val="002E5721"/>
    <w:rsid w:val="002E5E6A"/>
    <w:rsid w:val="002F0353"/>
    <w:rsid w:val="002F0D76"/>
    <w:rsid w:val="002F37BE"/>
    <w:rsid w:val="002F5BA9"/>
    <w:rsid w:val="00300D0B"/>
    <w:rsid w:val="0030471E"/>
    <w:rsid w:val="003049C9"/>
    <w:rsid w:val="00306096"/>
    <w:rsid w:val="00306848"/>
    <w:rsid w:val="00310051"/>
    <w:rsid w:val="00311566"/>
    <w:rsid w:val="0031645D"/>
    <w:rsid w:val="00320A67"/>
    <w:rsid w:val="00320D12"/>
    <w:rsid w:val="0032220E"/>
    <w:rsid w:val="00324DDA"/>
    <w:rsid w:val="00324EA2"/>
    <w:rsid w:val="003266DA"/>
    <w:rsid w:val="003272FB"/>
    <w:rsid w:val="00330F3C"/>
    <w:rsid w:val="003375A9"/>
    <w:rsid w:val="00341558"/>
    <w:rsid w:val="003507D3"/>
    <w:rsid w:val="00356E3E"/>
    <w:rsid w:val="00357457"/>
    <w:rsid w:val="0036135D"/>
    <w:rsid w:val="003616D4"/>
    <w:rsid w:val="00361B9C"/>
    <w:rsid w:val="00362DB4"/>
    <w:rsid w:val="0036339F"/>
    <w:rsid w:val="00364209"/>
    <w:rsid w:val="00365DA0"/>
    <w:rsid w:val="003733F5"/>
    <w:rsid w:val="00374916"/>
    <w:rsid w:val="00375BBA"/>
    <w:rsid w:val="00376CEC"/>
    <w:rsid w:val="00377530"/>
    <w:rsid w:val="00380010"/>
    <w:rsid w:val="00380758"/>
    <w:rsid w:val="003812E0"/>
    <w:rsid w:val="0038329C"/>
    <w:rsid w:val="00385AEB"/>
    <w:rsid w:val="003869DF"/>
    <w:rsid w:val="003914E7"/>
    <w:rsid w:val="00394A1E"/>
    <w:rsid w:val="00397C0C"/>
    <w:rsid w:val="003A136D"/>
    <w:rsid w:val="003A3DD4"/>
    <w:rsid w:val="003A61F9"/>
    <w:rsid w:val="003B1E88"/>
    <w:rsid w:val="003B4030"/>
    <w:rsid w:val="003B439E"/>
    <w:rsid w:val="003B4A38"/>
    <w:rsid w:val="003B4A41"/>
    <w:rsid w:val="003B5FD0"/>
    <w:rsid w:val="003B67FF"/>
    <w:rsid w:val="003C2807"/>
    <w:rsid w:val="003C46C4"/>
    <w:rsid w:val="003C4F65"/>
    <w:rsid w:val="003C5DEB"/>
    <w:rsid w:val="003D3D83"/>
    <w:rsid w:val="003D699D"/>
    <w:rsid w:val="003D78A3"/>
    <w:rsid w:val="003E05A5"/>
    <w:rsid w:val="003E128A"/>
    <w:rsid w:val="003E16E1"/>
    <w:rsid w:val="003E444C"/>
    <w:rsid w:val="003F3A54"/>
    <w:rsid w:val="004006DB"/>
    <w:rsid w:val="004012CF"/>
    <w:rsid w:val="00402AF1"/>
    <w:rsid w:val="00402FF3"/>
    <w:rsid w:val="004069EB"/>
    <w:rsid w:val="004071A7"/>
    <w:rsid w:val="00412901"/>
    <w:rsid w:val="00417E4F"/>
    <w:rsid w:val="00423213"/>
    <w:rsid w:val="00423ECD"/>
    <w:rsid w:val="0042416D"/>
    <w:rsid w:val="00425330"/>
    <w:rsid w:val="00425E1F"/>
    <w:rsid w:val="00426B98"/>
    <w:rsid w:val="0042798A"/>
    <w:rsid w:val="00433D7C"/>
    <w:rsid w:val="00435E9C"/>
    <w:rsid w:val="00437271"/>
    <w:rsid w:val="00442C1A"/>
    <w:rsid w:val="004447DA"/>
    <w:rsid w:val="004469CB"/>
    <w:rsid w:val="00450B03"/>
    <w:rsid w:val="004516EB"/>
    <w:rsid w:val="004529B6"/>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0262"/>
    <w:rsid w:val="004A1B6E"/>
    <w:rsid w:val="004A290F"/>
    <w:rsid w:val="004A51D8"/>
    <w:rsid w:val="004A5FFD"/>
    <w:rsid w:val="004A6DA9"/>
    <w:rsid w:val="004A7CE2"/>
    <w:rsid w:val="004B15D1"/>
    <w:rsid w:val="004B38AC"/>
    <w:rsid w:val="004B391E"/>
    <w:rsid w:val="004D08EB"/>
    <w:rsid w:val="004D0C64"/>
    <w:rsid w:val="004D2C8F"/>
    <w:rsid w:val="004D2D18"/>
    <w:rsid w:val="004D4A7D"/>
    <w:rsid w:val="004E0136"/>
    <w:rsid w:val="004E1318"/>
    <w:rsid w:val="004E2371"/>
    <w:rsid w:val="004E23A4"/>
    <w:rsid w:val="004E6BE9"/>
    <w:rsid w:val="004F17FE"/>
    <w:rsid w:val="004F43E5"/>
    <w:rsid w:val="004F47B9"/>
    <w:rsid w:val="00503655"/>
    <w:rsid w:val="005037B3"/>
    <w:rsid w:val="005039A0"/>
    <w:rsid w:val="00504E9A"/>
    <w:rsid w:val="00504FB2"/>
    <w:rsid w:val="00505015"/>
    <w:rsid w:val="00506846"/>
    <w:rsid w:val="00510556"/>
    <w:rsid w:val="00510591"/>
    <w:rsid w:val="00512DA7"/>
    <w:rsid w:val="00514054"/>
    <w:rsid w:val="00515090"/>
    <w:rsid w:val="005201B8"/>
    <w:rsid w:val="005211D9"/>
    <w:rsid w:val="00521E57"/>
    <w:rsid w:val="00522FD2"/>
    <w:rsid w:val="00524ADF"/>
    <w:rsid w:val="005305EA"/>
    <w:rsid w:val="00530F74"/>
    <w:rsid w:val="00531170"/>
    <w:rsid w:val="0053381A"/>
    <w:rsid w:val="00535F50"/>
    <w:rsid w:val="005371E7"/>
    <w:rsid w:val="00537C9F"/>
    <w:rsid w:val="00540538"/>
    <w:rsid w:val="00540ACB"/>
    <w:rsid w:val="00545E93"/>
    <w:rsid w:val="00547D93"/>
    <w:rsid w:val="005520FE"/>
    <w:rsid w:val="00556513"/>
    <w:rsid w:val="00557560"/>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96DC5"/>
    <w:rsid w:val="005A0B49"/>
    <w:rsid w:val="005A66AC"/>
    <w:rsid w:val="005A6D57"/>
    <w:rsid w:val="005B06D0"/>
    <w:rsid w:val="005B25A5"/>
    <w:rsid w:val="005B36D5"/>
    <w:rsid w:val="005B475E"/>
    <w:rsid w:val="005B5B70"/>
    <w:rsid w:val="005B5F05"/>
    <w:rsid w:val="005B60F0"/>
    <w:rsid w:val="005B741E"/>
    <w:rsid w:val="005B7DAD"/>
    <w:rsid w:val="005C04BB"/>
    <w:rsid w:val="005C123F"/>
    <w:rsid w:val="005C6605"/>
    <w:rsid w:val="005C6982"/>
    <w:rsid w:val="005D0DF5"/>
    <w:rsid w:val="005D15A3"/>
    <w:rsid w:val="005D1602"/>
    <w:rsid w:val="005D18FA"/>
    <w:rsid w:val="005D2B59"/>
    <w:rsid w:val="005D362F"/>
    <w:rsid w:val="005D370F"/>
    <w:rsid w:val="005D5554"/>
    <w:rsid w:val="005E1DC6"/>
    <w:rsid w:val="005E48E4"/>
    <w:rsid w:val="005E4D7C"/>
    <w:rsid w:val="005F048E"/>
    <w:rsid w:val="005F0C60"/>
    <w:rsid w:val="005F13AC"/>
    <w:rsid w:val="005F2035"/>
    <w:rsid w:val="005F4734"/>
    <w:rsid w:val="005F57F0"/>
    <w:rsid w:val="00602704"/>
    <w:rsid w:val="00605A38"/>
    <w:rsid w:val="00605DCA"/>
    <w:rsid w:val="00607FAD"/>
    <w:rsid w:val="0061042F"/>
    <w:rsid w:val="00610C37"/>
    <w:rsid w:val="006114BA"/>
    <w:rsid w:val="006168E4"/>
    <w:rsid w:val="00626775"/>
    <w:rsid w:val="00626A70"/>
    <w:rsid w:val="006323CA"/>
    <w:rsid w:val="0063381E"/>
    <w:rsid w:val="00633DE8"/>
    <w:rsid w:val="00636327"/>
    <w:rsid w:val="006369B4"/>
    <w:rsid w:val="00637512"/>
    <w:rsid w:val="00640EE4"/>
    <w:rsid w:val="0064272B"/>
    <w:rsid w:val="006466F5"/>
    <w:rsid w:val="0064761A"/>
    <w:rsid w:val="00650C5E"/>
    <w:rsid w:val="00652A6B"/>
    <w:rsid w:val="0065671B"/>
    <w:rsid w:val="00657DAD"/>
    <w:rsid w:val="00657E8C"/>
    <w:rsid w:val="0066072B"/>
    <w:rsid w:val="00660C59"/>
    <w:rsid w:val="00661753"/>
    <w:rsid w:val="0066456D"/>
    <w:rsid w:val="006655C9"/>
    <w:rsid w:val="00667DD9"/>
    <w:rsid w:val="00673BD3"/>
    <w:rsid w:val="00676C25"/>
    <w:rsid w:val="00677379"/>
    <w:rsid w:val="006848B7"/>
    <w:rsid w:val="00686FD5"/>
    <w:rsid w:val="00695AE4"/>
    <w:rsid w:val="00697278"/>
    <w:rsid w:val="006A04CA"/>
    <w:rsid w:val="006A2BEC"/>
    <w:rsid w:val="006B0F7D"/>
    <w:rsid w:val="006B1953"/>
    <w:rsid w:val="006B1BF1"/>
    <w:rsid w:val="006B26E3"/>
    <w:rsid w:val="006B34A6"/>
    <w:rsid w:val="006B486C"/>
    <w:rsid w:val="006B4B63"/>
    <w:rsid w:val="006B5DDC"/>
    <w:rsid w:val="006B68FC"/>
    <w:rsid w:val="006B7444"/>
    <w:rsid w:val="006C0FBD"/>
    <w:rsid w:val="006C698B"/>
    <w:rsid w:val="006D23FC"/>
    <w:rsid w:val="006D3041"/>
    <w:rsid w:val="006D3733"/>
    <w:rsid w:val="006F396A"/>
    <w:rsid w:val="006F3C14"/>
    <w:rsid w:val="006F3F71"/>
    <w:rsid w:val="006F4DFF"/>
    <w:rsid w:val="00701033"/>
    <w:rsid w:val="00701B61"/>
    <w:rsid w:val="007164CD"/>
    <w:rsid w:val="007172F5"/>
    <w:rsid w:val="00717E41"/>
    <w:rsid w:val="0072689F"/>
    <w:rsid w:val="00730443"/>
    <w:rsid w:val="00736D41"/>
    <w:rsid w:val="0074094C"/>
    <w:rsid w:val="00741327"/>
    <w:rsid w:val="00742EAF"/>
    <w:rsid w:val="00744EEF"/>
    <w:rsid w:val="007456B7"/>
    <w:rsid w:val="007546C1"/>
    <w:rsid w:val="00754CAE"/>
    <w:rsid w:val="007568AD"/>
    <w:rsid w:val="00763C1A"/>
    <w:rsid w:val="00770CD1"/>
    <w:rsid w:val="00770FCE"/>
    <w:rsid w:val="00771AC2"/>
    <w:rsid w:val="00772E31"/>
    <w:rsid w:val="007748C4"/>
    <w:rsid w:val="00774A9C"/>
    <w:rsid w:val="00780B57"/>
    <w:rsid w:val="00781530"/>
    <w:rsid w:val="007830E9"/>
    <w:rsid w:val="00783A07"/>
    <w:rsid w:val="00783A0F"/>
    <w:rsid w:val="007851D5"/>
    <w:rsid w:val="00793F86"/>
    <w:rsid w:val="00794099"/>
    <w:rsid w:val="0079486A"/>
    <w:rsid w:val="00794F80"/>
    <w:rsid w:val="0079735D"/>
    <w:rsid w:val="007A1C9E"/>
    <w:rsid w:val="007A3206"/>
    <w:rsid w:val="007A4692"/>
    <w:rsid w:val="007B1B43"/>
    <w:rsid w:val="007B2303"/>
    <w:rsid w:val="007B2C77"/>
    <w:rsid w:val="007B403C"/>
    <w:rsid w:val="007B68F7"/>
    <w:rsid w:val="007B74F3"/>
    <w:rsid w:val="007C4168"/>
    <w:rsid w:val="007C45D8"/>
    <w:rsid w:val="007C7C08"/>
    <w:rsid w:val="007D1A27"/>
    <w:rsid w:val="007D1B24"/>
    <w:rsid w:val="007D1F15"/>
    <w:rsid w:val="007D25B1"/>
    <w:rsid w:val="007D2878"/>
    <w:rsid w:val="007D2F06"/>
    <w:rsid w:val="007D3203"/>
    <w:rsid w:val="007D3776"/>
    <w:rsid w:val="007D4303"/>
    <w:rsid w:val="007D4367"/>
    <w:rsid w:val="007D6045"/>
    <w:rsid w:val="007E51E6"/>
    <w:rsid w:val="007E6161"/>
    <w:rsid w:val="007E6BD2"/>
    <w:rsid w:val="007E7BAB"/>
    <w:rsid w:val="007E7DCE"/>
    <w:rsid w:val="007F20AC"/>
    <w:rsid w:val="007F53A0"/>
    <w:rsid w:val="007F7A92"/>
    <w:rsid w:val="008024BA"/>
    <w:rsid w:val="00802C56"/>
    <w:rsid w:val="00803193"/>
    <w:rsid w:val="00811205"/>
    <w:rsid w:val="008120A3"/>
    <w:rsid w:val="00812C48"/>
    <w:rsid w:val="008146F9"/>
    <w:rsid w:val="00817345"/>
    <w:rsid w:val="00820C44"/>
    <w:rsid w:val="00822215"/>
    <w:rsid w:val="008225F1"/>
    <w:rsid w:val="00824DCD"/>
    <w:rsid w:val="0082728A"/>
    <w:rsid w:val="00833011"/>
    <w:rsid w:val="00833746"/>
    <w:rsid w:val="008356AF"/>
    <w:rsid w:val="00843314"/>
    <w:rsid w:val="00844569"/>
    <w:rsid w:val="00844902"/>
    <w:rsid w:val="00844C14"/>
    <w:rsid w:val="008473F5"/>
    <w:rsid w:val="00847D23"/>
    <w:rsid w:val="0085196B"/>
    <w:rsid w:val="00853BED"/>
    <w:rsid w:val="00863327"/>
    <w:rsid w:val="00864079"/>
    <w:rsid w:val="00865065"/>
    <w:rsid w:val="00867376"/>
    <w:rsid w:val="00867C3E"/>
    <w:rsid w:val="00870F44"/>
    <w:rsid w:val="00871DC1"/>
    <w:rsid w:val="008724F6"/>
    <w:rsid w:val="00883241"/>
    <w:rsid w:val="00884054"/>
    <w:rsid w:val="008840E6"/>
    <w:rsid w:val="00884568"/>
    <w:rsid w:val="00887D68"/>
    <w:rsid w:val="008936E7"/>
    <w:rsid w:val="00893729"/>
    <w:rsid w:val="00895089"/>
    <w:rsid w:val="008951ED"/>
    <w:rsid w:val="00896828"/>
    <w:rsid w:val="008A0CBB"/>
    <w:rsid w:val="008A2F6C"/>
    <w:rsid w:val="008A40AD"/>
    <w:rsid w:val="008A6609"/>
    <w:rsid w:val="008A68CA"/>
    <w:rsid w:val="008A6F2F"/>
    <w:rsid w:val="008A75BE"/>
    <w:rsid w:val="008B0679"/>
    <w:rsid w:val="008B3D11"/>
    <w:rsid w:val="008B42B1"/>
    <w:rsid w:val="008B4525"/>
    <w:rsid w:val="008B5224"/>
    <w:rsid w:val="008B7087"/>
    <w:rsid w:val="008B7382"/>
    <w:rsid w:val="008C0375"/>
    <w:rsid w:val="008C121A"/>
    <w:rsid w:val="008C2023"/>
    <w:rsid w:val="008C32A8"/>
    <w:rsid w:val="008C50C4"/>
    <w:rsid w:val="008C55A3"/>
    <w:rsid w:val="008C5A03"/>
    <w:rsid w:val="008C5E94"/>
    <w:rsid w:val="008C6105"/>
    <w:rsid w:val="008D05A6"/>
    <w:rsid w:val="008D4154"/>
    <w:rsid w:val="008D4EB7"/>
    <w:rsid w:val="008D5DFD"/>
    <w:rsid w:val="008D6D04"/>
    <w:rsid w:val="008E201B"/>
    <w:rsid w:val="008E3791"/>
    <w:rsid w:val="008E6375"/>
    <w:rsid w:val="008E7F3C"/>
    <w:rsid w:val="008F0117"/>
    <w:rsid w:val="008F4C65"/>
    <w:rsid w:val="008F4D72"/>
    <w:rsid w:val="008F6955"/>
    <w:rsid w:val="00904E4A"/>
    <w:rsid w:val="00905422"/>
    <w:rsid w:val="00911080"/>
    <w:rsid w:val="00913133"/>
    <w:rsid w:val="009145F6"/>
    <w:rsid w:val="00920128"/>
    <w:rsid w:val="00921DB9"/>
    <w:rsid w:val="00922381"/>
    <w:rsid w:val="00922957"/>
    <w:rsid w:val="0092403D"/>
    <w:rsid w:val="009268BB"/>
    <w:rsid w:val="00926D4D"/>
    <w:rsid w:val="00930B2D"/>
    <w:rsid w:val="0093296F"/>
    <w:rsid w:val="00934F3F"/>
    <w:rsid w:val="00935D2F"/>
    <w:rsid w:val="00940116"/>
    <w:rsid w:val="009402DB"/>
    <w:rsid w:val="00941DFA"/>
    <w:rsid w:val="009449B8"/>
    <w:rsid w:val="00944DC9"/>
    <w:rsid w:val="00945479"/>
    <w:rsid w:val="00945D0C"/>
    <w:rsid w:val="00946380"/>
    <w:rsid w:val="009464B0"/>
    <w:rsid w:val="009517DA"/>
    <w:rsid w:val="009611E0"/>
    <w:rsid w:val="00961369"/>
    <w:rsid w:val="00965B02"/>
    <w:rsid w:val="00965FEE"/>
    <w:rsid w:val="0096607F"/>
    <w:rsid w:val="0096643B"/>
    <w:rsid w:val="009706B5"/>
    <w:rsid w:val="00972BDF"/>
    <w:rsid w:val="0098182D"/>
    <w:rsid w:val="00983463"/>
    <w:rsid w:val="009863DD"/>
    <w:rsid w:val="00990C92"/>
    <w:rsid w:val="00991F20"/>
    <w:rsid w:val="00996FB8"/>
    <w:rsid w:val="00997E87"/>
    <w:rsid w:val="009A00AF"/>
    <w:rsid w:val="009A0AF8"/>
    <w:rsid w:val="009A1139"/>
    <w:rsid w:val="009A1AD9"/>
    <w:rsid w:val="009A49FE"/>
    <w:rsid w:val="009A686F"/>
    <w:rsid w:val="009A77EC"/>
    <w:rsid w:val="009B1356"/>
    <w:rsid w:val="009B33A8"/>
    <w:rsid w:val="009B3487"/>
    <w:rsid w:val="009B3D6C"/>
    <w:rsid w:val="009B7200"/>
    <w:rsid w:val="009B7C61"/>
    <w:rsid w:val="009C2422"/>
    <w:rsid w:val="009C2AE5"/>
    <w:rsid w:val="009C3793"/>
    <w:rsid w:val="009C5328"/>
    <w:rsid w:val="009C5DB9"/>
    <w:rsid w:val="009C7074"/>
    <w:rsid w:val="009C78BF"/>
    <w:rsid w:val="009D25FE"/>
    <w:rsid w:val="009D6A1F"/>
    <w:rsid w:val="009E0867"/>
    <w:rsid w:val="009E1411"/>
    <w:rsid w:val="009E45A0"/>
    <w:rsid w:val="009E471D"/>
    <w:rsid w:val="009E52F2"/>
    <w:rsid w:val="009F0515"/>
    <w:rsid w:val="009F1A4C"/>
    <w:rsid w:val="009F3056"/>
    <w:rsid w:val="009F335B"/>
    <w:rsid w:val="009F3C1F"/>
    <w:rsid w:val="009F614E"/>
    <w:rsid w:val="009F6571"/>
    <w:rsid w:val="009F6A7C"/>
    <w:rsid w:val="009F762B"/>
    <w:rsid w:val="00A02047"/>
    <w:rsid w:val="00A036BE"/>
    <w:rsid w:val="00A05EF8"/>
    <w:rsid w:val="00A064EC"/>
    <w:rsid w:val="00A11838"/>
    <w:rsid w:val="00A12205"/>
    <w:rsid w:val="00A13BA0"/>
    <w:rsid w:val="00A14CB7"/>
    <w:rsid w:val="00A155B9"/>
    <w:rsid w:val="00A214B4"/>
    <w:rsid w:val="00A274D8"/>
    <w:rsid w:val="00A305F0"/>
    <w:rsid w:val="00A32D63"/>
    <w:rsid w:val="00A345F6"/>
    <w:rsid w:val="00A34DDD"/>
    <w:rsid w:val="00A4436A"/>
    <w:rsid w:val="00A45097"/>
    <w:rsid w:val="00A453DC"/>
    <w:rsid w:val="00A4540E"/>
    <w:rsid w:val="00A45721"/>
    <w:rsid w:val="00A45BD9"/>
    <w:rsid w:val="00A47E87"/>
    <w:rsid w:val="00A516E8"/>
    <w:rsid w:val="00A520C9"/>
    <w:rsid w:val="00A525D9"/>
    <w:rsid w:val="00A565E7"/>
    <w:rsid w:val="00A625E2"/>
    <w:rsid w:val="00A63D5A"/>
    <w:rsid w:val="00A65D0B"/>
    <w:rsid w:val="00A676DA"/>
    <w:rsid w:val="00A67B13"/>
    <w:rsid w:val="00A71080"/>
    <w:rsid w:val="00A72465"/>
    <w:rsid w:val="00A72DCB"/>
    <w:rsid w:val="00A75001"/>
    <w:rsid w:val="00A75628"/>
    <w:rsid w:val="00A763BD"/>
    <w:rsid w:val="00A80C92"/>
    <w:rsid w:val="00A82461"/>
    <w:rsid w:val="00A83323"/>
    <w:rsid w:val="00A85006"/>
    <w:rsid w:val="00A851D8"/>
    <w:rsid w:val="00A85FF3"/>
    <w:rsid w:val="00A87394"/>
    <w:rsid w:val="00A90085"/>
    <w:rsid w:val="00A90295"/>
    <w:rsid w:val="00A9227B"/>
    <w:rsid w:val="00A927B1"/>
    <w:rsid w:val="00A93540"/>
    <w:rsid w:val="00A947CC"/>
    <w:rsid w:val="00A94812"/>
    <w:rsid w:val="00A953BA"/>
    <w:rsid w:val="00AA066E"/>
    <w:rsid w:val="00AA1A2C"/>
    <w:rsid w:val="00AA207C"/>
    <w:rsid w:val="00AA34FF"/>
    <w:rsid w:val="00AA5D62"/>
    <w:rsid w:val="00AB1A1D"/>
    <w:rsid w:val="00AB3710"/>
    <w:rsid w:val="00AB4B0F"/>
    <w:rsid w:val="00AB6C3B"/>
    <w:rsid w:val="00AB718D"/>
    <w:rsid w:val="00AC0078"/>
    <w:rsid w:val="00AC1971"/>
    <w:rsid w:val="00AC5581"/>
    <w:rsid w:val="00AC76D3"/>
    <w:rsid w:val="00AC7FB6"/>
    <w:rsid w:val="00AD15A7"/>
    <w:rsid w:val="00AD49CD"/>
    <w:rsid w:val="00AD4BD3"/>
    <w:rsid w:val="00AD6BEE"/>
    <w:rsid w:val="00AE008F"/>
    <w:rsid w:val="00AE1841"/>
    <w:rsid w:val="00AE1EF2"/>
    <w:rsid w:val="00AE2CA1"/>
    <w:rsid w:val="00AE3471"/>
    <w:rsid w:val="00AE5F26"/>
    <w:rsid w:val="00AF1248"/>
    <w:rsid w:val="00AF535B"/>
    <w:rsid w:val="00AF55AC"/>
    <w:rsid w:val="00AF713F"/>
    <w:rsid w:val="00B0236C"/>
    <w:rsid w:val="00B033A0"/>
    <w:rsid w:val="00B07D6D"/>
    <w:rsid w:val="00B1003A"/>
    <w:rsid w:val="00B11E08"/>
    <w:rsid w:val="00B12E48"/>
    <w:rsid w:val="00B13C33"/>
    <w:rsid w:val="00B1443C"/>
    <w:rsid w:val="00B1753F"/>
    <w:rsid w:val="00B26C37"/>
    <w:rsid w:val="00B32CD3"/>
    <w:rsid w:val="00B32E70"/>
    <w:rsid w:val="00B353FF"/>
    <w:rsid w:val="00B35A93"/>
    <w:rsid w:val="00B3635B"/>
    <w:rsid w:val="00B3672D"/>
    <w:rsid w:val="00B36C4F"/>
    <w:rsid w:val="00B36D2B"/>
    <w:rsid w:val="00B407CA"/>
    <w:rsid w:val="00B41588"/>
    <w:rsid w:val="00B455E7"/>
    <w:rsid w:val="00B47192"/>
    <w:rsid w:val="00B4745C"/>
    <w:rsid w:val="00B477AC"/>
    <w:rsid w:val="00B47B0E"/>
    <w:rsid w:val="00B51510"/>
    <w:rsid w:val="00B527A5"/>
    <w:rsid w:val="00B5354D"/>
    <w:rsid w:val="00B547A7"/>
    <w:rsid w:val="00B61D75"/>
    <w:rsid w:val="00B62F0D"/>
    <w:rsid w:val="00B64D7A"/>
    <w:rsid w:val="00B70236"/>
    <w:rsid w:val="00B7258D"/>
    <w:rsid w:val="00B72B0F"/>
    <w:rsid w:val="00B7396E"/>
    <w:rsid w:val="00B741B2"/>
    <w:rsid w:val="00B75A86"/>
    <w:rsid w:val="00B80028"/>
    <w:rsid w:val="00B833EA"/>
    <w:rsid w:val="00B840E3"/>
    <w:rsid w:val="00B85271"/>
    <w:rsid w:val="00B871BE"/>
    <w:rsid w:val="00B9223B"/>
    <w:rsid w:val="00B95987"/>
    <w:rsid w:val="00B971AA"/>
    <w:rsid w:val="00B97604"/>
    <w:rsid w:val="00BA11EC"/>
    <w:rsid w:val="00BA4D1F"/>
    <w:rsid w:val="00BA7AD1"/>
    <w:rsid w:val="00BB04EC"/>
    <w:rsid w:val="00BB2250"/>
    <w:rsid w:val="00BB4A68"/>
    <w:rsid w:val="00BB5CE6"/>
    <w:rsid w:val="00BC0FDD"/>
    <w:rsid w:val="00BC14E6"/>
    <w:rsid w:val="00BC22E0"/>
    <w:rsid w:val="00BC3CE6"/>
    <w:rsid w:val="00BD30FE"/>
    <w:rsid w:val="00BD65B1"/>
    <w:rsid w:val="00BE21EF"/>
    <w:rsid w:val="00BE28ED"/>
    <w:rsid w:val="00BE378C"/>
    <w:rsid w:val="00BE3E18"/>
    <w:rsid w:val="00BE4F42"/>
    <w:rsid w:val="00BE5AFF"/>
    <w:rsid w:val="00BE688D"/>
    <w:rsid w:val="00BE7C9B"/>
    <w:rsid w:val="00BF01A7"/>
    <w:rsid w:val="00BF1ECA"/>
    <w:rsid w:val="00BF30B0"/>
    <w:rsid w:val="00BF37E3"/>
    <w:rsid w:val="00C0147E"/>
    <w:rsid w:val="00C03F20"/>
    <w:rsid w:val="00C04FE4"/>
    <w:rsid w:val="00C16182"/>
    <w:rsid w:val="00C25084"/>
    <w:rsid w:val="00C272C9"/>
    <w:rsid w:val="00C304E8"/>
    <w:rsid w:val="00C30A4F"/>
    <w:rsid w:val="00C41665"/>
    <w:rsid w:val="00C429E1"/>
    <w:rsid w:val="00C437F6"/>
    <w:rsid w:val="00C4691C"/>
    <w:rsid w:val="00C57DAE"/>
    <w:rsid w:val="00C61F96"/>
    <w:rsid w:val="00C6238B"/>
    <w:rsid w:val="00C6488B"/>
    <w:rsid w:val="00C67878"/>
    <w:rsid w:val="00C67A38"/>
    <w:rsid w:val="00C70B66"/>
    <w:rsid w:val="00C71C64"/>
    <w:rsid w:val="00C71CD1"/>
    <w:rsid w:val="00C72E35"/>
    <w:rsid w:val="00C73143"/>
    <w:rsid w:val="00C77685"/>
    <w:rsid w:val="00C77815"/>
    <w:rsid w:val="00C80100"/>
    <w:rsid w:val="00C8239D"/>
    <w:rsid w:val="00C85378"/>
    <w:rsid w:val="00C858DC"/>
    <w:rsid w:val="00C8598F"/>
    <w:rsid w:val="00C90AD4"/>
    <w:rsid w:val="00C9297C"/>
    <w:rsid w:val="00CA1B63"/>
    <w:rsid w:val="00CA621B"/>
    <w:rsid w:val="00CA6FDA"/>
    <w:rsid w:val="00CB0AFB"/>
    <w:rsid w:val="00CB266D"/>
    <w:rsid w:val="00CB3B6F"/>
    <w:rsid w:val="00CC071F"/>
    <w:rsid w:val="00CC0C5F"/>
    <w:rsid w:val="00CC14B6"/>
    <w:rsid w:val="00CC223A"/>
    <w:rsid w:val="00CC2F3D"/>
    <w:rsid w:val="00CC5144"/>
    <w:rsid w:val="00CC5FF3"/>
    <w:rsid w:val="00CD422C"/>
    <w:rsid w:val="00CD5CDC"/>
    <w:rsid w:val="00CD789C"/>
    <w:rsid w:val="00CE2ADF"/>
    <w:rsid w:val="00CE360C"/>
    <w:rsid w:val="00CE3713"/>
    <w:rsid w:val="00CE3992"/>
    <w:rsid w:val="00CF0807"/>
    <w:rsid w:val="00CF0835"/>
    <w:rsid w:val="00CF1976"/>
    <w:rsid w:val="00CF1D7D"/>
    <w:rsid w:val="00CF45D3"/>
    <w:rsid w:val="00CF4D0D"/>
    <w:rsid w:val="00CF6B6C"/>
    <w:rsid w:val="00D00A58"/>
    <w:rsid w:val="00D01197"/>
    <w:rsid w:val="00D042BB"/>
    <w:rsid w:val="00D05038"/>
    <w:rsid w:val="00D058B0"/>
    <w:rsid w:val="00D05C8E"/>
    <w:rsid w:val="00D06CA0"/>
    <w:rsid w:val="00D11F7D"/>
    <w:rsid w:val="00D11FC3"/>
    <w:rsid w:val="00D13098"/>
    <w:rsid w:val="00D161C1"/>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45975"/>
    <w:rsid w:val="00D52AC7"/>
    <w:rsid w:val="00D53772"/>
    <w:rsid w:val="00D54CA9"/>
    <w:rsid w:val="00D555B6"/>
    <w:rsid w:val="00D556EC"/>
    <w:rsid w:val="00D56D67"/>
    <w:rsid w:val="00D61EC5"/>
    <w:rsid w:val="00D627AD"/>
    <w:rsid w:val="00D6340F"/>
    <w:rsid w:val="00D66135"/>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5528"/>
    <w:rsid w:val="00DB5C0A"/>
    <w:rsid w:val="00DB5E40"/>
    <w:rsid w:val="00DC06AA"/>
    <w:rsid w:val="00DC0C93"/>
    <w:rsid w:val="00DC0E09"/>
    <w:rsid w:val="00DC168A"/>
    <w:rsid w:val="00DC5169"/>
    <w:rsid w:val="00DC721C"/>
    <w:rsid w:val="00DD13E2"/>
    <w:rsid w:val="00DD2BA7"/>
    <w:rsid w:val="00DE153B"/>
    <w:rsid w:val="00DE3B70"/>
    <w:rsid w:val="00DF003C"/>
    <w:rsid w:val="00DF4501"/>
    <w:rsid w:val="00DF45C5"/>
    <w:rsid w:val="00DF4E18"/>
    <w:rsid w:val="00DF5FBA"/>
    <w:rsid w:val="00DF723C"/>
    <w:rsid w:val="00DF783E"/>
    <w:rsid w:val="00DF78AE"/>
    <w:rsid w:val="00E029A8"/>
    <w:rsid w:val="00E034C9"/>
    <w:rsid w:val="00E10879"/>
    <w:rsid w:val="00E117EC"/>
    <w:rsid w:val="00E11E2E"/>
    <w:rsid w:val="00E12542"/>
    <w:rsid w:val="00E1345D"/>
    <w:rsid w:val="00E13CBE"/>
    <w:rsid w:val="00E24CF4"/>
    <w:rsid w:val="00E266D3"/>
    <w:rsid w:val="00E27279"/>
    <w:rsid w:val="00E31699"/>
    <w:rsid w:val="00E32707"/>
    <w:rsid w:val="00E371EC"/>
    <w:rsid w:val="00E450DB"/>
    <w:rsid w:val="00E555D5"/>
    <w:rsid w:val="00E6063A"/>
    <w:rsid w:val="00E62A59"/>
    <w:rsid w:val="00E63ADD"/>
    <w:rsid w:val="00E64A3C"/>
    <w:rsid w:val="00E67776"/>
    <w:rsid w:val="00E72AE3"/>
    <w:rsid w:val="00E73B0B"/>
    <w:rsid w:val="00E73B51"/>
    <w:rsid w:val="00E743B7"/>
    <w:rsid w:val="00E76D3D"/>
    <w:rsid w:val="00E81B17"/>
    <w:rsid w:val="00E83125"/>
    <w:rsid w:val="00E83F26"/>
    <w:rsid w:val="00E86A13"/>
    <w:rsid w:val="00E86CA7"/>
    <w:rsid w:val="00E913E9"/>
    <w:rsid w:val="00E91748"/>
    <w:rsid w:val="00E96F99"/>
    <w:rsid w:val="00EA103B"/>
    <w:rsid w:val="00EA13A0"/>
    <w:rsid w:val="00EA1F89"/>
    <w:rsid w:val="00EA4C15"/>
    <w:rsid w:val="00EA5BCC"/>
    <w:rsid w:val="00EA5DF5"/>
    <w:rsid w:val="00EB117B"/>
    <w:rsid w:val="00EB15E0"/>
    <w:rsid w:val="00EB39C0"/>
    <w:rsid w:val="00EB40D6"/>
    <w:rsid w:val="00EB5F75"/>
    <w:rsid w:val="00EB79CD"/>
    <w:rsid w:val="00EB7A2F"/>
    <w:rsid w:val="00EB7F18"/>
    <w:rsid w:val="00EC07ED"/>
    <w:rsid w:val="00EC305D"/>
    <w:rsid w:val="00EC3BF2"/>
    <w:rsid w:val="00EC3C36"/>
    <w:rsid w:val="00ED6131"/>
    <w:rsid w:val="00EE0578"/>
    <w:rsid w:val="00EE0F2E"/>
    <w:rsid w:val="00EE1234"/>
    <w:rsid w:val="00EE1454"/>
    <w:rsid w:val="00EE2A41"/>
    <w:rsid w:val="00EE2C8C"/>
    <w:rsid w:val="00EE2ECB"/>
    <w:rsid w:val="00EE3054"/>
    <w:rsid w:val="00EE575D"/>
    <w:rsid w:val="00EE5F8D"/>
    <w:rsid w:val="00EF09FB"/>
    <w:rsid w:val="00EF1C91"/>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6026"/>
    <w:rsid w:val="00F22566"/>
    <w:rsid w:val="00F22963"/>
    <w:rsid w:val="00F22D0E"/>
    <w:rsid w:val="00F25D50"/>
    <w:rsid w:val="00F2654F"/>
    <w:rsid w:val="00F376BC"/>
    <w:rsid w:val="00F37993"/>
    <w:rsid w:val="00F403EA"/>
    <w:rsid w:val="00F410AC"/>
    <w:rsid w:val="00F42753"/>
    <w:rsid w:val="00F47DEC"/>
    <w:rsid w:val="00F510DB"/>
    <w:rsid w:val="00F54525"/>
    <w:rsid w:val="00F55EF2"/>
    <w:rsid w:val="00F56B30"/>
    <w:rsid w:val="00F64643"/>
    <w:rsid w:val="00F6495A"/>
    <w:rsid w:val="00F727B0"/>
    <w:rsid w:val="00F72B5D"/>
    <w:rsid w:val="00F750BE"/>
    <w:rsid w:val="00F84FFF"/>
    <w:rsid w:val="00F90E93"/>
    <w:rsid w:val="00F91F36"/>
    <w:rsid w:val="00F94BD5"/>
    <w:rsid w:val="00F96D4C"/>
    <w:rsid w:val="00F97F52"/>
    <w:rsid w:val="00FA2545"/>
    <w:rsid w:val="00FA41C5"/>
    <w:rsid w:val="00FA5036"/>
    <w:rsid w:val="00FB2CFE"/>
    <w:rsid w:val="00FB4AAD"/>
    <w:rsid w:val="00FB4E3D"/>
    <w:rsid w:val="00FB5348"/>
    <w:rsid w:val="00FB5F2A"/>
    <w:rsid w:val="00FC02ED"/>
    <w:rsid w:val="00FC3072"/>
    <w:rsid w:val="00FC4E89"/>
    <w:rsid w:val="00FC4F9B"/>
    <w:rsid w:val="00FC59F0"/>
    <w:rsid w:val="00FD0D68"/>
    <w:rsid w:val="00FD2899"/>
    <w:rsid w:val="00FD4599"/>
    <w:rsid w:val="00FD4784"/>
    <w:rsid w:val="00FD65FE"/>
    <w:rsid w:val="00FD68C0"/>
    <w:rsid w:val="00FD6B1B"/>
    <w:rsid w:val="00FE3D5E"/>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28B687B7-DAD8-42C8-86D5-E8D943E2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UnresolvedMention1">
    <w:name w:val="Unresolved Mention1"/>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2">
    <w:name w:val="Unresolved Mention2"/>
    <w:basedOn w:val="Fuentedeprrafopredeter"/>
    <w:uiPriority w:val="99"/>
    <w:semiHidden/>
    <w:unhideWhenUsed/>
    <w:rsid w:val="008B3D11"/>
    <w:rPr>
      <w:color w:val="605E5C"/>
      <w:shd w:val="clear" w:color="auto" w:fill="E1DFDD"/>
    </w:rPr>
  </w:style>
  <w:style w:type="character" w:customStyle="1" w:styleId="UnresolvedMention3">
    <w:name w:val="Unresolved Mention3"/>
    <w:basedOn w:val="Fuentedeprrafopredeter"/>
    <w:uiPriority w:val="99"/>
    <w:semiHidden/>
    <w:unhideWhenUsed/>
    <w:rsid w:val="007B74F3"/>
    <w:rPr>
      <w:color w:val="605E5C"/>
      <w:shd w:val="clear" w:color="auto" w:fill="E1DFDD"/>
    </w:rPr>
  </w:style>
  <w:style w:type="table" w:styleId="Tabladelista6concolores-nfasis5">
    <w:name w:val="List Table 6 Colorful Accent 5"/>
    <w:basedOn w:val="Tablanormal"/>
    <w:uiPriority w:val="51"/>
    <w:rsid w:val="00A763B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20889120">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73106189">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GG/organigramas.we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F4920-0276-472E-86EF-1933FD4A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5207</Words>
  <Characters>28639</Characters>
  <Application>Microsoft Office Word</Application>
  <DocSecurity>0</DocSecurity>
  <Lines>238</Lines>
  <Paragraphs>67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2020-01-30T23:10:00Z</cp:lastPrinted>
  <dcterms:created xsi:type="dcterms:W3CDTF">2022-06-02T02:28:00Z</dcterms:created>
  <dcterms:modified xsi:type="dcterms:W3CDTF">2022-06-02T02:30:00Z</dcterms:modified>
</cp:coreProperties>
</file>