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1C9F9" w14:textId="4EA238D6" w:rsidR="005D5C69" w:rsidRPr="00C938B6" w:rsidRDefault="005D5C69" w:rsidP="00AC5A6A">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B496E">
        <w:rPr>
          <w:rFonts w:ascii="Palatino Linotype" w:hAnsi="Palatino Linotype" w:cs="Tahoma"/>
          <w:bCs/>
          <w:sz w:val="22"/>
          <w:szCs w:val="22"/>
        </w:rPr>
        <w:t>dieciocho</w:t>
      </w:r>
      <w:r>
        <w:rPr>
          <w:rFonts w:ascii="Palatino Linotype" w:hAnsi="Palatino Linotype" w:cs="Tahoma"/>
          <w:bCs/>
          <w:sz w:val="22"/>
          <w:szCs w:val="22"/>
        </w:rPr>
        <w:t xml:space="preserve"> de mayo de dos mil veintidós</w:t>
      </w:r>
      <w:r w:rsidRPr="00C938B6">
        <w:rPr>
          <w:rFonts w:ascii="Palatino Linotype" w:hAnsi="Palatino Linotype" w:cs="Tahoma"/>
          <w:bCs/>
          <w:sz w:val="22"/>
          <w:szCs w:val="22"/>
        </w:rPr>
        <w:t>.</w:t>
      </w:r>
    </w:p>
    <w:p w14:paraId="447DFF1E" w14:textId="77777777" w:rsidR="005D5C69" w:rsidRPr="00C938B6" w:rsidRDefault="005D5C69" w:rsidP="00AC5A6A">
      <w:pPr>
        <w:spacing w:line="360" w:lineRule="auto"/>
        <w:contextualSpacing/>
        <w:jc w:val="both"/>
        <w:rPr>
          <w:rFonts w:ascii="Palatino Linotype" w:hAnsi="Palatino Linotype"/>
          <w:noProof/>
          <w:sz w:val="22"/>
          <w:szCs w:val="22"/>
          <w:lang w:val="es-ES"/>
        </w:rPr>
      </w:pPr>
    </w:p>
    <w:p w14:paraId="30B0FB70" w14:textId="510F5A22" w:rsidR="005D5C69" w:rsidRPr="00C938B6" w:rsidRDefault="005D5C69" w:rsidP="00AC5A6A">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Pr="0027189C">
        <w:rPr>
          <w:rFonts w:ascii="Palatino Linotype" w:eastAsia="Calibri" w:hAnsi="Palatino Linotype" w:cs="Tahoma"/>
          <w:sz w:val="22"/>
          <w:szCs w:val="22"/>
          <w:lang w:eastAsia="en-US"/>
        </w:rPr>
        <w:t>0</w:t>
      </w:r>
      <w:r w:rsidR="00EB496E">
        <w:rPr>
          <w:rFonts w:ascii="Palatino Linotype" w:eastAsia="Calibri" w:hAnsi="Palatino Linotype" w:cs="Tahoma"/>
          <w:sz w:val="22"/>
          <w:szCs w:val="22"/>
          <w:lang w:eastAsia="en-US"/>
        </w:rPr>
        <w:t>5666</w:t>
      </w:r>
      <w:r w:rsidRPr="0027189C">
        <w:rPr>
          <w:rFonts w:ascii="Palatino Linotype" w:eastAsia="Calibri" w:hAnsi="Palatino Linotype" w:cs="Tahoma"/>
          <w:sz w:val="22"/>
          <w:szCs w:val="22"/>
          <w:lang w:eastAsia="en-US"/>
        </w:rPr>
        <w:t xml:space="preserve">/INFOEM/IP/RR/2022, </w:t>
      </w:r>
      <w:r w:rsidRPr="0027189C">
        <w:rPr>
          <w:rFonts w:ascii="Palatino Linotype" w:hAnsi="Palatino Linotype" w:cs="Tahoma"/>
          <w:sz w:val="22"/>
          <w:szCs w:val="22"/>
        </w:rPr>
        <w:t>interpuesto</w:t>
      </w:r>
      <w:r w:rsidRPr="0027189C">
        <w:rPr>
          <w:rFonts w:ascii="Palatino Linotype" w:hAnsi="Palatino Linotype" w:cs="Tahoma"/>
          <w:color w:val="0D0D0D" w:themeColor="text1" w:themeTint="F2"/>
          <w:sz w:val="22"/>
          <w:szCs w:val="22"/>
        </w:rPr>
        <w:t xml:space="preserve"> por </w:t>
      </w:r>
      <w:r w:rsidR="00EB496E">
        <w:rPr>
          <w:rFonts w:ascii="Palatino Linotype" w:hAnsi="Palatino Linotype" w:cs="Tahoma"/>
          <w:color w:val="0D0D0D" w:themeColor="text1" w:themeTint="F2"/>
          <w:sz w:val="22"/>
          <w:szCs w:val="22"/>
        </w:rPr>
        <w:t xml:space="preserve">el </w:t>
      </w:r>
      <w:r w:rsidRPr="0027189C">
        <w:rPr>
          <w:rFonts w:ascii="Palatino Linotype" w:hAnsi="Palatino Linotype" w:cs="Tahoma"/>
          <w:color w:val="0D0D0D" w:themeColor="text1" w:themeTint="F2"/>
          <w:sz w:val="22"/>
          <w:szCs w:val="22"/>
        </w:rPr>
        <w:t xml:space="preserve">Recurrente o Particular, </w:t>
      </w:r>
      <w:r w:rsidRPr="0027189C">
        <w:rPr>
          <w:rFonts w:ascii="Palatino Linotype" w:eastAsia="Calibri" w:hAnsi="Palatino Linotype" w:cs="Tahoma"/>
          <w:sz w:val="22"/>
          <w:szCs w:val="22"/>
          <w:lang w:val="es-ES" w:eastAsia="en-US"/>
        </w:rPr>
        <w:t xml:space="preserve">en contra de la respuesta del Sujeto Obligado, </w:t>
      </w:r>
      <w:r w:rsidRPr="0027189C">
        <w:rPr>
          <w:rFonts w:ascii="Palatino Linotype" w:eastAsia="Calibri" w:hAnsi="Palatino Linotype" w:cs="Tahoma"/>
          <w:sz w:val="22"/>
          <w:szCs w:val="22"/>
          <w:lang w:eastAsia="en-US"/>
        </w:rPr>
        <w:t xml:space="preserve">Ayuntamiento de </w:t>
      </w:r>
      <w:r w:rsidR="00EB496E">
        <w:rPr>
          <w:rFonts w:ascii="Palatino Linotype" w:eastAsia="Calibri" w:hAnsi="Palatino Linotype" w:cs="Tahoma"/>
          <w:sz w:val="22"/>
          <w:szCs w:val="22"/>
          <w:lang w:eastAsia="en-US"/>
        </w:rPr>
        <w:t>Atenco</w:t>
      </w:r>
      <w:r w:rsidRPr="0027189C">
        <w:rPr>
          <w:rFonts w:ascii="Palatino Linotype" w:eastAsia="Calibri" w:hAnsi="Palatino Linotype" w:cs="Tahoma"/>
          <w:sz w:val="22"/>
          <w:szCs w:val="22"/>
          <w:lang w:eastAsia="en-US"/>
        </w:rPr>
        <w:t xml:space="preserve">, </w:t>
      </w:r>
      <w:r w:rsidRPr="0027189C">
        <w:rPr>
          <w:rFonts w:ascii="Palatino Linotype" w:eastAsia="Calibri" w:hAnsi="Palatino Linotype" w:cs="Tahoma"/>
          <w:sz w:val="22"/>
          <w:szCs w:val="22"/>
          <w:lang w:val="es-ES" w:eastAsia="en-US"/>
        </w:rPr>
        <w:t>a la solicitud de acceso a la información</w:t>
      </w:r>
      <w:r w:rsidRPr="0027189C">
        <w:rPr>
          <w:rFonts w:ascii="Palatino Linotype" w:eastAsia="Calibri" w:hAnsi="Palatino Linotype" w:cs="Tahoma"/>
          <w:sz w:val="22"/>
          <w:szCs w:val="22"/>
          <w:lang w:eastAsia="en-US"/>
        </w:rPr>
        <w:t xml:space="preserve"> </w:t>
      </w:r>
      <w:r w:rsidR="00EB496E">
        <w:rPr>
          <w:rFonts w:ascii="Palatino Linotype" w:eastAsia="Calibri" w:hAnsi="Palatino Linotype" w:cs="Tahoma"/>
          <w:sz w:val="22"/>
          <w:szCs w:val="22"/>
          <w:lang w:eastAsia="en-US"/>
        </w:rPr>
        <w:t>00175/ATENCO/IP/2022</w:t>
      </w:r>
      <w:r w:rsidRPr="0027189C">
        <w:rPr>
          <w:rFonts w:ascii="Palatino Linotype" w:eastAsia="Calibri" w:hAnsi="Palatino Linotype" w:cs="Tahoma"/>
          <w:sz w:val="22"/>
          <w:szCs w:val="22"/>
          <w:lang w:val="es-ES" w:eastAsia="en-US"/>
        </w:rPr>
        <w:t>,</w:t>
      </w:r>
      <w:r w:rsidRPr="00C938B6">
        <w:rPr>
          <w:rFonts w:ascii="Palatino Linotype" w:eastAsia="Calibri" w:hAnsi="Palatino Linotype" w:cs="Tahoma"/>
          <w:sz w:val="22"/>
          <w:szCs w:val="22"/>
          <w:lang w:val="es-ES" w:eastAsia="en-US"/>
        </w:rPr>
        <w:t xml:space="preserve">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10AAD3DA" w14:textId="77777777" w:rsidR="005D5C69" w:rsidRPr="00C938B6" w:rsidRDefault="005D5C69" w:rsidP="00AC5A6A">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048E15B6" w14:textId="77777777" w:rsidR="005D5C69" w:rsidRPr="00C938B6" w:rsidRDefault="005D5C69" w:rsidP="00AC5A6A">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59E38D7B" w14:textId="77777777" w:rsidR="005D5C69" w:rsidRPr="00C938B6" w:rsidRDefault="005D5C69" w:rsidP="00EB496E">
      <w:pPr>
        <w:spacing w:line="360" w:lineRule="auto"/>
        <w:ind w:right="-93"/>
        <w:contextualSpacing/>
        <w:jc w:val="center"/>
        <w:rPr>
          <w:rFonts w:ascii="Palatino Linotype" w:eastAsia="Calibri" w:hAnsi="Palatino Linotype" w:cs="Tahoma"/>
          <w:bCs/>
          <w:sz w:val="22"/>
          <w:szCs w:val="22"/>
          <w:lang w:eastAsia="en-US"/>
        </w:rPr>
      </w:pPr>
    </w:p>
    <w:p w14:paraId="09B78187" w14:textId="77777777" w:rsidR="005D5C69" w:rsidRPr="00C938B6" w:rsidRDefault="005D5C69" w:rsidP="00AC5A6A">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5FF0C35A" w14:textId="77777777" w:rsidR="005D5C69" w:rsidRPr="00C938B6" w:rsidRDefault="005D5C69" w:rsidP="00AC5A6A">
      <w:pPr>
        <w:autoSpaceDE w:val="0"/>
        <w:autoSpaceDN w:val="0"/>
        <w:adjustRightInd w:val="0"/>
        <w:spacing w:line="360" w:lineRule="auto"/>
        <w:jc w:val="both"/>
        <w:rPr>
          <w:rFonts w:ascii="Palatino Linotype" w:hAnsi="Palatino Linotype" w:cs="Tahoma"/>
          <w:sz w:val="22"/>
          <w:szCs w:val="22"/>
        </w:rPr>
      </w:pPr>
    </w:p>
    <w:p w14:paraId="32832D16" w14:textId="2C260D11" w:rsidR="005D5C69" w:rsidRDefault="005D5C69" w:rsidP="00AC5A6A">
      <w:pPr>
        <w:autoSpaceDE w:val="0"/>
        <w:autoSpaceDN w:val="0"/>
        <w:adjustRightInd w:val="0"/>
        <w:spacing w:line="360" w:lineRule="auto"/>
        <w:jc w:val="both"/>
        <w:rPr>
          <w:rFonts w:ascii="Palatino Linotype" w:eastAsia="Calibri" w:hAnsi="Palatino Linotype" w:cs="Tahoma"/>
          <w:color w:val="000000"/>
          <w:sz w:val="22"/>
          <w:szCs w:val="22"/>
          <w:lang w:eastAsia="en-US"/>
        </w:rPr>
      </w:pPr>
      <w:r w:rsidRPr="00C938B6">
        <w:rPr>
          <w:rFonts w:ascii="Palatino Linotype" w:hAnsi="Palatino Linotype" w:cs="Tahoma"/>
          <w:sz w:val="22"/>
          <w:szCs w:val="22"/>
        </w:rPr>
        <w:t xml:space="preserve">Con fecha </w:t>
      </w:r>
      <w:r w:rsidR="00EB496E">
        <w:rPr>
          <w:rFonts w:ascii="Palatino Linotype" w:hAnsi="Palatino Linotype" w:cs="Tahoma"/>
          <w:sz w:val="22"/>
          <w:szCs w:val="22"/>
        </w:rPr>
        <w:t>primero de abril</w:t>
      </w:r>
      <w:r>
        <w:rPr>
          <w:rFonts w:ascii="Palatino Linotype" w:hAnsi="Palatino Linotype" w:cs="Tahoma"/>
          <w:sz w:val="22"/>
          <w:szCs w:val="22"/>
        </w:rPr>
        <w:t xml:space="preserve"> </w:t>
      </w:r>
      <w:proofErr w:type="spellStart"/>
      <w:r>
        <w:rPr>
          <w:rFonts w:ascii="Palatino Linotype" w:hAnsi="Palatino Linotype" w:cs="Tahoma"/>
          <w:sz w:val="22"/>
          <w:szCs w:val="22"/>
        </w:rPr>
        <w:t>de</w:t>
      </w:r>
      <w:proofErr w:type="spellEnd"/>
      <w:r>
        <w:rPr>
          <w:rFonts w:ascii="Palatino Linotype" w:hAnsi="Palatino Linotype" w:cs="Tahoma"/>
          <w:sz w:val="22"/>
          <w:szCs w:val="22"/>
        </w:rPr>
        <w:t xml:space="preserve"> dos mil veintidós, el Particular presentó una solicitud de acceso a la información pública a través del Sistema de Acceso a la Información Mexiquense (SAIMEX) </w:t>
      </w:r>
      <w:r w:rsidRPr="00C938B6">
        <w:rPr>
          <w:rFonts w:ascii="Palatino Linotype" w:eastAsia="Calibri" w:hAnsi="Palatino Linotype" w:cs="Tahoma"/>
          <w:color w:val="000000"/>
          <w:sz w:val="22"/>
          <w:szCs w:val="22"/>
          <w:lang w:eastAsia="en-US"/>
        </w:rPr>
        <w:t>mediante la cual requirió:</w:t>
      </w:r>
    </w:p>
    <w:p w14:paraId="6D657337" w14:textId="77777777" w:rsidR="005D5C69" w:rsidRPr="002D46B4" w:rsidRDefault="005D5C69" w:rsidP="00AC5A6A">
      <w:pPr>
        <w:autoSpaceDE w:val="0"/>
        <w:autoSpaceDN w:val="0"/>
        <w:adjustRightInd w:val="0"/>
        <w:spacing w:line="360" w:lineRule="auto"/>
        <w:jc w:val="both"/>
        <w:rPr>
          <w:rFonts w:ascii="Palatino Linotype" w:hAnsi="Palatino Linotype" w:cs="Tahoma"/>
          <w:sz w:val="22"/>
          <w:szCs w:val="22"/>
        </w:rPr>
      </w:pPr>
    </w:p>
    <w:p w14:paraId="2E714623" w14:textId="119D84AD" w:rsidR="005D5C69" w:rsidRPr="006038B3" w:rsidRDefault="0027189C" w:rsidP="00AC5A6A">
      <w:pPr>
        <w:spacing w:line="360" w:lineRule="auto"/>
        <w:ind w:left="567" w:right="567"/>
        <w:contextualSpacing/>
        <w:rPr>
          <w:rFonts w:ascii="Palatino Linotype" w:hAnsi="Palatino Linotype" w:cs="Tahoma"/>
          <w:b/>
          <w:i/>
          <w:iCs/>
        </w:rPr>
      </w:pPr>
      <w:r w:rsidRPr="006038B3">
        <w:rPr>
          <w:rFonts w:ascii="Palatino Linotype" w:hAnsi="Palatino Linotype" w:cs="Tahoma"/>
          <w:b/>
          <w:i/>
          <w:iCs/>
        </w:rPr>
        <w:t>“</w:t>
      </w:r>
      <w:r w:rsidR="005D5C69" w:rsidRPr="006038B3">
        <w:rPr>
          <w:rFonts w:ascii="Palatino Linotype" w:hAnsi="Palatino Linotype" w:cs="Tahoma"/>
          <w:b/>
          <w:i/>
          <w:iCs/>
        </w:rPr>
        <w:t>DESCRIPCIÓN CLARA Y PRECISA DE LA INFORMACIÓN SOLICITADA</w:t>
      </w:r>
    </w:p>
    <w:p w14:paraId="4A9C6E34" w14:textId="662A7953" w:rsidR="005D5C69" w:rsidRPr="006038B3" w:rsidRDefault="00EB496E" w:rsidP="00AC5A6A">
      <w:pPr>
        <w:spacing w:line="360" w:lineRule="auto"/>
        <w:ind w:left="567" w:right="567"/>
        <w:jc w:val="both"/>
        <w:rPr>
          <w:rFonts w:ascii="Palatino Linotype" w:hAnsi="Palatino Linotype"/>
          <w:i/>
          <w:iCs/>
          <w:lang w:eastAsia="es-MX"/>
        </w:rPr>
      </w:pPr>
      <w:bookmarkStart w:id="0" w:name="_Hlk93400387"/>
      <w:proofErr w:type="gramStart"/>
      <w:r w:rsidRPr="00EB496E">
        <w:rPr>
          <w:rFonts w:ascii="Palatino Linotype" w:hAnsi="Palatino Linotype"/>
          <w:i/>
          <w:iCs/>
          <w:lang w:eastAsia="es-MX"/>
        </w:rPr>
        <w:t>padrón</w:t>
      </w:r>
      <w:proofErr w:type="gramEnd"/>
      <w:r w:rsidRPr="00EB496E">
        <w:rPr>
          <w:rFonts w:ascii="Palatino Linotype" w:hAnsi="Palatino Linotype"/>
          <w:i/>
          <w:iCs/>
          <w:lang w:eastAsia="es-MX"/>
        </w:rPr>
        <w:t xml:space="preserve"> de todos los servidores públicos del año 2022 identificado por áreas</w:t>
      </w:r>
      <w:r w:rsidR="0027189C" w:rsidRPr="006038B3">
        <w:rPr>
          <w:rFonts w:ascii="Palatino Linotype" w:hAnsi="Palatino Linotype"/>
          <w:bCs/>
          <w:i/>
          <w:iCs/>
          <w:color w:val="000000"/>
        </w:rPr>
        <w:t xml:space="preserve">” </w:t>
      </w:r>
      <w:r w:rsidR="005D5C69" w:rsidRPr="006038B3">
        <w:rPr>
          <w:rFonts w:ascii="Palatino Linotype" w:hAnsi="Palatino Linotype"/>
          <w:bCs/>
          <w:i/>
          <w:iCs/>
          <w:color w:val="000000"/>
        </w:rPr>
        <w:t xml:space="preserve">(Sic) </w:t>
      </w:r>
    </w:p>
    <w:bookmarkEnd w:id="0"/>
    <w:p w14:paraId="3AF868BB" w14:textId="77777777" w:rsidR="0010624D" w:rsidRPr="0010624D" w:rsidRDefault="0010624D" w:rsidP="00AC5A6A">
      <w:pPr>
        <w:spacing w:line="360" w:lineRule="auto"/>
        <w:ind w:left="567" w:right="567"/>
        <w:contextualSpacing/>
        <w:jc w:val="both"/>
        <w:rPr>
          <w:rFonts w:ascii="Palatino Linotype" w:hAnsi="Palatino Linotype"/>
          <w:bCs/>
          <w:i/>
          <w:iCs/>
          <w:color w:val="000000"/>
          <w:sz w:val="22"/>
          <w:szCs w:val="22"/>
        </w:rPr>
      </w:pPr>
    </w:p>
    <w:p w14:paraId="249E99E7" w14:textId="05A01C1A" w:rsidR="005D5C69" w:rsidRPr="00C938B6" w:rsidRDefault="0027189C" w:rsidP="00AC5A6A">
      <w:pPr>
        <w:tabs>
          <w:tab w:val="left" w:pos="4667"/>
        </w:tabs>
        <w:spacing w:line="360" w:lineRule="auto"/>
        <w:ind w:left="567" w:right="567"/>
        <w:rPr>
          <w:rFonts w:ascii="Palatino Linotype" w:hAnsi="Palatino Linotype" w:cs="Tahoma"/>
          <w:b/>
          <w:bCs/>
          <w:i/>
          <w:iCs/>
        </w:rPr>
      </w:pPr>
      <w:r>
        <w:rPr>
          <w:rFonts w:ascii="Palatino Linotype" w:hAnsi="Palatino Linotype" w:cs="Tahoma"/>
          <w:b/>
          <w:bCs/>
          <w:i/>
          <w:iCs/>
        </w:rPr>
        <w:t>“</w:t>
      </w:r>
      <w:r w:rsidR="005D5C69" w:rsidRPr="00C938B6">
        <w:rPr>
          <w:rFonts w:ascii="Palatino Linotype" w:hAnsi="Palatino Linotype" w:cs="Tahoma"/>
          <w:b/>
          <w:bCs/>
          <w:i/>
          <w:iCs/>
        </w:rPr>
        <w:t>MODALIDAD DE ENTREGA</w:t>
      </w:r>
    </w:p>
    <w:p w14:paraId="5079D06F" w14:textId="3F7B2762" w:rsidR="0010624D" w:rsidRPr="001776FA" w:rsidRDefault="005D5C69" w:rsidP="00AC5A6A">
      <w:pPr>
        <w:spacing w:line="360" w:lineRule="auto"/>
        <w:ind w:left="567" w:right="567"/>
        <w:rPr>
          <w:rFonts w:ascii="Palatino Linotype" w:hAnsi="Palatino Linotype" w:cs="Arial"/>
          <w:bCs/>
          <w:i/>
          <w:iCs/>
        </w:rPr>
      </w:pPr>
      <w:r>
        <w:rPr>
          <w:rFonts w:ascii="Palatino Linotype" w:hAnsi="Palatino Linotype" w:cs="Arial"/>
          <w:bCs/>
          <w:i/>
          <w:iCs/>
        </w:rPr>
        <w:t>A través del SAIMEX.</w:t>
      </w:r>
      <w:r w:rsidR="0027189C">
        <w:rPr>
          <w:rFonts w:ascii="Palatino Linotype" w:hAnsi="Palatino Linotype" w:cs="Arial"/>
          <w:bCs/>
          <w:i/>
          <w:iCs/>
        </w:rPr>
        <w:t>”</w:t>
      </w:r>
      <w:r>
        <w:rPr>
          <w:rFonts w:ascii="Palatino Linotype" w:hAnsi="Palatino Linotype" w:cs="Arial"/>
          <w:bCs/>
          <w:i/>
          <w:iCs/>
        </w:rPr>
        <w:t xml:space="preserve"> </w:t>
      </w:r>
    </w:p>
    <w:p w14:paraId="0F70363B" w14:textId="77777777" w:rsidR="00EB496E" w:rsidRDefault="00EB496E" w:rsidP="00AC5A6A">
      <w:pPr>
        <w:pStyle w:val="Prrafodelista"/>
        <w:tabs>
          <w:tab w:val="left" w:pos="567"/>
        </w:tabs>
        <w:spacing w:line="360" w:lineRule="auto"/>
        <w:ind w:left="0"/>
        <w:jc w:val="both"/>
        <w:rPr>
          <w:rFonts w:ascii="Palatino Linotype" w:hAnsi="Palatino Linotype" w:cs="Tahoma"/>
          <w:b/>
          <w:szCs w:val="22"/>
        </w:rPr>
      </w:pPr>
    </w:p>
    <w:p w14:paraId="02CFDFB5" w14:textId="5D2D0798" w:rsidR="005D5C69" w:rsidRPr="00C938B6" w:rsidRDefault="005D5C69" w:rsidP="00AC5A6A">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7BC5DE05" w14:textId="77777777" w:rsidR="005D5C69" w:rsidRPr="00C938B6" w:rsidRDefault="005D5C69" w:rsidP="00AC5A6A">
      <w:pPr>
        <w:autoSpaceDE w:val="0"/>
        <w:autoSpaceDN w:val="0"/>
        <w:adjustRightInd w:val="0"/>
        <w:spacing w:line="360" w:lineRule="auto"/>
        <w:ind w:right="-28"/>
        <w:jc w:val="both"/>
        <w:rPr>
          <w:rFonts w:ascii="Palatino Linotype" w:hAnsi="Palatino Linotype" w:cs="Tahoma"/>
          <w:bCs/>
          <w:sz w:val="22"/>
          <w:szCs w:val="22"/>
        </w:rPr>
      </w:pPr>
    </w:p>
    <w:p w14:paraId="33AFFF85" w14:textId="57ECB27B" w:rsidR="00F50EDC" w:rsidRDefault="005D5C69" w:rsidP="00F50EDC">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lastRenderedPageBreak/>
        <w:t>Con fecha</w:t>
      </w:r>
      <w:r>
        <w:rPr>
          <w:rFonts w:ascii="Palatino Linotype" w:hAnsi="Palatino Linotype" w:cs="Tahoma"/>
          <w:bCs/>
          <w:sz w:val="22"/>
          <w:szCs w:val="22"/>
        </w:rPr>
        <w:t xml:space="preserve"> </w:t>
      </w:r>
      <w:r w:rsidR="00EB496E">
        <w:rPr>
          <w:rFonts w:ascii="Palatino Linotype" w:hAnsi="Palatino Linotype" w:cs="Tahoma"/>
          <w:bCs/>
          <w:sz w:val="22"/>
          <w:szCs w:val="22"/>
        </w:rPr>
        <w:t>seis de abril</w:t>
      </w:r>
      <w:r>
        <w:rPr>
          <w:rFonts w:ascii="Palatino Linotype" w:hAnsi="Palatino Linotype" w:cs="Tahoma"/>
          <w:bCs/>
          <w:sz w:val="22"/>
          <w:szCs w:val="22"/>
        </w:rPr>
        <w:t xml:space="preserve"> </w:t>
      </w:r>
      <w:proofErr w:type="spellStart"/>
      <w:r>
        <w:rPr>
          <w:rFonts w:ascii="Palatino Linotype" w:hAnsi="Palatino Linotype" w:cs="Tahoma"/>
          <w:bCs/>
          <w:sz w:val="22"/>
          <w:szCs w:val="22"/>
        </w:rPr>
        <w:t>de</w:t>
      </w:r>
      <w:proofErr w:type="spellEnd"/>
      <w:r>
        <w:rPr>
          <w:rFonts w:ascii="Palatino Linotype" w:hAnsi="Palatino Linotype" w:cs="Tahoma"/>
          <w:bCs/>
          <w:sz w:val="22"/>
          <w:szCs w:val="22"/>
        </w:rPr>
        <w:t xml:space="preserve"> dos mil veintidós, </w:t>
      </w:r>
      <w:r w:rsidRPr="00C938B6">
        <w:rPr>
          <w:rFonts w:ascii="Palatino Linotype" w:hAnsi="Palatino Linotype" w:cs="Tahoma"/>
          <w:bCs/>
          <w:sz w:val="22"/>
          <w:szCs w:val="22"/>
        </w:rPr>
        <w:t>el Sujeto Obligado</w:t>
      </w:r>
      <w:r w:rsidR="0027189C">
        <w:rPr>
          <w:rFonts w:ascii="Palatino Linotype" w:hAnsi="Palatino Linotype" w:cs="Tahoma"/>
          <w:bCs/>
          <w:sz w:val="22"/>
          <w:szCs w:val="22"/>
        </w:rPr>
        <w:t xml:space="preserve"> dio respuesta a la solicitud,</w:t>
      </w:r>
      <w:r w:rsidRPr="00C938B6">
        <w:rPr>
          <w:rFonts w:ascii="Palatino Linotype" w:hAnsi="Palatino Linotype" w:cs="Tahoma"/>
          <w:bCs/>
          <w:sz w:val="22"/>
          <w:szCs w:val="22"/>
        </w:rPr>
        <w:t xml:space="preserve"> a través del </w:t>
      </w:r>
      <w:r w:rsidRPr="00C938B6">
        <w:rPr>
          <w:rFonts w:ascii="Palatino Linotype" w:hAnsi="Palatino Linotype" w:cs="Tahoma"/>
          <w:sz w:val="22"/>
          <w:szCs w:val="22"/>
        </w:rPr>
        <w:t xml:space="preserve">Sistema de Acceso a la </w:t>
      </w:r>
      <w:r>
        <w:rPr>
          <w:rFonts w:ascii="Palatino Linotype" w:hAnsi="Palatino Linotype" w:cs="Tahoma"/>
          <w:sz w:val="22"/>
          <w:szCs w:val="22"/>
        </w:rPr>
        <w:t>Información Mexiquense (SAIMEX)</w:t>
      </w:r>
      <w:r>
        <w:rPr>
          <w:rFonts w:ascii="Palatino Linotype" w:hAnsi="Palatino Linotype" w:cs="Tahoma"/>
          <w:bCs/>
          <w:sz w:val="22"/>
          <w:szCs w:val="22"/>
        </w:rPr>
        <w:t xml:space="preserve">, </w:t>
      </w:r>
      <w:r w:rsidR="00F50EDC">
        <w:rPr>
          <w:rFonts w:ascii="Palatino Linotype" w:hAnsi="Palatino Linotype" w:cs="Tahoma"/>
          <w:bCs/>
          <w:sz w:val="22"/>
          <w:szCs w:val="22"/>
        </w:rPr>
        <w:t xml:space="preserve">por medio del oficio </w:t>
      </w:r>
      <w:proofErr w:type="spellStart"/>
      <w:r w:rsidR="00F50EDC">
        <w:rPr>
          <w:rFonts w:ascii="Palatino Linotype" w:hAnsi="Palatino Linotype" w:cs="Tahoma"/>
          <w:bCs/>
          <w:sz w:val="22"/>
          <w:szCs w:val="22"/>
        </w:rPr>
        <w:t>PMA</w:t>
      </w:r>
      <w:proofErr w:type="spellEnd"/>
      <w:r w:rsidR="00F50EDC">
        <w:rPr>
          <w:rFonts w:ascii="Palatino Linotype" w:hAnsi="Palatino Linotype" w:cs="Tahoma"/>
          <w:bCs/>
          <w:sz w:val="22"/>
          <w:szCs w:val="22"/>
        </w:rPr>
        <w:t>/</w:t>
      </w:r>
      <w:proofErr w:type="spellStart"/>
      <w:r w:rsidR="00F50EDC">
        <w:rPr>
          <w:rFonts w:ascii="Palatino Linotype" w:hAnsi="Palatino Linotype" w:cs="Tahoma"/>
          <w:bCs/>
          <w:sz w:val="22"/>
          <w:szCs w:val="22"/>
        </w:rPr>
        <w:t>JRH</w:t>
      </w:r>
      <w:proofErr w:type="spellEnd"/>
      <w:r w:rsidR="00F50EDC">
        <w:rPr>
          <w:rFonts w:ascii="Palatino Linotype" w:hAnsi="Palatino Linotype" w:cs="Tahoma"/>
          <w:bCs/>
          <w:sz w:val="22"/>
          <w:szCs w:val="22"/>
        </w:rPr>
        <w:t>/238/2022, suscrito por la Jefa de Recursos Humanos y dirigido a la Titular de la Unidad de Transparencia, por medio del cual precisa que entrega la información solicitada.</w:t>
      </w:r>
      <w:bookmarkStart w:id="1" w:name="_Hlk93400407"/>
    </w:p>
    <w:p w14:paraId="4968A1CE" w14:textId="77777777" w:rsidR="00F50EDC" w:rsidRDefault="00F50EDC" w:rsidP="00F50EDC">
      <w:pPr>
        <w:autoSpaceDE w:val="0"/>
        <w:autoSpaceDN w:val="0"/>
        <w:adjustRightInd w:val="0"/>
        <w:spacing w:line="360" w:lineRule="auto"/>
        <w:ind w:right="-28"/>
        <w:jc w:val="both"/>
        <w:rPr>
          <w:rFonts w:ascii="Palatino Linotype" w:hAnsi="Palatino Linotype" w:cs="Tahoma"/>
          <w:bCs/>
          <w:sz w:val="22"/>
          <w:szCs w:val="22"/>
        </w:rPr>
      </w:pPr>
    </w:p>
    <w:p w14:paraId="1D5242A3" w14:textId="34319B10" w:rsidR="00F50EDC" w:rsidRPr="00F50EDC" w:rsidRDefault="00F50EDC" w:rsidP="00F50EDC">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El Sujeto Obligado adjuntó la digitalización de una relación con el nombre y área de adscripción de doscientos ochenta servidores públicos.</w:t>
      </w:r>
    </w:p>
    <w:p w14:paraId="01EA6B4F" w14:textId="77777777" w:rsidR="00F50EDC" w:rsidRDefault="00F50EDC" w:rsidP="00AC5A6A">
      <w:pPr>
        <w:autoSpaceDE w:val="0"/>
        <w:autoSpaceDN w:val="0"/>
        <w:adjustRightInd w:val="0"/>
        <w:spacing w:line="360" w:lineRule="auto"/>
        <w:ind w:right="539"/>
        <w:jc w:val="both"/>
        <w:rPr>
          <w:rFonts w:ascii="Palatino Linotype" w:hAnsi="Palatino Linotype" w:cs="Tahoma"/>
          <w:bCs/>
          <w:i/>
          <w:sz w:val="22"/>
          <w:szCs w:val="22"/>
        </w:rPr>
      </w:pPr>
    </w:p>
    <w:bookmarkEnd w:id="1"/>
    <w:p w14:paraId="036ED16B" w14:textId="77777777" w:rsidR="005D5C69" w:rsidRPr="00C938B6" w:rsidRDefault="005D5C69" w:rsidP="00AC5A6A">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D64B256" w14:textId="77777777" w:rsidR="005D5C69" w:rsidRPr="00C938B6" w:rsidRDefault="005D5C69" w:rsidP="00AC5A6A">
      <w:pPr>
        <w:widowControl w:val="0"/>
        <w:spacing w:line="360" w:lineRule="auto"/>
        <w:jc w:val="both"/>
        <w:rPr>
          <w:rFonts w:ascii="Palatino Linotype" w:hAnsi="Palatino Linotype" w:cs="Tahoma"/>
          <w:sz w:val="22"/>
          <w:szCs w:val="22"/>
        </w:rPr>
      </w:pPr>
    </w:p>
    <w:p w14:paraId="2B1A7D7D" w14:textId="38BC8ABF" w:rsidR="005D5C69" w:rsidRPr="00C938B6" w:rsidRDefault="005D5C69" w:rsidP="00AC5A6A">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0D7B9B">
        <w:rPr>
          <w:rFonts w:ascii="Palatino Linotype" w:hAnsi="Palatino Linotype" w:cs="Tahoma"/>
          <w:sz w:val="22"/>
          <w:szCs w:val="22"/>
          <w:lang w:val="es-ES"/>
        </w:rPr>
        <w:t>ocho de abril</w:t>
      </w:r>
      <w:r w:rsidR="00BC0D98">
        <w:rPr>
          <w:rFonts w:ascii="Palatino Linotype" w:hAnsi="Palatino Linotype" w:cs="Tahoma"/>
          <w:sz w:val="22"/>
          <w:szCs w:val="22"/>
          <w:lang w:val="es-ES"/>
        </w:rPr>
        <w:t xml:space="preserve"> </w:t>
      </w:r>
      <w:r>
        <w:rPr>
          <w:rFonts w:ascii="Palatino Linotype" w:hAnsi="Palatino Linotype" w:cs="Tahoma"/>
          <w:sz w:val="22"/>
          <w:szCs w:val="22"/>
          <w:lang w:val="es-ES"/>
        </w:rPr>
        <w:t xml:space="preserve">de dos mil veintidós,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Pr="00C938B6">
        <w:rPr>
          <w:rFonts w:ascii="Palatino Linotype" w:hAnsi="Palatino Linotype" w:cs="Tahoma"/>
          <w:sz w:val="22"/>
          <w:szCs w:val="22"/>
          <w:lang w:val="es-ES"/>
        </w:rPr>
        <w:t>interpuso Recurso de Revisión ante este Instituto</w:t>
      </w:r>
      <w:r w:rsidR="00BC0D98">
        <w:rPr>
          <w:rFonts w:ascii="Palatino Linotype" w:hAnsi="Palatino Linotype" w:cs="Tahoma"/>
          <w:sz w:val="22"/>
          <w:szCs w:val="22"/>
          <w:lang w:val="es-ES"/>
        </w:rPr>
        <w:t>,</w:t>
      </w:r>
      <w:r>
        <w:rPr>
          <w:rFonts w:ascii="Palatino Linotype" w:hAnsi="Palatino Linotype" w:cs="Tahoma"/>
          <w:sz w:val="22"/>
          <w:szCs w:val="22"/>
          <w:lang w:val="es-ES"/>
        </w:rPr>
        <w:t xml:space="preserve"> </w:t>
      </w:r>
      <w:r w:rsidRPr="00C938B6">
        <w:rPr>
          <w:rFonts w:ascii="Palatino Linotype" w:hAnsi="Palatino Linotype" w:cs="Tahoma"/>
          <w:sz w:val="22"/>
          <w:szCs w:val="22"/>
          <w:lang w:val="es-ES"/>
        </w:rPr>
        <w:t>en contra de la respuesta otorgada por el</w:t>
      </w:r>
      <w:r>
        <w:rPr>
          <w:rFonts w:ascii="Palatino Linotype" w:hAnsi="Palatino Linotype" w:cs="Tahoma"/>
          <w:sz w:val="22"/>
          <w:szCs w:val="22"/>
          <w:lang w:val="es-ES"/>
        </w:rPr>
        <w:t xml:space="preserve"> </w:t>
      </w:r>
      <w:r>
        <w:rPr>
          <w:rFonts w:ascii="Palatino Linotype" w:eastAsia="Calibri" w:hAnsi="Palatino Linotype" w:cs="Tahoma"/>
          <w:bCs/>
          <w:sz w:val="22"/>
          <w:szCs w:val="22"/>
        </w:rPr>
        <w:t>Ayuntamiento de</w:t>
      </w:r>
      <w:r w:rsidR="00BC0D98">
        <w:rPr>
          <w:rFonts w:ascii="Palatino Linotype" w:eastAsia="Calibri" w:hAnsi="Palatino Linotype" w:cs="Tahoma"/>
          <w:bCs/>
          <w:sz w:val="22"/>
          <w:szCs w:val="22"/>
        </w:rPr>
        <w:t xml:space="preserve"> </w:t>
      </w:r>
      <w:r w:rsidR="00EB496E">
        <w:rPr>
          <w:rFonts w:ascii="Palatino Linotype" w:eastAsia="Calibri" w:hAnsi="Palatino Linotype" w:cs="Tahoma"/>
          <w:bCs/>
          <w:sz w:val="22"/>
          <w:szCs w:val="22"/>
        </w:rPr>
        <w:t>Atenco</w:t>
      </w:r>
      <w:r>
        <w:rPr>
          <w:rFonts w:ascii="Palatino Linotype" w:eastAsia="Calibri" w:hAnsi="Palatino Linotype" w:cs="Tahoma"/>
          <w:bCs/>
          <w:sz w:val="22"/>
          <w:szCs w:val="22"/>
        </w:rPr>
        <w:t xml:space="preserve"> a </w:t>
      </w:r>
      <w:r w:rsidRPr="00C938B6">
        <w:rPr>
          <w:rFonts w:ascii="Palatino Linotype" w:hAnsi="Palatino Linotype" w:cs="Tahoma"/>
          <w:sz w:val="22"/>
          <w:szCs w:val="22"/>
          <w:lang w:val="es-ES"/>
        </w:rPr>
        <w:t>la solicitud de información, en los siguientes términos:</w:t>
      </w:r>
    </w:p>
    <w:p w14:paraId="324CDBA2" w14:textId="77777777" w:rsidR="005D5C69" w:rsidRPr="00C938B6" w:rsidRDefault="005D5C69" w:rsidP="00AC5A6A">
      <w:pPr>
        <w:widowControl w:val="0"/>
        <w:spacing w:line="360" w:lineRule="auto"/>
        <w:jc w:val="both"/>
        <w:rPr>
          <w:rFonts w:ascii="Palatino Linotype" w:hAnsi="Palatino Linotype" w:cs="Tahoma"/>
          <w:b/>
          <w:bCs/>
          <w:sz w:val="22"/>
          <w:szCs w:val="22"/>
          <w:lang w:val="es-ES"/>
        </w:rPr>
      </w:pPr>
    </w:p>
    <w:p w14:paraId="4992AAAC" w14:textId="408AC2B0" w:rsidR="005D5C69" w:rsidRPr="00C938B6" w:rsidRDefault="005D5C69" w:rsidP="00AC5A6A">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2" w:name="_Hlk94039942"/>
      <w:r w:rsidR="006038B3">
        <w:rPr>
          <w:rFonts w:ascii="Palatino Linotype" w:hAnsi="Palatino Linotype" w:cs="Tahoma"/>
          <w:b/>
          <w:i/>
          <w:iCs/>
        </w:rPr>
        <w:t>“</w:t>
      </w:r>
      <w:r w:rsidRPr="00C938B6">
        <w:rPr>
          <w:rFonts w:ascii="Palatino Linotype" w:hAnsi="Palatino Linotype" w:cs="Tahoma"/>
          <w:b/>
          <w:i/>
          <w:iCs/>
        </w:rPr>
        <w:t>ACTO IMPUGNADO</w:t>
      </w:r>
    </w:p>
    <w:p w14:paraId="1AAA53A4" w14:textId="4B2D7509" w:rsidR="005D5C69" w:rsidRPr="00BC0D98" w:rsidRDefault="000D7B9B" w:rsidP="00AC5A6A">
      <w:pPr>
        <w:spacing w:line="360" w:lineRule="auto"/>
        <w:ind w:left="567" w:right="567"/>
        <w:jc w:val="both"/>
        <w:rPr>
          <w:rFonts w:ascii="Palatino Linotype" w:hAnsi="Palatino Linotype"/>
          <w:i/>
          <w:iCs/>
          <w:lang w:eastAsia="es-MX"/>
        </w:rPr>
      </w:pPr>
      <w:r w:rsidRPr="000D7B9B">
        <w:rPr>
          <w:rFonts w:ascii="Palatino Linotype" w:hAnsi="Palatino Linotype"/>
          <w:i/>
          <w:iCs/>
          <w:lang w:eastAsia="es-MX"/>
        </w:rPr>
        <w:t xml:space="preserve">No entrega la información ya que del </w:t>
      </w:r>
      <w:proofErr w:type="spellStart"/>
      <w:r w:rsidRPr="000D7B9B">
        <w:rPr>
          <w:rFonts w:ascii="Palatino Linotype" w:hAnsi="Palatino Linotype"/>
          <w:i/>
          <w:iCs/>
          <w:lang w:eastAsia="es-MX"/>
        </w:rPr>
        <w:t>Organo</w:t>
      </w:r>
      <w:proofErr w:type="spellEnd"/>
      <w:r w:rsidRPr="000D7B9B">
        <w:rPr>
          <w:rFonts w:ascii="Palatino Linotype" w:hAnsi="Palatino Linotype"/>
          <w:i/>
          <w:iCs/>
          <w:lang w:eastAsia="es-MX"/>
        </w:rPr>
        <w:t xml:space="preserve"> de control es competente o bien es omisión de sus funciones por lo que se </w:t>
      </w:r>
      <w:proofErr w:type="spellStart"/>
      <w:r w:rsidRPr="000D7B9B">
        <w:rPr>
          <w:rFonts w:ascii="Palatino Linotype" w:hAnsi="Palatino Linotype"/>
          <w:i/>
          <w:iCs/>
          <w:lang w:eastAsia="es-MX"/>
        </w:rPr>
        <w:t>esta</w:t>
      </w:r>
      <w:proofErr w:type="spellEnd"/>
      <w:r w:rsidRPr="000D7B9B">
        <w:rPr>
          <w:rFonts w:ascii="Palatino Linotype" w:hAnsi="Palatino Linotype"/>
          <w:i/>
          <w:iCs/>
          <w:lang w:eastAsia="es-MX"/>
        </w:rPr>
        <w:t xml:space="preserve"> realizando omisión a sus funciones que la sindicatura debería dar seguimiento</w:t>
      </w:r>
      <w:r w:rsidR="005D5C69" w:rsidRPr="00BC0D98">
        <w:rPr>
          <w:rFonts w:ascii="Palatino Linotype" w:hAnsi="Palatino Linotype" w:cs="Tahoma"/>
          <w:i/>
          <w:iCs/>
        </w:rPr>
        <w:t>”</w:t>
      </w:r>
      <w:r w:rsidR="00BC0D98" w:rsidRPr="00BC0D98">
        <w:rPr>
          <w:rFonts w:ascii="Palatino Linotype" w:hAnsi="Palatino Linotype" w:cs="Tahoma"/>
          <w:i/>
          <w:iCs/>
        </w:rPr>
        <w:t xml:space="preserve"> </w:t>
      </w:r>
      <w:r w:rsidR="005D5C69" w:rsidRPr="00BC0D98">
        <w:rPr>
          <w:rFonts w:ascii="Palatino Linotype" w:hAnsi="Palatino Linotype" w:cs="Tahoma"/>
          <w:i/>
          <w:iCs/>
        </w:rPr>
        <w:t>(Sic)</w:t>
      </w:r>
    </w:p>
    <w:p w14:paraId="1357752D" w14:textId="77777777" w:rsidR="005D5C69" w:rsidRPr="00BC0D98" w:rsidRDefault="005D5C69" w:rsidP="00AC5A6A">
      <w:pPr>
        <w:spacing w:line="360" w:lineRule="auto"/>
        <w:ind w:left="567" w:right="567"/>
        <w:contextualSpacing/>
        <w:jc w:val="both"/>
        <w:rPr>
          <w:rFonts w:ascii="Palatino Linotype" w:hAnsi="Palatino Linotype" w:cs="Tahoma"/>
          <w:i/>
          <w:iCs/>
        </w:rPr>
      </w:pPr>
    </w:p>
    <w:p w14:paraId="7280EE20" w14:textId="62E97EAF" w:rsidR="00EB1205" w:rsidRDefault="0027189C" w:rsidP="00AC5A6A">
      <w:pPr>
        <w:spacing w:line="360" w:lineRule="auto"/>
        <w:ind w:left="567" w:right="567"/>
        <w:contextualSpacing/>
        <w:jc w:val="both"/>
        <w:rPr>
          <w:rFonts w:ascii="Palatino Linotype" w:eastAsia="Calibri" w:hAnsi="Palatino Linotype" w:cs="Tahoma"/>
          <w:bCs/>
          <w:i/>
          <w:iCs/>
          <w:lang w:eastAsia="en-US"/>
        </w:rPr>
      </w:pPr>
      <w:r>
        <w:rPr>
          <w:rFonts w:ascii="Palatino Linotype" w:hAnsi="Palatino Linotype" w:cs="Tahoma"/>
          <w:b/>
          <w:i/>
          <w:iCs/>
        </w:rPr>
        <w:t>“</w:t>
      </w:r>
      <w:r w:rsidR="005D5C69" w:rsidRPr="00C938B6">
        <w:rPr>
          <w:rFonts w:ascii="Palatino Linotype" w:hAnsi="Palatino Linotype" w:cs="Tahoma"/>
          <w:b/>
          <w:i/>
          <w:iCs/>
        </w:rPr>
        <w:t>RAZONES O MOTIVOS DE LA INCONFORMIDAD</w:t>
      </w:r>
      <w:bookmarkStart w:id="3" w:name="_Hlk93400426"/>
      <w:r w:rsidR="00EB1205">
        <w:rPr>
          <w:rFonts w:ascii="Palatino Linotype" w:eastAsia="Calibri" w:hAnsi="Palatino Linotype" w:cs="Tahoma"/>
          <w:bCs/>
          <w:i/>
          <w:iCs/>
          <w:lang w:eastAsia="en-US"/>
        </w:rPr>
        <w:tab/>
      </w:r>
    </w:p>
    <w:p w14:paraId="604D977A" w14:textId="4B401B0C" w:rsidR="005D5C69" w:rsidRPr="00EB1205" w:rsidRDefault="000D7B9B" w:rsidP="00AC5A6A">
      <w:pPr>
        <w:spacing w:line="360" w:lineRule="auto"/>
        <w:ind w:left="567" w:right="567"/>
        <w:contextualSpacing/>
        <w:jc w:val="both"/>
        <w:rPr>
          <w:rFonts w:ascii="Palatino Linotype" w:hAnsi="Palatino Linotype" w:cs="Tahoma"/>
          <w:b/>
          <w:i/>
          <w:iCs/>
        </w:rPr>
      </w:pPr>
      <w:r w:rsidRPr="000D7B9B">
        <w:rPr>
          <w:rFonts w:ascii="Palatino Linotype" w:hAnsi="Palatino Linotype"/>
          <w:i/>
          <w:iCs/>
          <w:lang w:eastAsia="es-MX"/>
        </w:rPr>
        <w:t xml:space="preserve">No entrega la información ya que del </w:t>
      </w:r>
      <w:proofErr w:type="spellStart"/>
      <w:r w:rsidRPr="000D7B9B">
        <w:rPr>
          <w:rFonts w:ascii="Palatino Linotype" w:hAnsi="Palatino Linotype"/>
          <w:i/>
          <w:iCs/>
          <w:lang w:eastAsia="es-MX"/>
        </w:rPr>
        <w:t>Organo</w:t>
      </w:r>
      <w:proofErr w:type="spellEnd"/>
      <w:r w:rsidRPr="000D7B9B">
        <w:rPr>
          <w:rFonts w:ascii="Palatino Linotype" w:hAnsi="Palatino Linotype"/>
          <w:i/>
          <w:iCs/>
          <w:lang w:eastAsia="es-MX"/>
        </w:rPr>
        <w:t xml:space="preserve"> de control es competente o bien es omisión de sus funciones por lo que se </w:t>
      </w:r>
      <w:proofErr w:type="spellStart"/>
      <w:r w:rsidRPr="000D7B9B">
        <w:rPr>
          <w:rFonts w:ascii="Palatino Linotype" w:hAnsi="Palatino Linotype"/>
          <w:i/>
          <w:iCs/>
          <w:lang w:eastAsia="es-MX"/>
        </w:rPr>
        <w:t>esta</w:t>
      </w:r>
      <w:proofErr w:type="spellEnd"/>
      <w:r w:rsidRPr="000D7B9B">
        <w:rPr>
          <w:rFonts w:ascii="Palatino Linotype" w:hAnsi="Palatino Linotype"/>
          <w:i/>
          <w:iCs/>
          <w:lang w:eastAsia="es-MX"/>
        </w:rPr>
        <w:t xml:space="preserve"> realizando omisión a sus funciones que la sindicatura debería dar seguimiento</w:t>
      </w:r>
      <w:r w:rsidR="005D5C69">
        <w:rPr>
          <w:rFonts w:ascii="Palatino Linotype" w:eastAsia="Calibri" w:hAnsi="Palatino Linotype" w:cs="Tahoma"/>
          <w:bCs/>
          <w:i/>
          <w:iCs/>
          <w:lang w:eastAsia="en-US"/>
        </w:rPr>
        <w:t>”</w:t>
      </w:r>
      <w:r w:rsidR="00EB1205">
        <w:rPr>
          <w:rFonts w:ascii="Palatino Linotype" w:eastAsia="Calibri" w:hAnsi="Palatino Linotype" w:cs="Tahoma"/>
          <w:bCs/>
          <w:i/>
          <w:iCs/>
          <w:lang w:eastAsia="en-US"/>
        </w:rPr>
        <w:t xml:space="preserve"> </w:t>
      </w:r>
      <w:r w:rsidR="005D5C69" w:rsidRPr="00C938B6">
        <w:rPr>
          <w:rFonts w:ascii="Palatino Linotype" w:eastAsia="Calibri" w:hAnsi="Palatino Linotype" w:cs="Tahoma"/>
          <w:bCs/>
          <w:i/>
          <w:iCs/>
          <w:lang w:eastAsia="en-US"/>
        </w:rPr>
        <w:t>(Sic)</w:t>
      </w:r>
    </w:p>
    <w:bookmarkEnd w:id="2"/>
    <w:bookmarkEnd w:id="3"/>
    <w:p w14:paraId="1BB91524" w14:textId="77777777" w:rsidR="005D5C69" w:rsidRPr="00584DB3" w:rsidRDefault="005D5C69" w:rsidP="00AC5A6A">
      <w:pPr>
        <w:tabs>
          <w:tab w:val="left" w:pos="3360"/>
        </w:tabs>
        <w:spacing w:line="360" w:lineRule="auto"/>
        <w:ind w:right="-28"/>
        <w:contextualSpacing/>
        <w:jc w:val="both"/>
        <w:rPr>
          <w:rFonts w:ascii="Palatino Linotype" w:hAnsi="Palatino Linotype" w:cs="Tahoma"/>
          <w:bCs/>
          <w:sz w:val="22"/>
          <w:szCs w:val="22"/>
        </w:rPr>
      </w:pPr>
    </w:p>
    <w:p w14:paraId="266CB62F" w14:textId="77777777" w:rsidR="005D5C69" w:rsidRPr="00C938B6" w:rsidRDefault="005D5C69" w:rsidP="00AC5A6A">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3395F414" w14:textId="77777777" w:rsidR="005D5C69" w:rsidRPr="00C938B6" w:rsidRDefault="005D5C69" w:rsidP="00AC5A6A">
      <w:pPr>
        <w:spacing w:line="360" w:lineRule="auto"/>
        <w:jc w:val="both"/>
        <w:rPr>
          <w:rFonts w:ascii="Palatino Linotype" w:eastAsia="Batang" w:hAnsi="Palatino Linotype" w:cs="Tahoma"/>
          <w:b/>
          <w:bCs/>
          <w:sz w:val="22"/>
          <w:szCs w:val="22"/>
        </w:rPr>
      </w:pPr>
    </w:p>
    <w:p w14:paraId="1AC1764A" w14:textId="14EDF342" w:rsidR="005D5C69" w:rsidRPr="009D337B" w:rsidRDefault="005D5C69" w:rsidP="00AC5A6A">
      <w:pPr>
        <w:spacing w:line="360" w:lineRule="auto"/>
        <w:jc w:val="both"/>
        <w:rPr>
          <w:rFonts w:ascii="Palatino Linotype" w:eastAsia="Calibri" w:hAnsi="Palatino Linotype" w:cs="Tahoma"/>
          <w:b/>
          <w:bCs/>
          <w:sz w:val="22"/>
          <w:szCs w:val="22"/>
        </w:rPr>
      </w:pPr>
      <w:r w:rsidRPr="00C938B6">
        <w:rPr>
          <w:rFonts w:ascii="Palatino Linotype" w:eastAsia="Batang" w:hAnsi="Palatino Linotype" w:cs="Tahoma"/>
          <w:b/>
          <w:bCs/>
          <w:sz w:val="22"/>
          <w:szCs w:val="22"/>
        </w:rPr>
        <w:lastRenderedPageBreak/>
        <w:t xml:space="preserve">a) Turno del Recurso de Revisión. </w:t>
      </w:r>
      <w:r>
        <w:rPr>
          <w:rFonts w:ascii="Palatino Linotype" w:eastAsia="Batang" w:hAnsi="Palatino Linotype" w:cs="Tahoma"/>
          <w:sz w:val="22"/>
          <w:szCs w:val="22"/>
        </w:rPr>
        <w:t xml:space="preserve">El </w:t>
      </w:r>
      <w:r w:rsidR="000D7B9B">
        <w:rPr>
          <w:rFonts w:ascii="Palatino Linotype" w:eastAsia="Batang" w:hAnsi="Palatino Linotype" w:cs="Tahoma"/>
          <w:sz w:val="22"/>
          <w:szCs w:val="22"/>
        </w:rPr>
        <w:t>ocho de abril</w:t>
      </w:r>
      <w:r>
        <w:rPr>
          <w:rFonts w:ascii="Palatino Linotype" w:eastAsia="Batang" w:hAnsi="Palatino Linotype" w:cs="Tahoma"/>
          <w:sz w:val="22"/>
          <w:szCs w:val="22"/>
        </w:rPr>
        <w:t xml:space="preserve"> de dos mil veintidós,</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Pr>
          <w:rFonts w:ascii="Palatino Linotype" w:eastAsia="Calibri" w:hAnsi="Palatino Linotype" w:cs="Tahoma"/>
          <w:b/>
          <w:bCs/>
          <w:sz w:val="22"/>
          <w:szCs w:val="22"/>
        </w:rPr>
        <w:t>0</w:t>
      </w:r>
      <w:r w:rsidR="00EB496E">
        <w:rPr>
          <w:rFonts w:ascii="Palatino Linotype" w:eastAsia="Calibri" w:hAnsi="Palatino Linotype" w:cs="Tahoma"/>
          <w:b/>
          <w:bCs/>
          <w:sz w:val="22"/>
          <w:szCs w:val="22"/>
        </w:rPr>
        <w:t>5666</w:t>
      </w:r>
      <w:r>
        <w:rPr>
          <w:rFonts w:ascii="Palatino Linotype" w:eastAsia="Calibri" w:hAnsi="Palatino Linotype" w:cs="Tahoma"/>
          <w:b/>
          <w:bCs/>
          <w:sz w:val="22"/>
          <w:szCs w:val="22"/>
        </w:rPr>
        <w:t>/INFOEM/IP/RR/2022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Pr>
          <w:rFonts w:ascii="Palatino Linotype" w:eastAsia="Batang" w:hAnsi="Palatino Linotype" w:cs="Tahoma"/>
          <w:sz w:val="22"/>
          <w:szCs w:val="22"/>
        </w:rPr>
        <w:t xml:space="preserve">y lo turnó al </w:t>
      </w:r>
      <w:r>
        <w:rPr>
          <w:rFonts w:ascii="Palatino Linotype" w:eastAsia="Batang" w:hAnsi="Palatino Linotype" w:cs="Tahoma"/>
          <w:b/>
          <w:bCs/>
          <w:sz w:val="22"/>
          <w:szCs w:val="22"/>
        </w:rPr>
        <w:t>Comisionado Luis Gustavo Parra Noriega</w:t>
      </w:r>
      <w:r>
        <w:rPr>
          <w:rFonts w:ascii="Palatino Linotype" w:eastAsia="Batang" w:hAnsi="Palatino Linotype" w:cs="Tahoma"/>
          <w:b/>
          <w:sz w:val="22"/>
          <w:szCs w:val="22"/>
        </w:rPr>
        <w:t xml:space="preserve"> </w:t>
      </w:r>
      <w:r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0AE3B241" w14:textId="77777777" w:rsidR="005D5C69" w:rsidRPr="0017321F" w:rsidRDefault="005D5C69" w:rsidP="00AC5A6A">
      <w:pPr>
        <w:spacing w:line="360" w:lineRule="auto"/>
        <w:jc w:val="both"/>
        <w:rPr>
          <w:rFonts w:ascii="Palatino Linotype" w:eastAsia="Batang" w:hAnsi="Palatino Linotype" w:cs="Tahoma"/>
          <w:b/>
          <w:sz w:val="22"/>
          <w:szCs w:val="22"/>
        </w:rPr>
      </w:pPr>
    </w:p>
    <w:p w14:paraId="5C3A1205" w14:textId="444436EB" w:rsidR="005D5C69" w:rsidRPr="00C938B6" w:rsidRDefault="005D5C69" w:rsidP="00AC5A6A">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Pr>
          <w:rFonts w:ascii="Palatino Linotype" w:eastAsia="Batang" w:hAnsi="Palatino Linotype" w:cs="Tahoma"/>
          <w:sz w:val="22"/>
          <w:szCs w:val="22"/>
          <w:lang w:val="es-ES_tradnl"/>
        </w:rPr>
        <w:t xml:space="preserve">El </w:t>
      </w:r>
      <w:r w:rsidR="000D7B9B">
        <w:rPr>
          <w:rFonts w:ascii="Palatino Linotype" w:eastAsia="Batang" w:hAnsi="Palatino Linotype" w:cs="Tahoma"/>
          <w:sz w:val="22"/>
          <w:szCs w:val="22"/>
          <w:lang w:val="es-ES_tradnl"/>
        </w:rPr>
        <w:t>veinte de abril</w:t>
      </w:r>
      <w:r>
        <w:rPr>
          <w:rFonts w:ascii="Palatino Linotype" w:eastAsia="Batang" w:hAnsi="Palatino Linotype" w:cs="Tahoma"/>
          <w:sz w:val="22"/>
          <w:szCs w:val="22"/>
          <w:lang w:val="es-ES_tradnl"/>
        </w:rPr>
        <w:t xml:space="preserve"> </w:t>
      </w:r>
      <w:proofErr w:type="spellStart"/>
      <w:r>
        <w:rPr>
          <w:rFonts w:ascii="Palatino Linotype" w:eastAsia="Batang" w:hAnsi="Palatino Linotype" w:cs="Tahoma"/>
          <w:sz w:val="22"/>
          <w:szCs w:val="22"/>
          <w:lang w:val="es-ES_tradnl"/>
        </w:rPr>
        <w:t>de</w:t>
      </w:r>
      <w:proofErr w:type="spellEnd"/>
      <w:r>
        <w:rPr>
          <w:rFonts w:ascii="Palatino Linotype" w:eastAsia="Batang" w:hAnsi="Palatino Linotype" w:cs="Tahoma"/>
          <w:sz w:val="22"/>
          <w:szCs w:val="22"/>
          <w:lang w:val="es-ES_tradnl"/>
        </w:rPr>
        <w:t xml:space="preserve"> dos mil veintidós</w:t>
      </w:r>
      <w:r w:rsidRPr="00C938B6">
        <w:rPr>
          <w:rFonts w:ascii="Palatino Linotype" w:eastAsia="Batang" w:hAnsi="Palatino Linotype" w:cs="Tahoma"/>
          <w:sz w:val="22"/>
          <w:szCs w:val="22"/>
          <w:lang w:val="es-ES_tradnl"/>
        </w:rPr>
        <w:t>, se acordó la admisión del Recurso de Revisión interpuesto por la Recurrente</w:t>
      </w:r>
      <w:r w:rsidR="006038B3">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en contra del Sujeto Obligado, en términos del artículo 185, fracciones I y II de la Ley de Transparencia y Acceso a la Información Pública del Estado de México y Municipios, el cual fue notificado a las pa</w:t>
      </w:r>
      <w:r>
        <w:rPr>
          <w:rFonts w:ascii="Palatino Linotype" w:eastAsia="Batang" w:hAnsi="Palatino Linotype" w:cs="Tahoma"/>
          <w:sz w:val="22"/>
          <w:szCs w:val="22"/>
          <w:lang w:val="es-ES_tradnl"/>
        </w:rPr>
        <w:t>rtes e</w:t>
      </w:r>
      <w:r w:rsidR="009B0797">
        <w:rPr>
          <w:rFonts w:ascii="Palatino Linotype" w:eastAsia="Batang" w:hAnsi="Palatino Linotype" w:cs="Tahoma"/>
          <w:sz w:val="22"/>
          <w:szCs w:val="22"/>
          <w:lang w:val="es-ES_tradnl"/>
        </w:rPr>
        <w:t xml:space="preserve">l </w:t>
      </w:r>
      <w:r w:rsidR="000D7B9B">
        <w:rPr>
          <w:rFonts w:ascii="Palatino Linotype" w:eastAsia="Batang" w:hAnsi="Palatino Linotype" w:cs="Tahoma"/>
          <w:sz w:val="22"/>
          <w:szCs w:val="22"/>
          <w:lang w:val="es-ES_tradnl"/>
        </w:rPr>
        <w:t>mismo día</w:t>
      </w:r>
      <w:r>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3AD242AD" w14:textId="77777777" w:rsidR="005D5C69" w:rsidRPr="00C938B6" w:rsidRDefault="005D5C69" w:rsidP="00AC5A6A">
      <w:pPr>
        <w:spacing w:line="360" w:lineRule="auto"/>
        <w:jc w:val="both"/>
        <w:rPr>
          <w:rFonts w:ascii="Palatino Linotype" w:eastAsia="Batang" w:hAnsi="Palatino Linotype" w:cs="Tahoma"/>
          <w:bCs/>
          <w:sz w:val="22"/>
          <w:szCs w:val="22"/>
        </w:rPr>
      </w:pPr>
    </w:p>
    <w:p w14:paraId="3534A347" w14:textId="77777777" w:rsidR="000D7B9B" w:rsidRPr="00B52CE7" w:rsidRDefault="000D7B9B" w:rsidP="000D7B9B">
      <w:pPr>
        <w:spacing w:line="360" w:lineRule="auto"/>
        <w:ind w:right="-28"/>
        <w:jc w:val="both"/>
        <w:rPr>
          <w:rFonts w:ascii="Palatino Linotype" w:hAnsi="Palatino Linotype" w:cs="Tahoma"/>
          <w:sz w:val="22"/>
          <w:szCs w:val="22"/>
        </w:rPr>
      </w:pPr>
      <w:r w:rsidRPr="00B52CE7">
        <w:rPr>
          <w:rFonts w:ascii="Palatino Linotype" w:eastAsia="Calibri" w:hAnsi="Palatino Linotype" w:cs="Tahoma"/>
          <w:b/>
          <w:sz w:val="22"/>
          <w:szCs w:val="22"/>
          <w:lang w:eastAsia="en-US"/>
        </w:rPr>
        <w:t xml:space="preserve">c) </w:t>
      </w:r>
      <w:r w:rsidRPr="00B52CE7">
        <w:rPr>
          <w:rFonts w:ascii="Palatino Linotype" w:hAnsi="Palatino Linotype" w:cs="Tahoma"/>
          <w:b/>
          <w:sz w:val="22"/>
          <w:szCs w:val="22"/>
        </w:rPr>
        <w:t xml:space="preserve">Informe Justificado o Manifestaciones. </w:t>
      </w:r>
      <w:r w:rsidRPr="00B52CE7">
        <w:rPr>
          <w:rFonts w:ascii="Palatino Linotype" w:hAnsi="Palatino Linotype" w:cs="Tahoma"/>
          <w:bCs/>
          <w:sz w:val="22"/>
          <w:szCs w:val="22"/>
        </w:rPr>
        <w:t>L</w:t>
      </w:r>
      <w:r w:rsidRPr="00B52CE7">
        <w:rPr>
          <w:rFonts w:ascii="Palatino Linotype" w:hAnsi="Palatino Linotype" w:cs="Tahoma"/>
          <w:sz w:val="22"/>
          <w:szCs w:val="22"/>
        </w:rPr>
        <w:t>as partes fueron omisas en emitir alegatos o manifestaciones.</w:t>
      </w:r>
    </w:p>
    <w:p w14:paraId="78F0A6FD" w14:textId="77777777" w:rsidR="000D7B9B" w:rsidRDefault="000D7B9B" w:rsidP="000D7B9B">
      <w:pPr>
        <w:widowControl w:val="0"/>
        <w:tabs>
          <w:tab w:val="center" w:pos="4522"/>
        </w:tabs>
        <w:spacing w:line="360" w:lineRule="auto"/>
        <w:jc w:val="both"/>
        <w:rPr>
          <w:rFonts w:ascii="Palatino Linotype" w:hAnsi="Palatino Linotype"/>
          <w:bCs/>
          <w:sz w:val="22"/>
          <w:szCs w:val="22"/>
          <w:lang w:val="es-ES_tradnl"/>
        </w:rPr>
      </w:pPr>
    </w:p>
    <w:p w14:paraId="1179BE01" w14:textId="5A33760D" w:rsidR="00B24D78" w:rsidRDefault="00AB1D13" w:rsidP="000D7B9B">
      <w:pPr>
        <w:widowControl w:val="0"/>
        <w:tabs>
          <w:tab w:val="center" w:pos="4522"/>
        </w:tabs>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005D5C69" w:rsidRPr="00C938B6">
        <w:rPr>
          <w:rFonts w:ascii="Palatino Linotype" w:hAnsi="Palatino Linotype" w:cs="Tahoma"/>
          <w:b/>
          <w:sz w:val="22"/>
          <w:szCs w:val="22"/>
        </w:rPr>
        <w:t>Cierre de instrucción.</w:t>
      </w:r>
      <w:r w:rsidR="005D5C69" w:rsidRPr="00C938B6">
        <w:rPr>
          <w:rFonts w:ascii="Palatino Linotype" w:hAnsi="Palatino Linotype" w:cs="Tahoma"/>
          <w:sz w:val="22"/>
          <w:szCs w:val="22"/>
        </w:rPr>
        <w:t xml:space="preserve"> </w:t>
      </w:r>
      <w:r w:rsidR="005D5C69">
        <w:rPr>
          <w:rFonts w:ascii="Palatino Linotype" w:hAnsi="Palatino Linotype" w:cs="Tahoma"/>
          <w:sz w:val="22"/>
          <w:szCs w:val="22"/>
        </w:rPr>
        <w:t xml:space="preserve">El </w:t>
      </w:r>
      <w:r w:rsidR="005D7DE5">
        <w:rPr>
          <w:rFonts w:ascii="Palatino Linotype" w:hAnsi="Palatino Linotype" w:cs="Tahoma"/>
          <w:sz w:val="22"/>
          <w:szCs w:val="22"/>
        </w:rPr>
        <w:t>trece de mayo</w:t>
      </w:r>
      <w:r w:rsidR="005D5C69">
        <w:rPr>
          <w:rFonts w:ascii="Palatino Linotype" w:hAnsi="Palatino Linotype" w:cs="Tahoma"/>
          <w:sz w:val="22"/>
          <w:szCs w:val="22"/>
        </w:rPr>
        <w:t xml:space="preserve"> de dos mil veintidós</w:t>
      </w:r>
      <w:r w:rsidR="005D5C69"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5D5C69" w:rsidRPr="00C938B6">
        <w:rPr>
          <w:rFonts w:ascii="Palatino Linotype" w:hAnsi="Palatino Linotype" w:cs="Tahoma"/>
          <w:sz w:val="22"/>
          <w:szCs w:val="22"/>
          <w:lang w:val="es-ES"/>
        </w:rPr>
        <w:t>Sistema de Acceso a la Información Mexiquense (SAIMEX)</w:t>
      </w:r>
      <w:r w:rsidR="005D5C69" w:rsidRPr="00C938B6">
        <w:rPr>
          <w:rFonts w:ascii="Palatino Linotype" w:hAnsi="Palatino Linotype" w:cs="Tahoma"/>
          <w:sz w:val="22"/>
          <w:szCs w:val="22"/>
        </w:rPr>
        <w:t>.</w:t>
      </w:r>
    </w:p>
    <w:p w14:paraId="20219575" w14:textId="77777777" w:rsidR="0098278A" w:rsidRDefault="0098278A" w:rsidP="00AC5A6A">
      <w:pPr>
        <w:spacing w:line="360" w:lineRule="auto"/>
        <w:jc w:val="both"/>
        <w:rPr>
          <w:rFonts w:ascii="Palatino Linotype" w:hAnsi="Palatino Linotype" w:cs="Tahoma"/>
          <w:b/>
          <w:bCs/>
          <w:sz w:val="22"/>
          <w:szCs w:val="22"/>
          <w:lang w:val="es-ES"/>
        </w:rPr>
      </w:pPr>
    </w:p>
    <w:p w14:paraId="1DA68ACE" w14:textId="77777777" w:rsidR="005D5C69" w:rsidRDefault="005D5C69" w:rsidP="00AC5A6A">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de acuerdo con los siguientes: </w:t>
      </w:r>
    </w:p>
    <w:p w14:paraId="0344B535" w14:textId="77777777" w:rsidR="005D7DE5" w:rsidRDefault="005D7DE5" w:rsidP="00AC5A6A">
      <w:pPr>
        <w:spacing w:line="360" w:lineRule="auto"/>
        <w:jc w:val="both"/>
        <w:rPr>
          <w:rFonts w:ascii="Palatino Linotype" w:hAnsi="Palatino Linotype" w:cs="Tahoma"/>
          <w:color w:val="000000"/>
          <w:sz w:val="22"/>
          <w:szCs w:val="22"/>
        </w:rPr>
      </w:pPr>
    </w:p>
    <w:p w14:paraId="2587985B" w14:textId="77777777" w:rsidR="005D5C69" w:rsidRPr="00C938B6" w:rsidRDefault="005D5C69" w:rsidP="00AC5A6A">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5DEC9161" w14:textId="77777777" w:rsidR="005D5C69" w:rsidRPr="00C938B6" w:rsidRDefault="005D5C69" w:rsidP="00AC5A6A">
      <w:pPr>
        <w:spacing w:line="360" w:lineRule="auto"/>
        <w:rPr>
          <w:rFonts w:ascii="Palatino Linotype" w:hAnsi="Palatino Linotype" w:cs="Tahoma"/>
          <w:b/>
          <w:sz w:val="22"/>
          <w:szCs w:val="22"/>
        </w:rPr>
      </w:pPr>
    </w:p>
    <w:p w14:paraId="57922A87" w14:textId="77777777" w:rsidR="005D5C69" w:rsidRPr="00C938B6" w:rsidRDefault="005D5C69" w:rsidP="00AC5A6A">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1D76534A" w14:textId="77777777" w:rsidR="005D5C69" w:rsidRPr="00C938B6" w:rsidRDefault="005D5C69" w:rsidP="00AC5A6A">
      <w:pPr>
        <w:spacing w:line="360" w:lineRule="auto"/>
        <w:jc w:val="both"/>
        <w:rPr>
          <w:rFonts w:ascii="Palatino Linotype" w:eastAsia="Batang" w:hAnsi="Palatino Linotype" w:cs="Tahoma"/>
          <w:b/>
          <w:bCs/>
          <w:sz w:val="22"/>
          <w:szCs w:val="22"/>
        </w:rPr>
      </w:pPr>
    </w:p>
    <w:p w14:paraId="5F65F3FB" w14:textId="77777777" w:rsidR="005D5C69" w:rsidRPr="00C938B6" w:rsidRDefault="005D5C69" w:rsidP="00AC5A6A">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párrafos</w:t>
      </w:r>
      <w:r>
        <w:rPr>
          <w:rFonts w:ascii="Palatino Linotype" w:hAnsi="Palatino Linotype" w:cs="Tahoma"/>
          <w:bCs/>
          <w:sz w:val="22"/>
          <w:szCs w:val="22"/>
        </w:rPr>
        <w:t xml:space="preserve"> </w:t>
      </w:r>
      <w:r w:rsidRPr="00830132">
        <w:rPr>
          <w:rFonts w:ascii="Palatino Linotype" w:hAnsi="Palatino Linotype" w:cs="Tahoma"/>
          <w:bCs/>
          <w:sz w:val="22"/>
          <w:szCs w:val="22"/>
          <w:lang w:val="x-none"/>
        </w:rPr>
        <w:t>trigésimo,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54DC391" w14:textId="77777777" w:rsidR="005D5C69" w:rsidRPr="00C938B6" w:rsidRDefault="005D5C69" w:rsidP="00AC5A6A">
      <w:pPr>
        <w:spacing w:line="360" w:lineRule="auto"/>
        <w:jc w:val="both"/>
        <w:rPr>
          <w:rFonts w:ascii="Palatino Linotype" w:eastAsia="Calibri" w:hAnsi="Palatino Linotype" w:cs="Tahoma"/>
          <w:bCs/>
          <w:color w:val="000000"/>
          <w:sz w:val="22"/>
          <w:szCs w:val="22"/>
          <w:lang w:eastAsia="es-ES_tradnl"/>
        </w:rPr>
      </w:pPr>
    </w:p>
    <w:p w14:paraId="73547447" w14:textId="77777777" w:rsidR="005D5C69" w:rsidRPr="00C938B6" w:rsidRDefault="005D5C69" w:rsidP="00AC5A6A">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09FDC97F" w14:textId="77777777" w:rsidR="005D5C69" w:rsidRPr="00C938B6" w:rsidRDefault="005D5C69" w:rsidP="00AC5A6A">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6827D0CB" w14:textId="77777777" w:rsidR="005D5C69" w:rsidRDefault="005D5C69" w:rsidP="00AC5A6A">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5A81FCC5" w14:textId="77777777" w:rsidR="005D5C69" w:rsidRPr="001B04D6" w:rsidRDefault="005D5C69" w:rsidP="00AC5A6A">
      <w:pPr>
        <w:spacing w:line="360" w:lineRule="auto"/>
        <w:jc w:val="both"/>
        <w:rPr>
          <w:rFonts w:ascii="Palatino Linotype" w:hAnsi="Palatino Linotype"/>
          <w:color w:val="222222"/>
          <w:lang w:val="es-ES"/>
        </w:rPr>
      </w:pPr>
    </w:p>
    <w:p w14:paraId="47CB0987" w14:textId="77777777" w:rsidR="005D5C69" w:rsidRPr="00C938B6" w:rsidRDefault="005D5C69" w:rsidP="00AC5A6A">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lastRenderedPageBreak/>
        <w:t>Causales de improcedencia.</w:t>
      </w:r>
    </w:p>
    <w:p w14:paraId="53395277" w14:textId="77777777" w:rsidR="005D5C69" w:rsidRPr="00C938B6" w:rsidRDefault="005D5C69" w:rsidP="00AC5A6A">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591D7193" w14:textId="77777777" w:rsidR="005D5C69" w:rsidRPr="00C938B6" w:rsidRDefault="005D5C69" w:rsidP="00AC5A6A">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9BF197" w14:textId="77777777" w:rsidR="0059343E" w:rsidRDefault="0059343E" w:rsidP="00AC5A6A">
      <w:pPr>
        <w:spacing w:line="360" w:lineRule="auto"/>
        <w:jc w:val="both"/>
        <w:rPr>
          <w:rFonts w:ascii="Palatino Linotype" w:hAnsi="Palatino Linotype" w:cs="Tahoma"/>
          <w:bCs/>
          <w:color w:val="000000"/>
          <w:sz w:val="22"/>
          <w:szCs w:val="22"/>
        </w:rPr>
      </w:pPr>
    </w:p>
    <w:p w14:paraId="599B0624" w14:textId="51536023" w:rsidR="005D5C69" w:rsidRDefault="005D5C69" w:rsidP="00AC5A6A">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2B4788F1" w14:textId="77777777" w:rsidR="005D5C69" w:rsidRPr="00C938B6" w:rsidRDefault="005D5C69" w:rsidP="00AC5A6A">
      <w:pPr>
        <w:spacing w:line="360" w:lineRule="auto"/>
        <w:jc w:val="both"/>
        <w:rPr>
          <w:rFonts w:ascii="Palatino Linotype" w:hAnsi="Palatino Linotype" w:cs="Tahoma"/>
          <w:bCs/>
          <w:color w:val="000000"/>
          <w:sz w:val="22"/>
          <w:szCs w:val="22"/>
        </w:rPr>
      </w:pPr>
    </w:p>
    <w:p w14:paraId="725D54AC" w14:textId="36AD6CF5" w:rsidR="005D5C69" w:rsidRDefault="005D5C69" w:rsidP="00AC5A6A">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Pr>
          <w:rFonts w:ascii="Palatino Linotype" w:hAnsi="Palatino Linotype" w:cs="Tahoma"/>
          <w:sz w:val="22"/>
          <w:szCs w:val="22"/>
        </w:rPr>
        <w:t>s</w:t>
      </w:r>
      <w:r w:rsidRPr="003066DC">
        <w:rPr>
          <w:rFonts w:ascii="Palatino Linotype" w:hAnsi="Palatino Linotype" w:cs="Tahoma"/>
          <w:sz w:val="22"/>
          <w:szCs w:val="22"/>
        </w:rPr>
        <w:t xml:space="preserve"> causal</w:t>
      </w:r>
      <w:r>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Pr>
          <w:rFonts w:ascii="Palatino Linotype" w:hAnsi="Palatino Linotype" w:cs="Tahoma"/>
          <w:sz w:val="22"/>
          <w:szCs w:val="22"/>
        </w:rPr>
        <w:t>s</w:t>
      </w:r>
      <w:r w:rsidRPr="003066DC">
        <w:rPr>
          <w:rFonts w:ascii="Palatino Linotype" w:hAnsi="Palatino Linotype" w:cs="Tahoma"/>
          <w:sz w:val="22"/>
          <w:szCs w:val="22"/>
        </w:rPr>
        <w:t xml:space="preserve"> en el artículo 179, </w:t>
      </w:r>
      <w:r>
        <w:rPr>
          <w:rFonts w:ascii="Palatino Linotype" w:hAnsi="Palatino Linotype" w:cs="Tahoma"/>
          <w:sz w:val="22"/>
          <w:szCs w:val="22"/>
        </w:rPr>
        <w:t>fracción</w:t>
      </w:r>
      <w:r w:rsidR="00AB1D13">
        <w:rPr>
          <w:rFonts w:ascii="Palatino Linotype" w:hAnsi="Palatino Linotype" w:cs="Tahoma"/>
          <w:sz w:val="22"/>
          <w:szCs w:val="22"/>
        </w:rPr>
        <w:t xml:space="preserve"> VI</w:t>
      </w:r>
      <w:r w:rsidRPr="003066DC">
        <w:rPr>
          <w:rFonts w:ascii="Palatino Linotype" w:hAnsi="Palatino Linotype" w:cs="Tahoma"/>
          <w:sz w:val="22"/>
          <w:szCs w:val="22"/>
        </w:rPr>
        <w:t xml:space="preserve"> de la Ley de Transparencia y Acceso a la Información Pública del Estado de México y Municipios, </w:t>
      </w:r>
      <w:r w:rsidRPr="003066DC">
        <w:rPr>
          <w:rFonts w:ascii="Palatino Linotype" w:eastAsia="Calibri" w:hAnsi="Palatino Linotype" w:cs="Tahoma"/>
          <w:color w:val="000000"/>
          <w:sz w:val="22"/>
          <w:szCs w:val="22"/>
          <w:lang w:eastAsia="es-MX"/>
        </w:rPr>
        <w:t xml:space="preserve">pues el Recurrente se inconformó </w:t>
      </w:r>
      <w:r w:rsidR="005D7DE5">
        <w:rPr>
          <w:rFonts w:ascii="Palatino Linotype" w:hAnsi="Palatino Linotype" w:cs="Tahoma"/>
          <w:sz w:val="22"/>
          <w:szCs w:val="22"/>
          <w:lang w:val="es-ES"/>
        </w:rPr>
        <w:t>con la entrega de información que no corresponde con lo solicitado.</w:t>
      </w:r>
    </w:p>
    <w:p w14:paraId="0186437F" w14:textId="77777777" w:rsidR="005D5C69" w:rsidRPr="001B04D6" w:rsidRDefault="005D5C69" w:rsidP="00AC5A6A">
      <w:pPr>
        <w:spacing w:line="360" w:lineRule="auto"/>
        <w:jc w:val="both"/>
        <w:rPr>
          <w:rFonts w:ascii="Palatino Linotype" w:hAnsi="Palatino Linotype" w:cs="Tahoma"/>
          <w:sz w:val="22"/>
          <w:szCs w:val="22"/>
          <w:lang w:val="es-ES"/>
        </w:rPr>
      </w:pPr>
    </w:p>
    <w:p w14:paraId="16D8201A" w14:textId="77777777" w:rsidR="005D5C69" w:rsidRPr="00C938B6" w:rsidRDefault="005D5C69" w:rsidP="00AC5A6A">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7C544B6D" w14:textId="77777777" w:rsidR="005D5C69" w:rsidRPr="00C938B6" w:rsidRDefault="005D5C69" w:rsidP="00AC5A6A">
      <w:pPr>
        <w:spacing w:line="360" w:lineRule="auto"/>
        <w:jc w:val="both"/>
        <w:rPr>
          <w:rFonts w:ascii="Palatino Linotype" w:hAnsi="Palatino Linotype" w:cs="Tahoma"/>
          <w:bCs/>
          <w:color w:val="0D0D0D" w:themeColor="text1" w:themeTint="F2"/>
          <w:sz w:val="22"/>
          <w:szCs w:val="22"/>
        </w:rPr>
      </w:pPr>
    </w:p>
    <w:p w14:paraId="48DE92F7" w14:textId="77777777" w:rsidR="005D5C69" w:rsidRPr="00C938B6" w:rsidRDefault="005D5C69" w:rsidP="00AC5A6A">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lastRenderedPageBreak/>
        <w:t>Por ser de previo y especial pronunciamiento, este Instituto analiza si se actualiza alguna causal de sobreseimiento.</w:t>
      </w:r>
    </w:p>
    <w:p w14:paraId="1DB8E16E" w14:textId="77777777" w:rsidR="005D5C69" w:rsidRPr="00C938B6" w:rsidRDefault="005D5C69" w:rsidP="00AC5A6A">
      <w:pPr>
        <w:spacing w:line="360" w:lineRule="auto"/>
        <w:jc w:val="both"/>
        <w:rPr>
          <w:rFonts w:ascii="Palatino Linotype" w:hAnsi="Palatino Linotype" w:cs="Tahoma"/>
          <w:bCs/>
          <w:color w:val="0D0D0D" w:themeColor="text1" w:themeTint="F2"/>
          <w:sz w:val="22"/>
          <w:szCs w:val="22"/>
        </w:rPr>
      </w:pPr>
    </w:p>
    <w:p w14:paraId="58ACE850" w14:textId="77777777" w:rsidR="005D5C69" w:rsidRPr="00C938B6" w:rsidRDefault="005D5C69" w:rsidP="00AC5A6A">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C593D78" w14:textId="77777777" w:rsidR="005D5C69" w:rsidRDefault="005D5C69" w:rsidP="00AC5A6A">
      <w:pPr>
        <w:spacing w:line="360" w:lineRule="auto"/>
        <w:jc w:val="both"/>
        <w:rPr>
          <w:rFonts w:ascii="Palatino Linotype" w:hAnsi="Palatino Linotype" w:cs="Tahoma"/>
          <w:bCs/>
          <w:color w:val="0D0D0D" w:themeColor="text1" w:themeTint="F2"/>
          <w:sz w:val="22"/>
          <w:szCs w:val="22"/>
        </w:rPr>
      </w:pPr>
    </w:p>
    <w:p w14:paraId="069820D4" w14:textId="77777777" w:rsidR="005D5C69" w:rsidRPr="003066DC" w:rsidRDefault="005D5C69" w:rsidP="00AC5A6A">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571F7B84" w14:textId="77777777" w:rsidR="00200B82" w:rsidRDefault="00200B82" w:rsidP="00AC5A6A">
      <w:pPr>
        <w:spacing w:line="360" w:lineRule="auto"/>
        <w:jc w:val="both"/>
        <w:rPr>
          <w:rFonts w:ascii="Palatino Linotype" w:hAnsi="Palatino Linotype" w:cs="Tahoma"/>
          <w:b/>
          <w:bCs/>
          <w:iCs/>
          <w:sz w:val="22"/>
          <w:szCs w:val="22"/>
          <w:lang w:val="es-ES"/>
        </w:rPr>
      </w:pPr>
    </w:p>
    <w:p w14:paraId="15301ECA" w14:textId="1FD55B62" w:rsidR="005D5C69" w:rsidRPr="00C938B6" w:rsidRDefault="005D5C69" w:rsidP="00AC5A6A">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7219E094" w14:textId="77777777" w:rsidR="005D5C69" w:rsidRPr="00C938B6" w:rsidRDefault="005D5C69" w:rsidP="00AC5A6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5C98C9E" w14:textId="37E765EA" w:rsidR="005D5C69" w:rsidRPr="00B574E7" w:rsidRDefault="005D5C69" w:rsidP="005D7DE5">
      <w:pPr>
        <w:pStyle w:val="Prrafodelista"/>
        <w:autoSpaceDE w:val="0"/>
        <w:autoSpaceDN w:val="0"/>
        <w:adjustRightInd w:val="0"/>
        <w:spacing w:line="360" w:lineRule="auto"/>
        <w:ind w:left="0" w:right="-28"/>
        <w:jc w:val="both"/>
        <w:rPr>
          <w:rFonts w:ascii="Palatino Linotype" w:eastAsia="Calibri" w:hAnsi="Palatino Linotype" w:cs="Tahoma"/>
          <w:b/>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w:t>
      </w:r>
      <w:r>
        <w:rPr>
          <w:rFonts w:ascii="Palatino Linotype" w:eastAsia="Calibri" w:hAnsi="Palatino Linotype" w:cs="Tahoma"/>
          <w:color w:val="000000"/>
          <w:lang w:val="es-ES" w:eastAsia="es-MX"/>
        </w:rPr>
        <w:t>icitante requirió</w:t>
      </w:r>
      <w:r w:rsidR="00AB1D13">
        <w:rPr>
          <w:rFonts w:ascii="Palatino Linotype" w:eastAsia="Calibri" w:hAnsi="Palatino Linotype" w:cs="Tahoma"/>
          <w:color w:val="000000"/>
          <w:lang w:val="es-ES" w:eastAsia="es-MX"/>
        </w:rPr>
        <w:t xml:space="preserve"> </w:t>
      </w:r>
      <w:r w:rsidR="005D7DE5">
        <w:rPr>
          <w:rFonts w:ascii="Palatino Linotype" w:eastAsia="Calibri" w:hAnsi="Palatino Linotype" w:cs="Tahoma"/>
          <w:color w:val="000000"/>
          <w:lang w:val="es-ES" w:eastAsia="es-MX"/>
        </w:rPr>
        <w:t>el padrón de todos los servidores públicos adscritos al Ayuntamiento de Atenco, por área de adscripción.</w:t>
      </w:r>
    </w:p>
    <w:p w14:paraId="0024772C" w14:textId="77777777" w:rsidR="005D5C69" w:rsidRDefault="005D5C69" w:rsidP="00AC5A6A">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3CD9296E" w14:textId="13194CDA" w:rsidR="00AB1D13" w:rsidRDefault="005D5C69" w:rsidP="00AC5A6A">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D97859">
        <w:rPr>
          <w:rFonts w:ascii="Palatino Linotype" w:eastAsia="Calibri" w:hAnsi="Palatino Linotype" w:cs="Tahoma"/>
          <w:color w:val="000000"/>
          <w:sz w:val="22"/>
          <w:lang w:val="es-ES" w:eastAsia="es-MX"/>
        </w:rPr>
        <w:t xml:space="preserve">En atención a </w:t>
      </w:r>
      <w:r>
        <w:rPr>
          <w:rFonts w:ascii="Palatino Linotype" w:eastAsia="Calibri" w:hAnsi="Palatino Linotype" w:cs="Tahoma"/>
          <w:color w:val="000000"/>
          <w:sz w:val="22"/>
          <w:lang w:val="es-ES" w:eastAsia="es-MX"/>
        </w:rPr>
        <w:t xml:space="preserve">ello, el Sujeto Obligado en respuesta </w:t>
      </w:r>
      <w:r w:rsidR="00233435">
        <w:rPr>
          <w:rFonts w:ascii="Palatino Linotype" w:eastAsia="Calibri" w:hAnsi="Palatino Linotype" w:cs="Tahoma"/>
          <w:color w:val="000000"/>
          <w:sz w:val="22"/>
          <w:lang w:val="es-ES" w:eastAsia="es-MX"/>
        </w:rPr>
        <w:t>proporcionó una relación con el nombre y área de adscripción de doscientos ochenta servidores públicos</w:t>
      </w:r>
      <w:r w:rsidR="00AB1D13">
        <w:rPr>
          <w:rFonts w:ascii="Palatino Linotype" w:eastAsia="Calibri" w:hAnsi="Palatino Linotype" w:cs="Tahoma"/>
          <w:color w:val="000000"/>
          <w:sz w:val="22"/>
          <w:lang w:val="es-ES" w:eastAsia="es-MX"/>
        </w:rPr>
        <w:t xml:space="preserve">; ante tal circunstancia, el ahora Recurrente se inconformó con la entrega de información que no corresponde con lo solicitado, al señalar que no le habían entregado </w:t>
      </w:r>
      <w:r w:rsidR="00233435">
        <w:rPr>
          <w:rFonts w:ascii="Palatino Linotype" w:eastAsia="Calibri" w:hAnsi="Palatino Linotype" w:cs="Tahoma"/>
          <w:color w:val="000000"/>
          <w:sz w:val="22"/>
          <w:lang w:val="es-ES" w:eastAsia="es-MX"/>
        </w:rPr>
        <w:t>lo peticionado</w:t>
      </w:r>
      <w:r w:rsidR="00AB1D13">
        <w:rPr>
          <w:rFonts w:ascii="Palatino Linotype" w:eastAsia="Calibri" w:hAnsi="Palatino Linotype" w:cs="Tahoma"/>
          <w:color w:val="000000"/>
          <w:sz w:val="22"/>
          <w:lang w:val="es-ES" w:eastAsia="es-MX"/>
        </w:rPr>
        <w:t xml:space="preserve">, lo cual </w:t>
      </w:r>
      <w:r w:rsidRPr="000B5C29">
        <w:rPr>
          <w:rFonts w:ascii="Palatino Linotype" w:eastAsia="Calibri" w:hAnsi="Palatino Linotype" w:cs="Tahoma"/>
          <w:bCs/>
          <w:iCs/>
          <w:color w:val="000000"/>
          <w:sz w:val="22"/>
          <w:szCs w:val="24"/>
          <w:lang w:val="es-ES" w:eastAsia="es-MX"/>
        </w:rPr>
        <w:t xml:space="preserve">actualiza </w:t>
      </w:r>
      <w:r>
        <w:rPr>
          <w:rFonts w:ascii="Palatino Linotype" w:eastAsia="Calibri" w:hAnsi="Palatino Linotype" w:cs="Tahoma"/>
          <w:bCs/>
          <w:iCs/>
          <w:color w:val="000000"/>
          <w:sz w:val="22"/>
          <w:szCs w:val="24"/>
          <w:lang w:val="es-ES" w:eastAsia="es-MX"/>
        </w:rPr>
        <w:t>el supuesto</w:t>
      </w:r>
      <w:r w:rsidRPr="000B5C29">
        <w:rPr>
          <w:rFonts w:ascii="Palatino Linotype" w:eastAsia="Calibri" w:hAnsi="Palatino Linotype" w:cs="Tahoma"/>
          <w:bCs/>
          <w:iCs/>
          <w:color w:val="000000"/>
          <w:sz w:val="22"/>
          <w:szCs w:val="24"/>
          <w:lang w:val="es-ES" w:eastAsia="es-MX"/>
        </w:rPr>
        <w:t xml:space="preserve"> previsto en el artículo 179, fracción</w:t>
      </w:r>
      <w:r>
        <w:rPr>
          <w:rFonts w:ascii="Palatino Linotype" w:eastAsia="Calibri" w:hAnsi="Palatino Linotype" w:cs="Tahoma"/>
          <w:bCs/>
          <w:iCs/>
          <w:color w:val="000000"/>
          <w:sz w:val="22"/>
          <w:szCs w:val="24"/>
          <w:lang w:val="es-ES" w:eastAsia="es-MX"/>
        </w:rPr>
        <w:t xml:space="preserve"> </w:t>
      </w:r>
      <w:r w:rsidR="00F15A62">
        <w:rPr>
          <w:rFonts w:ascii="Palatino Linotype" w:eastAsia="Calibri" w:hAnsi="Palatino Linotype" w:cs="Tahoma"/>
          <w:bCs/>
          <w:iCs/>
          <w:color w:val="000000"/>
          <w:sz w:val="22"/>
          <w:szCs w:val="24"/>
          <w:lang w:val="es-ES" w:eastAsia="es-MX"/>
        </w:rPr>
        <w:t>V</w:t>
      </w:r>
      <w:r w:rsidR="00AB1D13">
        <w:rPr>
          <w:rFonts w:ascii="Palatino Linotype" w:eastAsia="Calibri" w:hAnsi="Palatino Linotype" w:cs="Tahoma"/>
          <w:bCs/>
          <w:iCs/>
          <w:color w:val="000000"/>
          <w:sz w:val="22"/>
          <w:szCs w:val="24"/>
          <w:lang w:val="es-ES" w:eastAsia="es-MX"/>
        </w:rPr>
        <w:t>I</w:t>
      </w:r>
      <w:r w:rsidRPr="000B5C29">
        <w:rPr>
          <w:rFonts w:ascii="Palatino Linotype" w:eastAsia="Calibri" w:hAnsi="Palatino Linotype" w:cs="Tahoma"/>
          <w:bCs/>
          <w:iCs/>
          <w:color w:val="000000"/>
          <w:sz w:val="22"/>
          <w:szCs w:val="24"/>
          <w:lang w:val="es-ES" w:eastAsia="es-MX"/>
        </w:rPr>
        <w:t xml:space="preserve"> de la Ley de Transparencia y Acceso a la Información Pública del Estado de México y Municipios</w:t>
      </w:r>
      <w:r w:rsidR="00AB1D13">
        <w:rPr>
          <w:rFonts w:ascii="Palatino Linotype" w:eastAsia="Calibri" w:hAnsi="Palatino Linotype" w:cs="Tahoma"/>
          <w:bCs/>
          <w:iCs/>
          <w:color w:val="000000"/>
          <w:sz w:val="22"/>
          <w:szCs w:val="24"/>
          <w:lang w:val="es-ES" w:eastAsia="es-MX"/>
        </w:rPr>
        <w:t>.</w:t>
      </w:r>
      <w:r w:rsidR="00233435">
        <w:rPr>
          <w:rFonts w:ascii="Palatino Linotype" w:eastAsia="Calibri" w:hAnsi="Palatino Linotype" w:cs="Tahoma"/>
          <w:bCs/>
          <w:iCs/>
          <w:color w:val="000000"/>
          <w:sz w:val="22"/>
          <w:szCs w:val="24"/>
          <w:lang w:val="es-ES" w:eastAsia="es-MX"/>
        </w:rPr>
        <w:t xml:space="preserve"> </w:t>
      </w:r>
      <w:r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Pr>
          <w:rFonts w:ascii="Palatino Linotype" w:eastAsia="Calibri" w:hAnsi="Palatino Linotype" w:cs="Tahoma"/>
          <w:bCs/>
          <w:iCs/>
          <w:color w:val="000000"/>
          <w:sz w:val="22"/>
          <w:szCs w:val="24"/>
          <w:lang w:val="es-ES" w:eastAsia="es-MX"/>
        </w:rPr>
        <w:t xml:space="preserve">, </w:t>
      </w:r>
      <w:r w:rsidR="00233435">
        <w:rPr>
          <w:rFonts w:ascii="Palatino Linotype" w:eastAsia="Calibri" w:hAnsi="Palatino Linotype" w:cs="Tahoma"/>
          <w:bCs/>
          <w:iCs/>
          <w:color w:val="000000"/>
          <w:sz w:val="22"/>
          <w:szCs w:val="24"/>
          <w:lang w:val="es-ES" w:eastAsia="es-MX"/>
        </w:rPr>
        <w:t>estas fueron omisas en emitir manifestaciones o alegatos.</w:t>
      </w:r>
    </w:p>
    <w:p w14:paraId="58C88ABF" w14:textId="77777777" w:rsidR="00AB1D13" w:rsidRDefault="00AB1D13" w:rsidP="00AC5A6A">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58FD3818" w14:textId="4AB94CDB" w:rsidR="005D5C69" w:rsidRPr="000F746A" w:rsidRDefault="005D5C69" w:rsidP="00AC5A6A">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0C7E1F">
        <w:rPr>
          <w:rFonts w:ascii="Palatino Linotype" w:eastAsia="Calibri" w:hAnsi="Palatino Linotype" w:cs="Tahoma"/>
          <w:iCs/>
          <w:sz w:val="22"/>
          <w:szCs w:val="22"/>
          <w:lang w:val="es-ES" w:eastAsia="es-ES_tradnl"/>
        </w:rPr>
        <w:lastRenderedPageBreak/>
        <w:t>Lo anterior, se desprende de las documentales que obran en el expediente de referencia, materia de la presente resolución, consistente en: la solicitud de acceso a la información</w:t>
      </w:r>
      <w:r w:rsidR="00E90090">
        <w:rPr>
          <w:rFonts w:ascii="Palatino Linotype" w:eastAsia="Calibri" w:hAnsi="Palatino Linotype" w:cs="Tahoma"/>
          <w:iCs/>
          <w:sz w:val="22"/>
          <w:szCs w:val="22"/>
          <w:lang w:val="es-ES" w:eastAsia="es-ES_tradnl"/>
        </w:rPr>
        <w:t xml:space="preserve">; la respuesta entregada; </w:t>
      </w:r>
      <w:r>
        <w:rPr>
          <w:rFonts w:ascii="Palatino Linotype" w:eastAsia="Calibri" w:hAnsi="Palatino Linotype" w:cs="Tahoma"/>
          <w:iCs/>
          <w:sz w:val="22"/>
          <w:szCs w:val="22"/>
          <w:lang w:eastAsia="es-ES_tradnl"/>
        </w:rPr>
        <w:t>el</w:t>
      </w:r>
      <w:r w:rsidRPr="000C7E1F">
        <w:rPr>
          <w:rFonts w:ascii="Palatino Linotype" w:eastAsia="Calibri" w:hAnsi="Palatino Linotype" w:cs="Tahoma"/>
          <w:iCs/>
          <w:sz w:val="22"/>
          <w:szCs w:val="22"/>
          <w:lang w:eastAsia="es-ES_tradnl"/>
        </w:rPr>
        <w:t xml:space="preserve"> escrito recursal</w:t>
      </w:r>
      <w:r w:rsidR="00E90090">
        <w:rPr>
          <w:rFonts w:ascii="Palatino Linotype" w:eastAsia="Calibri" w:hAnsi="Palatino Linotype" w:cs="Tahoma"/>
          <w:iCs/>
          <w:sz w:val="22"/>
          <w:szCs w:val="22"/>
          <w:lang w:eastAsia="es-ES_tradnl"/>
        </w:rPr>
        <w:t xml:space="preserve"> y</w:t>
      </w:r>
      <w:r w:rsidR="00512DFD">
        <w:rPr>
          <w:rFonts w:ascii="Palatino Linotype" w:eastAsia="Calibri" w:hAnsi="Palatino Linotype" w:cs="Tahoma"/>
          <w:iCs/>
          <w:sz w:val="22"/>
          <w:szCs w:val="22"/>
          <w:lang w:eastAsia="es-ES_tradnl"/>
        </w:rPr>
        <w:t xml:space="preserve"> el </w:t>
      </w:r>
      <w:r w:rsidR="00E90090">
        <w:rPr>
          <w:rFonts w:ascii="Palatino Linotype" w:eastAsia="Calibri" w:hAnsi="Palatino Linotype" w:cs="Tahoma"/>
          <w:iCs/>
          <w:sz w:val="22"/>
          <w:szCs w:val="22"/>
          <w:lang w:eastAsia="es-ES_tradnl"/>
        </w:rPr>
        <w:t>Informe Justificado</w:t>
      </w:r>
      <w:r w:rsidRPr="000C7E1F">
        <w:rPr>
          <w:rFonts w:ascii="Palatino Linotype" w:eastAsia="Calibri" w:hAnsi="Palatino Linotype" w:cs="Tahoma"/>
          <w:iCs/>
          <w:sz w:val="22"/>
          <w:szCs w:val="22"/>
          <w:lang w:eastAsia="es-ES_tradnl"/>
        </w:rPr>
        <w:t xml:space="preserve">; </w:t>
      </w:r>
      <w:r w:rsidRPr="000C7E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055DD5E0" w14:textId="77777777" w:rsidR="005D5C69" w:rsidRPr="009B60E5" w:rsidRDefault="005D5C69" w:rsidP="00AC5A6A">
      <w:pPr>
        <w:tabs>
          <w:tab w:val="left" w:pos="4962"/>
        </w:tabs>
        <w:spacing w:line="360" w:lineRule="auto"/>
        <w:jc w:val="both"/>
        <w:rPr>
          <w:rFonts w:ascii="Palatino Linotype" w:eastAsia="Calibri" w:hAnsi="Palatino Linotype" w:cs="Tahoma"/>
          <w:bCs/>
          <w:sz w:val="22"/>
          <w:szCs w:val="22"/>
        </w:rPr>
      </w:pPr>
    </w:p>
    <w:p w14:paraId="7BE2AE17" w14:textId="77777777" w:rsidR="005D5C69" w:rsidRPr="00C938B6" w:rsidRDefault="005D5C69" w:rsidP="00AC5A6A">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423D9FA4" w14:textId="77777777" w:rsidR="005D5C69" w:rsidRPr="00C938B6" w:rsidRDefault="005D5C69" w:rsidP="00AC5A6A">
      <w:pPr>
        <w:autoSpaceDE w:val="0"/>
        <w:autoSpaceDN w:val="0"/>
        <w:adjustRightInd w:val="0"/>
        <w:spacing w:line="360" w:lineRule="auto"/>
        <w:jc w:val="both"/>
        <w:rPr>
          <w:rFonts w:ascii="Palatino Linotype" w:hAnsi="Palatino Linotype" w:cs="Tahoma"/>
          <w:bCs/>
          <w:iCs/>
          <w:sz w:val="22"/>
          <w:szCs w:val="22"/>
          <w:lang w:val="es-ES"/>
        </w:rPr>
      </w:pPr>
    </w:p>
    <w:p w14:paraId="46726E14" w14:textId="77777777" w:rsidR="00E90090" w:rsidRPr="00ED5C85" w:rsidRDefault="00E90090" w:rsidP="00AC5A6A">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EF5BF5F" w14:textId="77777777" w:rsidR="00E90090" w:rsidRPr="00ED5C85" w:rsidRDefault="00E90090" w:rsidP="00AC5A6A">
      <w:pPr>
        <w:spacing w:line="360" w:lineRule="auto"/>
        <w:jc w:val="both"/>
        <w:rPr>
          <w:rFonts w:ascii="Palatino Linotype" w:hAnsi="Palatino Linotype" w:cs="Tahoma"/>
          <w:sz w:val="22"/>
          <w:szCs w:val="22"/>
        </w:rPr>
      </w:pPr>
    </w:p>
    <w:p w14:paraId="24BB6BA4" w14:textId="77777777" w:rsidR="00E90090" w:rsidRPr="00ED5C85" w:rsidRDefault="00E90090" w:rsidP="00AC5A6A">
      <w:pPr>
        <w:spacing w:line="360" w:lineRule="auto"/>
        <w:jc w:val="both"/>
        <w:rPr>
          <w:rFonts w:ascii="Palatino Linotype" w:hAnsi="Palatino Linotype" w:cs="Tahoma"/>
          <w:sz w:val="22"/>
          <w:szCs w:val="22"/>
        </w:rPr>
      </w:pPr>
      <w:r w:rsidRPr="00ED5C85">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51D3B09" w14:textId="77777777" w:rsidR="00E90090" w:rsidRPr="00ED5C85" w:rsidRDefault="00E90090" w:rsidP="00AC5A6A">
      <w:pPr>
        <w:spacing w:line="360" w:lineRule="auto"/>
        <w:jc w:val="both"/>
        <w:rPr>
          <w:rFonts w:ascii="Palatino Linotype" w:hAnsi="Palatino Linotype" w:cs="Tahoma"/>
          <w:sz w:val="22"/>
          <w:szCs w:val="22"/>
        </w:rPr>
      </w:pPr>
    </w:p>
    <w:p w14:paraId="0D6E948D" w14:textId="77777777" w:rsidR="00E90090" w:rsidRPr="00ED5C85" w:rsidRDefault="00E90090" w:rsidP="00AC5A6A">
      <w:pPr>
        <w:spacing w:line="360" w:lineRule="auto"/>
        <w:jc w:val="both"/>
        <w:rPr>
          <w:rFonts w:ascii="Palatino Linotype" w:hAnsi="Palatino Linotype" w:cs="Tahoma"/>
          <w:sz w:val="22"/>
          <w:szCs w:val="22"/>
        </w:rPr>
      </w:pPr>
      <w:r w:rsidRPr="00ED5C8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6459540" w14:textId="77777777" w:rsidR="00E90090" w:rsidRPr="00ED5C85" w:rsidRDefault="00E90090" w:rsidP="00AC5A6A">
      <w:pPr>
        <w:spacing w:line="360" w:lineRule="auto"/>
        <w:jc w:val="both"/>
        <w:rPr>
          <w:rFonts w:ascii="Palatino Linotype" w:hAnsi="Palatino Linotype" w:cs="Tahoma"/>
          <w:sz w:val="22"/>
          <w:szCs w:val="22"/>
        </w:rPr>
      </w:pPr>
    </w:p>
    <w:p w14:paraId="167BA2A7" w14:textId="77777777" w:rsidR="00E90090" w:rsidRPr="00ED5C85" w:rsidRDefault="00E90090" w:rsidP="00AC5A6A">
      <w:pPr>
        <w:spacing w:line="360" w:lineRule="auto"/>
        <w:jc w:val="both"/>
        <w:rPr>
          <w:rFonts w:ascii="Palatino Linotype" w:hAnsi="Palatino Linotype" w:cs="Tahoma"/>
          <w:sz w:val="22"/>
          <w:szCs w:val="22"/>
        </w:rPr>
      </w:pPr>
      <w:r w:rsidRPr="00ED5C8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01B9173" w14:textId="77777777" w:rsidR="00E90090" w:rsidRPr="00ED5C85" w:rsidRDefault="00E90090" w:rsidP="00AC5A6A">
      <w:pPr>
        <w:spacing w:line="360" w:lineRule="auto"/>
        <w:jc w:val="both"/>
        <w:rPr>
          <w:rFonts w:ascii="Palatino Linotype" w:hAnsi="Palatino Linotype" w:cs="Tahoma"/>
          <w:sz w:val="22"/>
          <w:szCs w:val="22"/>
        </w:rPr>
      </w:pPr>
    </w:p>
    <w:p w14:paraId="5CA7A5C4" w14:textId="77777777" w:rsidR="00E90090" w:rsidRPr="00ED5C85" w:rsidRDefault="00E90090" w:rsidP="00AC5A6A">
      <w:pPr>
        <w:spacing w:line="360" w:lineRule="auto"/>
        <w:jc w:val="both"/>
        <w:rPr>
          <w:rFonts w:ascii="Palatino Linotype" w:hAnsi="Palatino Linotype" w:cs="Tahoma"/>
          <w:sz w:val="22"/>
          <w:szCs w:val="22"/>
        </w:rPr>
      </w:pPr>
      <w:r w:rsidRPr="00ED5C85">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268F4ADD" w14:textId="77777777" w:rsidR="00E90090" w:rsidRPr="00ED5C85" w:rsidRDefault="00E90090" w:rsidP="00AC5A6A">
      <w:pPr>
        <w:spacing w:line="360" w:lineRule="auto"/>
        <w:jc w:val="both"/>
        <w:rPr>
          <w:rFonts w:ascii="Palatino Linotype" w:hAnsi="Palatino Linotype" w:cs="Tahoma"/>
          <w:sz w:val="22"/>
          <w:szCs w:val="22"/>
        </w:rPr>
      </w:pPr>
    </w:p>
    <w:p w14:paraId="6237C105" w14:textId="77777777" w:rsidR="00E90090" w:rsidRPr="00ED5C85" w:rsidRDefault="00E90090" w:rsidP="00AC5A6A">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FF4DAA0" w14:textId="77777777" w:rsidR="00E90090" w:rsidRPr="00ED5C85" w:rsidRDefault="00E90090" w:rsidP="00AC5A6A">
      <w:pPr>
        <w:spacing w:line="360" w:lineRule="auto"/>
        <w:jc w:val="both"/>
        <w:rPr>
          <w:rFonts w:ascii="Palatino Linotype" w:hAnsi="Palatino Linotype" w:cs="Tahoma"/>
          <w:sz w:val="22"/>
          <w:szCs w:val="22"/>
        </w:rPr>
      </w:pPr>
    </w:p>
    <w:p w14:paraId="3F73DEA1" w14:textId="77777777" w:rsidR="00E90090" w:rsidRPr="00ED5C85" w:rsidRDefault="00E90090" w:rsidP="00AC5A6A">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B308A4C" w14:textId="77777777" w:rsidR="00E90090" w:rsidRPr="00ED5C85" w:rsidRDefault="00E90090" w:rsidP="00AC5A6A">
      <w:pPr>
        <w:spacing w:line="360" w:lineRule="auto"/>
        <w:jc w:val="both"/>
        <w:rPr>
          <w:rFonts w:ascii="Palatino Linotype" w:hAnsi="Palatino Linotype" w:cs="Tahoma"/>
          <w:iCs/>
          <w:sz w:val="22"/>
          <w:szCs w:val="22"/>
          <w:lang w:val="es-ES"/>
        </w:rPr>
      </w:pPr>
      <w:r w:rsidRPr="00ED5C85">
        <w:rPr>
          <w:rFonts w:ascii="Palatino Linotype" w:hAnsi="Palatino Linotype" w:cs="Tahoma"/>
          <w:iCs/>
          <w:sz w:val="22"/>
          <w:szCs w:val="22"/>
          <w:lang w:val="es-ES"/>
        </w:rPr>
        <w:t xml:space="preserve"> </w:t>
      </w:r>
    </w:p>
    <w:p w14:paraId="70366E35" w14:textId="7EF9EA7A" w:rsidR="00E90090" w:rsidRPr="00ED5C85" w:rsidRDefault="00E90090" w:rsidP="00AC5A6A">
      <w:pPr>
        <w:spacing w:line="360" w:lineRule="auto"/>
        <w:jc w:val="both"/>
        <w:rPr>
          <w:rFonts w:ascii="Palatino Linotype" w:eastAsia="Calibri" w:hAnsi="Palatino Linotype" w:cs="Tahoma"/>
          <w:sz w:val="22"/>
          <w:szCs w:val="22"/>
          <w:lang w:val="es-ES" w:eastAsia="es-ES_tradnl"/>
        </w:rPr>
      </w:pPr>
      <w:r w:rsidRPr="00ED5C85">
        <w:rPr>
          <w:rFonts w:ascii="Palatino Linotype" w:hAnsi="Palatino Linotype" w:cs="Tahoma"/>
          <w:sz w:val="22"/>
          <w:szCs w:val="22"/>
        </w:rPr>
        <w:t xml:space="preserve">El artículo 92, fracción VII, </w:t>
      </w:r>
      <w:r w:rsidRPr="00ED5C85">
        <w:rPr>
          <w:rFonts w:ascii="Palatino Linotype" w:eastAsia="Calibri" w:hAnsi="Palatino Linotype" w:cs="Tahoma"/>
          <w:sz w:val="22"/>
          <w:szCs w:val="22"/>
          <w:lang w:val="es-ES" w:eastAsia="es-ES_tradnl"/>
        </w:rPr>
        <w:t xml:space="preserve">que, la información sobre </w:t>
      </w:r>
      <w:r w:rsidR="00233435">
        <w:rPr>
          <w:rFonts w:ascii="Palatino Linotype" w:eastAsia="Calibri" w:hAnsi="Palatino Linotype" w:cs="Tahoma"/>
          <w:sz w:val="22"/>
          <w:szCs w:val="22"/>
          <w:lang w:val="es-ES" w:eastAsia="es-ES_tradnl"/>
        </w:rPr>
        <w:t>el Directorio de todos los servidores públicos</w:t>
      </w:r>
      <w:r w:rsidRPr="00ED5C85">
        <w:rPr>
          <w:rFonts w:ascii="Palatino Linotype" w:eastAsia="Calibri" w:hAnsi="Palatino Linotype" w:cs="Tahoma"/>
          <w:bCs/>
          <w:sz w:val="22"/>
          <w:szCs w:val="22"/>
          <w:lang w:val="es-ES" w:eastAsia="es-ES_tradnl"/>
        </w:rPr>
        <w:t>,</w:t>
      </w:r>
      <w:r w:rsidRPr="00ED5C85">
        <w:rPr>
          <w:rFonts w:ascii="Palatino Linotype" w:eastAsia="Calibri" w:hAnsi="Palatino Linotype" w:cs="Tahoma"/>
          <w:sz w:val="22"/>
          <w:szCs w:val="22"/>
          <w:lang w:val="es-ES" w:eastAsia="es-ES_tradnl"/>
        </w:rPr>
        <w:t xml:space="preserve"> corresponde a una Obligación Común de Transparencia para los Sujetos Obligados.</w:t>
      </w:r>
    </w:p>
    <w:p w14:paraId="34929C6B" w14:textId="77777777" w:rsidR="005D5C69" w:rsidRPr="00C938B6" w:rsidRDefault="005D5C69" w:rsidP="00AC5A6A">
      <w:pPr>
        <w:spacing w:line="360" w:lineRule="auto"/>
        <w:jc w:val="both"/>
        <w:rPr>
          <w:rFonts w:ascii="Palatino Linotype" w:hAnsi="Palatino Linotype" w:cs="Tahoma"/>
          <w:bCs/>
          <w:iCs/>
          <w:sz w:val="22"/>
          <w:szCs w:val="22"/>
        </w:rPr>
      </w:pPr>
    </w:p>
    <w:p w14:paraId="23F6CAC3" w14:textId="4FC1C502" w:rsidR="005D5C69" w:rsidRDefault="005D5C69" w:rsidP="00AC5A6A">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57AFB4B8" w14:textId="77777777" w:rsidR="00E90090" w:rsidRDefault="00E90090" w:rsidP="00AC5A6A">
      <w:pPr>
        <w:spacing w:line="360" w:lineRule="auto"/>
        <w:jc w:val="both"/>
        <w:rPr>
          <w:rFonts w:ascii="Palatino Linotype" w:hAnsi="Palatino Linotype" w:cs="Tahoma"/>
          <w:b/>
          <w:bCs/>
          <w:iCs/>
          <w:sz w:val="22"/>
          <w:szCs w:val="22"/>
          <w:lang w:val="es-ES"/>
        </w:rPr>
      </w:pPr>
    </w:p>
    <w:p w14:paraId="5B5DB2E6" w14:textId="5DD83404" w:rsidR="0070640D" w:rsidRDefault="008F01C6" w:rsidP="00AC5A6A">
      <w:pPr>
        <w:spacing w:line="360" w:lineRule="auto"/>
        <w:jc w:val="both"/>
        <w:rPr>
          <w:rFonts w:ascii="Palatino Linotype" w:hAnsi="Palatino Linotype" w:cs="Tahoma"/>
          <w:iCs/>
          <w:sz w:val="22"/>
          <w:szCs w:val="22"/>
          <w:lang w:val="es-ES"/>
        </w:rPr>
      </w:pPr>
      <w:r w:rsidRPr="008F01C6">
        <w:rPr>
          <w:rFonts w:ascii="Palatino Linotype" w:hAnsi="Palatino Linotype" w:cs="Tahoma"/>
          <w:iCs/>
          <w:sz w:val="22"/>
          <w:szCs w:val="22"/>
          <w:lang w:val="es-ES"/>
        </w:rPr>
        <w:t xml:space="preserve">Expuestas las posturas de las partes, se procede al análisis del agravio hecho valer por el ahora Recurrente, concerniente </w:t>
      </w:r>
      <w:r w:rsidR="00E90090">
        <w:rPr>
          <w:rFonts w:ascii="Palatino Linotype" w:hAnsi="Palatino Linotype" w:cs="Tahoma"/>
          <w:iCs/>
          <w:sz w:val="22"/>
          <w:szCs w:val="22"/>
          <w:lang w:val="es-ES"/>
        </w:rPr>
        <w:t>a la entrega de información que no corresponde con lo solicitado</w:t>
      </w:r>
      <w:r w:rsidR="003C5A64">
        <w:rPr>
          <w:rFonts w:ascii="Palatino Linotype" w:hAnsi="Palatino Linotype" w:cs="Tahoma"/>
          <w:iCs/>
          <w:sz w:val="22"/>
          <w:szCs w:val="22"/>
          <w:lang w:val="es-ES"/>
        </w:rPr>
        <w:t xml:space="preserve">; por lo que, de la revisión de las constancias que obran en el expediente, se logra vislumbrar </w:t>
      </w:r>
      <w:r w:rsidR="0070640D">
        <w:rPr>
          <w:rFonts w:ascii="Palatino Linotype" w:hAnsi="Palatino Linotype" w:cs="Tahoma"/>
          <w:iCs/>
          <w:sz w:val="22"/>
          <w:szCs w:val="22"/>
          <w:lang w:val="es-ES"/>
        </w:rPr>
        <w:t>que la pretensión del ahora Recurrente es obtener un listado con el nombre y área de adscripción de todos los servidores públicos que laboraban para el Ayuntamiento de Atenco, al primero de abril de dos mil veintidós.</w:t>
      </w:r>
    </w:p>
    <w:p w14:paraId="4374406B" w14:textId="77777777" w:rsidR="0070640D" w:rsidRDefault="0070640D" w:rsidP="00AC5A6A">
      <w:pPr>
        <w:spacing w:line="360" w:lineRule="auto"/>
        <w:jc w:val="both"/>
        <w:rPr>
          <w:rFonts w:ascii="Palatino Linotype" w:hAnsi="Palatino Linotype" w:cs="Tahoma"/>
          <w:iCs/>
          <w:sz w:val="22"/>
          <w:szCs w:val="22"/>
          <w:lang w:val="es-ES"/>
        </w:rPr>
      </w:pPr>
    </w:p>
    <w:p w14:paraId="58FCE008" w14:textId="33D8418C" w:rsidR="0070640D" w:rsidRPr="0070640D" w:rsidRDefault="0070640D" w:rsidP="0070640D">
      <w:pPr>
        <w:spacing w:line="360" w:lineRule="auto"/>
        <w:ind w:right="-28"/>
        <w:contextualSpacing/>
        <w:jc w:val="both"/>
        <w:rPr>
          <w:rFonts w:ascii="Palatino Linotype" w:eastAsia="Calibri" w:hAnsi="Palatino Linotype" w:cs="Tahoma"/>
          <w:color w:val="000000" w:themeColor="text1"/>
          <w:sz w:val="22"/>
          <w:szCs w:val="22"/>
          <w:lang w:eastAsia="en-US"/>
        </w:rPr>
      </w:pPr>
      <w:r w:rsidRPr="0070640D">
        <w:rPr>
          <w:rFonts w:ascii="Palatino Linotype" w:eastAsia="Calibri" w:hAnsi="Palatino Linotype" w:cs="Tahoma"/>
          <w:color w:val="000000" w:themeColor="text1"/>
          <w:sz w:val="22"/>
          <w:szCs w:val="22"/>
          <w:lang w:eastAsia="en-US"/>
        </w:rPr>
        <w:t xml:space="preserve">Ahora bien, de las constancias que obran en el expediente, se logra vislumbrar que el Ayuntamiento turno la solicitud de información a la </w:t>
      </w:r>
      <w:r w:rsidR="00A467DA">
        <w:rPr>
          <w:rFonts w:ascii="Palatino Linotype" w:eastAsia="Calibri" w:hAnsi="Palatino Linotype" w:cs="Tahoma"/>
          <w:color w:val="000000" w:themeColor="text1"/>
          <w:sz w:val="22"/>
          <w:szCs w:val="22"/>
          <w:lang w:eastAsia="en-US"/>
        </w:rPr>
        <w:t>Jefatura de Recursos Humanos</w:t>
      </w:r>
      <w:r w:rsidRPr="0070640D">
        <w:rPr>
          <w:rFonts w:ascii="Palatino Linotype" w:eastAsia="Calibri" w:hAnsi="Palatino Linotype" w:cs="Tahoma"/>
          <w:color w:val="000000" w:themeColor="text1"/>
          <w:sz w:val="22"/>
          <w:szCs w:val="22"/>
          <w:lang w:eastAsia="en-US"/>
        </w:rPr>
        <w:t xml:space="preserve">; por lo que, resulta necesario hacer referencia al procedimiento de búsqueda que debió seguir los </w:t>
      </w:r>
      <w:r w:rsidRPr="0070640D">
        <w:rPr>
          <w:rFonts w:ascii="Palatino Linotype" w:eastAsia="Calibri" w:hAnsi="Palatino Linotype" w:cs="Tahoma"/>
          <w:color w:val="000000" w:themeColor="text1"/>
          <w:sz w:val="22"/>
          <w:szCs w:val="22"/>
          <w:lang w:eastAsia="en-US"/>
        </w:rPr>
        <w:lastRenderedPageBreak/>
        <w:t>Sujetos Obligados para localizar la información, el cual se encuentra previsto en los artículos 160 y 162 de la Ley de Transparencia y Acceso a la Información Pública del Estado de México y Municipios, mismo que es el siguiente:</w:t>
      </w:r>
    </w:p>
    <w:p w14:paraId="782B804C" w14:textId="77777777" w:rsidR="0070640D" w:rsidRPr="0070640D" w:rsidRDefault="0070640D" w:rsidP="0070640D">
      <w:pPr>
        <w:spacing w:line="360" w:lineRule="auto"/>
        <w:ind w:right="-28"/>
        <w:contextualSpacing/>
        <w:jc w:val="both"/>
        <w:rPr>
          <w:rFonts w:ascii="Palatino Linotype" w:eastAsia="Calibri" w:hAnsi="Palatino Linotype" w:cs="Tahoma"/>
          <w:color w:val="000000" w:themeColor="text1"/>
          <w:sz w:val="22"/>
          <w:szCs w:val="22"/>
          <w:lang w:eastAsia="en-US"/>
        </w:rPr>
      </w:pPr>
    </w:p>
    <w:p w14:paraId="37E5EB4E" w14:textId="77777777" w:rsidR="0070640D" w:rsidRPr="0070640D" w:rsidRDefault="0070640D" w:rsidP="0070640D">
      <w:pPr>
        <w:numPr>
          <w:ilvl w:val="0"/>
          <w:numId w:val="26"/>
        </w:numPr>
        <w:spacing w:after="160" w:line="360" w:lineRule="auto"/>
        <w:ind w:right="-28"/>
        <w:contextualSpacing/>
        <w:jc w:val="both"/>
        <w:rPr>
          <w:rFonts w:ascii="Palatino Linotype" w:eastAsia="Calibri" w:hAnsi="Palatino Linotype" w:cs="Tahoma"/>
          <w:color w:val="000000" w:themeColor="text1"/>
          <w:sz w:val="22"/>
          <w:szCs w:val="24"/>
        </w:rPr>
      </w:pPr>
      <w:r w:rsidRPr="0070640D">
        <w:rPr>
          <w:rFonts w:ascii="Palatino Linotype" w:eastAsia="Calibri" w:hAnsi="Palatino Linotype" w:cs="Tahoma"/>
          <w:color w:val="000000" w:themeColor="text1"/>
          <w:sz w:val="22"/>
          <w:szCs w:val="24"/>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A80E761" w14:textId="77777777" w:rsidR="0070640D" w:rsidRPr="0070640D" w:rsidRDefault="0070640D" w:rsidP="0070640D">
      <w:pPr>
        <w:spacing w:line="360" w:lineRule="auto"/>
        <w:ind w:right="-28"/>
        <w:contextualSpacing/>
        <w:jc w:val="both"/>
        <w:rPr>
          <w:rFonts w:ascii="Palatino Linotype" w:eastAsia="Calibri" w:hAnsi="Palatino Linotype" w:cs="Tahoma"/>
          <w:color w:val="000000" w:themeColor="text1"/>
          <w:sz w:val="22"/>
          <w:szCs w:val="22"/>
          <w:lang w:eastAsia="en-US"/>
        </w:rPr>
      </w:pPr>
    </w:p>
    <w:p w14:paraId="0E393820" w14:textId="77777777" w:rsidR="0070640D" w:rsidRPr="0070640D" w:rsidRDefault="0070640D" w:rsidP="0070640D">
      <w:pPr>
        <w:numPr>
          <w:ilvl w:val="0"/>
          <w:numId w:val="26"/>
        </w:numPr>
        <w:spacing w:after="160" w:line="360" w:lineRule="auto"/>
        <w:ind w:right="-28"/>
        <w:contextualSpacing/>
        <w:jc w:val="both"/>
        <w:rPr>
          <w:rFonts w:ascii="Palatino Linotype" w:eastAsia="Calibri" w:hAnsi="Palatino Linotype" w:cs="Tahoma"/>
          <w:color w:val="000000" w:themeColor="text1"/>
          <w:sz w:val="22"/>
          <w:szCs w:val="24"/>
        </w:rPr>
      </w:pPr>
      <w:r w:rsidRPr="0070640D">
        <w:rPr>
          <w:rFonts w:ascii="Palatino Linotype" w:eastAsia="Calibri" w:hAnsi="Palatino Linotype" w:cs="Tahoma"/>
          <w:color w:val="000000" w:themeColor="text1"/>
          <w:sz w:val="22"/>
          <w:szCs w:val="24"/>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42AECD4" w14:textId="77777777" w:rsidR="0070640D" w:rsidRPr="0070640D" w:rsidRDefault="0070640D" w:rsidP="0070640D">
      <w:pPr>
        <w:spacing w:line="360" w:lineRule="auto"/>
        <w:ind w:right="-28"/>
        <w:contextualSpacing/>
        <w:jc w:val="both"/>
        <w:rPr>
          <w:rFonts w:ascii="Palatino Linotype" w:eastAsia="Calibri" w:hAnsi="Palatino Linotype" w:cs="Tahoma"/>
          <w:color w:val="000000" w:themeColor="text1"/>
          <w:sz w:val="22"/>
          <w:szCs w:val="22"/>
          <w:lang w:eastAsia="en-US"/>
        </w:rPr>
      </w:pPr>
    </w:p>
    <w:p w14:paraId="3EC141D1" w14:textId="2C042EBC" w:rsidR="0023678C" w:rsidRDefault="0070640D" w:rsidP="0070640D">
      <w:pPr>
        <w:spacing w:line="360" w:lineRule="auto"/>
        <w:ind w:right="-28"/>
        <w:contextualSpacing/>
        <w:jc w:val="both"/>
        <w:rPr>
          <w:rFonts w:ascii="Palatino Linotype" w:eastAsia="Calibri" w:hAnsi="Palatino Linotype" w:cs="Tahoma"/>
          <w:color w:val="000000" w:themeColor="text1"/>
          <w:sz w:val="22"/>
          <w:szCs w:val="22"/>
          <w:lang w:eastAsia="en-US"/>
        </w:rPr>
      </w:pPr>
      <w:r w:rsidRPr="0070640D">
        <w:rPr>
          <w:rFonts w:ascii="Palatino Linotype" w:eastAsia="Calibri" w:hAnsi="Palatino Linotype" w:cs="Tahoma"/>
          <w:color w:val="000000" w:themeColor="text1"/>
          <w:sz w:val="22"/>
          <w:szCs w:val="22"/>
          <w:lang w:eastAsia="en-US"/>
        </w:rPr>
        <w:t xml:space="preserve">Así, a efecto de determinar si el Sujeto Obligado cumplió con el procedimiento de búsqueda, resulta necesario traer a colación los artículos </w:t>
      </w:r>
      <w:r w:rsidR="0023678C">
        <w:rPr>
          <w:rFonts w:ascii="Palatino Linotype" w:eastAsia="Calibri" w:hAnsi="Palatino Linotype" w:cs="Tahoma"/>
          <w:color w:val="000000" w:themeColor="text1"/>
          <w:sz w:val="22"/>
          <w:szCs w:val="22"/>
          <w:lang w:eastAsia="en-US"/>
        </w:rPr>
        <w:t xml:space="preserve">112, 177 y 179, fracción I, del Bando Municipal de Atenco, dos mil veintidós, que precisan  que el Sujeto Obligado para el ejercicio de sus funciones, contará con diversas unidades administrativas, entre las cuales se encuentra la Jefatura de Recursos Humanos, adscrita a la Dirección de Administración, encargada de proporcionar y administrar los recursos humanos necesarios para la ejecución de las funciones con las que cuenta el Ayuntamiento. </w:t>
      </w:r>
    </w:p>
    <w:p w14:paraId="78626F1E" w14:textId="77777777" w:rsidR="0023678C" w:rsidRDefault="0023678C" w:rsidP="0070640D">
      <w:pPr>
        <w:spacing w:line="360" w:lineRule="auto"/>
        <w:ind w:right="-28"/>
        <w:contextualSpacing/>
        <w:jc w:val="both"/>
        <w:rPr>
          <w:rFonts w:ascii="Palatino Linotype" w:eastAsia="Calibri" w:hAnsi="Palatino Linotype" w:cs="Tahoma"/>
          <w:color w:val="000000" w:themeColor="text1"/>
          <w:sz w:val="22"/>
          <w:szCs w:val="22"/>
          <w:lang w:eastAsia="en-US"/>
        </w:rPr>
      </w:pPr>
    </w:p>
    <w:p w14:paraId="4A5073EA" w14:textId="7275351C" w:rsidR="0070640D" w:rsidRDefault="0070640D" w:rsidP="00562E9F">
      <w:pPr>
        <w:spacing w:line="360" w:lineRule="auto"/>
        <w:ind w:right="-28"/>
        <w:contextualSpacing/>
        <w:jc w:val="both"/>
        <w:rPr>
          <w:rFonts w:ascii="Palatino Linotype" w:hAnsi="Palatino Linotype" w:cs="Tahoma"/>
          <w:iCs/>
          <w:sz w:val="22"/>
          <w:szCs w:val="22"/>
          <w:lang w:val="es-ES"/>
        </w:rPr>
      </w:pPr>
      <w:r w:rsidRPr="0070640D">
        <w:rPr>
          <w:rFonts w:ascii="Palatino Linotype" w:eastAsia="Calibri" w:hAnsi="Palatino Linotype" w:cs="Tahoma"/>
          <w:color w:val="000000" w:themeColor="text1"/>
          <w:sz w:val="22"/>
          <w:szCs w:val="22"/>
          <w:lang w:eastAsia="en-US"/>
        </w:rPr>
        <w:t xml:space="preserve">De tal circunstancia, se logra colegir que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pues la </w:t>
      </w:r>
      <w:r w:rsidR="00562E9F">
        <w:rPr>
          <w:rFonts w:ascii="Palatino Linotype" w:eastAsia="Calibri" w:hAnsi="Palatino Linotype" w:cs="Tahoma"/>
          <w:color w:val="000000" w:themeColor="text1"/>
          <w:sz w:val="22"/>
          <w:szCs w:val="22"/>
          <w:lang w:eastAsia="en-US"/>
        </w:rPr>
        <w:t>Jefatura de Recursos Humanos</w:t>
      </w:r>
      <w:r w:rsidRPr="0070640D">
        <w:rPr>
          <w:rFonts w:ascii="Palatino Linotype" w:eastAsia="Calibri" w:hAnsi="Palatino Linotype" w:cs="Tahoma"/>
          <w:color w:val="000000" w:themeColor="text1"/>
          <w:sz w:val="22"/>
          <w:szCs w:val="22"/>
          <w:lang w:eastAsia="en-US"/>
        </w:rPr>
        <w:t xml:space="preserve">, se </w:t>
      </w:r>
      <w:r w:rsidRPr="0070640D">
        <w:rPr>
          <w:rFonts w:ascii="Palatino Linotype" w:eastAsia="Calibri" w:hAnsi="Palatino Linotype" w:cs="Tahoma"/>
          <w:color w:val="000000" w:themeColor="text1"/>
          <w:sz w:val="22"/>
          <w:szCs w:val="22"/>
          <w:lang w:eastAsia="en-US"/>
        </w:rPr>
        <w:lastRenderedPageBreak/>
        <w:t xml:space="preserve">encarga de ver todas las cuestiones relacionadas </w:t>
      </w:r>
      <w:r w:rsidR="00562E9F">
        <w:rPr>
          <w:rFonts w:ascii="Palatino Linotype" w:eastAsia="Calibri" w:hAnsi="Palatino Linotype" w:cs="Tahoma"/>
          <w:color w:val="000000" w:themeColor="text1"/>
          <w:sz w:val="22"/>
          <w:szCs w:val="22"/>
          <w:lang w:eastAsia="en-US"/>
        </w:rPr>
        <w:t>con el personal con el que cuenta el Ayuntamiento.</w:t>
      </w:r>
    </w:p>
    <w:p w14:paraId="45529C74" w14:textId="77777777" w:rsidR="0070640D" w:rsidRDefault="0070640D" w:rsidP="00AC5A6A">
      <w:pPr>
        <w:spacing w:line="360" w:lineRule="auto"/>
        <w:jc w:val="both"/>
        <w:rPr>
          <w:rFonts w:ascii="Palatino Linotype" w:hAnsi="Palatino Linotype" w:cs="Tahoma"/>
          <w:iCs/>
          <w:sz w:val="22"/>
          <w:szCs w:val="22"/>
          <w:lang w:val="es-ES"/>
        </w:rPr>
      </w:pPr>
    </w:p>
    <w:p w14:paraId="78495BAA" w14:textId="6B9F46A3"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color w:val="000000"/>
          <w:sz w:val="22"/>
          <w:szCs w:val="24"/>
          <w:lang w:eastAsia="es-MX"/>
        </w:rPr>
        <w:t xml:space="preserve">Ahora bien, en respuesta </w:t>
      </w:r>
      <w:r w:rsidR="004A17AE">
        <w:rPr>
          <w:rFonts w:ascii="Palatino Linotype" w:eastAsia="Calibri" w:hAnsi="Palatino Linotype" w:cs="Tahoma"/>
          <w:color w:val="000000"/>
          <w:sz w:val="22"/>
          <w:szCs w:val="24"/>
          <w:lang w:eastAsia="es-MX"/>
        </w:rPr>
        <w:t>el área en comento</w:t>
      </w:r>
      <w:r w:rsidRPr="00ED6F47">
        <w:rPr>
          <w:rFonts w:ascii="Palatino Linotype" w:eastAsia="Calibri" w:hAnsi="Palatino Linotype" w:cs="Tahoma"/>
          <w:color w:val="000000"/>
          <w:sz w:val="22"/>
          <w:szCs w:val="24"/>
          <w:lang w:eastAsia="es-MX"/>
        </w:rPr>
        <w:t xml:space="preserve">, proporcionó </w:t>
      </w:r>
      <w:r w:rsidR="004A17AE">
        <w:rPr>
          <w:rFonts w:ascii="Palatino Linotype" w:eastAsia="Calibri" w:hAnsi="Palatino Linotype" w:cs="Tahoma"/>
          <w:color w:val="000000"/>
          <w:sz w:val="22"/>
          <w:szCs w:val="24"/>
          <w:lang w:eastAsia="es-MX"/>
        </w:rPr>
        <w:t>una relación con el nombre y área de doscientos ochenta servidores públicos</w:t>
      </w:r>
      <w:r w:rsidRPr="00ED6F47">
        <w:rPr>
          <w:rFonts w:ascii="Palatino Linotype" w:eastAsia="Calibri" w:hAnsi="Palatino Linotype" w:cs="Tahoma"/>
          <w:color w:val="000000"/>
          <w:sz w:val="22"/>
          <w:szCs w:val="24"/>
          <w:lang w:eastAsia="es-MX"/>
        </w:rPr>
        <w:t>, tal como se observa a continuación:</w:t>
      </w:r>
    </w:p>
    <w:p w14:paraId="314E7F4C" w14:textId="77777777" w:rsidR="00ED6F47" w:rsidRPr="00ED6F47" w:rsidRDefault="00ED6F47" w:rsidP="00ED6F47">
      <w:pPr>
        <w:spacing w:line="360" w:lineRule="auto"/>
        <w:jc w:val="both"/>
        <w:rPr>
          <w:rFonts w:ascii="Palatino Linotype" w:eastAsia="Calibri" w:hAnsi="Palatino Linotype" w:cs="Tahoma"/>
          <w:color w:val="000000"/>
          <w:sz w:val="22"/>
          <w:szCs w:val="24"/>
          <w:lang w:eastAsia="es-MX"/>
        </w:rPr>
      </w:pPr>
    </w:p>
    <w:p w14:paraId="2B7647E0" w14:textId="51FE54C3" w:rsidR="00ED6F47" w:rsidRPr="00ED6F47" w:rsidRDefault="00F208AB" w:rsidP="00ED6F47">
      <w:pPr>
        <w:spacing w:line="360" w:lineRule="auto"/>
        <w:jc w:val="both"/>
        <w:rPr>
          <w:rFonts w:ascii="Palatino Linotype" w:eastAsia="Calibri" w:hAnsi="Palatino Linotype" w:cs="Tahoma"/>
          <w:color w:val="000000"/>
          <w:sz w:val="22"/>
          <w:szCs w:val="24"/>
          <w:lang w:eastAsia="es-MX"/>
        </w:rPr>
      </w:pPr>
      <w:r>
        <w:rPr>
          <w:noProof/>
          <w:lang w:eastAsia="es-MX"/>
        </w:rPr>
        <w:drawing>
          <wp:inline distT="0" distB="0" distL="0" distR="0" wp14:anchorId="2506AD4F" wp14:editId="0C337BD4">
            <wp:extent cx="5734050" cy="1819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4050" cy="1819275"/>
                    </a:xfrm>
                    <a:prstGeom prst="rect">
                      <a:avLst/>
                    </a:prstGeom>
                  </pic:spPr>
                </pic:pic>
              </a:graphicData>
            </a:graphic>
          </wp:inline>
        </w:drawing>
      </w:r>
    </w:p>
    <w:p w14:paraId="73B017DE" w14:textId="77777777" w:rsidR="00ED6F47" w:rsidRPr="00ED6F47" w:rsidRDefault="00ED6F47" w:rsidP="00ED6F47">
      <w:pPr>
        <w:spacing w:line="360" w:lineRule="auto"/>
        <w:jc w:val="both"/>
        <w:rPr>
          <w:rFonts w:ascii="Palatino Linotype" w:hAnsi="Palatino Linotype"/>
          <w:bCs/>
          <w:iCs/>
          <w:sz w:val="22"/>
          <w:lang w:val="es-ES"/>
        </w:rPr>
      </w:pPr>
    </w:p>
    <w:p w14:paraId="2B3F09B6" w14:textId="4DF8D978" w:rsidR="00ED6F47" w:rsidRPr="00ED6F47" w:rsidRDefault="00ED6F47" w:rsidP="006558F4">
      <w:pPr>
        <w:spacing w:line="360" w:lineRule="auto"/>
        <w:jc w:val="both"/>
        <w:rPr>
          <w:rFonts w:ascii="Palatino Linotype" w:hAnsi="Palatino Linotype"/>
          <w:bCs/>
          <w:iCs/>
          <w:color w:val="000000" w:themeColor="text1"/>
          <w:sz w:val="22"/>
          <w:lang w:val="es-ES"/>
        </w:rPr>
      </w:pPr>
      <w:r w:rsidRPr="00ED6F47">
        <w:rPr>
          <w:rFonts w:ascii="Palatino Linotype" w:hAnsi="Palatino Linotype"/>
          <w:bCs/>
          <w:iCs/>
          <w:sz w:val="22"/>
          <w:lang w:val="es-ES"/>
        </w:rPr>
        <w:t xml:space="preserve">Conforme a lo anterior, se logra vislumbrar que si bien, el Sujeto Obligado puso a disposición información relacionada con lo peticionado, </w:t>
      </w:r>
      <w:r w:rsidR="006558F4">
        <w:rPr>
          <w:rFonts w:ascii="Palatino Linotype" w:hAnsi="Palatino Linotype"/>
          <w:bCs/>
          <w:iCs/>
          <w:sz w:val="22"/>
          <w:lang w:val="es-ES"/>
        </w:rPr>
        <w:t xml:space="preserve">al contener el nombre y adscripción de algunos servidores públicos, lo cierto es que este Instituto no tiene certeza de que sea la información de todos los trabajadores, al no contener </w:t>
      </w:r>
      <w:r w:rsidRPr="00ED6F47">
        <w:rPr>
          <w:rFonts w:ascii="Palatino Linotype" w:hAnsi="Palatino Linotype"/>
          <w:bCs/>
          <w:iCs/>
          <w:color w:val="000000" w:themeColor="text1"/>
          <w:sz w:val="22"/>
          <w:lang w:val="es-ES"/>
        </w:rPr>
        <w:t>la información de los policías municipales</w:t>
      </w:r>
      <w:r w:rsidR="00966A19">
        <w:rPr>
          <w:rFonts w:ascii="Palatino Linotype" w:hAnsi="Palatino Linotype"/>
          <w:bCs/>
          <w:iCs/>
          <w:color w:val="000000" w:themeColor="text1"/>
          <w:sz w:val="22"/>
          <w:lang w:val="es-ES"/>
        </w:rPr>
        <w:t xml:space="preserve"> y personal operativo de la Dirección de Seguridad Pública, Centro de Mando y Monitoreo</w:t>
      </w:r>
      <w:r w:rsidRPr="00ED6F47">
        <w:rPr>
          <w:rFonts w:ascii="Palatino Linotype" w:hAnsi="Palatino Linotype"/>
          <w:bCs/>
          <w:iCs/>
          <w:color w:val="000000" w:themeColor="text1"/>
          <w:sz w:val="22"/>
          <w:lang w:val="es-ES"/>
        </w:rPr>
        <w:t>.</w:t>
      </w:r>
    </w:p>
    <w:p w14:paraId="2C644CFB" w14:textId="77777777" w:rsidR="00ED6F47" w:rsidRPr="00ED6F47" w:rsidRDefault="00ED6F47" w:rsidP="00ED6F47">
      <w:pPr>
        <w:spacing w:line="360" w:lineRule="auto"/>
        <w:jc w:val="both"/>
        <w:rPr>
          <w:rFonts w:ascii="Palatino Linotype" w:hAnsi="Palatino Linotype"/>
          <w:b/>
          <w:iCs/>
          <w:sz w:val="22"/>
          <w:lang w:val="es-ES"/>
        </w:rPr>
      </w:pPr>
    </w:p>
    <w:p w14:paraId="1EEA0610" w14:textId="04D654B3" w:rsidR="00ED6F47" w:rsidRPr="00ED6F47" w:rsidRDefault="00ED6F47" w:rsidP="00ED6F47">
      <w:pPr>
        <w:spacing w:line="360" w:lineRule="auto"/>
        <w:jc w:val="both"/>
        <w:rPr>
          <w:rFonts w:ascii="Palatino Linotype" w:hAnsi="Palatino Linotype"/>
          <w:bCs/>
          <w:iCs/>
          <w:sz w:val="22"/>
          <w:lang w:val="es-ES"/>
        </w:rPr>
      </w:pPr>
      <w:r w:rsidRPr="00ED6F47">
        <w:rPr>
          <w:rFonts w:ascii="Palatino Linotype" w:hAnsi="Palatino Linotype"/>
          <w:bCs/>
          <w:iCs/>
          <w:sz w:val="22"/>
          <w:lang w:val="es-ES"/>
        </w:rPr>
        <w:t xml:space="preserve">Así, se advierte que, si bien el Sujeto Obligado proporcionó información relacionada con lo peticionado, </w:t>
      </w:r>
      <w:r w:rsidR="006558F4">
        <w:rPr>
          <w:rFonts w:ascii="Palatino Linotype" w:hAnsi="Palatino Linotype"/>
          <w:bCs/>
          <w:iCs/>
          <w:sz w:val="22"/>
          <w:lang w:val="es-ES"/>
        </w:rPr>
        <w:t>se encuentra incompleta</w:t>
      </w:r>
      <w:r w:rsidRPr="00ED6F47">
        <w:rPr>
          <w:rFonts w:ascii="Palatino Linotype" w:hAnsi="Palatino Linotype"/>
          <w:bCs/>
          <w:iCs/>
          <w:sz w:val="22"/>
          <w:lang w:val="es-ES"/>
        </w:rPr>
        <w:t xml:space="preserve">, lo cual da como resultado que el agravio sea </w:t>
      </w:r>
      <w:r w:rsidR="006558F4" w:rsidRPr="006558F4">
        <w:rPr>
          <w:rFonts w:ascii="Palatino Linotype" w:hAnsi="Palatino Linotype"/>
          <w:b/>
          <w:bCs/>
          <w:iCs/>
          <w:sz w:val="22"/>
          <w:lang w:val="es-ES"/>
        </w:rPr>
        <w:t>PARCIALMENTE</w:t>
      </w:r>
      <w:r w:rsidR="006558F4">
        <w:rPr>
          <w:rFonts w:ascii="Palatino Linotype" w:hAnsi="Palatino Linotype"/>
          <w:bCs/>
          <w:iCs/>
          <w:sz w:val="22"/>
          <w:lang w:val="es-ES"/>
        </w:rPr>
        <w:t xml:space="preserve"> </w:t>
      </w:r>
      <w:r w:rsidRPr="00ED6F47">
        <w:rPr>
          <w:rFonts w:ascii="Palatino Linotype" w:hAnsi="Palatino Linotype"/>
          <w:b/>
          <w:iCs/>
          <w:sz w:val="22"/>
          <w:lang w:val="es-ES"/>
        </w:rPr>
        <w:t xml:space="preserve">FUNDADO; </w:t>
      </w:r>
      <w:r w:rsidRPr="00ED6F47">
        <w:rPr>
          <w:rFonts w:ascii="Palatino Linotype" w:hAnsi="Palatino Linotype"/>
          <w:bCs/>
          <w:iCs/>
          <w:sz w:val="22"/>
          <w:lang w:val="es-ES"/>
        </w:rPr>
        <w:t xml:space="preserve">por lo que, para atender el requerimiento de información, el Sujeto Obligado deberá realizar una búsqueda exhaustiva y razonable en los archivos del </w:t>
      </w:r>
      <w:r w:rsidR="00966A19">
        <w:rPr>
          <w:rFonts w:ascii="Palatino Linotype" w:hAnsi="Palatino Linotype"/>
          <w:bCs/>
          <w:iCs/>
          <w:sz w:val="22"/>
          <w:lang w:val="es-ES"/>
        </w:rPr>
        <w:t>Jefatura de Recursos Humanos</w:t>
      </w:r>
      <w:r w:rsidRPr="00ED6F47">
        <w:rPr>
          <w:rFonts w:ascii="Palatino Linotype" w:hAnsi="Palatino Linotype"/>
          <w:bCs/>
          <w:iCs/>
          <w:sz w:val="22"/>
          <w:lang w:val="es-ES"/>
        </w:rPr>
        <w:t>, en términos del artículo 162 de la Ley de Transparencia y Acceso a la Información Pública del Estado de México y Municipios, a efecto de que proporcione los docu</w:t>
      </w:r>
      <w:r w:rsidR="00966A19">
        <w:rPr>
          <w:rFonts w:ascii="Palatino Linotype" w:hAnsi="Palatino Linotype"/>
          <w:bCs/>
          <w:iCs/>
          <w:sz w:val="22"/>
          <w:lang w:val="es-ES"/>
        </w:rPr>
        <w:t>mentos donde conste el listado con el nombre y adscripción de</w:t>
      </w:r>
      <w:r w:rsidRPr="00ED6F47">
        <w:rPr>
          <w:rFonts w:ascii="Palatino Linotype" w:hAnsi="Palatino Linotype"/>
          <w:bCs/>
          <w:iCs/>
          <w:sz w:val="22"/>
          <w:lang w:val="es-ES"/>
        </w:rPr>
        <w:t xml:space="preserve"> todos los </w:t>
      </w:r>
      <w:r w:rsidRPr="00ED6F47">
        <w:rPr>
          <w:rFonts w:ascii="Palatino Linotype" w:hAnsi="Palatino Linotype"/>
          <w:bCs/>
          <w:iCs/>
          <w:sz w:val="22"/>
          <w:lang w:val="es-ES"/>
        </w:rPr>
        <w:lastRenderedPageBreak/>
        <w:t xml:space="preserve">servidores públicos adscritos al Ayuntamiento de Metepec, </w:t>
      </w:r>
      <w:r w:rsidR="00966A19">
        <w:rPr>
          <w:rFonts w:ascii="Palatino Linotype" w:hAnsi="Palatino Linotype"/>
          <w:bCs/>
          <w:iCs/>
          <w:sz w:val="22"/>
          <w:lang w:val="es-ES"/>
        </w:rPr>
        <w:t>al primero de abril de dos mil veintidós.</w:t>
      </w:r>
    </w:p>
    <w:p w14:paraId="12F7553A" w14:textId="77777777" w:rsidR="00ED6F47" w:rsidRPr="00ED6F47" w:rsidRDefault="00ED6F47" w:rsidP="00ED6F47">
      <w:pPr>
        <w:spacing w:line="360" w:lineRule="auto"/>
        <w:jc w:val="both"/>
        <w:rPr>
          <w:rFonts w:ascii="Palatino Linotype" w:hAnsi="Palatino Linotype"/>
          <w:bCs/>
          <w:iCs/>
          <w:sz w:val="22"/>
          <w:lang w:val="es-ES"/>
        </w:rPr>
      </w:pPr>
    </w:p>
    <w:p w14:paraId="358D5B80" w14:textId="77777777" w:rsidR="00ED6F47" w:rsidRPr="00ED6F47" w:rsidRDefault="00ED6F47" w:rsidP="00ED6F47">
      <w:pPr>
        <w:spacing w:line="360" w:lineRule="auto"/>
        <w:ind w:right="-93"/>
        <w:jc w:val="both"/>
        <w:rPr>
          <w:rFonts w:ascii="Palatino Linotype" w:hAnsi="Palatino Linotype"/>
          <w:sz w:val="22"/>
          <w:szCs w:val="22"/>
        </w:rPr>
      </w:pPr>
      <w:r w:rsidRPr="00ED6F47">
        <w:rPr>
          <w:rFonts w:ascii="Palatino Linotype" w:hAnsi="Palatino Linotype"/>
          <w:bCs/>
          <w:iCs/>
          <w:sz w:val="22"/>
          <w:szCs w:val="22"/>
        </w:rPr>
        <w:t>Dicha situación toma sustento en</w:t>
      </w:r>
      <w:r w:rsidRPr="00ED6F47">
        <w:rPr>
          <w:rFonts w:ascii="Palatino Linotype" w:hAnsi="Palatino Linotype"/>
          <w:bCs/>
          <w:sz w:val="22"/>
          <w:szCs w:val="22"/>
        </w:rPr>
        <w:t xml:space="preserve"> el</w:t>
      </w:r>
      <w:r w:rsidRPr="00ED6F47">
        <w:rPr>
          <w:rFonts w:ascii="Palatino Linotype" w:hAnsi="Palatino Linotype"/>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AFC17A4" w14:textId="77777777" w:rsidR="00ED6F47" w:rsidRPr="00ED6F47" w:rsidRDefault="00ED6F47" w:rsidP="00ED6F47">
      <w:pPr>
        <w:spacing w:line="360" w:lineRule="auto"/>
        <w:ind w:right="-93"/>
        <w:jc w:val="both"/>
        <w:rPr>
          <w:rFonts w:ascii="Palatino Linotype" w:hAnsi="Palatino Linotype"/>
          <w:sz w:val="22"/>
          <w:szCs w:val="22"/>
        </w:rPr>
      </w:pPr>
    </w:p>
    <w:p w14:paraId="0423B5C4" w14:textId="77777777" w:rsidR="00ED6F47" w:rsidRPr="00ED6F47" w:rsidRDefault="00ED6F47" w:rsidP="00ED6F47">
      <w:pPr>
        <w:spacing w:line="360" w:lineRule="auto"/>
        <w:ind w:right="-93"/>
        <w:jc w:val="both"/>
        <w:rPr>
          <w:rFonts w:ascii="Palatino Linotype" w:hAnsi="Palatino Linotype"/>
          <w:sz w:val="22"/>
          <w:szCs w:val="22"/>
        </w:rPr>
      </w:pPr>
      <w:r w:rsidRPr="00ED6F47">
        <w:rPr>
          <w:rFonts w:ascii="Palatino Linotype" w:hAnsi="Palatino Linotype"/>
          <w:sz w:val="22"/>
          <w:szCs w:val="22"/>
        </w:rPr>
        <w:t xml:space="preserve">De esta manera, </w:t>
      </w:r>
      <w:r w:rsidRPr="00ED6F47">
        <w:rPr>
          <w:rFonts w:ascii="Palatino Linotype" w:hAnsi="Palatino Linotype"/>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ED6F47">
        <w:rPr>
          <w:rFonts w:ascii="Palatino Linotype" w:hAnsi="Palatino Linotype"/>
          <w:i/>
          <w:sz w:val="22"/>
          <w:szCs w:val="22"/>
        </w:rPr>
        <w:t>ad hoc</w:t>
      </w:r>
      <w:r w:rsidRPr="00ED6F47">
        <w:rPr>
          <w:rFonts w:ascii="Palatino Linotype" w:hAnsi="Palatino Linotype"/>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6900C2BE" w14:textId="77777777" w:rsidR="00ED6F47" w:rsidRPr="00ED6F47" w:rsidRDefault="00ED6F47" w:rsidP="00ED6F47">
      <w:pPr>
        <w:spacing w:line="360" w:lineRule="auto"/>
        <w:ind w:right="-93"/>
        <w:jc w:val="both"/>
        <w:rPr>
          <w:rFonts w:ascii="Palatino Linotype" w:hAnsi="Palatino Linotype"/>
          <w:sz w:val="22"/>
          <w:szCs w:val="22"/>
        </w:rPr>
      </w:pPr>
    </w:p>
    <w:p w14:paraId="5D3BE91C" w14:textId="77777777" w:rsidR="00ED6F47" w:rsidRPr="00ED6F47" w:rsidRDefault="00ED6F47" w:rsidP="00ED6F47">
      <w:pPr>
        <w:spacing w:line="360" w:lineRule="auto"/>
        <w:jc w:val="both"/>
        <w:rPr>
          <w:rFonts w:ascii="Palatino Linotype" w:hAnsi="Palatino Linotype" w:cs="Tahoma"/>
          <w:b/>
          <w:sz w:val="22"/>
          <w:szCs w:val="22"/>
          <w:lang w:val="es-ES_tradnl"/>
        </w:rPr>
      </w:pPr>
      <w:r w:rsidRPr="00ED6F47">
        <w:rPr>
          <w:rFonts w:ascii="Palatino Linotype" w:hAnsi="Palatino Linotype"/>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proporcionar el documento donde conste la nómina de todos los servidores públicos adscritos al Ayuntamiento de Metepec, de la primera quincena de enero de dos mil veintiuno.</w:t>
      </w:r>
    </w:p>
    <w:p w14:paraId="5E6ABB33" w14:textId="77777777" w:rsidR="00ED6F47" w:rsidRPr="00ED6F47" w:rsidRDefault="00ED6F47" w:rsidP="00ED6F47">
      <w:pPr>
        <w:spacing w:line="360" w:lineRule="auto"/>
        <w:jc w:val="both"/>
        <w:rPr>
          <w:rFonts w:ascii="Palatino Linotype" w:eastAsia="Calibri" w:hAnsi="Palatino Linotype" w:cs="Tahoma"/>
          <w:color w:val="000000"/>
          <w:sz w:val="22"/>
          <w:szCs w:val="24"/>
          <w:lang w:eastAsia="es-MX"/>
        </w:rPr>
      </w:pPr>
    </w:p>
    <w:p w14:paraId="3F9C802C" w14:textId="0AB08879" w:rsidR="00ED6F47" w:rsidRPr="00ED6F47" w:rsidRDefault="00ED6F47" w:rsidP="00ED6F47">
      <w:pPr>
        <w:spacing w:line="360" w:lineRule="auto"/>
        <w:ind w:right="-93"/>
        <w:jc w:val="both"/>
        <w:rPr>
          <w:rFonts w:ascii="Palatino Linotype" w:eastAsiaTheme="minorHAnsi" w:hAnsi="Palatino Linotype" w:cs="Tahoma"/>
          <w:bCs/>
          <w:color w:val="000000" w:themeColor="text1"/>
          <w:sz w:val="22"/>
          <w:szCs w:val="22"/>
          <w:lang w:val="es-ES_tradnl" w:eastAsia="en-US"/>
        </w:rPr>
      </w:pPr>
      <w:r w:rsidRPr="00ED6F47">
        <w:rPr>
          <w:rFonts w:ascii="Palatino Linotype" w:eastAsiaTheme="minorHAnsi" w:hAnsi="Palatino Linotype" w:cs="Tahoma"/>
          <w:bCs/>
          <w:color w:val="000000" w:themeColor="text1"/>
          <w:sz w:val="22"/>
          <w:szCs w:val="22"/>
          <w:lang w:val="es-ES_tradnl" w:eastAsia="en-US"/>
        </w:rPr>
        <w:t>Ahora bien, no pasa desapercibido,</w:t>
      </w:r>
      <w:r w:rsidR="001D1AD6">
        <w:rPr>
          <w:rFonts w:ascii="Palatino Linotype" w:eastAsiaTheme="minorHAnsi" w:hAnsi="Palatino Linotype" w:cs="Tahoma"/>
          <w:bCs/>
          <w:color w:val="000000" w:themeColor="text1"/>
          <w:sz w:val="22"/>
          <w:szCs w:val="22"/>
          <w:lang w:val="es-ES_tradnl" w:eastAsia="en-US"/>
        </w:rPr>
        <w:t xml:space="preserve"> que conforme a los artículos </w:t>
      </w:r>
      <w:r w:rsidR="001D1AD6" w:rsidRPr="001D1AD6">
        <w:rPr>
          <w:rFonts w:ascii="Palatino Linotype" w:eastAsiaTheme="minorHAnsi" w:hAnsi="Palatino Linotype" w:cs="Tahoma"/>
          <w:bCs/>
          <w:color w:val="000000" w:themeColor="text1"/>
          <w:sz w:val="22"/>
          <w:szCs w:val="22"/>
          <w:lang w:eastAsia="en-US"/>
        </w:rPr>
        <w:t xml:space="preserve">112, </w:t>
      </w:r>
      <w:r w:rsidR="001D1AD6">
        <w:rPr>
          <w:rFonts w:ascii="Palatino Linotype" w:eastAsiaTheme="minorHAnsi" w:hAnsi="Palatino Linotype" w:cs="Tahoma"/>
          <w:bCs/>
          <w:color w:val="000000" w:themeColor="text1"/>
          <w:sz w:val="22"/>
          <w:szCs w:val="22"/>
          <w:lang w:eastAsia="en-US"/>
        </w:rPr>
        <w:t>368</w:t>
      </w:r>
      <w:r w:rsidR="00121B1D">
        <w:rPr>
          <w:rFonts w:ascii="Palatino Linotype" w:eastAsiaTheme="minorHAnsi" w:hAnsi="Palatino Linotype" w:cs="Tahoma"/>
          <w:bCs/>
          <w:color w:val="000000" w:themeColor="text1"/>
          <w:sz w:val="22"/>
          <w:szCs w:val="22"/>
          <w:lang w:eastAsia="en-US"/>
        </w:rPr>
        <w:t xml:space="preserve">, 369 y 37, </w:t>
      </w:r>
      <w:r w:rsidR="001D1AD6" w:rsidRPr="001D1AD6">
        <w:rPr>
          <w:rFonts w:ascii="Palatino Linotype" w:eastAsiaTheme="minorHAnsi" w:hAnsi="Palatino Linotype" w:cs="Tahoma"/>
          <w:bCs/>
          <w:color w:val="000000" w:themeColor="text1"/>
          <w:sz w:val="22"/>
          <w:szCs w:val="22"/>
          <w:lang w:eastAsia="en-US"/>
        </w:rPr>
        <w:t>del Bando Municipal de Atenco, dos mil veintidós</w:t>
      </w:r>
      <w:r w:rsidRPr="00ED6F47">
        <w:rPr>
          <w:rFonts w:ascii="Palatino Linotype" w:eastAsiaTheme="minorHAnsi" w:hAnsi="Palatino Linotype" w:cs="Tahoma"/>
          <w:bCs/>
          <w:color w:val="000000" w:themeColor="text1"/>
          <w:sz w:val="22"/>
          <w:szCs w:val="22"/>
          <w:lang w:val="es-ES_tradnl" w:eastAsia="en-US"/>
        </w:rPr>
        <w:t>, el Sujeto Obligado cuenta con una Dirección de Seguridad Pública</w:t>
      </w:r>
      <w:r w:rsidR="00121B1D">
        <w:rPr>
          <w:rFonts w:ascii="Palatino Linotype" w:eastAsiaTheme="minorHAnsi" w:hAnsi="Palatino Linotype" w:cs="Tahoma"/>
          <w:bCs/>
          <w:color w:val="000000" w:themeColor="text1"/>
          <w:sz w:val="22"/>
          <w:szCs w:val="22"/>
          <w:lang w:val="es-ES_tradnl" w:eastAsia="en-US"/>
        </w:rPr>
        <w:t>, Centro de Mando y Monitoreo</w:t>
      </w:r>
      <w:r w:rsidRPr="00ED6F47">
        <w:rPr>
          <w:rFonts w:ascii="Palatino Linotype" w:eastAsiaTheme="minorHAnsi" w:hAnsi="Palatino Linotype" w:cs="Tahoma"/>
          <w:bCs/>
          <w:color w:val="000000" w:themeColor="text1"/>
          <w:sz w:val="22"/>
          <w:szCs w:val="22"/>
          <w:lang w:val="es-ES_tradnl" w:eastAsia="en-US"/>
        </w:rPr>
        <w:t xml:space="preserve">, encargada de </w:t>
      </w:r>
      <w:r w:rsidR="00121B1D" w:rsidRPr="00121B1D">
        <w:rPr>
          <w:rFonts w:ascii="Palatino Linotype" w:eastAsiaTheme="minorHAnsi" w:hAnsi="Palatino Linotype" w:cs="Tahoma"/>
          <w:bCs/>
          <w:color w:val="000000" w:themeColor="text1"/>
          <w:sz w:val="22"/>
          <w:szCs w:val="22"/>
          <w:lang w:eastAsia="en-US"/>
        </w:rPr>
        <w:t>asegurar el pleno goce de las garantías individuales y sociales, la paz, la tranquilidad y el orden público dentro del territorio municipal, así como prevenir la comisión de delitos y violación de</w:t>
      </w:r>
      <w:r w:rsidR="00121B1D">
        <w:rPr>
          <w:rFonts w:ascii="Palatino Linotype" w:eastAsiaTheme="minorHAnsi" w:hAnsi="Palatino Linotype" w:cs="Tahoma"/>
          <w:bCs/>
          <w:color w:val="000000" w:themeColor="text1"/>
          <w:sz w:val="22"/>
          <w:szCs w:val="22"/>
          <w:lang w:eastAsia="en-US"/>
        </w:rPr>
        <w:t xml:space="preserve"> la normatividad</w:t>
      </w:r>
      <w:r w:rsidRPr="00ED6F47">
        <w:rPr>
          <w:rFonts w:ascii="Palatino Linotype" w:eastAsiaTheme="minorHAnsi" w:hAnsi="Palatino Linotype" w:cs="Tahoma"/>
          <w:bCs/>
          <w:color w:val="000000" w:themeColor="text1"/>
          <w:sz w:val="22"/>
          <w:szCs w:val="22"/>
          <w:lang w:val="es-ES_tradnl" w:eastAsia="en-US"/>
        </w:rPr>
        <w:t xml:space="preserve">; por lo que, </w:t>
      </w:r>
      <w:r w:rsidRPr="00ED6F47">
        <w:rPr>
          <w:rFonts w:ascii="Palatino Linotype" w:eastAsiaTheme="minorHAnsi" w:hAnsi="Palatino Linotype" w:cs="Tahoma"/>
          <w:bCs/>
          <w:color w:val="000000" w:themeColor="text1"/>
          <w:sz w:val="22"/>
          <w:szCs w:val="22"/>
          <w:lang w:val="es-ES_tradnl" w:eastAsia="en-US"/>
        </w:rPr>
        <w:lastRenderedPageBreak/>
        <w:t>este Instituto considera que en dicha área existen servidores públicos que realizan funciones operativas en materia de seguridad pública.</w:t>
      </w:r>
    </w:p>
    <w:p w14:paraId="71EE005B" w14:textId="77777777" w:rsidR="00ED6F47" w:rsidRPr="00ED6F47" w:rsidRDefault="00ED6F47" w:rsidP="00ED6F47">
      <w:pPr>
        <w:spacing w:line="360" w:lineRule="auto"/>
        <w:ind w:right="-93"/>
        <w:jc w:val="both"/>
        <w:rPr>
          <w:rFonts w:ascii="Palatino Linotype" w:eastAsiaTheme="minorHAnsi" w:hAnsi="Palatino Linotype" w:cs="Tahoma"/>
          <w:bCs/>
          <w:color w:val="000000" w:themeColor="text1"/>
          <w:sz w:val="22"/>
          <w:szCs w:val="22"/>
          <w:lang w:val="es-ES_tradnl" w:eastAsia="en-US"/>
        </w:rPr>
      </w:pPr>
    </w:p>
    <w:p w14:paraId="5290A43C" w14:textId="77777777" w:rsidR="00ED6F47" w:rsidRPr="00ED6F47" w:rsidRDefault="00ED6F47" w:rsidP="00ED6F47">
      <w:pPr>
        <w:spacing w:line="360" w:lineRule="auto"/>
        <w:jc w:val="both"/>
        <w:rPr>
          <w:rFonts w:ascii="Palatino Linotype" w:eastAsia="Calibri" w:hAnsi="Palatino Linotype"/>
          <w:sz w:val="22"/>
        </w:rPr>
      </w:pPr>
      <w:r w:rsidRPr="00ED6F47">
        <w:rPr>
          <w:rFonts w:ascii="Palatino Linotype" w:eastAsia="Calibri" w:hAnsi="Palatino Linotype"/>
          <w:sz w:val="22"/>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11F97155" w14:textId="77777777" w:rsidR="00ED6F47" w:rsidRPr="00ED6F47" w:rsidRDefault="00ED6F47" w:rsidP="00ED6F47">
      <w:pPr>
        <w:spacing w:line="360" w:lineRule="auto"/>
        <w:jc w:val="both"/>
        <w:rPr>
          <w:rFonts w:ascii="Palatino Linotype" w:hAnsi="Palatino Linotype" w:cs="Tahoma"/>
          <w:sz w:val="22"/>
          <w:szCs w:val="22"/>
        </w:rPr>
      </w:pPr>
    </w:p>
    <w:p w14:paraId="297D940F" w14:textId="77777777" w:rsidR="00ED6F47" w:rsidRPr="00ED6F47" w:rsidRDefault="00ED6F47" w:rsidP="00ED6F47">
      <w:pPr>
        <w:tabs>
          <w:tab w:val="left" w:pos="4962"/>
        </w:tabs>
        <w:spacing w:line="360" w:lineRule="auto"/>
        <w:ind w:left="567" w:right="567"/>
        <w:jc w:val="both"/>
        <w:rPr>
          <w:rFonts w:ascii="Palatino Linotype" w:eastAsia="Calibri" w:hAnsi="Palatino Linotype" w:cs="Tahoma"/>
          <w:i/>
          <w:iCs/>
          <w:lang w:val="es-ES" w:eastAsia="es-ES_tradnl"/>
        </w:rPr>
      </w:pPr>
      <w:r w:rsidRPr="00ED6F47">
        <w:rPr>
          <w:rFonts w:ascii="Palatino Linotype" w:eastAsia="Calibri" w:hAnsi="Palatino Linotype" w:cs="Tahoma"/>
          <w:i/>
          <w:iCs/>
          <w:lang w:val="es-ES" w:eastAsia="es-ES_tradnl"/>
        </w:rPr>
        <w:t>“</w:t>
      </w:r>
      <w:r w:rsidRPr="00ED6F47">
        <w:rPr>
          <w:rFonts w:ascii="Palatino Linotype" w:eastAsia="Calibri" w:hAnsi="Palatino Linotype" w:cs="Tahoma"/>
          <w:b/>
          <w:i/>
          <w:iCs/>
          <w:lang w:val="es-ES" w:eastAsia="es-ES_tradnl"/>
        </w:rPr>
        <w:t>Artículo 140.</w:t>
      </w:r>
      <w:r w:rsidRPr="00ED6F4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51A5D68B" w14:textId="77777777" w:rsidR="00ED6F47" w:rsidRPr="00ED6F47" w:rsidRDefault="00ED6F47" w:rsidP="00ED6F47">
      <w:pPr>
        <w:tabs>
          <w:tab w:val="left" w:pos="4962"/>
        </w:tabs>
        <w:spacing w:line="360" w:lineRule="auto"/>
        <w:ind w:left="567" w:right="567"/>
        <w:jc w:val="both"/>
        <w:rPr>
          <w:rFonts w:ascii="Palatino Linotype" w:eastAsia="Calibri" w:hAnsi="Palatino Linotype" w:cs="Tahoma"/>
          <w:i/>
          <w:iCs/>
          <w:lang w:val="es-ES" w:eastAsia="es-ES_tradnl"/>
        </w:rPr>
      </w:pPr>
      <w:r w:rsidRPr="00ED6F47">
        <w:rPr>
          <w:rFonts w:ascii="Palatino Linotype" w:eastAsia="Calibri" w:hAnsi="Palatino Linotype" w:cs="Tahoma"/>
          <w:i/>
          <w:iCs/>
          <w:lang w:val="es-ES" w:eastAsia="es-ES_tradnl"/>
        </w:rPr>
        <w:t>…</w:t>
      </w:r>
    </w:p>
    <w:p w14:paraId="62247D31" w14:textId="77777777" w:rsidR="00ED6F47" w:rsidRPr="00ED6F47" w:rsidRDefault="00ED6F47" w:rsidP="00ED6F47">
      <w:pPr>
        <w:tabs>
          <w:tab w:val="left" w:pos="4962"/>
        </w:tabs>
        <w:spacing w:line="360" w:lineRule="auto"/>
        <w:ind w:left="567" w:right="567"/>
        <w:jc w:val="both"/>
        <w:rPr>
          <w:rFonts w:ascii="Palatino Linotype" w:eastAsia="Calibri" w:hAnsi="Palatino Linotype" w:cs="Tahoma"/>
          <w:i/>
          <w:iCs/>
          <w:lang w:eastAsia="es-ES_tradnl"/>
        </w:rPr>
      </w:pPr>
      <w:r w:rsidRPr="00ED6F47">
        <w:rPr>
          <w:rFonts w:ascii="Palatino Linotype" w:eastAsia="Calibri" w:hAnsi="Palatino Linotype" w:cs="Tahoma"/>
          <w:i/>
          <w:iCs/>
          <w:lang w:eastAsia="es-ES_tradnl"/>
        </w:rPr>
        <w:t>IV. Ponga en riesgo la vida, la seguridad o la salud de una persona física;</w:t>
      </w:r>
    </w:p>
    <w:p w14:paraId="2CE3B3D1" w14:textId="77777777" w:rsidR="00ED6F47" w:rsidRPr="00ED6F47" w:rsidRDefault="00ED6F47" w:rsidP="00ED6F47">
      <w:pPr>
        <w:tabs>
          <w:tab w:val="left" w:pos="4962"/>
        </w:tabs>
        <w:spacing w:line="360" w:lineRule="auto"/>
        <w:ind w:left="567" w:right="567"/>
        <w:jc w:val="both"/>
        <w:rPr>
          <w:rFonts w:ascii="Palatino Linotype" w:eastAsia="Calibri" w:hAnsi="Palatino Linotype" w:cs="Tahoma"/>
          <w:i/>
          <w:iCs/>
          <w:lang w:val="es-ES" w:eastAsia="es-ES_tradnl"/>
        </w:rPr>
      </w:pPr>
      <w:r w:rsidRPr="00ED6F47">
        <w:rPr>
          <w:rFonts w:ascii="Palatino Linotype" w:eastAsia="Calibri" w:hAnsi="Palatino Linotype" w:cs="Tahoma"/>
          <w:i/>
          <w:iCs/>
          <w:lang w:val="es-ES" w:eastAsia="es-ES_tradnl"/>
        </w:rPr>
        <w:t xml:space="preserve">…” </w:t>
      </w:r>
    </w:p>
    <w:p w14:paraId="36762BCC"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6E7B06E6"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ED6F47">
        <w:rPr>
          <w:rFonts w:ascii="Palatino Linotype" w:eastAsia="Calibri" w:hAnsi="Palatino Linotype" w:cs="Tahoma"/>
          <w:bCs/>
          <w:sz w:val="22"/>
          <w:szCs w:val="22"/>
          <w:lang w:val="es-ES" w:eastAsia="en-US"/>
        </w:rPr>
        <w:t>Lineamientos Generales,</w:t>
      </w:r>
      <w:r w:rsidRPr="00ED6F47">
        <w:rPr>
          <w:rFonts w:ascii="Palatino Linotype" w:eastAsia="Calibri" w:hAnsi="Palatino Linotype" w:cs="Tahoma"/>
          <w:bCs/>
          <w:sz w:val="22"/>
          <w:szCs w:val="22"/>
          <w:lang w:eastAsia="en-US"/>
        </w:rPr>
        <w:t xml:space="preserve"> establecen lo siguiente:</w:t>
      </w:r>
    </w:p>
    <w:p w14:paraId="00C4A4F0"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12F83693" w14:textId="77777777" w:rsidR="00ED6F47" w:rsidRPr="00ED6F47" w:rsidRDefault="00ED6F47" w:rsidP="00ED6F47">
      <w:pPr>
        <w:spacing w:line="360" w:lineRule="auto"/>
        <w:ind w:left="567" w:right="567"/>
        <w:jc w:val="both"/>
        <w:rPr>
          <w:rFonts w:ascii="Palatino Linotype" w:eastAsia="Calibri" w:hAnsi="Palatino Linotype" w:cs="Tahoma"/>
          <w:bCs/>
          <w:i/>
          <w:lang w:eastAsia="en-US"/>
        </w:rPr>
      </w:pPr>
      <w:r w:rsidRPr="00ED6F47">
        <w:rPr>
          <w:rFonts w:ascii="Palatino Linotype" w:eastAsia="Calibri" w:hAnsi="Palatino Linotype" w:cs="Tahoma"/>
          <w:b/>
          <w:bCs/>
          <w:i/>
          <w:lang w:eastAsia="en-US"/>
        </w:rPr>
        <w:t xml:space="preserve">“Vigésimo tercero. </w:t>
      </w:r>
      <w:r w:rsidRPr="00ED6F47">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57525F66" w14:textId="77777777" w:rsidR="00ED6F47" w:rsidRPr="00ED6F47" w:rsidRDefault="00ED6F47" w:rsidP="00ED6F47">
      <w:pPr>
        <w:spacing w:line="360" w:lineRule="auto"/>
        <w:ind w:left="567" w:right="567"/>
        <w:jc w:val="both"/>
        <w:rPr>
          <w:rFonts w:ascii="Palatino Linotype" w:eastAsia="Calibri" w:hAnsi="Palatino Linotype" w:cs="Tahoma"/>
          <w:bCs/>
          <w:i/>
          <w:lang w:eastAsia="en-US"/>
        </w:rPr>
      </w:pPr>
    </w:p>
    <w:p w14:paraId="0E22A1AA"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ED6F47">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ED6F47">
        <w:rPr>
          <w:rFonts w:ascii="Palatino Linotype" w:eastAsia="Calibri" w:hAnsi="Palatino Linotype" w:cs="Tahoma"/>
          <w:bCs/>
          <w:sz w:val="22"/>
          <w:szCs w:val="22"/>
          <w:lang w:eastAsia="en-US"/>
        </w:rPr>
        <w:t>.</w:t>
      </w:r>
    </w:p>
    <w:p w14:paraId="61A0AB35" w14:textId="77777777" w:rsidR="00ED6F47" w:rsidRPr="00ED6F47" w:rsidRDefault="00ED6F47" w:rsidP="00ED6F47">
      <w:pPr>
        <w:spacing w:line="360" w:lineRule="auto"/>
        <w:jc w:val="both"/>
        <w:rPr>
          <w:rFonts w:ascii="Palatino Linotype" w:eastAsia="Calibri" w:hAnsi="Palatino Linotype" w:cs="Tahoma"/>
          <w:bCs/>
          <w:sz w:val="22"/>
          <w:szCs w:val="22"/>
          <w:highlight w:val="green"/>
          <w:lang w:eastAsia="en-US"/>
        </w:rPr>
      </w:pPr>
    </w:p>
    <w:p w14:paraId="6BD4EFC9"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lastRenderedPageBreak/>
        <w:t>Además, el artículo 81, fracción III, de la Ley de Seguridad del Estado de México, establece lo siguiente:</w:t>
      </w:r>
    </w:p>
    <w:p w14:paraId="62FFE28F"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0DA38190" w14:textId="77777777" w:rsidR="00ED6F47" w:rsidRPr="00ED6F47" w:rsidRDefault="00ED6F47" w:rsidP="00ED6F47">
      <w:pPr>
        <w:spacing w:line="360" w:lineRule="auto"/>
        <w:ind w:left="567" w:right="567"/>
        <w:jc w:val="both"/>
        <w:rPr>
          <w:rFonts w:ascii="Palatino Linotype" w:eastAsia="Calibri" w:hAnsi="Palatino Linotype" w:cs="Tahoma"/>
          <w:bCs/>
          <w:i/>
          <w:lang w:eastAsia="en-US"/>
        </w:rPr>
      </w:pPr>
      <w:r w:rsidRPr="00ED6F47">
        <w:rPr>
          <w:rFonts w:ascii="Palatino Linotype" w:eastAsia="Calibri" w:hAnsi="Palatino Linotype" w:cs="Tahoma"/>
          <w:b/>
          <w:bCs/>
          <w:i/>
          <w:lang w:eastAsia="en-US"/>
        </w:rPr>
        <w:t>“Artículo 81.-</w:t>
      </w:r>
      <w:r w:rsidRPr="00ED6F47">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4AE1D38" w14:textId="77777777" w:rsidR="00ED6F47" w:rsidRPr="00ED6F47" w:rsidRDefault="00ED6F47" w:rsidP="00ED6F47">
      <w:pPr>
        <w:spacing w:line="360" w:lineRule="auto"/>
        <w:ind w:left="567" w:right="567"/>
        <w:jc w:val="both"/>
        <w:rPr>
          <w:rFonts w:ascii="Palatino Linotype" w:eastAsia="Calibri" w:hAnsi="Palatino Linotype" w:cs="Tahoma"/>
          <w:bCs/>
          <w:i/>
          <w:lang w:eastAsia="en-US"/>
        </w:rPr>
      </w:pPr>
      <w:r w:rsidRPr="00ED6F47">
        <w:rPr>
          <w:rFonts w:ascii="Palatino Linotype" w:eastAsia="Calibri" w:hAnsi="Palatino Linotype" w:cs="Tahoma"/>
          <w:bCs/>
          <w:i/>
          <w:lang w:eastAsia="en-US"/>
        </w:rPr>
        <w:t>…</w:t>
      </w:r>
    </w:p>
    <w:p w14:paraId="36A3D81E" w14:textId="77777777" w:rsidR="00ED6F47" w:rsidRPr="00ED6F47" w:rsidRDefault="00ED6F47" w:rsidP="00ED6F47">
      <w:pPr>
        <w:spacing w:line="360" w:lineRule="auto"/>
        <w:ind w:left="567" w:right="567"/>
        <w:jc w:val="both"/>
        <w:rPr>
          <w:rFonts w:ascii="Palatino Linotype" w:eastAsia="Calibri" w:hAnsi="Palatino Linotype" w:cs="Tahoma"/>
          <w:bCs/>
          <w:i/>
          <w:lang w:eastAsia="en-US"/>
        </w:rPr>
      </w:pPr>
      <w:r w:rsidRPr="00ED6F47">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46A6CA85" w14:textId="77777777" w:rsidR="00ED6F47" w:rsidRPr="00ED6F47" w:rsidRDefault="00ED6F47" w:rsidP="00ED6F47">
      <w:pPr>
        <w:spacing w:line="360" w:lineRule="auto"/>
        <w:ind w:left="567" w:right="567"/>
        <w:jc w:val="both"/>
        <w:rPr>
          <w:rFonts w:ascii="Palatino Linotype" w:eastAsia="Calibri" w:hAnsi="Palatino Linotype" w:cs="Tahoma"/>
          <w:bCs/>
          <w:i/>
          <w:lang w:eastAsia="en-US"/>
        </w:rPr>
      </w:pPr>
      <w:r w:rsidRPr="00ED6F47">
        <w:rPr>
          <w:rFonts w:ascii="Palatino Linotype" w:eastAsia="Calibri" w:hAnsi="Palatino Linotype" w:cs="Tahoma"/>
          <w:bCs/>
          <w:i/>
          <w:lang w:eastAsia="en-US"/>
        </w:rPr>
        <w:t>…”</w:t>
      </w:r>
    </w:p>
    <w:p w14:paraId="07B41F12" w14:textId="77777777" w:rsidR="00ED6F47" w:rsidRPr="00ED6F47" w:rsidRDefault="00ED6F47" w:rsidP="00ED6F47">
      <w:pPr>
        <w:spacing w:line="360" w:lineRule="auto"/>
        <w:jc w:val="both"/>
        <w:rPr>
          <w:rFonts w:ascii="Palatino Linotype" w:eastAsia="Calibri" w:hAnsi="Palatino Linotype" w:cs="Tahoma"/>
          <w:bCs/>
          <w:lang w:eastAsia="en-US"/>
        </w:rPr>
      </w:pPr>
    </w:p>
    <w:p w14:paraId="2418A558" w14:textId="77777777" w:rsidR="00ED6F47" w:rsidRPr="00ED6F47" w:rsidRDefault="00ED6F47" w:rsidP="00ED6F47">
      <w:pPr>
        <w:spacing w:line="360" w:lineRule="auto"/>
        <w:jc w:val="both"/>
        <w:rPr>
          <w:rFonts w:ascii="Palatino Linotype" w:hAnsi="Palatino Linotype" w:cs="Tahoma"/>
          <w:sz w:val="22"/>
          <w:szCs w:val="22"/>
        </w:rPr>
      </w:pPr>
      <w:r w:rsidRPr="00ED6F47">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08BF676"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747AF05E"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2B644EBF"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422DADF5" w14:textId="77777777" w:rsidR="00ED6F47" w:rsidRPr="00ED6F47" w:rsidRDefault="00ED6F47" w:rsidP="00ED6F47">
      <w:pPr>
        <w:spacing w:line="360" w:lineRule="auto"/>
        <w:jc w:val="both"/>
        <w:rPr>
          <w:rFonts w:ascii="Palatino Linotype" w:hAnsi="Palatino Linotype" w:cs="Tahoma"/>
          <w:sz w:val="22"/>
          <w:szCs w:val="22"/>
        </w:rPr>
      </w:pPr>
      <w:r w:rsidRPr="00ED6F47">
        <w:rPr>
          <w:rFonts w:ascii="Palatino Linotype" w:eastAsia="Calibri" w:hAnsi="Palatino Linotype" w:cs="Tahoma"/>
          <w:bCs/>
          <w:sz w:val="22"/>
          <w:szCs w:val="22"/>
          <w:lang w:eastAsia="en-US"/>
        </w:rPr>
        <w:t xml:space="preserve">No obstante, resulta necesario traer a colación por analogía, el Criterio 06/09, emitido por </w:t>
      </w:r>
      <w:r w:rsidRPr="00ED6F47">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6D776F29" w14:textId="77777777" w:rsidR="00ED6F47" w:rsidRPr="00ED6F47" w:rsidRDefault="00ED6F47" w:rsidP="00ED6F47">
      <w:pPr>
        <w:spacing w:line="360" w:lineRule="auto"/>
        <w:jc w:val="both"/>
        <w:rPr>
          <w:rFonts w:ascii="Palatino Linotype" w:hAnsi="Palatino Linotype" w:cs="Tahoma"/>
          <w:i/>
          <w:sz w:val="22"/>
          <w:szCs w:val="22"/>
        </w:rPr>
      </w:pPr>
    </w:p>
    <w:p w14:paraId="19F06BF6" w14:textId="77777777" w:rsidR="00ED6F47" w:rsidRPr="00ED6F47" w:rsidRDefault="00ED6F47" w:rsidP="00ED6F47">
      <w:pPr>
        <w:tabs>
          <w:tab w:val="left" w:pos="4962"/>
        </w:tabs>
        <w:spacing w:line="360" w:lineRule="auto"/>
        <w:ind w:left="567" w:right="567"/>
        <w:jc w:val="both"/>
        <w:rPr>
          <w:rFonts w:ascii="Palatino Linotype" w:hAnsi="Palatino Linotype" w:cs="Tahoma"/>
          <w:i/>
          <w:szCs w:val="22"/>
        </w:rPr>
      </w:pPr>
      <w:r w:rsidRPr="00ED6F47">
        <w:rPr>
          <w:rFonts w:ascii="Palatino Linotype" w:hAnsi="Palatino Linotype" w:cs="Tahoma"/>
          <w:b/>
          <w:i/>
          <w:szCs w:val="22"/>
        </w:rPr>
        <w:lastRenderedPageBreak/>
        <w:t>“Nombres de servidores públicos dedicados a actividades en materia de seguridad, por excepción pueden considerarse información reservada.</w:t>
      </w:r>
      <w:r w:rsidRPr="00ED6F47">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76A7DC8"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0B682B17" w14:textId="77777777" w:rsid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A5669F2" w14:textId="77777777" w:rsidR="003B1A2E" w:rsidRPr="00ED6F47" w:rsidRDefault="003B1A2E" w:rsidP="00ED6F47">
      <w:pPr>
        <w:spacing w:line="360" w:lineRule="auto"/>
        <w:jc w:val="both"/>
        <w:rPr>
          <w:rFonts w:ascii="Palatino Linotype" w:eastAsia="Calibri" w:hAnsi="Palatino Linotype" w:cs="Tahoma"/>
          <w:bCs/>
          <w:sz w:val="22"/>
          <w:szCs w:val="22"/>
          <w:lang w:eastAsia="en-US"/>
        </w:rPr>
      </w:pPr>
    </w:p>
    <w:p w14:paraId="3649C522"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 xml:space="preserve">En ese orden de ideas, si bien por regla general los nombres de los trabajadores gubernamentales son información pública de oficio, existe una excepción relativa a </w:t>
      </w:r>
      <w:r w:rsidRPr="00ED6F47">
        <w:rPr>
          <w:rFonts w:ascii="Palatino Linotype" w:eastAsia="Calibri" w:hAnsi="Palatino Linotype" w:cs="Tahoma"/>
          <w:b/>
          <w:bCs/>
          <w:sz w:val="22"/>
          <w:szCs w:val="22"/>
          <w:lang w:eastAsia="en-US"/>
        </w:rPr>
        <w:t xml:space="preserve">aquellos </w:t>
      </w:r>
      <w:r w:rsidRPr="00ED6F47">
        <w:rPr>
          <w:rFonts w:ascii="Palatino Linotype" w:eastAsia="Calibri" w:hAnsi="Palatino Linotype" w:cs="Tahoma"/>
          <w:b/>
          <w:bCs/>
          <w:sz w:val="22"/>
          <w:szCs w:val="22"/>
          <w:lang w:eastAsia="en-US"/>
        </w:rPr>
        <w:lastRenderedPageBreak/>
        <w:t>que realicen actividades operativas en materia de seguridad,</w:t>
      </w:r>
      <w:r w:rsidRPr="00ED6F47">
        <w:rPr>
          <w:rFonts w:ascii="Palatino Linotype" w:eastAsia="Calibri" w:hAnsi="Palatino Linotype" w:cs="Tahoma"/>
          <w:bCs/>
          <w:sz w:val="22"/>
          <w:szCs w:val="22"/>
          <w:lang w:eastAsia="en-US"/>
        </w:rPr>
        <w:t xml:space="preserve"> como es el caso de los elementos operativos y la policía municipal.</w:t>
      </w:r>
    </w:p>
    <w:p w14:paraId="471C7089"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291600AD"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C24BC92"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38631112"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4B92A5D2"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53F051AA" w14:textId="77777777" w:rsidR="00ED6F47" w:rsidRPr="00ED6F47" w:rsidRDefault="00ED6F47" w:rsidP="00ED6F47">
      <w:pPr>
        <w:numPr>
          <w:ilvl w:val="0"/>
          <w:numId w:val="27"/>
        </w:numPr>
        <w:spacing w:line="360" w:lineRule="auto"/>
        <w:contextualSpacing/>
        <w:jc w:val="both"/>
        <w:rPr>
          <w:rFonts w:ascii="Palatino Linotype" w:eastAsia="Calibri" w:hAnsi="Palatino Linotype" w:cs="Tahoma"/>
          <w:b/>
          <w:bCs/>
          <w:sz w:val="22"/>
          <w:szCs w:val="22"/>
          <w:lang w:eastAsia="en-US"/>
        </w:rPr>
      </w:pPr>
      <w:r w:rsidRPr="00ED6F47">
        <w:rPr>
          <w:rFonts w:ascii="Palatino Linotype" w:eastAsia="Calibri" w:hAnsi="Palatino Linotype" w:cs="Tahoma"/>
          <w:b/>
          <w:bCs/>
          <w:sz w:val="22"/>
          <w:szCs w:val="22"/>
          <w:lang w:eastAsia="en-US"/>
        </w:rPr>
        <w:t xml:space="preserve">Instituciones Policiales: </w:t>
      </w:r>
      <w:r w:rsidRPr="00ED6F47">
        <w:rPr>
          <w:rFonts w:ascii="Palatino Linotype" w:eastAsia="Calibri" w:hAnsi="Palatino Linotype" w:cs="Tahoma"/>
          <w:bCs/>
          <w:sz w:val="22"/>
          <w:szCs w:val="22"/>
          <w:lang w:eastAsia="en-US"/>
        </w:rPr>
        <w:t xml:space="preserve">Son los cuerpos de policía, de vigilancia y custodia de los establecimientos penitenciarios, detención preventiva, centros de arraigo y en general, </w:t>
      </w:r>
      <w:r w:rsidRPr="00ED6F47">
        <w:rPr>
          <w:rFonts w:ascii="Palatino Linotype" w:eastAsia="Calibri" w:hAnsi="Palatino Linotype" w:cs="Tahoma"/>
          <w:b/>
          <w:bCs/>
          <w:sz w:val="22"/>
          <w:szCs w:val="22"/>
          <w:lang w:eastAsia="en-US"/>
        </w:rPr>
        <w:t>todas las dependencias encargadas de la seguridad pública a nivel</w:t>
      </w:r>
      <w:r w:rsidRPr="00ED6F47">
        <w:rPr>
          <w:rFonts w:ascii="Palatino Linotype" w:eastAsia="Calibri" w:hAnsi="Palatino Linotype" w:cs="Tahoma"/>
          <w:bCs/>
          <w:sz w:val="22"/>
          <w:szCs w:val="22"/>
          <w:lang w:eastAsia="en-US"/>
        </w:rPr>
        <w:t xml:space="preserve"> estatal y </w:t>
      </w:r>
      <w:r w:rsidRPr="00ED6F47">
        <w:rPr>
          <w:rFonts w:ascii="Palatino Linotype" w:eastAsia="Calibri" w:hAnsi="Palatino Linotype" w:cs="Tahoma"/>
          <w:b/>
          <w:bCs/>
          <w:sz w:val="22"/>
          <w:szCs w:val="22"/>
          <w:lang w:eastAsia="en-US"/>
        </w:rPr>
        <w:t>municipal.</w:t>
      </w:r>
    </w:p>
    <w:p w14:paraId="4579C192" w14:textId="77777777" w:rsidR="00ED6F47" w:rsidRPr="00ED6F47" w:rsidRDefault="00ED6F47" w:rsidP="00ED6F47">
      <w:pPr>
        <w:spacing w:line="360" w:lineRule="auto"/>
        <w:ind w:left="720"/>
        <w:contextualSpacing/>
        <w:jc w:val="both"/>
        <w:rPr>
          <w:rFonts w:ascii="Palatino Linotype" w:eastAsia="Calibri" w:hAnsi="Palatino Linotype" w:cs="Tahoma"/>
          <w:bCs/>
          <w:sz w:val="22"/>
          <w:szCs w:val="22"/>
          <w:lang w:eastAsia="en-US"/>
        </w:rPr>
      </w:pPr>
    </w:p>
    <w:p w14:paraId="6B03DD92" w14:textId="77777777" w:rsidR="00ED6F47" w:rsidRPr="00ED6F47" w:rsidRDefault="00ED6F47" w:rsidP="00ED6F47">
      <w:pPr>
        <w:numPr>
          <w:ilvl w:val="0"/>
          <w:numId w:val="27"/>
        </w:numPr>
        <w:spacing w:line="360" w:lineRule="auto"/>
        <w:contextualSpacing/>
        <w:jc w:val="both"/>
        <w:rPr>
          <w:rFonts w:ascii="Palatino Linotype" w:eastAsia="Calibri" w:hAnsi="Palatino Linotype" w:cs="Tahoma"/>
          <w:b/>
          <w:bCs/>
          <w:sz w:val="22"/>
          <w:szCs w:val="22"/>
          <w:lang w:eastAsia="en-US"/>
        </w:rPr>
      </w:pPr>
      <w:r w:rsidRPr="00ED6F47">
        <w:rPr>
          <w:rFonts w:ascii="Palatino Linotype" w:eastAsia="Calibri" w:hAnsi="Palatino Linotype" w:cs="Tahoma"/>
          <w:b/>
          <w:bCs/>
          <w:sz w:val="22"/>
          <w:szCs w:val="22"/>
          <w:lang w:eastAsia="en-US"/>
        </w:rPr>
        <w:t xml:space="preserve">Instituciones de Seguridad Pública: </w:t>
      </w:r>
      <w:r w:rsidRPr="00ED6F47">
        <w:rPr>
          <w:rFonts w:ascii="Palatino Linotype" w:eastAsia="Calibri" w:hAnsi="Palatino Linotype" w:cs="Tahoma"/>
          <w:bCs/>
          <w:sz w:val="22"/>
          <w:szCs w:val="22"/>
          <w:lang w:eastAsia="en-US"/>
        </w:rPr>
        <w:t xml:space="preserve">Instituciones Policiales, Procuración de Justicia, Sistema Penitenciario y </w:t>
      </w:r>
      <w:r w:rsidRPr="00ED6F47">
        <w:rPr>
          <w:rFonts w:ascii="Palatino Linotype" w:eastAsia="Calibri" w:hAnsi="Palatino Linotype" w:cs="Tahoma"/>
          <w:b/>
          <w:bCs/>
          <w:sz w:val="22"/>
          <w:szCs w:val="22"/>
          <w:lang w:eastAsia="en-US"/>
        </w:rPr>
        <w:t xml:space="preserve">dependencias encargadas de la seguridad pública a nivel </w:t>
      </w:r>
      <w:r w:rsidRPr="00ED6F47">
        <w:rPr>
          <w:rFonts w:ascii="Palatino Linotype" w:eastAsia="Calibri" w:hAnsi="Palatino Linotype" w:cs="Tahoma"/>
          <w:bCs/>
          <w:sz w:val="22"/>
          <w:szCs w:val="22"/>
          <w:lang w:eastAsia="en-US"/>
        </w:rPr>
        <w:t xml:space="preserve">estatal y </w:t>
      </w:r>
      <w:r w:rsidRPr="00ED6F47">
        <w:rPr>
          <w:rFonts w:ascii="Palatino Linotype" w:eastAsia="Calibri" w:hAnsi="Palatino Linotype" w:cs="Tahoma"/>
          <w:b/>
          <w:bCs/>
          <w:sz w:val="22"/>
          <w:szCs w:val="22"/>
          <w:lang w:eastAsia="en-US"/>
        </w:rPr>
        <w:t>municipal.</w:t>
      </w:r>
    </w:p>
    <w:p w14:paraId="0E581A96" w14:textId="77777777" w:rsidR="00ED6F47" w:rsidRPr="00ED6F47" w:rsidRDefault="00ED6F47" w:rsidP="00ED6F47">
      <w:pPr>
        <w:spacing w:line="360" w:lineRule="auto"/>
        <w:contextualSpacing/>
        <w:jc w:val="both"/>
        <w:rPr>
          <w:rFonts w:ascii="Palatino Linotype" w:eastAsia="Calibri" w:hAnsi="Palatino Linotype" w:cs="Tahoma"/>
          <w:b/>
          <w:bCs/>
          <w:sz w:val="22"/>
          <w:szCs w:val="22"/>
          <w:lang w:eastAsia="en-US"/>
        </w:rPr>
      </w:pPr>
    </w:p>
    <w:p w14:paraId="6500995F" w14:textId="783746D4" w:rsidR="00ED6F47" w:rsidRDefault="00ED6F47" w:rsidP="003B1A2E">
      <w:pPr>
        <w:spacing w:line="360" w:lineRule="auto"/>
        <w:jc w:val="both"/>
        <w:rPr>
          <w:rFonts w:ascii="Palatino Linotype" w:eastAsia="Calibri" w:hAnsi="Palatino Linotype"/>
          <w:sz w:val="22"/>
        </w:rPr>
      </w:pPr>
      <w:r w:rsidRPr="00ED6F47">
        <w:rPr>
          <w:rFonts w:ascii="Palatino Linotype" w:eastAsia="Calibri" w:hAnsi="Palatino Linotype" w:cs="Tahoma"/>
          <w:iCs/>
          <w:sz w:val="22"/>
          <w:lang w:val="es-ES" w:eastAsia="es-ES_tradnl"/>
        </w:rPr>
        <w:t>Conforme a lo anterior</w:t>
      </w:r>
      <w:r w:rsidRPr="00ED6F47">
        <w:rPr>
          <w:rFonts w:ascii="Palatino Linotype" w:eastAsia="Calibri" w:hAnsi="Palatino Linotype" w:cs="Tahoma"/>
          <w:bCs/>
          <w:sz w:val="22"/>
          <w:szCs w:val="22"/>
          <w:lang w:eastAsia="en-US"/>
        </w:rPr>
        <w:t xml:space="preserve">, se puede deducir que la </w:t>
      </w:r>
      <w:r w:rsidR="003B1A2E" w:rsidRPr="003B1A2E">
        <w:rPr>
          <w:rFonts w:ascii="Palatino Linotype" w:eastAsiaTheme="minorHAnsi" w:hAnsi="Palatino Linotype" w:cs="Tahoma"/>
          <w:bCs/>
          <w:color w:val="000000" w:themeColor="text1"/>
          <w:sz w:val="22"/>
          <w:szCs w:val="22"/>
          <w:lang w:val="es-ES_tradnl" w:eastAsia="en-US"/>
        </w:rPr>
        <w:t>Dirección de Seguridad Pública, Centro de Mando y Monitoreo</w:t>
      </w:r>
      <w:r w:rsidRPr="00ED6F47">
        <w:rPr>
          <w:rFonts w:ascii="Palatino Linotype" w:eastAsia="Calibri" w:hAnsi="Palatino Linotype" w:cs="Tahoma"/>
          <w:bCs/>
          <w:sz w:val="22"/>
          <w:szCs w:val="22"/>
          <w:lang w:eastAsia="en-US"/>
        </w:rPr>
        <w:t>, es una institución de seguridad pública, pues tiene como atribución prin</w:t>
      </w:r>
      <w:r w:rsidR="003B1A2E">
        <w:rPr>
          <w:rFonts w:ascii="Palatino Linotype" w:eastAsia="Calibri" w:hAnsi="Palatino Linotype" w:cs="Tahoma"/>
          <w:bCs/>
          <w:sz w:val="22"/>
          <w:szCs w:val="22"/>
          <w:lang w:eastAsia="en-US"/>
        </w:rPr>
        <w:t xml:space="preserve">cipal, la prevención de delitos, así como, la investigación y persecución de los mimos, para garantizar el </w:t>
      </w:r>
      <w:r w:rsidR="003B1A2E" w:rsidRPr="003B1A2E">
        <w:rPr>
          <w:rFonts w:ascii="Palatino Linotype" w:eastAsia="Calibri" w:hAnsi="Palatino Linotype" w:cs="Tahoma"/>
          <w:bCs/>
          <w:sz w:val="22"/>
          <w:szCs w:val="22"/>
          <w:lang w:eastAsia="en-US"/>
        </w:rPr>
        <w:t xml:space="preserve"> pleno goce de las garantías individuales y sociales, la paz, la tranquilidad y el orden</w:t>
      </w:r>
      <w:r w:rsidR="003B1A2E">
        <w:rPr>
          <w:rFonts w:ascii="Palatino Linotype" w:eastAsia="Calibri" w:hAnsi="Palatino Linotype" w:cs="Tahoma"/>
          <w:bCs/>
          <w:sz w:val="22"/>
          <w:szCs w:val="22"/>
          <w:lang w:eastAsia="en-US"/>
        </w:rPr>
        <w:t xml:space="preserve"> </w:t>
      </w:r>
      <w:r w:rsidR="003B1A2E" w:rsidRPr="003B1A2E">
        <w:rPr>
          <w:rFonts w:ascii="Palatino Linotype" w:eastAsia="Calibri" w:hAnsi="Palatino Linotype" w:cs="Tahoma"/>
          <w:bCs/>
          <w:sz w:val="22"/>
          <w:szCs w:val="22"/>
          <w:lang w:eastAsia="en-US"/>
        </w:rPr>
        <w:t>público</w:t>
      </w:r>
      <w:r w:rsidR="003B1A2E">
        <w:rPr>
          <w:rFonts w:ascii="Palatino Linotype" w:eastAsia="Calibri" w:hAnsi="Palatino Linotype" w:cs="Tahoma"/>
          <w:bCs/>
          <w:sz w:val="22"/>
          <w:szCs w:val="22"/>
          <w:lang w:eastAsia="en-US"/>
        </w:rPr>
        <w:t>.</w:t>
      </w:r>
    </w:p>
    <w:p w14:paraId="6308CA25" w14:textId="05767682" w:rsidR="00ED6F47" w:rsidRPr="00ED6F47" w:rsidRDefault="00ED6F47" w:rsidP="00ED6F47">
      <w:pPr>
        <w:tabs>
          <w:tab w:val="left" w:pos="4962"/>
        </w:tabs>
        <w:spacing w:line="360" w:lineRule="auto"/>
        <w:ind w:right="-28"/>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val="es-ES" w:eastAsia="en-US"/>
        </w:rPr>
        <w:lastRenderedPageBreak/>
        <w:t xml:space="preserve">Además, </w:t>
      </w:r>
      <w:r w:rsidRPr="00ED6F47">
        <w:rPr>
          <w:rFonts w:ascii="Palatino Linotype" w:eastAsia="Calibri" w:hAnsi="Palatino Linotype" w:cs="Tahoma"/>
          <w:bCs/>
          <w:sz w:val="22"/>
          <w:szCs w:val="22"/>
          <w:lang w:eastAsia="en-US"/>
        </w:rPr>
        <w:t xml:space="preserve">el Instructivo de llenado del Formato “Personal de Seguridad Pública”, del Secretariado Ejecutivo del Sistema Nacional de Seguridad Pública (consultado el </w:t>
      </w:r>
      <w:r w:rsidR="003B1A2E">
        <w:rPr>
          <w:rFonts w:ascii="Palatino Linotype" w:eastAsia="Calibri" w:hAnsi="Palatino Linotype" w:cs="Tahoma"/>
          <w:bCs/>
          <w:sz w:val="22"/>
          <w:szCs w:val="22"/>
          <w:lang w:eastAsia="en-US"/>
        </w:rPr>
        <w:t>once de mayo</w:t>
      </w:r>
      <w:r w:rsidRPr="00ED6F47">
        <w:rPr>
          <w:rFonts w:ascii="Palatino Linotype" w:eastAsia="Calibri" w:hAnsi="Palatino Linotype" w:cs="Tahoma"/>
          <w:bCs/>
          <w:sz w:val="22"/>
          <w:szCs w:val="22"/>
          <w:lang w:eastAsia="en-US"/>
        </w:rPr>
        <w:t xml:space="preserve"> </w:t>
      </w:r>
      <w:proofErr w:type="spellStart"/>
      <w:r w:rsidRPr="00ED6F47">
        <w:rPr>
          <w:rFonts w:ascii="Palatino Linotype" w:eastAsia="Calibri" w:hAnsi="Palatino Linotype" w:cs="Tahoma"/>
          <w:bCs/>
          <w:sz w:val="22"/>
          <w:szCs w:val="22"/>
          <w:lang w:eastAsia="en-US"/>
        </w:rPr>
        <w:t>de</w:t>
      </w:r>
      <w:proofErr w:type="spellEnd"/>
      <w:r w:rsidRPr="00ED6F47">
        <w:rPr>
          <w:rFonts w:ascii="Palatino Linotype" w:eastAsia="Calibri" w:hAnsi="Palatino Linotype" w:cs="Tahoma"/>
          <w:bCs/>
          <w:sz w:val="22"/>
          <w:szCs w:val="22"/>
          <w:lang w:eastAsia="en-US"/>
        </w:rPr>
        <w:t xml:space="preserve"> dos mil veintidós, a las dieciséis horas, en la liga electrónica </w:t>
      </w:r>
      <w:hyperlink r:id="rId9" w:history="1">
        <w:r w:rsidRPr="00ED6F47">
          <w:rPr>
            <w:rFonts w:ascii="Palatino Linotype" w:eastAsia="Calibri" w:hAnsi="Palatino Linotype" w:cs="Tahoma"/>
            <w:bCs/>
            <w:color w:val="0563C1"/>
            <w:sz w:val="22"/>
            <w:szCs w:val="22"/>
            <w:u w:val="single"/>
            <w:lang w:eastAsia="en-US"/>
          </w:rPr>
          <w:t>http://secretariadoejecutivo.gob.mx/work/models/SecretariadoEjecutivo/Resource/328/1/images/instructivo_final_edo_fuerza(1).pdf</w:t>
        </w:r>
      </w:hyperlink>
      <w:r w:rsidRPr="00ED6F47">
        <w:rPr>
          <w:rFonts w:ascii="Palatino Linotype" w:eastAsia="Calibri" w:hAnsi="Palatino Linotype" w:cs="Tahoma"/>
          <w:bCs/>
          <w:sz w:val="22"/>
          <w:szCs w:val="22"/>
          <w:lang w:eastAsia="en-US"/>
        </w:rPr>
        <w:t xml:space="preserve">), establece que los elementos operativos de seguridad pública, son aquellos que desempeñan funciones de campo (policiacas, especializadas o equivalentes y que no </w:t>
      </w:r>
      <w:r w:rsidRPr="00ED6F47">
        <w:rPr>
          <w:rFonts w:ascii="Palatino Linotype" w:eastAsia="Calibri" w:hAnsi="Palatino Linotype" w:cs="Tahoma"/>
          <w:b/>
          <w:bCs/>
          <w:sz w:val="22"/>
          <w:szCs w:val="22"/>
          <w:lang w:eastAsia="en-US"/>
        </w:rPr>
        <w:t>desempeña funciones de mando</w:t>
      </w:r>
      <w:r w:rsidRPr="00ED6F47">
        <w:rPr>
          <w:rFonts w:ascii="Palatino Linotype" w:eastAsia="Calibri" w:hAnsi="Palatino Linotype" w:cs="Tahoma"/>
          <w:bCs/>
          <w:sz w:val="22"/>
          <w:szCs w:val="22"/>
          <w:lang w:eastAsia="en-US"/>
        </w:rPr>
        <w:t xml:space="preserve">), entre los cuales, se encuentra </w:t>
      </w:r>
      <w:r w:rsidRPr="00ED6F47">
        <w:rPr>
          <w:rFonts w:ascii="Palatino Linotype" w:eastAsia="Calibri" w:hAnsi="Palatino Linotype" w:cs="Tahoma"/>
          <w:b/>
          <w:bCs/>
          <w:sz w:val="22"/>
          <w:szCs w:val="22"/>
          <w:lang w:eastAsia="en-US"/>
        </w:rPr>
        <w:t>la Policía Municipal</w:t>
      </w:r>
      <w:r w:rsidRPr="00ED6F47">
        <w:rPr>
          <w:rFonts w:ascii="Palatino Linotype" w:eastAsia="Calibri" w:hAnsi="Palatino Linotype" w:cs="Tahoma"/>
          <w:bCs/>
          <w:sz w:val="22"/>
          <w:szCs w:val="22"/>
          <w:lang w:eastAsia="en-US"/>
        </w:rPr>
        <w:t>.</w:t>
      </w:r>
    </w:p>
    <w:p w14:paraId="633FD836" w14:textId="77777777" w:rsidR="00ED6F47" w:rsidRPr="00ED6F47" w:rsidRDefault="00ED6F47" w:rsidP="00ED6F47">
      <w:pPr>
        <w:tabs>
          <w:tab w:val="left" w:pos="4962"/>
        </w:tabs>
        <w:spacing w:line="360" w:lineRule="auto"/>
        <w:ind w:right="-28"/>
        <w:jc w:val="both"/>
        <w:rPr>
          <w:rFonts w:ascii="Palatino Linotype" w:eastAsia="Calibri" w:hAnsi="Palatino Linotype" w:cs="Tahoma"/>
          <w:bCs/>
          <w:sz w:val="22"/>
          <w:szCs w:val="22"/>
          <w:lang w:eastAsia="en-US"/>
        </w:rPr>
      </w:pPr>
    </w:p>
    <w:p w14:paraId="2356899A" w14:textId="77777777" w:rsidR="00ED6F47" w:rsidRPr="00ED6F47" w:rsidRDefault="00ED6F47" w:rsidP="00ED6F47">
      <w:pPr>
        <w:tabs>
          <w:tab w:val="left" w:pos="4962"/>
        </w:tabs>
        <w:spacing w:line="360" w:lineRule="auto"/>
        <w:ind w:right="-28"/>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49E9A7B2"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23D32DD5" w14:textId="7A4AAA3C"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 xml:space="preserve">De tales circunstancias, se puede observar que la </w:t>
      </w:r>
      <w:r w:rsidR="00384263" w:rsidRPr="00384263">
        <w:rPr>
          <w:rFonts w:ascii="Palatino Linotype" w:eastAsia="Calibri" w:hAnsi="Palatino Linotype" w:cs="Tahoma"/>
          <w:bCs/>
          <w:sz w:val="22"/>
          <w:szCs w:val="22"/>
          <w:lang w:eastAsia="en-US"/>
        </w:rPr>
        <w:t>Dirección de Seguridad Pública, Centro de Mando y Monitoreo</w:t>
      </w:r>
      <w:r w:rsidRPr="00ED6F47">
        <w:rPr>
          <w:rFonts w:ascii="Palatino Linotype" w:eastAsia="Calibri" w:hAnsi="Palatino Linotype" w:cs="Tahoma"/>
          <w:bCs/>
          <w:sz w:val="22"/>
          <w:szCs w:val="22"/>
          <w:lang w:eastAsia="en-US"/>
        </w:rPr>
        <w:t>, tiene dos clases de servidores públicos, por una parte, los operativos (policía municipal) y por otra, los administrativos, de apoyo y personal de mando, los cuales no realizan funciones operativas.</w:t>
      </w:r>
    </w:p>
    <w:p w14:paraId="779219DE"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3AF76384"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w:t>
      </w:r>
      <w:r w:rsidRPr="00ED6F47">
        <w:rPr>
          <w:rFonts w:ascii="Palatino Linotype" w:eastAsia="Calibri" w:hAnsi="Palatino Linotype" w:cs="Tahoma"/>
          <w:bCs/>
          <w:sz w:val="22"/>
          <w:szCs w:val="22"/>
          <w:lang w:eastAsia="en-US"/>
        </w:rPr>
        <w:lastRenderedPageBreak/>
        <w:t>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FB1A12F"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1C8166F0" w14:textId="04D5B1FA"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 xml:space="preserve">Lo anterior, se robustece con las Cifras de Incidencia Delictiva Municipal 2015-2021, publicado por el Secretariado Ejecutivo del Sistema Nacional de Seguridad Pública, en la página </w:t>
      </w:r>
      <w:hyperlink r:id="rId10" w:history="1">
        <w:r w:rsidRPr="00ED6F47">
          <w:rPr>
            <w:rFonts w:ascii="Palatino Linotype" w:hAnsi="Palatino Linotype"/>
            <w:color w:val="0563C1"/>
            <w:sz w:val="22"/>
            <w:szCs w:val="22"/>
            <w:u w:val="single"/>
          </w:rPr>
          <w:t>https://www</w:t>
        </w:r>
        <w:r w:rsidRPr="00ED6F47">
          <w:rPr>
            <w:rFonts w:ascii="Palatino Linotype" w:hAnsi="Palatino Linotype"/>
            <w:color w:val="0563C1"/>
            <w:sz w:val="22"/>
            <w:szCs w:val="22"/>
            <w:u w:val="single"/>
          </w:rPr>
          <w:t>.</w:t>
        </w:r>
        <w:r w:rsidRPr="00ED6F47">
          <w:rPr>
            <w:rFonts w:ascii="Palatino Linotype" w:hAnsi="Palatino Linotype"/>
            <w:color w:val="0563C1"/>
            <w:sz w:val="22"/>
            <w:szCs w:val="22"/>
            <w:u w:val="single"/>
          </w:rPr>
          <w:t>gob.mx/sesnsp/acciones-y-programas/incidencia-delictiva-del-fuero-comun-nueva-metodologia?state=published</w:t>
        </w:r>
      </w:hyperlink>
      <w:r w:rsidRPr="00ED6F47">
        <w:rPr>
          <w:rFonts w:ascii="Palatino Linotype" w:eastAsia="Calibri" w:hAnsi="Palatino Linotype" w:cs="Tahoma"/>
          <w:bCs/>
          <w:sz w:val="22"/>
          <w:szCs w:val="22"/>
          <w:lang w:eastAsia="en-US"/>
        </w:rPr>
        <w:t xml:space="preserve"> (consultado el </w:t>
      </w:r>
      <w:r w:rsidR="00384263">
        <w:rPr>
          <w:rFonts w:ascii="Palatino Linotype" w:eastAsia="Calibri" w:hAnsi="Palatino Linotype" w:cs="Tahoma"/>
          <w:bCs/>
          <w:sz w:val="22"/>
          <w:szCs w:val="22"/>
          <w:lang w:eastAsia="en-US"/>
        </w:rPr>
        <w:t>once de mayo</w:t>
      </w:r>
      <w:r w:rsidRPr="00ED6F47">
        <w:rPr>
          <w:rFonts w:ascii="Palatino Linotype" w:eastAsia="Calibri" w:hAnsi="Palatino Linotype" w:cs="Tahoma"/>
          <w:bCs/>
          <w:sz w:val="22"/>
          <w:szCs w:val="22"/>
          <w:lang w:eastAsia="en-US"/>
        </w:rPr>
        <w:t xml:space="preserve"> </w:t>
      </w:r>
      <w:proofErr w:type="spellStart"/>
      <w:r w:rsidRPr="00ED6F47">
        <w:rPr>
          <w:rFonts w:ascii="Palatino Linotype" w:eastAsia="Calibri" w:hAnsi="Palatino Linotype" w:cs="Tahoma"/>
          <w:bCs/>
          <w:sz w:val="22"/>
          <w:szCs w:val="22"/>
          <w:lang w:eastAsia="en-US"/>
        </w:rPr>
        <w:t>de</w:t>
      </w:r>
      <w:proofErr w:type="spellEnd"/>
      <w:r w:rsidRPr="00ED6F47">
        <w:rPr>
          <w:rFonts w:ascii="Palatino Linotype" w:eastAsia="Calibri" w:hAnsi="Palatino Linotype" w:cs="Tahoma"/>
          <w:bCs/>
          <w:sz w:val="22"/>
          <w:szCs w:val="22"/>
          <w:lang w:eastAsia="en-US"/>
        </w:rPr>
        <w:t xml:space="preserve"> dos mil veintidós, a las dieciocho horas con tres minutos) de cual se desprenden algunos delitos que se han cometido en el Municipio de </w:t>
      </w:r>
      <w:r w:rsidR="00384263">
        <w:rPr>
          <w:rFonts w:ascii="Palatino Linotype" w:eastAsia="Calibri" w:hAnsi="Palatino Linotype" w:cs="Tahoma"/>
          <w:bCs/>
          <w:sz w:val="22"/>
          <w:szCs w:val="22"/>
          <w:lang w:eastAsia="en-US"/>
        </w:rPr>
        <w:t>Atenco,</w:t>
      </w:r>
      <w:r w:rsidRPr="00ED6F47">
        <w:rPr>
          <w:rFonts w:ascii="Palatino Linotype" w:eastAsia="Calibri" w:hAnsi="Palatino Linotype" w:cs="Tahoma"/>
          <w:bCs/>
          <w:sz w:val="22"/>
          <w:szCs w:val="22"/>
          <w:lang w:eastAsia="en-US"/>
        </w:rPr>
        <w:t xml:space="preserve"> tal como se observa a continuación:</w:t>
      </w:r>
    </w:p>
    <w:p w14:paraId="2B56B704" w14:textId="77777777" w:rsidR="00ED6F47" w:rsidRPr="00ED6F47" w:rsidRDefault="00ED6F47" w:rsidP="00ED6F47">
      <w:pPr>
        <w:spacing w:line="360" w:lineRule="auto"/>
        <w:ind w:right="-93"/>
        <w:rPr>
          <w:rFonts w:ascii="Palatino Linotype" w:eastAsia="Calibri" w:hAnsi="Palatino Linotype" w:cs="Tahoma"/>
          <w:bCs/>
          <w:sz w:val="22"/>
          <w:szCs w:val="22"/>
          <w:lang w:eastAsia="en-US"/>
        </w:rPr>
      </w:pPr>
    </w:p>
    <w:p w14:paraId="0209F2C3" w14:textId="2BBB65DF" w:rsidR="00ED6F47" w:rsidRPr="00ED6F47" w:rsidRDefault="00E540AF" w:rsidP="00ED6F47">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4F3FF7A6" wp14:editId="46CAEC88">
            <wp:extent cx="5742940" cy="2959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2959100"/>
                    </a:xfrm>
                    <a:prstGeom prst="rect">
                      <a:avLst/>
                    </a:prstGeom>
                  </pic:spPr>
                </pic:pic>
              </a:graphicData>
            </a:graphic>
          </wp:inline>
        </w:drawing>
      </w:r>
    </w:p>
    <w:p w14:paraId="71E0ED94" w14:textId="77777777" w:rsidR="00E540AF" w:rsidRDefault="00E540AF" w:rsidP="00ED6F47">
      <w:pPr>
        <w:spacing w:line="360" w:lineRule="auto"/>
        <w:jc w:val="both"/>
        <w:rPr>
          <w:rFonts w:ascii="Palatino Linotype" w:eastAsia="Calibri" w:hAnsi="Palatino Linotype" w:cs="Tahoma"/>
          <w:bCs/>
          <w:sz w:val="22"/>
          <w:szCs w:val="22"/>
          <w:lang w:eastAsia="en-US"/>
        </w:rPr>
      </w:pPr>
    </w:p>
    <w:p w14:paraId="52B2C275" w14:textId="65BA3042"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Como se logr</w:t>
      </w:r>
      <w:r w:rsidR="00D766EF">
        <w:rPr>
          <w:rFonts w:ascii="Palatino Linotype" w:eastAsia="Calibri" w:hAnsi="Palatino Linotype" w:cs="Tahoma"/>
          <w:bCs/>
          <w:sz w:val="22"/>
          <w:szCs w:val="22"/>
          <w:lang w:eastAsia="en-US"/>
        </w:rPr>
        <w:t>a observar, en el Municipio de Atenco,</w:t>
      </w:r>
      <w:r w:rsidRPr="00ED6F47">
        <w:rPr>
          <w:rFonts w:ascii="Palatino Linotype" w:eastAsia="Calibri" w:hAnsi="Palatino Linotype" w:cs="Tahoma"/>
          <w:bCs/>
          <w:sz w:val="22"/>
          <w:szCs w:val="22"/>
          <w:lang w:eastAsia="en-US"/>
        </w:rPr>
        <w:t xml:space="preserve"> durante el dos mil </w:t>
      </w:r>
      <w:r w:rsidR="00D766EF">
        <w:rPr>
          <w:rFonts w:ascii="Palatino Linotype" w:eastAsia="Calibri" w:hAnsi="Palatino Linotype" w:cs="Tahoma"/>
          <w:bCs/>
          <w:sz w:val="22"/>
          <w:szCs w:val="22"/>
          <w:lang w:eastAsia="en-US"/>
        </w:rPr>
        <w:t>veintidós</w:t>
      </w:r>
      <w:r w:rsidRPr="00ED6F47">
        <w:rPr>
          <w:rFonts w:ascii="Palatino Linotype" w:eastAsia="Calibri" w:hAnsi="Palatino Linotype" w:cs="Tahoma"/>
          <w:bCs/>
          <w:sz w:val="22"/>
          <w:szCs w:val="22"/>
          <w:lang w:eastAsia="en-US"/>
        </w:rPr>
        <w:t xml:space="preserve">, se han realizado diversos actos ilícitos, entre los más resaltantes encontramos </w:t>
      </w:r>
      <w:r w:rsidRPr="00ED6F47">
        <w:rPr>
          <w:rFonts w:ascii="Palatino Linotype" w:eastAsia="Calibri" w:hAnsi="Palatino Linotype" w:cs="Tahoma"/>
          <w:b/>
          <w:sz w:val="22"/>
          <w:szCs w:val="22"/>
          <w:lang w:eastAsia="en-US"/>
        </w:rPr>
        <w:t>homicidio,</w:t>
      </w:r>
      <w:r w:rsidRPr="00ED6F47">
        <w:rPr>
          <w:rFonts w:ascii="Palatino Linotype" w:eastAsia="Calibri" w:hAnsi="Palatino Linotype" w:cs="Tahoma"/>
          <w:bCs/>
          <w:sz w:val="22"/>
          <w:szCs w:val="22"/>
          <w:lang w:eastAsia="en-US"/>
        </w:rPr>
        <w:t xml:space="preserve"> </w:t>
      </w:r>
      <w:r w:rsidRPr="00ED6F47">
        <w:rPr>
          <w:rFonts w:ascii="Palatino Linotype" w:eastAsia="Calibri" w:hAnsi="Palatino Linotype" w:cs="Tahoma"/>
          <w:b/>
          <w:sz w:val="22"/>
          <w:szCs w:val="22"/>
          <w:lang w:eastAsia="en-US"/>
        </w:rPr>
        <w:t>lesiones,</w:t>
      </w:r>
      <w:r w:rsidRPr="00ED6F47">
        <w:rPr>
          <w:rFonts w:ascii="Palatino Linotype" w:eastAsia="Calibri" w:hAnsi="Palatino Linotype" w:cs="Tahoma"/>
          <w:bCs/>
          <w:sz w:val="22"/>
          <w:szCs w:val="22"/>
          <w:lang w:eastAsia="en-US"/>
        </w:rPr>
        <w:t xml:space="preserve"> </w:t>
      </w:r>
      <w:r w:rsidR="00D766EF">
        <w:rPr>
          <w:rFonts w:ascii="Palatino Linotype" w:eastAsia="Calibri" w:hAnsi="Palatino Linotype" w:cs="Tahoma"/>
          <w:bCs/>
          <w:sz w:val="22"/>
          <w:szCs w:val="22"/>
          <w:lang w:eastAsia="en-US"/>
        </w:rPr>
        <w:t xml:space="preserve">abuso y acoso sexual, </w:t>
      </w:r>
      <w:r w:rsidRPr="00ED6F47">
        <w:rPr>
          <w:rFonts w:ascii="Palatino Linotype" w:eastAsia="Calibri" w:hAnsi="Palatino Linotype" w:cs="Tahoma"/>
          <w:b/>
          <w:bCs/>
          <w:sz w:val="22"/>
          <w:szCs w:val="22"/>
          <w:lang w:eastAsia="en-US"/>
        </w:rPr>
        <w:t>robo,</w:t>
      </w:r>
      <w:r w:rsidR="00D766EF">
        <w:rPr>
          <w:rFonts w:ascii="Palatino Linotype" w:eastAsia="Calibri" w:hAnsi="Palatino Linotype" w:cs="Tahoma"/>
          <w:b/>
          <w:bCs/>
          <w:sz w:val="22"/>
          <w:szCs w:val="22"/>
          <w:lang w:eastAsia="en-US"/>
        </w:rPr>
        <w:t xml:space="preserve"> </w:t>
      </w:r>
      <w:proofErr w:type="spellStart"/>
      <w:r w:rsidR="00D766EF">
        <w:rPr>
          <w:rFonts w:ascii="Palatino Linotype" w:eastAsia="Calibri" w:hAnsi="Palatino Linotype" w:cs="Tahoma"/>
          <w:b/>
          <w:bCs/>
          <w:sz w:val="22"/>
          <w:szCs w:val="22"/>
          <w:lang w:eastAsia="en-US"/>
        </w:rPr>
        <w:t>fradude</w:t>
      </w:r>
      <w:proofErr w:type="spellEnd"/>
      <w:r w:rsidR="00D766EF">
        <w:rPr>
          <w:rFonts w:ascii="Palatino Linotype" w:eastAsia="Calibri" w:hAnsi="Palatino Linotype" w:cs="Tahoma"/>
          <w:b/>
          <w:bCs/>
          <w:sz w:val="22"/>
          <w:szCs w:val="22"/>
          <w:lang w:eastAsia="en-US"/>
        </w:rPr>
        <w:t>,</w:t>
      </w:r>
      <w:r w:rsidRPr="00ED6F47">
        <w:rPr>
          <w:rFonts w:ascii="Palatino Linotype" w:eastAsia="Calibri" w:hAnsi="Palatino Linotype" w:cs="Tahoma"/>
          <w:b/>
          <w:bCs/>
          <w:sz w:val="22"/>
          <w:szCs w:val="22"/>
          <w:lang w:eastAsia="en-US"/>
        </w:rPr>
        <w:t xml:space="preserve"> abuso de confianza, extorsión, daño a propiedad, </w:t>
      </w:r>
      <w:r w:rsidR="00D766EF">
        <w:rPr>
          <w:rFonts w:ascii="Palatino Linotype" w:eastAsia="Calibri" w:hAnsi="Palatino Linotype" w:cs="Tahoma"/>
          <w:b/>
          <w:bCs/>
          <w:sz w:val="22"/>
          <w:szCs w:val="22"/>
          <w:lang w:eastAsia="en-US"/>
        </w:rPr>
        <w:t>despojo, violencia familiar, entre otros</w:t>
      </w:r>
      <w:r w:rsidRPr="00ED6F47">
        <w:rPr>
          <w:rFonts w:ascii="Palatino Linotype" w:eastAsia="Calibri" w:hAnsi="Palatino Linotype" w:cs="Tahoma"/>
          <w:b/>
          <w:bCs/>
          <w:sz w:val="22"/>
          <w:szCs w:val="22"/>
          <w:lang w:eastAsia="en-US"/>
        </w:rPr>
        <w:t>,</w:t>
      </w:r>
      <w:r w:rsidRPr="00ED6F47">
        <w:rPr>
          <w:rFonts w:ascii="Palatino Linotype" w:eastAsia="Calibri" w:hAnsi="Palatino Linotype" w:cs="Tahoma"/>
          <w:bCs/>
          <w:sz w:val="22"/>
          <w:szCs w:val="22"/>
          <w:lang w:eastAsia="en-US"/>
        </w:rPr>
        <w:t xml:space="preserve"> hechos que pueden llegar a ser atendidos </w:t>
      </w:r>
      <w:r w:rsidRPr="00ED6F47">
        <w:rPr>
          <w:rFonts w:ascii="Palatino Linotype" w:eastAsia="Calibri" w:hAnsi="Palatino Linotype" w:cs="Tahoma"/>
          <w:bCs/>
          <w:sz w:val="22"/>
          <w:szCs w:val="22"/>
          <w:lang w:eastAsia="en-US"/>
        </w:rPr>
        <w:lastRenderedPageBreak/>
        <w:t xml:space="preserve">directamente por este personal operativo en apoyo de los afectados o incluso de las autoridades encargadas de la procuración de justicia. </w:t>
      </w:r>
    </w:p>
    <w:p w14:paraId="21041973" w14:textId="77777777" w:rsidR="00ED6F47" w:rsidRPr="00ED6F47" w:rsidRDefault="00ED6F47" w:rsidP="00ED6F47">
      <w:pPr>
        <w:spacing w:line="360" w:lineRule="auto"/>
        <w:jc w:val="both"/>
        <w:rPr>
          <w:rFonts w:ascii="Palatino Linotype" w:eastAsia="Calibri" w:hAnsi="Palatino Linotype" w:cs="Tahoma"/>
          <w:bCs/>
          <w:sz w:val="22"/>
          <w:szCs w:val="22"/>
          <w:highlight w:val="green"/>
          <w:lang w:eastAsia="en-US"/>
        </w:rPr>
      </w:pPr>
    </w:p>
    <w:p w14:paraId="355125BF"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r w:rsidRPr="00ED6F47">
        <w:rPr>
          <w:rFonts w:ascii="Palatino Linotype" w:eastAsia="Calibri" w:hAnsi="Palatino Linotype" w:cs="Tahoma"/>
          <w:bCs/>
          <w:sz w:val="22"/>
          <w:szCs w:val="22"/>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521E97B"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0106C60A" w14:textId="77777777" w:rsidR="00ED6F47" w:rsidRPr="00ED6F47" w:rsidRDefault="00ED6F47" w:rsidP="00ED6F47">
      <w:pPr>
        <w:tabs>
          <w:tab w:val="left" w:pos="4962"/>
        </w:tabs>
        <w:spacing w:line="360" w:lineRule="auto"/>
        <w:jc w:val="both"/>
        <w:rPr>
          <w:rFonts w:ascii="Palatino Linotype" w:eastAsia="Calibri" w:hAnsi="Palatino Linotype" w:cs="Tahoma"/>
          <w:iCs/>
          <w:sz w:val="22"/>
          <w:szCs w:val="22"/>
          <w:lang w:val="es-ES" w:eastAsia="es-ES_tradnl"/>
        </w:rPr>
      </w:pPr>
      <w:r w:rsidRPr="00ED6F47">
        <w:rPr>
          <w:rFonts w:ascii="Palatino Linotype" w:eastAsia="Calibri" w:hAnsi="Palatino Linotype"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BE82381" w14:textId="77777777" w:rsidR="00ED6F47" w:rsidRPr="00ED6F47" w:rsidRDefault="00ED6F47" w:rsidP="00ED6F47">
      <w:pPr>
        <w:tabs>
          <w:tab w:val="left" w:pos="4962"/>
        </w:tabs>
        <w:spacing w:line="360" w:lineRule="auto"/>
        <w:jc w:val="both"/>
        <w:rPr>
          <w:rFonts w:ascii="Palatino Linotype" w:eastAsia="Calibri" w:hAnsi="Palatino Linotype" w:cs="Tahoma"/>
          <w:iCs/>
          <w:sz w:val="22"/>
          <w:szCs w:val="22"/>
          <w:lang w:val="es-ES" w:eastAsia="es-ES_tradnl"/>
        </w:rPr>
      </w:pPr>
    </w:p>
    <w:p w14:paraId="13A6FCB6" w14:textId="77777777" w:rsidR="00ED6F47" w:rsidRPr="00ED6F47" w:rsidRDefault="00ED6F47" w:rsidP="00ED6F47">
      <w:pPr>
        <w:numPr>
          <w:ilvl w:val="0"/>
          <w:numId w:val="28"/>
        </w:numPr>
        <w:tabs>
          <w:tab w:val="left" w:pos="4962"/>
        </w:tabs>
        <w:spacing w:line="360" w:lineRule="auto"/>
        <w:jc w:val="both"/>
        <w:rPr>
          <w:rFonts w:ascii="Palatino Linotype" w:eastAsia="Calibri" w:hAnsi="Palatino Linotype" w:cs="Tahoma"/>
          <w:iCs/>
          <w:sz w:val="22"/>
          <w:szCs w:val="22"/>
          <w:lang w:val="es-ES_tradnl" w:eastAsia="es-ES_tradnl"/>
        </w:rPr>
      </w:pPr>
      <w:r w:rsidRPr="00ED6F47">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08397FE7" w14:textId="77777777" w:rsidR="00ED6F47" w:rsidRPr="00ED6F47" w:rsidRDefault="00ED6F47" w:rsidP="00ED6F47">
      <w:pPr>
        <w:tabs>
          <w:tab w:val="left" w:pos="4962"/>
        </w:tabs>
        <w:spacing w:line="360" w:lineRule="auto"/>
        <w:jc w:val="both"/>
        <w:rPr>
          <w:rFonts w:ascii="Palatino Linotype" w:eastAsia="Calibri" w:hAnsi="Palatino Linotype" w:cs="Tahoma"/>
          <w:iCs/>
          <w:sz w:val="22"/>
          <w:szCs w:val="22"/>
          <w:lang w:val="es-ES_tradnl" w:eastAsia="es-ES_tradnl"/>
        </w:rPr>
      </w:pPr>
    </w:p>
    <w:p w14:paraId="20EC73B9" w14:textId="77777777" w:rsidR="00ED6F47" w:rsidRPr="00ED6F47" w:rsidRDefault="00ED6F47" w:rsidP="00ED6F47">
      <w:pPr>
        <w:numPr>
          <w:ilvl w:val="0"/>
          <w:numId w:val="28"/>
        </w:numPr>
        <w:tabs>
          <w:tab w:val="left" w:pos="4962"/>
        </w:tabs>
        <w:spacing w:line="360" w:lineRule="auto"/>
        <w:jc w:val="both"/>
        <w:rPr>
          <w:rFonts w:ascii="Palatino Linotype" w:eastAsia="Calibri" w:hAnsi="Palatino Linotype" w:cs="Tahoma"/>
          <w:iCs/>
          <w:sz w:val="22"/>
          <w:szCs w:val="22"/>
          <w:lang w:val="es-ES_tradnl" w:eastAsia="es-ES_tradnl"/>
        </w:rPr>
      </w:pPr>
      <w:r w:rsidRPr="00ED6F47">
        <w:rPr>
          <w:rFonts w:ascii="Palatino Linotype" w:eastAsia="Calibri" w:hAnsi="Palatino Linotype" w:cs="Tahoma"/>
          <w:iCs/>
          <w:sz w:val="22"/>
          <w:szCs w:val="22"/>
          <w:lang w:val="es-ES_tradnl" w:eastAsia="es-ES_tradnl"/>
        </w:rPr>
        <w:t>El riesgo de perjuicio supera el interés público general de que se difunda.</w:t>
      </w:r>
    </w:p>
    <w:p w14:paraId="2A203987" w14:textId="77777777" w:rsidR="00ED6F47" w:rsidRPr="00ED6F47" w:rsidRDefault="00ED6F47" w:rsidP="00ED6F47">
      <w:pPr>
        <w:tabs>
          <w:tab w:val="left" w:pos="4962"/>
        </w:tabs>
        <w:spacing w:line="360" w:lineRule="auto"/>
        <w:jc w:val="both"/>
        <w:rPr>
          <w:rFonts w:ascii="Palatino Linotype" w:eastAsia="Calibri" w:hAnsi="Palatino Linotype" w:cs="Tahoma"/>
          <w:iCs/>
          <w:sz w:val="22"/>
          <w:szCs w:val="22"/>
          <w:lang w:val="es-ES_tradnl" w:eastAsia="es-ES_tradnl"/>
        </w:rPr>
      </w:pPr>
    </w:p>
    <w:p w14:paraId="314BC829" w14:textId="77777777" w:rsidR="00ED6F47" w:rsidRPr="00ED6F47" w:rsidRDefault="00ED6F47" w:rsidP="00ED6F47">
      <w:pPr>
        <w:numPr>
          <w:ilvl w:val="0"/>
          <w:numId w:val="28"/>
        </w:numPr>
        <w:tabs>
          <w:tab w:val="left" w:pos="4962"/>
        </w:tabs>
        <w:spacing w:line="360" w:lineRule="auto"/>
        <w:jc w:val="both"/>
        <w:rPr>
          <w:rFonts w:ascii="Palatino Linotype" w:eastAsia="Calibri" w:hAnsi="Palatino Linotype" w:cs="Tahoma"/>
          <w:iCs/>
          <w:sz w:val="22"/>
          <w:szCs w:val="22"/>
          <w:lang w:val="es-ES_tradnl" w:eastAsia="es-ES_tradnl"/>
        </w:rPr>
      </w:pPr>
      <w:r w:rsidRPr="00ED6F47">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434A97BF" w14:textId="77777777" w:rsidR="00ED6F47" w:rsidRPr="00ED6F47" w:rsidRDefault="00ED6F47" w:rsidP="00ED6F47">
      <w:pPr>
        <w:spacing w:line="360" w:lineRule="auto"/>
        <w:jc w:val="both"/>
        <w:rPr>
          <w:rFonts w:ascii="Palatino Linotype" w:eastAsia="Calibri" w:hAnsi="Palatino Linotype" w:cs="Tahoma"/>
          <w:iCs/>
          <w:sz w:val="22"/>
          <w:szCs w:val="22"/>
          <w:lang w:eastAsia="es-ES_tradnl"/>
        </w:rPr>
      </w:pPr>
    </w:p>
    <w:p w14:paraId="1FAC65D6" w14:textId="77777777" w:rsidR="00ED6F47" w:rsidRPr="00ED6F47" w:rsidRDefault="00ED6F47" w:rsidP="00ED6F47">
      <w:pPr>
        <w:spacing w:line="360" w:lineRule="auto"/>
        <w:jc w:val="both"/>
        <w:rPr>
          <w:rFonts w:ascii="Palatino Linotype" w:eastAsia="Calibri" w:hAnsi="Palatino Linotype" w:cs="Tahoma"/>
          <w:iCs/>
          <w:sz w:val="22"/>
          <w:szCs w:val="22"/>
          <w:lang w:eastAsia="es-ES_tradnl"/>
        </w:rPr>
      </w:pPr>
      <w:r w:rsidRPr="00ED6F47">
        <w:rPr>
          <w:rFonts w:ascii="Palatino Linotype" w:eastAsia="Calibri" w:hAnsi="Palatino Linotype" w:cs="Tahoma"/>
          <w:iCs/>
          <w:sz w:val="22"/>
          <w:szCs w:val="22"/>
          <w:lang w:eastAsia="es-ES_tradnl"/>
        </w:rPr>
        <w:t>Al respecto, este Instituto advierte lo siguiente:</w:t>
      </w:r>
    </w:p>
    <w:p w14:paraId="33CB885A" w14:textId="77777777" w:rsidR="00ED6F47" w:rsidRPr="00ED6F47" w:rsidRDefault="00ED6F47" w:rsidP="00ED6F47">
      <w:pPr>
        <w:spacing w:line="360" w:lineRule="auto"/>
        <w:jc w:val="both"/>
        <w:rPr>
          <w:rFonts w:ascii="Palatino Linotype" w:eastAsia="Calibri" w:hAnsi="Palatino Linotype" w:cs="Tahoma"/>
          <w:iCs/>
          <w:sz w:val="22"/>
          <w:szCs w:val="22"/>
          <w:lang w:eastAsia="es-ES_tradnl"/>
        </w:rPr>
      </w:pPr>
    </w:p>
    <w:p w14:paraId="4133D062" w14:textId="1DA90B35" w:rsidR="00ED6F47" w:rsidRPr="00C7451F" w:rsidRDefault="00ED6F47" w:rsidP="00C7451F">
      <w:pPr>
        <w:numPr>
          <w:ilvl w:val="0"/>
          <w:numId w:val="29"/>
        </w:numPr>
        <w:spacing w:line="360" w:lineRule="auto"/>
        <w:contextualSpacing/>
        <w:jc w:val="both"/>
        <w:rPr>
          <w:rFonts w:ascii="Palatino Linotype" w:eastAsia="Calibri" w:hAnsi="Palatino Linotype" w:cs="Tahoma"/>
          <w:bCs/>
          <w:sz w:val="22"/>
          <w:szCs w:val="22"/>
          <w:lang w:eastAsia="en-US"/>
        </w:rPr>
      </w:pPr>
      <w:r w:rsidRPr="00C7451F">
        <w:rPr>
          <w:rFonts w:ascii="Palatino Linotype" w:eastAsia="Calibri" w:hAnsi="Palatino Linotype" w:cs="Tahoma"/>
          <w:b/>
          <w:bCs/>
          <w:sz w:val="22"/>
          <w:szCs w:val="22"/>
          <w:lang w:eastAsia="en-US"/>
        </w:rPr>
        <w:t>Que</w:t>
      </w:r>
      <w:r w:rsidRPr="00C7451F">
        <w:rPr>
          <w:rFonts w:ascii="Palatino Linotype" w:eastAsia="Calibri" w:hAnsi="Palatino Linotype" w:cs="Tahoma"/>
          <w:bCs/>
          <w:sz w:val="22"/>
          <w:szCs w:val="22"/>
          <w:lang w:eastAsia="en-US"/>
        </w:rPr>
        <w:t xml:space="preserve"> existe un </w:t>
      </w:r>
      <w:r w:rsidRPr="00C7451F">
        <w:rPr>
          <w:rFonts w:ascii="Palatino Linotype" w:eastAsia="Calibri" w:hAnsi="Palatino Linotype" w:cs="Tahoma"/>
          <w:b/>
          <w:bCs/>
          <w:sz w:val="22"/>
          <w:szCs w:val="22"/>
          <w:lang w:eastAsia="en-US"/>
        </w:rPr>
        <w:t xml:space="preserve">riesgo real, demostrable e identificable, </w:t>
      </w:r>
      <w:r w:rsidRPr="00C7451F">
        <w:rPr>
          <w:rFonts w:ascii="Palatino Linotype" w:eastAsia="Calibri" w:hAnsi="Palatino Linotype" w:cs="Tahoma"/>
          <w:bCs/>
          <w:sz w:val="22"/>
          <w:szCs w:val="22"/>
          <w:lang w:eastAsia="en-US"/>
        </w:rPr>
        <w:t xml:space="preserve">toda vez que dar a conocer los nombres de la policía municipal, pone en riesgo su vida, salud y seguridad, dado que </w:t>
      </w:r>
      <w:r w:rsidRPr="00C7451F">
        <w:rPr>
          <w:rFonts w:ascii="Palatino Linotype" w:eastAsia="Calibri" w:hAnsi="Palatino Linotype" w:cs="Tahoma"/>
          <w:bCs/>
          <w:sz w:val="22"/>
          <w:szCs w:val="22"/>
          <w:lang w:eastAsia="en-US"/>
        </w:rPr>
        <w:lastRenderedPageBreak/>
        <w:t xml:space="preserve">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00D766EF" w:rsidRPr="00C7451F">
        <w:rPr>
          <w:rFonts w:ascii="Palatino Linotype" w:eastAsiaTheme="minorHAnsi" w:hAnsi="Palatino Linotype" w:cs="Tahoma"/>
          <w:bCs/>
          <w:color w:val="000000" w:themeColor="text1"/>
          <w:sz w:val="22"/>
          <w:szCs w:val="22"/>
          <w:lang w:val="es-ES_tradnl" w:eastAsia="en-US"/>
        </w:rPr>
        <w:t>Dirección de Seguridad Pública, Centro de Mando y Monitoreo</w:t>
      </w:r>
    </w:p>
    <w:p w14:paraId="142139F9" w14:textId="77777777" w:rsidR="00D766EF" w:rsidRPr="00C7451F" w:rsidRDefault="00D766EF" w:rsidP="00D766EF">
      <w:pPr>
        <w:spacing w:line="360" w:lineRule="auto"/>
        <w:ind w:left="720"/>
        <w:contextualSpacing/>
        <w:jc w:val="both"/>
        <w:rPr>
          <w:rFonts w:ascii="Palatino Linotype" w:eastAsia="Calibri" w:hAnsi="Palatino Linotype" w:cs="Tahoma"/>
          <w:b/>
          <w:bCs/>
          <w:sz w:val="22"/>
          <w:szCs w:val="22"/>
          <w:lang w:eastAsia="en-US"/>
        </w:rPr>
      </w:pPr>
    </w:p>
    <w:p w14:paraId="7BCE1BC3" w14:textId="77777777" w:rsidR="00ED6F47" w:rsidRPr="00ED6F47" w:rsidRDefault="00ED6F47" w:rsidP="00ED6F47">
      <w:pPr>
        <w:numPr>
          <w:ilvl w:val="0"/>
          <w:numId w:val="29"/>
        </w:numPr>
        <w:spacing w:line="360" w:lineRule="auto"/>
        <w:contextualSpacing/>
        <w:jc w:val="both"/>
        <w:rPr>
          <w:rFonts w:ascii="Palatino Linotype" w:eastAsia="Calibri" w:hAnsi="Palatino Linotype" w:cs="Tahoma"/>
          <w:b/>
          <w:bCs/>
          <w:sz w:val="22"/>
          <w:szCs w:val="22"/>
          <w:lang w:eastAsia="en-US"/>
        </w:rPr>
      </w:pPr>
      <w:r w:rsidRPr="00C7451F">
        <w:rPr>
          <w:rFonts w:ascii="Palatino Linotype" w:eastAsia="Calibri" w:hAnsi="Palatino Linotype" w:cs="Tahoma"/>
          <w:b/>
          <w:bCs/>
          <w:sz w:val="22"/>
          <w:szCs w:val="22"/>
          <w:lang w:eastAsia="en-US"/>
        </w:rPr>
        <w:t>Que el riesgo de perjuicio que supone la divulgación de la información supera el</w:t>
      </w:r>
      <w:r w:rsidRPr="00ED6F47">
        <w:rPr>
          <w:rFonts w:ascii="Palatino Linotype" w:eastAsia="Calibri" w:hAnsi="Palatino Linotype" w:cs="Tahoma"/>
          <w:b/>
          <w:bCs/>
          <w:sz w:val="22"/>
          <w:szCs w:val="22"/>
          <w:lang w:eastAsia="en-US"/>
        </w:rPr>
        <w:t xml:space="preserve"> interés público general</w:t>
      </w:r>
      <w:r w:rsidRPr="00ED6F47">
        <w:rPr>
          <w:rFonts w:ascii="Palatino Linotype" w:eastAsia="Calibri" w:hAnsi="Palatino Linotype" w:cs="Tahoma"/>
          <w:bCs/>
          <w:sz w:val="22"/>
          <w:szCs w:val="22"/>
          <w:lang w:eastAsia="en-US"/>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ED6F47">
        <w:rPr>
          <w:rFonts w:ascii="Palatino Linotype" w:eastAsia="Calibri" w:hAnsi="Palatino Linotype" w:cs="Tahoma"/>
          <w:b/>
          <w:bCs/>
          <w:sz w:val="22"/>
          <w:szCs w:val="22"/>
          <w:lang w:eastAsia="en-US"/>
        </w:rPr>
        <w:t>vulnerando así, el interés general.</w:t>
      </w:r>
    </w:p>
    <w:p w14:paraId="2D0BF1B7" w14:textId="77777777" w:rsidR="00ED6F47" w:rsidRPr="00ED6F47" w:rsidRDefault="00ED6F47" w:rsidP="00ED6F47">
      <w:pPr>
        <w:spacing w:line="360" w:lineRule="auto"/>
        <w:ind w:left="720"/>
        <w:contextualSpacing/>
        <w:jc w:val="both"/>
        <w:rPr>
          <w:rFonts w:ascii="Palatino Linotype" w:eastAsia="Calibri" w:hAnsi="Palatino Linotype" w:cs="Tahoma"/>
          <w:bCs/>
          <w:sz w:val="22"/>
          <w:szCs w:val="22"/>
          <w:lang w:eastAsia="en-US"/>
        </w:rPr>
      </w:pPr>
    </w:p>
    <w:p w14:paraId="3E44C648" w14:textId="77777777" w:rsidR="00ED6F47" w:rsidRPr="00ED6F47" w:rsidRDefault="00ED6F47" w:rsidP="00ED6F47">
      <w:pPr>
        <w:numPr>
          <w:ilvl w:val="0"/>
          <w:numId w:val="29"/>
        </w:numPr>
        <w:spacing w:line="360" w:lineRule="auto"/>
        <w:contextualSpacing/>
        <w:jc w:val="both"/>
        <w:rPr>
          <w:rFonts w:ascii="Palatino Linotype" w:eastAsia="Calibri" w:hAnsi="Palatino Linotype" w:cs="Tahoma"/>
          <w:bCs/>
          <w:sz w:val="22"/>
          <w:szCs w:val="22"/>
          <w:lang w:eastAsia="en-US"/>
        </w:rPr>
      </w:pPr>
      <w:r w:rsidRPr="00ED6F47">
        <w:rPr>
          <w:rFonts w:ascii="Palatino Linotype" w:eastAsia="Calibri" w:hAnsi="Palatino Linotype" w:cs="Tahoma"/>
          <w:b/>
          <w:bCs/>
          <w:sz w:val="22"/>
          <w:szCs w:val="22"/>
          <w:lang w:eastAsia="en-US"/>
        </w:rPr>
        <w:t xml:space="preserve">Que la reserva no se traduzca en un medio restrictivo al derecho de acceso a la información, </w:t>
      </w:r>
      <w:r w:rsidRPr="00ED6F47">
        <w:rPr>
          <w:rFonts w:ascii="Palatino Linotype" w:eastAsia="Calibri" w:hAnsi="Palatino Linotype" w:cs="Tahoma"/>
          <w:bCs/>
          <w:sz w:val="22"/>
          <w:szCs w:val="22"/>
          <w:lang w:eastAsia="en-US"/>
        </w:rPr>
        <w:t xml:space="preserve">en virtud de que la misma prevalece al proteger alguno de los derechos más importantes, como lo son la vida, la salud y la seguridad de </w:t>
      </w:r>
      <w:r w:rsidRPr="00ED6F47">
        <w:rPr>
          <w:rFonts w:ascii="Palatino Linotype" w:eastAsia="Calibri" w:hAnsi="Palatino Linotype" w:cs="Tahoma"/>
          <w:b/>
          <w:bCs/>
          <w:sz w:val="22"/>
          <w:szCs w:val="22"/>
          <w:lang w:eastAsia="en-US"/>
        </w:rPr>
        <w:t>los servidores públicos,</w:t>
      </w:r>
      <w:r w:rsidRPr="00ED6F47">
        <w:rPr>
          <w:rFonts w:ascii="Palatino Linotype" w:eastAsia="Calibri" w:hAnsi="Palatino Linotype" w:cs="Tahoma"/>
          <w:bCs/>
          <w:sz w:val="22"/>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6F7798F6" w14:textId="77777777" w:rsidR="00ED6F47" w:rsidRPr="00ED6F47" w:rsidRDefault="00ED6F47" w:rsidP="00ED6F47">
      <w:pPr>
        <w:spacing w:line="360" w:lineRule="auto"/>
        <w:jc w:val="both"/>
        <w:rPr>
          <w:rFonts w:ascii="Palatino Linotype" w:eastAsia="Calibri" w:hAnsi="Palatino Linotype" w:cs="Tahoma"/>
          <w:bCs/>
          <w:sz w:val="22"/>
          <w:szCs w:val="22"/>
          <w:lang w:eastAsia="en-US"/>
        </w:rPr>
      </w:pPr>
    </w:p>
    <w:p w14:paraId="5A340948" w14:textId="46AF4866" w:rsidR="00ED6F47" w:rsidRPr="00ED6F47" w:rsidRDefault="00ED6F47" w:rsidP="00ED6F47">
      <w:pPr>
        <w:spacing w:line="360" w:lineRule="auto"/>
        <w:jc w:val="both"/>
        <w:rPr>
          <w:rFonts w:ascii="Palatino Linotype" w:eastAsia="Calibri" w:hAnsi="Palatino Linotype" w:cs="Tahoma"/>
          <w:b/>
          <w:iCs/>
          <w:sz w:val="22"/>
          <w:szCs w:val="22"/>
          <w:lang w:val="es-ES" w:eastAsia="es-ES_tradnl"/>
        </w:rPr>
      </w:pPr>
      <w:r w:rsidRPr="00ED6F47">
        <w:rPr>
          <w:rFonts w:ascii="Palatino Linotype" w:eastAsia="Calibri" w:hAnsi="Palatino Linotype" w:cs="Tahoma"/>
          <w:bCs/>
          <w:sz w:val="22"/>
          <w:szCs w:val="22"/>
          <w:lang w:eastAsia="en-US"/>
        </w:rPr>
        <w:t xml:space="preserve">Por tales consideraciones, </w:t>
      </w:r>
      <w:r w:rsidRPr="00ED6F47">
        <w:rPr>
          <w:rFonts w:ascii="Palatino Linotype" w:eastAsia="Calibri" w:hAnsi="Palatino Linotype" w:cs="Tahoma"/>
          <w:b/>
          <w:bCs/>
          <w:sz w:val="22"/>
          <w:szCs w:val="22"/>
          <w:lang w:eastAsia="en-US"/>
        </w:rPr>
        <w:t xml:space="preserve">resulta procedente la reserva del nombre de los elementos operativos de la </w:t>
      </w:r>
      <w:r w:rsidR="00C7451F" w:rsidRPr="00C7451F">
        <w:rPr>
          <w:rFonts w:ascii="Palatino Linotype" w:eastAsia="Calibri" w:hAnsi="Palatino Linotype" w:cs="Tahoma"/>
          <w:b/>
          <w:bCs/>
          <w:sz w:val="22"/>
          <w:szCs w:val="22"/>
          <w:lang w:eastAsia="en-US"/>
        </w:rPr>
        <w:t>Dirección de Seguridad Pública, Centro de Mando y Monitoreo</w:t>
      </w:r>
      <w:r w:rsidRPr="00ED6F47">
        <w:rPr>
          <w:rFonts w:ascii="Palatino Linotype" w:eastAsia="Calibri" w:hAnsi="Palatino Linotype" w:cs="Tahoma"/>
          <w:b/>
          <w:bCs/>
          <w:sz w:val="22"/>
          <w:szCs w:val="22"/>
          <w:lang w:eastAsia="en-US"/>
        </w:rPr>
        <w:t xml:space="preserve">, en términos del artículo 140, fracción IV, de </w:t>
      </w:r>
      <w:r w:rsidRPr="00ED6F47">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290A0095" w14:textId="4185C180" w:rsidR="00ED6F47" w:rsidRPr="00ED6F47" w:rsidRDefault="00ED6F47" w:rsidP="00ED6F47">
      <w:pPr>
        <w:autoSpaceDE w:val="0"/>
        <w:autoSpaceDN w:val="0"/>
        <w:spacing w:line="360" w:lineRule="auto"/>
        <w:jc w:val="both"/>
        <w:rPr>
          <w:rFonts w:ascii="Palatino Linotype" w:hAnsi="Palatino Linotype" w:cs="Tahoma"/>
          <w:sz w:val="22"/>
          <w:szCs w:val="22"/>
        </w:rPr>
      </w:pPr>
      <w:r w:rsidRPr="00ED6F47">
        <w:rPr>
          <w:rFonts w:ascii="Palatino Linotype" w:eastAsia="Calibri" w:hAnsi="Palatino Linotype" w:cs="Tahoma"/>
          <w:iCs/>
          <w:sz w:val="22"/>
          <w:szCs w:val="22"/>
          <w:lang w:val="es-ES" w:eastAsia="es-ES_tradnl"/>
        </w:rPr>
        <w:lastRenderedPageBreak/>
        <w:t>Finalmente,</w:t>
      </w:r>
      <w:r w:rsidRPr="00ED6F47">
        <w:rPr>
          <w:rFonts w:ascii="Palatino Linotype" w:eastAsia="Calibri" w:hAnsi="Palatino Linotype" w:cs="Tahoma"/>
          <w:b/>
          <w:iCs/>
          <w:sz w:val="22"/>
          <w:szCs w:val="22"/>
          <w:lang w:val="es-ES" w:eastAsia="es-ES_tradnl"/>
        </w:rPr>
        <w:t xml:space="preserve"> </w:t>
      </w:r>
      <w:r w:rsidRPr="00ED6F47">
        <w:rPr>
          <w:rFonts w:ascii="Palatino Linotype" w:eastAsia="Calibri" w:hAnsi="Palatino Linotype" w:cs="Tahoma"/>
          <w:bCs/>
          <w:sz w:val="22"/>
          <w:szCs w:val="22"/>
          <w:lang w:eastAsia="en-US"/>
        </w:rPr>
        <w:t xml:space="preserve">respecto al plazo de reserva, el artículo 125 de la Ley de la materia, establece </w:t>
      </w:r>
      <w:r w:rsidRPr="00ED6F47">
        <w:rPr>
          <w:rFonts w:ascii="Palatino Linotype" w:hAnsi="Palatino Linotype" w:cs="Tahoma"/>
          <w:bCs/>
          <w:sz w:val="22"/>
          <w:szCs w:val="22"/>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ED6F47">
        <w:rPr>
          <w:rFonts w:ascii="Palatino Linotype" w:hAnsi="Palatino Linotype" w:cs="Tahoma"/>
          <w:sz w:val="22"/>
          <w:szCs w:val="22"/>
        </w:rPr>
        <w:t>versiones públicas, deberá clasificar el nombre de los elementos operativos en materia de seguridad</w:t>
      </w:r>
      <w:r w:rsidR="00C7451F">
        <w:rPr>
          <w:rFonts w:ascii="Palatino Linotype" w:hAnsi="Palatino Linotype" w:cs="Tahoma"/>
          <w:sz w:val="22"/>
          <w:szCs w:val="22"/>
        </w:rPr>
        <w:t>.</w:t>
      </w:r>
    </w:p>
    <w:p w14:paraId="7FC51FE1" w14:textId="77777777" w:rsidR="00ED6F47" w:rsidRPr="00ED6F47" w:rsidRDefault="00ED6F47" w:rsidP="00ED6F47">
      <w:pPr>
        <w:autoSpaceDE w:val="0"/>
        <w:autoSpaceDN w:val="0"/>
        <w:spacing w:line="360" w:lineRule="auto"/>
        <w:jc w:val="both"/>
        <w:rPr>
          <w:rFonts w:ascii="Palatino Linotype" w:hAnsi="Palatino Linotype" w:cs="Tahoma"/>
          <w:bCs/>
          <w:sz w:val="22"/>
          <w:szCs w:val="22"/>
        </w:rPr>
      </w:pPr>
    </w:p>
    <w:p w14:paraId="4864ED14" w14:textId="10AF4294" w:rsidR="00ED6F47" w:rsidRPr="00ED6F47" w:rsidRDefault="00C7451F" w:rsidP="00ED6F47">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_tradnl"/>
        </w:rPr>
        <w:t>Además, n</w:t>
      </w:r>
      <w:r w:rsidR="00ED6F47" w:rsidRPr="00ED6F47">
        <w:rPr>
          <w:rFonts w:ascii="Palatino Linotype" w:hAnsi="Palatino Linotype" w:cs="Tahoma"/>
          <w:bCs/>
          <w:iCs/>
          <w:sz w:val="22"/>
          <w:szCs w:val="22"/>
          <w:lang w:val="es-ES_tradnl"/>
        </w:rPr>
        <w:t>o pasa desapercibido para este Instituto que los contratos, pudieran contener datos o información clasificada; a</w:t>
      </w:r>
      <w:r w:rsidR="00ED6F47" w:rsidRPr="00ED6F47">
        <w:rPr>
          <w:rFonts w:ascii="Palatino Linotype" w:hAnsi="Palatino Linotype" w:cs="Tahoma"/>
          <w:bCs/>
          <w:i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2E7F94C" w14:textId="77777777" w:rsidR="00ED6F47" w:rsidRPr="00ED6F47" w:rsidRDefault="00ED6F47" w:rsidP="00ED6F47">
      <w:pPr>
        <w:spacing w:line="360" w:lineRule="auto"/>
        <w:jc w:val="both"/>
        <w:rPr>
          <w:rFonts w:ascii="Palatino Linotype" w:hAnsi="Palatino Linotype" w:cs="Tahoma"/>
          <w:bCs/>
          <w:iCs/>
          <w:sz w:val="22"/>
          <w:szCs w:val="22"/>
          <w:lang w:val="es-ES"/>
        </w:rPr>
      </w:pPr>
    </w:p>
    <w:p w14:paraId="7853BB10" w14:textId="77777777" w:rsidR="00ED6F47" w:rsidRPr="00ED6F47" w:rsidRDefault="00ED6F47" w:rsidP="00ED6F47">
      <w:pPr>
        <w:spacing w:line="360" w:lineRule="auto"/>
        <w:jc w:val="both"/>
        <w:rPr>
          <w:rFonts w:ascii="Palatino Linotype" w:hAnsi="Palatino Linotype" w:cs="Tahoma"/>
          <w:bCs/>
          <w:iCs/>
          <w:sz w:val="22"/>
          <w:szCs w:val="22"/>
          <w:lang w:val="es-ES"/>
        </w:rPr>
      </w:pPr>
      <w:r w:rsidRPr="00ED6F4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0B0D675" w14:textId="77777777" w:rsidR="00A043BD" w:rsidRDefault="00A043BD" w:rsidP="00AC5A6A">
      <w:pPr>
        <w:widowControl w:val="0"/>
        <w:tabs>
          <w:tab w:val="center" w:pos="4522"/>
        </w:tabs>
        <w:spacing w:line="360" w:lineRule="auto"/>
        <w:jc w:val="both"/>
        <w:rPr>
          <w:rFonts w:ascii="Palatino Linotype" w:hAnsi="Palatino Linotype"/>
          <w:bCs/>
          <w:sz w:val="22"/>
          <w:szCs w:val="22"/>
          <w:lang w:val="es-ES_tradnl"/>
        </w:rPr>
      </w:pPr>
    </w:p>
    <w:p w14:paraId="0E55F836" w14:textId="77777777" w:rsidR="0040530C" w:rsidRPr="00F54C81" w:rsidRDefault="0040530C" w:rsidP="00AC5A6A">
      <w:pPr>
        <w:spacing w:line="360" w:lineRule="auto"/>
        <w:jc w:val="both"/>
        <w:rPr>
          <w:rFonts w:ascii="Palatino Linotype" w:eastAsia="Calibri" w:hAnsi="Palatino Linotype" w:cs="Tahoma"/>
          <w:b/>
          <w:sz w:val="22"/>
          <w:szCs w:val="22"/>
          <w:lang w:eastAsia="en-US"/>
        </w:rPr>
      </w:pPr>
      <w:r w:rsidRPr="00F54C81">
        <w:rPr>
          <w:rFonts w:ascii="Palatino Linotype" w:eastAsia="Calibri" w:hAnsi="Palatino Linotype" w:cs="Tahoma"/>
          <w:b/>
          <w:sz w:val="22"/>
          <w:szCs w:val="22"/>
          <w:lang w:eastAsia="en-US"/>
        </w:rPr>
        <w:t xml:space="preserve">SEXTO. Decisión. </w:t>
      </w:r>
    </w:p>
    <w:p w14:paraId="131FDF80" w14:textId="77777777" w:rsidR="0040530C" w:rsidRPr="00F54C81" w:rsidRDefault="0040530C" w:rsidP="00AC5A6A">
      <w:pPr>
        <w:spacing w:line="360" w:lineRule="auto"/>
        <w:jc w:val="both"/>
        <w:rPr>
          <w:rFonts w:ascii="Palatino Linotype" w:eastAsia="Calibri" w:hAnsi="Palatino Linotype" w:cs="Tahoma"/>
          <w:b/>
          <w:sz w:val="22"/>
          <w:szCs w:val="22"/>
          <w:lang w:eastAsia="en-US"/>
        </w:rPr>
      </w:pPr>
    </w:p>
    <w:p w14:paraId="57A79441" w14:textId="1688FC98" w:rsidR="000C0A54" w:rsidRDefault="00AC5A6A" w:rsidP="000C0A54">
      <w:pPr>
        <w:widowControl w:val="0"/>
        <w:spacing w:line="360" w:lineRule="auto"/>
        <w:jc w:val="both"/>
        <w:rPr>
          <w:rFonts w:ascii="Palatino Linotype" w:eastAsia="Calibri" w:hAnsi="Palatino Linotype" w:cs="Tahoma"/>
          <w:iCs/>
          <w:color w:val="000000" w:themeColor="text1"/>
          <w:sz w:val="22"/>
          <w:szCs w:val="22"/>
          <w:lang w:eastAsia="es-ES_tradnl"/>
        </w:rPr>
      </w:pPr>
      <w:r w:rsidRPr="00AC5A6A">
        <w:rPr>
          <w:rFonts w:ascii="Palatino Linotype" w:eastAsiaTheme="minorHAnsi" w:hAnsi="Palatino Linotype" w:cs="Tahoma"/>
          <w:color w:val="000000" w:themeColor="text1"/>
          <w:sz w:val="22"/>
          <w:szCs w:val="22"/>
          <w:lang w:eastAsia="en-US"/>
        </w:rPr>
        <w:lastRenderedPageBreak/>
        <w:t xml:space="preserve">Con fundamento en el artículo 186, fracción III, de la Ley de Transparencia y Acceso a la Información Pública del Estado de México y Municipios, este Instituto considera procedente </w:t>
      </w:r>
      <w:r w:rsidR="0074312E">
        <w:rPr>
          <w:rFonts w:ascii="Palatino Linotype" w:eastAsiaTheme="minorHAnsi" w:hAnsi="Palatino Linotype" w:cs="Tahoma"/>
          <w:b/>
          <w:color w:val="000000" w:themeColor="text1"/>
          <w:sz w:val="22"/>
          <w:szCs w:val="22"/>
          <w:lang w:eastAsia="en-US"/>
        </w:rPr>
        <w:t>MODIFICAR</w:t>
      </w:r>
      <w:r w:rsidRPr="00AC5A6A">
        <w:rPr>
          <w:rFonts w:ascii="Palatino Linotype" w:eastAsiaTheme="minorHAnsi" w:hAnsi="Palatino Linotype" w:cs="Tahoma"/>
          <w:b/>
          <w:color w:val="000000" w:themeColor="text1"/>
          <w:sz w:val="22"/>
          <w:szCs w:val="22"/>
          <w:lang w:eastAsia="en-US"/>
        </w:rPr>
        <w:t xml:space="preserve"> </w:t>
      </w:r>
      <w:r w:rsidRPr="00AC5A6A">
        <w:rPr>
          <w:rFonts w:ascii="Palatino Linotype" w:eastAsiaTheme="minorHAnsi" w:hAnsi="Palatino Linotype" w:cs="Tahoma"/>
          <w:bCs/>
          <w:color w:val="000000" w:themeColor="text1"/>
          <w:sz w:val="22"/>
          <w:szCs w:val="22"/>
          <w:lang w:eastAsia="en-US"/>
        </w:rPr>
        <w:t>la</w:t>
      </w:r>
      <w:r w:rsidRPr="00AC5A6A">
        <w:rPr>
          <w:rFonts w:ascii="Palatino Linotype" w:eastAsiaTheme="minorHAnsi" w:hAnsi="Palatino Linotype" w:cs="Tahoma"/>
          <w:color w:val="000000" w:themeColor="text1"/>
          <w:sz w:val="22"/>
          <w:szCs w:val="22"/>
          <w:lang w:eastAsia="en-US"/>
        </w:rPr>
        <w:t xml:space="preserve"> respuesta otorgada por el </w:t>
      </w:r>
      <w:r w:rsidRPr="00AC5A6A">
        <w:rPr>
          <w:rFonts w:ascii="Palatino Linotype" w:eastAsia="Calibri" w:hAnsi="Palatino Linotype" w:cs="Tahoma"/>
          <w:color w:val="000000" w:themeColor="text1"/>
          <w:sz w:val="22"/>
          <w:szCs w:val="22"/>
          <w:lang w:eastAsia="en-US"/>
        </w:rPr>
        <w:t xml:space="preserve">Ayuntamiento de </w:t>
      </w:r>
      <w:r w:rsidR="00EB496E">
        <w:rPr>
          <w:rFonts w:ascii="Palatino Linotype" w:eastAsia="Calibri" w:hAnsi="Palatino Linotype" w:cs="Tahoma"/>
          <w:color w:val="000000" w:themeColor="text1"/>
          <w:sz w:val="22"/>
          <w:szCs w:val="22"/>
          <w:lang w:eastAsia="en-US"/>
        </w:rPr>
        <w:t>Atenco</w:t>
      </w:r>
      <w:r w:rsidRPr="00AC5A6A">
        <w:rPr>
          <w:rFonts w:ascii="Palatino Linotype" w:eastAsia="Calibri" w:hAnsi="Palatino Linotype" w:cs="Tahoma"/>
          <w:color w:val="000000" w:themeColor="text1"/>
          <w:sz w:val="22"/>
          <w:szCs w:val="22"/>
          <w:lang w:eastAsia="en-US"/>
        </w:rPr>
        <w:t xml:space="preserve">, e instruye al Sujeto Obligado </w:t>
      </w:r>
      <w:r w:rsidRPr="00AC5A6A">
        <w:rPr>
          <w:rFonts w:ascii="Palatino Linotype" w:eastAsiaTheme="minorHAnsi" w:hAnsi="Palatino Linotype" w:cs="Tahoma"/>
          <w:color w:val="000000" w:themeColor="text1"/>
          <w:sz w:val="22"/>
          <w:szCs w:val="22"/>
          <w:lang w:eastAsia="en-US"/>
        </w:rPr>
        <w:t xml:space="preserve">a efecto de que, previa búsqueda exhaustiva y razonable en la </w:t>
      </w:r>
      <w:r w:rsidR="0074312E">
        <w:rPr>
          <w:rFonts w:ascii="Palatino Linotype" w:eastAsiaTheme="minorHAnsi" w:hAnsi="Palatino Linotype" w:cs="Tahoma"/>
          <w:color w:val="000000" w:themeColor="text1"/>
          <w:sz w:val="22"/>
          <w:szCs w:val="22"/>
          <w:lang w:eastAsia="en-US"/>
        </w:rPr>
        <w:t>Jefatura de Recursos Humanos</w:t>
      </w:r>
      <w:r w:rsidRPr="00AC5A6A">
        <w:rPr>
          <w:rFonts w:ascii="Palatino Linotype" w:eastAsiaTheme="minorHAnsi" w:hAnsi="Palatino Linotype" w:cs="Tahoma"/>
          <w:color w:val="000000" w:themeColor="text1"/>
          <w:sz w:val="22"/>
          <w:szCs w:val="22"/>
          <w:lang w:eastAsia="en-US"/>
        </w:rPr>
        <w:t xml:space="preserve">, entregue, </w:t>
      </w:r>
      <w:r w:rsidRPr="00AC5A6A">
        <w:rPr>
          <w:rFonts w:ascii="Palatino Linotype" w:eastAsia="Calibri" w:hAnsi="Palatino Linotype" w:cs="Tahoma"/>
          <w:iCs/>
          <w:color w:val="000000" w:themeColor="text1"/>
          <w:sz w:val="22"/>
          <w:szCs w:val="22"/>
          <w:lang w:eastAsia="es-ES_tradnl"/>
        </w:rPr>
        <w:t>a través del Sistema de Acceso a la Información Mexiquense (SAIMEX), en</w:t>
      </w:r>
      <w:r w:rsidR="0074312E">
        <w:rPr>
          <w:rFonts w:ascii="Palatino Linotype" w:eastAsia="Calibri" w:hAnsi="Palatino Linotype" w:cs="Tahoma"/>
          <w:iCs/>
          <w:color w:val="000000" w:themeColor="text1"/>
          <w:sz w:val="22"/>
          <w:szCs w:val="22"/>
          <w:lang w:eastAsia="es-ES_tradnl"/>
        </w:rPr>
        <w:t xml:space="preserve"> su caso, en</w:t>
      </w:r>
      <w:r w:rsidRPr="00AC5A6A">
        <w:rPr>
          <w:rFonts w:ascii="Palatino Linotype" w:eastAsia="Calibri" w:hAnsi="Palatino Linotype" w:cs="Tahoma"/>
          <w:iCs/>
          <w:color w:val="000000" w:themeColor="text1"/>
          <w:sz w:val="22"/>
          <w:szCs w:val="22"/>
          <w:lang w:eastAsia="es-ES_tradnl"/>
        </w:rPr>
        <w:t xml:space="preserve"> versión pública, </w:t>
      </w:r>
      <w:r w:rsidR="0074312E">
        <w:rPr>
          <w:rFonts w:ascii="Palatino Linotype" w:eastAsia="Calibri" w:hAnsi="Palatino Linotype" w:cs="Tahoma"/>
          <w:iCs/>
          <w:color w:val="000000" w:themeColor="text1"/>
          <w:sz w:val="22"/>
          <w:szCs w:val="22"/>
          <w:lang w:eastAsia="es-ES_tradnl"/>
        </w:rPr>
        <w:t xml:space="preserve">los documentos donde conste </w:t>
      </w:r>
      <w:r w:rsidR="000C0A54">
        <w:rPr>
          <w:rFonts w:ascii="Palatino Linotype" w:eastAsia="Calibri" w:hAnsi="Palatino Linotype" w:cs="Tahoma"/>
          <w:iCs/>
          <w:color w:val="000000" w:themeColor="text1"/>
          <w:sz w:val="22"/>
          <w:szCs w:val="22"/>
          <w:lang w:eastAsia="es-ES_tradnl"/>
        </w:rPr>
        <w:t>lo siguiente:</w:t>
      </w:r>
    </w:p>
    <w:p w14:paraId="18133B80" w14:textId="77777777" w:rsidR="000C0A54" w:rsidRDefault="000C0A54" w:rsidP="000C0A54">
      <w:pPr>
        <w:widowControl w:val="0"/>
        <w:spacing w:line="360" w:lineRule="auto"/>
        <w:jc w:val="both"/>
        <w:rPr>
          <w:rFonts w:ascii="Palatino Linotype" w:eastAsia="Calibri" w:hAnsi="Palatino Linotype" w:cs="Tahoma"/>
          <w:iCs/>
          <w:color w:val="000000" w:themeColor="text1"/>
          <w:sz w:val="22"/>
          <w:szCs w:val="22"/>
          <w:lang w:eastAsia="es-ES_tradnl"/>
        </w:rPr>
      </w:pPr>
    </w:p>
    <w:p w14:paraId="5A64216C" w14:textId="24ED5A11" w:rsidR="00AC5A6A" w:rsidRPr="000C0A54" w:rsidRDefault="0074312E" w:rsidP="0074312E">
      <w:pPr>
        <w:pStyle w:val="Prrafodelista"/>
        <w:widowControl w:val="0"/>
        <w:numPr>
          <w:ilvl w:val="0"/>
          <w:numId w:val="25"/>
        </w:numPr>
        <w:spacing w:line="360" w:lineRule="auto"/>
        <w:jc w:val="both"/>
        <w:rPr>
          <w:rFonts w:ascii="Palatino Linotype" w:eastAsia="Calibri" w:hAnsi="Palatino Linotype" w:cs="Tahoma"/>
          <w:iCs/>
          <w:lang w:eastAsia="es-ES_tradnl"/>
        </w:rPr>
      </w:pPr>
      <w:r>
        <w:rPr>
          <w:rFonts w:ascii="Palatino Linotype" w:eastAsia="Calibri" w:hAnsi="Palatino Linotype" w:cs="Tahoma"/>
          <w:iCs/>
          <w:color w:val="000000" w:themeColor="text1"/>
          <w:szCs w:val="22"/>
          <w:lang w:eastAsia="es-ES_tradnl"/>
        </w:rPr>
        <w:t xml:space="preserve">Listado con el nombre y área de adscripción de todos los servidores públicos que al primero de abril de dos mil veintidós, laboraban para el Ayuntamiento de Atenco, que incluya al personal adscrito en la </w:t>
      </w:r>
      <w:r w:rsidRPr="0074312E">
        <w:rPr>
          <w:rFonts w:ascii="Palatino Linotype" w:eastAsia="Calibri" w:hAnsi="Palatino Linotype" w:cs="Tahoma"/>
          <w:iCs/>
          <w:color w:val="000000" w:themeColor="text1"/>
          <w:szCs w:val="22"/>
          <w:lang w:eastAsia="es-ES_tradnl"/>
        </w:rPr>
        <w:t>Dirección de Seguridad Pública, Centro de Mando y Monitoreo</w:t>
      </w:r>
      <w:r>
        <w:rPr>
          <w:rFonts w:ascii="Palatino Linotype" w:eastAsia="Calibri" w:hAnsi="Palatino Linotype" w:cs="Tahoma"/>
          <w:iCs/>
          <w:color w:val="000000" w:themeColor="text1"/>
          <w:szCs w:val="22"/>
          <w:lang w:eastAsia="es-ES_tradnl"/>
        </w:rPr>
        <w:t>.</w:t>
      </w:r>
    </w:p>
    <w:p w14:paraId="4E630D6A" w14:textId="77777777" w:rsidR="00AC5A6A" w:rsidRPr="00AC5A6A" w:rsidRDefault="00AC5A6A" w:rsidP="00AC5A6A">
      <w:pPr>
        <w:widowControl w:val="0"/>
        <w:spacing w:line="360" w:lineRule="auto"/>
        <w:jc w:val="both"/>
        <w:rPr>
          <w:rFonts w:ascii="Palatino Linotype" w:eastAsia="Calibri" w:hAnsi="Palatino Linotype" w:cs="Tahoma"/>
          <w:iCs/>
          <w:color w:val="000000" w:themeColor="text1"/>
          <w:sz w:val="22"/>
          <w:szCs w:val="22"/>
          <w:lang w:eastAsia="es-ES_tradnl"/>
        </w:rPr>
      </w:pPr>
    </w:p>
    <w:p w14:paraId="49068BE6" w14:textId="40A4FD7E" w:rsidR="00AC5A6A" w:rsidRPr="00AC5A6A" w:rsidRDefault="00AC5A6A" w:rsidP="00AC5A6A">
      <w:pPr>
        <w:tabs>
          <w:tab w:val="left" w:pos="4962"/>
        </w:tabs>
        <w:spacing w:line="360" w:lineRule="auto"/>
        <w:jc w:val="both"/>
        <w:rPr>
          <w:rFonts w:ascii="Palatino Linotype" w:eastAsia="Calibri" w:hAnsi="Palatino Linotype" w:cs="Tahoma"/>
          <w:bCs/>
          <w:iCs/>
          <w:sz w:val="22"/>
          <w:szCs w:val="22"/>
          <w:lang w:val="es-ES" w:eastAsia="en-US"/>
        </w:rPr>
      </w:pPr>
      <w:r w:rsidRPr="00AC5A6A">
        <w:rPr>
          <w:rFonts w:ascii="Palatino Linotype" w:eastAsia="Calibri" w:hAnsi="Palatino Linotype" w:cs="Tahoma"/>
          <w:bCs/>
          <w:iCs/>
          <w:sz w:val="22"/>
          <w:szCs w:val="22"/>
          <w:lang w:val="es-ES" w:eastAsia="en-US"/>
        </w:rPr>
        <w:t>Además,</w:t>
      </w:r>
      <w:r w:rsidR="0074312E">
        <w:rPr>
          <w:rFonts w:ascii="Palatino Linotype" w:eastAsia="Calibri" w:hAnsi="Palatino Linotype" w:cs="Tahoma"/>
          <w:bCs/>
          <w:iCs/>
          <w:sz w:val="22"/>
          <w:szCs w:val="22"/>
          <w:lang w:val="es-ES" w:eastAsia="en-US"/>
        </w:rPr>
        <w:t xml:space="preserve"> de ser necesario,</w:t>
      </w:r>
      <w:r w:rsidRPr="00AC5A6A">
        <w:rPr>
          <w:rFonts w:ascii="Palatino Linotype" w:eastAsia="Calibri" w:hAnsi="Palatino Linotype" w:cs="Tahoma"/>
          <w:bCs/>
          <w:iCs/>
          <w:sz w:val="22"/>
          <w:szCs w:val="22"/>
          <w:lang w:val="es-ES" w:eastAsia="en-US"/>
        </w:rPr>
        <w:t xml:space="preserve">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E3AB7F8" w14:textId="77777777" w:rsidR="0040530C" w:rsidRPr="00F54C81" w:rsidRDefault="0040530C" w:rsidP="00AC5A6A">
      <w:pPr>
        <w:tabs>
          <w:tab w:val="left" w:pos="4962"/>
        </w:tabs>
        <w:spacing w:line="360" w:lineRule="auto"/>
        <w:jc w:val="both"/>
        <w:rPr>
          <w:rFonts w:ascii="Palatino Linotype" w:hAnsi="Palatino Linotype" w:cs="Tahoma"/>
          <w:sz w:val="22"/>
          <w:szCs w:val="22"/>
        </w:rPr>
      </w:pPr>
    </w:p>
    <w:p w14:paraId="4DB06156" w14:textId="77777777" w:rsidR="0040530C" w:rsidRPr="00F54C81" w:rsidRDefault="0040530C" w:rsidP="00AC5A6A">
      <w:pPr>
        <w:spacing w:line="360" w:lineRule="auto"/>
        <w:jc w:val="both"/>
        <w:rPr>
          <w:rFonts w:ascii="Palatino Linotype" w:eastAsia="Calibri" w:hAnsi="Palatino Linotype" w:cs="Tahoma"/>
          <w:b/>
          <w:bCs/>
          <w:sz w:val="22"/>
          <w:szCs w:val="22"/>
          <w:lang w:eastAsia="en-US"/>
        </w:rPr>
      </w:pPr>
      <w:r w:rsidRPr="00F54C81">
        <w:rPr>
          <w:rFonts w:ascii="Palatino Linotype" w:eastAsia="Calibri" w:hAnsi="Palatino Linotype" w:cs="Tahoma"/>
          <w:b/>
          <w:bCs/>
          <w:sz w:val="22"/>
          <w:szCs w:val="22"/>
          <w:lang w:eastAsia="en-US"/>
        </w:rPr>
        <w:t>Términos de la Resolución para conocimiento del Particular.</w:t>
      </w:r>
    </w:p>
    <w:p w14:paraId="0292FB95" w14:textId="77777777" w:rsidR="0040530C" w:rsidRPr="00F54C81" w:rsidRDefault="0040530C" w:rsidP="00AC5A6A">
      <w:pPr>
        <w:spacing w:line="360" w:lineRule="auto"/>
        <w:jc w:val="both"/>
        <w:rPr>
          <w:rFonts w:ascii="Palatino Linotype" w:eastAsia="Calibri" w:hAnsi="Palatino Linotype" w:cs="Tahoma"/>
          <w:b/>
          <w:bCs/>
          <w:sz w:val="22"/>
          <w:szCs w:val="22"/>
          <w:lang w:eastAsia="en-US"/>
        </w:rPr>
      </w:pPr>
    </w:p>
    <w:p w14:paraId="5BCA46B6" w14:textId="4152E3D4" w:rsidR="0040530C" w:rsidRPr="00F54C81" w:rsidRDefault="0040530C" w:rsidP="00AC5A6A">
      <w:pPr>
        <w:widowControl w:val="0"/>
        <w:spacing w:line="360" w:lineRule="auto"/>
        <w:jc w:val="both"/>
        <w:rPr>
          <w:rFonts w:ascii="Palatino Linotype" w:eastAsia="Calibri" w:hAnsi="Palatino Linotype" w:cs="Tahoma"/>
          <w:bCs/>
          <w:iCs/>
          <w:color w:val="000000" w:themeColor="text1"/>
          <w:sz w:val="22"/>
          <w:szCs w:val="22"/>
          <w:lang w:val="es-ES" w:eastAsia="en-US"/>
        </w:rPr>
      </w:pPr>
      <w:r w:rsidRPr="00F54C81">
        <w:rPr>
          <w:rFonts w:ascii="Palatino Linotype" w:eastAsia="Calibri" w:hAnsi="Palatino Linotype" w:cs="Tahoma"/>
          <w:bCs/>
          <w:color w:val="000000"/>
          <w:sz w:val="22"/>
          <w:szCs w:val="22"/>
          <w:lang w:eastAsia="en-US"/>
        </w:rPr>
        <w:t xml:space="preserve">Se le hace del conocimiento al Particular, que, en el presente caso, </w:t>
      </w:r>
      <w:r w:rsidR="0074312E">
        <w:rPr>
          <w:rFonts w:ascii="Palatino Linotype" w:eastAsia="Calibri" w:hAnsi="Palatino Linotype" w:cs="Tahoma"/>
          <w:bCs/>
          <w:color w:val="000000"/>
          <w:sz w:val="22"/>
          <w:szCs w:val="22"/>
          <w:lang w:eastAsia="en-US"/>
        </w:rPr>
        <w:t>se le da parcialmente la</w:t>
      </w:r>
      <w:r w:rsidR="000C0A54">
        <w:rPr>
          <w:rFonts w:ascii="Palatino Linotype" w:eastAsia="Calibri" w:hAnsi="Palatino Linotype" w:cs="Tahoma"/>
          <w:bCs/>
          <w:color w:val="000000"/>
          <w:sz w:val="22"/>
          <w:szCs w:val="22"/>
          <w:lang w:eastAsia="en-US"/>
        </w:rPr>
        <w:t xml:space="preserve"> razón pues </w:t>
      </w:r>
      <w:r w:rsidR="0074312E">
        <w:rPr>
          <w:rFonts w:ascii="Palatino Linotype" w:eastAsia="Calibri" w:hAnsi="Palatino Linotype" w:cs="Tahoma"/>
          <w:bCs/>
          <w:color w:val="000000"/>
          <w:sz w:val="22"/>
          <w:szCs w:val="22"/>
          <w:lang w:eastAsia="en-US"/>
        </w:rPr>
        <w:t>si bien el Sujeto Obligado proporcionó parte de la información solicitada, no la entregó de manera completa</w:t>
      </w:r>
      <w:r w:rsidR="00CC21F5">
        <w:rPr>
          <w:rFonts w:ascii="Palatino Linotype" w:eastAsia="Calibri" w:hAnsi="Palatino Linotype" w:cs="Tahoma"/>
          <w:bCs/>
          <w:color w:val="000000"/>
          <w:sz w:val="22"/>
          <w:szCs w:val="22"/>
          <w:lang w:eastAsia="en-US"/>
        </w:rPr>
        <w:t xml:space="preserve">; </w:t>
      </w:r>
      <w:r w:rsidR="000C0A54">
        <w:rPr>
          <w:rFonts w:ascii="Palatino Linotype" w:eastAsia="Calibri" w:hAnsi="Palatino Linotype" w:cs="Tahoma"/>
          <w:bCs/>
          <w:color w:val="000000"/>
          <w:sz w:val="22"/>
          <w:szCs w:val="22"/>
          <w:lang w:eastAsia="en-US"/>
        </w:rPr>
        <w:t xml:space="preserve">por lo que, deberá darle acceso </w:t>
      </w:r>
      <w:r w:rsidR="00CC21F5">
        <w:rPr>
          <w:rFonts w:ascii="Palatino Linotype" w:eastAsia="Calibri" w:hAnsi="Palatino Linotype" w:cs="Tahoma"/>
          <w:bCs/>
          <w:color w:val="000000"/>
          <w:sz w:val="22"/>
          <w:szCs w:val="22"/>
          <w:lang w:eastAsia="en-US"/>
        </w:rPr>
        <w:t>al listado con el nombre de todos los servidores públicos que laboraban para el Sujeto Obligado.</w:t>
      </w:r>
    </w:p>
    <w:p w14:paraId="7A07AE2D" w14:textId="77777777" w:rsidR="0040530C" w:rsidRPr="00F54C81" w:rsidRDefault="0040530C" w:rsidP="00AC5A6A">
      <w:pPr>
        <w:widowControl w:val="0"/>
        <w:spacing w:line="360" w:lineRule="auto"/>
        <w:jc w:val="both"/>
        <w:rPr>
          <w:rFonts w:ascii="Palatino Linotype" w:eastAsia="Calibri" w:hAnsi="Palatino Linotype" w:cs="Tahoma"/>
          <w:bCs/>
          <w:iCs/>
          <w:color w:val="000000" w:themeColor="text1"/>
          <w:sz w:val="22"/>
          <w:szCs w:val="22"/>
          <w:lang w:val="es-ES" w:eastAsia="en-US"/>
        </w:rPr>
      </w:pPr>
    </w:p>
    <w:p w14:paraId="13B1E112" w14:textId="77777777" w:rsidR="0040530C" w:rsidRDefault="0040530C" w:rsidP="00AC5A6A">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F54C81">
        <w:rPr>
          <w:rFonts w:ascii="Palatino Linotype" w:eastAsia="Calibri" w:hAnsi="Palatino Linotype"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14:paraId="61596ED4" w14:textId="77777777" w:rsidR="00CC21F5" w:rsidRPr="00F54C81" w:rsidRDefault="00CC21F5" w:rsidP="00AC5A6A">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p>
    <w:p w14:paraId="64CBFCE1" w14:textId="77777777" w:rsidR="0040530C" w:rsidRPr="00F54C81" w:rsidRDefault="0040530C" w:rsidP="00AC5A6A">
      <w:pPr>
        <w:spacing w:line="360" w:lineRule="auto"/>
        <w:jc w:val="both"/>
        <w:rPr>
          <w:rFonts w:ascii="Palatino Linotype" w:eastAsia="Calibri" w:hAnsi="Palatino Linotype" w:cs="Tahoma"/>
          <w:bCs/>
          <w:sz w:val="22"/>
          <w:szCs w:val="22"/>
          <w:lang w:eastAsia="en-US"/>
        </w:rPr>
      </w:pPr>
      <w:r w:rsidRPr="00F54C81">
        <w:rPr>
          <w:rFonts w:ascii="Palatino Linotype" w:eastAsia="Calibri" w:hAnsi="Palatino Linotype" w:cs="Tahoma"/>
          <w:bCs/>
          <w:sz w:val="22"/>
          <w:szCs w:val="22"/>
          <w:lang w:eastAsia="en-US"/>
        </w:rPr>
        <w:t>Por lo expuesto y fundado, este Pleno:</w:t>
      </w:r>
    </w:p>
    <w:p w14:paraId="00B11F88" w14:textId="77777777" w:rsidR="0040530C" w:rsidRPr="00F54C81" w:rsidRDefault="0040530C" w:rsidP="00AC5A6A">
      <w:pPr>
        <w:spacing w:line="360" w:lineRule="auto"/>
        <w:ind w:right="-91"/>
        <w:jc w:val="center"/>
        <w:rPr>
          <w:rFonts w:ascii="Palatino Linotype" w:eastAsia="Calibri" w:hAnsi="Palatino Linotype" w:cs="Tahoma"/>
          <w:b/>
          <w:bCs/>
          <w:sz w:val="22"/>
          <w:szCs w:val="22"/>
          <w:lang w:eastAsia="en-US"/>
        </w:rPr>
      </w:pPr>
    </w:p>
    <w:p w14:paraId="26134514" w14:textId="77777777" w:rsidR="0040530C" w:rsidRPr="00F54C81" w:rsidRDefault="0040530C" w:rsidP="00AC5A6A">
      <w:pPr>
        <w:spacing w:line="360" w:lineRule="auto"/>
        <w:ind w:right="-91"/>
        <w:jc w:val="center"/>
        <w:rPr>
          <w:rFonts w:ascii="Palatino Linotype" w:eastAsia="Calibri" w:hAnsi="Palatino Linotype" w:cs="Tahoma"/>
          <w:b/>
          <w:bCs/>
          <w:sz w:val="22"/>
          <w:szCs w:val="22"/>
          <w:lang w:eastAsia="en-US"/>
        </w:rPr>
      </w:pPr>
      <w:r w:rsidRPr="00F54C81">
        <w:rPr>
          <w:rFonts w:ascii="Palatino Linotype" w:eastAsia="Calibri" w:hAnsi="Palatino Linotype" w:cs="Tahoma"/>
          <w:b/>
          <w:bCs/>
          <w:sz w:val="22"/>
          <w:szCs w:val="22"/>
          <w:lang w:eastAsia="en-US"/>
        </w:rPr>
        <w:t>R E S U E L V E:</w:t>
      </w:r>
    </w:p>
    <w:p w14:paraId="4C4DCB3C" w14:textId="77777777" w:rsidR="0040530C" w:rsidRPr="00F54C81" w:rsidRDefault="0040530C" w:rsidP="00AC5A6A">
      <w:pPr>
        <w:spacing w:line="360" w:lineRule="auto"/>
        <w:ind w:right="-91"/>
        <w:jc w:val="center"/>
        <w:rPr>
          <w:rFonts w:ascii="Palatino Linotype" w:eastAsia="Calibri" w:hAnsi="Palatino Linotype" w:cs="Tahoma"/>
          <w:b/>
          <w:bCs/>
          <w:sz w:val="22"/>
          <w:szCs w:val="22"/>
          <w:lang w:eastAsia="en-US"/>
        </w:rPr>
      </w:pPr>
    </w:p>
    <w:p w14:paraId="3FA9673A" w14:textId="34745178" w:rsidR="000C0A54" w:rsidRPr="000C0A54" w:rsidRDefault="0040530C" w:rsidP="000C0A54">
      <w:pPr>
        <w:spacing w:line="360" w:lineRule="auto"/>
        <w:contextualSpacing/>
        <w:jc w:val="both"/>
        <w:rPr>
          <w:rFonts w:ascii="Palatino Linotype" w:eastAsia="Calibri" w:hAnsi="Palatino Linotype" w:cs="Tahoma"/>
          <w:bCs/>
          <w:color w:val="000000" w:themeColor="text1"/>
          <w:sz w:val="22"/>
          <w:szCs w:val="22"/>
          <w:lang w:eastAsia="en-US"/>
        </w:rPr>
      </w:pPr>
      <w:r w:rsidRPr="00F54C81">
        <w:rPr>
          <w:rFonts w:ascii="Palatino Linotype" w:eastAsia="Calibri" w:hAnsi="Palatino Linotype" w:cs="Tahoma"/>
          <w:b/>
          <w:bCs/>
          <w:iCs/>
          <w:sz w:val="22"/>
          <w:szCs w:val="22"/>
          <w:lang w:eastAsia="en-US"/>
        </w:rPr>
        <w:t xml:space="preserve">PRIMERO. </w:t>
      </w:r>
      <w:r w:rsidR="000C0A54" w:rsidRPr="000C0A54">
        <w:rPr>
          <w:rFonts w:ascii="Palatino Linotype" w:eastAsiaTheme="minorHAnsi" w:hAnsi="Palatino Linotype" w:cs="Tahoma"/>
          <w:bCs/>
          <w:color w:val="000000" w:themeColor="text1"/>
          <w:sz w:val="22"/>
          <w:szCs w:val="22"/>
          <w:lang w:eastAsia="en-US"/>
        </w:rPr>
        <w:t xml:space="preserve">Se </w:t>
      </w:r>
      <w:r w:rsidR="00CC21F5">
        <w:rPr>
          <w:rFonts w:ascii="Palatino Linotype" w:eastAsiaTheme="minorHAnsi" w:hAnsi="Palatino Linotype" w:cs="Tahoma"/>
          <w:b/>
          <w:bCs/>
          <w:color w:val="000000" w:themeColor="text1"/>
          <w:sz w:val="22"/>
          <w:szCs w:val="22"/>
          <w:lang w:eastAsia="en-US"/>
        </w:rPr>
        <w:t>MODIFICA</w:t>
      </w:r>
      <w:r w:rsidR="000C0A54" w:rsidRPr="000C0A54">
        <w:rPr>
          <w:rFonts w:ascii="Palatino Linotype" w:eastAsiaTheme="minorHAnsi" w:hAnsi="Palatino Linotype" w:cs="Tahoma"/>
          <w:bCs/>
          <w:color w:val="000000" w:themeColor="text1"/>
          <w:sz w:val="22"/>
          <w:szCs w:val="22"/>
          <w:lang w:eastAsia="en-US"/>
        </w:rPr>
        <w:t xml:space="preserve"> la respuesta entregada por el </w:t>
      </w:r>
      <w:r w:rsidR="000C0A54" w:rsidRPr="000C0A54">
        <w:rPr>
          <w:rFonts w:ascii="Palatino Linotype" w:eastAsia="Calibri" w:hAnsi="Palatino Linotype" w:cs="Tahoma"/>
          <w:color w:val="000000" w:themeColor="text1"/>
          <w:sz w:val="22"/>
          <w:szCs w:val="22"/>
          <w:lang w:eastAsia="en-US"/>
        </w:rPr>
        <w:t>Ayuntamiento de Atlacomulco,</w:t>
      </w:r>
      <w:r w:rsidR="000C0A54" w:rsidRPr="000C0A54">
        <w:rPr>
          <w:rFonts w:ascii="Palatino Linotype" w:eastAsiaTheme="minorHAnsi" w:hAnsi="Palatino Linotype" w:cs="Tahoma"/>
          <w:bCs/>
          <w:color w:val="000000" w:themeColor="text1"/>
          <w:sz w:val="22"/>
          <w:szCs w:val="22"/>
          <w:lang w:eastAsia="en-US"/>
        </w:rPr>
        <w:t xml:space="preserve"> a la solicitud de </w:t>
      </w:r>
      <w:r w:rsidR="000C0A54" w:rsidRPr="000C0A54">
        <w:rPr>
          <w:rFonts w:ascii="Palatino Linotype" w:eastAsia="Calibri" w:hAnsi="Palatino Linotype" w:cs="Tahoma"/>
          <w:color w:val="000000" w:themeColor="text1"/>
          <w:sz w:val="22"/>
          <w:szCs w:val="22"/>
          <w:lang w:eastAsia="en-US"/>
        </w:rPr>
        <w:t xml:space="preserve">información </w:t>
      </w:r>
      <w:r w:rsidR="00EB496E">
        <w:rPr>
          <w:rFonts w:ascii="Palatino Linotype" w:eastAsia="Calibri" w:hAnsi="Palatino Linotype" w:cs="Tahoma"/>
          <w:b/>
          <w:bCs/>
          <w:color w:val="000000" w:themeColor="text1"/>
          <w:sz w:val="22"/>
          <w:szCs w:val="22"/>
          <w:lang w:eastAsia="en-US"/>
        </w:rPr>
        <w:t>00175/ATENCO/IP/2022</w:t>
      </w:r>
      <w:r w:rsidR="000C0A54">
        <w:rPr>
          <w:rFonts w:ascii="Palatino Linotype" w:eastAsia="Calibri" w:hAnsi="Palatino Linotype" w:cs="Tahoma"/>
          <w:b/>
          <w:bCs/>
          <w:color w:val="000000" w:themeColor="text1"/>
          <w:sz w:val="22"/>
          <w:szCs w:val="22"/>
          <w:lang w:eastAsia="en-US"/>
        </w:rPr>
        <w:t xml:space="preserve"> </w:t>
      </w:r>
      <w:r w:rsidR="000C0A54" w:rsidRPr="000C0A54">
        <w:rPr>
          <w:rFonts w:ascii="Palatino Linotype" w:eastAsiaTheme="minorHAnsi" w:hAnsi="Palatino Linotype" w:cstheme="minorBidi"/>
          <w:color w:val="000000" w:themeColor="text1"/>
          <w:sz w:val="22"/>
          <w:szCs w:val="22"/>
          <w:lang w:eastAsia="en-US"/>
        </w:rPr>
        <w:t>por resultar</w:t>
      </w:r>
      <w:r w:rsidR="00CC21F5">
        <w:rPr>
          <w:rFonts w:ascii="Palatino Linotype" w:eastAsiaTheme="minorHAnsi" w:hAnsi="Palatino Linotype" w:cstheme="minorBidi"/>
          <w:color w:val="000000" w:themeColor="text1"/>
          <w:sz w:val="22"/>
          <w:szCs w:val="22"/>
          <w:lang w:eastAsia="en-US"/>
        </w:rPr>
        <w:t xml:space="preserve"> </w:t>
      </w:r>
      <w:r w:rsidR="00CC21F5" w:rsidRPr="00CC21F5">
        <w:rPr>
          <w:rFonts w:ascii="Palatino Linotype" w:eastAsiaTheme="minorHAnsi" w:hAnsi="Palatino Linotype" w:cstheme="minorBidi"/>
          <w:b/>
          <w:color w:val="000000" w:themeColor="text1"/>
          <w:sz w:val="22"/>
          <w:szCs w:val="22"/>
          <w:lang w:eastAsia="en-US"/>
        </w:rPr>
        <w:t>PARCIALMENTE</w:t>
      </w:r>
      <w:r w:rsidR="000C0A54" w:rsidRPr="00CC21F5">
        <w:rPr>
          <w:rFonts w:ascii="Palatino Linotype" w:eastAsiaTheme="minorHAnsi" w:hAnsi="Palatino Linotype" w:cstheme="minorBidi"/>
          <w:b/>
          <w:color w:val="000000" w:themeColor="text1"/>
          <w:sz w:val="22"/>
          <w:szCs w:val="22"/>
          <w:lang w:eastAsia="en-US"/>
        </w:rPr>
        <w:t xml:space="preserve"> </w:t>
      </w:r>
      <w:r w:rsidR="000C0A54" w:rsidRPr="000C0A54">
        <w:rPr>
          <w:rFonts w:ascii="Palatino Linotype" w:eastAsiaTheme="minorHAnsi" w:hAnsi="Palatino Linotype" w:cstheme="minorBidi"/>
          <w:b/>
          <w:color w:val="000000" w:themeColor="text1"/>
          <w:sz w:val="22"/>
          <w:szCs w:val="22"/>
          <w:lang w:eastAsia="en-US"/>
        </w:rPr>
        <w:t>FUNDADAS</w:t>
      </w:r>
      <w:r w:rsidR="000C0A54" w:rsidRPr="000C0A54">
        <w:rPr>
          <w:rFonts w:ascii="Palatino Linotype" w:eastAsiaTheme="minorHAnsi" w:hAnsi="Palatino Linotype" w:cs="Tahoma"/>
          <w:color w:val="000000" w:themeColor="text1"/>
          <w:sz w:val="22"/>
          <w:szCs w:val="22"/>
          <w:lang w:eastAsia="en-US"/>
        </w:rPr>
        <w:t xml:space="preserve"> </w:t>
      </w:r>
      <w:r w:rsidR="000C0A54" w:rsidRPr="000C0A54">
        <w:rPr>
          <w:rFonts w:ascii="Palatino Linotype" w:eastAsia="Calibri" w:hAnsi="Palatino Linotype" w:cs="Tahoma"/>
          <w:color w:val="000000" w:themeColor="text1"/>
          <w:sz w:val="22"/>
          <w:szCs w:val="22"/>
          <w:lang w:eastAsia="en-US"/>
        </w:rPr>
        <w:t>las razones o motivos de inconformidad hechos valer por el Particular, en</w:t>
      </w:r>
      <w:r w:rsidR="000C0A54" w:rsidRPr="000C0A54">
        <w:rPr>
          <w:rFonts w:ascii="Palatino Linotype" w:eastAsia="Calibri" w:hAnsi="Palatino Linotype" w:cs="Tahoma"/>
          <w:bCs/>
          <w:color w:val="000000" w:themeColor="text1"/>
          <w:sz w:val="22"/>
          <w:szCs w:val="22"/>
          <w:lang w:eastAsia="en-US"/>
        </w:rPr>
        <w:t xml:space="preserve"> términos de los considerandos </w:t>
      </w:r>
      <w:r w:rsidR="000C0A54" w:rsidRPr="000C0A54">
        <w:rPr>
          <w:rFonts w:ascii="Palatino Linotype" w:eastAsia="Calibri" w:hAnsi="Palatino Linotype" w:cs="Tahoma"/>
          <w:b/>
          <w:bCs/>
          <w:color w:val="000000" w:themeColor="text1"/>
          <w:sz w:val="22"/>
          <w:szCs w:val="22"/>
          <w:lang w:eastAsia="en-US"/>
        </w:rPr>
        <w:t xml:space="preserve">QUINTO </w:t>
      </w:r>
      <w:r w:rsidR="000C0A54" w:rsidRPr="000C0A54">
        <w:rPr>
          <w:rFonts w:ascii="Palatino Linotype" w:eastAsia="Calibri" w:hAnsi="Palatino Linotype" w:cs="Tahoma"/>
          <w:color w:val="000000" w:themeColor="text1"/>
          <w:sz w:val="22"/>
          <w:szCs w:val="22"/>
          <w:lang w:eastAsia="en-US"/>
        </w:rPr>
        <w:t xml:space="preserve">y </w:t>
      </w:r>
      <w:r w:rsidR="000C0A54" w:rsidRPr="000C0A54">
        <w:rPr>
          <w:rFonts w:ascii="Palatino Linotype" w:eastAsia="Calibri" w:hAnsi="Palatino Linotype" w:cs="Tahoma"/>
          <w:b/>
          <w:bCs/>
          <w:color w:val="000000" w:themeColor="text1"/>
          <w:sz w:val="22"/>
          <w:szCs w:val="22"/>
          <w:lang w:eastAsia="en-US"/>
        </w:rPr>
        <w:t>SEXTO</w:t>
      </w:r>
      <w:r w:rsidR="000C0A54" w:rsidRPr="000C0A54">
        <w:rPr>
          <w:rFonts w:ascii="Palatino Linotype" w:eastAsia="Calibri" w:hAnsi="Palatino Linotype" w:cs="Tahoma"/>
          <w:bCs/>
          <w:color w:val="000000" w:themeColor="text1"/>
          <w:sz w:val="22"/>
          <w:szCs w:val="22"/>
          <w:lang w:eastAsia="en-US"/>
        </w:rPr>
        <w:t xml:space="preserve"> de la presente Resolución.</w:t>
      </w:r>
    </w:p>
    <w:p w14:paraId="60E9E31A" w14:textId="77777777" w:rsidR="000C0A54" w:rsidRPr="000C0A54" w:rsidRDefault="000C0A54" w:rsidP="000C0A54">
      <w:pPr>
        <w:spacing w:line="360" w:lineRule="auto"/>
        <w:contextualSpacing/>
        <w:jc w:val="both"/>
        <w:rPr>
          <w:rFonts w:ascii="Palatino Linotype" w:eastAsia="Calibri" w:hAnsi="Palatino Linotype" w:cs="Tahoma"/>
          <w:bCs/>
          <w:color w:val="000000" w:themeColor="text1"/>
          <w:sz w:val="22"/>
          <w:szCs w:val="22"/>
          <w:lang w:eastAsia="en-US"/>
        </w:rPr>
      </w:pPr>
    </w:p>
    <w:p w14:paraId="70FA84D5" w14:textId="77777777" w:rsidR="00CC21F5" w:rsidRPr="00CC21F5" w:rsidRDefault="000C0A54" w:rsidP="00CC21F5">
      <w:pPr>
        <w:spacing w:line="360" w:lineRule="auto"/>
        <w:contextualSpacing/>
        <w:jc w:val="both"/>
        <w:rPr>
          <w:rFonts w:ascii="Palatino Linotype" w:eastAsiaTheme="minorHAnsi" w:hAnsi="Palatino Linotype" w:cs="Tahoma"/>
          <w:iCs/>
          <w:color w:val="000000" w:themeColor="text1"/>
          <w:sz w:val="22"/>
          <w:szCs w:val="22"/>
          <w:lang w:eastAsia="en-US"/>
        </w:rPr>
      </w:pPr>
      <w:r w:rsidRPr="000C0A54">
        <w:rPr>
          <w:rFonts w:ascii="Palatino Linotype" w:eastAsiaTheme="minorHAnsi" w:hAnsi="Palatino Linotype" w:cs="Tahoma"/>
          <w:b/>
          <w:bCs/>
          <w:color w:val="000000" w:themeColor="text1"/>
          <w:sz w:val="22"/>
          <w:szCs w:val="22"/>
          <w:lang w:eastAsia="en-US"/>
        </w:rPr>
        <w:t xml:space="preserve">SEGUNDO. </w:t>
      </w:r>
      <w:r w:rsidRPr="000C0A54">
        <w:rPr>
          <w:rFonts w:ascii="Palatino Linotype" w:eastAsiaTheme="minorHAnsi" w:hAnsi="Palatino Linotype" w:cs="Tahoma"/>
          <w:color w:val="000000" w:themeColor="text1"/>
          <w:sz w:val="22"/>
          <w:szCs w:val="22"/>
          <w:lang w:eastAsia="en-US"/>
        </w:rPr>
        <w:t xml:space="preserve">Se </w:t>
      </w:r>
      <w:r w:rsidRPr="000C0A54">
        <w:rPr>
          <w:rFonts w:ascii="Palatino Linotype" w:eastAsiaTheme="minorHAnsi" w:hAnsi="Palatino Linotype" w:cs="Tahoma"/>
          <w:b/>
          <w:color w:val="000000" w:themeColor="text1"/>
          <w:sz w:val="22"/>
          <w:szCs w:val="22"/>
          <w:lang w:eastAsia="en-US"/>
        </w:rPr>
        <w:t xml:space="preserve">ORDENA </w:t>
      </w:r>
      <w:r w:rsidRPr="000C0A54">
        <w:rPr>
          <w:rFonts w:ascii="Palatino Linotype" w:eastAsiaTheme="minorHAnsi" w:hAnsi="Palatino Linotype" w:cs="Tahoma"/>
          <w:bCs/>
          <w:color w:val="000000" w:themeColor="text1"/>
          <w:sz w:val="22"/>
          <w:szCs w:val="22"/>
          <w:lang w:eastAsia="en-US"/>
        </w:rPr>
        <w:t xml:space="preserve">al </w:t>
      </w:r>
      <w:r w:rsidRPr="000C0A54">
        <w:rPr>
          <w:rFonts w:ascii="Palatino Linotype" w:eastAsiaTheme="minorHAnsi" w:hAnsi="Palatino Linotype" w:cs="Tahoma"/>
          <w:color w:val="000000" w:themeColor="text1"/>
          <w:sz w:val="22"/>
          <w:szCs w:val="22"/>
          <w:lang w:eastAsia="en-US"/>
        </w:rPr>
        <w:t>Ente Recurrido, a efecto de</w:t>
      </w:r>
      <w:r w:rsidRPr="000C0A54">
        <w:rPr>
          <w:rFonts w:ascii="Palatino Linotype" w:eastAsia="Calibri" w:hAnsi="Palatino Linotype" w:cs="Tahoma"/>
          <w:color w:val="000000" w:themeColor="text1"/>
          <w:sz w:val="22"/>
          <w:szCs w:val="22"/>
          <w:lang w:eastAsia="es-MX"/>
        </w:rPr>
        <w:t xml:space="preserve"> que, previa búsqueda exhaustiva y razonable, en todas las unidades administrativas competentes, entregue</w:t>
      </w:r>
      <w:r w:rsidRPr="000C0A54">
        <w:rPr>
          <w:rFonts w:ascii="Palatino Linotype" w:eastAsiaTheme="minorHAnsi" w:hAnsi="Palatino Linotype" w:cs="Tahoma"/>
          <w:color w:val="000000" w:themeColor="text1"/>
          <w:sz w:val="22"/>
          <w:szCs w:val="22"/>
          <w:lang w:eastAsia="en-US"/>
        </w:rPr>
        <w:t xml:space="preserve">, a través del Sistema de Acceso a la Información Mexiquense (SAIMEX), </w:t>
      </w:r>
      <w:r w:rsidR="00CC21F5" w:rsidRPr="00CC21F5">
        <w:rPr>
          <w:rFonts w:ascii="Palatino Linotype" w:eastAsiaTheme="minorHAnsi" w:hAnsi="Palatino Linotype" w:cs="Tahoma"/>
          <w:iCs/>
          <w:color w:val="000000" w:themeColor="text1"/>
          <w:sz w:val="22"/>
          <w:szCs w:val="22"/>
          <w:lang w:eastAsia="en-US"/>
        </w:rPr>
        <w:t>en su caso, en versión pública, los documentos donde conste lo siguiente:</w:t>
      </w:r>
    </w:p>
    <w:p w14:paraId="55C6DB9C" w14:textId="77777777" w:rsidR="00CC21F5" w:rsidRPr="00CC21F5" w:rsidRDefault="00CC21F5" w:rsidP="00CC21F5">
      <w:pPr>
        <w:spacing w:line="360" w:lineRule="auto"/>
        <w:contextualSpacing/>
        <w:jc w:val="both"/>
        <w:rPr>
          <w:rFonts w:ascii="Palatino Linotype" w:eastAsiaTheme="minorHAnsi" w:hAnsi="Palatino Linotype" w:cs="Tahoma"/>
          <w:iCs/>
          <w:color w:val="000000" w:themeColor="text1"/>
          <w:sz w:val="22"/>
          <w:szCs w:val="22"/>
          <w:lang w:eastAsia="en-US"/>
        </w:rPr>
      </w:pPr>
    </w:p>
    <w:p w14:paraId="48E3CFCE" w14:textId="77777777" w:rsidR="00CC21F5" w:rsidRPr="00CC21F5" w:rsidRDefault="00CC21F5" w:rsidP="00CC21F5">
      <w:pPr>
        <w:numPr>
          <w:ilvl w:val="0"/>
          <w:numId w:val="25"/>
        </w:numPr>
        <w:spacing w:line="360" w:lineRule="auto"/>
        <w:contextualSpacing/>
        <w:jc w:val="both"/>
        <w:rPr>
          <w:rFonts w:ascii="Palatino Linotype" w:eastAsiaTheme="minorHAnsi" w:hAnsi="Palatino Linotype" w:cs="Tahoma"/>
          <w:iCs/>
          <w:color w:val="000000" w:themeColor="text1"/>
          <w:sz w:val="22"/>
          <w:szCs w:val="22"/>
          <w:lang w:eastAsia="en-US"/>
        </w:rPr>
      </w:pPr>
      <w:r w:rsidRPr="00CC21F5">
        <w:rPr>
          <w:rFonts w:ascii="Palatino Linotype" w:eastAsiaTheme="minorHAnsi" w:hAnsi="Palatino Linotype" w:cs="Tahoma"/>
          <w:iCs/>
          <w:color w:val="000000" w:themeColor="text1"/>
          <w:sz w:val="22"/>
          <w:szCs w:val="22"/>
          <w:lang w:eastAsia="en-US"/>
        </w:rPr>
        <w:t>Listado con el nombre y área de adscripción de todos los servidores públicos que al primero de abril de dos mil veintidós, laboraban para el Ayuntamiento de Atenco, que incluya al personal adscrito en la Dirección de Seguridad Pública, Centro de Mando y Monitoreo.</w:t>
      </w:r>
    </w:p>
    <w:p w14:paraId="66A7ED65" w14:textId="77777777" w:rsidR="00CC21F5" w:rsidRPr="00CC21F5" w:rsidRDefault="00CC21F5" w:rsidP="00CC21F5">
      <w:pPr>
        <w:spacing w:line="360" w:lineRule="auto"/>
        <w:contextualSpacing/>
        <w:jc w:val="both"/>
        <w:rPr>
          <w:rFonts w:ascii="Palatino Linotype" w:eastAsiaTheme="minorHAnsi" w:hAnsi="Palatino Linotype" w:cs="Tahoma"/>
          <w:iCs/>
          <w:color w:val="000000" w:themeColor="text1"/>
          <w:sz w:val="22"/>
          <w:szCs w:val="22"/>
          <w:lang w:eastAsia="en-US"/>
        </w:rPr>
      </w:pPr>
    </w:p>
    <w:p w14:paraId="534B3A8B" w14:textId="77777777" w:rsidR="00CC21F5" w:rsidRPr="00CC21F5" w:rsidRDefault="00CC21F5" w:rsidP="00CC21F5">
      <w:pPr>
        <w:spacing w:line="360" w:lineRule="auto"/>
        <w:contextualSpacing/>
        <w:jc w:val="both"/>
        <w:rPr>
          <w:rFonts w:ascii="Palatino Linotype" w:eastAsiaTheme="minorHAnsi" w:hAnsi="Palatino Linotype" w:cs="Tahoma"/>
          <w:bCs/>
          <w:iCs/>
          <w:color w:val="000000" w:themeColor="text1"/>
          <w:sz w:val="22"/>
          <w:szCs w:val="22"/>
          <w:lang w:val="es-ES" w:eastAsia="en-US"/>
        </w:rPr>
      </w:pPr>
      <w:r w:rsidRPr="00CC21F5">
        <w:rPr>
          <w:rFonts w:ascii="Palatino Linotype" w:eastAsiaTheme="minorHAnsi" w:hAnsi="Palatino Linotype" w:cs="Tahoma"/>
          <w:bCs/>
          <w:iCs/>
          <w:color w:val="000000" w:themeColor="text1"/>
          <w:sz w:val="22"/>
          <w:szCs w:val="22"/>
          <w:lang w:val="es-ES"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9431947" w14:textId="115E7D53" w:rsidR="000C0A54" w:rsidRDefault="000C0A54" w:rsidP="00CC21F5">
      <w:pPr>
        <w:spacing w:line="360" w:lineRule="auto"/>
        <w:contextualSpacing/>
        <w:jc w:val="both"/>
        <w:rPr>
          <w:rFonts w:ascii="Palatino Linotype" w:hAnsi="Palatino Linotype" w:cs="Tahoma"/>
          <w:bCs/>
          <w:sz w:val="22"/>
          <w:szCs w:val="22"/>
        </w:rPr>
      </w:pPr>
    </w:p>
    <w:p w14:paraId="3EFD99A7" w14:textId="77777777" w:rsidR="00CC21F5" w:rsidRDefault="00CC21F5" w:rsidP="00CC21F5">
      <w:pPr>
        <w:spacing w:line="360" w:lineRule="auto"/>
        <w:contextualSpacing/>
        <w:jc w:val="both"/>
        <w:rPr>
          <w:rFonts w:ascii="Palatino Linotype" w:hAnsi="Palatino Linotype" w:cs="Tahoma"/>
          <w:bCs/>
          <w:sz w:val="22"/>
          <w:szCs w:val="22"/>
        </w:rPr>
      </w:pPr>
    </w:p>
    <w:p w14:paraId="21FC5EF5" w14:textId="77777777" w:rsidR="00CC21F5" w:rsidRDefault="00CC21F5" w:rsidP="00CC21F5">
      <w:pPr>
        <w:spacing w:line="360" w:lineRule="auto"/>
        <w:contextualSpacing/>
        <w:jc w:val="both"/>
        <w:rPr>
          <w:rFonts w:ascii="Palatino Linotype" w:hAnsi="Palatino Linotype" w:cs="Tahoma"/>
          <w:bCs/>
          <w:sz w:val="22"/>
          <w:szCs w:val="22"/>
        </w:rPr>
      </w:pPr>
    </w:p>
    <w:p w14:paraId="69D394D3" w14:textId="77777777" w:rsidR="00CC21F5" w:rsidRPr="000C0A54" w:rsidRDefault="00CC21F5" w:rsidP="00CC21F5">
      <w:pPr>
        <w:spacing w:line="360" w:lineRule="auto"/>
        <w:contextualSpacing/>
        <w:jc w:val="both"/>
        <w:rPr>
          <w:rFonts w:ascii="Palatino Linotype" w:hAnsi="Palatino Linotype" w:cs="Tahoma"/>
          <w:bCs/>
          <w:sz w:val="22"/>
          <w:szCs w:val="22"/>
        </w:rPr>
      </w:pPr>
    </w:p>
    <w:p w14:paraId="0E2D7FAE" w14:textId="77777777" w:rsidR="000C0A54" w:rsidRPr="000C0A54" w:rsidRDefault="000C0A54" w:rsidP="000C0A54">
      <w:pPr>
        <w:spacing w:line="360" w:lineRule="auto"/>
        <w:jc w:val="both"/>
        <w:rPr>
          <w:rFonts w:ascii="Palatino Linotype" w:eastAsiaTheme="minorHAnsi" w:hAnsi="Palatino Linotype" w:cs="Tahoma"/>
          <w:color w:val="000000" w:themeColor="text1"/>
          <w:sz w:val="22"/>
          <w:szCs w:val="22"/>
          <w:lang w:eastAsia="en-US"/>
        </w:rPr>
      </w:pPr>
      <w:r w:rsidRPr="000C0A54">
        <w:rPr>
          <w:rFonts w:ascii="Palatino Linotype" w:eastAsiaTheme="minorHAnsi" w:hAnsi="Palatino Linotype" w:cs="Arial"/>
          <w:b/>
          <w:color w:val="000000" w:themeColor="text1"/>
          <w:sz w:val="22"/>
          <w:szCs w:val="22"/>
          <w:lang w:val="es-ES_tradnl" w:eastAsia="en-US"/>
        </w:rPr>
        <w:t>TERCERO.</w:t>
      </w:r>
      <w:r w:rsidRPr="000C0A54">
        <w:rPr>
          <w:rFonts w:ascii="Palatino Linotype" w:eastAsiaTheme="minorHAnsi" w:hAnsi="Palatino Linotype" w:cs="Tahoma"/>
          <w:b/>
          <w:color w:val="000000" w:themeColor="text1"/>
          <w:sz w:val="22"/>
          <w:szCs w:val="22"/>
          <w:lang w:eastAsia="en-US"/>
        </w:rPr>
        <w:t xml:space="preserve"> NOTIFÍQUESE </w:t>
      </w:r>
      <w:r w:rsidRPr="000C0A54">
        <w:rPr>
          <w:rFonts w:ascii="Palatino Linotype" w:eastAsiaTheme="minorHAnsi" w:hAnsi="Palatino Linotype" w:cs="Tahoma"/>
          <w:color w:val="000000" w:themeColor="text1"/>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287E33F" w14:textId="77777777" w:rsidR="000C0A54" w:rsidRPr="000C0A54" w:rsidRDefault="000C0A54" w:rsidP="000C0A54">
      <w:pPr>
        <w:spacing w:line="360" w:lineRule="auto"/>
        <w:jc w:val="both"/>
        <w:rPr>
          <w:rFonts w:ascii="Palatino Linotype" w:eastAsiaTheme="minorHAnsi" w:hAnsi="Palatino Linotype" w:cs="Tahoma"/>
          <w:color w:val="000000" w:themeColor="text1"/>
          <w:sz w:val="22"/>
          <w:szCs w:val="22"/>
          <w:lang w:eastAsia="en-US"/>
        </w:rPr>
      </w:pPr>
    </w:p>
    <w:p w14:paraId="3225A1BC" w14:textId="77777777" w:rsidR="000C0A54" w:rsidRPr="000C0A54" w:rsidRDefault="000C0A54" w:rsidP="000C0A54">
      <w:pPr>
        <w:spacing w:after="160" w:line="360" w:lineRule="auto"/>
        <w:contextualSpacing/>
        <w:jc w:val="both"/>
        <w:rPr>
          <w:rFonts w:ascii="Palatino Linotype" w:eastAsia="Calibri" w:hAnsi="Palatino Linotype" w:cs="Tahoma"/>
          <w:iCs/>
          <w:color w:val="000000" w:themeColor="text1"/>
          <w:sz w:val="22"/>
          <w:szCs w:val="22"/>
          <w:lang w:eastAsia="en-US"/>
        </w:rPr>
      </w:pPr>
      <w:bookmarkStart w:id="4" w:name="_Hlk61509110"/>
      <w:r w:rsidRPr="000C0A54">
        <w:rPr>
          <w:rFonts w:ascii="Palatino Linotype" w:eastAsia="Calibri" w:hAnsi="Palatino Linotype" w:cs="Tahoma"/>
          <w:iCs/>
          <w:color w:val="000000" w:themeColor="text1"/>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4"/>
    </w:p>
    <w:p w14:paraId="513F8832" w14:textId="77777777" w:rsidR="000C0A54" w:rsidRPr="000C0A54" w:rsidRDefault="000C0A54" w:rsidP="000C0A54">
      <w:pPr>
        <w:spacing w:line="360" w:lineRule="auto"/>
        <w:jc w:val="both"/>
        <w:rPr>
          <w:rFonts w:ascii="Palatino Linotype" w:eastAsiaTheme="minorHAnsi" w:hAnsi="Palatino Linotype" w:cs="Tahoma"/>
          <w:color w:val="000000" w:themeColor="text1"/>
          <w:sz w:val="22"/>
          <w:szCs w:val="22"/>
          <w:lang w:eastAsia="en-US"/>
        </w:rPr>
      </w:pPr>
    </w:p>
    <w:p w14:paraId="51D3719A" w14:textId="77777777" w:rsidR="000C0A54" w:rsidRPr="000C0A54" w:rsidRDefault="000C0A54" w:rsidP="000C0A54">
      <w:pPr>
        <w:spacing w:line="360" w:lineRule="auto"/>
        <w:jc w:val="both"/>
        <w:rPr>
          <w:rFonts w:ascii="Palatino Linotype" w:eastAsiaTheme="minorHAnsi" w:hAnsi="Palatino Linotype" w:cs="Tahoma"/>
          <w:color w:val="000000" w:themeColor="text1"/>
          <w:sz w:val="22"/>
          <w:szCs w:val="22"/>
          <w:lang w:eastAsia="en-US"/>
        </w:rPr>
      </w:pPr>
      <w:r w:rsidRPr="000C0A54">
        <w:rPr>
          <w:rFonts w:ascii="Palatino Linotype" w:eastAsiaTheme="minorHAnsi" w:hAnsi="Palatino Linotype" w:cs="Tahoma"/>
          <w:b/>
          <w:color w:val="000000" w:themeColor="text1"/>
          <w:sz w:val="22"/>
          <w:szCs w:val="22"/>
          <w:lang w:eastAsia="en-US"/>
        </w:rPr>
        <w:t>CUARTO. NOTIFÍQUESE</w:t>
      </w:r>
      <w:r w:rsidRPr="000C0A54">
        <w:rPr>
          <w:rFonts w:ascii="Palatino Linotype" w:eastAsiaTheme="minorHAnsi" w:hAnsi="Palatino Linotype" w:cs="Tahoma"/>
          <w:color w:val="000000" w:themeColor="text1"/>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7BA05F3" w14:textId="77777777" w:rsidR="000C0A54" w:rsidRPr="000C0A54" w:rsidRDefault="000C0A54" w:rsidP="000C0A54">
      <w:pPr>
        <w:spacing w:line="360" w:lineRule="auto"/>
        <w:jc w:val="both"/>
        <w:rPr>
          <w:rFonts w:ascii="Palatino Linotype" w:eastAsia="Calibri" w:hAnsi="Palatino Linotype" w:cs="Tahoma"/>
          <w:bCs/>
          <w:color w:val="000000" w:themeColor="text1"/>
          <w:sz w:val="22"/>
          <w:szCs w:val="22"/>
          <w:lang w:val="es-ES" w:eastAsia="en-US"/>
        </w:rPr>
      </w:pPr>
    </w:p>
    <w:p w14:paraId="66E89080" w14:textId="60C6ED7E" w:rsidR="0040530C" w:rsidRPr="00F54C81" w:rsidRDefault="0040530C" w:rsidP="00AC5A6A">
      <w:pPr>
        <w:spacing w:line="360" w:lineRule="auto"/>
        <w:ind w:right="-93"/>
        <w:jc w:val="both"/>
        <w:rPr>
          <w:sz w:val="22"/>
          <w:szCs w:val="22"/>
        </w:rPr>
      </w:pPr>
      <w:r w:rsidRPr="00F54C81">
        <w:rPr>
          <w:rFonts w:ascii="Palatino Linotype" w:eastAsia="Calibri" w:hAnsi="Palatino Linotype" w:cs="Tahoma"/>
          <w:bCs/>
          <w:sz w:val="22"/>
          <w:szCs w:val="22"/>
          <w:lang w:eastAsia="en-US"/>
        </w:rPr>
        <w:t>ASÍ LO RESUELVE, POR </w:t>
      </w:r>
      <w:r w:rsidRPr="00F54C81">
        <w:rPr>
          <w:rFonts w:ascii="Palatino Linotype" w:eastAsia="Calibri" w:hAnsi="Palatino Linotype" w:cs="Tahoma"/>
          <w:b/>
          <w:bCs/>
          <w:sz w:val="22"/>
          <w:szCs w:val="22"/>
          <w:lang w:eastAsia="en-US"/>
        </w:rPr>
        <w:t>UNANIMIDAD</w:t>
      </w:r>
      <w:r w:rsidRPr="00F54C81">
        <w:rPr>
          <w:rFonts w:ascii="Palatino Linotype" w:eastAsia="Calibri" w:hAnsi="Palatino Linotype"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Tahoma"/>
          <w:bCs/>
          <w:sz w:val="22"/>
          <w:szCs w:val="22"/>
          <w:lang w:eastAsia="en-US"/>
        </w:rPr>
        <w:t xml:space="preserve">DÉCIMA </w:t>
      </w:r>
      <w:r w:rsidR="00CC21F5">
        <w:rPr>
          <w:rFonts w:ascii="Palatino Linotype" w:eastAsia="Calibri" w:hAnsi="Palatino Linotype" w:cs="Tahoma"/>
          <w:bCs/>
          <w:sz w:val="22"/>
          <w:szCs w:val="22"/>
          <w:lang w:eastAsia="en-US"/>
        </w:rPr>
        <w:t>OCTAVA</w:t>
      </w:r>
      <w:r w:rsidRPr="00F54C81">
        <w:rPr>
          <w:rFonts w:ascii="Palatino Linotype" w:eastAsia="Calibri" w:hAnsi="Palatino Linotype" w:cs="Tahoma"/>
          <w:bCs/>
          <w:sz w:val="22"/>
          <w:szCs w:val="22"/>
          <w:lang w:eastAsia="en-US"/>
        </w:rPr>
        <w:t xml:space="preserve"> SESIÓN ORDINARIA, CELEBRADA EL </w:t>
      </w:r>
      <w:r w:rsidR="00CC21F5">
        <w:rPr>
          <w:rFonts w:ascii="Palatino Linotype" w:eastAsia="Calibri" w:hAnsi="Palatino Linotype" w:cs="Tahoma"/>
          <w:bCs/>
          <w:sz w:val="22"/>
          <w:szCs w:val="22"/>
          <w:lang w:eastAsia="en-US"/>
        </w:rPr>
        <w:t>DIECIOCHO</w:t>
      </w:r>
      <w:bookmarkStart w:id="5" w:name="_GoBack"/>
      <w:bookmarkEnd w:id="5"/>
      <w:r w:rsidRPr="00F54C81">
        <w:rPr>
          <w:rFonts w:ascii="Palatino Linotype" w:eastAsia="Calibri" w:hAnsi="Palatino Linotype" w:cs="Tahoma"/>
          <w:bCs/>
          <w:sz w:val="22"/>
          <w:szCs w:val="22"/>
          <w:lang w:eastAsia="en-US"/>
        </w:rPr>
        <w:t xml:space="preserve"> DE </w:t>
      </w:r>
      <w:r>
        <w:rPr>
          <w:rFonts w:ascii="Palatino Linotype" w:eastAsia="Calibri" w:hAnsi="Palatino Linotype" w:cs="Tahoma"/>
          <w:bCs/>
          <w:sz w:val="22"/>
          <w:szCs w:val="22"/>
          <w:lang w:eastAsia="en-US"/>
        </w:rPr>
        <w:t>MAYO</w:t>
      </w:r>
      <w:r w:rsidRPr="00F54C81">
        <w:rPr>
          <w:rFonts w:ascii="Palatino Linotype" w:eastAsia="Calibri" w:hAnsi="Palatino Linotype" w:cs="Tahoma"/>
          <w:bCs/>
          <w:sz w:val="22"/>
          <w:szCs w:val="22"/>
          <w:lang w:eastAsia="en-US"/>
        </w:rPr>
        <w:t xml:space="preserve"> DE DOS MIL VEINTIDÓS, ANTE EL SECRETARIO TÉCNICO DEL PLENO, ALEXIS TAPIA RAMÍREZ.</w:t>
      </w:r>
      <w:r w:rsidRPr="00F54C81">
        <w:rPr>
          <w:rFonts w:ascii="Palatino Linotype" w:eastAsia="Calibri" w:hAnsi="Palatino Linotype" w:cs="Tahoma"/>
          <w:b/>
          <w:bCs/>
          <w:sz w:val="22"/>
          <w:szCs w:val="22"/>
          <w:lang w:eastAsia="en-US"/>
        </w:rPr>
        <w:br w:type="page"/>
      </w:r>
    </w:p>
    <w:p w14:paraId="02FC6D79" w14:textId="77777777" w:rsidR="0040530C" w:rsidRPr="00F54C81" w:rsidRDefault="0040530C" w:rsidP="00AC5A6A">
      <w:pPr>
        <w:spacing w:line="360" w:lineRule="auto"/>
        <w:rPr>
          <w:sz w:val="22"/>
          <w:szCs w:val="22"/>
        </w:rPr>
      </w:pPr>
    </w:p>
    <w:p w14:paraId="68AB6A97" w14:textId="77777777" w:rsidR="008F5F78" w:rsidRDefault="008F5F78" w:rsidP="00AC5A6A">
      <w:pPr>
        <w:spacing w:line="360" w:lineRule="auto"/>
      </w:pPr>
    </w:p>
    <w:sectPr w:rsidR="008F5F78" w:rsidSect="00ED6F47">
      <w:headerReference w:type="even" r:id="rId12"/>
      <w:headerReference w:type="default" r:id="rId13"/>
      <w:footerReference w:type="default" r:id="rId14"/>
      <w:headerReference w:type="first" r:id="rId15"/>
      <w:footerReference w:type="first" r:id="rId16"/>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167DE" w14:textId="77777777" w:rsidR="00DC7224" w:rsidRDefault="00DC7224" w:rsidP="005D5C69">
      <w:r>
        <w:separator/>
      </w:r>
    </w:p>
  </w:endnote>
  <w:endnote w:type="continuationSeparator" w:id="0">
    <w:p w14:paraId="59F16AE9" w14:textId="77777777" w:rsidR="00DC7224" w:rsidRDefault="00DC7224" w:rsidP="005D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4C5A9C76" w14:textId="77777777" w:rsidR="00ED6F47" w:rsidRPr="00C13895" w:rsidRDefault="00ED6F47">
            <w:pPr>
              <w:pStyle w:val="Piedepgina"/>
              <w:jc w:val="right"/>
              <w:rPr>
                <w:sz w:val="26"/>
                <w:szCs w:val="26"/>
              </w:rPr>
            </w:pPr>
          </w:p>
          <w:p w14:paraId="4B314664" w14:textId="77777777" w:rsidR="00ED6F47" w:rsidRDefault="00ED6F4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C21F5">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C21F5">
              <w:rPr>
                <w:b/>
                <w:bCs/>
                <w:noProof/>
              </w:rPr>
              <w:t>24</w:t>
            </w:r>
            <w:r>
              <w:rPr>
                <w:b/>
                <w:bCs/>
                <w:sz w:val="24"/>
                <w:szCs w:val="24"/>
              </w:rPr>
              <w:fldChar w:fldCharType="end"/>
            </w:r>
          </w:p>
        </w:sdtContent>
      </w:sdt>
    </w:sdtContent>
  </w:sdt>
  <w:p w14:paraId="3C6636E8" w14:textId="77777777" w:rsidR="00ED6F47" w:rsidRDefault="00ED6F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35A166D7" w14:textId="77777777" w:rsidR="00ED6F47" w:rsidRDefault="00ED6F47">
            <w:pPr>
              <w:pStyle w:val="Piedepgina"/>
              <w:jc w:val="right"/>
            </w:pPr>
          </w:p>
          <w:p w14:paraId="0BF308CC" w14:textId="77777777" w:rsidR="00ED6F47" w:rsidRDefault="00ED6F47">
            <w:pPr>
              <w:pStyle w:val="Piedepgina"/>
              <w:jc w:val="right"/>
            </w:pPr>
          </w:p>
          <w:p w14:paraId="05A5208D" w14:textId="77777777" w:rsidR="00ED6F47" w:rsidRDefault="00ED6F47">
            <w:pPr>
              <w:pStyle w:val="Piedepgina"/>
              <w:jc w:val="right"/>
            </w:pPr>
          </w:p>
          <w:p w14:paraId="2ADE7BAB" w14:textId="77777777" w:rsidR="00ED6F47" w:rsidRDefault="00ED6F4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4312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4312E">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5E09F" w14:textId="77777777" w:rsidR="00DC7224" w:rsidRDefault="00DC7224" w:rsidP="005D5C69">
      <w:r>
        <w:separator/>
      </w:r>
    </w:p>
  </w:footnote>
  <w:footnote w:type="continuationSeparator" w:id="0">
    <w:p w14:paraId="461E37F7" w14:textId="77777777" w:rsidR="00DC7224" w:rsidRDefault="00DC7224" w:rsidP="005D5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C827" w14:textId="77777777" w:rsidR="00ED6F47" w:rsidRDefault="00ED6F47">
    <w:pPr>
      <w:pStyle w:val="Encabezado"/>
    </w:pPr>
    <w:r>
      <w:rPr>
        <w:noProof/>
        <w:lang w:eastAsia="es-MX"/>
      </w:rPr>
      <w:pict w14:anchorId="2E9A5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49" type="#_x0000_t75" alt="marcaaguaINFOEM"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D057" w14:textId="3840FA2B" w:rsidR="00ED6F47" w:rsidRPr="009E6858" w:rsidRDefault="00ED6F47" w:rsidP="00ED6F47">
    <w:pPr>
      <w:tabs>
        <w:tab w:val="left" w:pos="3416"/>
      </w:tabs>
      <w:rPr>
        <w:sz w:val="22"/>
        <w:szCs w:val="22"/>
      </w:rPr>
    </w:pPr>
    <w:r>
      <w:rPr>
        <w:noProof/>
        <w:sz w:val="14"/>
        <w:lang w:eastAsia="es-MX"/>
      </w:rPr>
      <w:pict w14:anchorId="7345B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91.4pt;margin-top:-13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ED6F47" w:rsidRPr="005C106F" w14:paraId="24485EE9" w14:textId="77777777" w:rsidTr="00ED6F47">
      <w:trPr>
        <w:trHeight w:val="70"/>
      </w:trPr>
      <w:tc>
        <w:tcPr>
          <w:tcW w:w="2977" w:type="dxa"/>
          <w:shd w:val="clear" w:color="auto" w:fill="auto"/>
        </w:tcPr>
        <w:p w14:paraId="01368774" w14:textId="77777777" w:rsidR="00ED6F47" w:rsidRPr="005C106F" w:rsidRDefault="00ED6F47" w:rsidP="00ED6F47">
          <w:pPr>
            <w:tabs>
              <w:tab w:val="right" w:pos="4273"/>
            </w:tabs>
            <w:rPr>
              <w:rFonts w:ascii="Garamond" w:eastAsia="Calibri" w:hAnsi="Garamond"/>
              <w:sz w:val="16"/>
              <w:szCs w:val="16"/>
            </w:rPr>
          </w:pPr>
        </w:p>
      </w:tc>
      <w:tc>
        <w:tcPr>
          <w:tcW w:w="7193" w:type="dxa"/>
          <w:shd w:val="clear" w:color="auto" w:fill="auto"/>
        </w:tcPr>
        <w:p w14:paraId="23F72BB5" w14:textId="77777777" w:rsidR="00ED6F47" w:rsidRDefault="00ED6F47"/>
        <w:tbl>
          <w:tblPr>
            <w:tblStyle w:val="Tablaconcuadrcula"/>
            <w:tblW w:w="6384"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980"/>
          </w:tblGrid>
          <w:tr w:rsidR="00ED6F47" w14:paraId="4F8DE8E1" w14:textId="77777777" w:rsidTr="0027189C">
            <w:trPr>
              <w:trHeight w:val="329"/>
            </w:trPr>
            <w:tc>
              <w:tcPr>
                <w:tcW w:w="2404" w:type="dxa"/>
                <w:vAlign w:val="bottom"/>
              </w:tcPr>
              <w:p w14:paraId="5C548BEE" w14:textId="77777777" w:rsidR="00ED6F47" w:rsidRPr="008B41A2" w:rsidRDefault="00ED6F47" w:rsidP="00ED6F47">
                <w:pPr>
                  <w:tabs>
                    <w:tab w:val="right" w:pos="8838"/>
                  </w:tabs>
                  <w:ind w:right="-105"/>
                  <w:rPr>
                    <w:rFonts w:ascii="Palatino Linotype" w:eastAsia="Calibri" w:hAnsi="Palatino Linotype" w:cs="Tahoma"/>
                    <w:b/>
                    <w:sz w:val="22"/>
                    <w:szCs w:val="22"/>
                    <w:lang w:val="es-MX"/>
                  </w:rPr>
                </w:pPr>
                <w:bookmarkStart w:id="6" w:name="_Hlk93421933"/>
                <w:r w:rsidRPr="008B41A2">
                  <w:rPr>
                    <w:rFonts w:ascii="Palatino Linotype" w:eastAsia="Calibri" w:hAnsi="Palatino Linotype" w:cs="Tahoma"/>
                    <w:b/>
                    <w:sz w:val="22"/>
                    <w:szCs w:val="22"/>
                    <w:lang w:val="es-MX"/>
                  </w:rPr>
                  <w:t>Recurso de Revisión:</w:t>
                </w:r>
              </w:p>
            </w:tc>
            <w:tc>
              <w:tcPr>
                <w:tcW w:w="3980" w:type="dxa"/>
              </w:tcPr>
              <w:p w14:paraId="32891240" w14:textId="7A93BE29" w:rsidR="00ED6F47" w:rsidRPr="00A430C1" w:rsidRDefault="00ED6F47" w:rsidP="0027189C">
                <w:pPr>
                  <w:tabs>
                    <w:tab w:val="left" w:pos="2294"/>
                    <w:tab w:val="right" w:pos="8838"/>
                  </w:tabs>
                  <w:ind w:right="731"/>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05666</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ED6F47" w14:paraId="36A1F9C7" w14:textId="77777777" w:rsidTr="0027189C">
            <w:trPr>
              <w:trHeight w:val="244"/>
            </w:trPr>
            <w:tc>
              <w:tcPr>
                <w:tcW w:w="2404" w:type="dxa"/>
              </w:tcPr>
              <w:p w14:paraId="122BF275" w14:textId="77777777" w:rsidR="00ED6F47" w:rsidRPr="008B41A2" w:rsidRDefault="00ED6F47" w:rsidP="00ED6F47">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980" w:type="dxa"/>
              </w:tcPr>
              <w:p w14:paraId="3B012980" w14:textId="0AD8E963" w:rsidR="00ED6F47" w:rsidRPr="00801872" w:rsidRDefault="00ED6F47" w:rsidP="0027189C">
                <w:pPr>
                  <w:tabs>
                    <w:tab w:val="right" w:pos="8838"/>
                  </w:tabs>
                  <w:ind w:right="731"/>
                  <w:rPr>
                    <w:rFonts w:ascii="Palatino Linotype" w:eastAsia="Calibri" w:hAnsi="Palatino Linotype" w:cs="Tahoma"/>
                    <w:sz w:val="22"/>
                    <w:szCs w:val="22"/>
                    <w:lang w:val="es-MX"/>
                  </w:rPr>
                </w:pPr>
                <w:r>
                  <w:rPr>
                    <w:rFonts w:ascii="Palatino Linotype" w:eastAsia="Calibri" w:hAnsi="Palatino Linotype" w:cs="Tahoma"/>
                    <w:bCs/>
                    <w:sz w:val="22"/>
                    <w:szCs w:val="22"/>
                    <w:lang w:val="es-MX"/>
                  </w:rPr>
                  <w:t>Ayuntamiento de Atenco</w:t>
                </w:r>
              </w:p>
            </w:tc>
          </w:tr>
          <w:tr w:rsidR="00ED6F47" w14:paraId="3EF3D809" w14:textId="77777777" w:rsidTr="0027189C">
            <w:trPr>
              <w:trHeight w:val="244"/>
            </w:trPr>
            <w:tc>
              <w:tcPr>
                <w:tcW w:w="2404" w:type="dxa"/>
              </w:tcPr>
              <w:p w14:paraId="7EF81ECE" w14:textId="77777777" w:rsidR="00ED6F47" w:rsidRPr="008B41A2" w:rsidRDefault="00ED6F47" w:rsidP="00ED6F47">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980" w:type="dxa"/>
              </w:tcPr>
              <w:p w14:paraId="0FC2CB09" w14:textId="6B5B9986" w:rsidR="00ED6F47" w:rsidRPr="008B41A2" w:rsidRDefault="00ED6F47" w:rsidP="0027189C">
                <w:pPr>
                  <w:tabs>
                    <w:tab w:val="right" w:pos="8838"/>
                  </w:tabs>
                  <w:ind w:right="731"/>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6"/>
        </w:tbl>
        <w:p w14:paraId="2BB39ADA" w14:textId="77777777" w:rsidR="00ED6F47" w:rsidRPr="005C106F" w:rsidRDefault="00ED6F47" w:rsidP="00ED6F47">
          <w:pPr>
            <w:tabs>
              <w:tab w:val="right" w:pos="8838"/>
            </w:tabs>
            <w:ind w:left="-28"/>
            <w:rPr>
              <w:rFonts w:ascii="Arial" w:eastAsia="Calibri" w:hAnsi="Arial" w:cs="Arial"/>
              <w:b/>
            </w:rPr>
          </w:pPr>
        </w:p>
      </w:tc>
    </w:tr>
  </w:tbl>
  <w:p w14:paraId="076DCF97" w14:textId="77777777" w:rsidR="00ED6F47" w:rsidRPr="009E6858" w:rsidRDefault="00ED6F47" w:rsidP="00ED6F47">
    <w:pPr>
      <w:tabs>
        <w:tab w:val="left" w:pos="3416"/>
      </w:tabs>
      <w:rPr>
        <w:sz w:val="22"/>
        <w:szCs w:val="22"/>
      </w:rPr>
    </w:pPr>
  </w:p>
  <w:p w14:paraId="1AC17726" w14:textId="77777777" w:rsidR="00ED6F47" w:rsidRDefault="00ED6F47" w:rsidP="00ED6F47">
    <w:pPr>
      <w:pStyle w:val="Encabezado"/>
      <w:tabs>
        <w:tab w:val="clear" w:pos="4419"/>
        <w:tab w:val="clear" w:pos="8838"/>
        <w:tab w:val="left" w:pos="1425"/>
      </w:tabs>
      <w:rPr>
        <w:sz w:val="14"/>
      </w:rPr>
    </w:pPr>
    <w:r>
      <w:rPr>
        <w:sz w:val="14"/>
      </w:rPr>
      <w:tab/>
    </w:r>
  </w:p>
  <w:p w14:paraId="0B04B57D" w14:textId="77777777" w:rsidR="00ED6F47" w:rsidRPr="00443C6B" w:rsidRDefault="00ED6F47" w:rsidP="00ED6F4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E1577" w14:textId="6AC6B381" w:rsidR="00ED6F47" w:rsidRDefault="00ED6F47">
    <w:r>
      <w:rPr>
        <w:noProof/>
        <w:lang w:eastAsia="es-MX"/>
      </w:rPr>
      <w:pict w14:anchorId="53A94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51" type="#_x0000_t75" alt="marcaaguaINFOEM" style="position:absolute;margin-left:-118.05pt;margin-top:-132.95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tbl>
    <w:tblPr>
      <w:tblStyle w:val="Tablaconcuadrcula"/>
      <w:tblW w:w="5953"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461"/>
    </w:tblGrid>
    <w:tr w:rsidR="00ED6F47" w:rsidRPr="00264223" w14:paraId="22EA5A7E" w14:textId="77777777" w:rsidTr="0027189C">
      <w:trPr>
        <w:trHeight w:val="284"/>
      </w:trPr>
      <w:tc>
        <w:tcPr>
          <w:tcW w:w="2492" w:type="dxa"/>
        </w:tcPr>
        <w:p w14:paraId="36D99AFD" w14:textId="77777777" w:rsidR="00ED6F47" w:rsidRPr="00D3618F" w:rsidRDefault="00ED6F47" w:rsidP="00ED6F4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461" w:type="dxa"/>
        </w:tcPr>
        <w:p w14:paraId="551BB48D" w14:textId="4AFC972E" w:rsidR="00ED6F47" w:rsidRPr="005F75E4" w:rsidRDefault="00ED6F47" w:rsidP="005D5C69">
          <w:pPr>
            <w:tabs>
              <w:tab w:val="right" w:pos="8838"/>
            </w:tabs>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05666/INFOEM/IP/RR/2022</w:t>
          </w:r>
        </w:p>
      </w:tc>
    </w:tr>
    <w:tr w:rsidR="00ED6F47" w:rsidRPr="00264223" w14:paraId="70067A8B" w14:textId="77777777" w:rsidTr="0027189C">
      <w:trPr>
        <w:trHeight w:val="104"/>
      </w:trPr>
      <w:tc>
        <w:tcPr>
          <w:tcW w:w="2492" w:type="dxa"/>
        </w:tcPr>
        <w:p w14:paraId="139E6260" w14:textId="77777777" w:rsidR="00ED6F47" w:rsidRPr="00D3618F" w:rsidRDefault="00ED6F47" w:rsidP="00ED6F4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461" w:type="dxa"/>
        </w:tcPr>
        <w:p w14:paraId="3E30C51B" w14:textId="3DF3E33E" w:rsidR="00ED6F47" w:rsidRPr="00EE2A06" w:rsidRDefault="00ED6F47" w:rsidP="0027189C">
          <w:pPr>
            <w:tabs>
              <w:tab w:val="right" w:pos="8838"/>
            </w:tabs>
            <w:ind w:left="-28" w:right="-102"/>
            <w:jc w:val="both"/>
            <w:rPr>
              <w:rFonts w:ascii="Palatino Linotype" w:eastAsia="Calibri" w:hAnsi="Palatino Linotype" w:cs="Tahoma"/>
              <w:sz w:val="22"/>
              <w:szCs w:val="22"/>
              <w:lang w:val="es-MX" w:eastAsia="en-US"/>
            </w:rPr>
          </w:pPr>
        </w:p>
      </w:tc>
    </w:tr>
    <w:tr w:rsidR="00ED6F47" w:rsidRPr="00264223" w14:paraId="51574720" w14:textId="77777777" w:rsidTr="0027189C">
      <w:trPr>
        <w:trHeight w:val="234"/>
      </w:trPr>
      <w:tc>
        <w:tcPr>
          <w:tcW w:w="2492" w:type="dxa"/>
        </w:tcPr>
        <w:p w14:paraId="43980940" w14:textId="77777777" w:rsidR="00ED6F47" w:rsidRPr="00D3618F" w:rsidRDefault="00ED6F47" w:rsidP="00ED6F4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461" w:type="dxa"/>
        </w:tcPr>
        <w:p w14:paraId="3AA7C5AD" w14:textId="679CA1DF" w:rsidR="00ED6F47" w:rsidRPr="00801872" w:rsidRDefault="00ED6F47" w:rsidP="00ED6F47">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Atenco</w:t>
          </w:r>
        </w:p>
      </w:tc>
    </w:tr>
    <w:tr w:rsidR="00ED6F47" w:rsidRPr="00264223" w14:paraId="5692353A" w14:textId="77777777" w:rsidTr="0027189C">
      <w:trPr>
        <w:trHeight w:val="234"/>
      </w:trPr>
      <w:tc>
        <w:tcPr>
          <w:tcW w:w="2492" w:type="dxa"/>
        </w:tcPr>
        <w:p w14:paraId="1C508931" w14:textId="77777777" w:rsidR="00ED6F47" w:rsidRPr="00D3618F" w:rsidRDefault="00ED6F47" w:rsidP="00ED6F4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461" w:type="dxa"/>
        </w:tcPr>
        <w:p w14:paraId="58ABEC39" w14:textId="77777777" w:rsidR="00ED6F47" w:rsidRPr="00D3618F" w:rsidRDefault="00ED6F47" w:rsidP="00ED6F4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4210C8D6" w14:textId="381A79FD" w:rsidR="00ED6F47" w:rsidRDefault="00ED6F47" w:rsidP="00ED6F47">
    <w:pPr>
      <w:tabs>
        <w:tab w:val="left" w:pos="1860"/>
      </w:tabs>
    </w:pPr>
    <w:r>
      <w:tab/>
    </w:r>
  </w:p>
  <w:p w14:paraId="18F5A09F" w14:textId="77777777" w:rsidR="00ED6F47" w:rsidRDefault="00ED6F47" w:rsidP="00ED6F47">
    <w:pPr>
      <w:tabs>
        <w:tab w:val="left" w:pos="18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7168"/>
    <w:multiLevelType w:val="hybridMultilevel"/>
    <w:tmpl w:val="1B8AC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57DC1"/>
    <w:multiLevelType w:val="hybridMultilevel"/>
    <w:tmpl w:val="67D27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A83A89"/>
    <w:multiLevelType w:val="hybridMultilevel"/>
    <w:tmpl w:val="D5ACD40A"/>
    <w:lvl w:ilvl="0" w:tplc="51B021AA">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221FA2"/>
    <w:multiLevelType w:val="hybridMultilevel"/>
    <w:tmpl w:val="6498B80E"/>
    <w:lvl w:ilvl="0" w:tplc="51B021AA">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B71DF8"/>
    <w:multiLevelType w:val="hybridMultilevel"/>
    <w:tmpl w:val="ED5C8F5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2555D6"/>
    <w:multiLevelType w:val="hybridMultilevel"/>
    <w:tmpl w:val="694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B41FAB"/>
    <w:multiLevelType w:val="hybridMultilevel"/>
    <w:tmpl w:val="81A8713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CE0F03"/>
    <w:multiLevelType w:val="hybridMultilevel"/>
    <w:tmpl w:val="E5CEBD3C"/>
    <w:lvl w:ilvl="0" w:tplc="51B021AA">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6357BE"/>
    <w:multiLevelType w:val="hybridMultilevel"/>
    <w:tmpl w:val="A84E6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B1424D"/>
    <w:multiLevelType w:val="hybridMultilevel"/>
    <w:tmpl w:val="85AA585C"/>
    <w:lvl w:ilvl="0" w:tplc="CB808F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BC0B30"/>
    <w:multiLevelType w:val="hybridMultilevel"/>
    <w:tmpl w:val="882A2C82"/>
    <w:lvl w:ilvl="0" w:tplc="080A0017">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431BF1"/>
    <w:multiLevelType w:val="hybridMultilevel"/>
    <w:tmpl w:val="52E46112"/>
    <w:lvl w:ilvl="0" w:tplc="51B021AA">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FA7250"/>
    <w:multiLevelType w:val="hybridMultilevel"/>
    <w:tmpl w:val="49C0A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6D3319"/>
    <w:multiLevelType w:val="hybridMultilevel"/>
    <w:tmpl w:val="ED92A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D90981"/>
    <w:multiLevelType w:val="hybridMultilevel"/>
    <w:tmpl w:val="7BE68AD2"/>
    <w:lvl w:ilvl="0" w:tplc="51B021AA">
      <w:start w:val="3"/>
      <w:numFmt w:val="bullet"/>
      <w:lvlText w:val=""/>
      <w:lvlJc w:val="left"/>
      <w:pPr>
        <w:ind w:left="1125" w:hanging="360"/>
      </w:pPr>
      <w:rPr>
        <w:rFonts w:ascii="Symbol" w:eastAsia="Times New Roman" w:hAnsi="Symbol" w:cs="Tahoma"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23" w15:restartNumberingAfterBreak="0">
    <w:nsid w:val="57B4586A"/>
    <w:multiLevelType w:val="hybridMultilevel"/>
    <w:tmpl w:val="7B2A8C3E"/>
    <w:lvl w:ilvl="0" w:tplc="51B021AA">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4F2C96"/>
    <w:multiLevelType w:val="hybridMultilevel"/>
    <w:tmpl w:val="82B49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E772129"/>
    <w:multiLevelType w:val="hybridMultilevel"/>
    <w:tmpl w:val="4D702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430A07"/>
    <w:multiLevelType w:val="hybridMultilevel"/>
    <w:tmpl w:val="CED8CE44"/>
    <w:lvl w:ilvl="0" w:tplc="51B021AA">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7"/>
    <w:lvlOverride w:ilvl="0">
      <w:startOverride w:val="1"/>
    </w:lvlOverride>
    <w:lvlOverride w:ilvl="1"/>
    <w:lvlOverride w:ilvl="2"/>
    <w:lvlOverride w:ilvl="3"/>
    <w:lvlOverride w:ilvl="4"/>
    <w:lvlOverride w:ilvl="5"/>
    <w:lvlOverride w:ilvl="6"/>
    <w:lvlOverride w:ilvl="7"/>
    <w:lvlOverride w:ilvl="8"/>
  </w:num>
  <w:num w:numId="4">
    <w:abstractNumId w:val="27"/>
  </w:num>
  <w:num w:numId="5">
    <w:abstractNumId w:val="19"/>
  </w:num>
  <w:num w:numId="6">
    <w:abstractNumId w:val="7"/>
  </w:num>
  <w:num w:numId="7">
    <w:abstractNumId w:val="10"/>
  </w:num>
  <w:num w:numId="8">
    <w:abstractNumId w:val="11"/>
  </w:num>
  <w:num w:numId="9">
    <w:abstractNumId w:val="29"/>
  </w:num>
  <w:num w:numId="10">
    <w:abstractNumId w:val="3"/>
  </w:num>
  <w:num w:numId="11">
    <w:abstractNumId w:val="16"/>
  </w:num>
  <w:num w:numId="12">
    <w:abstractNumId w:val="4"/>
  </w:num>
  <w:num w:numId="13">
    <w:abstractNumId w:val="12"/>
  </w:num>
  <w:num w:numId="14">
    <w:abstractNumId w:val="22"/>
  </w:num>
  <w:num w:numId="15">
    <w:abstractNumId w:val="23"/>
  </w:num>
  <w:num w:numId="16">
    <w:abstractNumId w:val="18"/>
  </w:num>
  <w:num w:numId="17">
    <w:abstractNumId w:val="25"/>
  </w:num>
  <w:num w:numId="18">
    <w:abstractNumId w:val="8"/>
  </w:num>
  <w:num w:numId="19">
    <w:abstractNumId w:val="9"/>
  </w:num>
  <w:num w:numId="20">
    <w:abstractNumId w:val="1"/>
  </w:num>
  <w:num w:numId="21">
    <w:abstractNumId w:val="13"/>
  </w:num>
  <w:num w:numId="22">
    <w:abstractNumId w:val="5"/>
  </w:num>
  <w:num w:numId="23">
    <w:abstractNumId w:val="15"/>
  </w:num>
  <w:num w:numId="24">
    <w:abstractNumId w:val="20"/>
  </w:num>
  <w:num w:numId="25">
    <w:abstractNumId w:val="2"/>
  </w:num>
  <w:num w:numId="26">
    <w:abstractNumId w:val="24"/>
  </w:num>
  <w:num w:numId="27">
    <w:abstractNumId w:val="28"/>
  </w:num>
  <w:num w:numId="28">
    <w:abstractNumId w:val="21"/>
  </w:num>
  <w:num w:numId="29">
    <w:abstractNumId w:val="1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69"/>
    <w:rsid w:val="00035E76"/>
    <w:rsid w:val="00040F45"/>
    <w:rsid w:val="0007707D"/>
    <w:rsid w:val="000A0F40"/>
    <w:rsid w:val="000A382B"/>
    <w:rsid w:val="000C0A54"/>
    <w:rsid w:val="000C7985"/>
    <w:rsid w:val="000D7B9B"/>
    <w:rsid w:val="0010624D"/>
    <w:rsid w:val="00112118"/>
    <w:rsid w:val="00121B1D"/>
    <w:rsid w:val="00144C7E"/>
    <w:rsid w:val="00171F56"/>
    <w:rsid w:val="0019199A"/>
    <w:rsid w:val="001B5B96"/>
    <w:rsid w:val="001D07E9"/>
    <w:rsid w:val="001D1AD6"/>
    <w:rsid w:val="001D7C53"/>
    <w:rsid w:val="001F5036"/>
    <w:rsid w:val="00200B82"/>
    <w:rsid w:val="00233435"/>
    <w:rsid w:val="0023678C"/>
    <w:rsid w:val="00267706"/>
    <w:rsid w:val="0027189C"/>
    <w:rsid w:val="00350B01"/>
    <w:rsid w:val="00384263"/>
    <w:rsid w:val="003B1A2E"/>
    <w:rsid w:val="003C4A5E"/>
    <w:rsid w:val="003C5A64"/>
    <w:rsid w:val="0040530C"/>
    <w:rsid w:val="00405E95"/>
    <w:rsid w:val="00407F35"/>
    <w:rsid w:val="00433DAB"/>
    <w:rsid w:val="004742A2"/>
    <w:rsid w:val="004A17AE"/>
    <w:rsid w:val="004D1397"/>
    <w:rsid w:val="00512DFD"/>
    <w:rsid w:val="0052064D"/>
    <w:rsid w:val="00531ACC"/>
    <w:rsid w:val="00562E9F"/>
    <w:rsid w:val="0059343E"/>
    <w:rsid w:val="005D5C69"/>
    <w:rsid w:val="005D7DE5"/>
    <w:rsid w:val="006038B3"/>
    <w:rsid w:val="006558F4"/>
    <w:rsid w:val="00691D41"/>
    <w:rsid w:val="0070640D"/>
    <w:rsid w:val="007117BB"/>
    <w:rsid w:val="0074312E"/>
    <w:rsid w:val="0076214C"/>
    <w:rsid w:val="00774433"/>
    <w:rsid w:val="007A4BC7"/>
    <w:rsid w:val="007D6773"/>
    <w:rsid w:val="008170D3"/>
    <w:rsid w:val="0082736C"/>
    <w:rsid w:val="008B086D"/>
    <w:rsid w:val="008B59A7"/>
    <w:rsid w:val="008F01C6"/>
    <w:rsid w:val="008F5F78"/>
    <w:rsid w:val="008F6530"/>
    <w:rsid w:val="00916D27"/>
    <w:rsid w:val="00966A19"/>
    <w:rsid w:val="0097200D"/>
    <w:rsid w:val="00974971"/>
    <w:rsid w:val="0098278A"/>
    <w:rsid w:val="009B0797"/>
    <w:rsid w:val="00A043BD"/>
    <w:rsid w:val="00A467DA"/>
    <w:rsid w:val="00A75B42"/>
    <w:rsid w:val="00AB1D13"/>
    <w:rsid w:val="00AB230A"/>
    <w:rsid w:val="00AC5A6A"/>
    <w:rsid w:val="00AE7140"/>
    <w:rsid w:val="00AF12EA"/>
    <w:rsid w:val="00B24D78"/>
    <w:rsid w:val="00B518BD"/>
    <w:rsid w:val="00B76C79"/>
    <w:rsid w:val="00BC0D98"/>
    <w:rsid w:val="00BF2E02"/>
    <w:rsid w:val="00C1045A"/>
    <w:rsid w:val="00C41312"/>
    <w:rsid w:val="00C7451F"/>
    <w:rsid w:val="00C74859"/>
    <w:rsid w:val="00CC21F5"/>
    <w:rsid w:val="00D657AE"/>
    <w:rsid w:val="00D766EF"/>
    <w:rsid w:val="00D93D2E"/>
    <w:rsid w:val="00DC7224"/>
    <w:rsid w:val="00E40EDA"/>
    <w:rsid w:val="00E540AF"/>
    <w:rsid w:val="00E8425E"/>
    <w:rsid w:val="00E90090"/>
    <w:rsid w:val="00EB1205"/>
    <w:rsid w:val="00EB496E"/>
    <w:rsid w:val="00ED1D97"/>
    <w:rsid w:val="00ED6F47"/>
    <w:rsid w:val="00EF21F1"/>
    <w:rsid w:val="00F03E2E"/>
    <w:rsid w:val="00F05D84"/>
    <w:rsid w:val="00F15A62"/>
    <w:rsid w:val="00F208AB"/>
    <w:rsid w:val="00F50EDC"/>
    <w:rsid w:val="00F54592"/>
    <w:rsid w:val="00F973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3B037"/>
  <w15:chartTrackingRefBased/>
  <w15:docId w15:val="{7A4A7DDA-882B-4B0E-B47A-51161013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A5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C69"/>
    <w:pPr>
      <w:tabs>
        <w:tab w:val="center" w:pos="4419"/>
        <w:tab w:val="right" w:pos="8838"/>
      </w:tabs>
    </w:pPr>
  </w:style>
  <w:style w:type="character" w:customStyle="1" w:styleId="EncabezadoCar">
    <w:name w:val="Encabezado Car"/>
    <w:basedOn w:val="Fuentedeprrafopredeter"/>
    <w:link w:val="Encabezado"/>
    <w:uiPriority w:val="99"/>
    <w:rsid w:val="005D5C6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5C69"/>
    <w:pPr>
      <w:tabs>
        <w:tab w:val="center" w:pos="4419"/>
        <w:tab w:val="right" w:pos="8838"/>
      </w:tabs>
    </w:pPr>
  </w:style>
  <w:style w:type="character" w:customStyle="1" w:styleId="PiedepginaCar">
    <w:name w:val="Pie de página Car"/>
    <w:basedOn w:val="Fuentedeprrafopredeter"/>
    <w:link w:val="Piedepgina"/>
    <w:uiPriority w:val="99"/>
    <w:rsid w:val="005D5C69"/>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5C69"/>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D5C69"/>
    <w:rPr>
      <w:rFonts w:ascii="Century Gothic" w:eastAsia="Times New Roman" w:hAnsi="Century Gothic" w:cs="Times New Roman"/>
      <w:szCs w:val="24"/>
      <w:lang w:eastAsia="es-ES"/>
    </w:rPr>
  </w:style>
  <w:style w:type="table" w:styleId="Tablaconcuadrcula">
    <w:name w:val="Table Grid"/>
    <w:basedOn w:val="Tablanormal"/>
    <w:uiPriority w:val="59"/>
    <w:rsid w:val="005D5C6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D1397"/>
    <w:rPr>
      <w:color w:val="0000FF"/>
      <w:u w:val="single"/>
    </w:rPr>
  </w:style>
  <w:style w:type="character" w:customStyle="1" w:styleId="UnresolvedMention">
    <w:name w:val="Unresolved Mention"/>
    <w:basedOn w:val="Fuentedeprrafopredeter"/>
    <w:uiPriority w:val="99"/>
    <w:semiHidden/>
    <w:unhideWhenUsed/>
    <w:rsid w:val="00774433"/>
    <w:rPr>
      <w:color w:val="605E5C"/>
      <w:shd w:val="clear" w:color="auto" w:fill="E1DFDD"/>
    </w:rPr>
  </w:style>
  <w:style w:type="character" w:styleId="Hipervnculovisitado">
    <w:name w:val="FollowedHyperlink"/>
    <w:basedOn w:val="Fuentedeprrafopredeter"/>
    <w:uiPriority w:val="99"/>
    <w:semiHidden/>
    <w:unhideWhenUsed/>
    <w:rsid w:val="00774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880155">
      <w:bodyDiv w:val="1"/>
      <w:marLeft w:val="0"/>
      <w:marRight w:val="0"/>
      <w:marTop w:val="0"/>
      <w:marBottom w:val="0"/>
      <w:divBdr>
        <w:top w:val="none" w:sz="0" w:space="0" w:color="auto"/>
        <w:left w:val="none" w:sz="0" w:space="0" w:color="auto"/>
        <w:bottom w:val="none" w:sz="0" w:space="0" w:color="auto"/>
        <w:right w:val="none" w:sz="0" w:space="0" w:color="auto"/>
      </w:divBdr>
    </w:div>
    <w:div w:id="513614094">
      <w:bodyDiv w:val="1"/>
      <w:marLeft w:val="0"/>
      <w:marRight w:val="0"/>
      <w:marTop w:val="0"/>
      <w:marBottom w:val="0"/>
      <w:divBdr>
        <w:top w:val="none" w:sz="0" w:space="0" w:color="auto"/>
        <w:left w:val="none" w:sz="0" w:space="0" w:color="auto"/>
        <w:bottom w:val="none" w:sz="0" w:space="0" w:color="auto"/>
        <w:right w:val="none" w:sz="0" w:space="0" w:color="auto"/>
      </w:divBdr>
    </w:div>
    <w:div w:id="739835970">
      <w:bodyDiv w:val="1"/>
      <w:marLeft w:val="0"/>
      <w:marRight w:val="0"/>
      <w:marTop w:val="0"/>
      <w:marBottom w:val="0"/>
      <w:divBdr>
        <w:top w:val="none" w:sz="0" w:space="0" w:color="auto"/>
        <w:left w:val="none" w:sz="0" w:space="0" w:color="auto"/>
        <w:bottom w:val="none" w:sz="0" w:space="0" w:color="auto"/>
        <w:right w:val="none" w:sz="0" w:space="0" w:color="auto"/>
      </w:divBdr>
    </w:div>
    <w:div w:id="1174030379">
      <w:bodyDiv w:val="1"/>
      <w:marLeft w:val="0"/>
      <w:marRight w:val="0"/>
      <w:marTop w:val="0"/>
      <w:marBottom w:val="0"/>
      <w:divBdr>
        <w:top w:val="none" w:sz="0" w:space="0" w:color="auto"/>
        <w:left w:val="none" w:sz="0" w:space="0" w:color="auto"/>
        <w:bottom w:val="none" w:sz="0" w:space="0" w:color="auto"/>
        <w:right w:val="none" w:sz="0" w:space="0" w:color="auto"/>
      </w:divBdr>
    </w:div>
    <w:div w:id="1452895058">
      <w:bodyDiv w:val="1"/>
      <w:marLeft w:val="0"/>
      <w:marRight w:val="0"/>
      <w:marTop w:val="0"/>
      <w:marBottom w:val="0"/>
      <w:divBdr>
        <w:top w:val="none" w:sz="0" w:space="0" w:color="auto"/>
        <w:left w:val="none" w:sz="0" w:space="0" w:color="auto"/>
        <w:bottom w:val="none" w:sz="0" w:space="0" w:color="auto"/>
        <w:right w:val="none" w:sz="0" w:space="0" w:color="auto"/>
      </w:divBdr>
    </w:div>
    <w:div w:id="1635938884">
      <w:bodyDiv w:val="1"/>
      <w:marLeft w:val="0"/>
      <w:marRight w:val="0"/>
      <w:marTop w:val="0"/>
      <w:marBottom w:val="0"/>
      <w:divBdr>
        <w:top w:val="none" w:sz="0" w:space="0" w:color="auto"/>
        <w:left w:val="none" w:sz="0" w:space="0" w:color="auto"/>
        <w:bottom w:val="none" w:sz="0" w:space="0" w:color="auto"/>
        <w:right w:val="none" w:sz="0" w:space="0" w:color="auto"/>
      </w:divBdr>
    </w:div>
    <w:div w:id="1705443360">
      <w:bodyDiv w:val="1"/>
      <w:marLeft w:val="0"/>
      <w:marRight w:val="0"/>
      <w:marTop w:val="0"/>
      <w:marBottom w:val="0"/>
      <w:divBdr>
        <w:top w:val="none" w:sz="0" w:space="0" w:color="auto"/>
        <w:left w:val="none" w:sz="0" w:space="0" w:color="auto"/>
        <w:bottom w:val="none" w:sz="0" w:space="0" w:color="auto"/>
        <w:right w:val="none" w:sz="0" w:space="0" w:color="auto"/>
      </w:divBdr>
    </w:div>
    <w:div w:id="177474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b.mx/sesnsp/acciones-y-programas/incidencia-delictiva-del-fuero-comun-nueva-metodologia?state=published" TargetMode="External"/><Relationship Id="rId4" Type="http://schemas.openxmlformats.org/officeDocument/2006/relationships/settings" Target="settings.xml"/><Relationship Id="rId9" Type="http://schemas.openxmlformats.org/officeDocument/2006/relationships/hyperlink" Target="http://secretariadoejecutivo.gob.mx/work/models/SecretariadoEjecutivo/Resource/328/1/images/instructivo_final_edo_fuerza(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41F38-536B-45FC-A9B9-692BE89B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5959</Words>
  <Characters>32775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José Fernando Lobato</cp:lastModifiedBy>
  <cp:revision>2</cp:revision>
  <dcterms:created xsi:type="dcterms:W3CDTF">2022-05-12T23:16:00Z</dcterms:created>
  <dcterms:modified xsi:type="dcterms:W3CDTF">2022-05-12T23:16:00Z</dcterms:modified>
</cp:coreProperties>
</file>