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868B8" w14:textId="77777777" w:rsidR="00D67FB0" w:rsidRDefault="00D67FB0" w:rsidP="0066637D">
      <w:pPr>
        <w:spacing w:line="360" w:lineRule="auto"/>
        <w:jc w:val="both"/>
        <w:rPr>
          <w:rFonts w:ascii="Palatino Linotype" w:hAnsi="Palatino Linotype"/>
        </w:rPr>
      </w:pPr>
    </w:p>
    <w:p w14:paraId="55564847" w14:textId="77777777" w:rsidR="00D67FB0" w:rsidRDefault="00D67FB0" w:rsidP="0066637D">
      <w:pPr>
        <w:spacing w:line="360" w:lineRule="auto"/>
        <w:jc w:val="both"/>
        <w:rPr>
          <w:rFonts w:ascii="Palatino Linotype" w:hAnsi="Palatino Linotype"/>
        </w:rPr>
      </w:pPr>
    </w:p>
    <w:p w14:paraId="5E66C953" w14:textId="733D8A6E" w:rsidR="00457BB8" w:rsidRPr="00B14D26" w:rsidRDefault="00457BB8" w:rsidP="0066637D">
      <w:pPr>
        <w:spacing w:line="360" w:lineRule="auto"/>
        <w:jc w:val="both"/>
        <w:rPr>
          <w:rFonts w:ascii="Palatino Linotype" w:hAnsi="Palatino Linotype"/>
          <w:highlight w:val="yellow"/>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0A161B">
        <w:rPr>
          <w:rFonts w:ascii="Palatino Linotype" w:hAnsi="Palatino Linotype"/>
        </w:rPr>
        <w:t>uno</w:t>
      </w:r>
      <w:r w:rsidR="001468D4" w:rsidRPr="000A161B">
        <w:rPr>
          <w:rFonts w:ascii="Palatino Linotype" w:hAnsi="Palatino Linotype"/>
        </w:rPr>
        <w:t xml:space="preserve"> de junio</w:t>
      </w:r>
      <w:r w:rsidR="00DA50F6" w:rsidRPr="000A161B">
        <w:rPr>
          <w:rFonts w:ascii="Palatino Linotype" w:hAnsi="Palatino Linotype"/>
        </w:rPr>
        <w:t xml:space="preserve"> </w:t>
      </w:r>
      <w:r w:rsidR="00B41543" w:rsidRPr="000A161B">
        <w:rPr>
          <w:rFonts w:ascii="Palatino Linotype" w:hAnsi="Palatino Linotype"/>
        </w:rPr>
        <w:t>d</w:t>
      </w:r>
      <w:r w:rsidR="00F74502" w:rsidRPr="000A161B">
        <w:rPr>
          <w:rFonts w:ascii="Palatino Linotype" w:hAnsi="Palatino Linotype"/>
        </w:rPr>
        <w:t xml:space="preserve">e dos mil </w:t>
      </w:r>
      <w:r w:rsidR="003579AB" w:rsidRPr="000A161B">
        <w:rPr>
          <w:rFonts w:ascii="Palatino Linotype" w:hAnsi="Palatino Linotype"/>
        </w:rPr>
        <w:t>veinti</w:t>
      </w:r>
      <w:r w:rsidR="00F74502" w:rsidRPr="000A161B">
        <w:rPr>
          <w:rFonts w:ascii="Palatino Linotype" w:hAnsi="Palatino Linotype"/>
        </w:rPr>
        <w:t>dós</w:t>
      </w:r>
      <w:r w:rsidRPr="000A161B">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4125BDCC"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BF54C2">
        <w:rPr>
          <w:rFonts w:ascii="Palatino Linotype" w:hAnsi="Palatino Linotype"/>
          <w:b/>
          <w:lang w:val="es-ES_tradnl"/>
        </w:rPr>
        <w:t>06672</w:t>
      </w:r>
      <w:r w:rsidR="008834CE" w:rsidRPr="00984657">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bookmarkStart w:id="0" w:name="_GoBack"/>
      <w:r w:rsidR="006233DD">
        <w:rPr>
          <w:rFonts w:ascii="Palatino Linotype" w:hAnsi="Palatino Linotype"/>
          <w:b/>
          <w:color w:val="000000" w:themeColor="text1"/>
        </w:rPr>
        <w:t>XXXXXXX XXXXXX 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7E09B0">
        <w:rPr>
          <w:rFonts w:ascii="Palatino Linotype" w:hAnsi="Palatino Linotype" w:cs="Arial"/>
          <w:color w:val="000000" w:themeColor="text1"/>
          <w:lang w:val="es-ES"/>
        </w:rPr>
        <w:t xml:space="preserve">a </w:t>
      </w:r>
      <w:r w:rsidR="007E09B0">
        <w:rPr>
          <w:rFonts w:ascii="Palatino Linotype" w:hAnsi="Palatino Linotype"/>
          <w:color w:val="000000" w:themeColor="text1"/>
          <w:lang w:val="es-ES"/>
        </w:rPr>
        <w:t>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en lo sucesivo se</w:t>
      </w:r>
      <w:r w:rsidR="007E09B0">
        <w:rPr>
          <w:rFonts w:ascii="Palatino Linotype" w:hAnsi="Palatino Linotype"/>
          <w:color w:val="000000" w:themeColor="text1"/>
        </w:rPr>
        <w:t xml:space="preserve"> le</w:t>
      </w:r>
      <w:r w:rsidR="005C250B">
        <w:rPr>
          <w:rFonts w:ascii="Palatino Linotype" w:hAnsi="Palatino Linotype"/>
          <w:color w:val="000000" w:themeColor="text1"/>
        </w:rPr>
        <w:t xml:space="preserve"> denominará </w:t>
      </w:r>
      <w:r w:rsidR="000122C2">
        <w:rPr>
          <w:rFonts w:ascii="Palatino Linotype" w:hAnsi="Palatino Linotype" w:cs="Arial"/>
          <w:b/>
          <w:color w:val="000000" w:themeColor="text1"/>
          <w:lang w:val="es-ES"/>
        </w:rPr>
        <w:t>LA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E24730" w:rsidRPr="00984657">
        <w:rPr>
          <w:rFonts w:ascii="Palatino Linotype" w:hAnsi="Palatino Linotype" w:cs="Arial"/>
          <w:color w:val="000000" w:themeColor="text1"/>
          <w:lang w:val="es-ES"/>
        </w:rPr>
        <w:t>la falta de 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6D2761" w:rsidRPr="006D2761">
        <w:rPr>
          <w:rFonts w:ascii="Palatino Linotype" w:hAnsi="Palatino Linotype" w:cs="Arial"/>
          <w:b/>
        </w:rPr>
        <w:t>Ayuntamiento de Ixtapan de la Sal</w:t>
      </w:r>
      <w:r w:rsidRPr="00984657">
        <w:rPr>
          <w:rFonts w:ascii="Palatino Linotype" w:hAnsi="Palatino Linotype"/>
          <w:b/>
        </w:rPr>
        <w:t xml:space="preserve">, </w:t>
      </w:r>
      <w:r w:rsidR="00A66569">
        <w:rPr>
          <w:rFonts w:ascii="Palatino Linotype" w:hAnsi="Palatino Linotype"/>
          <w:lang w:val="es-419"/>
        </w:rPr>
        <w:t xml:space="preserve">que en </w:t>
      </w:r>
      <w:r w:rsidRPr="00984657">
        <w:rPr>
          <w:rFonts w:ascii="Palatino Linotype" w:hAnsi="Palatino Linotype"/>
        </w:rPr>
        <w:t xml:space="preserve">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48CEFEB5" w14:textId="77777777" w:rsidR="00457BB8" w:rsidRPr="00984657" w:rsidRDefault="00457BB8" w:rsidP="0066637D">
      <w:pPr>
        <w:jc w:val="center"/>
        <w:rPr>
          <w:rFonts w:ascii="Palatino Linotype" w:hAnsi="Palatino Linotype"/>
        </w:rPr>
      </w:pPr>
    </w:p>
    <w:p w14:paraId="480E521A" w14:textId="1C45FB4A" w:rsidR="00457BB8" w:rsidRPr="00984657" w:rsidRDefault="003103D9" w:rsidP="0066637D">
      <w:pPr>
        <w:jc w:val="center"/>
        <w:rPr>
          <w:rFonts w:ascii="Palatino Linotype" w:hAnsi="Palatino Linotype"/>
          <w:b/>
          <w:bCs/>
          <w:spacing w:val="40"/>
          <w:sz w:val="28"/>
        </w:rPr>
      </w:pPr>
      <w:r>
        <w:rPr>
          <w:rFonts w:ascii="Palatino Linotype" w:hAnsi="Palatino Linotype"/>
          <w:b/>
          <w:bCs/>
          <w:spacing w:val="40"/>
          <w:sz w:val="28"/>
        </w:rPr>
        <w:t>ANTECEDENTES</w:t>
      </w:r>
    </w:p>
    <w:p w14:paraId="68707BF2" w14:textId="77777777" w:rsidR="00457BB8" w:rsidRPr="00984657" w:rsidRDefault="00457BB8" w:rsidP="0066637D">
      <w:pPr>
        <w:jc w:val="center"/>
        <w:rPr>
          <w:rFonts w:ascii="Palatino Linotype" w:hAnsi="Palatino Linotype"/>
          <w:b/>
          <w:bCs/>
          <w:spacing w:val="40"/>
        </w:rPr>
      </w:pPr>
    </w:p>
    <w:p w14:paraId="27A028CA" w14:textId="3166526E" w:rsidR="0046481A" w:rsidRPr="00181639" w:rsidRDefault="00457BB8" w:rsidP="0066637D">
      <w:pPr>
        <w:spacing w:line="360" w:lineRule="auto"/>
        <w:jc w:val="both"/>
        <w:rPr>
          <w:rFonts w:ascii="Palatino Linotype" w:hAnsi="Palatino Linotype"/>
          <w:b/>
          <w:sz w:val="26"/>
          <w:szCs w:val="26"/>
        </w:rPr>
      </w:pPr>
      <w:r w:rsidRPr="00181639">
        <w:rPr>
          <w:rFonts w:ascii="Palatino Linotype" w:hAnsi="Palatino Linotype"/>
          <w:b/>
          <w:sz w:val="26"/>
          <w:szCs w:val="26"/>
        </w:rPr>
        <w:t xml:space="preserve">I. </w:t>
      </w:r>
      <w:r w:rsidR="00747069" w:rsidRPr="00181639">
        <w:rPr>
          <w:rFonts w:ascii="Palatino Linotype" w:hAnsi="Palatino Linotype"/>
          <w:b/>
          <w:sz w:val="26"/>
          <w:szCs w:val="26"/>
        </w:rPr>
        <w:t>De la Solicitud de Información</w:t>
      </w:r>
      <w:r w:rsidR="00147545">
        <w:rPr>
          <w:rFonts w:ascii="Palatino Linotype" w:hAnsi="Palatino Linotype"/>
          <w:b/>
          <w:sz w:val="26"/>
          <w:szCs w:val="26"/>
        </w:rPr>
        <w:t>.</w:t>
      </w:r>
    </w:p>
    <w:p w14:paraId="4EA39801" w14:textId="285D49A7" w:rsidR="00F67B0E" w:rsidRDefault="00D73171" w:rsidP="00D73171">
      <w:pPr>
        <w:spacing w:line="360" w:lineRule="auto"/>
        <w:jc w:val="both"/>
        <w:rPr>
          <w:rFonts w:ascii="Palatino Linotype" w:hAnsi="Palatino Linotype" w:cs="Arial"/>
          <w:b/>
          <w:bCs/>
          <w:lang w:val="es-ES"/>
        </w:rPr>
      </w:pPr>
      <w:r w:rsidRPr="00D73171">
        <w:rPr>
          <w:rFonts w:ascii="Palatino Linotype" w:hAnsi="Palatino Linotype" w:cs="Arial"/>
        </w:rPr>
        <w:t xml:space="preserve">En fecha </w:t>
      </w:r>
      <w:r w:rsidR="006D2761">
        <w:rPr>
          <w:rFonts w:ascii="Palatino Linotype" w:hAnsi="Palatino Linotype" w:cs="Arial"/>
          <w:b/>
        </w:rPr>
        <w:t>veinticinco</w:t>
      </w:r>
      <w:r w:rsidRPr="00D73171">
        <w:rPr>
          <w:rFonts w:ascii="Palatino Linotype" w:hAnsi="Palatino Linotype" w:cs="Arial"/>
          <w:b/>
        </w:rPr>
        <w:t xml:space="preserve"> de </w:t>
      </w:r>
      <w:r w:rsidR="00BF54C2">
        <w:rPr>
          <w:rFonts w:ascii="Palatino Linotype" w:hAnsi="Palatino Linotype" w:cs="Arial"/>
          <w:b/>
        </w:rPr>
        <w:t>marzo</w:t>
      </w:r>
      <w:r w:rsidRPr="00D73171">
        <w:rPr>
          <w:rFonts w:ascii="Palatino Linotype" w:hAnsi="Palatino Linotype" w:cs="Arial"/>
          <w:b/>
        </w:rPr>
        <w:t xml:space="preserve"> de dos mil veintidós</w:t>
      </w:r>
      <w:r w:rsidRPr="00D73171">
        <w:rPr>
          <w:rFonts w:ascii="Palatino Linotype" w:hAnsi="Palatino Linotype" w:cs="Arial"/>
        </w:rPr>
        <w:t xml:space="preserve">, </w:t>
      </w:r>
      <w:r w:rsidR="000122C2">
        <w:rPr>
          <w:rFonts w:ascii="Palatino Linotype" w:hAnsi="Palatino Linotype" w:cs="Arial"/>
          <w:b/>
        </w:rPr>
        <w:t>LA</w:t>
      </w:r>
      <w:r w:rsidRPr="00D73171">
        <w:rPr>
          <w:rFonts w:ascii="Palatino Linotype" w:hAnsi="Palatino Linotype" w:cs="Arial"/>
          <w:b/>
        </w:rPr>
        <w:t xml:space="preserve"> RECURRENTE</w:t>
      </w:r>
      <w:r w:rsidRPr="00D73171">
        <w:rPr>
          <w:rFonts w:ascii="Palatino Linotype" w:hAnsi="Palatino Linotype" w:cs="Arial"/>
        </w:rPr>
        <w:t xml:space="preserve"> presentó a través del Sistema de Acceso a la Información Mexiquense, en lo subsecuente </w:t>
      </w:r>
      <w:r w:rsidRPr="00D73171">
        <w:rPr>
          <w:rFonts w:ascii="Palatino Linotype" w:hAnsi="Palatino Linotype" w:cs="Arial"/>
          <w:b/>
        </w:rPr>
        <w:t>EL SAIMEX</w:t>
      </w:r>
      <w:r w:rsidRPr="00D73171">
        <w:rPr>
          <w:rFonts w:ascii="Palatino Linotype" w:hAnsi="Palatino Linotype" w:cs="Arial"/>
        </w:rPr>
        <w:t xml:space="preserve"> ante </w:t>
      </w:r>
      <w:r w:rsidRPr="00D73171">
        <w:rPr>
          <w:rFonts w:ascii="Palatino Linotype" w:hAnsi="Palatino Linotype" w:cs="Arial"/>
          <w:b/>
        </w:rPr>
        <w:t>EL SUJETO OBLIGADO</w:t>
      </w:r>
      <w:r w:rsidRPr="00D73171">
        <w:rPr>
          <w:rFonts w:ascii="Palatino Linotype" w:hAnsi="Palatino Linotype" w:cs="Arial"/>
        </w:rPr>
        <w:t>, la solicitud de acceso a la Información Pública, a la que se le</w:t>
      </w:r>
      <w:r w:rsidR="00181639">
        <w:rPr>
          <w:rFonts w:ascii="Palatino Linotype" w:hAnsi="Palatino Linotype" w:cs="Arial"/>
        </w:rPr>
        <w:t xml:space="preserve"> asignó el número de expediente</w:t>
      </w:r>
      <w:r w:rsidR="00181639" w:rsidRPr="00181639">
        <w:rPr>
          <w:rFonts w:ascii="Palatino Linotype" w:hAnsi="Palatino Linotype" w:cs="Arial"/>
          <w:b/>
        </w:rPr>
        <w:t xml:space="preserve"> </w:t>
      </w:r>
      <w:r w:rsidR="00043A1E" w:rsidRPr="00043A1E">
        <w:rPr>
          <w:rFonts w:ascii="Palatino Linotype" w:hAnsi="Palatino Linotype" w:cs="Arial"/>
          <w:b/>
        </w:rPr>
        <w:t>00136/IXTASAL/IP/2022</w:t>
      </w:r>
      <w:r w:rsidRPr="00D73171">
        <w:rPr>
          <w:rFonts w:ascii="Palatino Linotype" w:hAnsi="Palatino Linotype" w:cs="Arial"/>
        </w:rPr>
        <w:t>, mediante la cual solicitó:</w:t>
      </w:r>
    </w:p>
    <w:p w14:paraId="389904F8" w14:textId="77777777" w:rsidR="00D73171" w:rsidRPr="00D73171" w:rsidRDefault="00D73171" w:rsidP="00D73171">
      <w:pPr>
        <w:spacing w:line="360" w:lineRule="auto"/>
        <w:jc w:val="both"/>
        <w:rPr>
          <w:rFonts w:ascii="Palatino Linotype" w:hAnsi="Palatino Linotype" w:cs="Arial"/>
          <w:b/>
          <w:bCs/>
          <w:lang w:val="es-ES"/>
        </w:rPr>
      </w:pPr>
    </w:p>
    <w:p w14:paraId="2A3302E7" w14:textId="14015208" w:rsidR="005D1CB5" w:rsidRPr="00984657" w:rsidRDefault="00457BB8" w:rsidP="00D73171">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043A1E" w:rsidRPr="00043A1E">
        <w:rPr>
          <w:rFonts w:ascii="Palatino Linotype" w:hAnsi="Palatino Linotype" w:cs="Arial"/>
          <w:i/>
          <w:sz w:val="22"/>
          <w:szCs w:val="22"/>
        </w:rPr>
        <w:t>ADQUISICIONES DE BIENES MUEBLES Y CONTRATACIÓN DE SERVICIOS DEL OPDAPAS DEL MES DE ENERO AL 25 DE MARZO DE 2022</w:t>
      </w:r>
      <w:r w:rsidR="00BF54C2" w:rsidRPr="00BF54C2">
        <w:rPr>
          <w:rFonts w:ascii="Palatino Linotype" w:hAnsi="Palatino Linotype" w:cs="Arial"/>
          <w:i/>
          <w:sz w:val="22"/>
          <w:szCs w:val="22"/>
        </w:rPr>
        <w:t>.</w:t>
      </w:r>
      <w:r w:rsidRPr="00984657">
        <w:rPr>
          <w:rFonts w:ascii="Palatino Linotype" w:hAnsi="Palatino Linotype" w:cs="Arial"/>
          <w:i/>
          <w:sz w:val="22"/>
          <w:szCs w:val="22"/>
        </w:rPr>
        <w:t>” (Sic)</w:t>
      </w:r>
    </w:p>
    <w:p w14:paraId="4E784B64" w14:textId="77777777" w:rsidR="00D73171" w:rsidRPr="00181639" w:rsidRDefault="00D73171" w:rsidP="0066637D">
      <w:pPr>
        <w:spacing w:line="360" w:lineRule="auto"/>
        <w:jc w:val="both"/>
        <w:rPr>
          <w:rFonts w:ascii="Palatino Linotype" w:hAnsi="Palatino Linotype" w:cs="Arial"/>
          <w:b/>
          <w:szCs w:val="26"/>
        </w:rPr>
      </w:pPr>
    </w:p>
    <w:p w14:paraId="5100FAA1" w14:textId="3BC684D5" w:rsidR="00F21889" w:rsidRDefault="00457BB8" w:rsidP="005C250B">
      <w:pPr>
        <w:spacing w:line="360" w:lineRule="auto"/>
        <w:jc w:val="both"/>
        <w:rPr>
          <w:rFonts w:ascii="Palatino Linotype" w:hAnsi="Palatino Linotype" w:cs="Arial"/>
          <w:b/>
        </w:rPr>
      </w:pPr>
      <w:r w:rsidRPr="00181639">
        <w:rPr>
          <w:rFonts w:ascii="Palatino Linotype" w:hAnsi="Palatino Linotype" w:cs="Arial"/>
          <w:b/>
          <w:sz w:val="26"/>
          <w:szCs w:val="26"/>
        </w:rPr>
        <w:t>MODALIDAD DE ENTREGA</w:t>
      </w:r>
      <w:r w:rsidRPr="00984657">
        <w:rPr>
          <w:rFonts w:ascii="Palatino Linotype" w:hAnsi="Palatino Linotype" w:cs="Arial"/>
          <w:b/>
        </w:rPr>
        <w:t>:</w:t>
      </w:r>
      <w:r w:rsidRPr="00984657">
        <w:rPr>
          <w:rFonts w:ascii="Palatino Linotype" w:hAnsi="Palatino Linotype" w:cs="Arial"/>
        </w:rPr>
        <w:t xml:space="preserve"> Vía </w:t>
      </w:r>
      <w:r w:rsidRPr="00984657">
        <w:rPr>
          <w:rFonts w:ascii="Palatino Linotype" w:hAnsi="Palatino Linotype" w:cs="Arial"/>
          <w:b/>
        </w:rPr>
        <w:t>SAIMEX.</w:t>
      </w:r>
    </w:p>
    <w:p w14:paraId="5C7B820D" w14:textId="77777777" w:rsidR="00F73FB6" w:rsidRPr="00FE7AC2" w:rsidRDefault="00F73FB6" w:rsidP="00F73FB6">
      <w:pPr>
        <w:spacing w:line="360" w:lineRule="auto"/>
        <w:jc w:val="both"/>
        <w:rPr>
          <w:rFonts w:ascii="Palatino Linotype" w:hAnsi="Palatino Linotype"/>
          <w:b/>
          <w:sz w:val="26"/>
          <w:szCs w:val="26"/>
        </w:rPr>
      </w:pPr>
      <w:r w:rsidRPr="00FE7AC2">
        <w:rPr>
          <w:rFonts w:ascii="Palatino Linotype" w:hAnsi="Palatino Linotype"/>
          <w:b/>
          <w:sz w:val="26"/>
          <w:szCs w:val="26"/>
        </w:rPr>
        <w:lastRenderedPageBreak/>
        <w:t>II. Turno de requerimiento del Sujeto Obligado.</w:t>
      </w:r>
    </w:p>
    <w:p w14:paraId="09391148" w14:textId="655ABC70" w:rsidR="00F73FB6" w:rsidRDefault="00F73FB6" w:rsidP="00F73FB6">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Pr>
          <w:rFonts w:ascii="Palatino Linotype" w:hAnsi="Palatino Linotype"/>
          <w:b/>
          <w:color w:val="000000" w:themeColor="text1"/>
        </w:rPr>
        <w:t>veinticinco de marzo 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Pr="00980A79">
        <w:rPr>
          <w:rFonts w:ascii="Palatino Linotype" w:hAnsi="Palatino Linotype"/>
          <w:color w:val="000000" w:themeColor="text1"/>
        </w:rPr>
        <w:t>, turnó el requerimientos de información a</w:t>
      </w:r>
      <w:r>
        <w:rPr>
          <w:rFonts w:ascii="Palatino Linotype" w:hAnsi="Palatino Linotype"/>
          <w:color w:val="000000" w:themeColor="text1"/>
        </w:rPr>
        <w:t xml:space="preserve"> </w:t>
      </w:r>
      <w:r w:rsidRPr="00980A79">
        <w:rPr>
          <w:rFonts w:ascii="Palatino Linotype" w:hAnsi="Palatino Linotype"/>
          <w:color w:val="000000" w:themeColor="text1"/>
        </w:rPr>
        <w:t>l</w:t>
      </w:r>
      <w:r>
        <w:rPr>
          <w:rFonts w:ascii="Palatino Linotype" w:hAnsi="Palatino Linotype"/>
          <w:color w:val="000000" w:themeColor="text1"/>
        </w:rPr>
        <w:t>os</w:t>
      </w:r>
      <w:r w:rsidRPr="00980A79">
        <w:rPr>
          <w:rFonts w:ascii="Palatino Linotype" w:hAnsi="Palatino Linotype"/>
          <w:color w:val="000000" w:themeColor="text1"/>
        </w:rPr>
        <w:t xml:space="preserve"> servidor</w:t>
      </w:r>
      <w:r>
        <w:rPr>
          <w:rFonts w:ascii="Palatino Linotype" w:hAnsi="Palatino Linotype"/>
          <w:color w:val="000000" w:themeColor="text1"/>
        </w:rPr>
        <w:t>es</w:t>
      </w:r>
      <w:r w:rsidRPr="00980A79">
        <w:rPr>
          <w:rFonts w:ascii="Palatino Linotype" w:hAnsi="Palatino Linotype"/>
          <w:color w:val="000000" w:themeColor="text1"/>
        </w:rPr>
        <w:t xml:space="preserve"> público</w:t>
      </w:r>
      <w:r>
        <w:rPr>
          <w:rFonts w:ascii="Palatino Linotype" w:hAnsi="Palatino Linotype"/>
          <w:color w:val="000000" w:themeColor="text1"/>
        </w:rPr>
        <w:t>s</w:t>
      </w:r>
      <w:r w:rsidRPr="00980A79">
        <w:rPr>
          <w:rFonts w:ascii="Palatino Linotype" w:hAnsi="Palatino Linotype"/>
          <w:color w:val="000000" w:themeColor="text1"/>
        </w:rPr>
        <w:t xml:space="preserve"> habilitado</w:t>
      </w:r>
      <w:r>
        <w:rPr>
          <w:rFonts w:ascii="Palatino Linotype" w:hAnsi="Palatino Linotype"/>
          <w:color w:val="000000" w:themeColor="text1"/>
        </w:rPr>
        <w:t>s</w:t>
      </w:r>
      <w:r w:rsidRPr="00980A79">
        <w:rPr>
          <w:rFonts w:ascii="Palatino Linotype" w:hAnsi="Palatino Linotype"/>
          <w:color w:val="000000" w:themeColor="text1"/>
        </w:rPr>
        <w:t xml:space="preserve"> que estimó pertinente, a fin de colmar las solicitudes de acceso a la información; tal y como, se aprecia en la imagen siguiente:</w:t>
      </w:r>
    </w:p>
    <w:p w14:paraId="7C382A4C" w14:textId="77777777" w:rsidR="00F73FB6" w:rsidRDefault="00F73FB6" w:rsidP="00F73FB6">
      <w:pPr>
        <w:spacing w:line="360" w:lineRule="auto"/>
        <w:jc w:val="both"/>
        <w:rPr>
          <w:rFonts w:ascii="Palatino Linotype" w:hAnsi="Palatino Linotype"/>
          <w:color w:val="000000" w:themeColor="text1"/>
        </w:rPr>
      </w:pPr>
    </w:p>
    <w:p w14:paraId="11BBA969" w14:textId="7C8803CD" w:rsidR="00F73FB6" w:rsidRDefault="00F73FB6" w:rsidP="00F73FB6">
      <w:pPr>
        <w:spacing w:line="360" w:lineRule="auto"/>
        <w:jc w:val="both"/>
        <w:rPr>
          <w:rFonts w:ascii="Palatino Linotype" w:hAnsi="Palatino Linotype"/>
          <w:color w:val="000000" w:themeColor="text1"/>
        </w:rPr>
      </w:pPr>
      <w:r>
        <w:rPr>
          <w:noProof/>
          <w:lang w:eastAsia="es-MX"/>
        </w:rPr>
        <w:drawing>
          <wp:inline distT="0" distB="0" distL="0" distR="0" wp14:anchorId="0906B95A" wp14:editId="346941F6">
            <wp:extent cx="5791835" cy="1495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95425"/>
                    </a:xfrm>
                    <a:prstGeom prst="rect">
                      <a:avLst/>
                    </a:prstGeom>
                  </pic:spPr>
                </pic:pic>
              </a:graphicData>
            </a:graphic>
          </wp:inline>
        </w:drawing>
      </w:r>
    </w:p>
    <w:p w14:paraId="6A8E91EB" w14:textId="355DC93A" w:rsidR="00FA5972" w:rsidRPr="003103D9" w:rsidRDefault="006F3004" w:rsidP="005C250B">
      <w:pPr>
        <w:spacing w:line="360" w:lineRule="auto"/>
        <w:jc w:val="both"/>
        <w:rPr>
          <w:rFonts w:ascii="Palatino Linotype" w:hAnsi="Palatino Linotype" w:cs="Arial"/>
          <w:b/>
          <w:sz w:val="26"/>
          <w:szCs w:val="26"/>
        </w:rPr>
      </w:pPr>
      <w:r>
        <w:rPr>
          <w:rFonts w:ascii="Palatino Linotype" w:hAnsi="Palatino Linotype"/>
          <w:b/>
          <w:sz w:val="26"/>
          <w:szCs w:val="26"/>
        </w:rPr>
        <w:t>I</w:t>
      </w:r>
      <w:r w:rsidR="00F931D3">
        <w:rPr>
          <w:rFonts w:ascii="Palatino Linotype" w:hAnsi="Palatino Linotype"/>
          <w:b/>
          <w:sz w:val="26"/>
          <w:szCs w:val="26"/>
        </w:rPr>
        <w:t>I</w:t>
      </w:r>
      <w:r w:rsidR="00D73171" w:rsidRPr="003103D9">
        <w:rPr>
          <w:rFonts w:ascii="Palatino Linotype" w:hAnsi="Palatino Linotype"/>
          <w:b/>
          <w:sz w:val="26"/>
          <w:szCs w:val="26"/>
        </w:rPr>
        <w:t>I</w:t>
      </w:r>
      <w:r w:rsidR="00B41543" w:rsidRPr="003103D9">
        <w:rPr>
          <w:rFonts w:ascii="Palatino Linotype" w:hAnsi="Palatino Linotype"/>
          <w:b/>
          <w:sz w:val="26"/>
          <w:szCs w:val="26"/>
        </w:rPr>
        <w:t xml:space="preserve">. </w:t>
      </w:r>
      <w:r w:rsidR="00FA5972" w:rsidRPr="003103D9">
        <w:rPr>
          <w:rFonts w:ascii="Palatino Linotype" w:hAnsi="Palatino Linotype" w:cs="Arial"/>
          <w:b/>
          <w:sz w:val="26"/>
          <w:szCs w:val="26"/>
        </w:rPr>
        <w:t>Respuesta del Sujeto Obligado</w:t>
      </w:r>
      <w:r w:rsidR="00D73171" w:rsidRPr="003103D9">
        <w:rPr>
          <w:rFonts w:ascii="Palatino Linotype" w:hAnsi="Palatino Linotype" w:cs="Arial"/>
          <w:b/>
          <w:sz w:val="26"/>
          <w:szCs w:val="26"/>
        </w:rPr>
        <w:t>.</w:t>
      </w:r>
    </w:p>
    <w:p w14:paraId="0FA1F944" w14:textId="27D3CB94"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del particular</w:t>
      </w:r>
      <w:r w:rsidRPr="005C250B">
        <w:rPr>
          <w:rFonts w:ascii="Palatino Linotype" w:hAnsi="Palatino Linotype" w:cs="Arial"/>
          <w:color w:val="000000" w:themeColor="text1"/>
        </w:rPr>
        <w:t>.</w:t>
      </w:r>
    </w:p>
    <w:p w14:paraId="56CD5E6B" w14:textId="77777777" w:rsidR="00703582" w:rsidRPr="00984657" w:rsidRDefault="00703582" w:rsidP="0066637D">
      <w:pPr>
        <w:spacing w:line="360" w:lineRule="auto"/>
        <w:jc w:val="both"/>
        <w:rPr>
          <w:rFonts w:ascii="Palatino Linotype" w:hAnsi="Palatino Linotype" w:cs="Arial"/>
          <w:lang w:val="es-ES_tradnl"/>
        </w:rPr>
      </w:pPr>
    </w:p>
    <w:p w14:paraId="5AF077F6" w14:textId="0C3C2C33" w:rsidR="007D38BB" w:rsidRPr="003103D9" w:rsidRDefault="00D67FB0" w:rsidP="0066637D">
      <w:pPr>
        <w:pStyle w:val="Prrafodelista"/>
        <w:tabs>
          <w:tab w:val="left" w:pos="709"/>
        </w:tabs>
        <w:spacing w:line="360" w:lineRule="auto"/>
        <w:ind w:left="0"/>
        <w:jc w:val="both"/>
        <w:rPr>
          <w:rFonts w:ascii="Palatino Linotype" w:hAnsi="Palatino Linotype" w:cs="Arial"/>
          <w:b/>
          <w:bCs/>
          <w:sz w:val="26"/>
          <w:szCs w:val="26"/>
        </w:rPr>
      </w:pPr>
      <w:r>
        <w:rPr>
          <w:rFonts w:ascii="Palatino Linotype" w:hAnsi="Palatino Linotype" w:cs="Arial"/>
          <w:b/>
          <w:color w:val="000000" w:themeColor="text1"/>
          <w:sz w:val="26"/>
          <w:szCs w:val="26"/>
        </w:rPr>
        <w:t>IV</w:t>
      </w:r>
      <w:r w:rsidR="00E24730" w:rsidRPr="003103D9">
        <w:rPr>
          <w:rFonts w:ascii="Palatino Linotype" w:hAnsi="Palatino Linotype" w:cs="Arial"/>
          <w:b/>
          <w:color w:val="000000" w:themeColor="text1"/>
          <w:sz w:val="26"/>
          <w:szCs w:val="26"/>
        </w:rPr>
        <w:t>.</w:t>
      </w:r>
      <w:r w:rsidR="000171D8" w:rsidRPr="003103D9">
        <w:rPr>
          <w:rFonts w:ascii="Palatino Linotype" w:hAnsi="Palatino Linotype" w:cs="Arial"/>
          <w:b/>
          <w:color w:val="000000" w:themeColor="text1"/>
          <w:sz w:val="26"/>
          <w:szCs w:val="26"/>
        </w:rPr>
        <w:t xml:space="preserve"> </w:t>
      </w:r>
      <w:r w:rsidR="007D38BB" w:rsidRPr="003103D9">
        <w:rPr>
          <w:rFonts w:ascii="Palatino Linotype" w:hAnsi="Palatino Linotype" w:cs="Arial"/>
          <w:b/>
          <w:bCs/>
          <w:sz w:val="26"/>
          <w:szCs w:val="26"/>
        </w:rPr>
        <w:t xml:space="preserve">Del </w:t>
      </w:r>
      <w:r w:rsidR="00D86297" w:rsidRPr="003103D9">
        <w:rPr>
          <w:rFonts w:ascii="Palatino Linotype" w:hAnsi="Palatino Linotype" w:cs="Arial"/>
          <w:b/>
          <w:bCs/>
          <w:sz w:val="26"/>
          <w:szCs w:val="26"/>
        </w:rPr>
        <w:t>Recurso Revisión</w:t>
      </w:r>
      <w:r w:rsidR="00D73171" w:rsidRPr="003103D9">
        <w:rPr>
          <w:rFonts w:ascii="Palatino Linotype" w:hAnsi="Palatino Linotype" w:cs="Arial"/>
          <w:b/>
          <w:bCs/>
          <w:sz w:val="26"/>
          <w:szCs w:val="26"/>
        </w:rPr>
        <w:t>.</w:t>
      </w:r>
    </w:p>
    <w:p w14:paraId="66BB23E8" w14:textId="28C3702C" w:rsidR="00EA6DA7" w:rsidRDefault="000171D8" w:rsidP="0066637D">
      <w:pPr>
        <w:spacing w:line="360" w:lineRule="auto"/>
        <w:jc w:val="both"/>
        <w:rPr>
          <w:rFonts w:ascii="Palatino Linotype" w:hAnsi="Palatino Linotype" w:cs="Arial"/>
          <w:color w:val="000000" w:themeColor="text1"/>
          <w:lang w:val="es-419"/>
        </w:rPr>
      </w:pPr>
      <w:r w:rsidRPr="00984657">
        <w:rPr>
          <w:rFonts w:ascii="Palatino Linotype" w:hAnsi="Palatino Linotype" w:cs="Arial"/>
          <w:color w:val="000000" w:themeColor="text1"/>
        </w:rPr>
        <w:t xml:space="preserve">Inconforme por la falta de respuesta, en fecha </w:t>
      </w:r>
      <w:r w:rsidR="00043A1E">
        <w:rPr>
          <w:rFonts w:ascii="Palatino Linotype" w:hAnsi="Palatino Linotype" w:cs="Arial"/>
          <w:b/>
          <w:bCs/>
          <w:color w:val="000000" w:themeColor="text1"/>
        </w:rPr>
        <w:t>veintiséis</w:t>
      </w:r>
      <w:r w:rsidR="00EA6DA7">
        <w:rPr>
          <w:rFonts w:ascii="Palatino Linotype" w:hAnsi="Palatino Linotype" w:cs="Arial"/>
          <w:b/>
          <w:bCs/>
          <w:color w:val="000000" w:themeColor="text1"/>
          <w:lang w:val="es-419"/>
        </w:rPr>
        <w:t xml:space="preserve"> </w:t>
      </w:r>
      <w:r w:rsidR="00CE22BE" w:rsidRPr="00984657">
        <w:rPr>
          <w:rFonts w:ascii="Palatino Linotype" w:hAnsi="Palatino Linotype" w:cs="Arial"/>
          <w:b/>
          <w:bCs/>
          <w:color w:val="000000" w:themeColor="text1"/>
        </w:rPr>
        <w:t xml:space="preserve">de </w:t>
      </w:r>
      <w:r w:rsidR="00043A1E">
        <w:rPr>
          <w:rFonts w:ascii="Palatino Linotype" w:hAnsi="Palatino Linotype" w:cs="Arial"/>
          <w:b/>
          <w:bCs/>
          <w:color w:val="000000" w:themeColor="text1"/>
        </w:rPr>
        <w:t>abril</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67FB0">
        <w:rPr>
          <w:rFonts w:ascii="Palatino Linotype" w:hAnsi="Palatino Linotype" w:cs="Arial"/>
          <w:b/>
          <w:color w:val="000000" w:themeColor="text1"/>
        </w:rPr>
        <w:t>LA</w:t>
      </w:r>
      <w:r w:rsidR="00B41543" w:rsidRPr="00984657">
        <w:rPr>
          <w:rFonts w:ascii="Palatino Linotype" w:hAnsi="Palatino Linotype" w:cs="Arial"/>
          <w:b/>
          <w:color w:val="000000" w:themeColor="text1"/>
        </w:rPr>
        <w:t xml:space="preserve"> </w:t>
      </w:r>
      <w:r w:rsidRPr="00984657">
        <w:rPr>
          <w:rFonts w:ascii="Palatino Linotype" w:hAnsi="Palatino Linotype" w:cs="Arial"/>
          <w:b/>
          <w:color w:val="000000" w:themeColor="text1"/>
        </w:rPr>
        <w:t>RECURRENTE</w:t>
      </w:r>
      <w:r w:rsidRPr="00984657">
        <w:rPr>
          <w:rFonts w:ascii="Palatino Linotype" w:hAnsi="Palatino Linotype" w:cs="Arial"/>
          <w:color w:val="000000" w:themeColor="text1"/>
        </w:rPr>
        <w:t xml:space="preserve"> 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043A1E">
        <w:rPr>
          <w:rFonts w:ascii="Palatino Linotype" w:hAnsi="Palatino Linotype" w:cs="Arial"/>
          <w:b/>
          <w:color w:val="000000" w:themeColor="text1"/>
          <w:lang w:val="es-ES"/>
        </w:rPr>
        <w:t>06672</w:t>
      </w:r>
      <w:r w:rsidR="00CD3BC9" w:rsidRPr="00CD3BC9">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EA6DA7">
        <w:rPr>
          <w:rFonts w:ascii="Palatino Linotype" w:hAnsi="Palatino Linotype" w:cs="Arial"/>
          <w:color w:val="000000" w:themeColor="text1"/>
          <w:lang w:val="es-419"/>
        </w:rPr>
        <w:t>:</w:t>
      </w:r>
    </w:p>
    <w:p w14:paraId="758850CB" w14:textId="77777777" w:rsidR="00D8393F" w:rsidRDefault="00D8393F" w:rsidP="0066637D">
      <w:pPr>
        <w:spacing w:line="360" w:lineRule="auto"/>
        <w:jc w:val="both"/>
        <w:rPr>
          <w:rFonts w:ascii="Palatino Linotype" w:hAnsi="Palatino Linotype" w:cs="Arial"/>
          <w:color w:val="000000" w:themeColor="text1"/>
          <w:lang w:val="es-419"/>
        </w:rPr>
      </w:pPr>
    </w:p>
    <w:p w14:paraId="09906194" w14:textId="78C2EA8D" w:rsidR="00D8393F" w:rsidRDefault="00EA6DA7" w:rsidP="0066637D">
      <w:pPr>
        <w:spacing w:line="360" w:lineRule="auto"/>
        <w:jc w:val="both"/>
        <w:rPr>
          <w:rFonts w:ascii="Palatino Linotype" w:hAnsi="Palatino Linotype" w:cs="Arial"/>
          <w:b/>
          <w:color w:val="000000" w:themeColor="text1"/>
        </w:rPr>
      </w:pPr>
      <w:r w:rsidRPr="00EA6DA7">
        <w:rPr>
          <w:rFonts w:ascii="Palatino Linotype" w:hAnsi="Palatino Linotype" w:cs="Arial"/>
          <w:b/>
          <w:color w:val="000000" w:themeColor="text1"/>
          <w:lang w:val="es-419"/>
        </w:rPr>
        <w:lastRenderedPageBreak/>
        <w:t>A</w:t>
      </w:r>
      <w:r w:rsidRPr="00EA6DA7">
        <w:rPr>
          <w:rFonts w:ascii="Palatino Linotype" w:hAnsi="Palatino Linotype" w:cs="Arial"/>
          <w:b/>
          <w:color w:val="000000" w:themeColor="text1"/>
        </w:rPr>
        <w:t>cto</w:t>
      </w:r>
      <w:r w:rsidR="000171D8" w:rsidRPr="00EA6DA7">
        <w:rPr>
          <w:rFonts w:ascii="Palatino Linotype" w:hAnsi="Palatino Linotype" w:cs="Arial"/>
          <w:b/>
          <w:color w:val="000000" w:themeColor="text1"/>
        </w:rPr>
        <w:t xml:space="preserve"> impugnado</w:t>
      </w:r>
      <w:r w:rsidRPr="00EA6DA7">
        <w:rPr>
          <w:rFonts w:ascii="Palatino Linotype" w:hAnsi="Palatino Linotype" w:cs="Arial"/>
          <w:b/>
          <w:color w:val="000000" w:themeColor="text1"/>
        </w:rPr>
        <w:t>:</w:t>
      </w:r>
    </w:p>
    <w:p w14:paraId="139B9625" w14:textId="5B676381" w:rsidR="00EA6DA7" w:rsidRPr="00984657" w:rsidRDefault="00EA6DA7" w:rsidP="00EA6DA7">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043A1E" w:rsidRPr="00043A1E">
        <w:rPr>
          <w:rFonts w:ascii="Palatino Linotype" w:hAnsi="Palatino Linotype" w:cs="Arial"/>
          <w:i/>
          <w:color w:val="000000" w:themeColor="text1"/>
          <w:sz w:val="22"/>
          <w:szCs w:val="22"/>
        </w:rPr>
        <w:t>ADQUISICIONES DE BIENES MUEBLES Y CONTRATACIÓN DE SERVICIOS DEL OPDAPAS DEL MES DE ENERO AL 25 DE MARZO DE 2022</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r w:rsidR="00FF339D">
        <w:rPr>
          <w:rFonts w:ascii="Palatino Linotype" w:hAnsi="Palatino Linotype" w:cs="Arial"/>
          <w:i/>
          <w:color w:val="000000" w:themeColor="text1"/>
          <w:sz w:val="22"/>
          <w:szCs w:val="22"/>
        </w:rPr>
        <w:t>.</w:t>
      </w:r>
    </w:p>
    <w:p w14:paraId="4981CCD3" w14:textId="77777777" w:rsidR="00EA6DA7" w:rsidRPr="00EA6DA7" w:rsidRDefault="00EA6DA7" w:rsidP="0066637D">
      <w:pPr>
        <w:spacing w:line="360" w:lineRule="auto"/>
        <w:jc w:val="both"/>
        <w:rPr>
          <w:rFonts w:ascii="Palatino Linotype" w:hAnsi="Palatino Linotype" w:cs="Arial"/>
          <w:b/>
          <w:color w:val="000000" w:themeColor="text1"/>
        </w:rPr>
      </w:pPr>
    </w:p>
    <w:p w14:paraId="69339DCF" w14:textId="68AD0A9F" w:rsidR="00684C99" w:rsidRPr="00984657" w:rsidRDefault="00D8393F" w:rsidP="00406323">
      <w:pPr>
        <w:spacing w:line="360" w:lineRule="auto"/>
        <w:jc w:val="both"/>
        <w:rPr>
          <w:rFonts w:ascii="Palatino Linotype" w:hAnsi="Palatino Linotype" w:cs="Arial"/>
          <w:color w:val="000000" w:themeColor="text1"/>
        </w:rPr>
      </w:pPr>
      <w:r w:rsidRPr="00D8393F">
        <w:rPr>
          <w:rFonts w:ascii="Palatino Linotype" w:hAnsi="Palatino Linotype" w:cs="Arial"/>
          <w:b/>
          <w:color w:val="000000" w:themeColor="text1"/>
        </w:rPr>
        <w:t>R</w:t>
      </w:r>
      <w:r w:rsidR="005C250B" w:rsidRPr="00D8393F">
        <w:rPr>
          <w:rFonts w:ascii="Palatino Linotype" w:hAnsi="Palatino Linotype" w:cs="Arial"/>
          <w:b/>
          <w:color w:val="000000" w:themeColor="text1"/>
        </w:rPr>
        <w:t>a</w:t>
      </w:r>
      <w:r>
        <w:rPr>
          <w:rFonts w:ascii="Palatino Linotype" w:hAnsi="Palatino Linotype" w:cs="Arial"/>
          <w:b/>
          <w:color w:val="000000" w:themeColor="text1"/>
        </w:rPr>
        <w:t>zones o motivos de inconformidad:</w:t>
      </w:r>
    </w:p>
    <w:p w14:paraId="705BF015" w14:textId="1EFE8E04" w:rsidR="00684C99" w:rsidRPr="00984657" w:rsidRDefault="00684C99" w:rsidP="0066637D">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043A1E" w:rsidRPr="00043A1E">
        <w:rPr>
          <w:rFonts w:ascii="Palatino Linotype" w:hAnsi="Palatino Linotype" w:cs="Arial"/>
          <w:i/>
          <w:color w:val="000000" w:themeColor="text1"/>
          <w:sz w:val="22"/>
          <w:szCs w:val="22"/>
        </w:rPr>
        <w:t>LA OMISION A LA ENTREGA DE LA INFORMACION SOLICITADA DENTRO DEL PLAZO ESTABLECIDO POR LA PLATAFORMA</w:t>
      </w:r>
      <w:r w:rsidRPr="00984657">
        <w:rPr>
          <w:rFonts w:ascii="Palatino Linotype" w:hAnsi="Palatino Linotype" w:cs="Arial"/>
          <w:i/>
          <w:color w:val="000000" w:themeColor="text1"/>
          <w:sz w:val="22"/>
          <w:szCs w:val="22"/>
        </w:rPr>
        <w:t>” (</w:t>
      </w:r>
      <w:r w:rsidR="0046481A">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r w:rsidR="00EC7078">
        <w:rPr>
          <w:rFonts w:ascii="Palatino Linotype" w:hAnsi="Palatino Linotype" w:cs="Arial"/>
          <w:i/>
          <w:color w:val="000000" w:themeColor="text1"/>
          <w:sz w:val="22"/>
          <w:szCs w:val="22"/>
        </w:rPr>
        <w:t>.</w:t>
      </w:r>
    </w:p>
    <w:p w14:paraId="7C39F5AC" w14:textId="77777777" w:rsidR="00684C99" w:rsidRPr="00984657" w:rsidRDefault="00684C99" w:rsidP="0066637D">
      <w:pPr>
        <w:jc w:val="both"/>
        <w:rPr>
          <w:rFonts w:ascii="Palatino Linotype" w:hAnsi="Palatino Linotype" w:cs="Arial"/>
          <w:color w:val="000000" w:themeColor="text1"/>
        </w:rPr>
      </w:pPr>
    </w:p>
    <w:p w14:paraId="11CDF804" w14:textId="3E1F86E1" w:rsidR="007D38BB" w:rsidRPr="00406323" w:rsidRDefault="000171D8" w:rsidP="0066637D">
      <w:pPr>
        <w:spacing w:line="360" w:lineRule="auto"/>
        <w:jc w:val="both"/>
        <w:rPr>
          <w:rFonts w:ascii="Palatino Linotype" w:hAnsi="Palatino Linotype" w:cs="Arial"/>
          <w:b/>
          <w:color w:val="000000" w:themeColor="text1"/>
          <w:sz w:val="26"/>
          <w:szCs w:val="26"/>
        </w:rPr>
      </w:pPr>
      <w:r w:rsidRPr="00406323">
        <w:rPr>
          <w:rFonts w:ascii="Palatino Linotype" w:hAnsi="Palatino Linotype" w:cs="Arial"/>
          <w:b/>
          <w:color w:val="000000" w:themeColor="text1"/>
          <w:sz w:val="26"/>
          <w:szCs w:val="26"/>
        </w:rPr>
        <w:t xml:space="preserve">V. </w:t>
      </w:r>
      <w:r w:rsidR="007D38BB" w:rsidRPr="00406323">
        <w:rPr>
          <w:rFonts w:ascii="Palatino Linotype" w:hAnsi="Palatino Linotype" w:cs="Arial"/>
          <w:b/>
          <w:sz w:val="26"/>
          <w:szCs w:val="26"/>
        </w:rPr>
        <w:t xml:space="preserve">Del turno del </w:t>
      </w:r>
      <w:r w:rsidR="00D86297" w:rsidRPr="00406323">
        <w:rPr>
          <w:rFonts w:ascii="Palatino Linotype" w:hAnsi="Palatino Linotype" w:cs="Arial"/>
          <w:b/>
          <w:sz w:val="26"/>
          <w:szCs w:val="26"/>
        </w:rPr>
        <w:t>Recurso Revisión</w:t>
      </w:r>
      <w:r w:rsidR="00D8393F" w:rsidRPr="00406323">
        <w:rPr>
          <w:rFonts w:ascii="Palatino Linotype" w:hAnsi="Palatino Linotype" w:cs="Arial"/>
          <w:b/>
          <w:sz w:val="26"/>
          <w:szCs w:val="26"/>
        </w:rPr>
        <w:t>.</w:t>
      </w:r>
    </w:p>
    <w:p w14:paraId="7F32BE8B" w14:textId="33670FCB" w:rsidR="001E3F54" w:rsidRDefault="000171D8" w:rsidP="00D8393F">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043A1E">
        <w:rPr>
          <w:rFonts w:ascii="Palatino Linotype" w:hAnsi="Palatino Linotype" w:cs="Arial"/>
          <w:b/>
          <w:bCs/>
          <w:color w:val="000000" w:themeColor="text1"/>
        </w:rPr>
        <w:t>veintiséis</w:t>
      </w:r>
      <w:r w:rsidR="005C250B">
        <w:rPr>
          <w:rFonts w:ascii="Palatino Linotype" w:hAnsi="Palatino Linotype" w:cs="Arial"/>
          <w:b/>
          <w:bCs/>
          <w:color w:val="000000" w:themeColor="text1"/>
        </w:rPr>
        <w:t xml:space="preserve"> </w:t>
      </w:r>
      <w:r w:rsidR="00CE22BE" w:rsidRPr="00984657">
        <w:rPr>
          <w:rFonts w:ascii="Palatino Linotype" w:hAnsi="Palatino Linotype" w:cs="Arial"/>
          <w:b/>
          <w:bCs/>
          <w:color w:val="000000" w:themeColor="text1"/>
        </w:rPr>
        <w:t>d</w:t>
      </w:r>
      <w:r w:rsidR="00B41543" w:rsidRPr="00984657">
        <w:rPr>
          <w:rFonts w:ascii="Palatino Linotype" w:hAnsi="Palatino Linotype" w:cs="Arial"/>
          <w:b/>
          <w:bCs/>
          <w:color w:val="000000" w:themeColor="text1"/>
        </w:rPr>
        <w:t xml:space="preserve">e </w:t>
      </w:r>
      <w:r w:rsidR="00043A1E">
        <w:rPr>
          <w:rFonts w:ascii="Palatino Linotype" w:hAnsi="Palatino Linotype" w:cs="Arial"/>
          <w:b/>
          <w:bCs/>
          <w:color w:val="000000" w:themeColor="text1"/>
        </w:rPr>
        <w:t>abril</w:t>
      </w:r>
      <w:r w:rsidR="005C250B">
        <w:rPr>
          <w:rFonts w:ascii="Palatino Linotype" w:hAnsi="Palatino Linotype" w:cs="Arial"/>
          <w:b/>
          <w:bCs/>
          <w:color w:val="000000" w:themeColor="text1"/>
        </w:rPr>
        <w:t xml:space="preserve"> 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w:t>
      </w:r>
      <w:r w:rsidR="00D8393F">
        <w:rPr>
          <w:rFonts w:ascii="Palatino Linotype" w:hAnsi="Palatino Linotype" w:cs="Arial"/>
          <w:color w:val="000000" w:themeColor="text1"/>
        </w:rPr>
        <w:t>medio de impugnación</w:t>
      </w:r>
      <w:r w:rsidRPr="00984657">
        <w:rPr>
          <w:rFonts w:ascii="Palatino Linotype" w:hAnsi="Palatino Linotype" w:cs="Arial"/>
          <w:color w:val="000000" w:themeColor="text1"/>
        </w:rPr>
        <w:t xml:space="preserve">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A20CBF">
        <w:rPr>
          <w:rFonts w:ascii="Palatino Linotype" w:hAnsi="Palatino Linotype"/>
          <w:color w:val="000000" w:themeColor="text1"/>
        </w:rPr>
        <w:t>a</w:t>
      </w:r>
      <w:r w:rsidR="00D8393F">
        <w:rPr>
          <w:rFonts w:ascii="Palatino Linotype" w:hAnsi="Palatino Linotype"/>
          <w:color w:val="000000" w:themeColor="text1"/>
        </w:rPr>
        <w:t xml:space="preserve"> </w:t>
      </w:r>
      <w:r w:rsidR="00A20CBF">
        <w:rPr>
          <w:rFonts w:ascii="Palatino Linotype" w:hAnsi="Palatino Linotype"/>
          <w:color w:val="000000" w:themeColor="text1"/>
          <w:lang w:val="es-419"/>
        </w:rPr>
        <w:t>l</w:t>
      </w:r>
      <w:r w:rsidR="00D8393F">
        <w:rPr>
          <w:rFonts w:ascii="Palatino Linotype" w:hAnsi="Palatino Linotype"/>
          <w:color w:val="000000" w:themeColor="text1"/>
        </w:rPr>
        <w:t>a</w:t>
      </w:r>
      <w:r w:rsidR="00CE22BE" w:rsidRPr="00984657">
        <w:rPr>
          <w:rFonts w:ascii="Palatino Linotype" w:hAnsi="Palatino Linotype"/>
          <w:color w:val="000000" w:themeColor="text1"/>
        </w:rPr>
        <w:t xml:space="preserve"> </w:t>
      </w:r>
      <w:r w:rsidR="0046481A" w:rsidRPr="0046481A">
        <w:rPr>
          <w:rFonts w:ascii="Palatino Linotype" w:hAnsi="Palatino Linotype"/>
          <w:b/>
          <w:color w:val="000000" w:themeColor="text1"/>
        </w:rPr>
        <w:t>C</w:t>
      </w:r>
      <w:r w:rsidRPr="0046481A">
        <w:rPr>
          <w:rFonts w:ascii="Palatino Linotype" w:hAnsi="Palatino Linotype" w:cs="Arial"/>
          <w:b/>
          <w:color w:val="000000" w:themeColor="text1"/>
        </w:rPr>
        <w:t>omisionad</w:t>
      </w:r>
      <w:r w:rsidR="00D8393F">
        <w:rPr>
          <w:rFonts w:ascii="Palatino Linotype" w:hAnsi="Palatino Linotype" w:cs="Arial"/>
          <w:b/>
          <w:color w:val="000000" w:themeColor="text1"/>
        </w:rPr>
        <w:t>a</w:t>
      </w:r>
      <w:r w:rsidR="00F02503">
        <w:rPr>
          <w:rFonts w:ascii="Palatino Linotype" w:hAnsi="Palatino Linotype" w:cs="Arial"/>
          <w:color w:val="000000" w:themeColor="text1"/>
        </w:rPr>
        <w:t xml:space="preserve"> </w:t>
      </w:r>
      <w:r w:rsidR="00D8393F">
        <w:rPr>
          <w:rFonts w:ascii="Palatino Linotype" w:hAnsi="Palatino Linotype" w:cs="Arial"/>
          <w:b/>
          <w:color w:val="000000" w:themeColor="text1"/>
        </w:rPr>
        <w:t>Sharon Cristina Morales Martínez</w:t>
      </w:r>
      <w:r w:rsidRPr="00984657">
        <w:rPr>
          <w:rFonts w:ascii="Palatino Linotype" w:hAnsi="Palatino Linotype" w:cs="Arial"/>
          <w:color w:val="000000" w:themeColor="text1"/>
        </w:rPr>
        <w:t xml:space="preserve"> a efecto de decretar su admisión o desechamiento.</w:t>
      </w:r>
    </w:p>
    <w:p w14:paraId="52970AB3" w14:textId="77777777" w:rsidR="006D2761" w:rsidRDefault="006D2761" w:rsidP="00D8393F">
      <w:pPr>
        <w:spacing w:line="360" w:lineRule="auto"/>
        <w:jc w:val="both"/>
        <w:rPr>
          <w:rFonts w:ascii="Palatino Linotype" w:hAnsi="Palatino Linotype" w:cs="Arial"/>
          <w:color w:val="000000" w:themeColor="text1"/>
        </w:rPr>
      </w:pPr>
    </w:p>
    <w:p w14:paraId="6E2E972C" w14:textId="65595861"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r w:rsidR="00D8393F">
        <w:rPr>
          <w:rFonts w:ascii="Palatino Linotype" w:hAnsi="Palatino Linotype" w:cs="Arial"/>
          <w:b/>
          <w:color w:val="000000" w:themeColor="text1"/>
        </w:rPr>
        <w:t>.</w:t>
      </w:r>
    </w:p>
    <w:p w14:paraId="7B625BB9" w14:textId="2D42830D"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6F3004">
        <w:rPr>
          <w:rFonts w:ascii="Palatino Linotype" w:hAnsi="Palatino Linotype" w:cs="Arial"/>
          <w:b/>
          <w:color w:val="000000" w:themeColor="text1"/>
        </w:rPr>
        <w:t>veintinueve</w:t>
      </w:r>
      <w:r w:rsidR="005C250B">
        <w:rPr>
          <w:rFonts w:ascii="Palatino Linotype" w:hAnsi="Palatino Linotype" w:cs="Arial"/>
          <w:b/>
          <w:bCs/>
          <w:color w:val="000000" w:themeColor="text1"/>
        </w:rPr>
        <w:t xml:space="preserve"> de </w:t>
      </w:r>
      <w:r w:rsidR="00043A1E">
        <w:rPr>
          <w:rFonts w:ascii="Palatino Linotype" w:hAnsi="Palatino Linotype" w:cs="Arial"/>
          <w:b/>
          <w:bCs/>
          <w:color w:val="000000" w:themeColor="text1"/>
        </w:rPr>
        <w:t>abril</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67FB0">
        <w:rPr>
          <w:rFonts w:ascii="Palatino Linotype" w:hAnsi="Palatino Linotype" w:cs="Arial"/>
          <w:b/>
          <w:color w:val="000000" w:themeColor="text1"/>
        </w:rPr>
        <w:t>LA</w:t>
      </w:r>
      <w:r w:rsidR="00F74A05" w:rsidRPr="005C250B">
        <w:rPr>
          <w:rFonts w:ascii="Palatino Linotype" w:hAnsi="Palatino Linotype" w:cs="Arial"/>
          <w:b/>
          <w:color w:val="000000" w:themeColor="text1"/>
        </w:rPr>
        <w:t xml:space="preserve"> RECURRENTE </w:t>
      </w:r>
      <w:r w:rsidRPr="005C250B">
        <w:rPr>
          <w:rFonts w:ascii="Palatino Linotype" w:hAnsi="Palatino Linotype" w:cs="Arial"/>
          <w:color w:val="000000" w:themeColor="text1"/>
        </w:rPr>
        <w:lastRenderedPageBreak/>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700EE037" w14:textId="77777777" w:rsidR="00F74502" w:rsidRPr="00984657"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1E17B043"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Pr="00803B7B">
        <w:rPr>
          <w:rFonts w:ascii="Palatino Linotype" w:hAnsi="Palatino Linotype" w:cs="Arial"/>
          <w:b/>
          <w:bCs/>
        </w:rPr>
        <w:t>Informe Justificado</w:t>
      </w:r>
      <w:r w:rsidR="00D8393F">
        <w:rPr>
          <w:rFonts w:ascii="Palatino Linotype" w:hAnsi="Palatino Linotype" w:cs="Arial"/>
          <w:b/>
          <w:bCs/>
        </w:rPr>
        <w:t>.</w:t>
      </w:r>
    </w:p>
    <w:p w14:paraId="670E1295" w14:textId="1852749F"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al </w:t>
      </w:r>
      <w:r w:rsidR="000171D8" w:rsidRPr="00984657">
        <w:rPr>
          <w:rFonts w:ascii="Palatino Linotype" w:eastAsia="Arial Unicode MS" w:hAnsi="Palatino Linotype" w:cs="Arial"/>
          <w:b/>
        </w:rPr>
        <w:t>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w:t>
      </w:r>
      <w:r w:rsidR="00406323">
        <w:rPr>
          <w:rFonts w:ascii="Palatino Linotype" w:eastAsia="Arial Unicode MS" w:hAnsi="Palatino Linotype" w:cs="Arial"/>
        </w:rPr>
        <w:t>siguiente imagen:</w:t>
      </w:r>
    </w:p>
    <w:p w14:paraId="096473E4" w14:textId="77777777" w:rsidR="00C77536" w:rsidRDefault="00C77536" w:rsidP="0066637D">
      <w:pPr>
        <w:spacing w:line="360" w:lineRule="auto"/>
        <w:jc w:val="both"/>
        <w:rPr>
          <w:rFonts w:ascii="Palatino Linotype" w:hAnsi="Palatino Linotype" w:cs="Arial"/>
        </w:rPr>
      </w:pPr>
    </w:p>
    <w:p w14:paraId="5B9D92ED" w14:textId="6D2BF50D" w:rsidR="0042713B" w:rsidRDefault="00043A1E" w:rsidP="00406323">
      <w:pPr>
        <w:spacing w:line="360" w:lineRule="auto"/>
        <w:jc w:val="center"/>
        <w:rPr>
          <w:rFonts w:ascii="Palatino Linotype" w:hAnsi="Palatino Linotype" w:cs="Arial"/>
        </w:rPr>
      </w:pPr>
      <w:r>
        <w:rPr>
          <w:noProof/>
          <w:lang w:eastAsia="es-MX"/>
        </w:rPr>
        <w:drawing>
          <wp:inline distT="0" distB="0" distL="0" distR="0" wp14:anchorId="4A64ECE2" wp14:editId="3B4109B4">
            <wp:extent cx="5791835" cy="1372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72870"/>
                    </a:xfrm>
                    <a:prstGeom prst="rect">
                      <a:avLst/>
                    </a:prstGeom>
                  </pic:spPr>
                </pic:pic>
              </a:graphicData>
            </a:graphic>
          </wp:inline>
        </w:drawing>
      </w:r>
    </w:p>
    <w:p w14:paraId="7DF7A2E5" w14:textId="77777777" w:rsidR="00F21889" w:rsidRPr="00406323" w:rsidRDefault="00F21889" w:rsidP="00406323">
      <w:pPr>
        <w:spacing w:line="360" w:lineRule="auto"/>
        <w:jc w:val="center"/>
        <w:rPr>
          <w:rFonts w:ascii="Palatino Linotype" w:hAnsi="Palatino Linotype" w:cs="Arial"/>
        </w:rPr>
      </w:pPr>
    </w:p>
    <w:p w14:paraId="49E94EF4" w14:textId="0DD1C340" w:rsidR="00F74A05" w:rsidRPr="00EC2BB8" w:rsidRDefault="00D8393F"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EC2BB8">
        <w:rPr>
          <w:rFonts w:ascii="Palatino Linotype" w:hAnsi="Palatino Linotype" w:cs="Arial"/>
          <w:b/>
          <w:bCs/>
        </w:rPr>
        <w:t>) Cierre de Instrucción</w:t>
      </w:r>
      <w:r>
        <w:rPr>
          <w:rFonts w:ascii="Palatino Linotype" w:hAnsi="Palatino Linotype" w:cs="Arial"/>
          <w:b/>
          <w:bCs/>
        </w:rPr>
        <w:t>.</w:t>
      </w:r>
    </w:p>
    <w:p w14:paraId="410ED933" w14:textId="6B08CDFF" w:rsidR="00832240" w:rsidRDefault="009E2E2C" w:rsidP="0066637D">
      <w:pPr>
        <w:spacing w:line="360" w:lineRule="auto"/>
        <w:jc w:val="both"/>
        <w:rPr>
          <w:rFonts w:ascii="Palatino Linotype" w:hAnsi="Palatino Linotype" w:cs="Arial"/>
          <w:color w:val="000000" w:themeColor="text1"/>
        </w:rPr>
      </w:pPr>
      <w:r w:rsidRPr="00EC2BB8">
        <w:rPr>
          <w:rFonts w:ascii="Palatino Linotype" w:hAnsi="Palatino Linotype"/>
          <w:color w:val="000000" w:themeColor="text1"/>
        </w:rPr>
        <w:t>Una vez analizado el estado procesal que guarda el expediente, el</w:t>
      </w:r>
      <w:r w:rsidR="000171D8" w:rsidRPr="00EC2BB8">
        <w:rPr>
          <w:rFonts w:ascii="Palatino Linotype" w:hAnsi="Palatino Linotype"/>
          <w:color w:val="000000" w:themeColor="text1"/>
        </w:rPr>
        <w:t xml:space="preserve"> </w:t>
      </w:r>
      <w:r w:rsidR="00043A1E">
        <w:rPr>
          <w:rFonts w:ascii="Palatino Linotype" w:hAnsi="Palatino Linotype"/>
          <w:b/>
          <w:bCs/>
          <w:color w:val="000000" w:themeColor="text1"/>
        </w:rPr>
        <w:t>dieciocho</w:t>
      </w:r>
      <w:r w:rsidR="00EC2BB8" w:rsidRPr="00EC2BB8">
        <w:rPr>
          <w:rFonts w:ascii="Palatino Linotype" w:hAnsi="Palatino Linotype"/>
          <w:b/>
          <w:bCs/>
          <w:color w:val="000000" w:themeColor="text1"/>
          <w:lang w:val="es-419"/>
        </w:rPr>
        <w:t xml:space="preserve"> </w:t>
      </w:r>
      <w:r w:rsidR="00CE22BE" w:rsidRPr="00EC2BB8">
        <w:rPr>
          <w:rFonts w:ascii="Palatino Linotype" w:hAnsi="Palatino Linotype"/>
          <w:b/>
          <w:bCs/>
          <w:color w:val="000000" w:themeColor="text1"/>
        </w:rPr>
        <w:t xml:space="preserve">de </w:t>
      </w:r>
      <w:r w:rsidR="00043A1E">
        <w:rPr>
          <w:rFonts w:ascii="Palatino Linotype" w:hAnsi="Palatino Linotype"/>
          <w:b/>
          <w:bCs/>
          <w:color w:val="000000" w:themeColor="text1"/>
        </w:rPr>
        <w:t>mayo</w:t>
      </w:r>
      <w:r w:rsidR="00CE22BE" w:rsidRPr="00EC2BB8">
        <w:rPr>
          <w:rFonts w:ascii="Palatino Linotype" w:hAnsi="Palatino Linotype"/>
          <w:b/>
          <w:bCs/>
          <w:color w:val="000000" w:themeColor="text1"/>
        </w:rPr>
        <w:t xml:space="preserve"> de dos mil </w:t>
      </w:r>
      <w:r w:rsidR="00AE51C8" w:rsidRPr="00EC2BB8">
        <w:rPr>
          <w:rFonts w:ascii="Palatino Linotype" w:hAnsi="Palatino Linotype"/>
          <w:b/>
          <w:bCs/>
          <w:color w:val="000000" w:themeColor="text1"/>
        </w:rPr>
        <w:t>veintidós</w:t>
      </w:r>
      <w:r w:rsidR="000171D8" w:rsidRPr="00EC2BB8">
        <w:rPr>
          <w:rFonts w:ascii="Palatino Linotype" w:hAnsi="Palatino Linotype"/>
          <w:color w:val="000000" w:themeColor="text1"/>
        </w:rPr>
        <w:t xml:space="preserve">, </w:t>
      </w:r>
      <w:r w:rsidR="00CE22BE" w:rsidRPr="00EC2BB8">
        <w:rPr>
          <w:rFonts w:ascii="Palatino Linotype" w:hAnsi="Palatino Linotype"/>
          <w:color w:val="000000" w:themeColor="text1"/>
        </w:rPr>
        <w:t>la</w:t>
      </w:r>
      <w:r w:rsidR="00F74502" w:rsidRPr="00EC2BB8">
        <w:rPr>
          <w:rFonts w:ascii="Palatino Linotype" w:hAnsi="Palatino Linotype"/>
          <w:color w:val="000000" w:themeColor="text1"/>
        </w:rPr>
        <w:t xml:space="preserve"> </w:t>
      </w:r>
      <w:r w:rsidR="00C77536" w:rsidRPr="00EC2BB8">
        <w:rPr>
          <w:rFonts w:ascii="Palatino Linotype" w:hAnsi="Palatino Linotype"/>
          <w:b/>
          <w:color w:val="000000" w:themeColor="text1"/>
        </w:rPr>
        <w:t>Comisionada Sharon Cristina Morales Martínez</w:t>
      </w:r>
      <w:r w:rsidR="00C77536" w:rsidRPr="00EC2BB8">
        <w:rPr>
          <w:rFonts w:ascii="Palatino Linotype" w:hAnsi="Palatino Linotype"/>
          <w:color w:val="000000" w:themeColor="text1"/>
          <w:lang w:val="es-419"/>
        </w:rPr>
        <w:t xml:space="preserve"> </w:t>
      </w:r>
      <w:r w:rsidRPr="00EC2BB8">
        <w:rPr>
          <w:rFonts w:ascii="Palatino Linotype" w:hAnsi="Palatino Linotype"/>
          <w:color w:val="000000" w:themeColor="text1"/>
        </w:rPr>
        <w:t>acordó el cierre de instrucción;</w:t>
      </w:r>
      <w:r w:rsidR="00C2778A" w:rsidRPr="00EC2BB8">
        <w:rPr>
          <w:rFonts w:ascii="Palatino Linotype" w:hAnsi="Palatino Linotype" w:cs="Arial"/>
        </w:rPr>
        <w:t xml:space="preserve"> así como</w:t>
      </w:r>
      <w:r w:rsidRPr="00EC2BB8">
        <w:rPr>
          <w:rFonts w:ascii="Palatino Linotype" w:hAnsi="Palatino Linotype" w:cs="Arial"/>
        </w:rPr>
        <w:t>,</w:t>
      </w:r>
      <w:r w:rsidR="00C2778A" w:rsidRPr="00EC2BB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C2BB8">
        <w:rPr>
          <w:rFonts w:ascii="Palatino Linotype" w:hAnsi="Palatino Linotype" w:cs="Arial"/>
        </w:rPr>
        <w:t>Información Pública</w:t>
      </w:r>
      <w:r w:rsidR="00C2778A" w:rsidRPr="00EC2BB8">
        <w:rPr>
          <w:rFonts w:ascii="Palatino Linotype" w:hAnsi="Palatino Linotype" w:cs="Arial"/>
        </w:rPr>
        <w:t xml:space="preserve"> del Estado de México y Municipios</w:t>
      </w:r>
      <w:r w:rsidR="00D67FB0">
        <w:rPr>
          <w:rFonts w:ascii="Palatino Linotype" w:hAnsi="Palatino Linotype" w:cs="Arial"/>
          <w:color w:val="000000" w:themeColor="text1"/>
        </w:rPr>
        <w:t>.</w:t>
      </w:r>
    </w:p>
    <w:p w14:paraId="77E6C462" w14:textId="77777777" w:rsidR="00D67FB0" w:rsidRDefault="00D67FB0"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lastRenderedPageBreak/>
        <w:t>CONSIDERANDO</w:t>
      </w:r>
    </w:p>
    <w:p w14:paraId="06897FD6" w14:textId="77777777" w:rsidR="000171D8" w:rsidRPr="00984657" w:rsidRDefault="000171D8" w:rsidP="0066637D">
      <w:pPr>
        <w:jc w:val="center"/>
        <w:rPr>
          <w:rFonts w:ascii="Palatino Linotype" w:hAnsi="Palatino Linotype"/>
          <w:b/>
          <w:color w:val="000000" w:themeColor="text1"/>
          <w:sz w:val="28"/>
          <w:szCs w:val="28"/>
        </w:rPr>
      </w:pPr>
    </w:p>
    <w:p w14:paraId="109E4DF8" w14:textId="621CAC91" w:rsidR="00684C99" w:rsidRPr="00CF48AE" w:rsidRDefault="000171D8" w:rsidP="0066637D">
      <w:pPr>
        <w:spacing w:line="360" w:lineRule="auto"/>
        <w:ind w:right="50"/>
        <w:jc w:val="both"/>
        <w:rPr>
          <w:rFonts w:ascii="Palatino Linotype" w:hAnsi="Palatino Linotype"/>
          <w:b/>
          <w:color w:val="000000" w:themeColor="text1"/>
          <w:sz w:val="26"/>
          <w:szCs w:val="26"/>
        </w:rPr>
      </w:pPr>
      <w:r w:rsidRPr="00CF48AE">
        <w:rPr>
          <w:rFonts w:ascii="Palatino Linotype" w:hAnsi="Palatino Linotype"/>
          <w:b/>
          <w:color w:val="000000" w:themeColor="text1"/>
          <w:sz w:val="26"/>
          <w:szCs w:val="26"/>
        </w:rPr>
        <w:t>PRIMERO.</w:t>
      </w:r>
      <w:r w:rsidRPr="00CF48AE">
        <w:rPr>
          <w:rFonts w:ascii="Palatino Linotype" w:hAnsi="Palatino Linotype"/>
          <w:color w:val="000000" w:themeColor="text1"/>
          <w:sz w:val="26"/>
          <w:szCs w:val="26"/>
        </w:rPr>
        <w:t xml:space="preserve"> </w:t>
      </w:r>
      <w:r w:rsidRPr="00CF48AE">
        <w:rPr>
          <w:rFonts w:ascii="Palatino Linotype" w:hAnsi="Palatino Linotype"/>
          <w:b/>
          <w:color w:val="000000" w:themeColor="text1"/>
          <w:sz w:val="26"/>
          <w:szCs w:val="26"/>
        </w:rPr>
        <w:t>Competencia</w:t>
      </w:r>
      <w:r w:rsidRPr="00CF48AE">
        <w:rPr>
          <w:rFonts w:ascii="Palatino Linotype" w:hAnsi="Palatino Linotype"/>
          <w:color w:val="000000" w:themeColor="text1"/>
          <w:sz w:val="26"/>
          <w:szCs w:val="26"/>
        </w:rPr>
        <w:t>.</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7462BEF6" w14:textId="77777777" w:rsidR="00D8393F" w:rsidRPr="00CF48AE"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CF48AE" w:rsidRDefault="000171D8" w:rsidP="0066637D">
      <w:pPr>
        <w:spacing w:line="360" w:lineRule="auto"/>
        <w:jc w:val="both"/>
        <w:rPr>
          <w:rFonts w:ascii="Palatino Linotype" w:hAnsi="Palatino Linotype" w:cs="Arial"/>
          <w:b/>
          <w:color w:val="000000" w:themeColor="text1"/>
          <w:sz w:val="26"/>
          <w:szCs w:val="26"/>
        </w:rPr>
      </w:pPr>
      <w:r w:rsidRPr="00CF48AE">
        <w:rPr>
          <w:rFonts w:ascii="Palatino Linotype" w:hAnsi="Palatino Linotype" w:cs="Arial"/>
          <w:b/>
          <w:color w:val="000000" w:themeColor="text1"/>
          <w:sz w:val="26"/>
          <w:szCs w:val="26"/>
        </w:rPr>
        <w:t xml:space="preserve">SEGUNDO. Interés. </w:t>
      </w:r>
    </w:p>
    <w:p w14:paraId="62DE6AC3" w14:textId="12A62183"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67FB0">
        <w:rPr>
          <w:rFonts w:ascii="Palatino Linotype" w:hAnsi="Palatino Linotype" w:cs="Arial"/>
          <w:b/>
          <w:color w:val="000000" w:themeColor="text1"/>
        </w:rPr>
        <w:t>LA</w:t>
      </w:r>
      <w:r w:rsidRPr="00984657">
        <w:rPr>
          <w:rFonts w:ascii="Palatino Linotype" w:hAnsi="Palatino Linotype" w:cs="Arial"/>
          <w:b/>
          <w:bCs/>
          <w:color w:val="000000" w:themeColor="text1"/>
        </w:rPr>
        <w:t xml:space="preserve"> RECURRENTE,</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28C4CCAC" w14:textId="77777777" w:rsidR="00791F4E" w:rsidRDefault="00791F4E" w:rsidP="0066637D">
      <w:pPr>
        <w:spacing w:line="360" w:lineRule="auto"/>
        <w:jc w:val="both"/>
        <w:rPr>
          <w:rFonts w:ascii="Palatino Linotype" w:hAnsi="Palatino Linotype" w:cs="Arial"/>
          <w:color w:val="000000"/>
          <w:lang w:eastAsia="es-MX"/>
        </w:rPr>
      </w:pPr>
    </w:p>
    <w:p w14:paraId="20ECB62E" w14:textId="77777777" w:rsidR="00791F4E" w:rsidRDefault="00791F4E" w:rsidP="0066637D">
      <w:pPr>
        <w:spacing w:line="360" w:lineRule="auto"/>
        <w:jc w:val="both"/>
        <w:rPr>
          <w:rFonts w:ascii="Palatino Linotype" w:hAnsi="Palatino Linotype" w:cs="Arial"/>
          <w:color w:val="000000"/>
          <w:lang w:eastAsia="es-MX"/>
        </w:rPr>
      </w:pPr>
    </w:p>
    <w:p w14:paraId="3415D86E" w14:textId="77777777" w:rsidR="00791F4E" w:rsidRDefault="00791F4E" w:rsidP="0066637D">
      <w:pPr>
        <w:spacing w:line="360" w:lineRule="auto"/>
        <w:jc w:val="both"/>
        <w:rPr>
          <w:rFonts w:ascii="Palatino Linotype" w:hAnsi="Palatino Linotype" w:cs="Arial"/>
          <w:b/>
          <w:bCs/>
          <w:color w:val="000000" w:themeColor="text1"/>
        </w:rPr>
      </w:pPr>
    </w:p>
    <w:p w14:paraId="104423D5" w14:textId="77777777" w:rsidR="000171D8" w:rsidRDefault="000171D8" w:rsidP="0066637D">
      <w:pPr>
        <w:spacing w:line="360" w:lineRule="auto"/>
        <w:jc w:val="both"/>
        <w:rPr>
          <w:rFonts w:ascii="Palatino Linotype" w:hAnsi="Palatino Linotype" w:cs="Arial"/>
          <w:b/>
          <w:color w:val="000000" w:themeColor="text1"/>
          <w:szCs w:val="28"/>
        </w:rPr>
      </w:pPr>
    </w:p>
    <w:p w14:paraId="73B57685" w14:textId="23B6A0A1" w:rsidR="005C250B" w:rsidRPr="00CF48AE"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CF48AE">
        <w:rPr>
          <w:rFonts w:ascii="Palatino Linotype" w:hAnsi="Palatino Linotype" w:cs="Arial"/>
          <w:b/>
          <w:color w:val="000000" w:themeColor="text1"/>
          <w:sz w:val="26"/>
          <w:szCs w:val="26"/>
        </w:rPr>
        <w:lastRenderedPageBreak/>
        <w:t xml:space="preserve">TERCERO. </w:t>
      </w:r>
      <w:r w:rsidR="00043A1E">
        <w:rPr>
          <w:rFonts w:ascii="Palatino Linotype" w:hAnsi="Palatino Linotype" w:cs="Arial"/>
          <w:b/>
          <w:color w:val="000000" w:themeColor="text1"/>
          <w:sz w:val="26"/>
          <w:szCs w:val="26"/>
          <w:lang w:val="es-ES"/>
        </w:rPr>
        <w:t>Oportunidad.</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308C3F6F" w14:textId="77777777" w:rsidR="005C250B" w:rsidRDefault="005C250B" w:rsidP="005C250B">
      <w:pPr>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7738A708" w14:textId="77777777" w:rsidR="005C250B" w:rsidRDefault="005C250B" w:rsidP="005C250B">
      <w:pPr>
        <w:jc w:val="both"/>
        <w:rPr>
          <w:rFonts w:ascii="Palatino Linotype" w:hAnsi="Palatino Linotype" w:cs="Arial"/>
          <w:color w:val="000000" w:themeColor="text1"/>
          <w:lang w:val="es-ES"/>
        </w:rPr>
      </w:pPr>
    </w:p>
    <w:p w14:paraId="536CC994" w14:textId="02F3DA6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w:t>
      </w:r>
      <w:proofErr w:type="gramStart"/>
      <w:r>
        <w:rPr>
          <w:rFonts w:ascii="Palatino Linotype" w:hAnsi="Palatino Linotype" w:cs="Arial"/>
          <w:color w:val="000000" w:themeColor="text1"/>
          <w:lang w:val="es-ES"/>
        </w:rPr>
        <w:t>que</w:t>
      </w:r>
      <w:proofErr w:type="gramEnd"/>
      <w:r>
        <w:rPr>
          <w:rFonts w:ascii="Palatino Linotype" w:hAnsi="Palatino Linotype" w:cs="Arial"/>
          <w:color w:val="000000" w:themeColor="text1"/>
          <w:lang w:val="es-ES"/>
        </w:rPr>
        <w:t xml:space="preserv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D67FB0">
        <w:rPr>
          <w:rFonts w:ascii="Palatino Linotype" w:hAnsi="Palatino Linotype" w:cs="Arial"/>
          <w:b/>
          <w:bCs/>
          <w:color w:val="000000" w:themeColor="text1"/>
          <w:lang w:val="es-ES"/>
        </w:rPr>
        <w:t>LA</w:t>
      </w:r>
      <w:r>
        <w:rPr>
          <w:rFonts w:ascii="Palatino Linotype" w:hAnsi="Palatino Linotype" w:cs="Arial"/>
          <w:b/>
          <w:color w:val="000000" w:themeColor="text1"/>
          <w:lang w:val="es-ES"/>
        </w:rPr>
        <w:t xml:space="preserve"> RECURRENTE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451CC602" w14:textId="77777777" w:rsidR="00791F4E" w:rsidRDefault="00791F4E"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CF48AE" w:rsidRDefault="005C250B" w:rsidP="005C250B">
      <w:pPr>
        <w:autoSpaceDE w:val="0"/>
        <w:autoSpaceDN w:val="0"/>
        <w:adjustRightInd w:val="0"/>
        <w:spacing w:line="360" w:lineRule="auto"/>
        <w:ind w:right="49"/>
        <w:jc w:val="both"/>
        <w:rPr>
          <w:rFonts w:ascii="Palatino Linotype" w:hAnsi="Palatino Linotype"/>
          <w:b/>
          <w:sz w:val="26"/>
          <w:szCs w:val="26"/>
        </w:rPr>
      </w:pPr>
      <w:r w:rsidRPr="00CF48AE">
        <w:rPr>
          <w:rFonts w:ascii="Palatino Linotype" w:hAnsi="Palatino Linotype" w:cs="Arial"/>
          <w:b/>
          <w:sz w:val="26"/>
          <w:szCs w:val="26"/>
        </w:rPr>
        <w:lastRenderedPageBreak/>
        <w:t>CUARTO</w:t>
      </w:r>
      <w:r w:rsidRPr="00CF48AE">
        <w:rPr>
          <w:rFonts w:ascii="Palatino Linotype" w:hAnsi="Palatino Linotype"/>
          <w:b/>
          <w:sz w:val="26"/>
          <w:szCs w:val="26"/>
        </w:rPr>
        <w:t xml:space="preserve">. Procedibilidad. </w:t>
      </w:r>
    </w:p>
    <w:p w14:paraId="44B6BF34" w14:textId="77777777" w:rsidR="00F528C9" w:rsidRPr="007C78EC" w:rsidRDefault="00F528C9" w:rsidP="00F528C9">
      <w:pPr>
        <w:spacing w:line="360" w:lineRule="auto"/>
        <w:jc w:val="both"/>
        <w:textAlignment w:val="baseline"/>
        <w:rPr>
          <w:rFonts w:ascii="Palatino Linotype" w:hAnsi="Palatino Linotype" w:cs="Arial"/>
          <w:lang w:val="es-ES"/>
        </w:rPr>
      </w:pPr>
      <w:r w:rsidRPr="007C78EC">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w:t>
      </w:r>
      <w:r>
        <w:rPr>
          <w:rFonts w:ascii="Palatino Linotype" w:hAnsi="Palatino Linotype" w:cs="Arial"/>
          <w:lang w:val="es-ES"/>
        </w:rPr>
        <w:t>etra señala:</w:t>
      </w:r>
    </w:p>
    <w:p w14:paraId="31D201BD" w14:textId="77777777" w:rsidR="00F528C9" w:rsidRPr="007C78EC" w:rsidRDefault="00F528C9" w:rsidP="00F528C9">
      <w:pPr>
        <w:spacing w:line="360" w:lineRule="auto"/>
        <w:jc w:val="both"/>
        <w:textAlignment w:val="baseline"/>
        <w:rPr>
          <w:rFonts w:ascii="Palatino Linotype" w:hAnsi="Palatino Linotype" w:cs="Arial"/>
          <w:lang w:val="es-ES"/>
        </w:rPr>
      </w:pPr>
    </w:p>
    <w:p w14:paraId="78F59671" w14:textId="62806E30" w:rsidR="00F528C9" w:rsidRDefault="00F528C9" w:rsidP="00F528C9">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w:t>
      </w:r>
      <w:r w:rsidRPr="007C78EC">
        <w:rPr>
          <w:rFonts w:ascii="Palatino Linotype" w:hAnsi="Palatino Linotype" w:cs="Arial"/>
          <w:b/>
          <w:i/>
          <w:sz w:val="22"/>
          <w:lang w:val="es-ES"/>
        </w:rPr>
        <w:t>Artículo 180</w:t>
      </w:r>
      <w:r w:rsidRPr="007C78EC">
        <w:rPr>
          <w:rFonts w:ascii="Palatino Linotype" w:hAnsi="Palatino Linotype" w:cs="Arial"/>
          <w:i/>
          <w:sz w:val="22"/>
          <w:lang w:val="es-ES"/>
        </w:rPr>
        <w:t>. El recurso de revisión contendrá:</w:t>
      </w:r>
    </w:p>
    <w:p w14:paraId="296C0029" w14:textId="77777777" w:rsidR="00F528C9" w:rsidRPr="007C78EC" w:rsidRDefault="00F528C9" w:rsidP="00F528C9">
      <w:pPr>
        <w:ind w:left="851" w:right="899"/>
        <w:jc w:val="both"/>
        <w:textAlignment w:val="baseline"/>
        <w:rPr>
          <w:rFonts w:ascii="Palatino Linotype" w:hAnsi="Palatino Linotype" w:cs="Arial"/>
          <w:i/>
          <w:sz w:val="22"/>
          <w:lang w:val="es-ES"/>
        </w:rPr>
      </w:pPr>
    </w:p>
    <w:p w14:paraId="18858DD9" w14:textId="74101E6C" w:rsidR="00F528C9" w:rsidRPr="007C78EC" w:rsidRDefault="00F528C9" w:rsidP="00F528C9">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w:t>
      </w:r>
      <w:r w:rsidRPr="007C78EC">
        <w:rPr>
          <w:rFonts w:ascii="Palatino Linotype" w:hAnsi="Palatino Linotype" w:cs="Arial"/>
          <w:i/>
          <w:sz w:val="22"/>
          <w:lang w:val="es-ES"/>
        </w:rPr>
        <w:t>. El sujeto obligado ante la cual se presentó la solicitud;</w:t>
      </w:r>
    </w:p>
    <w:p w14:paraId="4148B8A7" w14:textId="2F4EE02A" w:rsidR="00F528C9" w:rsidRPr="007C78EC" w:rsidRDefault="00F528C9" w:rsidP="00F528C9">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II</w:t>
      </w:r>
      <w:r w:rsidRPr="007C78EC">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DE0B716" w14:textId="77777777" w:rsidR="00F528C9" w:rsidRPr="007C78EC" w:rsidRDefault="00F528C9" w:rsidP="00F528C9">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III</w:t>
      </w:r>
      <w:r w:rsidRPr="007C78EC">
        <w:rPr>
          <w:rFonts w:ascii="Palatino Linotype" w:hAnsi="Palatino Linotype" w:cs="Arial"/>
          <w:i/>
          <w:sz w:val="22"/>
          <w:lang w:val="es-ES"/>
        </w:rPr>
        <w:t>. El número de folio de respu</w:t>
      </w:r>
      <w:r>
        <w:rPr>
          <w:rFonts w:ascii="Palatino Linotype" w:hAnsi="Palatino Linotype" w:cs="Arial"/>
          <w:i/>
          <w:sz w:val="22"/>
          <w:lang w:val="es-ES"/>
        </w:rPr>
        <w:t>esta de la solicitud de acceso;</w:t>
      </w:r>
    </w:p>
    <w:p w14:paraId="50DC875B" w14:textId="77777777" w:rsidR="00F528C9" w:rsidRPr="007C78EC" w:rsidRDefault="00F528C9" w:rsidP="00F528C9">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IV</w:t>
      </w:r>
      <w:r w:rsidRPr="007C78EC">
        <w:rPr>
          <w:rFonts w:ascii="Palatino Linotype" w:hAnsi="Palatino Linotype" w:cs="Arial"/>
          <w:i/>
          <w:sz w:val="22"/>
          <w:lang w:val="es-ES"/>
        </w:rPr>
        <w:t>. La fecha en que fue notificada la respuesta al solicitante o tuvo conocimiento del acto reclamado, o de presentación de la solicitud,</w:t>
      </w:r>
      <w:r>
        <w:rPr>
          <w:rFonts w:ascii="Palatino Linotype" w:hAnsi="Palatino Linotype" w:cs="Arial"/>
          <w:i/>
          <w:sz w:val="22"/>
          <w:lang w:val="es-ES"/>
        </w:rPr>
        <w:t xml:space="preserve"> en caso de falta de respuesta;</w:t>
      </w:r>
    </w:p>
    <w:p w14:paraId="37418906" w14:textId="77777777" w:rsidR="00F528C9" w:rsidRPr="007C78EC" w:rsidRDefault="00F528C9" w:rsidP="00F528C9">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w:t>
      </w:r>
      <w:r>
        <w:rPr>
          <w:rFonts w:ascii="Palatino Linotype" w:hAnsi="Palatino Linotype" w:cs="Arial"/>
          <w:i/>
          <w:sz w:val="22"/>
          <w:lang w:val="es-ES"/>
        </w:rPr>
        <w:t>. El acto que se recurre;</w:t>
      </w:r>
    </w:p>
    <w:p w14:paraId="68327249" w14:textId="77777777" w:rsidR="00F528C9" w:rsidRPr="007C78EC" w:rsidRDefault="00F528C9" w:rsidP="00F528C9">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w:t>
      </w:r>
      <w:r w:rsidRPr="007C78EC">
        <w:rPr>
          <w:rFonts w:ascii="Palatino Linotype" w:hAnsi="Palatino Linotype" w:cs="Arial"/>
          <w:i/>
          <w:sz w:val="22"/>
          <w:lang w:val="es-ES"/>
        </w:rPr>
        <w:t>. Las razo</w:t>
      </w:r>
      <w:r>
        <w:rPr>
          <w:rFonts w:ascii="Palatino Linotype" w:hAnsi="Palatino Linotype" w:cs="Arial"/>
          <w:i/>
          <w:sz w:val="22"/>
          <w:lang w:val="es-ES"/>
        </w:rPr>
        <w:t>nes o motivos de inconformidad;</w:t>
      </w:r>
    </w:p>
    <w:p w14:paraId="725742D1" w14:textId="77777777" w:rsidR="00F528C9" w:rsidRPr="007C78EC" w:rsidRDefault="00F528C9" w:rsidP="00F528C9">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VII</w:t>
      </w:r>
      <w:r w:rsidRPr="007C78EC">
        <w:rPr>
          <w:rFonts w:ascii="Palatino Linotype" w:hAnsi="Palatino Linotype" w:cs="Arial"/>
          <w:i/>
          <w:sz w:val="22"/>
          <w:lang w:val="es-ES"/>
        </w:rPr>
        <w:t xml:space="preserve">. La copia de la respuesta que se impugna y, en su caso, de la notificación correspondiente, en el caso </w:t>
      </w:r>
      <w:r>
        <w:rPr>
          <w:rFonts w:ascii="Palatino Linotype" w:hAnsi="Palatino Linotype" w:cs="Arial"/>
          <w:i/>
          <w:sz w:val="22"/>
          <w:lang w:val="es-ES"/>
        </w:rPr>
        <w:t>de respuesta de la solicitud; y</w:t>
      </w:r>
    </w:p>
    <w:p w14:paraId="18AB4623" w14:textId="77777777" w:rsidR="00F528C9" w:rsidRPr="006F1A24" w:rsidRDefault="00F528C9" w:rsidP="00F528C9">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VIII.</w:t>
      </w:r>
      <w:r w:rsidRPr="007C78EC">
        <w:rPr>
          <w:rFonts w:ascii="Palatino Linotype" w:hAnsi="Palatino Linotype" w:cs="Arial"/>
          <w:i/>
          <w:sz w:val="22"/>
          <w:lang w:val="es-ES"/>
        </w:rPr>
        <w:t xml:space="preserve"> Firma del recurrente, en su caso, cuando se presente por escrito, requisito sin el c</w:t>
      </w:r>
      <w:r>
        <w:rPr>
          <w:rFonts w:ascii="Palatino Linotype" w:hAnsi="Palatino Linotype" w:cs="Arial"/>
          <w:i/>
          <w:sz w:val="22"/>
          <w:lang w:val="es-ES"/>
        </w:rPr>
        <w:t>ual se dará trámite al recurso.</w:t>
      </w:r>
    </w:p>
    <w:p w14:paraId="7DAE6A14" w14:textId="77777777" w:rsidR="00F528C9" w:rsidRPr="007C78EC" w:rsidRDefault="00F528C9" w:rsidP="00F528C9">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Adicionalmente, se podrán anexar las pruebas y demás elementos que considere procedentes someter a juicio del Instituto.</w:t>
      </w:r>
    </w:p>
    <w:p w14:paraId="27287867" w14:textId="77777777" w:rsidR="00F528C9" w:rsidRPr="007C78EC" w:rsidRDefault="00F528C9" w:rsidP="00F528C9">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En ningún caso será necesario que el particular ratifique el r</w:t>
      </w:r>
      <w:r>
        <w:rPr>
          <w:rFonts w:ascii="Palatino Linotype" w:hAnsi="Palatino Linotype" w:cs="Arial"/>
          <w:i/>
          <w:sz w:val="22"/>
          <w:lang w:val="es-ES"/>
        </w:rPr>
        <w:t>ecurso de revisión interpuesto.</w:t>
      </w:r>
    </w:p>
    <w:p w14:paraId="569FDA10" w14:textId="77777777" w:rsidR="00F528C9" w:rsidRDefault="00F528C9" w:rsidP="00F528C9">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7BE51097" w14:textId="77777777" w:rsidR="00791F4E" w:rsidRDefault="00791F4E" w:rsidP="00F528C9">
      <w:pPr>
        <w:ind w:left="851" w:right="899"/>
        <w:jc w:val="both"/>
        <w:textAlignment w:val="baseline"/>
        <w:rPr>
          <w:rFonts w:ascii="Palatino Linotype" w:hAnsi="Palatino Linotype" w:cs="Arial"/>
          <w:i/>
          <w:sz w:val="22"/>
          <w:lang w:val="es-ES"/>
        </w:rPr>
      </w:pPr>
    </w:p>
    <w:p w14:paraId="4D7D7F10" w14:textId="77777777" w:rsidR="00F528C9" w:rsidRPr="00F528C9" w:rsidRDefault="00F528C9" w:rsidP="00F528C9">
      <w:pPr>
        <w:ind w:left="851" w:right="899"/>
        <w:jc w:val="both"/>
        <w:textAlignment w:val="baseline"/>
        <w:rPr>
          <w:rFonts w:ascii="Palatino Linotype" w:hAnsi="Palatino Linotype" w:cs="Arial"/>
          <w:i/>
          <w:lang w:val="es-ES"/>
        </w:rPr>
      </w:pPr>
    </w:p>
    <w:p w14:paraId="1845814D" w14:textId="77777777" w:rsidR="005B5043" w:rsidRPr="00CF48AE"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CF48AE">
        <w:rPr>
          <w:rFonts w:ascii="Palatino Linotype" w:hAnsi="Palatino Linotype"/>
          <w:b/>
          <w:color w:val="000000" w:themeColor="text1"/>
          <w:sz w:val="26"/>
          <w:szCs w:val="26"/>
          <w:lang w:eastAsia="es-MX"/>
        </w:rPr>
        <w:t>QUINTO</w:t>
      </w:r>
      <w:r w:rsidRPr="00CF48AE">
        <w:rPr>
          <w:rFonts w:ascii="Palatino Linotype" w:hAnsi="Palatino Linotype" w:cs="Arial"/>
          <w:b/>
          <w:color w:val="000000" w:themeColor="text1"/>
          <w:sz w:val="26"/>
          <w:szCs w:val="26"/>
          <w:lang w:eastAsia="es-MX"/>
        </w:rPr>
        <w:t xml:space="preserve">. </w:t>
      </w:r>
      <w:r w:rsidRPr="00CF48AE">
        <w:rPr>
          <w:rFonts w:ascii="Palatino Linotype" w:hAnsi="Palatino Linotype" w:cs="Arial"/>
          <w:b/>
          <w:color w:val="000000" w:themeColor="text1"/>
          <w:sz w:val="26"/>
          <w:szCs w:val="26"/>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w:t>
      </w:r>
      <w:r w:rsidRPr="005C250B">
        <w:rPr>
          <w:rFonts w:ascii="Palatino Linotype" w:hAnsi="Palatino Linotype" w:cs="Arial"/>
          <w:color w:val="000000" w:themeColor="text1"/>
        </w:rPr>
        <w:lastRenderedPageBreak/>
        <w:t xml:space="preserve">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w:t>
      </w:r>
      <w:proofErr w:type="gramStart"/>
      <w:r>
        <w:rPr>
          <w:rFonts w:ascii="Palatino Linotype" w:hAnsi="Palatino Linotype" w:cs="Arial"/>
          <w:color w:val="000000" w:themeColor="text1"/>
          <w:lang w:val="es-ES" w:eastAsia="es-MX"/>
        </w:rPr>
        <w:t>que</w:t>
      </w:r>
      <w:proofErr w:type="gramEnd"/>
      <w:r>
        <w:rPr>
          <w:rFonts w:ascii="Palatino Linotype" w:hAnsi="Palatino Linotype" w:cs="Arial"/>
          <w:color w:val="000000" w:themeColor="text1"/>
          <w:lang w:val="es-ES" w:eastAsia="es-MX"/>
        </w:rPr>
        <w:t xml:space="preserv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40DFB348" w14:textId="261DA5F7" w:rsidR="005C250B" w:rsidRPr="005C250B" w:rsidRDefault="005C250B" w:rsidP="006D2761">
      <w:pPr>
        <w:ind w:left="851" w:right="901"/>
        <w:jc w:val="both"/>
        <w:rPr>
          <w:rFonts w:ascii="Palatino Linotype" w:hAnsi="Palatino Linotype" w:cs="Arial"/>
          <w:i/>
          <w:color w:val="000000"/>
          <w:sz w:val="22"/>
          <w:szCs w:val="22"/>
          <w:lang w:val="es-ES"/>
        </w:rPr>
      </w:pPr>
      <w:r w:rsidRPr="00721771">
        <w:rPr>
          <w:rFonts w:ascii="Palatino Linotype" w:hAnsi="Palatino Linotype" w:cs="Arial"/>
          <w:i/>
          <w:color w:val="000000"/>
          <w:sz w:val="22"/>
          <w:szCs w:val="22"/>
          <w:lang w:val="es-ES"/>
        </w:rPr>
        <w:t>XI. La falta de trámite a una solicitud;</w:t>
      </w:r>
      <w:r w:rsidRPr="005C250B">
        <w:rPr>
          <w:rFonts w:ascii="Palatino Linotype" w:hAnsi="Palatino Linotype" w:cs="Arial"/>
          <w:i/>
          <w:color w:val="000000"/>
          <w:sz w:val="22"/>
          <w:szCs w:val="22"/>
          <w:lang w:val="es-ES"/>
        </w:rPr>
        <w:t>”</w:t>
      </w:r>
    </w:p>
    <w:p w14:paraId="6867A42A" w14:textId="77777777" w:rsidR="005C250B" w:rsidRPr="005C250B" w:rsidRDefault="005C250B" w:rsidP="005C250B">
      <w:pPr>
        <w:jc w:val="both"/>
        <w:rPr>
          <w:rFonts w:ascii="Palatino Linotype" w:hAnsi="Palatino Linotype" w:cs="Arial"/>
          <w:color w:val="000000" w:themeColor="text1"/>
          <w:sz w:val="22"/>
          <w:szCs w:val="22"/>
          <w:lang w:val="es-ES"/>
        </w:rPr>
      </w:pPr>
    </w:p>
    <w:p w14:paraId="29E4B93C" w14:textId="1FF5B137" w:rsidR="00AE51C8" w:rsidRDefault="005C250B"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dar respuesta a lo requerido por </w:t>
      </w:r>
      <w:r w:rsidR="00D67FB0">
        <w:rPr>
          <w:rFonts w:ascii="Palatino Linotype" w:hAnsi="Palatino Linotype" w:cs="Arial"/>
          <w:b/>
          <w:lang w:val="es-ES"/>
        </w:rPr>
        <w:t>LA</w:t>
      </w:r>
      <w:r w:rsidRPr="005C250B">
        <w:rPr>
          <w:rFonts w:ascii="Palatino Linotype" w:hAnsi="Palatino Linotype" w:cs="Arial"/>
          <w:b/>
          <w:lang w:val="es-ES"/>
        </w:rPr>
        <w:t xml:space="preserve"> </w:t>
      </w:r>
      <w:r w:rsidRPr="005C250B">
        <w:rPr>
          <w:rFonts w:ascii="Palatino Linotype" w:hAnsi="Palatino Linotype" w:cs="Arial"/>
          <w:b/>
          <w:lang w:val="es-ES"/>
        </w:rPr>
        <w:lastRenderedPageBreak/>
        <w:t xml:space="preserve">RECURRENTE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76D338CA" w14:textId="77777777" w:rsidR="00721771" w:rsidRPr="005C250B" w:rsidRDefault="00721771"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0C5585B8" w:rsidR="005C250B" w:rsidRDefault="005831F5" w:rsidP="005C250B">
      <w:pPr>
        <w:spacing w:line="360" w:lineRule="auto"/>
        <w:jc w:val="both"/>
        <w:rPr>
          <w:rFonts w:ascii="Palatino Linotype" w:hAnsi="Palatino Linotype"/>
        </w:rPr>
      </w:pPr>
      <w:r>
        <w:rPr>
          <w:rFonts w:ascii="Palatino Linotype" w:hAnsi="Palatino Linotype"/>
        </w:rPr>
        <w:t xml:space="preserve">Como se ha puntualizado, dada la </w:t>
      </w:r>
      <w:r w:rsidR="005C250B">
        <w:rPr>
          <w:rFonts w:ascii="Palatino Linotype" w:hAnsi="Palatino Linotype"/>
        </w:rPr>
        <w:t xml:space="preserve">falta de respuesta a la solicitud, </w:t>
      </w:r>
      <w:r>
        <w:rPr>
          <w:rFonts w:ascii="Palatino Linotype" w:hAnsi="Palatino Linotype"/>
        </w:rPr>
        <w:t xml:space="preserve">así </w:t>
      </w:r>
      <w:r w:rsidR="005C250B">
        <w:rPr>
          <w:rFonts w:ascii="Palatino Linotype" w:hAnsi="Palatino Linotype"/>
        </w:rPr>
        <w:t>como el envío del Informe Justificado por parte del</w:t>
      </w:r>
      <w:r w:rsidR="005C250B">
        <w:rPr>
          <w:rFonts w:ascii="Palatino Linotype" w:hAnsi="Palatino Linotype"/>
          <w:b/>
        </w:rPr>
        <w:t xml:space="preserve"> SUJETO OBLIGADO</w:t>
      </w:r>
      <w:r w:rsidR="005C250B">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Default="005C250B" w:rsidP="005C250B">
      <w:pPr>
        <w:jc w:val="both"/>
        <w:rPr>
          <w:rFonts w:ascii="Palatino Linotype" w:hAnsi="Palatino Linotype"/>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C93176A" w14:textId="0A9286DA" w:rsidR="005C250B" w:rsidRDefault="005C250B" w:rsidP="00F528C9">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sidR="005831F5">
        <w:rPr>
          <w:rFonts w:ascii="Palatino Linotype" w:hAnsi="Palatino Linotype" w:cs="Arial"/>
          <w:i/>
          <w:sz w:val="22"/>
          <w:szCs w:val="22"/>
        </w:rPr>
        <w:t>”</w:t>
      </w:r>
    </w:p>
    <w:p w14:paraId="7FFC3BE4" w14:textId="77777777" w:rsidR="005831F5" w:rsidRDefault="005831F5" w:rsidP="00F528C9">
      <w:pPr>
        <w:ind w:left="851" w:right="901"/>
        <w:jc w:val="both"/>
        <w:rPr>
          <w:rFonts w:ascii="Palatino Linotype" w:hAnsi="Palatino Linotype" w:cs="Arial"/>
          <w:i/>
          <w:sz w:val="22"/>
          <w:szCs w:val="22"/>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Default="005C250B" w:rsidP="005C250B">
      <w:pPr>
        <w:jc w:val="both"/>
        <w:rPr>
          <w:rFonts w:ascii="Palatino Linotype" w:hAnsi="Palatino Linotype"/>
          <w:sz w:val="22"/>
          <w:szCs w:val="22"/>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w:t>
      </w:r>
      <w:r>
        <w:rPr>
          <w:rFonts w:ascii="Palatino Linotype" w:hAnsi="Palatino Linotype" w:cs="Arial"/>
          <w:i/>
          <w:sz w:val="22"/>
          <w:szCs w:val="22"/>
        </w:rPr>
        <w:lastRenderedPageBreak/>
        <w:t>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56C9A70" w14:textId="0AA9EB5C" w:rsidR="005C250B" w:rsidRDefault="005C250B" w:rsidP="00A85848">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3B6D83A" w14:textId="77777777" w:rsidR="00A85848" w:rsidRPr="00A85848" w:rsidRDefault="00A85848" w:rsidP="00A85848">
      <w:pPr>
        <w:ind w:left="851" w:right="901"/>
        <w:jc w:val="both"/>
        <w:rPr>
          <w:rFonts w:ascii="Palatino Linotype" w:hAnsi="Palatino Linotype" w:cs="Arial"/>
          <w:b/>
          <w:i/>
          <w:sz w:val="22"/>
          <w:szCs w:val="22"/>
        </w:rPr>
      </w:pPr>
    </w:p>
    <w:p w14:paraId="6ACA4194" w14:textId="46F69718" w:rsidR="00D8393F" w:rsidRDefault="005C250B" w:rsidP="00D8393F">
      <w:pPr>
        <w:autoSpaceDE w:val="0"/>
        <w:autoSpaceDN w:val="0"/>
        <w:adjustRightInd w:val="0"/>
        <w:spacing w:line="360" w:lineRule="auto"/>
        <w:ind w:right="51"/>
        <w:jc w:val="both"/>
        <w:rPr>
          <w:rFonts w:ascii="Palatino Linotype" w:eastAsia="Arial Unicode MS"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324C17C3" w14:textId="77777777" w:rsidR="005831F5" w:rsidRPr="00D8393F" w:rsidRDefault="005831F5" w:rsidP="00D8393F">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115D0A6E" w14:textId="257238F9" w:rsidR="005C250B" w:rsidRPr="005831F5" w:rsidRDefault="005C250B" w:rsidP="005831F5">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r>
        <w:rPr>
          <w:rFonts w:ascii="Palatino Linotype" w:hAnsi="Palatino Linotype" w:cs="Arial"/>
          <w:bCs/>
          <w:i/>
          <w:sz w:val="22"/>
          <w:szCs w:val="22"/>
        </w:rPr>
        <w:t>”</w:t>
      </w:r>
    </w:p>
    <w:p w14:paraId="1223673C" w14:textId="2C386104" w:rsidR="005C250B" w:rsidRDefault="005C250B" w:rsidP="00D8393F">
      <w:pPr>
        <w:ind w:left="851" w:right="902"/>
        <w:jc w:val="both"/>
        <w:rPr>
          <w:rFonts w:ascii="Palatino Linotype" w:hAnsi="Palatino Linotype" w:cs="Arial"/>
          <w:bCs/>
          <w:i/>
          <w:sz w:val="22"/>
          <w:szCs w:val="22"/>
        </w:rPr>
      </w:pPr>
    </w:p>
    <w:p w14:paraId="6C42C87E" w14:textId="77777777" w:rsidR="00D8393F" w:rsidRDefault="00D8393F" w:rsidP="005C250B">
      <w:pPr>
        <w:spacing w:line="360" w:lineRule="auto"/>
        <w:jc w:val="both"/>
        <w:rPr>
          <w:rFonts w:ascii="Palatino Linotype" w:eastAsia="Arial Unicode MS" w:hAnsi="Palatino Linotype" w:cs="Arial"/>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w:t>
      </w:r>
      <w:r>
        <w:rPr>
          <w:rFonts w:ascii="Palatino Linotype" w:eastAsia="Arial Unicode MS" w:hAnsi="Palatino Linotype" w:cs="Arial"/>
        </w:rPr>
        <w:lastRenderedPageBreak/>
        <w:t>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8C16C2" w14:textId="6C52067C" w:rsidR="00176899" w:rsidRPr="00176899" w:rsidRDefault="005C250B" w:rsidP="00176899">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1CFC68C" w14:textId="77777777" w:rsidR="00176899" w:rsidRDefault="00176899" w:rsidP="005C250B">
      <w:pPr>
        <w:ind w:left="851" w:right="901"/>
        <w:jc w:val="both"/>
        <w:rPr>
          <w:rFonts w:ascii="Palatino Linotype" w:hAnsi="Palatino Linotype" w:cs="Arial"/>
          <w:b/>
          <w:i/>
          <w:sz w:val="22"/>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lastRenderedPageBreak/>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0042B9D" w14:textId="25F82D30" w:rsidR="005C250B" w:rsidRDefault="005C250B" w:rsidP="00176899">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3B00BA4F" w14:textId="77777777" w:rsidR="00176899" w:rsidRDefault="00176899" w:rsidP="005C250B">
      <w:pPr>
        <w:spacing w:line="360" w:lineRule="auto"/>
        <w:jc w:val="both"/>
        <w:rPr>
          <w:rFonts w:ascii="Palatino Linotype" w:hAnsi="Palatino Linotype" w:cs="Arial"/>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xml:space="preserve">. ES AQUELLA QUE SE ENCUENTRA EN POSESIÓN DE CUALQUIER AUTORIDAD, ENTIDAD, ÓRGANO Y ORGANISMO FEDERAL, ESTATAL Y MUNICIPAL, SIEMPRE QUE SE HAYA OBTENIDO POR CAUSA DEL EJERCICIO DE FUNCIONES DE </w:t>
      </w:r>
      <w:r>
        <w:rPr>
          <w:rFonts w:ascii="Palatino Linotype" w:hAnsi="Palatino Linotype" w:cs="Arial"/>
          <w:b/>
          <w:bCs/>
          <w:i/>
          <w:sz w:val="22"/>
          <w:szCs w:val="22"/>
        </w:rPr>
        <w:lastRenderedPageBreak/>
        <w:t>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Pr>
          <w:rFonts w:ascii="Palatino Linotype" w:hAnsi="Palatino Linotype" w:cs="Arial"/>
        </w:rPr>
        <w:lastRenderedPageBreak/>
        <w:t xml:space="preserve">visual, electrónico, informático u holográfico, de conformidad con el artículo 3, fracción XI de la Ley de la materia, el cual dispone lo siguiente: </w:t>
      </w:r>
    </w:p>
    <w:p w14:paraId="3CEA3EAA" w14:textId="77777777" w:rsidR="00176899" w:rsidRDefault="00176899" w:rsidP="005C250B">
      <w:pPr>
        <w:spacing w:line="360" w:lineRule="auto"/>
        <w:jc w:val="both"/>
        <w:rPr>
          <w:rFonts w:ascii="Palatino Linotype" w:hAnsi="Palatino Linotype" w:cs="Arial"/>
        </w:rPr>
      </w:pPr>
    </w:p>
    <w:p w14:paraId="5B78126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66E0A57B" w14:textId="2BCB0E82" w:rsidR="005C250B" w:rsidRDefault="005C250B" w:rsidP="00176899">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72CA64" w14:textId="77777777" w:rsidR="00176899" w:rsidRDefault="00176899" w:rsidP="005C250B">
      <w:pPr>
        <w:autoSpaceDE w:val="0"/>
        <w:autoSpaceDN w:val="0"/>
        <w:adjustRightInd w:val="0"/>
        <w:spacing w:line="360" w:lineRule="auto"/>
        <w:jc w:val="both"/>
        <w:rPr>
          <w:rFonts w:ascii="Palatino Linotype" w:hAnsi="Palatino Linotype" w:cs="Arial"/>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31B9D79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3) Que se trate de información registrada en cualquier soporte documental, que en ejercicio de las atribuciones conferidas, se encuentre en posesión </w:t>
      </w:r>
      <w:r w:rsidR="004D725F">
        <w:rPr>
          <w:rFonts w:ascii="Palatino Linotype" w:hAnsi="Palatino Linotype" w:cs="Arial"/>
          <w:i/>
          <w:sz w:val="22"/>
          <w:szCs w:val="22"/>
          <w:lang w:eastAsia="es-MX"/>
        </w:rPr>
        <w:t>de los Sujetos Obligados.”</w:t>
      </w:r>
    </w:p>
    <w:p w14:paraId="1246A9A2" w14:textId="77777777" w:rsidR="00D86297" w:rsidRPr="00CF48AE" w:rsidRDefault="00D86297" w:rsidP="005C250B">
      <w:pPr>
        <w:autoSpaceDE w:val="0"/>
        <w:autoSpaceDN w:val="0"/>
        <w:adjustRightInd w:val="0"/>
        <w:ind w:right="51"/>
        <w:jc w:val="both"/>
        <w:rPr>
          <w:rFonts w:ascii="Palatino Linotype" w:hAnsi="Palatino Linotype"/>
          <w:sz w:val="20"/>
          <w:szCs w:val="22"/>
        </w:rPr>
      </w:pPr>
    </w:p>
    <w:p w14:paraId="6687CC87" w14:textId="77777777"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CF48AE"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CF48AE"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C13E844" w14:textId="58211DFA"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2FCDE54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w:t>
      </w:r>
      <w:r w:rsidR="004D725F">
        <w:rPr>
          <w:rFonts w:ascii="Palatino Linotype" w:hAnsi="Palatino Linotype" w:cs="Arial"/>
        </w:rPr>
        <w:t>Ley de Transparencia Local</w:t>
      </w:r>
      <w:r>
        <w:rPr>
          <w:rFonts w:ascii="Palatino Linotype" w:hAnsi="Palatino Linotype" w:cs="Arial"/>
        </w:rPr>
        <w:t xml:space="preserve">,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w:t>
      </w:r>
      <w:r w:rsidR="00C81A2C">
        <w:rPr>
          <w:rFonts w:ascii="Palatino Linotype" w:hAnsi="Palatino Linotype" w:cs="Arial"/>
        </w:rPr>
        <w:t>por el Comité de Transparencia.</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lastRenderedPageBreak/>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7F86333" w14:textId="77777777" w:rsidR="00176899" w:rsidRDefault="00176899" w:rsidP="005C250B">
      <w:pPr>
        <w:spacing w:line="360" w:lineRule="auto"/>
        <w:jc w:val="both"/>
        <w:rPr>
          <w:rFonts w:ascii="Palatino Linotype" w:hAnsi="Palatino Linotype"/>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0C2ED9EC" w14:textId="6A2E2C06" w:rsidR="005C250B" w:rsidRDefault="00C81A2C" w:rsidP="005C250B">
      <w:pPr>
        <w:spacing w:line="360" w:lineRule="auto"/>
        <w:jc w:val="both"/>
        <w:rPr>
          <w:rFonts w:ascii="Palatino Linotype" w:hAnsi="Palatino Linotype"/>
        </w:rPr>
      </w:pPr>
      <w:r>
        <w:rPr>
          <w:rFonts w:ascii="Palatino Linotype" w:hAnsi="Palatino Linotype"/>
        </w:rPr>
        <w:t xml:space="preserve">Por ello, éste Instituto garante de transparencia y acceso a la información, </w:t>
      </w:r>
      <w:r w:rsidR="005C250B">
        <w:rPr>
          <w:rFonts w:ascii="Palatino Linotype" w:hAnsi="Palatino Linotype"/>
        </w:rPr>
        <w:t xml:space="preserve">estima </w:t>
      </w:r>
      <w:r>
        <w:rPr>
          <w:rFonts w:ascii="Palatino Linotype" w:hAnsi="Palatino Linotype"/>
        </w:rPr>
        <w:t>procedente</w:t>
      </w:r>
      <w:r w:rsidR="005C250B">
        <w:rPr>
          <w:rFonts w:ascii="Palatino Linotype" w:hAnsi="Palatino Linotype"/>
        </w:rPr>
        <w:t xml:space="preserve"> </w:t>
      </w:r>
      <w:r w:rsidRPr="00C81A2C">
        <w:rPr>
          <w:rFonts w:ascii="Palatino Linotype" w:hAnsi="Palatino Linotype"/>
          <w:b/>
        </w:rPr>
        <w:t>ORDENAR</w:t>
      </w:r>
      <w:r>
        <w:rPr>
          <w:rFonts w:ascii="Palatino Linotype" w:hAnsi="Palatino Linotype"/>
        </w:rPr>
        <w:t xml:space="preserve"> </w:t>
      </w:r>
      <w:r w:rsidR="005C250B">
        <w:rPr>
          <w:rFonts w:ascii="Palatino Linotype" w:hAnsi="Palatino Linotype"/>
        </w:rPr>
        <w:t xml:space="preserve">al </w:t>
      </w:r>
      <w:r w:rsidR="005C250B">
        <w:rPr>
          <w:rFonts w:ascii="Palatino Linotype" w:hAnsi="Palatino Linotype"/>
          <w:b/>
        </w:rPr>
        <w:t>SUJETO OBLIGADO</w:t>
      </w:r>
      <w:r>
        <w:rPr>
          <w:rFonts w:ascii="Palatino Linotype" w:hAnsi="Palatino Linotype"/>
          <w:b/>
        </w:rPr>
        <w:t xml:space="preserve"> </w:t>
      </w:r>
      <w:r>
        <w:rPr>
          <w:rFonts w:ascii="Palatino Linotype" w:hAnsi="Palatino Linotype"/>
        </w:rPr>
        <w:t>que</w:t>
      </w:r>
      <w:r w:rsidR="005C250B">
        <w:rPr>
          <w:rFonts w:ascii="Palatino Linotype" w:hAnsi="Palatino Linotype"/>
        </w:rPr>
        <w:t xml:space="preserve"> dé tramité y respuesta a la solicitud de</w:t>
      </w:r>
      <w:r w:rsidR="00B772D7">
        <w:rPr>
          <w:rFonts w:ascii="Palatino Linotype" w:hAnsi="Palatino Linotype"/>
        </w:rPr>
        <w:t>l</w:t>
      </w:r>
      <w:r w:rsidR="005C250B">
        <w:rPr>
          <w:rFonts w:ascii="Palatino Linotype" w:hAnsi="Palatino Linotype"/>
        </w:rPr>
        <w:t xml:space="preserve"> particular</w:t>
      </w:r>
      <w:r>
        <w:rPr>
          <w:rFonts w:ascii="Palatino Linotype" w:hAnsi="Palatino Linotype"/>
        </w:rPr>
        <w:t>.</w:t>
      </w:r>
    </w:p>
    <w:p w14:paraId="08E24D09" w14:textId="77777777" w:rsidR="00C81A2C" w:rsidRDefault="00C81A2C" w:rsidP="005C250B">
      <w:pPr>
        <w:spacing w:line="360" w:lineRule="auto"/>
        <w:jc w:val="both"/>
        <w:rPr>
          <w:rFonts w:ascii="Palatino Linotype" w:hAnsi="Palatino Linotype"/>
        </w:rPr>
      </w:pPr>
    </w:p>
    <w:p w14:paraId="7C6AE336" w14:textId="5200C051" w:rsidR="005C250B" w:rsidRDefault="00242A60"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lastRenderedPageBreak/>
        <w:t xml:space="preserve">Aunado a lo anterior, se </w:t>
      </w:r>
      <w:r w:rsidR="005C250B">
        <w:rPr>
          <w:rFonts w:ascii="Palatino Linotype" w:eastAsia="Calibri" w:hAnsi="Palatino Linotype"/>
          <w:szCs w:val="22"/>
          <w:lang w:eastAsia="en-US"/>
        </w:rPr>
        <w:t xml:space="preserve">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sidR="005C250B">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005C250B">
        <w:rPr>
          <w:rFonts w:ascii="Palatino Linotype" w:eastAsia="Calibri" w:hAnsi="Palatino Linotype"/>
          <w:b/>
          <w:szCs w:val="22"/>
          <w:lang w:eastAsia="en-US"/>
        </w:rPr>
        <w:t>EL SUJETO OBLIGADO</w:t>
      </w:r>
      <w:r w:rsidR="005C250B">
        <w:rPr>
          <w:rFonts w:ascii="Palatino Linotype" w:eastAsia="Calibri" w:hAnsi="Palatino Linotype"/>
          <w:szCs w:val="22"/>
          <w:lang w:eastAsia="en-US"/>
        </w:rPr>
        <w:t>; por lo que, en caso de no atender de manera positiva</w:t>
      </w:r>
      <w:r w:rsidR="005C250B">
        <w:rPr>
          <w:vertAlign w:val="superscript"/>
        </w:rPr>
        <w:footnoteReference w:id="2"/>
      </w:r>
      <w:r w:rsidR="005C250B">
        <w:rPr>
          <w:rFonts w:ascii="Palatino Linotype" w:eastAsia="Calibri" w:hAnsi="Palatino Linotype"/>
          <w:szCs w:val="22"/>
          <w:lang w:eastAsia="en-US"/>
        </w:rPr>
        <w:t>, el requerimiento de información deberá manifestarse al respecto.</w:t>
      </w:r>
    </w:p>
    <w:p w14:paraId="2B9B7C77" w14:textId="77777777" w:rsidR="005C250B" w:rsidRDefault="005C250B"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xml:space="preserve">, teniendo el deber de presentar ante la Unidad de Transparencia la propuesta de clasificación de la información, para </w:t>
      </w:r>
      <w:r>
        <w:rPr>
          <w:rFonts w:ascii="Palatino Linotype" w:hAnsi="Palatino Linotype" w:cs="Arial"/>
        </w:rPr>
        <w:lastRenderedPageBreak/>
        <w:t>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987E3C7" w14:textId="77777777" w:rsidR="005E32F3" w:rsidRDefault="005E32F3"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27A92061" w14:textId="3D3A089C"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BF375A9" w14:textId="77777777" w:rsidR="00242A60" w:rsidRDefault="00242A60" w:rsidP="005C250B">
      <w:pPr>
        <w:spacing w:line="360" w:lineRule="auto"/>
        <w:jc w:val="both"/>
        <w:rPr>
          <w:rFonts w:ascii="Palatino Linotype" w:hAnsi="Palatino Linotype" w:cs="Arial"/>
        </w:rPr>
      </w:pPr>
    </w:p>
    <w:p w14:paraId="6310DF9A" w14:textId="63DFBDD1"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xml:space="preserve">, se conservará y custodiará la </w:t>
      </w:r>
      <w:r>
        <w:rPr>
          <w:rFonts w:ascii="Palatino Linotype" w:hAnsi="Palatino Linotype"/>
        </w:rPr>
        <w:lastRenderedPageBreak/>
        <w:t>información de manera especial, y una vez transcurrido el plazo de reserva, el documento podrá divulgarse.</w:t>
      </w:r>
    </w:p>
    <w:p w14:paraId="0545A5BA" w14:textId="77777777" w:rsidR="00242A60" w:rsidRDefault="00242A60"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60EB089E" w14:textId="7E2DFEBD" w:rsidR="005C250B" w:rsidRDefault="005C250B" w:rsidP="00176899">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D67FB0">
        <w:rPr>
          <w:rFonts w:ascii="Palatino Linotype" w:eastAsia="Calibri" w:hAnsi="Palatino Linotype"/>
          <w:i/>
          <w:sz w:val="22"/>
          <w:szCs w:val="22"/>
        </w:rPr>
        <w:t>Sic</w:t>
      </w:r>
      <w:r>
        <w:rPr>
          <w:rFonts w:ascii="Palatino Linotype" w:eastAsia="Calibri" w:hAnsi="Palatino Linotype"/>
          <w:i/>
          <w:sz w:val="22"/>
          <w:szCs w:val="22"/>
        </w:rPr>
        <w:t>)</w:t>
      </w:r>
    </w:p>
    <w:p w14:paraId="1C72F7DA" w14:textId="77777777" w:rsidR="00176899" w:rsidRDefault="00176899" w:rsidP="005C250B">
      <w:pPr>
        <w:spacing w:line="360" w:lineRule="auto"/>
        <w:jc w:val="both"/>
        <w:rPr>
          <w:rFonts w:ascii="Palatino Linotype" w:hAnsi="Palatino Linotype"/>
          <w:bCs/>
        </w:rPr>
      </w:pPr>
    </w:p>
    <w:p w14:paraId="76690ECD" w14:textId="1981DD29" w:rsidR="005E32F3" w:rsidRDefault="005C250B" w:rsidP="005C250B">
      <w:pPr>
        <w:spacing w:line="360" w:lineRule="auto"/>
        <w:jc w:val="both"/>
        <w:rPr>
          <w:rFonts w:ascii="Palatino Linotype" w:hAnsi="Palatino Linotype"/>
          <w:bCs/>
        </w:rPr>
      </w:pPr>
      <w:r>
        <w:rPr>
          <w:rFonts w:ascii="Palatino Linotype" w:hAnsi="Palatino Linotype"/>
          <w:bCs/>
        </w:rPr>
        <w:lastRenderedPageBreak/>
        <w:t xml:space="preserve">Lo que antecede, respecto de la reserva de la </w:t>
      </w:r>
      <w:r w:rsidRPr="00D67FB0">
        <w:rPr>
          <w:rFonts w:ascii="Palatino Linotype" w:hAnsi="Palatino Linotype"/>
          <w:bCs/>
        </w:rPr>
        <w:t>información</w:t>
      </w:r>
      <w:r>
        <w:rPr>
          <w:rFonts w:ascii="Palatino Linotype" w:hAnsi="Palatino Linotype"/>
          <w:bCs/>
        </w:rPr>
        <w:t xml:space="preserve">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25F5AADD" w14:textId="77777777" w:rsidR="00242A60" w:rsidRDefault="00242A60" w:rsidP="005C250B">
      <w:pPr>
        <w:spacing w:line="360" w:lineRule="auto"/>
        <w:jc w:val="both"/>
        <w:rPr>
          <w:rFonts w:ascii="Palatino Linotype" w:hAnsi="Palatino Linotype"/>
          <w:bCs/>
        </w:rPr>
      </w:pPr>
    </w:p>
    <w:p w14:paraId="6A939FE0" w14:textId="35CF7D7D" w:rsidR="005C250B" w:rsidRDefault="005C250B" w:rsidP="005C250B">
      <w:pPr>
        <w:spacing w:line="360" w:lineRule="auto"/>
        <w:jc w:val="both"/>
        <w:rPr>
          <w:rFonts w:ascii="Palatino Linotype" w:hAnsi="Palatino Linotype"/>
        </w:rPr>
      </w:pPr>
      <w:r>
        <w:rPr>
          <w:rFonts w:ascii="Palatino Linotype" w:hAnsi="Palatino Linotype"/>
        </w:rPr>
        <w:t>En tal virtud,</w:t>
      </w:r>
      <w:r w:rsidR="00BF5819">
        <w:rPr>
          <w:rFonts w:ascii="Palatino Linotype" w:hAnsi="Palatino Linotype"/>
        </w:rPr>
        <w:t xml:space="preserve"> de conformidad con el</w:t>
      </w:r>
      <w:r>
        <w:rPr>
          <w:rFonts w:ascii="Palatino Linotype" w:hAnsi="Palatino Linotype"/>
        </w:rPr>
        <w:t xml:space="preserve">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96A68C3" w14:textId="77777777" w:rsidR="005C250B" w:rsidRDefault="005C250B" w:rsidP="005C250B">
      <w:pPr>
        <w:spacing w:line="360" w:lineRule="auto"/>
        <w:ind w:left="1276"/>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Default="005C250B"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176899">
      <w:pPr>
        <w:spacing w:line="360" w:lineRule="auto"/>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w:t>
      </w:r>
      <w:r>
        <w:rPr>
          <w:rFonts w:ascii="Palatino Linotype" w:hAnsi="Palatino Linotype" w:cs="Arial"/>
        </w:rPr>
        <w:lastRenderedPageBreak/>
        <w:t>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lastRenderedPageBreak/>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2B18BFE0" w14:textId="4B67438E" w:rsidR="005C250B" w:rsidRPr="00176899" w:rsidRDefault="005C250B" w:rsidP="00176899">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32B3399" w14:textId="77777777" w:rsidR="00176899" w:rsidRDefault="00176899" w:rsidP="005C250B">
      <w:pPr>
        <w:spacing w:line="360" w:lineRule="auto"/>
        <w:jc w:val="both"/>
        <w:rPr>
          <w:rFonts w:ascii="Palatino Linotype" w:hAnsi="Palatino Linotype" w:cs="Arial"/>
        </w:rPr>
      </w:pPr>
    </w:p>
    <w:p w14:paraId="76D8589B" w14:textId="1920342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D67FB0">
        <w:rPr>
          <w:rFonts w:ascii="Palatino Linotype" w:hAnsi="Palatino Linotype" w:cs="Arial"/>
          <w:b/>
        </w:rPr>
        <w:t>LA</w:t>
      </w:r>
      <w:r>
        <w:rPr>
          <w:rFonts w:ascii="Palatino Linotype" w:hAnsi="Palatino Linotype" w:cs="Arial"/>
          <w:b/>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260E2664" w14:textId="77777777" w:rsidR="00A85848" w:rsidRPr="00A1377C" w:rsidRDefault="00A85848" w:rsidP="005C250B">
      <w:pPr>
        <w:spacing w:line="360" w:lineRule="auto"/>
        <w:jc w:val="both"/>
        <w:rPr>
          <w:rFonts w:ascii="Palatino Linotype" w:hAnsi="Palatino Linotype" w:cs="Arial"/>
        </w:rPr>
      </w:pPr>
    </w:p>
    <w:p w14:paraId="04C6CADD" w14:textId="539789A8" w:rsidR="005C250B" w:rsidRPr="00176899"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2C6FC564"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D67FB0">
        <w:rPr>
          <w:rFonts w:ascii="Palatino Linotype" w:eastAsia="Calibri" w:hAnsi="Palatino Linotype"/>
          <w:b/>
          <w:szCs w:val="22"/>
          <w:lang w:eastAsia="en-US"/>
        </w:rPr>
        <w:t>LA</w:t>
      </w:r>
      <w:r w:rsidRPr="00984657">
        <w:rPr>
          <w:rFonts w:ascii="Palatino Linotype" w:eastAsia="Calibri" w:hAnsi="Palatino Linotype"/>
          <w:b/>
          <w:szCs w:val="22"/>
          <w:lang w:eastAsia="en-U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57419609"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BF5819">
        <w:rPr>
          <w:rFonts w:ascii="Palatino Linotype" w:hAnsi="Palatino Linotype"/>
          <w:b/>
        </w:rPr>
        <w:t>06672</w:t>
      </w:r>
      <w:r w:rsidR="00FB6AFA" w:rsidRPr="00FB6AFA">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w:t>
      </w:r>
      <w:r w:rsidR="008B239D" w:rsidRPr="00984657">
        <w:rPr>
          <w:rFonts w:ascii="Palatino Linotype" w:hAnsi="Palatino Linotype"/>
          <w:lang w:eastAsia="es-MX"/>
        </w:rPr>
        <w:lastRenderedPageBreak/>
        <w:t xml:space="preserve">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229ECC71" w14:textId="77777777" w:rsidR="00176899" w:rsidRPr="00984657" w:rsidRDefault="00176899"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al </w:t>
      </w:r>
      <w:r w:rsidR="005C250B">
        <w:rPr>
          <w:rFonts w:ascii="Palatino Linotype" w:hAnsi="Palatino Linotype"/>
          <w:b/>
          <w:color w:val="000000" w:themeColor="text1"/>
          <w:szCs w:val="17"/>
          <w:lang w:eastAsia="es-ES_tradnl"/>
        </w:rPr>
        <w:t>RECURRENTE</w:t>
      </w:r>
      <w:r w:rsidR="005C250B">
        <w:rPr>
          <w:rFonts w:ascii="Palatino Linotype" w:hAnsi="Palatino Linotype"/>
          <w:color w:val="000000" w:themeColor="text1"/>
          <w:szCs w:val="17"/>
          <w:lang w:eastAsia="es-ES_tradnl"/>
        </w:rPr>
        <w:t xml:space="preserve"> 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4E68C9DF" w14:textId="77777777" w:rsidR="00FB6AFA"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7446BD12"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00D67FB0">
        <w:rPr>
          <w:rFonts w:ascii="Palatino Linotype" w:hAnsi="Palatino Linotype"/>
        </w:rPr>
        <w:t xml:space="preserve">de </w:t>
      </w:r>
      <w:r w:rsidR="00D67FB0">
        <w:rPr>
          <w:rFonts w:ascii="Palatino Linotype" w:hAnsi="Palatino Linotype"/>
          <w:b/>
        </w:rPr>
        <w:t>LA</w:t>
      </w:r>
      <w:r w:rsidRPr="00984657">
        <w:rPr>
          <w:rFonts w:ascii="Palatino Linotype" w:hAnsi="Palatino Linotype"/>
          <w:b/>
        </w:rPr>
        <w:t xml:space="preserve"> RECURRENTE</w:t>
      </w:r>
      <w:r w:rsidRPr="00984657">
        <w:rPr>
          <w:rFonts w:ascii="Palatino Linotype" w:hAnsi="Palatino Linotype"/>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w:t>
      </w:r>
      <w:r w:rsidRPr="00984657">
        <w:rPr>
          <w:rFonts w:ascii="Palatino Linotype" w:hAnsi="Palatino Linotype"/>
          <w:szCs w:val="17"/>
          <w:lang w:eastAsia="es-ES_tradnl"/>
        </w:rPr>
        <w:lastRenderedPageBreak/>
        <w:t>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591D4FEA"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00D67FB0">
        <w:rPr>
          <w:rFonts w:ascii="Palatino Linotype" w:hAnsi="Palatino Linotype"/>
          <w:szCs w:val="17"/>
          <w:lang w:eastAsia="es-ES_tradnl"/>
        </w:rPr>
        <w:t xml:space="preserve">de </w:t>
      </w:r>
      <w:r w:rsidR="00D67FB0">
        <w:rPr>
          <w:rFonts w:ascii="Palatino Linotype" w:hAnsi="Palatino Linotype"/>
          <w:b/>
          <w:szCs w:val="17"/>
          <w:lang w:eastAsia="es-ES_tradnl"/>
        </w:rPr>
        <w:t>LA</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RECURRENTE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DC6B9E7" w14:textId="77777777" w:rsidR="0022582E" w:rsidRPr="00A1377C"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50095AB" w14:textId="6A965779" w:rsidR="00E60BC9" w:rsidRPr="00A1377C" w:rsidRDefault="003F6ADE" w:rsidP="0066637D">
      <w:pPr>
        <w:widowControl w:val="0"/>
        <w:autoSpaceDE w:val="0"/>
        <w:autoSpaceDN w:val="0"/>
        <w:adjustRightInd w:val="0"/>
        <w:spacing w:line="360" w:lineRule="auto"/>
        <w:jc w:val="both"/>
        <w:rPr>
          <w:rFonts w:ascii="Palatino Linotype" w:hAnsi="Palatino Linotype" w:cs="Arial"/>
          <w:color w:val="000000" w:themeColor="text1"/>
          <w:sz w:val="6"/>
        </w:rPr>
      </w:pPr>
      <w:r>
        <w:rPr>
          <w:rFonts w:ascii="Palatino Linotype" w:hAnsi="Palatino Linotype" w:cs="Arial"/>
          <w:color w:val="000000" w:themeColor="text1"/>
        </w:rPr>
        <w:t xml:space="preserve">ASÍ LO RESUELVE, POR </w:t>
      </w:r>
      <w:r w:rsidRPr="00DC4B41">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Pr>
          <w:rFonts w:ascii="Palatino Linotype" w:hAnsi="Palatino Linotype" w:cs="Arial"/>
          <w:color w:val="000000" w:themeColor="text1"/>
        </w:rPr>
        <w:t xml:space="preserve">Y GUADALUPE RAMÍREZ PEÑA; EN LA VIGÉSIMA </w:t>
      </w:r>
      <w:r w:rsidRPr="00522485">
        <w:rPr>
          <w:rFonts w:ascii="Palatino Linotype" w:hAnsi="Palatino Linotype" w:cs="Arial"/>
          <w:color w:val="000000" w:themeColor="text1"/>
        </w:rPr>
        <w:t xml:space="preserve">SESIÓN ORDINARIA CELEBRADA </w:t>
      </w:r>
      <w:r>
        <w:rPr>
          <w:rFonts w:ascii="Palatino Linotype" w:hAnsi="Palatino Linotype" w:cs="Arial"/>
          <w:color w:val="000000" w:themeColor="text1"/>
        </w:rPr>
        <w:t>EL UNO DE JUNIO</w:t>
      </w:r>
      <w:r w:rsidRPr="00522485">
        <w:rPr>
          <w:rFonts w:ascii="Palatino Linotype" w:hAnsi="Palatino Linotype" w:cs="Arial"/>
          <w:color w:val="000000" w:themeColor="text1"/>
        </w:rPr>
        <w:t xml:space="preserve"> DE DOS MIL VEINTIDÓS</w:t>
      </w:r>
      <w:r w:rsidRPr="00984657">
        <w:rPr>
          <w:rFonts w:ascii="Palatino Linotype" w:hAnsi="Palatino Linotype" w:cs="Arial"/>
          <w:color w:val="000000" w:themeColor="text1"/>
        </w:rPr>
        <w:t>, ANTE EL SECRETARIO TÉCNICO DEL PLENO, ALEXIS TAPIA RAMÍREZ</w:t>
      </w:r>
    </w:p>
    <w:p w14:paraId="6ADABCE0" w14:textId="5633DEFE"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A1377C">
        <w:rPr>
          <w:rFonts w:ascii="Palatino Linotype" w:eastAsiaTheme="minorEastAsia" w:hAnsi="Palatino Linotype"/>
          <w:sz w:val="16"/>
          <w:lang w:val="es-ES_tradnl"/>
        </w:rPr>
        <w:t>SCMM</w:t>
      </w:r>
      <w:r w:rsidR="00993225" w:rsidRPr="00A1377C">
        <w:rPr>
          <w:rFonts w:ascii="Palatino Linotype" w:eastAsiaTheme="minorEastAsia" w:hAnsi="Palatino Linotype"/>
          <w:sz w:val="16"/>
          <w:lang w:val="es-ES_tradnl"/>
        </w:rPr>
        <w:t>/BLA/DEMF/</w:t>
      </w:r>
      <w:r w:rsidR="00EC7078">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4AA49" w14:textId="77777777" w:rsidR="00482500" w:rsidRDefault="00482500" w:rsidP="00C80F8C">
      <w:r>
        <w:separator/>
      </w:r>
    </w:p>
  </w:endnote>
  <w:endnote w:type="continuationSeparator" w:id="0">
    <w:p w14:paraId="6F80CC28" w14:textId="77777777" w:rsidR="00482500" w:rsidRDefault="0048250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67FB0">
      <w:rPr>
        <w:rFonts w:ascii="Palatino Linotype" w:hAnsi="Palatino Linotype" w:cs="Arial"/>
        <w:bCs/>
        <w:noProof/>
        <w:sz w:val="22"/>
        <w:szCs w:val="22"/>
      </w:rPr>
      <w:t>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67FB0">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67FB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67FB0">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5753C" w14:textId="77777777" w:rsidR="00482500" w:rsidRDefault="00482500" w:rsidP="00C80F8C">
      <w:r>
        <w:separator/>
      </w:r>
    </w:p>
  </w:footnote>
  <w:footnote w:type="continuationSeparator" w:id="0">
    <w:p w14:paraId="54634117" w14:textId="77777777" w:rsidR="00482500" w:rsidRDefault="00482500"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4825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48250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C871E5C" w:rsidR="00F74502" w:rsidRPr="00664658" w:rsidRDefault="00BF54C2" w:rsidP="005C250B">
          <w:pPr>
            <w:jc w:val="both"/>
            <w:rPr>
              <w:rFonts w:ascii="Palatino Linotype" w:hAnsi="Palatino Linotype"/>
              <w:b/>
              <w:sz w:val="22"/>
              <w:szCs w:val="22"/>
              <w:lang w:val="es-ES_tradnl"/>
            </w:rPr>
          </w:pPr>
          <w:r>
            <w:rPr>
              <w:rFonts w:ascii="Palatino Linotype" w:hAnsi="Palatino Linotype"/>
              <w:b/>
              <w:lang w:val="es-ES_tradnl"/>
            </w:rPr>
            <w:t>06672</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1661BCF" w:rsidR="00F74502" w:rsidRPr="00BF54C2" w:rsidRDefault="00242A60" w:rsidP="00BF54C2">
          <w:pPr>
            <w:jc w:val="both"/>
          </w:pPr>
          <w:r w:rsidRPr="00242A60">
            <w:rPr>
              <w:rFonts w:ascii="Palatino Linotype" w:hAnsi="Palatino Linotype"/>
              <w:b/>
              <w:sz w:val="22"/>
              <w:szCs w:val="22"/>
              <w:lang w:val="es-ES_tradnl"/>
            </w:rPr>
            <w:t>Ayuntamiento de Ixtapan de la Sal</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48250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F98BE05" w:rsidR="00F74502" w:rsidRPr="008F2CCC" w:rsidRDefault="00BF54C2" w:rsidP="003305CB">
          <w:pPr>
            <w:jc w:val="both"/>
            <w:rPr>
              <w:rFonts w:ascii="Palatino Linotype" w:hAnsi="Palatino Linotype"/>
              <w:b/>
              <w:sz w:val="22"/>
              <w:szCs w:val="22"/>
              <w:lang w:val="es-ES_tradnl"/>
            </w:rPr>
          </w:pPr>
          <w:r>
            <w:rPr>
              <w:rFonts w:ascii="Palatino Linotype" w:hAnsi="Palatino Linotype"/>
              <w:b/>
              <w:sz w:val="22"/>
              <w:szCs w:val="22"/>
              <w:lang w:val="es-ES_tradnl"/>
            </w:rPr>
            <w:t>06672</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F27CFF6" w:rsidR="00F74502" w:rsidRPr="003305CB" w:rsidRDefault="006233DD" w:rsidP="00495809">
          <w:pPr>
            <w:jc w:val="both"/>
            <w:rPr>
              <w:rFonts w:ascii="Palatino Linotype" w:hAnsi="Palatino Linotype"/>
              <w:b/>
              <w:sz w:val="22"/>
              <w:szCs w:val="22"/>
              <w:lang w:val="es-419"/>
            </w:rPr>
          </w:pPr>
          <w:r>
            <w:rPr>
              <w:rFonts w:ascii="Palatino Linotype" w:hAnsi="Palatino Linotype"/>
              <w:b/>
              <w:sz w:val="22"/>
              <w:szCs w:val="22"/>
              <w:lang w:val="es-419"/>
            </w:rPr>
            <w:t>XXXXXXX XXXXXX 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D0E39EC" w:rsidR="00F74502" w:rsidRPr="00F67B0E" w:rsidRDefault="00043A1E" w:rsidP="00F67B0E">
          <w:pPr>
            <w:jc w:val="both"/>
            <w:rPr>
              <w:lang w:val="es-419"/>
            </w:rPr>
          </w:pPr>
          <w:r w:rsidRPr="00043A1E">
            <w:rPr>
              <w:rFonts w:ascii="Palatino Linotype" w:hAnsi="Palatino Linotype"/>
              <w:b/>
              <w:sz w:val="22"/>
              <w:szCs w:val="22"/>
              <w:lang w:val="es-ES_tradnl"/>
            </w:rPr>
            <w:t>Ayuntamiento de Ixtapan de la Sal</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2C2"/>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555"/>
    <w:rsid w:val="00036B1A"/>
    <w:rsid w:val="00037DDE"/>
    <w:rsid w:val="00037FDC"/>
    <w:rsid w:val="0004120D"/>
    <w:rsid w:val="000415DD"/>
    <w:rsid w:val="00041959"/>
    <w:rsid w:val="00041A86"/>
    <w:rsid w:val="000423AF"/>
    <w:rsid w:val="00042714"/>
    <w:rsid w:val="00042A23"/>
    <w:rsid w:val="00042F6A"/>
    <w:rsid w:val="0004330A"/>
    <w:rsid w:val="00043943"/>
    <w:rsid w:val="00043A1E"/>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161B"/>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11"/>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592"/>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8D4"/>
    <w:rsid w:val="00146D8A"/>
    <w:rsid w:val="001471C8"/>
    <w:rsid w:val="0014732A"/>
    <w:rsid w:val="00147545"/>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A60"/>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3D9"/>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ADE"/>
    <w:rsid w:val="003F6CF0"/>
    <w:rsid w:val="003F7A46"/>
    <w:rsid w:val="00400224"/>
    <w:rsid w:val="00400433"/>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31B"/>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00"/>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25F"/>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1F5"/>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C92"/>
    <w:rsid w:val="0062208D"/>
    <w:rsid w:val="00622581"/>
    <w:rsid w:val="00622C67"/>
    <w:rsid w:val="00622FD8"/>
    <w:rsid w:val="006233DD"/>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613"/>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761"/>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771"/>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1F4E"/>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0CF"/>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4C2"/>
    <w:rsid w:val="00BF5514"/>
    <w:rsid w:val="00BF564F"/>
    <w:rsid w:val="00BF5819"/>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A2C"/>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67FB0"/>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078"/>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FB6"/>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31D3"/>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39D"/>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06FBB-F004-3446-9AB2-876CCFFF5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33</Pages>
  <Words>8123</Words>
  <Characters>44680</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2022-06-03T04:21:00Z</cp:lastPrinted>
  <dcterms:created xsi:type="dcterms:W3CDTF">2022-05-27T01:51:00Z</dcterms:created>
  <dcterms:modified xsi:type="dcterms:W3CDTF">2022-06-27T03:15:00Z</dcterms:modified>
</cp:coreProperties>
</file>