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2355B" w:rsidR="00D8203F" w:rsidP="00FD5865" w:rsidRDefault="00D8203F" w14:paraId="396EC2E0" w14:textId="2F73537C">
      <w:pPr>
        <w:spacing w:after="0"/>
        <w:rPr>
          <w:rFonts w:eastAsia="Times New Roman" w:cs="Tahoma"/>
          <w:bCs/>
          <w:color w:val="auto"/>
          <w:lang w:eastAsia="es-ES"/>
        </w:rPr>
      </w:pPr>
      <w:r w:rsidRPr="00A2355B">
        <w:rPr>
          <w:rFonts w:cs="Tahoma"/>
          <w:bCs/>
        </w:rPr>
        <w:t xml:space="preserve">Resolución del Pleno del Instituto de Transparencia, Acceso a la Información Pública </w:t>
      </w:r>
      <w:r w:rsidRPr="00A2355B" w:rsidR="00A21F24">
        <w:rPr>
          <w:rFonts w:cs="Tahoma"/>
          <w:bCs/>
        </w:rPr>
        <w:t xml:space="preserve">y </w:t>
      </w:r>
      <w:r w:rsidR="00A21F24">
        <w:rPr>
          <w:rFonts w:cs="Tahoma"/>
          <w:bCs/>
        </w:rPr>
        <w:t>Protección</w:t>
      </w:r>
      <w:r w:rsidRPr="00A2355B">
        <w:rPr>
          <w:rFonts w:eastAsia="Times New Roman" w:cs="Tahoma"/>
          <w:bCs/>
          <w:color w:val="auto"/>
          <w:lang w:eastAsia="es-ES"/>
        </w:rPr>
        <w:t xml:space="preserve"> de Datos Personales del Estado de México y Municipios, con domicilio en Metepec, Estado de México, de fecha </w:t>
      </w:r>
      <w:r w:rsidR="00A41531">
        <w:rPr>
          <w:rFonts w:eastAsia="Times New Roman" w:cs="Tahoma"/>
          <w:bCs/>
          <w:color w:val="auto"/>
          <w:lang w:eastAsia="es-ES"/>
        </w:rPr>
        <w:t>siete de abril</w:t>
      </w:r>
      <w:r w:rsidR="00EC3F60">
        <w:rPr>
          <w:rFonts w:eastAsia="Times New Roman" w:cs="Tahoma"/>
          <w:bCs/>
          <w:color w:val="auto"/>
          <w:lang w:eastAsia="es-ES"/>
        </w:rPr>
        <w:t xml:space="preserve"> de dos mil veintidós</w:t>
      </w:r>
      <w:r w:rsidRPr="00A2355B">
        <w:rPr>
          <w:rFonts w:eastAsia="Times New Roman" w:cs="Tahoma"/>
          <w:bCs/>
          <w:color w:val="auto"/>
          <w:lang w:eastAsia="es-ES"/>
        </w:rPr>
        <w:t xml:space="preserve">. </w:t>
      </w:r>
    </w:p>
    <w:p w:rsidRPr="00A2355B" w:rsidR="00D8203F" w:rsidP="00FD5865" w:rsidRDefault="00D8203F" w14:paraId="6936EE21" w14:textId="77777777">
      <w:pPr>
        <w:spacing w:after="0"/>
      </w:pPr>
    </w:p>
    <w:p w:rsidRPr="00A2355B" w:rsidR="00D8203F" w:rsidP="00FD5865" w:rsidRDefault="00D8203F" w14:paraId="7B5A5142" w14:textId="50623F3B">
      <w:pPr>
        <w:spacing w:after="0"/>
      </w:pPr>
      <w:r w:rsidRPr="6BBA071F" w:rsidR="6BBA071F">
        <w:rPr>
          <w:b w:val="1"/>
          <w:bCs w:val="1"/>
        </w:rPr>
        <w:t xml:space="preserve">VISTO </w:t>
      </w:r>
      <w:r w:rsidR="6BBA071F">
        <w:rPr/>
        <w:t xml:space="preserve">el expediente conformado con motivo del Recurso de Revisión </w:t>
      </w:r>
      <w:r w:rsidRPr="6BBA071F" w:rsidR="6BBA071F">
        <w:rPr>
          <w:b w:val="1"/>
          <w:bCs w:val="1"/>
        </w:rPr>
        <w:t>000441/INFOEM/IP/RR/2022</w:t>
      </w:r>
      <w:r w:rsidR="6BBA071F">
        <w:rPr/>
        <w:t xml:space="preserve">, interpuesto por </w:t>
      </w:r>
      <w:r w:rsidRPr="6BBA071F" w:rsidR="6BBA071F">
        <w:rPr>
          <w:color w:val="000000" w:themeColor="text1" w:themeTint="FF" w:themeShade="FF"/>
          <w:highlight w:val="black"/>
        </w:rPr>
        <w:t>XXXXXXXXXX</w:t>
      </w:r>
      <w:r w:rsidR="6BBA071F">
        <w:rPr/>
        <w:t xml:space="preserve">, </w:t>
      </w:r>
      <w:r w:rsidRPr="6BBA071F" w:rsidR="6BBA071F">
        <w:rPr>
          <w:rFonts w:cs="Tahoma"/>
          <w:color w:val="0D0D0D" w:themeColor="text1" w:themeTint="F2" w:themeShade="FF"/>
        </w:rPr>
        <w:t>en lo sucesivo Recurrente o Particular</w:t>
      </w:r>
      <w:r w:rsidR="6BBA071F">
        <w:rPr/>
        <w:t xml:space="preserve">, en contra de la respuesta del Sujeto Obligado, Organismo Público Descentralizado para la Prestación de los Servicios de Agua Potable Alcantarillado y Saneamiento del Municipio de Naucalpan de Juárez, a la solicitud de acceso a la información pública </w:t>
      </w:r>
      <w:r w:rsidRPr="6BBA071F" w:rsidR="6BBA071F">
        <w:rPr>
          <w:b w:val="1"/>
          <w:bCs w:val="1"/>
        </w:rPr>
        <w:t>00012/OASNAUCAL/IP/2022</w:t>
      </w:r>
      <w:r w:rsidR="6BBA071F">
        <w:rPr/>
        <w:t>, se emite la presente Resolución, con base en los Antecedentes y Considerandos que a continuación se exponen:</w:t>
      </w:r>
    </w:p>
    <w:p w:rsidRPr="00A2355B" w:rsidR="00D8203F" w:rsidP="00FD5865" w:rsidRDefault="00D8203F" w14:paraId="52EC590C" w14:textId="77777777">
      <w:pPr>
        <w:spacing w:after="0"/>
        <w:rPr>
          <w:bCs/>
        </w:rPr>
      </w:pPr>
    </w:p>
    <w:p w:rsidRPr="00A2355B" w:rsidR="00D8203F" w:rsidP="00FD5865" w:rsidRDefault="00D8203F" w14:paraId="5020F5CE" w14:textId="77777777">
      <w:pPr>
        <w:spacing w:after="0"/>
        <w:jc w:val="center"/>
        <w:rPr>
          <w:b/>
        </w:rPr>
      </w:pPr>
      <w:r w:rsidRPr="00A2355B">
        <w:rPr>
          <w:b/>
        </w:rPr>
        <w:t>A N T E C E D E N TE S:</w:t>
      </w:r>
    </w:p>
    <w:p w:rsidRPr="00A2355B" w:rsidR="00D8203F" w:rsidP="00FD5865" w:rsidRDefault="00D8203F" w14:paraId="1B82AE83" w14:textId="77777777">
      <w:pPr>
        <w:tabs>
          <w:tab w:val="left" w:pos="567"/>
        </w:tabs>
        <w:spacing w:after="0"/>
        <w:rPr>
          <w:rFonts w:eastAsia="Times New Roman" w:cs="Tahoma"/>
          <w:b/>
          <w:color w:val="auto"/>
          <w:lang w:eastAsia="es-ES"/>
        </w:rPr>
      </w:pPr>
    </w:p>
    <w:p w:rsidRPr="00A2355B" w:rsidR="00D8203F" w:rsidP="00FD5865" w:rsidRDefault="00D8203F" w14:paraId="7F6DA6C9" w14:textId="103367F5">
      <w:pPr>
        <w:tabs>
          <w:tab w:val="left" w:pos="567"/>
        </w:tabs>
        <w:spacing w:after="0"/>
        <w:rPr>
          <w:rFonts w:eastAsia="Times New Roman" w:cs="Tahoma"/>
          <w:b/>
          <w:color w:val="auto"/>
          <w:lang w:eastAsia="es-ES"/>
        </w:rPr>
      </w:pPr>
      <w:r w:rsidRPr="00A2355B">
        <w:rPr>
          <w:rFonts w:eastAsia="Times New Roman" w:cs="Tahoma"/>
          <w:b/>
          <w:color w:val="auto"/>
          <w:lang w:eastAsia="es-ES"/>
        </w:rPr>
        <w:t>I. Presentación de la</w:t>
      </w:r>
      <w:r w:rsidR="00FB2EA1">
        <w:rPr>
          <w:rFonts w:eastAsia="Times New Roman" w:cs="Tahoma"/>
          <w:b/>
          <w:color w:val="auto"/>
          <w:lang w:eastAsia="es-ES"/>
        </w:rPr>
        <w:t>s</w:t>
      </w:r>
      <w:r w:rsidRPr="00A2355B">
        <w:rPr>
          <w:rFonts w:eastAsia="Times New Roman" w:cs="Tahoma"/>
          <w:b/>
          <w:color w:val="auto"/>
          <w:lang w:eastAsia="es-ES"/>
        </w:rPr>
        <w:t xml:space="preserve"> solicitud</w:t>
      </w:r>
      <w:r w:rsidR="00FB2EA1">
        <w:rPr>
          <w:rFonts w:eastAsia="Times New Roman" w:cs="Tahoma"/>
          <w:b/>
          <w:color w:val="auto"/>
          <w:lang w:eastAsia="es-ES"/>
        </w:rPr>
        <w:t>es</w:t>
      </w:r>
      <w:r w:rsidRPr="00A2355B">
        <w:rPr>
          <w:rFonts w:eastAsia="Times New Roman" w:cs="Tahoma"/>
          <w:b/>
          <w:color w:val="auto"/>
          <w:lang w:eastAsia="es-ES"/>
        </w:rPr>
        <w:t xml:space="preserve"> de información:</w:t>
      </w:r>
    </w:p>
    <w:p w:rsidRPr="00A2355B" w:rsidR="00D8203F" w:rsidP="00FD5865" w:rsidRDefault="00D8203F" w14:paraId="2CA46D00" w14:textId="01152D4E">
      <w:pPr>
        <w:tabs>
          <w:tab w:val="left" w:pos="567"/>
        </w:tabs>
        <w:spacing w:after="0"/>
        <w:rPr>
          <w:rFonts w:eastAsia="Times New Roman" w:cs="Tahoma"/>
          <w:color w:val="auto"/>
          <w:lang w:eastAsia="es-ES"/>
        </w:rPr>
      </w:pPr>
    </w:p>
    <w:p w:rsidRPr="00A2355B" w:rsidR="00C138ED" w:rsidP="00FD5865" w:rsidRDefault="00C138ED" w14:paraId="375762E1" w14:textId="5C773B2C">
      <w:pPr>
        <w:tabs>
          <w:tab w:val="left" w:pos="567"/>
        </w:tabs>
        <w:spacing w:after="0"/>
        <w:contextualSpacing/>
        <w:rPr>
          <w:rFonts w:eastAsia="Times New Roman" w:cs="Tahoma"/>
          <w:color w:val="auto"/>
          <w:lang w:eastAsia="es-ES"/>
        </w:rPr>
      </w:pPr>
      <w:r w:rsidRPr="00A2355B">
        <w:rPr>
          <w:rFonts w:eastAsia="Times New Roman" w:cs="Tahoma"/>
          <w:color w:val="auto"/>
          <w:lang w:eastAsia="es-ES"/>
        </w:rPr>
        <w:t xml:space="preserve">Con fecha </w:t>
      </w:r>
      <w:r w:rsidR="00FB2EA1">
        <w:rPr>
          <w:rFonts w:eastAsia="Times New Roman" w:cs="Tahoma"/>
          <w:color w:val="auto"/>
          <w:lang w:eastAsia="es-ES"/>
        </w:rPr>
        <w:t>diez de enero de dos mil veintidós</w:t>
      </w:r>
      <w:r w:rsidRPr="00A2355B">
        <w:rPr>
          <w:rFonts w:eastAsia="Times New Roman" w:cs="Tahoma"/>
          <w:color w:val="auto"/>
          <w:lang w:eastAsia="es-ES"/>
        </w:rPr>
        <w:t xml:space="preserve">, </w:t>
      </w:r>
      <w:r w:rsidR="00FE7E88">
        <w:rPr>
          <w:rFonts w:eastAsia="Times New Roman" w:cs="Tahoma"/>
          <w:color w:val="auto"/>
          <w:lang w:eastAsia="es-ES"/>
        </w:rPr>
        <w:t>el Particular presentó una</w:t>
      </w:r>
      <w:r w:rsidRPr="00A2355B" w:rsidR="002351AB">
        <w:rPr>
          <w:rFonts w:eastAsia="Times New Roman" w:cs="Tahoma"/>
          <w:color w:val="auto"/>
          <w:lang w:eastAsia="es-ES"/>
        </w:rPr>
        <w:t xml:space="preserve"> solicitud de acceso a la información pública</w:t>
      </w:r>
      <w:r w:rsidRPr="00A2355B" w:rsidR="008A5840">
        <w:rPr>
          <w:rFonts w:eastAsia="Times New Roman" w:cs="Tahoma"/>
          <w:color w:val="auto"/>
          <w:lang w:eastAsia="es-ES"/>
        </w:rPr>
        <w:t>,</w:t>
      </w:r>
      <w:r w:rsidRPr="00A2355B" w:rsidR="002351AB">
        <w:rPr>
          <w:rFonts w:eastAsia="Times New Roman" w:cs="Tahoma"/>
          <w:color w:val="auto"/>
          <w:lang w:eastAsia="es-ES"/>
        </w:rPr>
        <w:t xml:space="preserve"> a través del Sistema de Acceso a la Información Mexiquense (SAIMEX), ante el </w:t>
      </w:r>
      <w:r w:rsidRPr="00FE7E88" w:rsidR="00FE7E88">
        <w:t>Organismo Público Descentralizado para la Prestación de los Servicios de Agua Potable Alcantarillado y Saneamiento del Municipio de Naucalpan de Juárez</w:t>
      </w:r>
      <w:r w:rsidRPr="00A2355B">
        <w:rPr>
          <w:rFonts w:eastAsia="Batang" w:cs="Tahoma"/>
          <w:color w:val="auto"/>
          <w:lang w:val="es-ES" w:eastAsia="es-ES"/>
        </w:rPr>
        <w:t>,</w:t>
      </w:r>
      <w:r w:rsidRPr="00A2355B">
        <w:rPr>
          <w:rFonts w:cs="Tahoma"/>
          <w:b/>
          <w:bCs/>
          <w:lang w:val="es-ES"/>
        </w:rPr>
        <w:t xml:space="preserve"> </w:t>
      </w:r>
      <w:r w:rsidRPr="00A2355B" w:rsidR="008A5840">
        <w:rPr>
          <w:rFonts w:cs="Tahoma"/>
          <w:lang w:val="es-ES"/>
        </w:rPr>
        <w:t>en los siguientes términos:</w:t>
      </w:r>
    </w:p>
    <w:p w:rsidRPr="00A2355B" w:rsidR="00D8203F" w:rsidP="00FD5865" w:rsidRDefault="00D8203F" w14:paraId="174525F5" w14:textId="77777777">
      <w:pPr>
        <w:tabs>
          <w:tab w:val="left" w:pos="567"/>
        </w:tabs>
        <w:spacing w:after="0"/>
        <w:rPr>
          <w:rFonts w:eastAsia="Times New Roman" w:cs="Tahoma"/>
          <w:color w:val="auto"/>
          <w:lang w:eastAsia="es-ES"/>
        </w:rPr>
      </w:pPr>
    </w:p>
    <w:p w:rsidRPr="00A2355B" w:rsidR="00D8203F" w:rsidP="00FD5865" w:rsidRDefault="00FE7E88" w14:paraId="52CDF51B" w14:textId="3402008C">
      <w:pPr>
        <w:tabs>
          <w:tab w:val="left" w:pos="4667"/>
        </w:tabs>
        <w:spacing w:after="0"/>
        <w:ind w:left="567" w:right="567"/>
        <w:rPr>
          <w:rFonts w:eastAsia="Times New Roman" w:cs="Tahoma"/>
          <w:b/>
          <w:i/>
          <w:iCs/>
          <w:color w:val="auto"/>
          <w:sz w:val="20"/>
          <w:szCs w:val="20"/>
          <w:lang w:eastAsia="es-ES"/>
        </w:rPr>
      </w:pPr>
      <w:r w:rsidRPr="00A2355B">
        <w:rPr>
          <w:rFonts w:eastAsia="Times New Roman" w:cs="Tahoma"/>
          <w:b/>
          <w:i/>
          <w:iCs/>
          <w:color w:val="auto"/>
          <w:sz w:val="20"/>
          <w:szCs w:val="20"/>
          <w:lang w:eastAsia="es-ES"/>
        </w:rPr>
        <w:t xml:space="preserve"> </w:t>
      </w:r>
      <w:r w:rsidRPr="00A2355B" w:rsidR="00D8203F">
        <w:rPr>
          <w:rFonts w:eastAsia="Times New Roman" w:cs="Tahoma"/>
          <w:b/>
          <w:i/>
          <w:iCs/>
          <w:color w:val="auto"/>
          <w:sz w:val="20"/>
          <w:szCs w:val="20"/>
          <w:lang w:eastAsia="es-ES"/>
        </w:rPr>
        <w:t>“DESCRIPCIÓN CLARA Y PRECISA DE LA INFORMACIÓN SOLICITADA.</w:t>
      </w:r>
    </w:p>
    <w:p w:rsidRPr="00A2355B" w:rsidR="00D8203F" w:rsidP="00FD5865" w:rsidRDefault="00FE7E88" w14:paraId="4240E320" w14:textId="4BDBBE5F">
      <w:pPr>
        <w:widowControl w:val="0"/>
        <w:tabs>
          <w:tab w:val="left" w:pos="4667"/>
        </w:tabs>
        <w:spacing w:after="0"/>
        <w:ind w:left="567" w:right="567"/>
        <w:rPr>
          <w:rFonts w:eastAsia="Times New Roman" w:cs="Tahoma"/>
          <w:bCs/>
          <w:i/>
          <w:iCs/>
          <w:color w:val="auto"/>
          <w:sz w:val="20"/>
          <w:szCs w:val="20"/>
          <w:lang w:eastAsia="es-ES"/>
        </w:rPr>
      </w:pPr>
      <w:r w:rsidRPr="00FE7E88">
        <w:rPr>
          <w:rFonts w:eastAsia="Times New Roman" w:cs="Tahoma"/>
          <w:bCs/>
          <w:i/>
          <w:iCs/>
          <w:color w:val="auto"/>
          <w:sz w:val="20"/>
          <w:szCs w:val="20"/>
          <w:lang w:eastAsia="es-ES"/>
        </w:rPr>
        <w:t xml:space="preserve">nombres de todos los servidores públicos y funcionarios </w:t>
      </w:r>
      <w:proofErr w:type="gramStart"/>
      <w:r w:rsidRPr="00FE7E88">
        <w:rPr>
          <w:rFonts w:eastAsia="Times New Roman" w:cs="Tahoma"/>
          <w:bCs/>
          <w:i/>
          <w:iCs/>
          <w:color w:val="auto"/>
          <w:sz w:val="20"/>
          <w:szCs w:val="20"/>
          <w:lang w:eastAsia="es-ES"/>
        </w:rPr>
        <w:t>entrantes</w:t>
      </w:r>
      <w:proofErr w:type="gramEnd"/>
      <w:r w:rsidRPr="00FE7E88">
        <w:rPr>
          <w:rFonts w:eastAsia="Times New Roman" w:cs="Tahoma"/>
          <w:bCs/>
          <w:i/>
          <w:iCs/>
          <w:color w:val="auto"/>
          <w:sz w:val="20"/>
          <w:szCs w:val="20"/>
          <w:lang w:eastAsia="es-ES"/>
        </w:rPr>
        <w:t xml:space="preserve"> así como los nombres de todos los salientes especificando cargos y sueldos</w:t>
      </w:r>
      <w:r w:rsidRPr="00EC3F60" w:rsidR="00EC3F60">
        <w:rPr>
          <w:rFonts w:eastAsia="Times New Roman" w:cs="Tahoma"/>
          <w:bCs/>
          <w:i/>
          <w:iCs/>
          <w:color w:val="auto"/>
          <w:sz w:val="20"/>
          <w:szCs w:val="20"/>
          <w:lang w:eastAsia="es-ES"/>
        </w:rPr>
        <w:t>.</w:t>
      </w:r>
      <w:r w:rsidRPr="00A2355B" w:rsidR="00D8203F">
        <w:rPr>
          <w:rFonts w:eastAsia="Times New Roman" w:cs="Tahoma"/>
          <w:bCs/>
          <w:i/>
          <w:iCs/>
          <w:color w:val="auto"/>
          <w:sz w:val="20"/>
          <w:szCs w:val="20"/>
          <w:lang w:eastAsia="es-ES"/>
        </w:rPr>
        <w:t xml:space="preserve">” (Sic) </w:t>
      </w:r>
    </w:p>
    <w:p w:rsidRPr="00B377FD" w:rsidR="00A21F24" w:rsidP="00FD5865" w:rsidRDefault="00A21F24" w14:paraId="5AAC572F" w14:textId="77777777">
      <w:pPr>
        <w:tabs>
          <w:tab w:val="left" w:pos="4667"/>
        </w:tabs>
        <w:spacing w:after="0"/>
        <w:ind w:left="567" w:right="567"/>
        <w:rPr>
          <w:rFonts w:eastAsia="Times New Roman" w:cs="Tahoma"/>
          <w:b/>
          <w:bCs/>
          <w:i/>
          <w:iCs/>
          <w:color w:val="auto"/>
          <w:sz w:val="20"/>
          <w:lang w:eastAsia="es-ES"/>
        </w:rPr>
      </w:pPr>
      <w:r w:rsidRPr="003D30B4">
        <w:rPr>
          <w:rFonts w:eastAsia="Times New Roman" w:cs="Tahoma"/>
          <w:b/>
          <w:bCs/>
          <w:i/>
          <w:iCs/>
          <w:color w:val="auto"/>
          <w:sz w:val="20"/>
          <w:lang w:eastAsia="es-ES"/>
        </w:rPr>
        <w:lastRenderedPageBreak/>
        <w:t>“MODALIDAD DE ENTREGA</w:t>
      </w:r>
    </w:p>
    <w:p w:rsidR="00A21F24" w:rsidP="00FD5865" w:rsidRDefault="00A21F24" w14:paraId="2099866F" w14:textId="77777777">
      <w:pPr>
        <w:spacing w:after="0"/>
        <w:ind w:left="567" w:right="567"/>
        <w:rPr>
          <w:rFonts w:eastAsia="Times New Roman" w:cs="Arial"/>
          <w:bCs/>
          <w:i/>
          <w:iCs/>
          <w:color w:val="auto"/>
          <w:sz w:val="20"/>
          <w:lang w:eastAsia="es-ES"/>
        </w:rPr>
      </w:pPr>
      <w:r w:rsidRPr="00B377FD">
        <w:rPr>
          <w:rFonts w:eastAsia="Times New Roman" w:cs="Arial"/>
          <w:bCs/>
          <w:i/>
          <w:iCs/>
          <w:color w:val="auto"/>
          <w:sz w:val="20"/>
          <w:lang w:eastAsia="es-ES"/>
        </w:rPr>
        <w:t>A través del SAIMEX”</w:t>
      </w:r>
    </w:p>
    <w:p w:rsidR="00FB2EA1" w:rsidP="00FD5865" w:rsidRDefault="00FB2EA1" w14:paraId="0B6A3562" w14:textId="77777777">
      <w:pPr>
        <w:tabs>
          <w:tab w:val="left" w:pos="4667"/>
        </w:tabs>
        <w:spacing w:after="0"/>
        <w:ind w:left="567" w:right="567"/>
        <w:rPr>
          <w:rFonts w:eastAsia="Times New Roman" w:cs="Tahoma"/>
          <w:bCs/>
          <w:i/>
          <w:iCs/>
          <w:color w:val="auto"/>
          <w:sz w:val="20"/>
          <w:szCs w:val="20"/>
          <w:lang w:eastAsia="es-ES"/>
        </w:rPr>
      </w:pPr>
    </w:p>
    <w:p w:rsidRPr="00A2355B" w:rsidR="00D8203F" w:rsidP="00FD5865" w:rsidRDefault="00D8203F" w14:paraId="7CE11C14" w14:textId="77777777">
      <w:pPr>
        <w:spacing w:after="0"/>
        <w:rPr>
          <w:b/>
        </w:rPr>
      </w:pPr>
      <w:r w:rsidRPr="00A2355B">
        <w:rPr>
          <w:b/>
        </w:rPr>
        <w:t>II. Respuesta del Sujeto Obligado.</w:t>
      </w:r>
    </w:p>
    <w:p w:rsidRPr="00A2355B" w:rsidR="00D8203F" w:rsidP="00FD5865" w:rsidRDefault="00D8203F" w14:paraId="62FF2732" w14:textId="77777777">
      <w:pPr>
        <w:spacing w:after="0"/>
        <w:rPr>
          <w:rFonts w:eastAsia="Times New Roman" w:cs="Tahoma"/>
          <w:bCs/>
          <w:iCs/>
          <w:lang w:eastAsia="es-ES"/>
        </w:rPr>
      </w:pPr>
    </w:p>
    <w:p w:rsidRPr="00BE435F" w:rsidR="00FE7E88" w:rsidP="00FD5865" w:rsidRDefault="00F97409" w14:paraId="10E7DB88" w14:textId="54071711">
      <w:pPr>
        <w:spacing w:after="0"/>
        <w:rPr>
          <w:rFonts w:eastAsia="Times New Roman" w:cs="Tahoma"/>
          <w:b/>
          <w:bCs/>
          <w:lang w:eastAsia="es-ES"/>
        </w:rPr>
      </w:pPr>
      <w:r w:rsidRPr="00A2355B">
        <w:rPr>
          <w:rFonts w:eastAsia="Times New Roman" w:cs="Tahoma"/>
          <w:bCs/>
          <w:iCs/>
          <w:lang w:eastAsia="es-ES"/>
        </w:rPr>
        <w:t xml:space="preserve">Con fecha </w:t>
      </w:r>
      <w:r w:rsidR="00FE7E88">
        <w:rPr>
          <w:rFonts w:eastAsia="Times New Roman" w:cs="Tahoma"/>
          <w:bCs/>
          <w:iCs/>
          <w:lang w:eastAsia="es-ES"/>
        </w:rPr>
        <w:t xml:space="preserve">treinta y uno </w:t>
      </w:r>
      <w:r w:rsidR="00CF56B9">
        <w:rPr>
          <w:rFonts w:eastAsia="Times New Roman" w:cs="Tahoma"/>
          <w:bCs/>
          <w:iCs/>
          <w:lang w:eastAsia="es-ES"/>
        </w:rPr>
        <w:t>de enero de dos mil veintidós</w:t>
      </w:r>
      <w:r w:rsidR="00777341">
        <w:rPr>
          <w:rFonts w:eastAsia="Times New Roman" w:cs="Tahoma"/>
          <w:bCs/>
          <w:iCs/>
          <w:lang w:eastAsia="es-ES"/>
        </w:rPr>
        <w:t xml:space="preserve">, </w:t>
      </w:r>
      <w:r w:rsidR="00384899">
        <w:rPr>
          <w:rFonts w:eastAsia="Times New Roman" w:cs="Tahoma"/>
          <w:bCs/>
          <w:iCs/>
          <w:lang w:eastAsia="es-ES"/>
        </w:rPr>
        <w:t xml:space="preserve">el </w:t>
      </w:r>
      <w:r w:rsidR="00FE7E88">
        <w:rPr>
          <w:rFonts w:eastAsia="Times New Roman" w:cs="Tahoma"/>
          <w:bCs/>
          <w:iCs/>
          <w:lang w:eastAsia="es-ES"/>
        </w:rPr>
        <w:t>Sujeto Obligado</w:t>
      </w:r>
      <w:r w:rsidR="00384899">
        <w:rPr>
          <w:rFonts w:eastAsia="Times New Roman" w:cs="Tahoma"/>
          <w:bCs/>
          <w:iCs/>
          <w:lang w:eastAsia="es-ES"/>
        </w:rPr>
        <w:t>,</w:t>
      </w:r>
      <w:r w:rsidRPr="00A2355B" w:rsidR="00D8203F">
        <w:rPr>
          <w:rFonts w:eastAsia="Times New Roman" w:cs="Tahoma"/>
          <w:bCs/>
          <w:iCs/>
          <w:lang w:eastAsia="es-ES"/>
        </w:rPr>
        <w:t xml:space="preserve"> a través del Sistema de Acceso a la Información Mexiquense (SAIMEX), notificó la respuesta </w:t>
      </w:r>
      <w:r w:rsidRPr="00A2355B" w:rsidR="008A5840">
        <w:rPr>
          <w:rFonts w:eastAsia="Times New Roman" w:cs="Tahoma"/>
          <w:bCs/>
          <w:iCs/>
          <w:lang w:eastAsia="es-ES"/>
        </w:rPr>
        <w:t>al</w:t>
      </w:r>
      <w:r w:rsidRPr="00A2355B" w:rsidR="00D8203F">
        <w:rPr>
          <w:rFonts w:eastAsia="Times New Roman" w:cs="Tahoma"/>
          <w:bCs/>
          <w:iCs/>
          <w:lang w:eastAsia="es-ES"/>
        </w:rPr>
        <w:t xml:space="preserve"> Soli</w:t>
      </w:r>
      <w:r w:rsidR="00777341">
        <w:rPr>
          <w:rFonts w:eastAsia="Times New Roman" w:cs="Tahoma"/>
          <w:bCs/>
          <w:iCs/>
          <w:lang w:eastAsia="es-ES"/>
        </w:rPr>
        <w:t xml:space="preserve">citante, </w:t>
      </w:r>
      <w:r w:rsidR="00A21F24">
        <w:rPr>
          <w:rFonts w:eastAsia="Times New Roman" w:cs="Tahoma"/>
          <w:bCs/>
          <w:iCs/>
          <w:lang w:eastAsia="es-ES"/>
        </w:rPr>
        <w:t xml:space="preserve">por medio de la digitalización </w:t>
      </w:r>
      <w:r w:rsidR="00FE7E88">
        <w:rPr>
          <w:rFonts w:eastAsia="Times New Roman" w:cs="Tahoma"/>
          <w:bCs/>
          <w:lang w:eastAsia="es-ES"/>
        </w:rPr>
        <w:t xml:space="preserve">de una tabla con los nombres de los servidores públicos entrantes y salientes del organismo de agua, </w:t>
      </w:r>
      <w:r w:rsidR="00A21F24">
        <w:rPr>
          <w:rFonts w:eastAsia="Times New Roman" w:cs="Tahoma"/>
          <w:bCs/>
          <w:lang w:eastAsia="es-ES"/>
        </w:rPr>
        <w:t>con nombre, puesto y cargo.</w:t>
      </w:r>
    </w:p>
    <w:p w:rsidR="00FE7E88" w:rsidP="00FD5865" w:rsidRDefault="00FE7E88" w14:paraId="7274AE7A" w14:textId="77777777">
      <w:pPr>
        <w:spacing w:after="0"/>
        <w:rPr>
          <w:rFonts w:eastAsia="Times New Roman" w:cs="Tahoma"/>
          <w:bCs/>
          <w:lang w:eastAsia="es-ES"/>
        </w:rPr>
      </w:pPr>
    </w:p>
    <w:p w:rsidRPr="00A2355B" w:rsidR="00D8203F" w:rsidP="00FD5865" w:rsidRDefault="00D8203F" w14:paraId="21F292FF" w14:textId="77777777">
      <w:pPr>
        <w:spacing w:after="0"/>
        <w:rPr>
          <w:b/>
          <w:bCs/>
        </w:rPr>
      </w:pPr>
      <w:r w:rsidRPr="00A2355B">
        <w:rPr>
          <w:b/>
          <w:bCs/>
        </w:rPr>
        <w:t xml:space="preserve">III. Interposición del Recurso de Revisión. </w:t>
      </w:r>
    </w:p>
    <w:p w:rsidRPr="00A2355B" w:rsidR="00D8203F" w:rsidP="00FD5865" w:rsidRDefault="00D8203F" w14:paraId="71FE0651" w14:textId="77777777">
      <w:pPr>
        <w:spacing w:after="0"/>
        <w:rPr>
          <w:b/>
          <w:bCs/>
        </w:rPr>
      </w:pPr>
    </w:p>
    <w:p w:rsidR="00005B94" w:rsidP="00FD5865" w:rsidRDefault="004E0763" w14:paraId="50A5C5F1" w14:textId="6251AFD6">
      <w:pPr>
        <w:spacing w:after="0"/>
        <w:rPr>
          <w:rFonts w:cs="Tahoma"/>
          <w:lang w:val="es-ES"/>
        </w:rPr>
      </w:pPr>
      <w:r>
        <w:rPr>
          <w:rFonts w:eastAsia="Times New Roman" w:cs="Tahoma"/>
          <w:color w:val="auto"/>
          <w:lang w:eastAsia="es-ES"/>
        </w:rPr>
        <w:t xml:space="preserve">Con fecha </w:t>
      </w:r>
      <w:r w:rsidR="00BE435F">
        <w:rPr>
          <w:rFonts w:eastAsia="Times New Roman" w:cs="Tahoma"/>
          <w:color w:val="auto"/>
          <w:lang w:eastAsia="es-ES"/>
        </w:rPr>
        <w:t xml:space="preserve">treinta y uno </w:t>
      </w:r>
      <w:r w:rsidR="00005B94">
        <w:rPr>
          <w:rFonts w:eastAsia="Times New Roman" w:cs="Tahoma"/>
          <w:color w:val="auto"/>
          <w:lang w:eastAsia="es-ES"/>
        </w:rPr>
        <w:t>de enero de dos mil veintidós</w:t>
      </w:r>
      <w:r w:rsidRPr="00A2355B" w:rsidR="007B0411">
        <w:rPr>
          <w:rFonts w:eastAsia="Times New Roman" w:cs="Tahoma"/>
          <w:color w:val="auto"/>
          <w:lang w:eastAsia="es-ES"/>
        </w:rPr>
        <w:t xml:space="preserve">, </w:t>
      </w:r>
      <w:r w:rsidRPr="00A2355B" w:rsidR="00BD08C5">
        <w:t xml:space="preserve">se </w:t>
      </w:r>
      <w:r w:rsidRPr="00A2355B" w:rsidR="00CA1B00">
        <w:t>tuvo por recibido</w:t>
      </w:r>
      <w:r w:rsidRPr="00A2355B" w:rsidR="00BD08C5">
        <w:t xml:space="preserve"> en este Instituto, a través del Sistema</w:t>
      </w:r>
      <w:r w:rsidRPr="00A2355B" w:rsidR="00BD08C5">
        <w:rPr>
          <w:lang w:val="es-ES"/>
        </w:rPr>
        <w:t xml:space="preserve"> de Acceso a la Información Mexiquense (SAIMEX)</w:t>
      </w:r>
      <w:r w:rsidR="00BE435F">
        <w:t>, el</w:t>
      </w:r>
      <w:r w:rsidRPr="00A2355B" w:rsidR="00BD08C5">
        <w:t xml:space="preserve"> Recurso de Revisión interpuesto por la parte Recurrente</w:t>
      </w:r>
      <w:r w:rsidRPr="00A2355B" w:rsidR="007B0411">
        <w:rPr>
          <w:rFonts w:eastAsia="Batang" w:cs="Tahoma"/>
          <w:color w:val="auto"/>
          <w:lang w:val="es-ES" w:eastAsia="es-ES"/>
        </w:rPr>
        <w:t>,</w:t>
      </w:r>
      <w:r w:rsidRPr="00A2355B" w:rsidR="00BD08C5">
        <w:rPr>
          <w:rFonts w:eastAsia="Batang" w:cs="Tahoma"/>
          <w:color w:val="auto"/>
          <w:lang w:val="es-ES" w:eastAsia="es-ES"/>
        </w:rPr>
        <w:t xml:space="preserve"> </w:t>
      </w:r>
      <w:r w:rsidRPr="00A2355B" w:rsidR="00BD08C5">
        <w:t>en contra de la respuesta del Sujeto Obligado</w:t>
      </w:r>
      <w:r w:rsidR="00454109">
        <w:t xml:space="preserve">, </w:t>
      </w:r>
      <w:r w:rsidR="00005B94">
        <w:rPr>
          <w:rFonts w:cs="Tahoma"/>
          <w:lang w:val="es-ES"/>
        </w:rPr>
        <w:t xml:space="preserve">al tenor de lo siguiente: </w:t>
      </w:r>
    </w:p>
    <w:p w:rsidR="00A946F3" w:rsidP="00FD5865" w:rsidRDefault="00A946F3" w14:paraId="41BB1061" w14:textId="77777777">
      <w:pPr>
        <w:spacing w:after="0"/>
        <w:rPr>
          <w:rFonts w:cs="Tahoma"/>
          <w:lang w:val="es-ES"/>
        </w:rPr>
      </w:pPr>
    </w:p>
    <w:p w:rsidRPr="00A2355B" w:rsidR="00D8203F" w:rsidP="00FD5865" w:rsidRDefault="00A946F3" w14:paraId="2833A950" w14:textId="1CE2BEB6">
      <w:pPr>
        <w:spacing w:after="0"/>
        <w:ind w:left="567" w:right="567"/>
        <w:rPr>
          <w:bCs/>
          <w:i/>
          <w:sz w:val="20"/>
          <w:szCs w:val="20"/>
        </w:rPr>
      </w:pPr>
      <w:r w:rsidRPr="00A2355B">
        <w:rPr>
          <w:b/>
          <w:bCs/>
          <w:i/>
          <w:sz w:val="20"/>
          <w:szCs w:val="20"/>
        </w:rPr>
        <w:t xml:space="preserve"> </w:t>
      </w:r>
      <w:r w:rsidRPr="00A2355B" w:rsidR="00D8203F">
        <w:rPr>
          <w:b/>
          <w:bCs/>
          <w:i/>
          <w:sz w:val="20"/>
          <w:szCs w:val="20"/>
        </w:rPr>
        <w:t>“ACTO IMPUGNADO</w:t>
      </w:r>
    </w:p>
    <w:p w:rsidRPr="00A2355B" w:rsidR="00D8203F" w:rsidP="00FD5865" w:rsidRDefault="00BE435F" w14:paraId="60F31DEE" w14:textId="47B4E305">
      <w:pPr>
        <w:spacing w:after="0"/>
        <w:ind w:left="567" w:right="567"/>
        <w:rPr>
          <w:i/>
          <w:sz w:val="20"/>
          <w:szCs w:val="20"/>
        </w:rPr>
      </w:pPr>
      <w:r w:rsidRPr="00BE435F">
        <w:rPr>
          <w:i/>
          <w:sz w:val="20"/>
          <w:szCs w:val="20"/>
        </w:rPr>
        <w:t>información incompleta</w:t>
      </w:r>
      <w:r w:rsidRPr="00005B94" w:rsidR="00005B94">
        <w:rPr>
          <w:i/>
          <w:sz w:val="20"/>
          <w:szCs w:val="20"/>
        </w:rPr>
        <w:t>.</w:t>
      </w:r>
      <w:r w:rsidRPr="00A2355B" w:rsidR="00D8203F">
        <w:rPr>
          <w:i/>
          <w:sz w:val="20"/>
          <w:szCs w:val="20"/>
        </w:rPr>
        <w:t>” (Sic.)</w:t>
      </w:r>
    </w:p>
    <w:p w:rsidRPr="00A2355B" w:rsidR="00D8203F" w:rsidP="00FD5865" w:rsidRDefault="00D8203F" w14:paraId="69D01251" w14:textId="77777777">
      <w:pPr>
        <w:spacing w:after="0"/>
        <w:ind w:left="567" w:right="567"/>
        <w:rPr>
          <w:i/>
          <w:sz w:val="20"/>
          <w:szCs w:val="20"/>
        </w:rPr>
      </w:pPr>
    </w:p>
    <w:p w:rsidRPr="00A2355B" w:rsidR="00BD08C5" w:rsidP="00FD5865" w:rsidRDefault="00D8203F" w14:paraId="46664227" w14:textId="61AAD6B7">
      <w:pPr>
        <w:spacing w:after="0"/>
        <w:ind w:left="567" w:right="567"/>
        <w:rPr>
          <w:b/>
          <w:i/>
          <w:sz w:val="20"/>
          <w:szCs w:val="20"/>
        </w:rPr>
      </w:pPr>
      <w:r w:rsidRPr="00A2355B">
        <w:rPr>
          <w:b/>
          <w:i/>
          <w:sz w:val="20"/>
          <w:szCs w:val="20"/>
        </w:rPr>
        <w:t>“RAZONES O MOTIVOS DE LA INCONFORMIDAD</w:t>
      </w:r>
    </w:p>
    <w:p w:rsidR="00D8203F" w:rsidP="00FD5865" w:rsidRDefault="00BE435F" w14:paraId="4DE18E01" w14:textId="6DF7CF5D">
      <w:pPr>
        <w:spacing w:after="0"/>
        <w:ind w:left="567" w:right="567"/>
        <w:rPr>
          <w:i/>
          <w:sz w:val="20"/>
          <w:szCs w:val="20"/>
        </w:rPr>
      </w:pPr>
      <w:r w:rsidRPr="00BE435F">
        <w:rPr>
          <w:i/>
          <w:sz w:val="20"/>
          <w:szCs w:val="20"/>
        </w:rPr>
        <w:t>no especifican si es sueldo es bruto o neto o si contaban con gratificaciones, bonos de riesgo et</w:t>
      </w:r>
      <w:r>
        <w:rPr>
          <w:i/>
          <w:sz w:val="20"/>
          <w:szCs w:val="20"/>
        </w:rPr>
        <w:t>c</w:t>
      </w:r>
      <w:r w:rsidRPr="00005B94" w:rsidR="00005B94">
        <w:rPr>
          <w:i/>
          <w:sz w:val="20"/>
          <w:szCs w:val="20"/>
        </w:rPr>
        <w:t>.</w:t>
      </w:r>
      <w:r w:rsidRPr="00A2355B" w:rsidR="004E0763">
        <w:rPr>
          <w:i/>
          <w:sz w:val="20"/>
          <w:szCs w:val="20"/>
        </w:rPr>
        <w:t>”</w:t>
      </w:r>
      <w:r w:rsidRPr="00A2355B" w:rsidR="00D8203F">
        <w:rPr>
          <w:i/>
          <w:sz w:val="20"/>
          <w:szCs w:val="20"/>
        </w:rPr>
        <w:t xml:space="preserve"> (Sic.)</w:t>
      </w:r>
    </w:p>
    <w:p w:rsidR="00005B94" w:rsidP="00FD5865" w:rsidRDefault="00005B94" w14:paraId="356C4E3B" w14:textId="77777777">
      <w:pPr>
        <w:spacing w:after="0"/>
        <w:ind w:left="567" w:right="567"/>
        <w:rPr>
          <w:i/>
          <w:sz w:val="20"/>
          <w:szCs w:val="20"/>
        </w:rPr>
      </w:pPr>
    </w:p>
    <w:p w:rsidRPr="00A2355B" w:rsidR="00D8203F" w:rsidP="00FD5865" w:rsidRDefault="00D8203F" w14:paraId="7CC18348" w14:textId="77777777">
      <w:pPr>
        <w:spacing w:after="0"/>
        <w:rPr>
          <w:b/>
          <w:bCs/>
        </w:rPr>
      </w:pPr>
      <w:r w:rsidRPr="00A2355B">
        <w:rPr>
          <w:b/>
          <w:bCs/>
        </w:rPr>
        <w:t>IV. Trámite del Recurso de Revisión ante el Instituto.</w:t>
      </w:r>
    </w:p>
    <w:p w:rsidRPr="00A2355B" w:rsidR="00D8203F" w:rsidP="00FD5865" w:rsidRDefault="00D8203F" w14:paraId="26D65406" w14:textId="77777777">
      <w:pPr>
        <w:spacing w:after="0"/>
      </w:pPr>
    </w:p>
    <w:p w:rsidRPr="00A2355B" w:rsidR="00D8203F" w:rsidP="00FD5865" w:rsidRDefault="00D8203F" w14:paraId="07622F31" w14:textId="002993F2">
      <w:pPr>
        <w:spacing w:after="0"/>
        <w:rPr>
          <w:rFonts w:eastAsia="Batang" w:cs="Tahoma"/>
          <w:bCs/>
          <w:lang w:eastAsia="es-ES"/>
        </w:rPr>
      </w:pPr>
      <w:r w:rsidRPr="00A2355B">
        <w:rPr>
          <w:b/>
          <w:bCs/>
        </w:rPr>
        <w:lastRenderedPageBreak/>
        <w:t xml:space="preserve">a) Turno del Recurso de Revisión. </w:t>
      </w:r>
      <w:r w:rsidRPr="00A2355B">
        <w:t xml:space="preserve">El </w:t>
      </w:r>
      <w:r w:rsidRPr="00BE435F" w:rsidR="00BE435F">
        <w:t>treinta y uno de enero de dos mil veintidós</w:t>
      </w:r>
      <w:r w:rsidRPr="00A2355B">
        <w:rPr>
          <w:rFonts w:eastAsia="Batang" w:cs="Tahoma"/>
          <w:bCs/>
          <w:lang w:eastAsia="es-ES"/>
        </w:rPr>
        <w:t xml:space="preserve">, el </w:t>
      </w:r>
      <w:r w:rsidRPr="00A2355B">
        <w:rPr>
          <w:rFonts w:eastAsia="Times New Roman" w:cs="Tahoma"/>
          <w:lang w:val="es-ES" w:eastAsia="es-ES"/>
        </w:rPr>
        <w:t>Sistema de Acceso a la Información Mexiquense (SAIMEX),</w:t>
      </w:r>
      <w:r w:rsidR="00BE435F">
        <w:rPr>
          <w:rFonts w:eastAsia="Batang" w:cs="Tahoma"/>
          <w:bCs/>
          <w:lang w:eastAsia="es-ES"/>
        </w:rPr>
        <w:t xml:space="preserve"> asignó el</w:t>
      </w:r>
      <w:r w:rsidRPr="00A2355B">
        <w:rPr>
          <w:rFonts w:eastAsia="Batang" w:cs="Tahoma"/>
          <w:bCs/>
          <w:lang w:eastAsia="es-ES"/>
        </w:rPr>
        <w:t xml:space="preserve"> número de expediente </w:t>
      </w:r>
      <w:r w:rsidRPr="00BE435F" w:rsidR="00BE435F">
        <w:rPr>
          <w:rFonts w:eastAsia="Batang" w:cs="Tahoma"/>
          <w:b/>
          <w:bCs/>
          <w:lang w:eastAsia="es-ES"/>
        </w:rPr>
        <w:t>00441/INFOEM/IP/RR/2022</w:t>
      </w:r>
      <w:r w:rsidR="00BE435F">
        <w:rPr>
          <w:rFonts w:eastAsia="Batang" w:cs="Tahoma"/>
          <w:bCs/>
          <w:lang w:eastAsia="es-ES"/>
        </w:rPr>
        <w:t xml:space="preserve">, al </w:t>
      </w:r>
      <w:r w:rsidR="00A21F24">
        <w:rPr>
          <w:rFonts w:eastAsia="Batang" w:cs="Tahoma"/>
          <w:bCs/>
          <w:lang w:eastAsia="es-ES"/>
        </w:rPr>
        <w:t>M</w:t>
      </w:r>
      <w:r w:rsidRPr="00A2355B">
        <w:rPr>
          <w:rFonts w:eastAsia="Batang" w:cs="Tahoma"/>
          <w:bCs/>
          <w:lang w:eastAsia="es-ES"/>
        </w:rPr>
        <w:t xml:space="preserve">edio de </w:t>
      </w:r>
      <w:r w:rsidR="00A21F24">
        <w:rPr>
          <w:rFonts w:eastAsia="Batang" w:cs="Tahoma"/>
          <w:bCs/>
          <w:lang w:eastAsia="es-ES"/>
        </w:rPr>
        <w:t>I</w:t>
      </w:r>
      <w:r w:rsidRPr="00A2355B">
        <w:rPr>
          <w:rFonts w:eastAsia="Batang" w:cs="Tahoma"/>
          <w:bCs/>
          <w:lang w:eastAsia="es-ES"/>
        </w:rPr>
        <w:t>mpugnación que nos ocupa</w:t>
      </w:r>
      <w:r w:rsidR="00A946F3">
        <w:rPr>
          <w:rFonts w:eastAsia="Batang" w:cs="Tahoma"/>
          <w:bCs/>
          <w:lang w:eastAsia="es-ES"/>
        </w:rPr>
        <w:t>,</w:t>
      </w:r>
      <w:r w:rsidRPr="00A2355B">
        <w:rPr>
          <w:rFonts w:eastAsia="Batang" w:cs="Tahoma"/>
          <w:bCs/>
          <w:lang w:eastAsia="es-ES"/>
        </w:rPr>
        <w:t xml:space="preserve">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A2355B" w:rsidR="00D8203F" w:rsidP="00FD5865" w:rsidRDefault="00D8203F" w14:paraId="5CB92970" w14:textId="77777777">
      <w:pPr>
        <w:spacing w:after="0"/>
        <w:rPr>
          <w:rFonts w:eastAsia="Batang" w:cs="Tahoma"/>
          <w:bCs/>
          <w:lang w:eastAsia="es-ES"/>
        </w:rPr>
      </w:pPr>
    </w:p>
    <w:p w:rsidR="00D8203F" w:rsidP="00FD5865" w:rsidRDefault="00D8203F" w14:paraId="4677A832" w14:textId="4B6F2ADD">
      <w:pPr>
        <w:spacing w:after="0"/>
        <w:rPr>
          <w:rFonts w:eastAsia="Batang" w:cs="Tahoma"/>
          <w:bCs/>
          <w:lang w:val="es-ES_tradnl" w:eastAsia="es-ES"/>
        </w:rPr>
      </w:pPr>
      <w:r w:rsidRPr="00A2355B">
        <w:rPr>
          <w:rFonts w:eastAsia="Batang" w:cs="Tahoma"/>
          <w:b/>
          <w:bCs/>
          <w:lang w:eastAsia="es-ES"/>
        </w:rPr>
        <w:t xml:space="preserve">b) Admisión del </w:t>
      </w:r>
      <w:r w:rsidRPr="00A2355B">
        <w:rPr>
          <w:rFonts w:eastAsia="Times New Roman" w:cs="Tahoma"/>
          <w:b/>
          <w:lang w:eastAsia="es-ES"/>
        </w:rPr>
        <w:t>Recurso de Revisión</w:t>
      </w:r>
      <w:r w:rsidRPr="00A2355B">
        <w:rPr>
          <w:rFonts w:eastAsia="Batang" w:cs="Tahoma"/>
          <w:b/>
          <w:bCs/>
          <w:lang w:val="es-ES_tradnl" w:eastAsia="es-ES"/>
        </w:rPr>
        <w:t xml:space="preserve">. </w:t>
      </w:r>
      <w:r w:rsidRPr="00A2355B">
        <w:rPr>
          <w:rFonts w:eastAsia="Batang" w:cs="Tahoma"/>
          <w:bCs/>
          <w:lang w:eastAsia="es-ES"/>
        </w:rPr>
        <w:t xml:space="preserve">El </w:t>
      </w:r>
      <w:r w:rsidR="00BE435F">
        <w:rPr>
          <w:rFonts w:eastAsia="Batang" w:cs="Tahoma"/>
          <w:bCs/>
          <w:lang w:eastAsia="es-ES"/>
        </w:rPr>
        <w:t xml:space="preserve">ocho de febrero </w:t>
      </w:r>
      <w:r w:rsidR="00A946F3">
        <w:rPr>
          <w:rFonts w:eastAsia="Batang" w:cs="Tahoma"/>
          <w:bCs/>
          <w:lang w:eastAsia="es-ES"/>
        </w:rPr>
        <w:t xml:space="preserve"> de dos mil veintidós</w:t>
      </w:r>
      <w:r w:rsidR="00A946F3">
        <w:rPr>
          <w:rFonts w:eastAsia="Batang" w:cs="Tahoma"/>
          <w:bCs/>
          <w:lang w:val="es-ES_tradnl" w:eastAsia="es-ES"/>
        </w:rPr>
        <w:t xml:space="preserve">, se acordó la admisión </w:t>
      </w:r>
      <w:r w:rsidR="00BE435F">
        <w:rPr>
          <w:rFonts w:eastAsia="Batang" w:cs="Tahoma"/>
          <w:bCs/>
          <w:lang w:val="es-ES_tradnl" w:eastAsia="es-ES"/>
        </w:rPr>
        <w:t>del</w:t>
      </w:r>
      <w:r w:rsidRPr="00A2355B">
        <w:rPr>
          <w:rFonts w:eastAsia="Batang" w:cs="Tahoma"/>
          <w:bCs/>
          <w:lang w:val="es-ES_tradnl" w:eastAsia="es-ES"/>
        </w:rPr>
        <w:t xml:space="preserve"> Recurso de Revisión interpuesto por el Recurrente en contra del Sujeto Obligado, en términos del artículo 185, fracciones I y II de la Ley de Transparencia y Acceso a la Información Pública del E</w:t>
      </w:r>
      <w:r w:rsidR="00A946F3">
        <w:rPr>
          <w:rFonts w:eastAsia="Batang" w:cs="Tahoma"/>
          <w:bCs/>
          <w:lang w:val="es-ES_tradnl" w:eastAsia="es-ES"/>
        </w:rPr>
        <w:t>stado de México y Municipios, lo</w:t>
      </w:r>
      <w:r w:rsidRPr="00A2355B">
        <w:rPr>
          <w:rFonts w:eastAsia="Batang" w:cs="Tahoma"/>
          <w:bCs/>
          <w:lang w:val="es-ES_tradnl" w:eastAsia="es-ES"/>
        </w:rPr>
        <w:t xml:space="preserve">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A946F3" w:rsidP="00FD5865" w:rsidRDefault="00A946F3" w14:paraId="183EC57D" w14:textId="77777777">
      <w:pPr>
        <w:spacing w:after="0"/>
        <w:rPr>
          <w:rFonts w:eastAsia="Batang" w:cs="Tahoma"/>
          <w:bCs/>
          <w:lang w:val="es-ES_tradnl" w:eastAsia="es-ES"/>
        </w:rPr>
      </w:pPr>
    </w:p>
    <w:p w:rsidRPr="00AD1619" w:rsidR="00C44AF0" w:rsidP="00FD5865" w:rsidRDefault="00BE435F" w14:paraId="1578090F" w14:textId="49D88C8C">
      <w:pPr>
        <w:spacing w:after="0"/>
        <w:rPr>
          <w:rFonts w:eastAsia="Times New Roman" w:cs="Tahoma"/>
          <w:bCs/>
          <w:iCs/>
          <w:lang w:eastAsia="es-ES"/>
        </w:rPr>
      </w:pPr>
      <w:r>
        <w:rPr>
          <w:rFonts w:eastAsia="Times New Roman" w:cs="Tahoma"/>
          <w:b/>
          <w:lang w:eastAsia="es-ES"/>
        </w:rPr>
        <w:t>c</w:t>
      </w:r>
      <w:r w:rsidRPr="00AD1619" w:rsidR="00D8203F">
        <w:rPr>
          <w:rFonts w:eastAsia="Times New Roman" w:cs="Tahoma"/>
          <w:b/>
          <w:lang w:eastAsia="es-ES"/>
        </w:rPr>
        <w:t>)</w:t>
      </w:r>
      <w:r w:rsidRPr="00AD1619" w:rsidR="00D8203F">
        <w:rPr>
          <w:rFonts w:eastAsia="Times New Roman" w:cs="Tahoma"/>
          <w:lang w:val="es-ES_tradnl" w:eastAsia="es-ES"/>
        </w:rPr>
        <w:t xml:space="preserve"> </w:t>
      </w:r>
      <w:r w:rsidRPr="00AD1619" w:rsidR="00D8203F">
        <w:rPr>
          <w:rFonts w:eastAsia="Times New Roman" w:cs="Tahoma"/>
          <w:b/>
          <w:lang w:val="es-ES_tradnl" w:eastAsia="es-ES"/>
        </w:rPr>
        <w:t xml:space="preserve">Informe Justificado. </w:t>
      </w:r>
      <w:r w:rsidRPr="00AD1619" w:rsidR="00C44AF0">
        <w:rPr>
          <w:rFonts w:eastAsia="Times New Roman" w:cs="Tahoma"/>
          <w:bCs/>
          <w:lang w:val="es-ES_tradnl" w:eastAsia="es-ES"/>
        </w:rPr>
        <w:t xml:space="preserve">El </w:t>
      </w:r>
      <w:r>
        <w:rPr>
          <w:rFonts w:eastAsia="Times New Roman" w:cs="Tahoma"/>
          <w:bCs/>
          <w:lang w:val="es-ES_tradnl" w:eastAsia="es-ES"/>
        </w:rPr>
        <w:t>veintiuno</w:t>
      </w:r>
      <w:r w:rsidRPr="00AD1619" w:rsidR="00A946F3">
        <w:rPr>
          <w:rFonts w:eastAsia="Times New Roman" w:cs="Tahoma"/>
          <w:bCs/>
          <w:lang w:val="es-ES_tradnl" w:eastAsia="es-ES"/>
        </w:rPr>
        <w:t xml:space="preserve"> de febrero </w:t>
      </w:r>
      <w:r w:rsidRPr="00AD1619" w:rsidR="007851A6">
        <w:rPr>
          <w:rFonts w:eastAsia="Times New Roman" w:cs="Tahoma"/>
          <w:bCs/>
          <w:lang w:val="es-ES_tradnl" w:eastAsia="es-ES"/>
        </w:rPr>
        <w:t>de dos mil veintidós</w:t>
      </w:r>
      <w:r>
        <w:rPr>
          <w:rFonts w:eastAsia="Times New Roman" w:cs="Tahoma"/>
          <w:lang w:val="es-ES_tradnl" w:eastAsia="es-ES"/>
        </w:rPr>
        <w:t>, se recibió</w:t>
      </w:r>
      <w:r w:rsidRPr="00AD1619" w:rsidR="00D8203F">
        <w:rPr>
          <w:rFonts w:eastAsia="Times New Roman" w:cs="Tahoma"/>
          <w:lang w:val="es-ES_tradnl" w:eastAsia="es-ES"/>
        </w:rPr>
        <w:t xml:space="preserve">, a través del </w:t>
      </w:r>
      <w:r w:rsidRPr="00AD1619" w:rsidR="00D8203F">
        <w:rPr>
          <w:rFonts w:eastAsia="Times New Roman" w:cs="Tahoma"/>
          <w:lang w:val="es-ES" w:eastAsia="es-ES"/>
        </w:rPr>
        <w:t>Sistema de Acceso a la Información Mexiquense (SAIMEX)</w:t>
      </w:r>
      <w:r w:rsidRPr="00AD1619" w:rsidR="00D8203F">
        <w:rPr>
          <w:rFonts w:eastAsia="Times New Roman" w:cs="Tahoma"/>
          <w:lang w:val="es-ES_tradnl" w:eastAsia="es-ES"/>
        </w:rPr>
        <w:t xml:space="preserve">, </w:t>
      </w:r>
      <w:r>
        <w:rPr>
          <w:rFonts w:eastAsia="Times New Roman" w:cs="Tahoma"/>
          <w:bCs/>
          <w:iCs/>
          <w:lang w:val="es-ES" w:eastAsia="es-ES"/>
        </w:rPr>
        <w:t>el</w:t>
      </w:r>
      <w:r w:rsidRPr="00AD1619" w:rsidR="00D8203F">
        <w:rPr>
          <w:rFonts w:eastAsia="Times New Roman" w:cs="Tahoma"/>
          <w:bCs/>
          <w:iCs/>
          <w:lang w:val="es-ES" w:eastAsia="es-ES"/>
        </w:rPr>
        <w:t xml:space="preserve"> Informe Justificado </w:t>
      </w:r>
      <w:r w:rsidRPr="00AD1619" w:rsidR="00D8203F">
        <w:rPr>
          <w:rFonts w:eastAsia="Times New Roman" w:cs="Tahoma"/>
          <w:bCs/>
          <w:iCs/>
          <w:lang w:eastAsia="es-ES"/>
        </w:rPr>
        <w:t>interpuesto por el Sujeto Obliga</w:t>
      </w:r>
      <w:r w:rsidRPr="00AD1619" w:rsidR="00F66D38">
        <w:rPr>
          <w:rFonts w:eastAsia="Times New Roman" w:cs="Tahoma"/>
          <w:bCs/>
          <w:iCs/>
          <w:lang w:eastAsia="es-ES"/>
        </w:rPr>
        <w:t>do, por medio de</w:t>
      </w:r>
      <w:r w:rsidRPr="00AD1619" w:rsidR="004E0763">
        <w:rPr>
          <w:rFonts w:eastAsia="Times New Roman" w:cs="Tahoma"/>
          <w:bCs/>
          <w:iCs/>
          <w:lang w:eastAsia="es-ES"/>
        </w:rPr>
        <w:t xml:space="preserve">l oficio </w:t>
      </w:r>
      <w:proofErr w:type="gramStart"/>
      <w:r>
        <w:rPr>
          <w:rFonts w:eastAsia="Times New Roman" w:cs="Tahoma"/>
          <w:bCs/>
          <w:iCs/>
          <w:lang w:eastAsia="es-ES"/>
        </w:rPr>
        <w:t>sin  número</w:t>
      </w:r>
      <w:proofErr w:type="gramEnd"/>
      <w:r>
        <w:rPr>
          <w:rFonts w:eastAsia="Times New Roman" w:cs="Tahoma"/>
          <w:bCs/>
          <w:iCs/>
          <w:lang w:eastAsia="es-ES"/>
        </w:rPr>
        <w:t xml:space="preserve"> de </w:t>
      </w:r>
      <w:r w:rsidR="009748C1">
        <w:rPr>
          <w:rFonts w:eastAsia="Times New Roman" w:cs="Tahoma"/>
          <w:bCs/>
          <w:iCs/>
          <w:lang w:eastAsia="es-ES"/>
        </w:rPr>
        <w:t>dieciséis</w:t>
      </w:r>
      <w:r>
        <w:rPr>
          <w:rFonts w:eastAsia="Times New Roman" w:cs="Tahoma"/>
          <w:bCs/>
          <w:iCs/>
          <w:lang w:eastAsia="es-ES"/>
        </w:rPr>
        <w:t xml:space="preserve"> </w:t>
      </w:r>
      <w:r w:rsidRPr="00AD1619" w:rsidR="00353F3B">
        <w:rPr>
          <w:rFonts w:eastAsia="Times New Roman" w:cs="Tahoma"/>
          <w:bCs/>
          <w:iCs/>
          <w:lang w:eastAsia="es-ES"/>
        </w:rPr>
        <w:t xml:space="preserve"> </w:t>
      </w:r>
      <w:r>
        <w:rPr>
          <w:rFonts w:eastAsia="Times New Roman" w:cs="Tahoma"/>
          <w:bCs/>
          <w:iCs/>
          <w:lang w:eastAsia="es-ES"/>
        </w:rPr>
        <w:t xml:space="preserve">de febrero </w:t>
      </w:r>
      <w:r w:rsidR="009748C1">
        <w:rPr>
          <w:rFonts w:eastAsia="Times New Roman" w:cs="Tahoma"/>
          <w:bCs/>
          <w:iCs/>
          <w:lang w:eastAsia="es-ES"/>
        </w:rPr>
        <w:t xml:space="preserve"> de dos mil veintidós de la Jefa de la Unidad de Transparencia</w:t>
      </w:r>
      <w:r w:rsidRPr="00AD1619" w:rsidR="006900B8">
        <w:rPr>
          <w:rFonts w:eastAsia="Times New Roman" w:cs="Tahoma"/>
          <w:bCs/>
          <w:iCs/>
          <w:lang w:eastAsia="es-ES"/>
        </w:rPr>
        <w:t>, por med</w:t>
      </w:r>
      <w:r w:rsidRPr="00AD1619" w:rsidR="00EC7552">
        <w:rPr>
          <w:rFonts w:eastAsia="Times New Roman" w:cs="Tahoma"/>
          <w:bCs/>
          <w:iCs/>
          <w:lang w:eastAsia="es-ES"/>
        </w:rPr>
        <w:t xml:space="preserve">io </w:t>
      </w:r>
      <w:r w:rsidRPr="00AD1619" w:rsidR="006900B8">
        <w:rPr>
          <w:rFonts w:eastAsia="Times New Roman" w:cs="Tahoma"/>
          <w:bCs/>
          <w:iCs/>
          <w:lang w:eastAsia="es-ES"/>
        </w:rPr>
        <w:t xml:space="preserve">del cual </w:t>
      </w:r>
      <w:r w:rsidR="009748C1">
        <w:rPr>
          <w:rFonts w:eastAsia="Times New Roman" w:cs="Tahoma"/>
          <w:bCs/>
          <w:iCs/>
          <w:lang w:eastAsia="es-ES"/>
        </w:rPr>
        <w:t>modificó</w:t>
      </w:r>
      <w:r w:rsidR="003A6229">
        <w:rPr>
          <w:rFonts w:eastAsia="Times New Roman" w:cs="Tahoma"/>
          <w:bCs/>
          <w:iCs/>
          <w:lang w:eastAsia="es-ES"/>
        </w:rPr>
        <w:t xml:space="preserve"> la</w:t>
      </w:r>
      <w:r w:rsidRPr="00AD1619" w:rsidR="00396975">
        <w:rPr>
          <w:rFonts w:eastAsia="Times New Roman" w:cs="Tahoma"/>
          <w:bCs/>
          <w:iCs/>
          <w:lang w:eastAsia="es-ES"/>
        </w:rPr>
        <w:t xml:space="preserve"> respuesta primigenia a </w:t>
      </w:r>
      <w:r w:rsidR="009748C1">
        <w:rPr>
          <w:rFonts w:eastAsia="Times New Roman" w:cs="Tahoma"/>
          <w:bCs/>
          <w:iCs/>
          <w:lang w:eastAsia="es-ES"/>
        </w:rPr>
        <w:t xml:space="preserve">la solicitud de información </w:t>
      </w:r>
      <w:r w:rsidRPr="00AD1619" w:rsidR="00396975">
        <w:rPr>
          <w:rFonts w:eastAsia="Times New Roman" w:cs="Tahoma"/>
          <w:bCs/>
          <w:iCs/>
          <w:lang w:eastAsia="es-ES"/>
        </w:rPr>
        <w:t xml:space="preserve"> de la siguiente forma:</w:t>
      </w:r>
    </w:p>
    <w:p w:rsidRPr="00AD1619" w:rsidR="006900B8" w:rsidP="00FD5865" w:rsidRDefault="006900B8" w14:paraId="1652618B" w14:textId="7174D561">
      <w:pPr>
        <w:spacing w:after="0"/>
        <w:rPr>
          <w:rFonts w:eastAsia="Times New Roman" w:cs="Tahoma"/>
          <w:bCs/>
          <w:iCs/>
          <w:lang w:eastAsia="es-ES"/>
        </w:rPr>
      </w:pPr>
    </w:p>
    <w:p w:rsidR="00A66BE0" w:rsidP="00FD5865" w:rsidRDefault="006900B8" w14:paraId="4ECCB0EF" w14:textId="490C830E">
      <w:pPr>
        <w:spacing w:after="0"/>
        <w:ind w:left="567" w:right="567"/>
        <w:rPr>
          <w:rFonts w:eastAsia="Times New Roman" w:cs="Tahoma"/>
          <w:bCs/>
          <w:i/>
          <w:sz w:val="20"/>
          <w:szCs w:val="20"/>
          <w:lang w:eastAsia="es-ES"/>
        </w:rPr>
      </w:pPr>
      <w:r w:rsidRPr="00AD1619">
        <w:rPr>
          <w:rFonts w:eastAsia="Times New Roman" w:cs="Tahoma"/>
          <w:bCs/>
          <w:i/>
          <w:sz w:val="20"/>
          <w:szCs w:val="20"/>
          <w:lang w:eastAsia="es-ES"/>
        </w:rPr>
        <w:t>“…</w:t>
      </w:r>
      <w:r w:rsidR="009748C1">
        <w:rPr>
          <w:rFonts w:eastAsia="Times New Roman" w:cs="Tahoma"/>
          <w:bCs/>
          <w:i/>
          <w:sz w:val="20"/>
          <w:szCs w:val="20"/>
          <w:lang w:eastAsia="es-ES"/>
        </w:rPr>
        <w:t>toda vez que  mediante oficio GA/101/202, el Servidor  Público Habilitado de este Sujeto Obligado</w:t>
      </w:r>
      <w:r w:rsidR="006F54C2">
        <w:rPr>
          <w:rFonts w:eastAsia="Times New Roman" w:cs="Tahoma"/>
          <w:bCs/>
          <w:i/>
          <w:sz w:val="20"/>
          <w:szCs w:val="20"/>
          <w:lang w:eastAsia="es-ES"/>
        </w:rPr>
        <w:t xml:space="preserve"> decide </w:t>
      </w:r>
      <w:r w:rsidR="00D173B4">
        <w:rPr>
          <w:rFonts w:eastAsia="Times New Roman" w:cs="Tahoma"/>
          <w:bCs/>
          <w:i/>
          <w:sz w:val="20"/>
          <w:szCs w:val="20"/>
          <w:lang w:eastAsia="es-ES"/>
        </w:rPr>
        <w:t>modificar</w:t>
      </w:r>
      <w:r w:rsidR="006F54C2">
        <w:rPr>
          <w:rFonts w:eastAsia="Times New Roman" w:cs="Tahoma"/>
          <w:bCs/>
          <w:i/>
          <w:sz w:val="20"/>
          <w:szCs w:val="20"/>
          <w:lang w:eastAsia="es-ES"/>
        </w:rPr>
        <w:t xml:space="preserve">  su respuesta, ampliando a detalle la respuesta entregada vía SAIMEX, resaltando que si bien se entregó la información solicitada, en aras de </w:t>
      </w:r>
      <w:r w:rsidR="00D173B4">
        <w:rPr>
          <w:rFonts w:eastAsia="Times New Roman" w:cs="Tahoma"/>
          <w:bCs/>
          <w:i/>
          <w:sz w:val="20"/>
          <w:szCs w:val="20"/>
          <w:lang w:eastAsia="es-ES"/>
        </w:rPr>
        <w:t>abatir</w:t>
      </w:r>
      <w:r w:rsidR="006F54C2">
        <w:rPr>
          <w:rFonts w:eastAsia="Times New Roman" w:cs="Tahoma"/>
          <w:bCs/>
          <w:i/>
          <w:sz w:val="20"/>
          <w:szCs w:val="20"/>
          <w:lang w:eastAsia="es-ES"/>
        </w:rPr>
        <w:t xml:space="preserve"> la </w:t>
      </w:r>
      <w:r w:rsidR="00D173B4">
        <w:rPr>
          <w:rFonts w:eastAsia="Times New Roman" w:cs="Tahoma"/>
          <w:bCs/>
          <w:i/>
          <w:sz w:val="20"/>
          <w:szCs w:val="20"/>
          <w:lang w:eastAsia="es-ES"/>
        </w:rPr>
        <w:t>inconformidad</w:t>
      </w:r>
      <w:r w:rsidR="006F54C2">
        <w:rPr>
          <w:rFonts w:eastAsia="Times New Roman" w:cs="Tahoma"/>
          <w:bCs/>
          <w:i/>
          <w:sz w:val="20"/>
          <w:szCs w:val="20"/>
          <w:lang w:eastAsia="es-ES"/>
        </w:rPr>
        <w:t xml:space="preserve"> del peticionario, se adjunta al presente la lista de los nombres de los servidores </w:t>
      </w:r>
      <w:r w:rsidR="00D173B4">
        <w:rPr>
          <w:rFonts w:eastAsia="Times New Roman" w:cs="Tahoma"/>
          <w:bCs/>
          <w:i/>
          <w:sz w:val="20"/>
          <w:szCs w:val="20"/>
          <w:lang w:eastAsia="es-ES"/>
        </w:rPr>
        <w:t>públicos</w:t>
      </w:r>
      <w:r w:rsidR="006F54C2">
        <w:rPr>
          <w:rFonts w:eastAsia="Times New Roman" w:cs="Tahoma"/>
          <w:bCs/>
          <w:i/>
          <w:sz w:val="20"/>
          <w:szCs w:val="20"/>
          <w:lang w:eastAsia="es-ES"/>
        </w:rPr>
        <w:t xml:space="preserve"> y funcionarios entrantes y salientes, especificando cargos y sueldos, </w:t>
      </w:r>
      <w:r w:rsidR="00D173B4">
        <w:rPr>
          <w:rFonts w:eastAsia="Times New Roman" w:cs="Tahoma"/>
          <w:bCs/>
          <w:i/>
          <w:sz w:val="20"/>
          <w:szCs w:val="20"/>
          <w:lang w:eastAsia="es-ES"/>
        </w:rPr>
        <w:t>adicionando</w:t>
      </w:r>
      <w:r w:rsidR="006F54C2">
        <w:rPr>
          <w:rFonts w:eastAsia="Times New Roman" w:cs="Tahoma"/>
          <w:bCs/>
          <w:i/>
          <w:sz w:val="20"/>
          <w:szCs w:val="20"/>
          <w:lang w:eastAsia="es-ES"/>
        </w:rPr>
        <w:t xml:space="preserve"> la declaración que el sueldo es bruto mensual, </w:t>
      </w:r>
      <w:r w:rsidR="006F54C2">
        <w:rPr>
          <w:rFonts w:eastAsia="Times New Roman" w:cs="Tahoma"/>
          <w:bCs/>
          <w:i/>
          <w:sz w:val="20"/>
          <w:szCs w:val="20"/>
          <w:lang w:eastAsia="es-ES"/>
        </w:rPr>
        <w:lastRenderedPageBreak/>
        <w:t xml:space="preserve">que los </w:t>
      </w:r>
      <w:r w:rsidR="00D173B4">
        <w:rPr>
          <w:rFonts w:eastAsia="Times New Roman" w:cs="Tahoma"/>
          <w:bCs/>
          <w:i/>
          <w:sz w:val="20"/>
          <w:szCs w:val="20"/>
          <w:lang w:eastAsia="es-ES"/>
        </w:rPr>
        <w:t>servidores</w:t>
      </w:r>
      <w:r w:rsidR="006F54C2">
        <w:rPr>
          <w:rFonts w:eastAsia="Times New Roman" w:cs="Tahoma"/>
          <w:bCs/>
          <w:i/>
          <w:sz w:val="20"/>
          <w:szCs w:val="20"/>
          <w:lang w:eastAsia="es-ES"/>
        </w:rPr>
        <w:t xml:space="preserve"> públicos de la actual administración no cuentan con otras percepciones, así como el enlace (link) en el que se puede </w:t>
      </w:r>
      <w:r w:rsidR="00D173B4">
        <w:rPr>
          <w:rFonts w:eastAsia="Times New Roman" w:cs="Tahoma"/>
          <w:bCs/>
          <w:i/>
          <w:sz w:val="20"/>
          <w:szCs w:val="20"/>
          <w:lang w:eastAsia="es-ES"/>
        </w:rPr>
        <w:t>encontrar</w:t>
      </w:r>
      <w:r w:rsidR="006F54C2">
        <w:rPr>
          <w:rFonts w:eastAsia="Times New Roman" w:cs="Tahoma"/>
          <w:bCs/>
          <w:i/>
          <w:sz w:val="20"/>
          <w:szCs w:val="20"/>
          <w:lang w:eastAsia="es-ES"/>
        </w:rPr>
        <w:t xml:space="preserve"> la información respecto de las percepciones de los </w:t>
      </w:r>
      <w:r w:rsidR="00D173B4">
        <w:rPr>
          <w:rFonts w:eastAsia="Times New Roman" w:cs="Tahoma"/>
          <w:bCs/>
          <w:i/>
          <w:sz w:val="20"/>
          <w:szCs w:val="20"/>
          <w:lang w:eastAsia="es-ES"/>
        </w:rPr>
        <w:t>servidores</w:t>
      </w:r>
      <w:r w:rsidR="006F54C2">
        <w:rPr>
          <w:rFonts w:eastAsia="Times New Roman" w:cs="Tahoma"/>
          <w:bCs/>
          <w:i/>
          <w:sz w:val="20"/>
          <w:szCs w:val="20"/>
          <w:lang w:eastAsia="es-ES"/>
        </w:rPr>
        <w:t xml:space="preserve"> públicos </w:t>
      </w:r>
      <w:r w:rsidR="00D173B4">
        <w:rPr>
          <w:rFonts w:eastAsia="Times New Roman" w:cs="Tahoma"/>
          <w:bCs/>
          <w:i/>
          <w:sz w:val="20"/>
          <w:szCs w:val="20"/>
          <w:lang w:eastAsia="es-ES"/>
        </w:rPr>
        <w:t>salientes</w:t>
      </w:r>
      <w:r w:rsidR="006F54C2">
        <w:rPr>
          <w:rFonts w:eastAsia="Times New Roman" w:cs="Tahoma"/>
          <w:bCs/>
          <w:i/>
          <w:sz w:val="20"/>
          <w:szCs w:val="20"/>
          <w:lang w:eastAsia="es-ES"/>
        </w:rPr>
        <w:t xml:space="preserve"> , en la Plataforma IPOMEX, </w:t>
      </w:r>
      <w:r w:rsidR="00D173B4">
        <w:rPr>
          <w:rFonts w:eastAsia="Times New Roman" w:cs="Tahoma"/>
          <w:bCs/>
          <w:i/>
          <w:sz w:val="20"/>
          <w:szCs w:val="20"/>
          <w:lang w:eastAsia="es-ES"/>
        </w:rPr>
        <w:t>con lo</w:t>
      </w:r>
      <w:r w:rsidR="006F54C2">
        <w:rPr>
          <w:rFonts w:eastAsia="Times New Roman" w:cs="Tahoma"/>
          <w:bCs/>
          <w:i/>
          <w:sz w:val="20"/>
          <w:szCs w:val="20"/>
          <w:lang w:eastAsia="es-ES"/>
        </w:rPr>
        <w:t xml:space="preserve"> que se </w:t>
      </w:r>
      <w:r w:rsidR="00D173B4">
        <w:rPr>
          <w:rFonts w:eastAsia="Times New Roman" w:cs="Tahoma"/>
          <w:bCs/>
          <w:i/>
          <w:sz w:val="20"/>
          <w:szCs w:val="20"/>
          <w:lang w:eastAsia="es-ES"/>
        </w:rPr>
        <w:t>da</w:t>
      </w:r>
      <w:r w:rsidR="006F54C2">
        <w:rPr>
          <w:rFonts w:eastAsia="Times New Roman" w:cs="Tahoma"/>
          <w:bCs/>
          <w:i/>
          <w:sz w:val="20"/>
          <w:szCs w:val="20"/>
          <w:lang w:eastAsia="es-ES"/>
        </w:rPr>
        <w:t xml:space="preserve"> cabal contestación a la </w:t>
      </w:r>
      <w:r w:rsidR="00D173B4">
        <w:rPr>
          <w:rFonts w:eastAsia="Times New Roman" w:cs="Tahoma"/>
          <w:bCs/>
          <w:i/>
          <w:sz w:val="20"/>
          <w:szCs w:val="20"/>
          <w:lang w:eastAsia="es-ES"/>
        </w:rPr>
        <w:t>solicitud</w:t>
      </w:r>
      <w:r w:rsidR="006F54C2">
        <w:rPr>
          <w:rFonts w:eastAsia="Times New Roman" w:cs="Tahoma"/>
          <w:bCs/>
          <w:i/>
          <w:sz w:val="20"/>
          <w:szCs w:val="20"/>
          <w:lang w:eastAsia="es-ES"/>
        </w:rPr>
        <w:t xml:space="preserve"> de información así como a las razones o </w:t>
      </w:r>
      <w:r w:rsidR="00D173B4">
        <w:rPr>
          <w:rFonts w:eastAsia="Times New Roman" w:cs="Tahoma"/>
          <w:bCs/>
          <w:i/>
          <w:sz w:val="20"/>
          <w:szCs w:val="20"/>
          <w:lang w:eastAsia="es-ES"/>
        </w:rPr>
        <w:t>motivos de la inconformidad</w:t>
      </w:r>
    </w:p>
    <w:p w:rsidRPr="00A2355B" w:rsidR="00F42CAA" w:rsidP="00FD5865" w:rsidRDefault="00F42CAA" w14:paraId="4F75C793" w14:textId="318FD9D8">
      <w:pPr>
        <w:spacing w:after="0"/>
        <w:ind w:left="567" w:right="567"/>
        <w:rPr>
          <w:rFonts w:eastAsia="Times New Roman" w:cs="Tahoma"/>
          <w:bCs/>
          <w:i/>
          <w:sz w:val="20"/>
          <w:szCs w:val="20"/>
          <w:lang w:eastAsia="es-ES"/>
        </w:rPr>
      </w:pPr>
      <w:r w:rsidRPr="00A2355B">
        <w:rPr>
          <w:rFonts w:eastAsia="Times New Roman" w:cs="Tahoma"/>
          <w:bCs/>
          <w:i/>
          <w:sz w:val="20"/>
          <w:szCs w:val="20"/>
          <w:lang w:eastAsia="es-ES"/>
        </w:rPr>
        <w:t xml:space="preserve">…” (Sic) </w:t>
      </w:r>
    </w:p>
    <w:p w:rsidRPr="00A2355B" w:rsidR="00D8203F" w:rsidP="00FD5865" w:rsidRDefault="00D8203F" w14:paraId="6D866CA9" w14:textId="77777777">
      <w:pPr>
        <w:spacing w:after="0"/>
        <w:rPr>
          <w:rFonts w:eastAsia="Times New Roman" w:cs="Tahoma"/>
          <w:iCs/>
          <w:color w:val="auto"/>
          <w:lang w:val="es-ES_tradnl" w:eastAsia="es-ES"/>
        </w:rPr>
      </w:pPr>
    </w:p>
    <w:p w:rsidRPr="00A2355B" w:rsidR="00D8203F" w:rsidP="00FD5865" w:rsidRDefault="00AD1619" w14:paraId="4BF866FA" w14:textId="70A7ECFF">
      <w:pPr>
        <w:spacing w:after="0"/>
        <w:rPr>
          <w:rFonts w:cs="Tahoma"/>
        </w:rPr>
      </w:pPr>
      <w:r>
        <w:rPr>
          <w:rFonts w:cs="Tahoma"/>
          <w:b/>
          <w:bCs/>
        </w:rPr>
        <w:t>e</w:t>
      </w:r>
      <w:r w:rsidRPr="00A2355B" w:rsidR="00D8203F">
        <w:rPr>
          <w:rFonts w:cs="Tahoma"/>
          <w:b/>
          <w:bCs/>
        </w:rPr>
        <w:t xml:space="preserve">) Vista del informe justificado. </w:t>
      </w:r>
      <w:r w:rsidRPr="00A2355B" w:rsidR="00D8203F">
        <w:rPr>
          <w:rFonts w:cs="Tahoma"/>
        </w:rPr>
        <w:t xml:space="preserve">El </w:t>
      </w:r>
      <w:r w:rsidR="00D173B4">
        <w:rPr>
          <w:rFonts w:cs="Tahoma"/>
        </w:rPr>
        <w:t>catorce</w:t>
      </w:r>
      <w:r w:rsidR="00C71B79">
        <w:rPr>
          <w:rFonts w:cs="Tahoma"/>
        </w:rPr>
        <w:t xml:space="preserve"> de marzo </w:t>
      </w:r>
      <w:r w:rsidR="00953BD3">
        <w:rPr>
          <w:rFonts w:cs="Tahoma"/>
        </w:rPr>
        <w:t>de dos mil veintidós</w:t>
      </w:r>
      <w:r w:rsidRPr="00A2355B" w:rsidR="00D8203F">
        <w:rPr>
          <w:rFonts w:cs="Tahoma"/>
        </w:rPr>
        <w:t xml:space="preserve">, se dictó acuerdo mediante el cual </w:t>
      </w:r>
      <w:r w:rsidRPr="00A2355B" w:rsidR="00D8203F">
        <w:rPr>
          <w:rFonts w:cs="Tahoma"/>
          <w:b/>
          <w:bCs/>
        </w:rPr>
        <w:t>se puso a la vista de la Particular el Informe Justificado</w:t>
      </w:r>
      <w:r w:rsidRPr="00A2355B" w:rsidR="00D8203F">
        <w:rPr>
          <w:rFonts w:cs="Tahoma"/>
        </w:rPr>
        <w:t xml:space="preserve"> entregado por el Sujeto Obligado, el cual fue notificado al Recurrente, a través del Sistema de Acceso a la Información Mexiquense (SAIMEX), </w:t>
      </w:r>
      <w:r w:rsidRPr="00A2355B" w:rsidR="00E77820">
        <w:rPr>
          <w:rFonts w:cs="Tahoma"/>
        </w:rPr>
        <w:t xml:space="preserve">el </w:t>
      </w:r>
      <w:r w:rsidR="00953BD3">
        <w:rPr>
          <w:rFonts w:cs="Tahoma"/>
        </w:rPr>
        <w:t>mismo día</w:t>
      </w:r>
      <w:r w:rsidRPr="00A2355B" w:rsidR="00E77820">
        <w:rPr>
          <w:rFonts w:cs="Tahoma"/>
        </w:rPr>
        <w:t xml:space="preserve">. </w:t>
      </w:r>
      <w:r w:rsidRPr="00A2355B" w:rsidR="00D8203F">
        <w:rPr>
          <w:rFonts w:cs="Tahoma"/>
          <w:b/>
        </w:rPr>
        <w:t>No obstante</w:t>
      </w:r>
      <w:r w:rsidRPr="00A2355B" w:rsidR="00D8203F">
        <w:rPr>
          <w:rFonts w:cs="Tahoma"/>
          <w:b/>
          <w:bCs/>
          <w:iCs/>
          <w:lang w:val="es-ES_tradnl"/>
        </w:rPr>
        <w:t xml:space="preserve">, </w:t>
      </w:r>
      <w:r w:rsidR="0087558A">
        <w:rPr>
          <w:rFonts w:cs="Tahoma"/>
          <w:b/>
          <w:bCs/>
          <w:iCs/>
          <w:lang w:val="es-ES_tradnl"/>
        </w:rPr>
        <w:t>la</w:t>
      </w:r>
      <w:r w:rsidRPr="00A2355B" w:rsidR="00E77820">
        <w:rPr>
          <w:rFonts w:cs="Tahoma"/>
          <w:b/>
          <w:bCs/>
          <w:iCs/>
          <w:lang w:val="es-ES_tradnl"/>
        </w:rPr>
        <w:t xml:space="preserve"> </w:t>
      </w:r>
      <w:r w:rsidRPr="00A2355B" w:rsidR="00D8203F">
        <w:rPr>
          <w:rFonts w:cs="Tahoma"/>
          <w:b/>
          <w:bCs/>
          <w:iCs/>
          <w:lang w:val="es-ES_tradnl"/>
        </w:rPr>
        <w:t>Particular omitió realizar manifestación alguna que a su derecho conviniera y asistiera</w:t>
      </w:r>
    </w:p>
    <w:p w:rsidRPr="00A2355B" w:rsidR="00D8203F" w:rsidP="00FD5865" w:rsidRDefault="00D8203F" w14:paraId="139373B8" w14:textId="77777777">
      <w:pPr>
        <w:spacing w:after="0"/>
        <w:rPr>
          <w:rFonts w:eastAsia="Times New Roman" w:cs="Tahoma"/>
          <w:b/>
          <w:color w:val="auto"/>
          <w:szCs w:val="24"/>
          <w:lang w:eastAsia="es-ES"/>
        </w:rPr>
      </w:pPr>
    </w:p>
    <w:p w:rsidRPr="00A2355B" w:rsidR="00D8203F" w:rsidP="00FD5865" w:rsidRDefault="00AD1619" w14:paraId="1ACB06BA" w14:textId="0A6D2E7A">
      <w:pPr>
        <w:spacing w:after="0"/>
        <w:rPr>
          <w:rFonts w:eastAsia="Times New Roman" w:cs="Tahoma"/>
          <w:color w:val="auto"/>
          <w:szCs w:val="24"/>
          <w:lang w:eastAsia="es-ES"/>
        </w:rPr>
      </w:pPr>
      <w:r>
        <w:rPr>
          <w:rFonts w:eastAsia="Times New Roman" w:cs="Tahoma"/>
          <w:b/>
          <w:color w:val="auto"/>
          <w:szCs w:val="24"/>
          <w:lang w:eastAsia="es-ES"/>
        </w:rPr>
        <w:t>f</w:t>
      </w:r>
      <w:r w:rsidRPr="00A2355B" w:rsidR="00D8203F">
        <w:rPr>
          <w:rFonts w:eastAsia="Times New Roman" w:cs="Tahoma"/>
          <w:b/>
          <w:color w:val="auto"/>
          <w:szCs w:val="24"/>
          <w:lang w:eastAsia="es-ES"/>
        </w:rPr>
        <w:t>) Cierre de instrucción.</w:t>
      </w:r>
      <w:r w:rsidRPr="00A2355B" w:rsidR="00D8203F">
        <w:rPr>
          <w:rFonts w:eastAsia="Times New Roman" w:cs="Tahoma"/>
          <w:color w:val="auto"/>
          <w:szCs w:val="24"/>
          <w:lang w:eastAsia="es-ES"/>
        </w:rPr>
        <w:t xml:space="preserve"> El </w:t>
      </w:r>
      <w:r w:rsidR="00D173B4">
        <w:rPr>
          <w:rFonts w:eastAsia="Times New Roman" w:cs="Tahoma"/>
          <w:color w:val="auto"/>
          <w:szCs w:val="24"/>
          <w:lang w:val="es-ES" w:eastAsia="es-ES"/>
        </w:rPr>
        <w:t>dieciocho</w:t>
      </w:r>
      <w:r w:rsidR="0087558A">
        <w:rPr>
          <w:rFonts w:eastAsia="Times New Roman" w:cs="Tahoma"/>
          <w:color w:val="auto"/>
          <w:szCs w:val="24"/>
          <w:lang w:val="es-ES" w:eastAsia="es-ES"/>
        </w:rPr>
        <w:t xml:space="preserve"> de marzo</w:t>
      </w:r>
      <w:r w:rsidR="00953BD3">
        <w:rPr>
          <w:rFonts w:eastAsia="Times New Roman" w:cs="Tahoma"/>
          <w:color w:val="auto"/>
          <w:szCs w:val="24"/>
          <w:lang w:val="es-ES" w:eastAsia="es-ES"/>
        </w:rPr>
        <w:t xml:space="preserve"> de dos mil veintidós</w:t>
      </w:r>
      <w:r w:rsidRPr="00A2355B" w:rsidR="00D8203F">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A2355B" w:rsidR="00D8203F">
        <w:rPr>
          <w:rFonts w:eastAsia="Times New Roman" w:cs="Tahoma"/>
          <w:color w:val="auto"/>
          <w:szCs w:val="20"/>
          <w:lang w:val="es-ES" w:eastAsia="es-ES"/>
        </w:rPr>
        <w:t>Sistema de Acceso a la Información Mexiquense (SAIMEX)</w:t>
      </w:r>
      <w:r w:rsidRPr="00A2355B" w:rsidR="00D8203F">
        <w:rPr>
          <w:rFonts w:eastAsia="Times New Roman" w:cs="Tahoma"/>
          <w:color w:val="auto"/>
          <w:szCs w:val="24"/>
          <w:lang w:eastAsia="es-ES"/>
        </w:rPr>
        <w:t>.</w:t>
      </w:r>
    </w:p>
    <w:p w:rsidRPr="00A2355B" w:rsidR="00EF640A" w:rsidP="00FD5865" w:rsidRDefault="00EF640A" w14:paraId="7D034060" w14:textId="77777777">
      <w:pPr>
        <w:spacing w:after="0"/>
        <w:rPr>
          <w:rFonts w:eastAsia="Times New Roman" w:cs="Tahoma"/>
          <w:color w:val="auto"/>
          <w:szCs w:val="24"/>
          <w:lang w:val="es-ES" w:eastAsia="es-ES"/>
        </w:rPr>
      </w:pPr>
    </w:p>
    <w:p w:rsidRPr="00A2355B" w:rsidR="00D8203F" w:rsidP="00FD5865" w:rsidRDefault="00D8203F" w14:paraId="79CDDFD7" w14:textId="77777777">
      <w:pPr>
        <w:spacing w:after="0"/>
        <w:rPr>
          <w:rFonts w:eastAsia="Times New Roman" w:cs="Tahoma"/>
          <w:color w:val="000000"/>
          <w:szCs w:val="24"/>
          <w:lang w:eastAsia="es-ES"/>
        </w:rPr>
      </w:pPr>
      <w:r w:rsidRPr="00A2355B">
        <w:rPr>
          <w:rFonts w:eastAsia="Times New Roman" w:cs="Tahoma"/>
          <w:color w:val="000000"/>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00D8203F" w:rsidP="00FD5865" w:rsidRDefault="00D8203F" w14:paraId="6A1125E0" w14:textId="77777777">
      <w:pPr>
        <w:spacing w:after="0"/>
        <w:rPr>
          <w:rFonts w:eastAsia="Times New Roman" w:cs="Tahoma"/>
          <w:bCs/>
          <w:iCs/>
          <w:color w:val="auto"/>
          <w:lang w:val="es-ES" w:eastAsia="es-ES"/>
        </w:rPr>
      </w:pPr>
    </w:p>
    <w:p w:rsidRPr="005813D8" w:rsidR="00D173B4" w:rsidP="00FD5865" w:rsidRDefault="00D173B4" w14:paraId="79640460" w14:textId="77777777">
      <w:pPr>
        <w:spacing w:after="0"/>
        <w:jc w:val="center"/>
        <w:rPr>
          <w:rFonts w:eastAsia="Times New Roman" w:cs="Tahoma"/>
          <w:b/>
          <w:color w:val="auto"/>
          <w:lang w:val="es-ES" w:eastAsia="es-ES"/>
        </w:rPr>
      </w:pPr>
      <w:r w:rsidRPr="005813D8">
        <w:rPr>
          <w:rFonts w:eastAsia="Times New Roman" w:cs="Tahoma"/>
          <w:b/>
          <w:color w:val="auto"/>
          <w:lang w:val="es-ES" w:eastAsia="es-ES"/>
        </w:rPr>
        <w:t>C O N S I D E R A N D O S:</w:t>
      </w:r>
    </w:p>
    <w:p w:rsidRPr="005813D8" w:rsidR="00D173B4" w:rsidP="00FD5865" w:rsidRDefault="00D173B4" w14:paraId="0D08DF9F" w14:textId="77777777">
      <w:pPr>
        <w:autoSpaceDE w:val="0"/>
        <w:autoSpaceDN w:val="0"/>
        <w:adjustRightInd w:val="0"/>
        <w:spacing w:after="0"/>
        <w:rPr>
          <w:rFonts w:eastAsia="Times New Roman" w:cs="Tahoma"/>
          <w:b/>
          <w:color w:val="auto"/>
          <w:szCs w:val="24"/>
          <w:lang w:val="es-ES" w:eastAsia="es-ES"/>
        </w:rPr>
      </w:pPr>
      <w:r w:rsidRPr="005813D8">
        <w:rPr>
          <w:rFonts w:eastAsia="Calibri" w:cs="Tahoma"/>
          <w:b/>
          <w:color w:val="000000"/>
          <w:szCs w:val="24"/>
          <w:lang w:val="es-ES" w:eastAsia="es-MX"/>
        </w:rPr>
        <w:t>PRIMERO</w:t>
      </w:r>
      <w:r w:rsidRPr="005813D8">
        <w:rPr>
          <w:rFonts w:eastAsia="Calibri" w:cs="Tahoma"/>
          <w:color w:val="000000"/>
          <w:szCs w:val="24"/>
          <w:lang w:val="es-ES" w:eastAsia="es-MX"/>
        </w:rPr>
        <w:t xml:space="preserve">. </w:t>
      </w:r>
      <w:r w:rsidRPr="005813D8">
        <w:rPr>
          <w:rFonts w:eastAsia="Times New Roman" w:cs="Tahoma"/>
          <w:b/>
          <w:color w:val="auto"/>
          <w:szCs w:val="24"/>
          <w:lang w:val="es-ES" w:eastAsia="es-ES"/>
        </w:rPr>
        <w:t>Competencia.</w:t>
      </w:r>
    </w:p>
    <w:p w:rsidRPr="005813D8" w:rsidR="00D173B4" w:rsidP="00FD5865" w:rsidRDefault="00D173B4" w14:paraId="28779D45" w14:textId="77777777">
      <w:pPr>
        <w:autoSpaceDE w:val="0"/>
        <w:autoSpaceDN w:val="0"/>
        <w:adjustRightInd w:val="0"/>
        <w:spacing w:after="0"/>
        <w:rPr>
          <w:rFonts w:eastAsia="Times New Roman" w:cs="Tahoma"/>
          <w:b/>
          <w:color w:val="auto"/>
          <w:szCs w:val="24"/>
          <w:lang w:val="es-ES" w:eastAsia="es-ES"/>
        </w:rPr>
      </w:pPr>
    </w:p>
    <w:p w:rsidRPr="005813D8" w:rsidR="00D173B4" w:rsidP="00FD5865" w:rsidRDefault="00D173B4" w14:paraId="0FD936FD" w14:textId="77777777">
      <w:pPr>
        <w:spacing w:after="0"/>
        <w:rPr>
          <w:rFonts w:eastAsia="Calibri" w:cs="Times New Roman"/>
          <w:color w:val="000000"/>
        </w:rPr>
      </w:pPr>
      <w:r w:rsidRPr="005813D8">
        <w:rPr>
          <w:rFonts w:eastAsia="Calibri" w:cs="Times New Roman"/>
          <w:color w:val="000000"/>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5813D8" w:rsidR="00D173B4" w:rsidP="00FD5865" w:rsidRDefault="00D173B4" w14:paraId="1B1F3000" w14:textId="77777777">
      <w:pPr>
        <w:spacing w:after="0"/>
        <w:rPr>
          <w:rFonts w:eastAsia="Times New Roman" w:cs="Tahoma"/>
          <w:bCs/>
          <w:color w:val="auto"/>
          <w:lang w:eastAsia="es-ES"/>
        </w:rPr>
      </w:pPr>
    </w:p>
    <w:p w:rsidRPr="005813D8" w:rsidR="00D173B4" w:rsidP="00FD5865" w:rsidRDefault="00D173B4" w14:paraId="16812A4C" w14:textId="77777777">
      <w:pPr>
        <w:spacing w:after="0"/>
        <w:rPr>
          <w:rFonts w:eastAsia="Times New Roman" w:cs="Tahoma"/>
          <w:b/>
          <w:color w:val="auto"/>
          <w:lang w:eastAsia="es-ES"/>
        </w:rPr>
      </w:pPr>
      <w:r w:rsidRPr="005813D8">
        <w:rPr>
          <w:rFonts w:eastAsia="Times New Roman" w:cs="Tahoma"/>
          <w:b/>
          <w:color w:val="auto"/>
          <w:lang w:eastAsia="es-ES"/>
        </w:rPr>
        <w:t>SEGUNDO. Causales de procedencia.</w:t>
      </w:r>
    </w:p>
    <w:p w:rsidRPr="005813D8" w:rsidR="00D173B4" w:rsidP="00FD5865" w:rsidRDefault="00D173B4" w14:paraId="74406538" w14:textId="77777777">
      <w:pPr>
        <w:spacing w:after="0"/>
        <w:rPr>
          <w:rFonts w:eastAsia="Times New Roman" w:cs="Tahoma"/>
          <w:bCs/>
          <w:color w:val="auto"/>
          <w:lang w:eastAsia="es-ES"/>
        </w:rPr>
      </w:pPr>
    </w:p>
    <w:p w:rsidRPr="005813D8" w:rsidR="00D173B4" w:rsidP="00FD5865" w:rsidRDefault="00D173B4" w14:paraId="65781DB6" w14:textId="77777777">
      <w:pPr>
        <w:spacing w:after="0"/>
        <w:rPr>
          <w:rFonts w:eastAsia="Times New Roman" w:cs="Tahoma"/>
          <w:bCs/>
          <w:color w:val="auto"/>
          <w:lang w:eastAsia="es-ES"/>
        </w:rPr>
      </w:pPr>
      <w:r w:rsidRPr="005813D8">
        <w:rPr>
          <w:rFonts w:eastAsia="Times New Roman" w:cs="Tahoma"/>
          <w:bCs/>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5813D8" w:rsidR="00D173B4" w:rsidP="00FD5865" w:rsidRDefault="00D173B4" w14:paraId="4C18BF6F" w14:textId="77777777">
      <w:pPr>
        <w:spacing w:after="0"/>
        <w:rPr>
          <w:rFonts w:eastAsia="Times New Roman" w:cs="Tahoma"/>
          <w:bCs/>
          <w:color w:val="auto"/>
          <w:lang w:eastAsia="es-ES"/>
        </w:rPr>
      </w:pPr>
      <w:r w:rsidRPr="005813D8">
        <w:rPr>
          <w:rFonts w:eastAsia="Times New Roman" w:cs="Tahoma"/>
          <w:bCs/>
          <w:color w:val="auto"/>
          <w:lang w:eastAsia="es-ES"/>
        </w:rPr>
        <w:t> </w:t>
      </w:r>
    </w:p>
    <w:p w:rsidRPr="005813D8" w:rsidR="00D173B4" w:rsidP="00FD5865" w:rsidRDefault="00D173B4" w14:paraId="6C74E9E0" w14:textId="77777777">
      <w:pPr>
        <w:spacing w:after="0"/>
        <w:rPr>
          <w:rFonts w:eastAsia="Times New Roman" w:cs="Tahoma"/>
          <w:color w:val="auto"/>
          <w:szCs w:val="24"/>
          <w:lang w:eastAsia="es-ES"/>
        </w:rPr>
      </w:pPr>
      <w:r w:rsidRPr="005813D8">
        <w:rPr>
          <w:rFonts w:eastAsia="Times New Roman" w:cs="Tahoma"/>
          <w:color w:val="auto"/>
          <w:szCs w:val="24"/>
          <w:lang w:eastAsia="es-ES"/>
        </w:rPr>
        <w:t>En el presente caso, </w:t>
      </w:r>
      <w:r w:rsidRPr="005813D8">
        <w:rPr>
          <w:rFonts w:eastAsia="Times New Roman" w:cs="Tahoma"/>
          <w:b/>
          <w:bCs/>
          <w:color w:val="auto"/>
          <w:szCs w:val="24"/>
          <w:lang w:eastAsia="es-ES"/>
        </w:rPr>
        <w:t>no se actualiza ninguna de las causales de improcedencia</w:t>
      </w:r>
      <w:r w:rsidRPr="005813D8">
        <w:rPr>
          <w:rFonts w:eastAsia="Times New Roman" w:cs="Tahoma"/>
          <w:color w:val="auto"/>
          <w:szCs w:val="24"/>
          <w:lang w:eastAsia="es-ES"/>
        </w:rPr>
        <w:t xml:space="preserve"> establecidas en el ordenamiento jurídico previamente señalado, en sus fracciones I a VI, toda vez que: este </w:t>
      </w:r>
      <w:r w:rsidRPr="005813D8">
        <w:rPr>
          <w:rFonts w:eastAsia="Times New Roman" w:cs="Tahoma"/>
          <w:color w:val="auto"/>
          <w:szCs w:val="24"/>
          <w:lang w:eastAsia="es-ES"/>
        </w:rPr>
        <w:lastRenderedPageBreak/>
        <w:t>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mediante el pedimento de información.</w:t>
      </w:r>
    </w:p>
    <w:p w:rsidRPr="005813D8" w:rsidR="00D173B4" w:rsidP="00FD5865" w:rsidRDefault="00D173B4" w14:paraId="5C3D2D6F" w14:textId="77777777">
      <w:pPr>
        <w:spacing w:after="0"/>
        <w:rPr>
          <w:rFonts w:eastAsia="Times New Roman" w:cs="Tahoma"/>
          <w:color w:val="auto"/>
          <w:lang w:eastAsia="es-ES"/>
        </w:rPr>
      </w:pPr>
    </w:p>
    <w:p w:rsidR="00D173B4" w:rsidP="00FD5865" w:rsidRDefault="00D173B4" w14:paraId="3204ED4B" w14:textId="77777777">
      <w:pPr>
        <w:spacing w:after="0"/>
        <w:rPr>
          <w:rFonts w:eastAsia="Times New Roman" w:cs="Tahoma"/>
          <w:bCs/>
          <w:color w:val="auto"/>
          <w:lang w:eastAsia="es-ES"/>
        </w:rPr>
      </w:pPr>
      <w:r>
        <w:rPr>
          <w:rFonts w:eastAsia="Times New Roman" w:cs="Tahoma"/>
          <w:bCs/>
          <w:color w:val="auto"/>
          <w:lang w:eastAsia="es-ES"/>
        </w:rPr>
        <w:t>Asimismo, se actualiza la causal de procedencia del Recurso de Revisión señalada en el artículo 179, fracción V, de la Ley en cita, pues el Recurrente se inconformó con la entrega de la información incompleta.</w:t>
      </w:r>
    </w:p>
    <w:p w:rsidR="00EB0F2D" w:rsidP="00FD5865" w:rsidRDefault="00EB0F2D" w14:paraId="3A759EA0" w14:textId="77777777">
      <w:pPr>
        <w:spacing w:after="0"/>
        <w:rPr>
          <w:rFonts w:eastAsia="Times New Roman" w:cs="Tahoma"/>
          <w:b/>
          <w:bCs/>
          <w:color w:val="auto"/>
          <w:lang w:eastAsia="es-ES"/>
        </w:rPr>
      </w:pPr>
    </w:p>
    <w:p w:rsidR="00D173B4" w:rsidP="00FD5865" w:rsidRDefault="00EB0F2D" w14:paraId="0210144A" w14:textId="29677F7E">
      <w:pPr>
        <w:spacing w:after="0"/>
        <w:rPr>
          <w:rFonts w:eastAsia="Times New Roman" w:cs="Tahoma"/>
          <w:b/>
          <w:bCs/>
          <w:color w:val="auto"/>
          <w:lang w:eastAsia="es-ES"/>
        </w:rPr>
      </w:pPr>
      <w:r w:rsidRPr="00B23031">
        <w:rPr>
          <w:rFonts w:eastAsia="Times New Roman" w:cs="Tahoma"/>
          <w:b/>
          <w:bCs/>
          <w:color w:val="auto"/>
          <w:lang w:eastAsia="es-ES"/>
        </w:rPr>
        <w:t>Causales de sobreseimiento.</w:t>
      </w:r>
    </w:p>
    <w:p w:rsidR="00EB0F2D" w:rsidP="00FD5865" w:rsidRDefault="00EB0F2D" w14:paraId="0292DD6B" w14:textId="57450C47">
      <w:pPr>
        <w:spacing w:after="0"/>
        <w:rPr>
          <w:rFonts w:eastAsia="Times New Roman" w:cs="Tahoma"/>
          <w:b/>
          <w:bCs/>
          <w:color w:val="auto"/>
          <w:lang w:eastAsia="es-ES"/>
        </w:rPr>
      </w:pPr>
    </w:p>
    <w:p w:rsidRPr="00EC463A" w:rsidR="00EB0F2D" w:rsidP="00FD5865" w:rsidRDefault="00EB0F2D" w14:paraId="61BCE690" w14:textId="77777777">
      <w:pPr>
        <w:spacing w:after="0"/>
        <w:rPr>
          <w:rFonts w:eastAsia="Times New Roman" w:cs="Tahoma"/>
          <w:bCs/>
          <w:color w:val="000000"/>
          <w:lang w:eastAsia="es-ES"/>
        </w:rPr>
      </w:pPr>
      <w:r w:rsidRPr="00EC463A">
        <w:rPr>
          <w:rFonts w:eastAsia="Times New Roman" w:cs="Tahoma"/>
          <w:color w:val="auto"/>
          <w:shd w:val="clear" w:color="auto" w:fill="FFFFFF"/>
          <w:lang w:val="es-ES" w:eastAsia="es-ES"/>
        </w:rPr>
        <w:t xml:space="preserve">Por ser de previo </w:t>
      </w:r>
      <w:r w:rsidRPr="00EC463A">
        <w:rPr>
          <w:rFonts w:eastAsia="Times New Roman" w:cs="Tahoma"/>
          <w:bCs/>
          <w:color w:val="000000"/>
          <w:lang w:eastAsia="es-ES"/>
        </w:rPr>
        <w:t>y especial pronunciamiento, este Instituto analiza si se actualiza alguna causal de sobreseimiento.</w:t>
      </w:r>
    </w:p>
    <w:p w:rsidRPr="00EC463A" w:rsidR="00EB0F2D" w:rsidP="00FD5865" w:rsidRDefault="00EB0F2D" w14:paraId="26E5FEDA" w14:textId="77777777">
      <w:pPr>
        <w:spacing w:after="0"/>
        <w:rPr>
          <w:rFonts w:eastAsia="Times New Roman" w:cs="Tahoma"/>
          <w:bCs/>
          <w:iCs/>
          <w:color w:val="000000"/>
          <w:lang w:eastAsia="es-ES"/>
        </w:rPr>
      </w:pPr>
    </w:p>
    <w:p w:rsidRPr="001720FC" w:rsidR="00EB0F2D" w:rsidP="00FD5865" w:rsidRDefault="00EB0F2D" w14:paraId="606EB12F" w14:textId="77777777">
      <w:pPr>
        <w:spacing w:after="0"/>
        <w:rPr>
          <w:rFonts w:eastAsia="Calibri" w:cs="Tahoma"/>
          <w:color w:val="auto"/>
          <w:lang w:eastAsia="es-ES_tradnl"/>
        </w:rPr>
      </w:pPr>
      <w:r w:rsidRPr="001720FC">
        <w:rPr>
          <w:rFonts w:eastAsia="Times New Roman" w:cs="Tahoma"/>
          <w:color w:val="auto"/>
          <w:lang w:eastAsia="es-ES"/>
        </w:rPr>
        <w:t xml:space="preserve">El artículo 192 de la </w:t>
      </w:r>
      <w:r w:rsidRPr="001720FC">
        <w:rPr>
          <w:rFonts w:eastAsia="Calibri" w:cs="Tahoma"/>
          <w:bCs/>
          <w:color w:val="auto"/>
          <w:lang w:eastAsia="es-ES_tradnl"/>
        </w:rPr>
        <w:t xml:space="preserve">Ley Transparencia y Acceso a la Información Pública del Estado de México y Municipios, señala las causales por las cuales se puede sobreseer en todo o en parte el Recurso de Revisión; así, </w:t>
      </w:r>
      <w:r w:rsidRPr="001720FC">
        <w:rPr>
          <w:rFonts w:eastAsia="Calibri" w:cs="Tahoma"/>
          <w:color w:val="auto"/>
          <w:lang w:eastAsia="es-ES_tradnl"/>
        </w:rPr>
        <w:t>del análisis realizado por este Instituto, se advierte que</w:t>
      </w:r>
      <w:r w:rsidRPr="001720FC">
        <w:rPr>
          <w:rFonts w:eastAsia="Calibri" w:cs="Tahoma"/>
          <w:b/>
          <w:color w:val="auto"/>
          <w:lang w:eastAsia="es-ES_tradnl"/>
        </w:rPr>
        <w:t xml:space="preserve"> no se configuran las causales establecidas en las fracciones I, II, III, y V, </w:t>
      </w:r>
      <w:r w:rsidRPr="001720FC">
        <w:rPr>
          <w:rFonts w:eastAsia="Calibri" w:cs="Tahoma"/>
          <w:color w:val="auto"/>
          <w:lang w:eastAsia="es-ES_tradnl"/>
        </w:rPr>
        <w:t>toda vez que no hay constancias en el expediente en que se actúa, de que la Recurrente se haya desistido, fallecido, que el Sujeto Obligado hubiese modificado o revocado el acto impugnado o bien, haya quedado sin materia.</w:t>
      </w:r>
    </w:p>
    <w:p w:rsidRPr="001720FC" w:rsidR="00EB0F2D" w:rsidP="00FD5865" w:rsidRDefault="00EB0F2D" w14:paraId="11903690" w14:textId="77777777">
      <w:pPr>
        <w:spacing w:after="0"/>
        <w:rPr>
          <w:rFonts w:eastAsia="Calibri" w:cs="Tahoma"/>
          <w:color w:val="auto"/>
          <w:lang w:eastAsia="es-ES_tradnl"/>
        </w:rPr>
      </w:pPr>
    </w:p>
    <w:p w:rsidRPr="001720FC" w:rsidR="00EB0F2D" w:rsidP="00FD5865" w:rsidRDefault="00EB0F2D" w14:paraId="6489E7A9" w14:textId="77777777">
      <w:pPr>
        <w:spacing w:after="0"/>
        <w:rPr>
          <w:rFonts w:eastAsia="Calibri" w:cs="Tahoma"/>
          <w:bCs/>
          <w:color w:val="auto"/>
          <w:lang w:val="es-ES" w:eastAsia="es-ES_tradnl"/>
        </w:rPr>
      </w:pPr>
      <w:r w:rsidRPr="001720FC">
        <w:rPr>
          <w:rFonts w:eastAsia="Calibri" w:cs="Tahoma"/>
          <w:color w:val="auto"/>
          <w:lang w:eastAsia="es-ES_tradnl"/>
        </w:rPr>
        <w:t xml:space="preserve">No obstante, por lo que hace a la hipótesis prevista en la fracción IV, a saber, que, una vez admitido el Recurso de Revisión, aparezca alguna causal de improcedencia en términos de la presente Ley, </w:t>
      </w:r>
      <w:r w:rsidRPr="001720FC">
        <w:rPr>
          <w:rFonts w:eastAsia="Calibri" w:cs="Tahoma"/>
          <w:bCs/>
          <w:color w:val="auto"/>
          <w:lang w:eastAsia="es-ES_tradnl"/>
        </w:rPr>
        <w:t>resulta necesario traer a colación</w:t>
      </w:r>
      <w:r w:rsidRPr="001720FC">
        <w:rPr>
          <w:rFonts w:eastAsia="Calibri" w:cs="Tahoma"/>
          <w:bCs/>
          <w:color w:val="auto"/>
          <w:lang w:val="es-ES" w:eastAsia="es-ES_tradnl"/>
        </w:rPr>
        <w:t xml:space="preserve"> el artículo 191, fracción VII, de dicho </w:t>
      </w:r>
      <w:r w:rsidRPr="001720FC">
        <w:rPr>
          <w:rFonts w:eastAsia="Calibri" w:cs="Tahoma"/>
          <w:bCs/>
          <w:color w:val="auto"/>
          <w:lang w:val="es-ES" w:eastAsia="es-ES_tradnl"/>
        </w:rPr>
        <w:lastRenderedPageBreak/>
        <w:t>ordenamiento jurídico, que establece que el Recurso de Revisión será desechado por improcedente, cuando la parte Recurrente amplíe su solicitud en el Medio de Impugnación.</w:t>
      </w:r>
    </w:p>
    <w:p w:rsidRPr="001720FC" w:rsidR="00EB0F2D" w:rsidP="00FD5865" w:rsidRDefault="00EB0F2D" w14:paraId="198924D3" w14:textId="77777777">
      <w:pPr>
        <w:spacing w:after="0"/>
        <w:rPr>
          <w:rFonts w:eastAsia="Calibri" w:cs="Tahoma"/>
          <w:bCs/>
          <w:color w:val="auto"/>
          <w:lang w:val="es-ES" w:eastAsia="es-ES_tradnl"/>
        </w:rPr>
      </w:pPr>
    </w:p>
    <w:p w:rsidRPr="00EC463A" w:rsidR="00EB0F2D" w:rsidP="00FD5865" w:rsidRDefault="00EB0F2D" w14:paraId="3D5671BE" w14:textId="1BB3BCC8">
      <w:pPr>
        <w:spacing w:after="0"/>
        <w:rPr>
          <w:rFonts w:eastAsia="Times New Roman" w:cs="Tahoma"/>
          <w:bCs/>
          <w:color w:val="000000"/>
        </w:rPr>
      </w:pPr>
      <w:r w:rsidRPr="001720FC">
        <w:rPr>
          <w:rFonts w:eastAsia="Calibri" w:cs="Tahoma"/>
          <w:bCs/>
          <w:color w:val="auto"/>
          <w:lang w:val="es-ES" w:eastAsia="es-ES_tradnl"/>
        </w:rPr>
        <w:t>En ese orden de ideas, de las constancias que obran en el expediente respectivo, se colige que el Particular solicitó</w:t>
      </w:r>
      <w:r>
        <w:rPr>
          <w:rFonts w:eastAsia="Calibri" w:cs="Tahoma"/>
          <w:bCs/>
          <w:color w:val="auto"/>
          <w:lang w:val="es-ES" w:eastAsia="es-ES_tradnl"/>
        </w:rPr>
        <w:t xml:space="preserve"> conocer el nombre, cargo y puesto de los servidores públicos entrantes y salientes.</w:t>
      </w:r>
    </w:p>
    <w:p w:rsidRPr="001720FC" w:rsidR="00EB0F2D" w:rsidP="00FD5865" w:rsidRDefault="00EB0F2D" w14:paraId="38565D9E" w14:textId="77777777">
      <w:pPr>
        <w:spacing w:after="0"/>
        <w:rPr>
          <w:rFonts w:eastAsia="Calibri" w:cs="Tahoma"/>
          <w:bCs/>
          <w:color w:val="auto"/>
          <w:lang w:val="es-ES" w:eastAsia="es-ES_tradnl"/>
        </w:rPr>
      </w:pPr>
    </w:p>
    <w:p w:rsidRPr="00EB0F2D" w:rsidR="00EB0F2D" w:rsidP="00FD5865" w:rsidRDefault="00EB0F2D" w14:paraId="645236D6" w14:textId="154E009C">
      <w:pPr>
        <w:spacing w:after="0"/>
        <w:rPr>
          <w:rFonts w:eastAsia="Calibri" w:cs="Tahoma"/>
          <w:color w:val="auto"/>
          <w:lang w:val="es-ES" w:eastAsia="es-ES_tradnl"/>
        </w:rPr>
      </w:pPr>
      <w:r w:rsidRPr="001720FC">
        <w:rPr>
          <w:rFonts w:eastAsia="Calibri" w:cs="Tahoma"/>
          <w:bCs/>
          <w:color w:val="auto"/>
          <w:lang w:val="es-ES" w:eastAsia="es-ES_tradnl"/>
        </w:rPr>
        <w:t xml:space="preserve">Ante tal requerimiento, el Solicitante interpuso Recurso de Revisión e indicó </w:t>
      </w:r>
      <w:r w:rsidRPr="00EB0F2D">
        <w:rPr>
          <w:rFonts w:eastAsia="Calibri" w:cs="Tahoma"/>
          <w:color w:val="auto"/>
          <w:lang w:val="es-ES" w:eastAsia="es-ES_tradnl"/>
        </w:rPr>
        <w:t>que no se le hab</w:t>
      </w:r>
      <w:r>
        <w:rPr>
          <w:rFonts w:eastAsia="Calibri" w:cs="Tahoma"/>
          <w:color w:val="auto"/>
          <w:lang w:val="es-ES" w:eastAsia="es-ES_tradnl"/>
        </w:rPr>
        <w:t>í</w:t>
      </w:r>
      <w:r w:rsidRPr="00EB0F2D">
        <w:rPr>
          <w:rFonts w:eastAsia="Calibri" w:cs="Tahoma"/>
          <w:color w:val="auto"/>
          <w:lang w:val="es-ES" w:eastAsia="es-ES_tradnl"/>
        </w:rPr>
        <w:t>a</w:t>
      </w:r>
      <w:r>
        <w:rPr>
          <w:rFonts w:eastAsia="Calibri" w:cs="Tahoma"/>
          <w:color w:val="auto"/>
          <w:lang w:val="es-ES" w:eastAsia="es-ES_tradnl"/>
        </w:rPr>
        <w:t xml:space="preserve"> indicado, si los servidores públicos contaban con gratificaciones, bonos de riesgo, entre otros.</w:t>
      </w:r>
    </w:p>
    <w:p w:rsidRPr="001720FC" w:rsidR="00EB0F2D" w:rsidP="00FD5865" w:rsidRDefault="00EB0F2D" w14:paraId="410E91AC" w14:textId="77777777">
      <w:pPr>
        <w:spacing w:after="0"/>
        <w:rPr>
          <w:rFonts w:eastAsia="Calibri" w:cs="Tahoma"/>
          <w:bCs/>
          <w:color w:val="auto"/>
          <w:lang w:val="es-ES" w:eastAsia="es-ES_tradnl"/>
        </w:rPr>
      </w:pPr>
    </w:p>
    <w:p w:rsidRPr="001720FC" w:rsidR="00EB0F2D" w:rsidP="00FD5865" w:rsidRDefault="00EB0F2D" w14:paraId="66F75CD5" w14:textId="0CD2BBB9">
      <w:pPr>
        <w:spacing w:after="0"/>
        <w:rPr>
          <w:rFonts w:eastAsia="Calibri" w:cs="Tahoma"/>
          <w:color w:val="auto"/>
          <w:lang w:eastAsia="es-ES_tradnl"/>
        </w:rPr>
      </w:pPr>
      <w:r w:rsidRPr="001720FC">
        <w:rPr>
          <w:rFonts w:eastAsia="Calibri" w:cs="Tahoma"/>
          <w:color w:val="auto"/>
          <w:lang w:eastAsia="es-ES_tradnl"/>
        </w:rPr>
        <w:t xml:space="preserve">En ese sentido, del contraste entre el planteamiento formulado en la solicitud de información y las manifestaciones vertidas por el ahora Recurrente, a través de su escrito </w:t>
      </w:r>
      <w:proofErr w:type="spellStart"/>
      <w:r w:rsidRPr="001720FC">
        <w:rPr>
          <w:rFonts w:eastAsia="Calibri" w:cs="Tahoma"/>
          <w:color w:val="auto"/>
          <w:lang w:eastAsia="es-ES_tradnl"/>
        </w:rPr>
        <w:t>recursal</w:t>
      </w:r>
      <w:proofErr w:type="spellEnd"/>
      <w:r w:rsidRPr="001720FC">
        <w:rPr>
          <w:rFonts w:eastAsia="Calibri" w:cs="Tahoma"/>
          <w:color w:val="auto"/>
          <w:lang w:eastAsia="es-ES_tradnl"/>
        </w:rPr>
        <w:t xml:space="preserve">, se colige que a través de este pretende obtener información diversa a la inicialmente requerida, pues en primera instancia requirió </w:t>
      </w:r>
      <w:r>
        <w:rPr>
          <w:rFonts w:eastAsia="Calibri" w:cs="Tahoma"/>
          <w:color w:val="auto"/>
          <w:lang w:eastAsia="es-ES_tradnl"/>
        </w:rPr>
        <w:t>únicamente los sueldos</w:t>
      </w:r>
      <w:r w:rsidRPr="001720FC">
        <w:rPr>
          <w:rFonts w:eastAsia="Calibri" w:cs="Tahoma"/>
          <w:color w:val="auto"/>
          <w:lang w:eastAsia="es-ES_tradnl"/>
        </w:rPr>
        <w:t>; mientras que</w:t>
      </w:r>
      <w:r>
        <w:rPr>
          <w:rFonts w:eastAsia="Calibri" w:cs="Tahoma"/>
          <w:color w:val="auto"/>
          <w:lang w:eastAsia="es-ES_tradnl"/>
        </w:rPr>
        <w:t>,</w:t>
      </w:r>
      <w:r w:rsidRPr="001720FC">
        <w:rPr>
          <w:rFonts w:eastAsia="Calibri" w:cs="Tahoma"/>
          <w:color w:val="auto"/>
          <w:lang w:eastAsia="es-ES_tradnl"/>
        </w:rPr>
        <w:t xml:space="preserve"> en la segunda, requirió</w:t>
      </w:r>
      <w:r>
        <w:rPr>
          <w:rFonts w:eastAsia="Calibri" w:cs="Tahoma"/>
          <w:color w:val="auto"/>
          <w:lang w:eastAsia="es-ES_tradnl"/>
        </w:rPr>
        <w:t xml:space="preserve"> conocer si recibían alguna </w:t>
      </w:r>
      <w:proofErr w:type="gramStart"/>
      <w:r>
        <w:rPr>
          <w:rFonts w:eastAsia="Calibri" w:cs="Tahoma"/>
          <w:color w:val="auto"/>
          <w:lang w:eastAsia="es-ES_tradnl"/>
        </w:rPr>
        <w:t>prestación.</w:t>
      </w:r>
      <w:r w:rsidRPr="001720FC">
        <w:rPr>
          <w:rFonts w:eastAsia="Calibri" w:cs="Tahoma"/>
          <w:color w:val="auto"/>
          <w:lang w:eastAsia="es-ES_tradnl"/>
        </w:rPr>
        <w:t>.</w:t>
      </w:r>
      <w:proofErr w:type="gramEnd"/>
    </w:p>
    <w:p w:rsidRPr="001720FC" w:rsidR="00EB0F2D" w:rsidP="00FD5865" w:rsidRDefault="00EB0F2D" w14:paraId="3AB1400E" w14:textId="77777777">
      <w:pPr>
        <w:spacing w:after="0"/>
        <w:rPr>
          <w:rFonts w:eastAsia="Calibri" w:cs="Tahoma"/>
          <w:color w:val="auto"/>
          <w:lang w:eastAsia="es-ES_tradnl"/>
        </w:rPr>
      </w:pPr>
    </w:p>
    <w:p w:rsidRPr="001720FC" w:rsidR="00EB0F2D" w:rsidP="00FD5865" w:rsidRDefault="00EB0F2D" w14:paraId="3CF32969" w14:textId="77777777">
      <w:pPr>
        <w:spacing w:after="0"/>
        <w:rPr>
          <w:rFonts w:eastAsia="Times New Roman" w:cs="Tahoma"/>
          <w:b/>
          <w:color w:val="auto"/>
          <w:lang w:val="es-ES" w:eastAsia="es-ES"/>
        </w:rPr>
      </w:pPr>
      <w:r w:rsidRPr="001720FC">
        <w:rPr>
          <w:rFonts w:eastAsia="Times New Roman" w:cs="Tahoma"/>
          <w:color w:val="auto"/>
          <w:lang w:val="es-ES" w:eastAsia="es-ES"/>
        </w:rPr>
        <w:t>En ese orden de ideas, dicha situación no puede constituir materia de estudio del presente Recurso de Revisión, debido a que la solicitud de información debe ser apreciada en los términos en que fue planteada originalmente ante el Sujeto Obligado,</w:t>
      </w:r>
      <w:r w:rsidRPr="001720FC">
        <w:rPr>
          <w:rFonts w:eastAsia="Times New Roman" w:cs="Tahoma"/>
          <w:b/>
          <w:color w:val="auto"/>
          <w:lang w:val="es-ES" w:eastAsia="es-ES"/>
        </w:rPr>
        <w:t xml:space="preserve"> sin variar en el fondo la controversia, ni constituir un nuevo requerimiento informativo.</w:t>
      </w:r>
    </w:p>
    <w:p w:rsidRPr="001720FC" w:rsidR="00EB0F2D" w:rsidP="00FD5865" w:rsidRDefault="00EB0F2D" w14:paraId="57887031" w14:textId="77777777">
      <w:pPr>
        <w:spacing w:after="0"/>
        <w:rPr>
          <w:rFonts w:eastAsia="Times New Roman" w:cs="Tahoma"/>
          <w:color w:val="auto"/>
          <w:lang w:val="es-ES" w:eastAsia="es-ES"/>
        </w:rPr>
      </w:pPr>
    </w:p>
    <w:p w:rsidRPr="001720FC" w:rsidR="00EB0F2D" w:rsidP="00FD5865" w:rsidRDefault="00EB0F2D" w14:paraId="2844F9D8" w14:textId="77777777">
      <w:pPr>
        <w:spacing w:after="0"/>
        <w:rPr>
          <w:rFonts w:eastAsia="Times New Roman" w:cs="Times New Roman"/>
          <w:color w:val="auto"/>
          <w:lang w:eastAsia="es-MX"/>
        </w:rPr>
      </w:pPr>
      <w:r w:rsidRPr="001720FC">
        <w:rPr>
          <w:rFonts w:eastAsia="Times New Roman" w:cs="Times New Roman"/>
          <w:color w:val="auto"/>
          <w:lang w:eastAsia="es-MX"/>
        </w:rPr>
        <w:t>Al respecto, resulta pertinente citar, por analogía, el Criterio 01/17</w:t>
      </w:r>
      <w:r>
        <w:rPr>
          <w:rFonts w:eastAsia="Times New Roman" w:cs="Times New Roman"/>
          <w:color w:val="auto"/>
          <w:lang w:eastAsia="es-MX"/>
        </w:rPr>
        <w:t>,</w:t>
      </w:r>
      <w:r w:rsidRPr="001720FC">
        <w:rPr>
          <w:rFonts w:eastAsia="Times New Roman" w:cs="Times New Roman"/>
          <w:color w:val="auto"/>
          <w:lang w:eastAsia="es-MX"/>
        </w:rPr>
        <w:t xml:space="preserve"> emitido por el Instituto Nacional de Transparencia, Acceso a la Información y Protección de Datos Personales, el cual indica que no resulta procedente ampliar vía </w:t>
      </w:r>
      <w:r>
        <w:rPr>
          <w:rFonts w:eastAsia="Times New Roman" w:cs="Times New Roman"/>
          <w:color w:val="auto"/>
          <w:lang w:eastAsia="es-MX"/>
        </w:rPr>
        <w:t>R</w:t>
      </w:r>
      <w:r w:rsidRPr="001720FC">
        <w:rPr>
          <w:rFonts w:eastAsia="Times New Roman" w:cs="Times New Roman"/>
          <w:color w:val="auto"/>
          <w:lang w:eastAsia="es-MX"/>
        </w:rPr>
        <w:t xml:space="preserve">ecurso de </w:t>
      </w:r>
      <w:r>
        <w:rPr>
          <w:rFonts w:eastAsia="Times New Roman" w:cs="Times New Roman"/>
          <w:color w:val="auto"/>
          <w:lang w:eastAsia="es-MX"/>
        </w:rPr>
        <w:t>R</w:t>
      </w:r>
      <w:r w:rsidRPr="001720FC">
        <w:rPr>
          <w:rFonts w:eastAsia="Times New Roman" w:cs="Times New Roman"/>
          <w:color w:val="auto"/>
          <w:lang w:eastAsia="es-MX"/>
        </w:rPr>
        <w:t>evisión, las solicitudes de información:</w:t>
      </w:r>
    </w:p>
    <w:p w:rsidRPr="001720FC" w:rsidR="00EB0F2D" w:rsidP="00FD5865" w:rsidRDefault="00EB0F2D" w14:paraId="7EB36552" w14:textId="77777777">
      <w:pPr>
        <w:spacing w:after="0"/>
        <w:ind w:left="567" w:right="567"/>
        <w:rPr>
          <w:rFonts w:eastAsia="Times New Roman" w:cs="Times New Roman"/>
          <w:i/>
          <w:color w:val="auto"/>
          <w:sz w:val="20"/>
          <w:szCs w:val="20"/>
          <w:lang w:eastAsia="es-MX"/>
        </w:rPr>
      </w:pPr>
      <w:r w:rsidRPr="001720FC">
        <w:rPr>
          <w:rFonts w:eastAsia="Times New Roman" w:cs="Times New Roman"/>
          <w:i/>
          <w:color w:val="auto"/>
          <w:sz w:val="20"/>
          <w:szCs w:val="20"/>
          <w:lang w:eastAsia="es-MX"/>
        </w:rPr>
        <w:lastRenderedPageBreak/>
        <w:t>“</w:t>
      </w:r>
      <w:r w:rsidRPr="001720FC">
        <w:rPr>
          <w:rFonts w:eastAsia="Times New Roman" w:cs="Times New Roman"/>
          <w:b/>
          <w:i/>
          <w:color w:val="auto"/>
          <w:sz w:val="20"/>
          <w:szCs w:val="20"/>
          <w:lang w:eastAsia="es-MX"/>
        </w:rPr>
        <w:t>Es improcedente ampliar las solicitudes de acceso a información, a través de la interposición del recurso de revisión.</w:t>
      </w:r>
      <w:r w:rsidRPr="001720FC">
        <w:rPr>
          <w:rFonts w:eastAsia="Times New Roman" w:cs="Times New Roman"/>
          <w:i/>
          <w:color w:val="auto"/>
          <w:sz w:val="20"/>
          <w:szCs w:val="20"/>
          <w:lang w:eastAsia="es-MX"/>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Pr="001720FC" w:rsidR="00EB0F2D" w:rsidP="00FD5865" w:rsidRDefault="00EB0F2D" w14:paraId="4342F54C" w14:textId="77777777">
      <w:pPr>
        <w:spacing w:after="0"/>
        <w:rPr>
          <w:rFonts w:eastAsia="Times New Roman" w:cs="Times New Roman"/>
          <w:color w:val="auto"/>
          <w:lang w:eastAsia="es-MX"/>
        </w:rPr>
      </w:pPr>
    </w:p>
    <w:p w:rsidRPr="001720FC" w:rsidR="00EB0F2D" w:rsidP="00FD5865" w:rsidRDefault="00EB0F2D" w14:paraId="7AC93DD9" w14:textId="77777777">
      <w:pPr>
        <w:spacing w:after="0"/>
        <w:rPr>
          <w:rFonts w:eastAsia="Times New Roman" w:cs="Tahoma"/>
          <w:color w:val="auto"/>
          <w:lang w:val="es-ES" w:eastAsia="es-ES"/>
        </w:rPr>
      </w:pPr>
      <w:r w:rsidRPr="001720FC">
        <w:rPr>
          <w:rFonts w:eastAsia="Times New Roman" w:cs="Times New Roman"/>
          <w:color w:val="auto"/>
          <w:lang w:eastAsia="es-MX"/>
        </w:rPr>
        <w:t xml:space="preserve">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 </w:t>
      </w:r>
    </w:p>
    <w:p w:rsidRPr="001720FC" w:rsidR="00EB0F2D" w:rsidP="00FD5865" w:rsidRDefault="00EB0F2D" w14:paraId="1556947D" w14:textId="77777777">
      <w:pPr>
        <w:spacing w:after="0"/>
        <w:rPr>
          <w:rFonts w:eastAsia="Times New Roman" w:cs="Tahoma"/>
          <w:color w:val="auto"/>
          <w:lang w:val="es-ES" w:eastAsia="es-ES"/>
        </w:rPr>
      </w:pPr>
    </w:p>
    <w:p w:rsidRPr="001720FC" w:rsidR="00EB0F2D" w:rsidP="00FD5865" w:rsidRDefault="00EB0F2D" w14:paraId="358B2D31" w14:textId="77777777">
      <w:pPr>
        <w:spacing w:after="0"/>
        <w:rPr>
          <w:rFonts w:eastAsia="Calibri" w:cs="Arial"/>
          <w:color w:val="auto"/>
          <w:lang w:val="es-ES"/>
        </w:rPr>
      </w:pPr>
      <w:r w:rsidRPr="001720FC">
        <w:rPr>
          <w:rFonts w:eastAsia="Times New Roman" w:cs="Tahoma"/>
          <w:color w:val="auto"/>
          <w:lang w:val="es-ES" w:eastAsia="es-ES"/>
        </w:rPr>
        <w:t xml:space="preserve">Por lo tanto, dado que en el Medio de Impugnación, la parte Recurrente al plantear su inconformidad, </w:t>
      </w:r>
      <w:r w:rsidRPr="001720FC">
        <w:rPr>
          <w:rFonts w:eastAsia="Times New Roman" w:cs="Tahoma"/>
          <w:color w:val="auto"/>
          <w:lang w:eastAsia="es-ES"/>
        </w:rPr>
        <w:t xml:space="preserve">amplió parte de su solicitud, al requerir información diversa a la peticionada inicialmente, </w:t>
      </w:r>
      <w:r w:rsidRPr="001720FC">
        <w:rPr>
          <w:rFonts w:eastAsia="Times New Roman" w:cs="Tahoma"/>
          <w:color w:val="auto"/>
          <w:lang w:val="es-ES" w:eastAsia="es-ES"/>
        </w:rPr>
        <w:t xml:space="preserve">el Recurso de Revisión </w:t>
      </w:r>
      <w:r w:rsidRPr="001720FC">
        <w:rPr>
          <w:rFonts w:eastAsia="Times New Roman" w:cs="Tahoma"/>
          <w:b/>
          <w:color w:val="auto"/>
          <w:lang w:val="es-ES" w:eastAsia="es-ES"/>
        </w:rPr>
        <w:t xml:space="preserve">actualiza la causal de </w:t>
      </w:r>
      <w:proofErr w:type="spellStart"/>
      <w:r w:rsidRPr="001720FC">
        <w:rPr>
          <w:rFonts w:eastAsia="Times New Roman" w:cs="Tahoma"/>
          <w:b/>
          <w:color w:val="auto"/>
          <w:lang w:val="es-ES" w:eastAsia="es-ES"/>
        </w:rPr>
        <w:t>desechamiento</w:t>
      </w:r>
      <w:proofErr w:type="spellEnd"/>
      <w:r w:rsidRPr="001720FC">
        <w:rPr>
          <w:rFonts w:eastAsia="Times New Roman" w:cs="Tahoma"/>
          <w:b/>
          <w:color w:val="auto"/>
          <w:lang w:val="es-ES" w:eastAsia="es-ES"/>
        </w:rPr>
        <w:t xml:space="preserve"> establecida en el artículo 191, fracción VII, de la Ley de Transparencia y Acceso a la Información Pública del Estado de México y Municipios, únicamente por lo que, hace a los nuevos requerimientos; </w:t>
      </w:r>
      <w:r w:rsidRPr="001720FC">
        <w:rPr>
          <w:rFonts w:eastAsia="Times New Roman" w:cs="Tahoma"/>
          <w:color w:val="auto"/>
          <w:lang w:val="es-ES" w:eastAsia="es-ES"/>
        </w:rPr>
        <w:t xml:space="preserve"> no obstante toda vez que, fue necesario admitir el Recurso, en virtud de que la ahora Recurrente se inconformó con la respuesta otorgada por el Sujeto Obligado, al señalar que no le entregaron la información requerida, lo procedente es </w:t>
      </w:r>
      <w:r w:rsidRPr="001720FC">
        <w:rPr>
          <w:rFonts w:eastAsia="Calibri" w:cs="Arial"/>
          <w:b/>
          <w:color w:val="auto"/>
          <w:lang w:val="es-ES"/>
        </w:rPr>
        <w:t xml:space="preserve">SOBRESEER PARCIALMENTE </w:t>
      </w:r>
      <w:r w:rsidRPr="001720FC">
        <w:rPr>
          <w:rFonts w:eastAsia="Calibri" w:cs="Arial"/>
          <w:color w:val="auto"/>
          <w:lang w:val="es-ES"/>
        </w:rPr>
        <w:t>el presente Recurso de Revisión, al actualizarse el supuesto previsto en el artículo 192, fracción IV, en relación con el diverso 186, fracción I, de ese ordenamiento legal.</w:t>
      </w:r>
    </w:p>
    <w:p w:rsidRPr="001720FC" w:rsidR="00EB0F2D" w:rsidP="00FD5865" w:rsidRDefault="00EB0F2D" w14:paraId="375189F7" w14:textId="77777777">
      <w:pPr>
        <w:spacing w:after="0"/>
        <w:rPr>
          <w:rFonts w:eastAsia="Times New Roman" w:cs="Tahoma"/>
          <w:b/>
          <w:color w:val="auto"/>
          <w:lang w:val="es-ES" w:eastAsia="es-ES"/>
        </w:rPr>
      </w:pPr>
    </w:p>
    <w:p w:rsidRPr="001720FC" w:rsidR="00EB0F2D" w:rsidP="00FD5865" w:rsidRDefault="00EB0F2D" w14:paraId="4E26A86A" w14:textId="77777777">
      <w:pPr>
        <w:spacing w:after="0"/>
        <w:rPr>
          <w:rFonts w:eastAsia="Times New Roman" w:cs="Tahoma"/>
          <w:b/>
          <w:color w:val="auto"/>
          <w:lang w:val="es-ES" w:eastAsia="es-ES"/>
        </w:rPr>
      </w:pPr>
      <w:r w:rsidRPr="001720FC">
        <w:rPr>
          <w:rFonts w:eastAsia="Times New Roman" w:cs="Tahoma"/>
          <w:color w:val="auto"/>
          <w:lang w:eastAsia="es-ES"/>
        </w:rPr>
        <w:lastRenderedPageBreak/>
        <w:t>En ese orden de ideas, toda vez que no ha quedado por completo sin materia el Recurso de Revisión, se considera procedente entrar al fondo del presente asunto, al no quedar sin materia.</w:t>
      </w:r>
    </w:p>
    <w:p w:rsidR="00EB0F2D" w:rsidP="00FD5865" w:rsidRDefault="00EB0F2D" w14:paraId="0EF4DD0C" w14:textId="62D0CE9A">
      <w:pPr>
        <w:spacing w:after="0"/>
        <w:rPr>
          <w:rFonts w:eastAsia="Times New Roman" w:cs="Tahoma"/>
          <w:b/>
          <w:bCs/>
          <w:color w:val="auto"/>
          <w:lang w:eastAsia="es-ES"/>
        </w:rPr>
      </w:pPr>
    </w:p>
    <w:p w:rsidRPr="00EC463A" w:rsidR="00EB0F2D" w:rsidP="00FD5865" w:rsidRDefault="00EB0F2D" w14:paraId="70036692" w14:textId="77777777">
      <w:pPr>
        <w:spacing w:after="0"/>
        <w:rPr>
          <w:rFonts w:eastAsia="Times New Roman" w:cs="Tahoma"/>
          <w:b/>
          <w:bCs/>
          <w:color w:val="000000"/>
          <w:lang w:eastAsia="es-ES"/>
        </w:rPr>
      </w:pPr>
      <w:r w:rsidRPr="00EC463A">
        <w:rPr>
          <w:rFonts w:eastAsia="Times New Roman" w:cs="Tahoma"/>
          <w:b/>
          <w:bCs/>
          <w:color w:val="000000"/>
          <w:lang w:eastAsia="es-ES"/>
        </w:rPr>
        <w:t xml:space="preserve">TERCERO. Determinación de la Controversia. </w:t>
      </w:r>
    </w:p>
    <w:p w:rsidRPr="00EC463A" w:rsidR="00EB0F2D" w:rsidP="00FD5865" w:rsidRDefault="00EB0F2D" w14:paraId="4D82D35E" w14:textId="77777777">
      <w:pPr>
        <w:spacing w:after="0"/>
        <w:rPr>
          <w:rFonts w:eastAsia="Times New Roman" w:cs="Tahoma"/>
          <w:b/>
          <w:bCs/>
          <w:color w:val="000000"/>
          <w:lang w:eastAsia="es-ES"/>
        </w:rPr>
      </w:pPr>
    </w:p>
    <w:p w:rsidR="00E57C36" w:rsidP="00FD5865" w:rsidRDefault="00EB0F2D" w14:paraId="1925BDB3" w14:textId="74870E28">
      <w:pPr>
        <w:spacing w:after="0"/>
        <w:rPr>
          <w:rFonts w:eastAsia="Calibri" w:cs="Tahoma"/>
          <w:bCs/>
          <w:color w:val="auto"/>
          <w:lang w:val="es-ES" w:eastAsia="es-ES_tradnl"/>
        </w:rPr>
      </w:pPr>
      <w:r w:rsidRPr="00EC463A">
        <w:rPr>
          <w:rFonts w:eastAsia="Calibri" w:cs="Tahoma"/>
          <w:iCs/>
          <w:color w:val="auto"/>
          <w:lang w:val="es-ES" w:eastAsia="es-ES_tradnl"/>
        </w:rPr>
        <w:t xml:space="preserve">Una vez realizado el estudio de las constancias que integran el expediente en que se actúa, se desprende que el Particular </w:t>
      </w:r>
      <w:bookmarkStart w:name="_Hlk69934447" w:id="0"/>
      <w:r w:rsidRPr="00EC463A">
        <w:rPr>
          <w:rFonts w:eastAsia="Calibri" w:cs="Tahoma"/>
          <w:bCs/>
          <w:color w:val="auto"/>
          <w:lang w:val="es-ES" w:eastAsia="es-ES_tradnl"/>
        </w:rPr>
        <w:t xml:space="preserve">solicitó </w:t>
      </w:r>
      <w:bookmarkEnd w:id="0"/>
      <w:r>
        <w:rPr>
          <w:rFonts w:eastAsia="Calibri" w:cs="Tahoma"/>
          <w:bCs/>
          <w:color w:val="auto"/>
          <w:lang w:val="es-ES" w:eastAsia="es-ES_tradnl"/>
        </w:rPr>
        <w:t>el nombre, cargos y sueldos de los servidores públicos entrantes y salientes.</w:t>
      </w:r>
    </w:p>
    <w:p w:rsidR="00EB0F2D" w:rsidP="00FD5865" w:rsidRDefault="00EB0F2D" w14:paraId="39E50A4A" w14:textId="77777777">
      <w:pPr>
        <w:spacing w:after="0"/>
        <w:rPr>
          <w:rFonts w:eastAsia="Times New Roman" w:cs="Tahoma"/>
          <w:bCs/>
          <w:color w:val="auto"/>
          <w:lang w:eastAsia="es-ES"/>
        </w:rPr>
      </w:pPr>
    </w:p>
    <w:p w:rsidR="00D173B4" w:rsidP="00FD5865" w:rsidRDefault="00EB0F2D" w14:paraId="0114CEEC" w14:textId="6F7988A5">
      <w:pPr>
        <w:spacing w:after="0"/>
        <w:rPr>
          <w:rFonts w:eastAsia="Calibri" w:cs="Tahoma"/>
          <w:bCs/>
          <w:color w:val="auto"/>
          <w:lang w:val="es-ES" w:eastAsia="es-ES_tradnl"/>
        </w:rPr>
      </w:pPr>
      <w:r>
        <w:rPr>
          <w:rFonts w:eastAsia="Calibri" w:cs="Tahoma"/>
          <w:bCs/>
          <w:color w:val="auto"/>
          <w:lang w:val="es-ES" w:eastAsia="es-ES_tradnl"/>
        </w:rPr>
        <w:t>En</w:t>
      </w:r>
      <w:r w:rsidR="00E57C36">
        <w:rPr>
          <w:rFonts w:eastAsia="Calibri" w:cs="Tahoma"/>
          <w:bCs/>
          <w:color w:val="auto"/>
          <w:lang w:val="es-ES" w:eastAsia="es-ES_tradnl"/>
        </w:rPr>
        <w:t xml:space="preserve"> respuesta, el Sujeto Obligado remiti</w:t>
      </w:r>
      <w:r w:rsidR="00D056B8">
        <w:rPr>
          <w:rFonts w:eastAsia="Calibri" w:cs="Tahoma"/>
          <w:bCs/>
          <w:color w:val="auto"/>
          <w:lang w:val="es-ES" w:eastAsia="es-ES_tradnl"/>
        </w:rPr>
        <w:t>ó</w:t>
      </w:r>
      <w:r w:rsidR="00084238">
        <w:rPr>
          <w:rFonts w:eastAsia="Calibri" w:cs="Tahoma"/>
          <w:bCs/>
          <w:color w:val="auto"/>
          <w:lang w:val="es-ES" w:eastAsia="es-ES_tradnl"/>
        </w:rPr>
        <w:t xml:space="preserve"> una tabla con la información de los servidores públicos entrantes y salientes; an</w:t>
      </w:r>
      <w:r w:rsidRPr="00256D13" w:rsidR="00D173B4">
        <w:rPr>
          <w:rFonts w:eastAsia="Calibri" w:cs="Tahoma"/>
          <w:bCs/>
          <w:color w:val="auto"/>
          <w:lang w:val="es-ES" w:eastAsia="es-ES_tradnl"/>
        </w:rPr>
        <w:t xml:space="preserve">te tal circunstancia, el Recurrente interpuso Recurso de Revisión en donde se inconformó </w:t>
      </w:r>
      <w:r w:rsidR="00084238">
        <w:rPr>
          <w:rFonts w:eastAsia="Calibri" w:cs="Tahoma"/>
          <w:bCs/>
          <w:color w:val="auto"/>
          <w:lang w:val="es-ES" w:eastAsia="es-ES_tradnl"/>
        </w:rPr>
        <w:t>por la entrega de información incompleta</w:t>
      </w:r>
      <w:r w:rsidR="00D056B8">
        <w:rPr>
          <w:rFonts w:eastAsia="Calibri" w:cs="Tahoma"/>
          <w:bCs/>
          <w:color w:val="auto"/>
          <w:lang w:val="es-ES" w:eastAsia="es-ES_tradnl"/>
        </w:rPr>
        <w:t xml:space="preserve">, </w:t>
      </w:r>
      <w:r w:rsidR="00084238">
        <w:rPr>
          <w:rFonts w:eastAsia="Calibri" w:cs="Tahoma"/>
          <w:bCs/>
          <w:color w:val="auto"/>
          <w:lang w:val="es-ES" w:eastAsia="es-ES_tradnl"/>
        </w:rPr>
        <w:t>al señalar que no se le había indicado si el rubro sueldo, se trataba del neto o bruto, lo cual actualiza la causal de procedencia establecida en el artículo 179, fracción V, de la Ley de Transparencia y Acceso a la Información Pública del Estado de México y Municipios.</w:t>
      </w:r>
    </w:p>
    <w:p w:rsidR="00D173B4" w:rsidP="00FD5865" w:rsidRDefault="00D173B4" w14:paraId="1652E1F8" w14:textId="77777777">
      <w:pPr>
        <w:spacing w:after="0"/>
        <w:rPr>
          <w:rFonts w:eastAsia="Calibri" w:cs="Tahoma"/>
          <w:bCs/>
          <w:color w:val="auto"/>
          <w:lang w:val="es-ES" w:eastAsia="es-ES_tradnl"/>
        </w:rPr>
      </w:pPr>
    </w:p>
    <w:p w:rsidRPr="00845811" w:rsidR="00D173B4" w:rsidP="00FD5865" w:rsidRDefault="00D173B4" w14:paraId="04B39D59" w14:textId="4B8CD7DB">
      <w:pPr>
        <w:spacing w:after="0"/>
        <w:rPr>
          <w:rFonts w:eastAsia="Calibri" w:cs="Tahoma"/>
          <w:bCs/>
          <w:color w:val="auto"/>
          <w:lang w:val="es-ES" w:eastAsia="es-ES_tradnl"/>
        </w:rPr>
      </w:pPr>
      <w:r w:rsidRPr="00845811">
        <w:rPr>
          <w:rFonts w:eastAsia="Calibri" w:cs="Tahoma"/>
          <w:bCs/>
          <w:color w:val="auto"/>
          <w:lang w:val="es-ES" w:eastAsia="es-ES_tradnl"/>
        </w:rPr>
        <w:t>E</w:t>
      </w:r>
      <w:r w:rsidR="00084238">
        <w:rPr>
          <w:rFonts w:eastAsia="Calibri" w:cs="Tahoma"/>
          <w:bCs/>
          <w:color w:val="auto"/>
          <w:lang w:val="es-ES" w:eastAsia="es-ES_tradnl"/>
        </w:rPr>
        <w:t>n tal situación, se logra vislumbrar que el Particular únicamente se inconformó respecto al rubro sueldo, por lo que, no se inconformó respecto al nombre y cargo de los servidores públicos entrantes y salientes</w:t>
      </w:r>
      <w:r w:rsidRPr="00845811">
        <w:rPr>
          <w:rFonts w:eastAsia="Calibri" w:cs="Tahoma"/>
          <w:bCs/>
          <w:color w:val="auto"/>
          <w:lang w:val="es-ES" w:eastAsia="es-ES_tradnl"/>
        </w:rPr>
        <w:t>, por lo que, no se hará pronunciamiento alguno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rsidRPr="00845811" w:rsidR="00D173B4" w:rsidP="00FD5865" w:rsidRDefault="00D173B4" w14:paraId="79A80B6D" w14:textId="77777777">
      <w:pPr>
        <w:spacing w:after="0"/>
        <w:rPr>
          <w:rFonts w:eastAsia="Calibri" w:cs="Tahoma"/>
          <w:bCs/>
          <w:color w:val="auto"/>
          <w:lang w:val="es-ES" w:eastAsia="es-ES_tradnl"/>
        </w:rPr>
      </w:pPr>
      <w:r w:rsidRPr="00845811">
        <w:rPr>
          <w:rFonts w:eastAsia="Calibri" w:cs="Tahoma"/>
          <w:bCs/>
          <w:color w:val="auto"/>
          <w:lang w:val="es-ES" w:eastAsia="es-ES_tradnl"/>
        </w:rPr>
        <w:t xml:space="preserve"> </w:t>
      </w:r>
    </w:p>
    <w:p w:rsidR="00D173B4" w:rsidP="00FD5865" w:rsidRDefault="00D173B4" w14:paraId="3ECB3D9C" w14:textId="77777777">
      <w:pPr>
        <w:spacing w:after="0"/>
        <w:rPr>
          <w:rFonts w:eastAsia="Calibri" w:cs="Tahoma"/>
          <w:bCs/>
          <w:color w:val="auto"/>
          <w:lang w:val="es-ES" w:eastAsia="es-ES_tradnl"/>
        </w:rPr>
      </w:pPr>
      <w:r w:rsidRPr="00845811">
        <w:rPr>
          <w:rFonts w:eastAsia="Calibri" w:cs="Tahoma"/>
          <w:bCs/>
          <w:color w:val="auto"/>
          <w:lang w:val="es-ES" w:eastAsia="es-ES_tradnl"/>
        </w:rPr>
        <w:lastRenderedPageBreak/>
        <w:t>De la misma manera resulta aplicable el criterio sostenido por el Poder Judicial de la Federación de rubro ACTOS CONSENTIDOS TÁCITAMENTE,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Pr="00845811" w:rsidR="00D056B8" w:rsidP="00FD5865" w:rsidRDefault="00D056B8" w14:paraId="6081A8BF" w14:textId="77777777">
      <w:pPr>
        <w:spacing w:after="0"/>
        <w:rPr>
          <w:rFonts w:eastAsia="Calibri" w:cs="Tahoma"/>
          <w:bCs/>
          <w:color w:val="auto"/>
          <w:lang w:val="es-ES" w:eastAsia="es-ES_tradnl"/>
        </w:rPr>
      </w:pPr>
    </w:p>
    <w:p w:rsidRPr="00845811" w:rsidR="00D173B4" w:rsidP="00FD5865" w:rsidRDefault="00D173B4" w14:paraId="16076636" w14:textId="693393BB">
      <w:pPr>
        <w:spacing w:after="0"/>
        <w:rPr>
          <w:rFonts w:eastAsia="Calibri" w:cs="Tahoma"/>
          <w:bCs/>
          <w:color w:val="auto"/>
          <w:lang w:val="es-ES" w:eastAsia="es-ES_tradnl"/>
        </w:rPr>
      </w:pPr>
      <w:r w:rsidRPr="00845811">
        <w:rPr>
          <w:rFonts w:eastAsia="Calibri" w:cs="Tahoma"/>
          <w:bCs/>
          <w:color w:val="auto"/>
          <w:lang w:val="es-ES" w:eastAsia="es-ES_tradnl"/>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rsidRPr="00845811" w:rsidR="00D173B4" w:rsidP="00FD5865" w:rsidRDefault="00D173B4" w14:paraId="34E8E59B" w14:textId="77777777">
      <w:pPr>
        <w:spacing w:after="0"/>
        <w:rPr>
          <w:rFonts w:eastAsia="Calibri" w:cs="Tahoma"/>
          <w:bCs/>
          <w:color w:val="auto"/>
          <w:lang w:val="es-ES" w:eastAsia="es-ES_tradnl"/>
        </w:rPr>
      </w:pPr>
      <w:r w:rsidRPr="00845811">
        <w:rPr>
          <w:rFonts w:eastAsia="Calibri" w:cs="Tahoma"/>
          <w:bCs/>
          <w:color w:val="auto"/>
          <w:lang w:val="es-ES" w:eastAsia="es-ES_tradnl"/>
        </w:rPr>
        <w:t xml:space="preserve"> </w:t>
      </w:r>
    </w:p>
    <w:p w:rsidRPr="00845811" w:rsidR="00D173B4" w:rsidP="00FD5865" w:rsidRDefault="00D173B4" w14:paraId="65BD49CB" w14:textId="77777777">
      <w:pPr>
        <w:spacing w:after="0"/>
        <w:rPr>
          <w:rFonts w:eastAsia="Calibri" w:cs="Tahoma"/>
          <w:bCs/>
          <w:color w:val="auto"/>
          <w:lang w:val="es-ES" w:eastAsia="es-ES_tradnl"/>
        </w:rPr>
      </w:pPr>
      <w:r w:rsidRPr="00845811">
        <w:rPr>
          <w:rFonts w:eastAsia="Calibri" w:cs="Tahoma"/>
          <w:bCs/>
          <w:color w:val="auto"/>
          <w:lang w:val="es-ES" w:eastAsia="es-ES_tradnl"/>
        </w:rPr>
        <w:t>Asimismo, resulta relevante traer a colación el Criterio 01/20, emitido por el Instituto Nacional de Transparencia, Acceso a la Información y Protección de Datos Personales, que establece lo siguiente:</w:t>
      </w:r>
    </w:p>
    <w:p w:rsidRPr="00845811" w:rsidR="00D173B4" w:rsidP="00FD5865" w:rsidRDefault="00D173B4" w14:paraId="29C4CC76" w14:textId="77777777">
      <w:pPr>
        <w:spacing w:after="0"/>
        <w:rPr>
          <w:rFonts w:eastAsia="Calibri" w:cs="Tahoma"/>
          <w:bCs/>
          <w:color w:val="auto"/>
          <w:lang w:val="es-ES" w:eastAsia="es-ES_tradnl"/>
        </w:rPr>
      </w:pPr>
      <w:r w:rsidRPr="00845811">
        <w:rPr>
          <w:rFonts w:eastAsia="Calibri" w:cs="Tahoma"/>
          <w:bCs/>
          <w:color w:val="auto"/>
          <w:lang w:val="es-ES" w:eastAsia="es-ES_tradnl"/>
        </w:rPr>
        <w:t xml:space="preserve"> </w:t>
      </w:r>
    </w:p>
    <w:p w:rsidRPr="00845811" w:rsidR="00D173B4" w:rsidP="00FD5865" w:rsidRDefault="00D173B4" w14:paraId="7DE48AED" w14:textId="77777777">
      <w:pPr>
        <w:spacing w:after="0"/>
        <w:ind w:left="567" w:right="616"/>
        <w:rPr>
          <w:rFonts w:eastAsia="Calibri" w:cs="Tahoma"/>
          <w:bCs/>
          <w:i/>
          <w:color w:val="auto"/>
          <w:sz w:val="20"/>
          <w:lang w:val="es-ES" w:eastAsia="es-ES_tradnl"/>
        </w:rPr>
      </w:pPr>
      <w:r w:rsidRPr="00084238">
        <w:rPr>
          <w:rFonts w:eastAsia="Calibri" w:cs="Tahoma"/>
          <w:b/>
          <w:i/>
          <w:color w:val="auto"/>
          <w:sz w:val="20"/>
          <w:lang w:val="es-ES" w:eastAsia="es-ES_tradnl"/>
        </w:rPr>
        <w:t>“Actos consentidos tácitamente.</w:t>
      </w:r>
      <w:r w:rsidRPr="00845811">
        <w:rPr>
          <w:rFonts w:eastAsia="Calibri" w:cs="Tahoma"/>
          <w:bCs/>
          <w:i/>
          <w:color w:val="auto"/>
          <w:sz w:val="20"/>
          <w:lang w:val="es-ES" w:eastAsia="es-ES_tradnl"/>
        </w:rPr>
        <w:t xml:space="preserve"> Improcedencia de su análisis. 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845811" w:rsidR="00D173B4" w:rsidP="00FD5865" w:rsidRDefault="00D173B4" w14:paraId="43B2B1EA" w14:textId="77777777">
      <w:pPr>
        <w:spacing w:after="0"/>
        <w:rPr>
          <w:rFonts w:eastAsia="Calibri" w:cs="Tahoma"/>
          <w:bCs/>
          <w:color w:val="auto"/>
          <w:lang w:val="es-ES" w:eastAsia="es-ES_tradnl"/>
        </w:rPr>
      </w:pPr>
    </w:p>
    <w:p w:rsidR="00D173B4" w:rsidP="00FD5865" w:rsidRDefault="00D173B4" w14:paraId="396035C0" w14:textId="66846C18">
      <w:pPr>
        <w:spacing w:after="0"/>
        <w:rPr>
          <w:rFonts w:eastAsia="Calibri" w:cs="Tahoma"/>
          <w:bCs/>
          <w:color w:val="auto"/>
          <w:lang w:val="es-ES" w:eastAsia="es-ES_tradnl"/>
        </w:rPr>
      </w:pPr>
      <w:r w:rsidRPr="00845811">
        <w:rPr>
          <w:rFonts w:eastAsia="Calibri" w:cs="Tahoma"/>
          <w:bCs/>
          <w:color w:val="auto"/>
          <w:lang w:val="es-ES" w:eastAsia="es-ES_tradnl"/>
        </w:rPr>
        <w:t xml:space="preserve">Conforme al Criterio establecido, es improcedente entrar al análisis de las partes de la respuesta del Sujeto Obligado que no fueron impugnadas por el Recurrente; por lo que, en el presente caso, se tiene por consentida </w:t>
      </w:r>
      <w:r w:rsidR="00084238">
        <w:rPr>
          <w:rFonts w:eastAsia="Calibri" w:cs="Tahoma"/>
          <w:bCs/>
          <w:color w:val="auto"/>
          <w:lang w:val="es-ES" w:eastAsia="es-ES_tradnl"/>
        </w:rPr>
        <w:t>la información entregada respecto al nombre y cargo de los servidores públicos entrantes y salientes.</w:t>
      </w:r>
    </w:p>
    <w:p w:rsidR="00084238" w:rsidP="00FD5865" w:rsidRDefault="00084238" w14:paraId="468C2BFF" w14:textId="29DF7FD6">
      <w:pPr>
        <w:spacing w:after="0"/>
        <w:rPr>
          <w:rFonts w:eastAsia="Times New Roman" w:cs="Tahoma"/>
          <w:bCs/>
          <w:iCs/>
          <w:color w:val="auto"/>
          <w:lang w:eastAsia="es-ES"/>
        </w:rPr>
      </w:pPr>
      <w:r>
        <w:rPr>
          <w:rFonts w:eastAsia="Times New Roman" w:cs="Tahoma"/>
          <w:bCs/>
          <w:iCs/>
          <w:color w:val="auto"/>
          <w:lang w:eastAsia="es-ES"/>
        </w:rPr>
        <w:lastRenderedPageBreak/>
        <w:t>A</w:t>
      </w:r>
      <w:r w:rsidRPr="00757468">
        <w:rPr>
          <w:rFonts w:eastAsia="Times New Roman" w:cs="Tahoma"/>
          <w:bCs/>
          <w:iCs/>
          <w:color w:val="auto"/>
          <w:lang w:eastAsia="es-ES"/>
        </w:rPr>
        <w:t xml:space="preserve">sí las cosas, una vez interpuesto y notificado el Recurso de Revisión a las partes, el Sujeto Obligado, </w:t>
      </w:r>
      <w:r>
        <w:rPr>
          <w:rFonts w:eastAsia="Times New Roman" w:cs="Tahoma"/>
          <w:bCs/>
          <w:iCs/>
          <w:color w:val="auto"/>
          <w:lang w:eastAsia="es-ES"/>
        </w:rPr>
        <w:t xml:space="preserve">a través de la Gerencia de Administración, </w:t>
      </w:r>
      <w:r w:rsidR="00F12805">
        <w:rPr>
          <w:rFonts w:eastAsia="Times New Roman" w:cs="Tahoma"/>
          <w:bCs/>
          <w:iCs/>
          <w:color w:val="auto"/>
          <w:lang w:eastAsia="es-ES"/>
        </w:rPr>
        <w:t>señaló que el sueldo proporcionado era el bruto y que la información de las remuneraciones de los servidores públicos salientes se encontraba en el Portal de Información Pública de Oficio Mexiquense.</w:t>
      </w:r>
    </w:p>
    <w:p w:rsidR="00084238" w:rsidP="00FD5865" w:rsidRDefault="00084238" w14:paraId="033AEB21" w14:textId="77777777">
      <w:pPr>
        <w:spacing w:after="0"/>
        <w:rPr>
          <w:rFonts w:eastAsia="Times New Roman" w:cs="Tahoma"/>
          <w:bCs/>
          <w:iCs/>
          <w:color w:val="auto"/>
          <w:lang w:eastAsia="es-ES"/>
        </w:rPr>
      </w:pPr>
    </w:p>
    <w:p w:rsidRPr="00EC463A" w:rsidR="00F12805" w:rsidP="00FD5865" w:rsidRDefault="00F12805" w14:paraId="797E5B46" w14:textId="23F853F8">
      <w:pPr>
        <w:tabs>
          <w:tab w:val="left" w:pos="4962"/>
        </w:tabs>
        <w:spacing w:after="0"/>
        <w:rPr>
          <w:rFonts w:eastAsia="Calibri" w:cs="Tahoma"/>
          <w:iCs/>
          <w:color w:val="000000"/>
        </w:rPr>
      </w:pPr>
      <w:r w:rsidRPr="00EC463A">
        <w:rPr>
          <w:rFonts w:eastAsia="Calibri" w:cs="Tahoma"/>
          <w:iCs/>
          <w:color w:val="000000"/>
        </w:rPr>
        <w:t>Lo anterior, se desprende de las documentales que obran en el expediente de referencia, materia de la presente Resolución, consistentes en: la solicitud de acceso a la información; la respuesta del Sujeto Obligado</w:t>
      </w:r>
      <w:r>
        <w:rPr>
          <w:rFonts w:eastAsia="Calibri" w:cs="Tahoma"/>
          <w:iCs/>
          <w:color w:val="000000"/>
        </w:rPr>
        <w:t xml:space="preserve">; </w:t>
      </w:r>
      <w:r w:rsidRPr="00EC463A">
        <w:rPr>
          <w:rFonts w:eastAsia="Calibri" w:cs="Tahoma"/>
          <w:iCs/>
          <w:color w:val="000000"/>
        </w:rPr>
        <w:t>e</w:t>
      </w:r>
      <w:r w:rsidRPr="00EC463A">
        <w:rPr>
          <w:rFonts w:eastAsia="Calibri" w:cs="Tahoma"/>
          <w:bCs/>
          <w:iCs/>
          <w:color w:val="000000"/>
        </w:rPr>
        <w:t xml:space="preserve">l escrito </w:t>
      </w:r>
      <w:proofErr w:type="spellStart"/>
      <w:r w:rsidRPr="00EC463A">
        <w:rPr>
          <w:rFonts w:eastAsia="Calibri" w:cs="Tahoma"/>
          <w:bCs/>
          <w:iCs/>
          <w:color w:val="000000"/>
        </w:rPr>
        <w:t>recursal</w:t>
      </w:r>
      <w:proofErr w:type="spellEnd"/>
      <w:r>
        <w:rPr>
          <w:rFonts w:eastAsia="Calibri" w:cs="Tahoma"/>
          <w:bCs/>
          <w:iCs/>
          <w:color w:val="000000"/>
        </w:rPr>
        <w:t xml:space="preserve"> y el Informe Justificado</w:t>
      </w:r>
      <w:r>
        <w:rPr>
          <w:rFonts w:eastAsia="Calibri" w:cs="Tahoma"/>
          <w:iCs/>
          <w:color w:val="000000"/>
        </w:rPr>
        <w:t>; i</w:t>
      </w:r>
      <w:r w:rsidRPr="00EC463A">
        <w:rPr>
          <w:rFonts w:eastAsia="Calibri" w:cs="Tahoma"/>
          <w:iCs/>
          <w:color w:val="000000"/>
        </w:rPr>
        <w:t>nstrumentales que se toman en cuenta a efecto de resolver el presente medio de impugnación, conforme a lo dispuesto por el artículo 185, fracción IV, de la Ley de Transparencia y Acceso a la Información Pública del Estado de México y Municipios.</w:t>
      </w:r>
    </w:p>
    <w:p w:rsidRPr="00EC463A" w:rsidR="00F12805" w:rsidP="00FD5865" w:rsidRDefault="00F12805" w14:paraId="7F807567" w14:textId="77777777">
      <w:pPr>
        <w:spacing w:after="0"/>
        <w:rPr>
          <w:rFonts w:eastAsia="Times New Roman" w:cs="Tahoma"/>
          <w:color w:val="auto"/>
          <w:shd w:val="clear" w:color="auto" w:fill="FFFFFF"/>
          <w:lang w:eastAsia="es-ES"/>
        </w:rPr>
      </w:pPr>
      <w:r w:rsidRPr="00EC463A">
        <w:rPr>
          <w:rFonts w:eastAsia="Times New Roman" w:cs="Tahoma"/>
          <w:color w:val="auto"/>
          <w:shd w:val="clear" w:color="auto" w:fill="FFFFFF"/>
          <w:lang w:eastAsia="es-ES"/>
        </w:rPr>
        <w:t xml:space="preserve"> </w:t>
      </w:r>
    </w:p>
    <w:p w:rsidRPr="00EC463A" w:rsidR="00F12805" w:rsidP="00FD5865" w:rsidRDefault="00F12805" w14:paraId="7E24DCB0" w14:textId="77777777">
      <w:pPr>
        <w:spacing w:after="0"/>
        <w:rPr>
          <w:rFonts w:eastAsia="Times New Roman" w:cs="Tahoma"/>
          <w:b/>
          <w:color w:val="auto"/>
          <w:shd w:val="clear" w:color="auto" w:fill="FFFFFF"/>
          <w:lang w:eastAsia="es-ES"/>
        </w:rPr>
      </w:pPr>
      <w:r w:rsidRPr="00EC463A">
        <w:rPr>
          <w:rFonts w:eastAsia="Times New Roman" w:cs="Tahoma"/>
          <w:b/>
          <w:color w:val="auto"/>
          <w:shd w:val="clear" w:color="auto" w:fill="FFFFFF"/>
          <w:lang w:val="es-ES" w:eastAsia="es-ES"/>
        </w:rPr>
        <w:t xml:space="preserve">CUARTO. </w:t>
      </w:r>
      <w:r w:rsidRPr="00EC463A">
        <w:rPr>
          <w:rFonts w:eastAsia="Times New Roman" w:cs="Tahoma"/>
          <w:b/>
          <w:color w:val="auto"/>
          <w:shd w:val="clear" w:color="auto" w:fill="FFFFFF"/>
          <w:lang w:eastAsia="es-ES"/>
        </w:rPr>
        <w:t>Marco normativo aplicable en materia de transparencia y acceso a la información pública.</w:t>
      </w:r>
    </w:p>
    <w:p w:rsidRPr="00EC463A" w:rsidR="00F12805" w:rsidP="00FD5865" w:rsidRDefault="00F12805" w14:paraId="673337E8" w14:textId="77777777">
      <w:pPr>
        <w:spacing w:after="0"/>
        <w:rPr>
          <w:rFonts w:eastAsia="Times New Roman" w:cs="Tahoma"/>
          <w:color w:val="auto"/>
          <w:shd w:val="clear" w:color="auto" w:fill="FFFFFF"/>
          <w:lang w:eastAsia="es-ES"/>
        </w:rPr>
      </w:pPr>
    </w:p>
    <w:p w:rsidRPr="00EC463A" w:rsidR="00F12805" w:rsidP="00FD5865" w:rsidRDefault="00F12805" w14:paraId="32F4B5BE" w14:textId="77777777">
      <w:pPr>
        <w:spacing w:after="0"/>
        <w:ind w:right="-28"/>
        <w:contextualSpacing/>
        <w:rPr>
          <w:rFonts w:eastAsia="Calibri" w:cs="Tahoma"/>
          <w:bCs/>
          <w:color w:val="auto"/>
        </w:rPr>
      </w:pPr>
      <w:r w:rsidRPr="00EC463A">
        <w:rPr>
          <w:rFonts w:eastAsia="Calibri" w:cs="Tahoma"/>
          <w:bCs/>
          <w:color w:val="auto"/>
        </w:rPr>
        <w:t xml:space="preserve">El artículo 6°, Apartado A), fracción I de la Constitución Política de los Estados Unidos Mexicanos, establece que toda la información en posesión de cualquier </w:t>
      </w:r>
      <w:proofErr w:type="gramStart"/>
      <w:r w:rsidRPr="00EC463A">
        <w:rPr>
          <w:rFonts w:eastAsia="Calibri" w:cs="Tahoma"/>
          <w:bCs/>
          <w:color w:val="auto"/>
        </w:rPr>
        <w:t>autoridad,</w:t>
      </w:r>
      <w:proofErr w:type="gramEnd"/>
      <w:r w:rsidRPr="00EC463A">
        <w:rPr>
          <w:rFonts w:eastAsia="Calibri" w:cs="Tahoma"/>
          <w:bCs/>
          <w:color w:val="auto"/>
        </w:rPr>
        <w:t xml:space="preserve"> es pública y sólo podrá ser reservada temporalmente por razones de interés público.</w:t>
      </w:r>
    </w:p>
    <w:p w:rsidRPr="00EC463A" w:rsidR="00F12805" w:rsidP="00FD5865" w:rsidRDefault="00F12805" w14:paraId="70ED1A87" w14:textId="77777777">
      <w:pPr>
        <w:spacing w:after="0"/>
        <w:ind w:right="-28"/>
        <w:contextualSpacing/>
        <w:rPr>
          <w:rFonts w:eastAsia="Calibri" w:cs="Tahoma"/>
          <w:bCs/>
          <w:color w:val="auto"/>
        </w:rPr>
      </w:pPr>
    </w:p>
    <w:p w:rsidRPr="00EC463A" w:rsidR="00F12805" w:rsidP="00FD5865" w:rsidRDefault="00F12805" w14:paraId="531FAB72" w14:textId="77777777">
      <w:pPr>
        <w:spacing w:after="0"/>
        <w:ind w:right="-28"/>
        <w:contextualSpacing/>
        <w:rPr>
          <w:rFonts w:eastAsia="Calibri" w:cs="Tahoma"/>
          <w:bCs/>
          <w:color w:val="auto"/>
        </w:rPr>
      </w:pPr>
      <w:r w:rsidRPr="00EC463A">
        <w:rPr>
          <w:rFonts w:eastAsia="Calibri" w:cs="Tahoma"/>
          <w:bCs/>
          <w:color w:val="auto"/>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EC463A" w:rsidR="00F12805" w:rsidP="00FD5865" w:rsidRDefault="00F12805" w14:paraId="01011EBE" w14:textId="77777777">
      <w:pPr>
        <w:spacing w:after="0"/>
        <w:ind w:right="-28"/>
        <w:contextualSpacing/>
        <w:rPr>
          <w:rFonts w:eastAsia="Calibri" w:cs="Tahoma"/>
          <w:bCs/>
          <w:color w:val="auto"/>
        </w:rPr>
      </w:pPr>
    </w:p>
    <w:p w:rsidRPr="00EC463A" w:rsidR="00F12805" w:rsidP="00FD5865" w:rsidRDefault="00F12805" w14:paraId="230508D6" w14:textId="77777777">
      <w:pPr>
        <w:spacing w:after="0"/>
        <w:ind w:right="-28"/>
        <w:contextualSpacing/>
        <w:rPr>
          <w:rFonts w:eastAsia="Calibri" w:cs="Tahoma"/>
          <w:bCs/>
          <w:color w:val="auto"/>
        </w:rPr>
      </w:pPr>
      <w:r w:rsidRPr="00EC463A">
        <w:rPr>
          <w:rFonts w:eastAsia="Calibri" w:cs="Tahoma"/>
          <w:bCs/>
          <w:color w:val="auto"/>
        </w:rPr>
        <w:t xml:space="preserve">En este sentido, los Lineamientos técnicos generales para la publicación, homologación y estandarización de la información de las obligaciones establecidas en el título quinto y en la </w:t>
      </w:r>
      <w:r w:rsidRPr="00EC463A">
        <w:rPr>
          <w:rFonts w:eastAsia="Calibri" w:cs="Tahoma"/>
          <w:bCs/>
          <w:color w:val="auto"/>
        </w:rPr>
        <w:lastRenderedPageBreak/>
        <w:t>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EC463A" w:rsidR="00F12805" w:rsidP="00FD5865" w:rsidRDefault="00F12805" w14:paraId="1330BADC" w14:textId="77777777">
      <w:pPr>
        <w:spacing w:after="0"/>
        <w:ind w:right="-28"/>
        <w:contextualSpacing/>
        <w:rPr>
          <w:rFonts w:eastAsia="Calibri" w:cs="Tahoma"/>
          <w:bCs/>
          <w:color w:val="auto"/>
        </w:rPr>
      </w:pPr>
    </w:p>
    <w:p w:rsidRPr="00EC463A" w:rsidR="00F12805" w:rsidP="00FD5865" w:rsidRDefault="00F12805" w14:paraId="4F7D42FB" w14:textId="77777777">
      <w:pPr>
        <w:spacing w:after="0"/>
        <w:ind w:right="-28"/>
        <w:contextualSpacing/>
        <w:rPr>
          <w:rFonts w:eastAsia="Calibri" w:cs="Tahoma"/>
          <w:bCs/>
          <w:color w:val="auto"/>
        </w:rPr>
      </w:pPr>
      <w:r w:rsidRPr="00EC463A">
        <w:rPr>
          <w:rFonts w:eastAsia="Calibri" w:cs="Tahoma"/>
          <w:bCs/>
          <w:color w:val="auto"/>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EC463A" w:rsidR="00F12805" w:rsidP="00FD5865" w:rsidRDefault="00F12805" w14:paraId="137F6A18" w14:textId="77777777">
      <w:pPr>
        <w:spacing w:after="0"/>
        <w:ind w:right="-28"/>
        <w:contextualSpacing/>
        <w:rPr>
          <w:rFonts w:eastAsia="Calibri" w:cs="Tahoma"/>
          <w:bCs/>
          <w:color w:val="auto"/>
        </w:rPr>
      </w:pPr>
    </w:p>
    <w:p w:rsidRPr="00872260" w:rsidR="00F12805" w:rsidP="00FD5865" w:rsidRDefault="00F12805" w14:paraId="1A15E0DB" w14:textId="77777777">
      <w:pPr>
        <w:spacing w:after="0"/>
        <w:rPr>
          <w:rFonts w:eastAsia="Times New Roman" w:cs="Tahoma"/>
          <w:bCs/>
          <w:color w:val="000000"/>
          <w:lang w:eastAsia="es-ES"/>
        </w:rPr>
      </w:pPr>
      <w:r w:rsidRPr="00872260">
        <w:rPr>
          <w:rFonts w:eastAsia="Times New Roman" w:cs="Tahoma"/>
          <w:bCs/>
          <w:color w:val="000000"/>
          <w:lang w:eastAsia="es-ES"/>
        </w:rPr>
        <w:t>Por su parte, la Ley de Transparencia y Acceso a la Información Pública del Estado de México y Municipios (Reglamentaria del artículo 5° de la Constitución Local), establece lo siguiente:</w:t>
      </w:r>
    </w:p>
    <w:p w:rsidRPr="00872260" w:rsidR="00F12805" w:rsidP="00FD5865" w:rsidRDefault="00F12805" w14:paraId="545FE5A2" w14:textId="77777777">
      <w:pPr>
        <w:spacing w:after="0"/>
        <w:rPr>
          <w:rFonts w:eastAsia="Times New Roman" w:cs="Tahoma"/>
          <w:bCs/>
          <w:color w:val="000000"/>
          <w:lang w:eastAsia="es-ES"/>
        </w:rPr>
      </w:pPr>
    </w:p>
    <w:p w:rsidRPr="00872260" w:rsidR="00F12805" w:rsidP="00FD5865" w:rsidRDefault="00F12805" w14:paraId="7DF95AE7" w14:textId="77777777">
      <w:pPr>
        <w:spacing w:after="0"/>
        <w:rPr>
          <w:rFonts w:eastAsia="Times New Roman" w:cs="Tahoma"/>
          <w:bCs/>
          <w:color w:val="000000"/>
          <w:lang w:eastAsia="es-ES"/>
        </w:rPr>
      </w:pPr>
      <w:r w:rsidRPr="00872260">
        <w:rPr>
          <w:rFonts w:eastAsia="Times New Roman" w:cs="Tahoma"/>
          <w:bCs/>
          <w:color w:val="000000"/>
          <w:lang w:eastAsia="es-ES"/>
        </w:rPr>
        <w:t>El artículo 12, que, quienes generen, recopilen, administren, manejen, procesen, archiven o conserven información pública serán responsables de la misma.</w:t>
      </w:r>
    </w:p>
    <w:p w:rsidRPr="00EC463A" w:rsidR="00F12805" w:rsidP="00FD5865" w:rsidRDefault="00F12805" w14:paraId="62215510" w14:textId="77777777">
      <w:pPr>
        <w:spacing w:after="0"/>
        <w:rPr>
          <w:rFonts w:eastAsia="Times New Roman" w:cs="Tahoma"/>
          <w:color w:val="auto"/>
          <w:shd w:val="clear" w:color="auto" w:fill="FFFFFF"/>
          <w:lang w:eastAsia="es-ES"/>
        </w:rPr>
      </w:pPr>
    </w:p>
    <w:p w:rsidRPr="00EC463A" w:rsidR="00F12805" w:rsidP="00FD5865" w:rsidRDefault="00F12805" w14:paraId="33C93E79" w14:textId="77777777">
      <w:pPr>
        <w:spacing w:after="0"/>
        <w:ind w:right="-28"/>
        <w:contextualSpacing/>
        <w:rPr>
          <w:rFonts w:eastAsia="Calibri" w:cs="Tahoma"/>
          <w:bCs/>
          <w:color w:val="auto"/>
        </w:rPr>
      </w:pPr>
      <w:r w:rsidRPr="00EC463A">
        <w:rPr>
          <w:rFonts w:eastAsia="Calibri" w:cs="Tahoma"/>
          <w:bCs/>
          <w:color w:val="auto"/>
        </w:rPr>
        <w:t>El artículo 18, que, los Sujetos Obligados deberán documentar todo acto que derive del ejercicio de sus facultades, competencias o funciones, considerando desde su origen la eventual publicidad y reutilización de la información que generen.</w:t>
      </w:r>
    </w:p>
    <w:p w:rsidRPr="00EC463A" w:rsidR="00F12805" w:rsidP="00FD5865" w:rsidRDefault="00F12805" w14:paraId="4A6E84DE" w14:textId="77777777">
      <w:pPr>
        <w:spacing w:after="0"/>
        <w:ind w:right="-28"/>
        <w:contextualSpacing/>
        <w:rPr>
          <w:rFonts w:eastAsia="Calibri" w:cs="Tahoma"/>
          <w:bCs/>
          <w:color w:val="auto"/>
        </w:rPr>
      </w:pPr>
    </w:p>
    <w:p w:rsidRPr="00EC463A" w:rsidR="00F12805" w:rsidP="00FD5865" w:rsidRDefault="00F12805" w14:paraId="0CEC1B7B" w14:textId="77777777">
      <w:pPr>
        <w:spacing w:after="0"/>
        <w:ind w:right="-28"/>
        <w:contextualSpacing/>
        <w:rPr>
          <w:rFonts w:eastAsia="Calibri" w:cs="Tahoma"/>
          <w:bCs/>
          <w:color w:val="auto"/>
        </w:rPr>
      </w:pPr>
      <w:r w:rsidRPr="00EC463A">
        <w:rPr>
          <w:rFonts w:eastAsia="Calibri" w:cs="Tahoma"/>
          <w:bCs/>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EC463A" w:rsidR="00F12805" w:rsidP="00FD5865" w:rsidRDefault="00F12805" w14:paraId="3219FCE6" w14:textId="77777777">
      <w:pPr>
        <w:spacing w:after="0"/>
        <w:ind w:right="-28"/>
        <w:contextualSpacing/>
        <w:rPr>
          <w:rFonts w:eastAsia="Calibri" w:cs="Tahoma"/>
          <w:b/>
          <w:color w:val="auto"/>
        </w:rPr>
      </w:pPr>
      <w:r w:rsidRPr="005C5959">
        <w:rPr>
          <w:rFonts w:eastAsia="Calibri" w:cs="Tahoma"/>
          <w:b/>
          <w:color w:val="auto"/>
        </w:rPr>
        <w:lastRenderedPageBreak/>
        <w:t>QUINTO. Estudio de Fondo.</w:t>
      </w:r>
    </w:p>
    <w:p w:rsidR="00084238" w:rsidP="00FD5865" w:rsidRDefault="00084238" w14:paraId="0133CBDC" w14:textId="7E37EC30">
      <w:pPr>
        <w:spacing w:after="0"/>
        <w:rPr>
          <w:rFonts w:eastAsia="Calibri" w:cs="Tahoma"/>
          <w:bCs/>
          <w:color w:val="auto"/>
          <w:lang w:val="es-ES" w:eastAsia="es-ES_tradnl"/>
        </w:rPr>
      </w:pPr>
    </w:p>
    <w:p w:rsidR="00F12805" w:rsidP="00FD5865" w:rsidRDefault="00F12805" w14:paraId="426CD729" w14:textId="2D9B2D35">
      <w:pPr>
        <w:spacing w:after="0"/>
        <w:rPr>
          <w:rFonts w:eastAsia="Calibri" w:cs="Tahoma"/>
          <w:bCs/>
          <w:color w:val="auto"/>
          <w:lang w:val="es-ES" w:eastAsia="es-ES_tradnl"/>
        </w:rPr>
      </w:pPr>
      <w:r>
        <w:rPr>
          <w:rFonts w:eastAsia="Calibri" w:cs="Tahoma"/>
          <w:bCs/>
          <w:color w:val="auto"/>
          <w:lang w:val="es-ES" w:eastAsia="es-ES_tradnl"/>
        </w:rPr>
        <w:t xml:space="preserve">Ahora bien, de la lectura y análisis de la solicitud de información y el Recurso de Revisión, se logra verificar que la pretensión del ahora </w:t>
      </w:r>
      <w:proofErr w:type="gramStart"/>
      <w:r>
        <w:rPr>
          <w:rFonts w:eastAsia="Calibri" w:cs="Tahoma"/>
          <w:bCs/>
          <w:color w:val="auto"/>
          <w:lang w:val="es-ES" w:eastAsia="es-ES_tradnl"/>
        </w:rPr>
        <w:t>Recurrente,</w:t>
      </w:r>
      <w:proofErr w:type="gramEnd"/>
      <w:r>
        <w:rPr>
          <w:rFonts w:eastAsia="Calibri" w:cs="Tahoma"/>
          <w:bCs/>
          <w:color w:val="auto"/>
          <w:lang w:val="es-ES" w:eastAsia="es-ES_tradnl"/>
        </w:rPr>
        <w:t xml:space="preserve"> es obtener el sueldo bruto y neto de los servidores públicos entrantes y salientes señalados en respuesta.</w:t>
      </w:r>
    </w:p>
    <w:p w:rsidR="00F12805" w:rsidP="00FD5865" w:rsidRDefault="00F12805" w14:paraId="2FA7FF50" w14:textId="5AFA6CDD">
      <w:pPr>
        <w:spacing w:after="0"/>
        <w:rPr>
          <w:rFonts w:eastAsia="Calibri" w:cs="Tahoma"/>
          <w:bCs/>
          <w:color w:val="auto"/>
          <w:lang w:val="es-ES" w:eastAsia="es-ES_tradnl"/>
        </w:rPr>
      </w:pPr>
    </w:p>
    <w:p w:rsidRPr="004646D8" w:rsidR="004646D8" w:rsidP="00FD5865" w:rsidRDefault="004646D8" w14:paraId="52C0F11F" w14:textId="17CF17C2">
      <w:pPr>
        <w:spacing w:after="0"/>
        <w:rPr>
          <w:rFonts w:eastAsia="Times New Roman" w:cs="Tahoma"/>
          <w:bCs/>
          <w:color w:val="auto"/>
          <w:lang w:val="es-ES" w:eastAsia="es-ES"/>
        </w:rPr>
      </w:pPr>
      <w:r w:rsidRPr="004646D8">
        <w:rPr>
          <w:rFonts w:eastAsia="Times New Roman" w:cs="Tahoma"/>
          <w:bCs/>
          <w:color w:val="auto"/>
          <w:lang w:val="es-ES" w:eastAsia="es-ES"/>
        </w:rPr>
        <w:t xml:space="preserve">Ahora bien, de las constancias que obran en el expediente, se logra advertir que el Sujeto Obligado turno la solicitud de información, tanto en respuestas como en Informe Justificado a la </w:t>
      </w:r>
      <w:r>
        <w:rPr>
          <w:rFonts w:eastAsia="Times New Roman" w:cs="Tahoma"/>
          <w:b/>
          <w:bCs/>
          <w:color w:val="auto"/>
          <w:lang w:val="es-ES" w:eastAsia="es-ES"/>
        </w:rPr>
        <w:t>Gerencia de Administración</w:t>
      </w:r>
      <w:r w:rsidRPr="004646D8">
        <w:rPr>
          <w:rFonts w:eastAsia="Times New Roman" w:cs="Tahoma"/>
          <w:bCs/>
          <w:color w:val="auto"/>
          <w:lang w:val="es-ES" w:eastAsia="es-ES"/>
        </w:rPr>
        <w:t xml:space="preserve">, razón por la cual, </w:t>
      </w:r>
      <w:r w:rsidRPr="004646D8">
        <w:rPr>
          <w:rFonts w:eastAsia="Times New Roman" w:cs="Tahoma"/>
          <w:bCs/>
          <w:color w:val="auto"/>
          <w:lang w:val="es-ES_tradnl" w:eastAsia="es-ES"/>
        </w:rPr>
        <w:t xml:space="preserve">necesario hacer referencia al </w:t>
      </w:r>
      <w:r w:rsidRPr="004646D8">
        <w:rPr>
          <w:rFonts w:eastAsia="Times New Roman" w:cs="Tahoma"/>
          <w:b/>
          <w:bCs/>
          <w:color w:val="auto"/>
          <w:lang w:val="es-ES_tradnl" w:eastAsia="es-ES"/>
        </w:rPr>
        <w:t>procedimiento de búsqueda que deben de seguir los Sujetos Obligados para localizar la información</w:t>
      </w:r>
      <w:r w:rsidRPr="004646D8">
        <w:rPr>
          <w:rFonts w:eastAsia="Times New Roman" w:cs="Tahoma"/>
          <w:bCs/>
          <w:color w:val="auto"/>
          <w:lang w:val="es-ES_tradnl" w:eastAsia="es-ES"/>
        </w:rPr>
        <w:t>, el cual se encuentra previsto en los artículos 160 y 162 de la Ley de Transparencia y Acceso a la Información Pública del Estado de México y Municipios, mismo que es el siguiente:</w:t>
      </w:r>
    </w:p>
    <w:p w:rsidRPr="004646D8" w:rsidR="004646D8" w:rsidP="00FD5865" w:rsidRDefault="004646D8" w14:paraId="4EEF0EB9" w14:textId="77777777">
      <w:pPr>
        <w:spacing w:after="0"/>
        <w:rPr>
          <w:rFonts w:eastAsia="Times New Roman" w:cs="Tahoma"/>
          <w:bCs/>
          <w:color w:val="auto"/>
          <w:lang w:val="es-ES" w:eastAsia="es-ES"/>
        </w:rPr>
      </w:pPr>
    </w:p>
    <w:p w:rsidRPr="004646D8" w:rsidR="004646D8" w:rsidP="00FD5865" w:rsidRDefault="004646D8" w14:paraId="4414AE97" w14:textId="77777777">
      <w:pPr>
        <w:numPr>
          <w:ilvl w:val="0"/>
          <w:numId w:val="1"/>
        </w:numPr>
        <w:spacing w:after="0"/>
        <w:rPr>
          <w:rFonts w:eastAsia="Times New Roman" w:cs="Tahoma"/>
          <w:bCs/>
          <w:color w:val="auto"/>
          <w:lang w:val="es-ES" w:eastAsia="es-ES"/>
        </w:rPr>
      </w:pPr>
      <w:r w:rsidRPr="004646D8">
        <w:rPr>
          <w:rFonts w:eastAsia="Times New Roman" w:cs="Tahoma"/>
          <w:bCs/>
          <w:color w:val="auto"/>
          <w:lang w:val="es-ES"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4646D8" w:rsidR="004646D8" w:rsidP="00FD5865" w:rsidRDefault="004646D8" w14:paraId="687AB975" w14:textId="77777777">
      <w:pPr>
        <w:spacing w:after="0"/>
        <w:rPr>
          <w:rFonts w:eastAsia="Times New Roman" w:cs="Tahoma"/>
          <w:bCs/>
          <w:color w:val="auto"/>
          <w:lang w:val="es-ES" w:eastAsia="es-ES"/>
        </w:rPr>
      </w:pPr>
    </w:p>
    <w:p w:rsidRPr="004646D8" w:rsidR="004646D8" w:rsidP="00FD5865" w:rsidRDefault="004646D8" w14:paraId="4729BF34" w14:textId="77777777">
      <w:pPr>
        <w:numPr>
          <w:ilvl w:val="0"/>
          <w:numId w:val="1"/>
        </w:numPr>
        <w:spacing w:after="0"/>
        <w:rPr>
          <w:rFonts w:eastAsia="Times New Roman" w:cs="Tahoma"/>
          <w:bCs/>
          <w:color w:val="auto"/>
          <w:lang w:val="es-ES" w:eastAsia="es-ES"/>
        </w:rPr>
      </w:pPr>
      <w:r w:rsidRPr="004646D8">
        <w:rPr>
          <w:rFonts w:eastAsia="Times New Roman" w:cs="Tahoma"/>
          <w:bCs/>
          <w:color w:val="auto"/>
          <w:lang w:val="es-ES" w:eastAsia="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Pr="004646D8" w:rsidR="004646D8" w:rsidP="00FD5865" w:rsidRDefault="004646D8" w14:paraId="279917D7" w14:textId="77777777">
      <w:pPr>
        <w:spacing w:after="0"/>
        <w:rPr>
          <w:rFonts w:eastAsia="Times New Roman" w:cs="Tahoma"/>
          <w:bCs/>
          <w:color w:val="auto"/>
          <w:lang w:eastAsia="es-ES"/>
        </w:rPr>
      </w:pPr>
    </w:p>
    <w:p w:rsidRPr="004646D8" w:rsidR="004646D8" w:rsidP="00FD5865" w:rsidRDefault="004646D8" w14:paraId="464837B2" w14:textId="6478DACE">
      <w:pPr>
        <w:spacing w:after="0"/>
        <w:rPr>
          <w:rFonts w:eastAsia="Times New Roman" w:cs="Tahoma"/>
          <w:bCs/>
          <w:color w:val="auto"/>
          <w:lang w:val="es-ES_tradnl" w:eastAsia="es-ES"/>
        </w:rPr>
      </w:pPr>
      <w:r w:rsidRPr="004646D8">
        <w:rPr>
          <w:rFonts w:eastAsia="Times New Roman" w:cs="Tahoma"/>
          <w:bCs/>
          <w:color w:val="auto"/>
          <w:lang w:val="es-ES_tradnl" w:eastAsia="es-ES"/>
        </w:rPr>
        <w:lastRenderedPageBreak/>
        <w:t xml:space="preserve">Así, a efecto de determinar si el Sujeto Obligado cumplió con el procedimiento de búsqueda, resulta necesario citar </w:t>
      </w:r>
      <w:r>
        <w:rPr>
          <w:rFonts w:eastAsia="Times New Roman" w:cs="Tahoma"/>
          <w:bCs/>
          <w:color w:val="auto"/>
          <w:lang w:val="es-ES_tradnl" w:eastAsia="es-ES"/>
        </w:rPr>
        <w:t xml:space="preserve">el artículo </w:t>
      </w:r>
      <w:r w:rsidRPr="004646D8">
        <w:rPr>
          <w:rFonts w:eastAsia="Times New Roman" w:cs="Tahoma"/>
          <w:bCs/>
          <w:color w:val="auto"/>
          <w:lang w:val="es-ES_tradnl" w:eastAsia="es-ES"/>
        </w:rPr>
        <w:t>77</w:t>
      </w:r>
      <w:r w:rsidR="00982ACA">
        <w:rPr>
          <w:rFonts w:eastAsia="Times New Roman" w:cs="Tahoma"/>
          <w:bCs/>
          <w:color w:val="auto"/>
          <w:lang w:val="es-ES_tradnl" w:eastAsia="es-ES"/>
        </w:rPr>
        <w:t xml:space="preserve"> y 78</w:t>
      </w:r>
      <w:r>
        <w:rPr>
          <w:rFonts w:eastAsia="Times New Roman" w:cs="Tahoma"/>
          <w:bCs/>
          <w:color w:val="auto"/>
          <w:lang w:val="es-ES_tradnl" w:eastAsia="es-ES"/>
        </w:rPr>
        <w:t xml:space="preserve"> </w:t>
      </w:r>
      <w:r w:rsidRPr="004646D8">
        <w:rPr>
          <w:rFonts w:eastAsia="Times New Roman" w:cs="Tahoma"/>
          <w:bCs/>
          <w:color w:val="auto"/>
          <w:lang w:val="es-ES_tradnl" w:eastAsia="es-ES"/>
        </w:rPr>
        <w:t>del Reglamento Orgánico del Organismo Público Descentralizado para la Prestación de los Servicios de Agua Potable, Alcantarillado y Saneamiento del Municipio de Naucalpan</w:t>
      </w:r>
      <w:r w:rsidR="00982ACA">
        <w:rPr>
          <w:rFonts w:eastAsia="Times New Roman" w:cs="Tahoma"/>
          <w:bCs/>
          <w:color w:val="auto"/>
          <w:lang w:val="es-ES_tradnl" w:eastAsia="es-ES"/>
        </w:rPr>
        <w:t xml:space="preserve"> de Juárez</w:t>
      </w:r>
      <w:r w:rsidRPr="004646D8">
        <w:rPr>
          <w:rFonts w:eastAsia="Times New Roman" w:cs="Tahoma"/>
          <w:bCs/>
          <w:color w:val="auto"/>
          <w:lang w:val="es-ES_tradnl" w:eastAsia="es-ES"/>
        </w:rPr>
        <w:t xml:space="preserve">, </w:t>
      </w:r>
      <w:r w:rsidR="00982ACA">
        <w:rPr>
          <w:rFonts w:eastAsia="Times New Roman" w:cs="Tahoma"/>
          <w:bCs/>
          <w:color w:val="auto"/>
          <w:lang w:val="es-ES_tradnl" w:eastAsia="es-ES"/>
        </w:rPr>
        <w:t xml:space="preserve">que precisa que el Sujeto Obligado para el ejercicio de sus funciones, cuenta con diversas unidades administrativas para el ejercicio de sus funciones, entre las cuales se encuentra la </w:t>
      </w:r>
      <w:r w:rsidRPr="004646D8" w:rsidR="00982ACA">
        <w:rPr>
          <w:rFonts w:eastAsia="Times New Roman" w:cs="Tahoma"/>
          <w:bCs/>
          <w:color w:val="auto"/>
          <w:lang w:val="es-ES" w:eastAsia="es-ES"/>
        </w:rPr>
        <w:t>Gerencia de Administración</w:t>
      </w:r>
      <w:r w:rsidR="00982ACA">
        <w:rPr>
          <w:rFonts w:eastAsia="Times New Roman" w:cs="Tahoma"/>
          <w:bCs/>
          <w:color w:val="auto"/>
          <w:lang w:val="es-ES" w:eastAsia="es-ES"/>
        </w:rPr>
        <w:t xml:space="preserve"> adscrita a la</w:t>
      </w:r>
      <w:r w:rsidRPr="00982ACA" w:rsidR="00982ACA">
        <w:t xml:space="preserve"> </w:t>
      </w:r>
      <w:r w:rsidRPr="00982ACA" w:rsidR="00982ACA">
        <w:rPr>
          <w:rFonts w:eastAsia="Times New Roman" w:cs="Tahoma"/>
          <w:bCs/>
          <w:color w:val="auto"/>
          <w:lang w:val="es-ES" w:eastAsia="es-ES"/>
        </w:rPr>
        <w:t>Dirección de Administración y Finanzas</w:t>
      </w:r>
      <w:r w:rsidR="00982ACA">
        <w:rPr>
          <w:rFonts w:eastAsia="Times New Roman" w:cs="Tahoma"/>
          <w:bCs/>
          <w:color w:val="auto"/>
          <w:lang w:val="es-ES" w:eastAsia="es-ES"/>
        </w:rPr>
        <w:t xml:space="preserve"> encargada d</w:t>
      </w:r>
      <w:proofErr w:type="spellStart"/>
      <w:r w:rsidRPr="004646D8">
        <w:rPr>
          <w:rFonts w:eastAsia="Times New Roman" w:cs="Tahoma"/>
          <w:bCs/>
          <w:color w:val="auto"/>
          <w:lang w:val="es-ES_tradnl" w:eastAsia="es-ES"/>
        </w:rPr>
        <w:t>e</w:t>
      </w:r>
      <w:proofErr w:type="spellEnd"/>
      <w:r w:rsidRPr="004646D8">
        <w:rPr>
          <w:rFonts w:eastAsia="Times New Roman" w:cs="Tahoma"/>
          <w:bCs/>
          <w:color w:val="auto"/>
          <w:lang w:val="es-ES_tradnl" w:eastAsia="es-ES"/>
        </w:rPr>
        <w:t xml:space="preserve"> administrar, coordinar, vigilar y controlar los recursos humanos</w:t>
      </w:r>
      <w:r w:rsidR="00982ACA">
        <w:rPr>
          <w:rFonts w:eastAsia="Times New Roman" w:cs="Tahoma"/>
          <w:bCs/>
          <w:color w:val="auto"/>
          <w:lang w:val="es-ES_tradnl" w:eastAsia="es-ES"/>
        </w:rPr>
        <w:t>, así como, el pago de remuneraciones.</w:t>
      </w:r>
    </w:p>
    <w:p w:rsidRPr="004646D8" w:rsidR="004646D8" w:rsidP="00FD5865" w:rsidRDefault="004646D8" w14:paraId="5F409CF0" w14:textId="77777777">
      <w:pPr>
        <w:spacing w:after="0"/>
        <w:rPr>
          <w:rFonts w:eastAsia="Times New Roman" w:cs="Tahoma"/>
          <w:bCs/>
          <w:color w:val="auto"/>
          <w:lang w:eastAsia="es-ES"/>
        </w:rPr>
      </w:pPr>
    </w:p>
    <w:p w:rsidRPr="004646D8" w:rsidR="004646D8" w:rsidP="00FD5865" w:rsidRDefault="004646D8" w14:paraId="4CD19095" w14:textId="42C37212">
      <w:pPr>
        <w:spacing w:after="0"/>
        <w:rPr>
          <w:rFonts w:eastAsia="Times New Roman" w:cs="Tahoma"/>
          <w:bCs/>
          <w:color w:val="auto"/>
          <w:lang w:eastAsia="es-ES"/>
        </w:rPr>
      </w:pPr>
      <w:r w:rsidRPr="004646D8">
        <w:rPr>
          <w:rFonts w:eastAsia="Times New Roman" w:cs="Tahoma"/>
          <w:bCs/>
          <w:color w:val="auto"/>
          <w:lang w:eastAsia="es-ES"/>
        </w:rPr>
        <w:t xml:space="preserve">Conforme a lo expuesto, se logra colegir que el Sujeto Obligado, turno el requerimiento de información al área competente para conocer de los solicitado, a saber, la </w:t>
      </w:r>
      <w:r w:rsidR="00982ACA">
        <w:rPr>
          <w:rFonts w:eastAsia="Times New Roman" w:cs="Tahoma"/>
          <w:bCs/>
          <w:color w:val="auto"/>
          <w:lang w:eastAsia="es-ES"/>
        </w:rPr>
        <w:t>Gerencia de Administración</w:t>
      </w:r>
      <w:r w:rsidRPr="004646D8">
        <w:rPr>
          <w:rFonts w:eastAsia="Times New Roman" w:cs="Tahoma"/>
          <w:bCs/>
          <w:color w:val="auto"/>
          <w:lang w:eastAsia="es-ES"/>
        </w:rPr>
        <w:t xml:space="preserve">, </w:t>
      </w:r>
      <w:r w:rsidR="00982ACA">
        <w:rPr>
          <w:rFonts w:eastAsia="Times New Roman" w:cs="Tahoma"/>
          <w:bCs/>
          <w:color w:val="auto"/>
          <w:lang w:eastAsia="es-ES"/>
        </w:rPr>
        <w:t>que ve todas las cuestiones relacionadas con el pago de remuneraciones; por lo que, se coligue que</w:t>
      </w:r>
      <w:r w:rsidRPr="004646D8">
        <w:rPr>
          <w:rFonts w:eastAsia="Times New Roman" w:cs="Tahoma"/>
          <w:bCs/>
          <w:color w:val="auto"/>
          <w:lang w:eastAsia="es-ES"/>
        </w:rPr>
        <w:t xml:space="preserve"> el Ente Recurrido cumplió con lo previsto en el artículo 162 de la Ley de Transparencia y Acceso a la Información Pública del Estado de México y Municipios. </w:t>
      </w:r>
    </w:p>
    <w:p w:rsidR="00F12805" w:rsidP="00FD5865" w:rsidRDefault="00F12805" w14:paraId="542F3B17" w14:textId="32FAD545">
      <w:pPr>
        <w:spacing w:after="0"/>
        <w:rPr>
          <w:rFonts w:eastAsia="Calibri" w:cs="Tahoma"/>
          <w:bCs/>
          <w:color w:val="auto"/>
          <w:lang w:val="es-ES" w:eastAsia="es-ES_tradnl"/>
        </w:rPr>
      </w:pPr>
    </w:p>
    <w:p w:rsidR="00F12805" w:rsidP="00FD5865" w:rsidRDefault="00915BC9" w14:paraId="5BD491D4" w14:textId="720F3A41">
      <w:pPr>
        <w:spacing w:after="0"/>
        <w:rPr>
          <w:rFonts w:eastAsia="Calibri" w:cs="Tahoma"/>
          <w:bCs/>
          <w:color w:val="auto"/>
          <w:lang w:val="es-ES" w:eastAsia="es-ES_tradnl"/>
        </w:rPr>
      </w:pPr>
      <w:r>
        <w:rPr>
          <w:rFonts w:eastAsia="Calibri" w:cs="Tahoma"/>
          <w:bCs/>
          <w:color w:val="auto"/>
          <w:lang w:val="es-ES" w:eastAsia="es-ES_tradnl"/>
        </w:rPr>
        <w:t>Ahora bien, en respuesta dicha área proporcionó una tabla únicamente con el rubro sueldos, tal como se muestra en el siguiente ejemplo:</w:t>
      </w:r>
    </w:p>
    <w:p w:rsidR="00915BC9" w:rsidP="00FD5865" w:rsidRDefault="00915BC9" w14:paraId="4D3AB584" w14:textId="605263FD">
      <w:pPr>
        <w:spacing w:after="0"/>
        <w:rPr>
          <w:rFonts w:eastAsia="Calibri" w:cs="Tahoma"/>
          <w:bCs/>
          <w:color w:val="auto"/>
          <w:lang w:val="es-ES" w:eastAsia="es-ES_tradnl"/>
        </w:rPr>
      </w:pPr>
    </w:p>
    <w:p w:rsidR="00D056B8" w:rsidP="00FD5865" w:rsidRDefault="00E70D83" w14:paraId="0A9373D2" w14:textId="13207BDC">
      <w:pPr>
        <w:spacing w:after="0"/>
        <w:jc w:val="center"/>
      </w:pPr>
      <w:r>
        <w:rPr>
          <w:noProof/>
          <w:lang w:eastAsia="es-MX"/>
        </w:rPr>
        <w:drawing>
          <wp:inline distT="0" distB="0" distL="0" distR="0" wp14:anchorId="603C524E" wp14:editId="2CC8649A">
            <wp:extent cx="5089581" cy="172247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789" t="31408" r="27030" b="25408"/>
                    <a:stretch/>
                  </pic:blipFill>
                  <pic:spPr bwMode="auto">
                    <a:xfrm>
                      <a:off x="0" y="0"/>
                      <a:ext cx="5143680" cy="1740783"/>
                    </a:xfrm>
                    <a:prstGeom prst="rect">
                      <a:avLst/>
                    </a:prstGeom>
                    <a:ln>
                      <a:noFill/>
                    </a:ln>
                    <a:extLst>
                      <a:ext uri="{53640926-AAD7-44D8-BBD7-CCE9431645EC}">
                        <a14:shadowObscured xmlns:a14="http://schemas.microsoft.com/office/drawing/2010/main"/>
                      </a:ext>
                    </a:extLst>
                  </pic:spPr>
                </pic:pic>
              </a:graphicData>
            </a:graphic>
          </wp:inline>
        </w:drawing>
      </w:r>
    </w:p>
    <w:p w:rsidR="00E70D83" w:rsidP="00FD5865" w:rsidRDefault="00E70D83" w14:paraId="10A309AF" w14:textId="1EC835F3">
      <w:pPr>
        <w:spacing w:after="0"/>
        <w:rPr>
          <w:rFonts w:eastAsia="Calibri" w:cs="Tahoma"/>
          <w:bCs/>
          <w:color w:val="auto"/>
          <w:lang w:val="es-ES" w:eastAsia="es-ES_tradnl"/>
        </w:rPr>
      </w:pPr>
    </w:p>
    <w:p w:rsidR="00915BC9" w:rsidP="00FD5865" w:rsidRDefault="00915BC9" w14:paraId="01CA6221" w14:textId="1C6C5746">
      <w:pPr>
        <w:spacing w:after="0"/>
        <w:rPr>
          <w:rFonts w:eastAsia="Calibri" w:cs="Tahoma"/>
          <w:b/>
          <w:color w:val="auto"/>
          <w:lang w:val="es-ES" w:eastAsia="es-ES_tradnl"/>
        </w:rPr>
      </w:pPr>
      <w:r>
        <w:rPr>
          <w:rFonts w:eastAsia="Calibri" w:cs="Tahoma"/>
          <w:bCs/>
          <w:color w:val="auto"/>
          <w:lang w:val="es-ES" w:eastAsia="es-ES_tradnl"/>
        </w:rPr>
        <w:lastRenderedPageBreak/>
        <w:t>Como se logra observar y tal como señaló el Particular, el Sujeto Obligado proporcionó un robro de sueldos, pero no precisó si se trataba del sueldo bruto o neto</w:t>
      </w:r>
      <w:r w:rsidR="002619F7">
        <w:rPr>
          <w:rFonts w:eastAsia="Calibri" w:cs="Tahoma"/>
          <w:bCs/>
          <w:color w:val="auto"/>
          <w:lang w:val="es-ES" w:eastAsia="es-ES_tradnl"/>
        </w:rPr>
        <w:t xml:space="preserve">, lo cual da como resultado que el agravio sea </w:t>
      </w:r>
      <w:r w:rsidR="002619F7">
        <w:rPr>
          <w:rFonts w:eastAsia="Calibri" w:cs="Tahoma"/>
          <w:b/>
          <w:color w:val="auto"/>
          <w:lang w:val="es-ES" w:eastAsia="es-ES_tradnl"/>
        </w:rPr>
        <w:t>FUNDADO.</w:t>
      </w:r>
    </w:p>
    <w:p w:rsidR="002619F7" w:rsidP="00FD5865" w:rsidRDefault="002619F7" w14:paraId="035CC684" w14:textId="19385E44">
      <w:pPr>
        <w:spacing w:after="0"/>
        <w:rPr>
          <w:rFonts w:eastAsia="Calibri" w:cs="Tahoma"/>
          <w:b/>
          <w:color w:val="auto"/>
          <w:lang w:val="es-ES" w:eastAsia="es-ES_tradnl"/>
        </w:rPr>
      </w:pPr>
    </w:p>
    <w:p w:rsidR="00E70D83" w:rsidP="00FD5865" w:rsidRDefault="002619F7" w14:paraId="71FE7A38" w14:textId="251BF88B">
      <w:pPr>
        <w:spacing w:after="0"/>
        <w:rPr>
          <w:rFonts w:eastAsia="Times New Roman" w:cs="Tahoma"/>
          <w:bCs/>
          <w:color w:val="auto"/>
          <w:lang w:eastAsia="es-ES"/>
        </w:rPr>
      </w:pPr>
      <w:r>
        <w:rPr>
          <w:rFonts w:eastAsia="Calibri" w:cs="Tahoma"/>
          <w:bCs/>
          <w:color w:val="auto"/>
          <w:lang w:val="es-ES" w:eastAsia="es-ES_tradnl"/>
        </w:rPr>
        <w:t>No obstante, durante la sustanciación del Medio de Impugnación, la Gerencia de Administración, precisó que había proporcionado el sueldo bruto de los servidores públicos entrantes; a</w:t>
      </w:r>
      <w:r w:rsidR="00E70D83">
        <w:rPr>
          <w:rFonts w:eastAsia="Times New Roman" w:cs="Tahoma"/>
          <w:bCs/>
          <w:color w:val="auto"/>
          <w:lang w:eastAsia="es-ES"/>
        </w:rPr>
        <w:t>l respecto, es señalar que este Instituto, no tiene atribuciones para pronunciarse sobre la veracidad de la información</w:t>
      </w:r>
      <w:r>
        <w:rPr>
          <w:rFonts w:eastAsia="Times New Roman" w:cs="Tahoma"/>
          <w:bCs/>
          <w:color w:val="auto"/>
          <w:lang w:eastAsia="es-ES"/>
        </w:rPr>
        <w:t>. A</w:t>
      </w:r>
      <w:r w:rsidR="00E70D83">
        <w:rPr>
          <w:rFonts w:eastAsia="Times New Roman" w:cs="Tahoma"/>
          <w:bCs/>
          <w:color w:val="auto"/>
          <w:lang w:eastAsia="es-ES"/>
        </w:rPr>
        <w:t>poya lo anterior, el Criterio histórico 31/10, emitido por el Pleno del entonces Instituto Federal de Acceso a la Información y Protección de Datos, que a continuación se cita:</w:t>
      </w:r>
    </w:p>
    <w:p w:rsidR="00E70D83" w:rsidP="00FD5865" w:rsidRDefault="00E70D83" w14:paraId="4AA3B14D" w14:textId="77777777">
      <w:pPr>
        <w:spacing w:after="0"/>
        <w:rPr>
          <w:rFonts w:eastAsia="Times New Roman" w:cs="Tahoma"/>
          <w:bCs/>
          <w:color w:val="auto"/>
          <w:lang w:eastAsia="es-ES"/>
        </w:rPr>
      </w:pPr>
    </w:p>
    <w:p w:rsidR="00E70D83" w:rsidP="00FD5865" w:rsidRDefault="00E70D83" w14:paraId="04D5B3AA" w14:textId="77777777">
      <w:pPr>
        <w:spacing w:after="0"/>
        <w:ind w:left="567" w:right="567"/>
        <w:rPr>
          <w:rFonts w:eastAsia="Times New Roman" w:cs="Tahoma"/>
          <w:bCs/>
          <w:i/>
          <w:color w:val="auto"/>
          <w:sz w:val="20"/>
          <w:szCs w:val="20"/>
          <w:lang w:eastAsia="es-ES"/>
        </w:rPr>
      </w:pPr>
      <w:r>
        <w:rPr>
          <w:rFonts w:eastAsia="Times New Roman" w:cs="Tahoma"/>
          <w:b/>
          <w:bCs/>
          <w:i/>
          <w:color w:val="auto"/>
          <w:sz w:val="20"/>
          <w:szCs w:val="20"/>
          <w:lang w:eastAsia="es-ES"/>
        </w:rPr>
        <w:t xml:space="preserve">“El Instituto Federal de Acceso a la Información y Protección de Datos </w:t>
      </w:r>
      <w:r>
        <w:rPr>
          <w:rFonts w:eastAsia="Times New Roman" w:cs="Tahoma"/>
          <w:b/>
          <w:bCs/>
          <w:i/>
          <w:color w:val="auto"/>
          <w:sz w:val="20"/>
          <w:szCs w:val="20"/>
          <w:u w:val="single"/>
          <w:lang w:eastAsia="es-ES"/>
        </w:rPr>
        <w:t xml:space="preserve">no cuenta con facultades para pronunciarse respecto de la veracidad de los documentos proporcionados por los sujetos obligados. </w:t>
      </w:r>
      <w:r>
        <w:rPr>
          <w:rFonts w:eastAsia="Times New Roman" w:cs="Tahoma"/>
          <w:bCs/>
          <w:i/>
          <w:color w:val="auto"/>
          <w:sz w:val="20"/>
          <w:szCs w:val="20"/>
          <w:lang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70D83" w:rsidP="00FD5865" w:rsidRDefault="00E70D83" w14:paraId="155A2853" w14:textId="77777777">
      <w:pPr>
        <w:spacing w:after="0"/>
        <w:rPr>
          <w:rFonts w:eastAsia="Calibri" w:cs="Tahoma"/>
          <w:bCs/>
          <w:color w:val="auto"/>
          <w:lang w:eastAsia="es-ES_tradnl"/>
        </w:rPr>
      </w:pPr>
    </w:p>
    <w:p w:rsidR="00E70D83" w:rsidP="00FD5865" w:rsidRDefault="00E70D83" w14:paraId="1D32C626" w14:textId="652B02B5">
      <w:pPr>
        <w:spacing w:after="0"/>
        <w:rPr>
          <w:rFonts w:eastAsia="Times New Roman" w:cs="Tahoma"/>
          <w:iCs/>
          <w:color w:val="auto"/>
          <w:lang w:val="es-ES" w:eastAsia="es-ES"/>
        </w:rPr>
      </w:pPr>
      <w:r w:rsidRPr="00C758B1">
        <w:rPr>
          <w:rFonts w:eastAsia="Times New Roman" w:cs="Tahoma"/>
          <w:iCs/>
          <w:color w:val="auto"/>
          <w:lang w:val="es-ES" w:eastAsia="es-ES"/>
        </w:rPr>
        <w:t>Conforme a l</w:t>
      </w:r>
      <w:r w:rsidR="00F354D1">
        <w:rPr>
          <w:rFonts w:eastAsia="Times New Roman" w:cs="Tahoma"/>
          <w:iCs/>
          <w:color w:val="auto"/>
          <w:lang w:val="es-ES" w:eastAsia="es-ES"/>
        </w:rPr>
        <w:t>o anterior, se logra vislumbrar</w:t>
      </w:r>
      <w:r w:rsidR="002619F7">
        <w:rPr>
          <w:rFonts w:eastAsia="Times New Roman" w:cs="Tahoma"/>
          <w:iCs/>
          <w:color w:val="auto"/>
          <w:lang w:val="es-ES" w:eastAsia="es-ES"/>
        </w:rPr>
        <w:t xml:space="preserve">, que la Gerencia de Administración, proporcionó aclaró que proporcionó el sueldo bruto de los servidores públicos; en ese contexto, es de señalar </w:t>
      </w:r>
      <w:r w:rsidR="002619F7">
        <w:rPr>
          <w:rFonts w:eastAsia="Times New Roman" w:cs="Tahoma"/>
          <w:iCs/>
          <w:color w:val="auto"/>
          <w:lang w:val="es-ES" w:eastAsia="es-ES"/>
        </w:rPr>
        <w:lastRenderedPageBreak/>
        <w:t xml:space="preserve">que la solicitud se </w:t>
      </w:r>
      <w:proofErr w:type="spellStart"/>
      <w:r w:rsidR="002619F7">
        <w:rPr>
          <w:rFonts w:eastAsia="Times New Roman" w:cs="Tahoma"/>
          <w:iCs/>
          <w:color w:val="auto"/>
          <w:lang w:val="es-ES" w:eastAsia="es-ES"/>
        </w:rPr>
        <w:t>presento</w:t>
      </w:r>
      <w:proofErr w:type="spellEnd"/>
      <w:r w:rsidR="002619F7">
        <w:rPr>
          <w:rFonts w:eastAsia="Times New Roman" w:cs="Tahoma"/>
          <w:iCs/>
          <w:color w:val="auto"/>
          <w:lang w:val="es-ES" w:eastAsia="es-ES"/>
        </w:rPr>
        <w:t xml:space="preserve"> el diez de enero de dos mil veintidós, esto es, antes del pago de la primera quincena de dicho mes y año.</w:t>
      </w:r>
    </w:p>
    <w:p w:rsidR="002619F7" w:rsidP="00FD5865" w:rsidRDefault="002619F7" w14:paraId="3E13C65D" w14:textId="17ADAF76">
      <w:pPr>
        <w:spacing w:after="0"/>
        <w:rPr>
          <w:rFonts w:eastAsia="Times New Roman" w:cs="Tahoma"/>
          <w:iCs/>
          <w:color w:val="auto"/>
          <w:lang w:val="es-ES" w:eastAsia="es-ES"/>
        </w:rPr>
      </w:pPr>
    </w:p>
    <w:p w:rsidR="002619F7" w:rsidP="00FD5865" w:rsidRDefault="002619F7" w14:paraId="7D30F4E4" w14:textId="235F635C">
      <w:pPr>
        <w:spacing w:after="0"/>
        <w:rPr>
          <w:rFonts w:eastAsia="Times New Roman" w:cs="Tahoma"/>
          <w:iCs/>
          <w:color w:val="auto"/>
          <w:lang w:val="es-ES" w:eastAsia="es-ES"/>
        </w:rPr>
      </w:pPr>
      <w:r>
        <w:rPr>
          <w:rFonts w:eastAsia="Times New Roman" w:cs="Tahoma"/>
          <w:iCs/>
          <w:color w:val="auto"/>
          <w:lang w:val="es-ES" w:eastAsia="es-ES"/>
        </w:rPr>
        <w:t xml:space="preserve">Así, se logra vislumbrar </w:t>
      </w:r>
      <w:r w:rsidR="00C504DD">
        <w:rPr>
          <w:rFonts w:eastAsia="Times New Roman" w:cs="Tahoma"/>
          <w:iCs/>
          <w:color w:val="auto"/>
          <w:lang w:val="es-ES" w:eastAsia="es-ES"/>
        </w:rPr>
        <w:t>que,</w:t>
      </w:r>
      <w:r>
        <w:rPr>
          <w:rFonts w:eastAsia="Times New Roman" w:cs="Tahoma"/>
          <w:iCs/>
          <w:color w:val="auto"/>
          <w:lang w:val="es-ES" w:eastAsia="es-ES"/>
        </w:rPr>
        <w:t xml:space="preserve"> a la fecha de la solicitud, el Sujeto Obligado, no contaba con el sueldo neto a pagar a dichos trabajadores, pues no se </w:t>
      </w:r>
      <w:proofErr w:type="gramStart"/>
      <w:r w:rsidR="00C504DD">
        <w:rPr>
          <w:rFonts w:eastAsia="Times New Roman" w:cs="Tahoma"/>
          <w:iCs/>
          <w:color w:val="auto"/>
          <w:lang w:val="es-ES" w:eastAsia="es-ES"/>
        </w:rPr>
        <w:t>les</w:t>
      </w:r>
      <w:proofErr w:type="gramEnd"/>
      <w:r>
        <w:rPr>
          <w:rFonts w:eastAsia="Times New Roman" w:cs="Tahoma"/>
          <w:iCs/>
          <w:color w:val="auto"/>
          <w:lang w:val="es-ES" w:eastAsia="es-ES"/>
        </w:rPr>
        <w:t xml:space="preserve"> había</w:t>
      </w:r>
      <w:r w:rsidR="00C504DD">
        <w:rPr>
          <w:rFonts w:eastAsia="Times New Roman" w:cs="Tahoma"/>
          <w:iCs/>
          <w:color w:val="auto"/>
          <w:lang w:val="es-ES" w:eastAsia="es-ES"/>
        </w:rPr>
        <w:t>n</w:t>
      </w:r>
      <w:r>
        <w:rPr>
          <w:rFonts w:eastAsia="Times New Roman" w:cs="Tahoma"/>
          <w:iCs/>
          <w:color w:val="auto"/>
          <w:lang w:val="es-ES" w:eastAsia="es-ES"/>
        </w:rPr>
        <w:t xml:space="preserve"> aplicado a la fecha, ningún descuento o deducción,</w:t>
      </w:r>
      <w:r w:rsidR="00C504DD">
        <w:rPr>
          <w:rFonts w:eastAsia="Times New Roman" w:cs="Tahoma"/>
          <w:iCs/>
          <w:color w:val="auto"/>
          <w:lang w:val="es-ES" w:eastAsia="es-ES"/>
        </w:rPr>
        <w:t xml:space="preserve"> y, por lo tanto, únicamente constaba con el sueldo bruto.</w:t>
      </w:r>
    </w:p>
    <w:p w:rsidR="00C504DD" w:rsidP="00FD5865" w:rsidRDefault="00C504DD" w14:paraId="708FC200" w14:textId="56127E53">
      <w:pPr>
        <w:spacing w:after="0"/>
        <w:rPr>
          <w:rFonts w:eastAsia="Times New Roman" w:cs="Tahoma"/>
          <w:iCs/>
          <w:color w:val="auto"/>
          <w:lang w:val="es-ES" w:eastAsia="es-ES"/>
        </w:rPr>
      </w:pPr>
    </w:p>
    <w:p w:rsidRPr="00FF32E9" w:rsidR="00C504DD" w:rsidP="00FD5865" w:rsidRDefault="00C504DD" w14:paraId="25BC2858" w14:textId="77777777">
      <w:pPr>
        <w:spacing w:after="0"/>
      </w:pPr>
      <w:r>
        <w:rPr>
          <w:rFonts w:eastAsia="Times New Roman" w:cs="Tahoma"/>
          <w:iCs/>
          <w:color w:val="auto"/>
          <w:lang w:val="es-ES" w:eastAsia="es-ES"/>
        </w:rPr>
        <w:t>Conforme a lo anterior, se considera que el Sujeto Obligado atendió de manera correcta el pedimiento de información, pues proporcionó el sueldo bruto de los trabajadores entrantes, al ser el único dato con el que contaba a la fecha de la solicitud y, por lo tanto, proporcionó la información que obraba en sus archivos; ; sobre</w:t>
      </w:r>
      <w:r w:rsidRPr="00FF32E9">
        <w:rPr>
          <w:bCs/>
        </w:rPr>
        <w:t xml:space="preserve"> dicha situación, el</w:t>
      </w:r>
      <w:r w:rsidRPr="00FF32E9">
        <w:t xml:space="preserve"> artículo 12 de la Ley de Transparencia y Acceso a la Información Pública del Estado de México y Municipios,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FF32E9" w:rsidR="00C504DD" w:rsidP="00FD5865" w:rsidRDefault="00C504DD" w14:paraId="3E647363" w14:textId="77777777">
      <w:pPr>
        <w:spacing w:after="0"/>
      </w:pPr>
    </w:p>
    <w:p w:rsidRPr="00FF32E9" w:rsidR="00C504DD" w:rsidP="00FD5865" w:rsidRDefault="00C504DD" w14:paraId="2EAB7861" w14:textId="77777777">
      <w:pPr>
        <w:spacing w:after="0"/>
      </w:pPr>
      <w:r w:rsidRPr="00FF32E9">
        <w:t xml:space="preserve">De esta manera, </w:t>
      </w:r>
      <w:r w:rsidRPr="00FF32E9">
        <w:rPr>
          <w:lang w:val="es-ES"/>
        </w:rPr>
        <w:t xml:space="preserve">el derecho de acceso a la información pública se satisface en aquellos casos en que se entregue el soporte documental en el que conste la información solicitada, sin necesidad de elaborar documentos </w:t>
      </w:r>
      <w:r w:rsidRPr="00FF32E9">
        <w:rPr>
          <w:i/>
        </w:rPr>
        <w:t>ad hoc</w:t>
      </w:r>
      <w:r w:rsidRPr="00FF32E9">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FF32E9" w:rsidR="00C504DD" w:rsidP="00FD5865" w:rsidRDefault="00C504DD" w14:paraId="0335EBCC" w14:textId="77777777">
      <w:pPr>
        <w:spacing w:after="0"/>
      </w:pPr>
    </w:p>
    <w:p w:rsidR="00C504DD" w:rsidP="00FD5865" w:rsidRDefault="00C504DD" w14:paraId="46A39A52" w14:textId="046B90B1">
      <w:pPr>
        <w:spacing w:after="0"/>
        <w:rPr>
          <w:lang w:val="es-ES"/>
        </w:rPr>
      </w:pPr>
      <w:r w:rsidRPr="00FF32E9">
        <w:rPr>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Pr>
          <w:lang w:val="es-ES"/>
        </w:rPr>
        <w:t xml:space="preserve"> lo cual </w:t>
      </w:r>
      <w:r>
        <w:rPr>
          <w:lang w:val="es-ES"/>
        </w:rPr>
        <w:lastRenderedPageBreak/>
        <w:t xml:space="preserve">aconteció, pues proporcionó el único dato con el que contaba a la fecha de la solicitud, respecto a los servidores públicos entrantes, a saber, </w:t>
      </w:r>
      <w:r w:rsidR="00FF7ECC">
        <w:rPr>
          <w:lang w:val="es-ES"/>
        </w:rPr>
        <w:t xml:space="preserve">su sueldo bruto, </w:t>
      </w:r>
      <w:proofErr w:type="gramStart"/>
      <w:r w:rsidR="00FF7ECC">
        <w:rPr>
          <w:lang w:val="es-ES"/>
        </w:rPr>
        <w:t>y</w:t>
      </w:r>
      <w:proofErr w:type="gramEnd"/>
      <w:r w:rsidR="00FF7ECC">
        <w:rPr>
          <w:lang w:val="es-ES"/>
        </w:rPr>
        <w:t xml:space="preserve"> por lo tanto, se tiene por atendido.</w:t>
      </w:r>
    </w:p>
    <w:p w:rsidR="00FF7ECC" w:rsidP="00FD5865" w:rsidRDefault="00FF7ECC" w14:paraId="2D9A8E33" w14:textId="1D4E0156">
      <w:pPr>
        <w:spacing w:after="0"/>
        <w:rPr>
          <w:lang w:val="es-ES"/>
        </w:rPr>
      </w:pPr>
    </w:p>
    <w:p w:rsidR="00C504DD" w:rsidP="00FD5865" w:rsidRDefault="00FF7ECC" w14:paraId="4FA32302" w14:textId="4B978770">
      <w:pPr>
        <w:spacing w:after="0"/>
        <w:rPr>
          <w:rFonts w:eastAsia="Times New Roman" w:cs="Tahoma"/>
          <w:iCs/>
          <w:color w:val="auto"/>
          <w:lang w:val="es-ES" w:eastAsia="es-ES"/>
        </w:rPr>
      </w:pPr>
      <w:r>
        <w:rPr>
          <w:lang w:val="es-ES"/>
        </w:rPr>
        <w:t xml:space="preserve">Ahora bien, respecto al sueldo bruto y neto de los servidores públicos salientes, por una parte, es de recordar que el Sujeto Obligado proporcionó el bruto, sin embargo, omitió entregar el neto; en ese contexto, la Gerencia de Administración precisó que la información de las remuneraciones se localizaba en la página electrónica </w:t>
      </w:r>
      <w:hyperlink w:history="1" r:id="rId9">
        <w:r w:rsidRPr="002166A8">
          <w:rPr>
            <w:rStyle w:val="Hipervnculo"/>
            <w:rFonts w:eastAsia="Times New Roman" w:cs="Tahoma"/>
            <w:bCs/>
            <w:iCs/>
            <w:lang w:eastAsia="es-ES"/>
          </w:rPr>
          <w:t>https://www.ipomex.org.mx/ipo3/lgt/indice/OASNAUCALPAN/art_92_viii.web</w:t>
        </w:r>
      </w:hyperlink>
      <w:r>
        <w:rPr>
          <w:rFonts w:eastAsia="Times New Roman" w:cs="Tahoma"/>
          <w:iCs/>
          <w:color w:val="auto"/>
          <w:lang w:val="es-ES" w:eastAsia="es-ES"/>
        </w:rPr>
        <w:t xml:space="preserve">, de cuya revisión, se logra vislumbrar que remite al apartado de Remuneraciones, del Portal de Información Pública de Oficio Mexiquense del Ente Recurrido, tal como se muestra a continuación: </w:t>
      </w:r>
    </w:p>
    <w:p w:rsidR="00FF7ECC" w:rsidP="00FD5865" w:rsidRDefault="00FF7ECC" w14:paraId="0F33BED7" w14:textId="4F2CE7D7">
      <w:pPr>
        <w:spacing w:after="0"/>
        <w:rPr>
          <w:rFonts w:eastAsia="Times New Roman" w:cs="Tahoma"/>
          <w:iCs/>
          <w:color w:val="auto"/>
          <w:lang w:val="es-ES" w:eastAsia="es-ES"/>
        </w:rPr>
      </w:pPr>
    </w:p>
    <w:p w:rsidR="00FF7ECC" w:rsidP="00FD5865" w:rsidRDefault="00FF7ECC" w14:paraId="08C7039E" w14:textId="3F5A5361">
      <w:pPr>
        <w:spacing w:after="0"/>
        <w:jc w:val="center"/>
        <w:rPr>
          <w:rFonts w:eastAsia="Times New Roman" w:cs="Tahoma"/>
          <w:iCs/>
          <w:color w:val="auto"/>
          <w:lang w:val="es-ES" w:eastAsia="es-ES"/>
        </w:rPr>
      </w:pPr>
      <w:r>
        <w:rPr>
          <w:noProof/>
        </w:rPr>
        <w:drawing>
          <wp:inline distT="0" distB="0" distL="0" distR="0" wp14:anchorId="073D7E18" wp14:editId="5D1B07A1">
            <wp:extent cx="3409950" cy="1885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09950" cy="1885950"/>
                    </a:xfrm>
                    <a:prstGeom prst="rect">
                      <a:avLst/>
                    </a:prstGeom>
                  </pic:spPr>
                </pic:pic>
              </a:graphicData>
            </a:graphic>
          </wp:inline>
        </w:drawing>
      </w:r>
    </w:p>
    <w:p w:rsidR="00C504DD" w:rsidP="00FD5865" w:rsidRDefault="00C504DD" w14:paraId="7A497503" w14:textId="6F1AF962">
      <w:pPr>
        <w:spacing w:after="0"/>
        <w:rPr>
          <w:rFonts w:eastAsia="Times New Roman" w:cs="Tahoma"/>
          <w:iCs/>
          <w:color w:val="auto"/>
          <w:lang w:val="es-ES" w:eastAsia="es-ES"/>
        </w:rPr>
      </w:pPr>
    </w:p>
    <w:p w:rsidR="00C504DD" w:rsidP="00FD5865" w:rsidRDefault="00FF7ECC" w14:paraId="78DE2A32" w14:textId="186974AC">
      <w:pPr>
        <w:spacing w:after="0"/>
        <w:rPr>
          <w:rFonts w:eastAsia="Times New Roman" w:cs="Tahoma"/>
          <w:color w:val="auto"/>
          <w:lang w:eastAsia="es-ES"/>
        </w:rPr>
      </w:pPr>
      <w:r>
        <w:rPr>
          <w:rFonts w:eastAsia="Times New Roman" w:cs="Tahoma"/>
          <w:color w:val="auto"/>
          <w:lang w:eastAsia="es-ES"/>
        </w:rPr>
        <w:t xml:space="preserve">En ese orden de ideas, si bien los registros del Portal de Información Pública de Oficio </w:t>
      </w:r>
      <w:proofErr w:type="gramStart"/>
      <w:r>
        <w:rPr>
          <w:rFonts w:eastAsia="Times New Roman" w:cs="Tahoma"/>
          <w:color w:val="auto"/>
          <w:lang w:eastAsia="es-ES"/>
        </w:rPr>
        <w:t>Mexiquense,</w:t>
      </w:r>
      <w:proofErr w:type="gramEnd"/>
      <w:r>
        <w:rPr>
          <w:rFonts w:eastAsia="Times New Roman" w:cs="Tahoma"/>
          <w:color w:val="auto"/>
          <w:lang w:eastAsia="es-ES"/>
        </w:rPr>
        <w:t xml:space="preserve"> contienen los sueldos brutos y neto de los servidores públicos y sus prestaciones, lo cierto es que el Particular tendría que buscar en más de seis mil registros</w:t>
      </w:r>
      <w:r w:rsidR="00FE1561">
        <w:rPr>
          <w:rFonts w:eastAsia="Times New Roman" w:cs="Tahoma"/>
          <w:color w:val="auto"/>
          <w:lang w:eastAsia="es-ES"/>
        </w:rPr>
        <w:t>, para localizar a los servidores públicos salientes.</w:t>
      </w:r>
    </w:p>
    <w:p w:rsidR="00FD5865" w:rsidP="00FD5865" w:rsidRDefault="00FD5865" w14:paraId="4C9444A0" w14:textId="197FB635">
      <w:pPr>
        <w:spacing w:after="0"/>
        <w:rPr>
          <w:rFonts w:cs="Tahoma"/>
          <w:lang w:val="es-ES"/>
        </w:rPr>
      </w:pPr>
      <w:r w:rsidRPr="0099349F">
        <w:rPr>
          <w:rFonts w:cs="Tahoma"/>
          <w:lang w:val="es-ES"/>
        </w:rPr>
        <w:lastRenderedPageBreak/>
        <w:t xml:space="preserve">En ese contexto,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w:t>
      </w:r>
      <w:r w:rsidRPr="0099349F">
        <w:rPr>
          <w:rFonts w:cs="Tahoma"/>
          <w:b/>
          <w:lang w:val="es-ES"/>
        </w:rPr>
        <w:t>la fuente, el lugar y la forma</w:t>
      </w:r>
      <w:r w:rsidRPr="0099349F">
        <w:rPr>
          <w:rFonts w:cs="Tahoma"/>
          <w:lang w:val="es-ES"/>
        </w:rPr>
        <w:t xml:space="preserve"> en que se puede obtener la información</w:t>
      </w:r>
      <w:r>
        <w:rPr>
          <w:rFonts w:cs="Tahoma"/>
          <w:lang w:val="es-ES"/>
        </w:rPr>
        <w:t>, siempre y cuando no implique una búsqueda para estos.</w:t>
      </w:r>
    </w:p>
    <w:p w:rsidR="00FD5865" w:rsidP="00FD5865" w:rsidRDefault="00FD5865" w14:paraId="537DD3F6" w14:textId="1D3973DD">
      <w:pPr>
        <w:spacing w:after="0"/>
        <w:rPr>
          <w:rFonts w:cs="Tahoma"/>
          <w:lang w:val="es-ES"/>
        </w:rPr>
      </w:pPr>
    </w:p>
    <w:p w:rsidR="00FD5865" w:rsidP="00FD5865" w:rsidRDefault="00FD5865" w14:paraId="401EA38D" w14:textId="384C212A">
      <w:pPr>
        <w:spacing w:after="0"/>
        <w:rPr>
          <w:rFonts w:cs="Tahoma"/>
          <w:lang w:val="es-ES"/>
        </w:rPr>
      </w:pPr>
      <w:r>
        <w:rPr>
          <w:rFonts w:cs="Tahoma"/>
          <w:lang w:val="es-ES"/>
        </w:rPr>
        <w:t xml:space="preserve">Conforme a lo anterior, se considera que el Sujeto Obligado si bien proporcionó la fuente y el lugar para obtener la información, lo cierto es que no le precisó la forma para obtener la información, esto es, el proceso para obtener la información únicamente de los servidores públicos salientes </w:t>
      </w:r>
      <w:r w:rsidR="00D64EAA">
        <w:rPr>
          <w:rFonts w:cs="Tahoma"/>
          <w:lang w:val="es-ES"/>
        </w:rPr>
        <w:t>y,</w:t>
      </w:r>
      <w:r>
        <w:rPr>
          <w:rFonts w:cs="Tahoma"/>
          <w:lang w:val="es-ES"/>
        </w:rPr>
        <w:t xml:space="preserve"> por lo tanto, no se puede dar por atendido el requerimiento de información.</w:t>
      </w:r>
    </w:p>
    <w:p w:rsidR="00FD5865" w:rsidP="00FD5865" w:rsidRDefault="00FD5865" w14:paraId="6A7A3D75" w14:textId="6E9497B4">
      <w:pPr>
        <w:spacing w:after="0"/>
        <w:rPr>
          <w:rFonts w:cs="Tahoma"/>
          <w:lang w:val="es-ES"/>
        </w:rPr>
      </w:pPr>
    </w:p>
    <w:p w:rsidRPr="0099349F" w:rsidR="00FD5865" w:rsidP="00FD5865" w:rsidRDefault="00FD5865" w14:paraId="558CCB4D" w14:textId="627414B5">
      <w:pPr>
        <w:spacing w:after="0"/>
        <w:rPr>
          <w:rFonts w:cs="Tahoma"/>
          <w:lang w:val="es-ES"/>
        </w:rPr>
      </w:pPr>
      <w:r>
        <w:rPr>
          <w:rFonts w:cs="Tahoma"/>
          <w:lang w:val="es-ES"/>
        </w:rPr>
        <w:t xml:space="preserve">Por lo anterior, se considera </w:t>
      </w:r>
      <w:r w:rsidR="00D64EAA">
        <w:rPr>
          <w:rFonts w:cs="Tahoma"/>
          <w:lang w:val="es-ES"/>
        </w:rPr>
        <w:t>que,</w:t>
      </w:r>
      <w:r>
        <w:rPr>
          <w:rFonts w:cs="Tahoma"/>
          <w:lang w:val="es-ES"/>
        </w:rPr>
        <w:t xml:space="preserve"> en el presente caso, el Sujeto Obligado deberá realizar una búsqueda exhaustiva y razonable en la Gerencia de Administración, a efecto de que proporcione el documento donde conste el sueldo bruto y neto pagado en diciembre de dos mil veintiuno, a los servidores públicos salientes señalados en respuesta, con el fin de dar cumplimiento a los artículos 12, 160 y 162 de la Ley de Transparencia y Acceso a la Información Pública del Estado de México y Municipios.</w:t>
      </w:r>
    </w:p>
    <w:p w:rsidR="00FF7ECC" w:rsidP="00FD5865" w:rsidRDefault="00FF7ECC" w14:paraId="7069A87D" w14:textId="5BA11C2D">
      <w:pPr>
        <w:spacing w:after="0"/>
        <w:rPr>
          <w:rFonts w:eastAsia="Times New Roman" w:cs="Tahoma"/>
          <w:color w:val="auto"/>
          <w:lang w:eastAsia="es-ES"/>
        </w:rPr>
      </w:pPr>
    </w:p>
    <w:p w:rsidRPr="00D64EAA" w:rsidR="00D64EAA" w:rsidP="00D64EAA" w:rsidRDefault="00D64EAA" w14:paraId="5667B5FD" w14:textId="77777777">
      <w:pPr>
        <w:spacing w:after="0"/>
        <w:rPr>
          <w:rFonts w:eastAsia="Times New Roman" w:cs="Tahoma"/>
          <w:bCs/>
          <w:color w:val="auto"/>
          <w:lang w:val="es-ES" w:eastAsia="es-ES"/>
        </w:rPr>
      </w:pPr>
      <w:r w:rsidRPr="00D64EAA">
        <w:rPr>
          <w:rFonts w:eastAsia="Times New Roman" w:cs="Tahoma"/>
          <w:bCs/>
          <w:color w:val="auto"/>
          <w:lang w:val="es-ES_tradnl" w:eastAsia="es-ES"/>
        </w:rPr>
        <w:t>Finalmente, no pasa desapercibido para este Instituto que los documentos que den cuenta de lo solicitado, pudieran contener datos o información clasificada; por lo que, en el supuesto, deberá elaborar la versión pública respectiva; a</w:t>
      </w:r>
      <w:r w:rsidRPr="00D64EAA">
        <w:rPr>
          <w:rFonts w:eastAsia="Times New Roman" w:cs="Tahoma"/>
          <w:b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w:t>
      </w:r>
      <w:r w:rsidRPr="00D64EAA">
        <w:rPr>
          <w:rFonts w:eastAsia="Times New Roman" w:cs="Tahoma"/>
          <w:bCs/>
          <w:color w:val="auto"/>
          <w:lang w:val="es-ES" w:eastAsia="es-ES"/>
        </w:rPr>
        <w:lastRenderedPageBreak/>
        <w:t>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D64EAA" w:rsidR="00D64EAA" w:rsidP="00D64EAA" w:rsidRDefault="00D64EAA" w14:paraId="63BD9455" w14:textId="77777777">
      <w:pPr>
        <w:spacing w:after="0"/>
        <w:rPr>
          <w:rFonts w:eastAsia="Times New Roman" w:cs="Tahoma"/>
          <w:bCs/>
          <w:color w:val="auto"/>
          <w:lang w:val="es-ES" w:eastAsia="es-ES"/>
        </w:rPr>
      </w:pPr>
    </w:p>
    <w:p w:rsidRPr="00D64EAA" w:rsidR="00D64EAA" w:rsidP="00D64EAA" w:rsidRDefault="00D64EAA" w14:paraId="7AF07085" w14:textId="77777777">
      <w:pPr>
        <w:spacing w:after="0"/>
        <w:rPr>
          <w:rFonts w:eastAsia="Times New Roman" w:cs="Tahoma"/>
          <w:bCs/>
          <w:color w:val="auto"/>
          <w:lang w:val="es-ES" w:eastAsia="es-ES"/>
        </w:rPr>
      </w:pPr>
      <w:r w:rsidRPr="00D64EAA">
        <w:rPr>
          <w:rFonts w:eastAsia="Times New Roman" w:cs="Tahoma"/>
          <w:b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D64EAA" w:rsidP="00FD5865" w:rsidRDefault="00D64EAA" w14:paraId="4504AE12" w14:textId="77777777">
      <w:pPr>
        <w:spacing w:after="0"/>
        <w:rPr>
          <w:rFonts w:eastAsia="Times New Roman" w:cs="Tahoma"/>
          <w:color w:val="auto"/>
          <w:lang w:eastAsia="es-ES"/>
        </w:rPr>
      </w:pPr>
    </w:p>
    <w:p w:rsidRPr="0038233A" w:rsidR="00D64EAA" w:rsidP="00D64EAA" w:rsidRDefault="00D64EAA" w14:paraId="2EF5C099" w14:textId="77777777">
      <w:pPr>
        <w:spacing w:after="0"/>
        <w:rPr>
          <w:rFonts w:eastAsia="Batang" w:cs="Tahoma"/>
          <w:b/>
          <w:bCs/>
          <w:color w:val="auto"/>
          <w:lang w:val="es-ES" w:eastAsia="es-ES"/>
        </w:rPr>
      </w:pPr>
      <w:r w:rsidRPr="0038233A">
        <w:rPr>
          <w:rFonts w:eastAsia="Batang" w:cs="Tahoma"/>
          <w:b/>
          <w:bCs/>
          <w:color w:val="auto"/>
          <w:lang w:val="es-ES" w:eastAsia="es-ES"/>
        </w:rPr>
        <w:t>SEXTO. Decisión.</w:t>
      </w:r>
      <w:r>
        <w:rPr>
          <w:rFonts w:eastAsia="Batang" w:cs="Tahoma"/>
          <w:b/>
          <w:bCs/>
          <w:color w:val="auto"/>
          <w:lang w:val="es-ES" w:eastAsia="es-ES"/>
        </w:rPr>
        <w:t xml:space="preserve"> </w:t>
      </w:r>
    </w:p>
    <w:p w:rsidRPr="0038233A" w:rsidR="00D64EAA" w:rsidP="00D64EAA" w:rsidRDefault="00D64EAA" w14:paraId="24EA7464" w14:textId="77777777">
      <w:pPr>
        <w:spacing w:after="0"/>
        <w:rPr>
          <w:rFonts w:eastAsia="Batang" w:cs="Tahoma"/>
          <w:b/>
          <w:bCs/>
          <w:color w:val="auto"/>
          <w:lang w:val="es-ES" w:eastAsia="es-ES"/>
        </w:rPr>
      </w:pPr>
    </w:p>
    <w:p w:rsidRPr="0038233A" w:rsidR="00D64EAA" w:rsidP="00D64EAA" w:rsidRDefault="00D64EAA" w14:paraId="517FECC1" w14:textId="14CB619B">
      <w:pPr>
        <w:spacing w:after="0"/>
        <w:rPr>
          <w:rFonts w:eastAsia="Times New Roman" w:cs="Tahoma"/>
          <w:bCs/>
          <w:color w:val="auto"/>
          <w:lang w:val="es-ES_tradnl" w:eastAsia="es-ES"/>
        </w:rPr>
      </w:pPr>
      <w:r w:rsidRPr="0038233A">
        <w:rPr>
          <w:rFonts w:eastAsia="Times New Roman" w:cs="Tahoma"/>
          <w:color w:val="auto"/>
          <w:lang w:val="es-ES_tradnl" w:eastAsia="es-ES"/>
        </w:rPr>
        <w:t xml:space="preserve">Con fundamento en el artículo 186, fracción III, de la Ley de Transparencia y Acceso a la Información Pública del Estado de México y Municipios, este Instituto considera procedente </w:t>
      </w:r>
      <w:r>
        <w:rPr>
          <w:rFonts w:eastAsia="Times New Roman" w:cs="Tahoma"/>
          <w:b/>
          <w:color w:val="auto"/>
          <w:lang w:val="es-ES_tradnl" w:eastAsia="es-ES"/>
        </w:rPr>
        <w:t>MODIFICAR</w:t>
      </w:r>
      <w:r w:rsidRPr="0038233A">
        <w:rPr>
          <w:rFonts w:eastAsia="Times New Roman" w:cs="Tahoma"/>
          <w:b/>
          <w:color w:val="auto"/>
          <w:lang w:val="es-ES_tradnl" w:eastAsia="es-ES"/>
        </w:rPr>
        <w:t xml:space="preserve"> </w:t>
      </w:r>
      <w:r w:rsidRPr="0038233A">
        <w:rPr>
          <w:rFonts w:eastAsia="Times New Roman" w:cs="Tahoma"/>
          <w:color w:val="auto"/>
          <w:lang w:val="es-ES_tradnl" w:eastAsia="es-ES"/>
        </w:rPr>
        <w:t xml:space="preserve">la respuesta otorgada por el Sujeto Obligado, a la solicitud de acceso a la información </w:t>
      </w:r>
      <w:r w:rsidRPr="00D64EAA">
        <w:rPr>
          <w:rFonts w:eastAsia="Times New Roman" w:cs="Tahoma"/>
          <w:color w:val="0D0D0D" w:themeColor="text1" w:themeTint="F2"/>
          <w:lang w:val="es-ES_tradnl" w:eastAsia="es-ES"/>
        </w:rPr>
        <w:t>00012/OASNAUCAL/IP/2022</w:t>
      </w:r>
      <w:r w:rsidRPr="0038233A">
        <w:rPr>
          <w:rFonts w:eastAsia="Times New Roman" w:cs="Tahoma"/>
          <w:color w:val="auto"/>
          <w:lang w:val="es-ES_tradnl" w:eastAsia="es-ES"/>
        </w:rPr>
        <w:t xml:space="preserve">, </w:t>
      </w:r>
      <w:r w:rsidRPr="0038233A">
        <w:rPr>
          <w:rFonts w:eastAsia="Times New Roman" w:cs="Tahoma"/>
          <w:bCs/>
          <w:color w:val="auto"/>
          <w:lang w:val="es-ES_tradnl" w:eastAsia="es-ES"/>
        </w:rPr>
        <w:t>a efecto de que,</w:t>
      </w:r>
      <w:r>
        <w:rPr>
          <w:rFonts w:eastAsia="Times New Roman" w:cs="Tahoma"/>
          <w:bCs/>
          <w:color w:val="auto"/>
          <w:lang w:val="es-ES_tradnl" w:eastAsia="es-ES"/>
        </w:rPr>
        <w:t xml:space="preserve"> previa búsqueda exhaustiva y razonable en las unidades administrativas competentes, entre las cuales, no podrá omitir, a la Gerencia de Administración,</w:t>
      </w:r>
      <w:r w:rsidRPr="0038233A">
        <w:rPr>
          <w:rFonts w:eastAsia="Times New Roman" w:cs="Tahoma"/>
          <w:bCs/>
          <w:color w:val="auto"/>
          <w:lang w:val="es-ES_tradnl" w:eastAsia="es-ES"/>
        </w:rPr>
        <w:t xml:space="preserve"> entregue,</w:t>
      </w:r>
      <w:r w:rsidRPr="0038233A">
        <w:rPr>
          <w:rFonts w:ascii="Times New Roman" w:hAnsi="Times New Roman" w:eastAsia="Times New Roman" w:cs="Times New Roman"/>
          <w:color w:val="auto"/>
          <w:sz w:val="20"/>
          <w:szCs w:val="20"/>
          <w:lang w:val="es-ES_tradnl" w:eastAsia="es-ES"/>
        </w:rPr>
        <w:t xml:space="preserve"> </w:t>
      </w:r>
      <w:r w:rsidRPr="0038233A">
        <w:rPr>
          <w:rFonts w:eastAsia="Times New Roman" w:cs="Tahoma"/>
          <w:bCs/>
          <w:color w:val="auto"/>
          <w:lang w:val="es-ES_tradnl" w:eastAsia="es-ES"/>
        </w:rPr>
        <w:t xml:space="preserve">a través del Sistema de Acceso a la Información Mexiquense (SAIMEX), </w:t>
      </w:r>
      <w:r>
        <w:rPr>
          <w:rFonts w:eastAsia="Times New Roman" w:cs="Tahoma"/>
          <w:bCs/>
          <w:color w:val="auto"/>
          <w:lang w:val="es-ES_tradnl" w:eastAsia="es-ES"/>
        </w:rPr>
        <w:t xml:space="preserve">en su caso </w:t>
      </w:r>
      <w:r w:rsidRPr="0038233A">
        <w:rPr>
          <w:rFonts w:eastAsia="Times New Roman" w:cs="Tahoma"/>
          <w:bCs/>
          <w:color w:val="auto"/>
          <w:lang w:val="es-ES_tradnl" w:eastAsia="es-ES"/>
        </w:rPr>
        <w:t>versión pública,</w:t>
      </w:r>
      <w:r>
        <w:rPr>
          <w:rFonts w:eastAsia="Times New Roman" w:cs="Tahoma"/>
          <w:bCs/>
          <w:color w:val="auto"/>
          <w:lang w:val="es-ES_tradnl" w:eastAsia="es-ES"/>
        </w:rPr>
        <w:t xml:space="preserve"> </w:t>
      </w:r>
      <w:r>
        <w:rPr>
          <w:rFonts w:cs="Tahoma"/>
          <w:lang w:val="es-ES"/>
        </w:rPr>
        <w:t>el documento donde conste el sueldo bruto y neto pagado en diciembre de dos mil veintiuno, a los servidores públicos salientes señalados en respuesta.</w:t>
      </w:r>
    </w:p>
    <w:p w:rsidRPr="0038233A" w:rsidR="00D64EAA" w:rsidP="00D64EAA" w:rsidRDefault="00D64EAA" w14:paraId="33AA8C71" w14:textId="77777777">
      <w:pPr>
        <w:spacing w:after="0"/>
        <w:rPr>
          <w:rFonts w:eastAsia="Times New Roman" w:cs="Tahoma"/>
          <w:bCs/>
          <w:color w:val="auto"/>
          <w:lang w:val="es-ES_tradnl" w:eastAsia="es-ES"/>
        </w:rPr>
      </w:pPr>
    </w:p>
    <w:p w:rsidRPr="0038233A" w:rsidR="00D64EAA" w:rsidP="00D64EAA" w:rsidRDefault="00D64EAA" w14:paraId="30DAAD35" w14:textId="04179C6B">
      <w:pPr>
        <w:autoSpaceDE w:val="0"/>
        <w:autoSpaceDN w:val="0"/>
        <w:adjustRightInd w:val="0"/>
        <w:spacing w:after="0"/>
        <w:rPr>
          <w:rFonts w:eastAsia="Calibri" w:cs="Tahoma"/>
          <w:bCs/>
          <w:iCs/>
          <w:color w:val="000000"/>
          <w:lang w:val="es-ES_tradnl"/>
        </w:rPr>
      </w:pPr>
      <w:r w:rsidRPr="0038233A">
        <w:rPr>
          <w:rFonts w:eastAsia="Calibri" w:cs="Tahoma"/>
          <w:bCs/>
          <w:iCs/>
          <w:color w:val="000000"/>
          <w:lang w:val="es-ES_tradnl"/>
        </w:rPr>
        <w:t xml:space="preserve">Además, </w:t>
      </w:r>
      <w:r>
        <w:rPr>
          <w:rFonts w:eastAsia="Calibri" w:cs="Tahoma"/>
          <w:bCs/>
          <w:iCs/>
          <w:color w:val="000000"/>
          <w:lang w:val="es-ES_tradnl"/>
        </w:rPr>
        <w:t xml:space="preserve">de ser necesario, </w:t>
      </w:r>
      <w:r w:rsidRPr="0038233A">
        <w:rPr>
          <w:rFonts w:eastAsia="Calibri" w:cs="Tahoma"/>
          <w:bCs/>
          <w:iCs/>
          <w:color w:val="000000"/>
          <w:lang w:val="es-ES_tradnl"/>
        </w:rPr>
        <w:t xml:space="preserve">deberá proporcionar el Acuerdo de Clasificación donde el Comité de Transparencia, confirme la eliminación de los datos </w:t>
      </w:r>
      <w:r>
        <w:rPr>
          <w:rFonts w:eastAsia="Calibri" w:cs="Tahoma"/>
          <w:bCs/>
          <w:iCs/>
          <w:color w:val="000000"/>
          <w:lang w:val="es-ES_tradnl"/>
        </w:rPr>
        <w:t>clasificados</w:t>
      </w:r>
      <w:r w:rsidRPr="0038233A">
        <w:rPr>
          <w:rFonts w:eastAsia="Calibri" w:cs="Tahoma"/>
          <w:bCs/>
          <w:iCs/>
          <w:color w:val="000000"/>
          <w:lang w:val="es-ES_tradnl"/>
        </w:rPr>
        <w:t>, en la versión pública, de conformidad con los artículos 49, fracciones II y VIII</w:t>
      </w:r>
      <w:r>
        <w:rPr>
          <w:rFonts w:eastAsia="Calibri" w:cs="Tahoma"/>
          <w:bCs/>
          <w:iCs/>
          <w:color w:val="000000"/>
          <w:lang w:val="es-ES_tradnl"/>
        </w:rPr>
        <w:t xml:space="preserve"> y</w:t>
      </w:r>
      <w:r w:rsidRPr="0038233A">
        <w:rPr>
          <w:rFonts w:eastAsia="Calibri" w:cs="Tahoma"/>
          <w:bCs/>
          <w:iCs/>
          <w:color w:val="000000"/>
          <w:lang w:val="es-ES_tradnl"/>
        </w:rPr>
        <w:t xml:space="preserve"> 132, fracción II</w:t>
      </w:r>
      <w:r>
        <w:rPr>
          <w:rFonts w:eastAsia="Calibri" w:cs="Tahoma"/>
          <w:bCs/>
          <w:iCs/>
          <w:color w:val="000000"/>
          <w:lang w:val="es-ES_tradnl"/>
        </w:rPr>
        <w:t xml:space="preserve">, </w:t>
      </w:r>
      <w:r w:rsidRPr="0038233A">
        <w:rPr>
          <w:rFonts w:eastAsia="Calibri" w:cs="Tahoma"/>
          <w:bCs/>
          <w:iCs/>
          <w:color w:val="000000"/>
          <w:lang w:val="es-ES_tradnl"/>
        </w:rPr>
        <w:t>de la Ley de Transparencia y Acceso a la Información Pública del Estado de México y Municipios.</w:t>
      </w:r>
    </w:p>
    <w:p w:rsidRPr="0038233A" w:rsidR="00D64EAA" w:rsidP="00D64EAA" w:rsidRDefault="00D64EAA" w14:paraId="67E041C0" w14:textId="77777777">
      <w:pPr>
        <w:spacing w:after="0"/>
        <w:rPr>
          <w:rFonts w:eastAsia="Batang" w:cs="Tahoma"/>
          <w:b/>
          <w:bCs/>
          <w:color w:val="auto"/>
          <w:lang w:val="es-ES" w:eastAsia="es-ES"/>
        </w:rPr>
      </w:pPr>
      <w:r w:rsidRPr="0038233A">
        <w:rPr>
          <w:rFonts w:eastAsia="Batang" w:cs="Tahoma"/>
          <w:b/>
          <w:bCs/>
          <w:color w:val="auto"/>
          <w:lang w:val="es-ES" w:eastAsia="es-ES"/>
        </w:rPr>
        <w:lastRenderedPageBreak/>
        <w:t>Términos de la resolución para el Particular.</w:t>
      </w:r>
    </w:p>
    <w:p w:rsidRPr="0038233A" w:rsidR="00D64EAA" w:rsidP="00D64EAA" w:rsidRDefault="00D64EAA" w14:paraId="21475A90" w14:textId="77777777">
      <w:pPr>
        <w:spacing w:after="0"/>
        <w:contextualSpacing/>
        <w:rPr>
          <w:rFonts w:eastAsia="Times New Roman" w:cs="Times New Roman"/>
          <w:b/>
          <w:bCs/>
          <w:color w:val="auto"/>
          <w:lang w:val="es-ES_tradnl" w:eastAsia="es-ES"/>
        </w:rPr>
      </w:pPr>
    </w:p>
    <w:p w:rsidR="00D64EAA" w:rsidP="00D64EAA" w:rsidRDefault="00D64EAA" w14:paraId="496A0ACC" w14:textId="7A4A1AF6">
      <w:pPr>
        <w:spacing w:after="0"/>
        <w:contextualSpacing/>
        <w:rPr>
          <w:rFonts w:eastAsia="Times New Roman" w:cs="Times New Roman"/>
          <w:color w:val="auto"/>
          <w:lang w:val="es-ES_tradnl" w:eastAsia="es-ES"/>
        </w:rPr>
      </w:pPr>
      <w:r w:rsidRPr="0038233A">
        <w:rPr>
          <w:rFonts w:eastAsia="Times New Roman" w:cs="Times New Roman"/>
          <w:color w:val="auto"/>
          <w:lang w:val="es-ES_tradnl" w:eastAsia="es-ES"/>
        </w:rPr>
        <w:t>Se le hace del conocimiento al ahora Recurrente que, en el presente caso, se le da la razón, dado que el Sujeto Obligado</w:t>
      </w:r>
      <w:r>
        <w:rPr>
          <w:rFonts w:eastAsia="Times New Roman" w:cs="Times New Roman"/>
          <w:color w:val="auto"/>
          <w:lang w:val="es-ES_tradnl" w:eastAsia="es-ES"/>
        </w:rPr>
        <w:t xml:space="preserve"> si bien entrego los documentos solicitados, lo cierto es que entregó la información incompleta; por lo que, en el presente caso, se considera que para dar por atendido el requerimiento de información, el Sujeto Obligado deberá entregarle los sueldos brutos y netos de los servidores públicos salientes, toda vez que a la fecha de presentación de la solicitud, no existía el neto </w:t>
      </w:r>
      <w:r w:rsidR="00A41531">
        <w:rPr>
          <w:rFonts w:eastAsia="Times New Roman" w:cs="Times New Roman"/>
          <w:color w:val="auto"/>
          <w:lang w:val="es-ES_tradnl" w:eastAsia="es-ES"/>
        </w:rPr>
        <w:t>de los entrantes.</w:t>
      </w:r>
    </w:p>
    <w:p w:rsidR="00A41531" w:rsidP="00D64EAA" w:rsidRDefault="00A41531" w14:paraId="07F94B61" w14:textId="01CD6D08">
      <w:pPr>
        <w:spacing w:after="0"/>
        <w:contextualSpacing/>
        <w:rPr>
          <w:rFonts w:eastAsia="Times New Roman" w:cs="Times New Roman"/>
          <w:color w:val="auto"/>
          <w:lang w:val="es-ES_tradnl" w:eastAsia="es-ES"/>
        </w:rPr>
      </w:pPr>
    </w:p>
    <w:p w:rsidRPr="00EA64FC" w:rsidR="00A41531" w:rsidP="00A41531" w:rsidRDefault="00A41531" w14:paraId="20229CD6" w14:textId="77777777">
      <w:pPr>
        <w:contextualSpacing/>
        <w:rPr>
          <w:rFonts w:eastAsia="Calibri" w:cs="Tahoma"/>
          <w:bCs/>
          <w:iCs/>
          <w:lang w:val="es-ES_tradnl"/>
        </w:rPr>
      </w:pPr>
      <w:r w:rsidRPr="00375C9E">
        <w:rPr>
          <w:rFonts w:eastAsia="Calibri" w:cs="Tahoma"/>
          <w:bCs/>
          <w:iCs/>
          <w:lang w:val="es-ES_tradnl"/>
        </w:rPr>
        <w:t xml:space="preserve">La labor </w:t>
      </w:r>
      <w:r>
        <w:rPr>
          <w:rFonts w:eastAsia="Calibri" w:cs="Tahoma"/>
          <w:bCs/>
          <w:iCs/>
          <w:lang w:val="es-ES_tradnl"/>
        </w:rPr>
        <w:t>del Instituto de Transparencia, Acceso a la Información Pública y Protección de Datos Personales del Estado de México y Municipios</w:t>
      </w:r>
      <w:r w:rsidRPr="00375C9E">
        <w:rPr>
          <w:rFonts w:eastAsia="Calibri" w:cs="Tahoma"/>
          <w:bCs/>
          <w:iCs/>
          <w:lang w:val="es-ES_tradnl"/>
        </w:rPr>
        <w:t>, es apoyar a la población a acceder a la información pública y garantizar la protección de los datos personales.</w:t>
      </w:r>
    </w:p>
    <w:p w:rsidR="00D64EAA" w:rsidP="00FD5865" w:rsidRDefault="00D64EAA" w14:paraId="22387B60" w14:textId="77777777">
      <w:pPr>
        <w:spacing w:after="0"/>
        <w:jc w:val="center"/>
        <w:rPr>
          <w:rFonts w:eastAsia="Calibri" w:cs="Tahoma"/>
          <w:b/>
          <w:bCs/>
          <w:color w:val="auto"/>
          <w:lang w:eastAsia="es-ES_tradnl"/>
        </w:rPr>
      </w:pPr>
    </w:p>
    <w:p w:rsidRPr="00636F39" w:rsidR="00E70D83" w:rsidP="00FD5865" w:rsidRDefault="00E70D83" w14:paraId="5043072C" w14:textId="568E0A93">
      <w:pPr>
        <w:spacing w:after="0"/>
        <w:jc w:val="center"/>
        <w:rPr>
          <w:rFonts w:eastAsia="Calibri" w:cs="Tahoma"/>
          <w:b/>
          <w:bCs/>
          <w:color w:val="auto"/>
          <w:lang w:eastAsia="es-ES_tradnl"/>
        </w:rPr>
      </w:pPr>
      <w:r w:rsidRPr="00636F39">
        <w:rPr>
          <w:rFonts w:eastAsia="Calibri" w:cs="Tahoma"/>
          <w:b/>
          <w:bCs/>
          <w:color w:val="auto"/>
          <w:lang w:eastAsia="es-ES_tradnl"/>
        </w:rPr>
        <w:t>R E S U E L V E:</w:t>
      </w:r>
    </w:p>
    <w:p w:rsidRPr="00C2512E" w:rsidR="00E70D83" w:rsidP="00FD5865" w:rsidRDefault="00E70D83" w14:paraId="36771494" w14:textId="77777777">
      <w:pPr>
        <w:spacing w:after="0"/>
        <w:rPr>
          <w:rFonts w:eastAsia="Calibri" w:cs="Tahoma"/>
          <w:bCs/>
          <w:color w:val="auto"/>
          <w:lang w:eastAsia="es-ES_tradnl"/>
        </w:rPr>
      </w:pPr>
    </w:p>
    <w:p w:rsidRPr="00A41531" w:rsidR="00A41531" w:rsidP="00A41531" w:rsidRDefault="00A41531" w14:paraId="266CC75B" w14:textId="494F7B36">
      <w:pPr>
        <w:spacing w:after="0"/>
        <w:rPr>
          <w:rFonts w:eastAsia="Batang" w:cs="Tahoma"/>
          <w:bCs/>
          <w:color w:val="auto"/>
          <w:lang w:val="es-ES" w:eastAsia="es-ES"/>
        </w:rPr>
      </w:pPr>
      <w:r w:rsidRPr="00A41531">
        <w:rPr>
          <w:rFonts w:eastAsia="Batang" w:cs="Tahoma"/>
          <w:b/>
          <w:bCs/>
          <w:color w:val="auto"/>
          <w:lang w:val="es-ES" w:eastAsia="es-ES"/>
        </w:rPr>
        <w:t>PRIMERO</w:t>
      </w:r>
      <w:r w:rsidRPr="00A41531">
        <w:rPr>
          <w:rFonts w:eastAsia="Batang" w:cs="Tahoma"/>
          <w:bCs/>
          <w:color w:val="auto"/>
          <w:lang w:val="es-ES" w:eastAsia="es-ES"/>
        </w:rPr>
        <w:t xml:space="preserve">. Se </w:t>
      </w:r>
      <w:r>
        <w:rPr>
          <w:rFonts w:eastAsia="Batang" w:cs="Tahoma"/>
          <w:b/>
          <w:bCs/>
          <w:color w:val="auto"/>
          <w:lang w:val="es-ES" w:eastAsia="es-ES"/>
        </w:rPr>
        <w:t>MODIFICA</w:t>
      </w:r>
      <w:r w:rsidRPr="00A41531">
        <w:rPr>
          <w:rFonts w:eastAsia="Batang" w:cs="Tahoma"/>
          <w:bCs/>
          <w:color w:val="auto"/>
          <w:lang w:val="es-ES" w:eastAsia="es-ES"/>
        </w:rPr>
        <w:t xml:space="preserve"> la respuesta a la solicitud de información pública </w:t>
      </w:r>
      <w:r w:rsidRPr="00A41531">
        <w:rPr>
          <w:rFonts w:eastAsia="Calibri" w:cs="Tahoma"/>
          <w:color w:val="auto"/>
          <w:lang w:eastAsia="es-ES_tradnl"/>
        </w:rPr>
        <w:t>00012/OASNAUCAL/IP/2022</w:t>
      </w:r>
      <w:r w:rsidRPr="00A41531">
        <w:rPr>
          <w:rFonts w:eastAsia="Batang" w:cs="Tahoma"/>
          <w:bCs/>
          <w:color w:val="auto"/>
          <w:lang w:val="es-ES" w:eastAsia="es-ES"/>
        </w:rPr>
        <w:t xml:space="preserve">, por resultar </w:t>
      </w:r>
      <w:r w:rsidRPr="00A41531">
        <w:rPr>
          <w:rFonts w:eastAsia="Batang" w:cs="Tahoma"/>
          <w:b/>
          <w:color w:val="auto"/>
          <w:lang w:val="es-ES" w:eastAsia="es-ES"/>
        </w:rPr>
        <w:t>FUNDADAS</w:t>
      </w:r>
      <w:r w:rsidRPr="00A41531">
        <w:rPr>
          <w:rFonts w:eastAsia="Batang" w:cs="Tahoma"/>
          <w:bCs/>
          <w:color w:val="auto"/>
          <w:lang w:val="es-ES" w:eastAsia="es-ES"/>
        </w:rPr>
        <w:t xml:space="preserve"> las razones o motivos de inconformidad hechos valer por el Recurrente</w:t>
      </w:r>
      <w:r w:rsidRPr="00A41531">
        <w:rPr>
          <w:rFonts w:eastAsia="Batang" w:cs="Tahoma"/>
          <w:b/>
          <w:bCs/>
          <w:color w:val="auto"/>
          <w:lang w:val="es-ES" w:eastAsia="es-ES"/>
        </w:rPr>
        <w:t>,</w:t>
      </w:r>
      <w:r w:rsidRPr="00A41531">
        <w:rPr>
          <w:rFonts w:eastAsia="Batang" w:cs="Tahoma"/>
          <w:bCs/>
          <w:color w:val="auto"/>
          <w:lang w:val="es-ES" w:eastAsia="es-ES"/>
        </w:rPr>
        <w:t xml:space="preserve"> en términos de los Considerandos </w:t>
      </w:r>
      <w:r w:rsidRPr="00A41531">
        <w:rPr>
          <w:rFonts w:eastAsia="Batang" w:cs="Tahoma"/>
          <w:b/>
          <w:bCs/>
          <w:color w:val="auto"/>
          <w:lang w:val="es-ES" w:eastAsia="es-ES"/>
        </w:rPr>
        <w:t>QUINTO y SEXTO</w:t>
      </w:r>
      <w:r w:rsidRPr="00A41531">
        <w:rPr>
          <w:rFonts w:eastAsia="Batang" w:cs="Tahoma"/>
          <w:bCs/>
          <w:color w:val="auto"/>
          <w:lang w:val="es-ES" w:eastAsia="es-ES"/>
        </w:rPr>
        <w:t xml:space="preserve"> de esta Resolución.</w:t>
      </w:r>
    </w:p>
    <w:p w:rsidRPr="00A41531" w:rsidR="00A41531" w:rsidP="00A41531" w:rsidRDefault="00A41531" w14:paraId="3628A43C" w14:textId="77777777">
      <w:pPr>
        <w:spacing w:after="0"/>
        <w:rPr>
          <w:rFonts w:eastAsia="Calibri" w:cs="Tahoma"/>
          <w:b/>
          <w:bCs/>
        </w:rPr>
      </w:pPr>
    </w:p>
    <w:p w:rsidR="00A41531" w:rsidP="00A41531" w:rsidRDefault="00A41531" w14:paraId="5B879A4B" w14:textId="77777777">
      <w:pPr>
        <w:spacing w:after="0"/>
        <w:rPr>
          <w:rFonts w:cs="Tahoma"/>
          <w:lang w:val="es-ES"/>
        </w:rPr>
      </w:pPr>
      <w:r w:rsidRPr="00A41531">
        <w:rPr>
          <w:rFonts w:eastAsia="Times New Roman" w:cs="Times New Roman"/>
          <w:b/>
          <w:bCs/>
          <w:color w:val="0D0D0D" w:themeColor="text1" w:themeTint="F2"/>
          <w:lang w:val="es-ES_tradnl" w:eastAsia="es-ES"/>
        </w:rPr>
        <w:t>SEGUNDO.</w:t>
      </w:r>
      <w:r w:rsidRPr="00A41531">
        <w:rPr>
          <w:rFonts w:eastAsia="Times New Roman" w:cs="Times New Roman"/>
          <w:color w:val="0D0D0D" w:themeColor="text1" w:themeTint="F2"/>
          <w:lang w:val="es-ES_tradnl" w:eastAsia="es-ES"/>
        </w:rPr>
        <w:t xml:space="preserve"> Se </w:t>
      </w:r>
      <w:r w:rsidRPr="00A41531">
        <w:rPr>
          <w:rFonts w:eastAsia="Times New Roman" w:cs="Times New Roman"/>
          <w:b/>
          <w:bCs/>
          <w:color w:val="0D0D0D" w:themeColor="text1" w:themeTint="F2"/>
          <w:lang w:val="es-ES_tradnl" w:eastAsia="es-ES"/>
        </w:rPr>
        <w:t>ORDENA</w:t>
      </w:r>
      <w:r w:rsidRPr="00A41531">
        <w:rPr>
          <w:rFonts w:eastAsia="Times New Roman" w:cs="Times New Roman"/>
          <w:color w:val="0D0D0D" w:themeColor="text1" w:themeTint="F2"/>
          <w:lang w:val="es-ES_tradnl" w:eastAsia="es-ES"/>
        </w:rPr>
        <w:t xml:space="preserve"> al </w:t>
      </w:r>
      <w:r>
        <w:rPr>
          <w:rFonts w:eastAsia="Times New Roman" w:cs="Times New Roman"/>
          <w:color w:val="0D0D0D" w:themeColor="text1" w:themeTint="F2"/>
          <w:lang w:val="es-ES_tradnl" w:eastAsia="es-ES"/>
        </w:rPr>
        <w:t>Sujeto Obligado</w:t>
      </w:r>
      <w:r w:rsidRPr="00A41531">
        <w:rPr>
          <w:rFonts w:eastAsia="Times New Roman" w:cs="Times New Roman"/>
          <w:color w:val="0D0D0D" w:themeColor="text1" w:themeTint="F2"/>
          <w:lang w:val="es-ES_tradnl" w:eastAsia="es-ES"/>
        </w:rPr>
        <w:t xml:space="preserve">, </w:t>
      </w:r>
      <w:r w:rsidRPr="00A41531">
        <w:rPr>
          <w:rFonts w:eastAsia="Calibri" w:cs="Times New Roman"/>
          <w:bCs/>
          <w:color w:val="auto"/>
          <w:lang w:eastAsia="es-ES"/>
        </w:rPr>
        <w:t xml:space="preserve">a efecto de que, previa </w:t>
      </w:r>
      <w:r w:rsidRPr="00A41531">
        <w:rPr>
          <w:rFonts w:eastAsia="Calibri" w:cs="Times New Roman"/>
          <w:bCs/>
          <w:color w:val="auto"/>
          <w:lang w:val="es-ES" w:eastAsia="es-ES"/>
        </w:rPr>
        <w:t>búsqueda exhaustiva y razonable en las unidades administrativas competentes</w:t>
      </w:r>
      <w:r w:rsidRPr="00A41531">
        <w:rPr>
          <w:rFonts w:eastAsia="Calibri" w:cs="Times New Roman"/>
          <w:bCs/>
          <w:color w:val="auto"/>
          <w:lang w:eastAsia="es-ES"/>
        </w:rPr>
        <w:t xml:space="preserve">, entregue, a través del Sistema de Acceso a la Información Mexiquense (SAIMEX), </w:t>
      </w:r>
      <w:r>
        <w:rPr>
          <w:rFonts w:eastAsia="Times New Roman" w:cs="Tahoma"/>
          <w:bCs/>
          <w:color w:val="auto"/>
          <w:lang w:val="es-ES_tradnl" w:eastAsia="es-ES"/>
        </w:rPr>
        <w:t xml:space="preserve">en su caso </w:t>
      </w:r>
      <w:r w:rsidRPr="0038233A">
        <w:rPr>
          <w:rFonts w:eastAsia="Times New Roman" w:cs="Tahoma"/>
          <w:bCs/>
          <w:color w:val="auto"/>
          <w:lang w:val="es-ES_tradnl" w:eastAsia="es-ES"/>
        </w:rPr>
        <w:t>versión pública,</w:t>
      </w:r>
      <w:r>
        <w:rPr>
          <w:rFonts w:eastAsia="Times New Roman" w:cs="Tahoma"/>
          <w:bCs/>
          <w:color w:val="auto"/>
          <w:lang w:val="es-ES_tradnl" w:eastAsia="es-ES"/>
        </w:rPr>
        <w:t xml:space="preserve"> </w:t>
      </w:r>
      <w:r>
        <w:rPr>
          <w:rFonts w:cs="Tahoma"/>
          <w:lang w:val="es-ES"/>
        </w:rPr>
        <w:t>el documento donde conste lo siguiente:</w:t>
      </w:r>
    </w:p>
    <w:p w:rsidRPr="00A41531" w:rsidR="00A41531" w:rsidP="00A41531" w:rsidRDefault="00A41531" w14:paraId="146634B4" w14:textId="596610FB">
      <w:pPr>
        <w:pStyle w:val="Prrafodelista"/>
        <w:numPr>
          <w:ilvl w:val="0"/>
          <w:numId w:val="42"/>
        </w:numPr>
        <w:spacing w:after="0"/>
        <w:rPr>
          <w:rFonts w:eastAsia="Times New Roman" w:cs="Tahoma"/>
          <w:bCs/>
          <w:color w:val="auto"/>
          <w:lang w:val="es-ES_tradnl" w:eastAsia="es-ES"/>
        </w:rPr>
      </w:pPr>
      <w:r w:rsidRPr="00A41531">
        <w:rPr>
          <w:rFonts w:cs="Tahoma"/>
          <w:lang w:val="es-ES"/>
        </w:rPr>
        <w:lastRenderedPageBreak/>
        <w:t xml:space="preserve">El sueldo </w:t>
      </w:r>
      <w:r w:rsidR="005D0BA3">
        <w:rPr>
          <w:rFonts w:cs="Tahoma"/>
          <w:lang w:val="es-ES"/>
        </w:rPr>
        <w:t xml:space="preserve">mensual </w:t>
      </w:r>
      <w:r w:rsidRPr="00A41531">
        <w:rPr>
          <w:rFonts w:cs="Tahoma"/>
          <w:lang w:val="es-ES"/>
        </w:rPr>
        <w:t>bruto y neto pagado en diciembre de dos mil veintiuno, a los servidores públicos salientes señalados en respuesta.</w:t>
      </w:r>
    </w:p>
    <w:p w:rsidRPr="0038233A" w:rsidR="00A41531" w:rsidP="00A41531" w:rsidRDefault="00A41531" w14:paraId="30009A9C" w14:textId="77777777">
      <w:pPr>
        <w:spacing w:after="0"/>
        <w:rPr>
          <w:rFonts w:eastAsia="Times New Roman" w:cs="Tahoma"/>
          <w:bCs/>
          <w:color w:val="auto"/>
          <w:lang w:val="es-ES_tradnl" w:eastAsia="es-ES"/>
        </w:rPr>
      </w:pPr>
    </w:p>
    <w:p w:rsidRPr="0038233A" w:rsidR="00A41531" w:rsidP="00A41531" w:rsidRDefault="00A41531" w14:paraId="22381583" w14:textId="3E606563">
      <w:pPr>
        <w:autoSpaceDE w:val="0"/>
        <w:autoSpaceDN w:val="0"/>
        <w:adjustRightInd w:val="0"/>
        <w:spacing w:after="0"/>
        <w:rPr>
          <w:rFonts w:eastAsia="Calibri" w:cs="Tahoma"/>
          <w:bCs/>
          <w:iCs/>
          <w:color w:val="000000"/>
          <w:lang w:val="es-ES_tradnl"/>
        </w:rPr>
      </w:pPr>
      <w:r w:rsidRPr="0038233A">
        <w:rPr>
          <w:rFonts w:eastAsia="Calibri" w:cs="Tahoma"/>
          <w:bCs/>
          <w:iCs/>
          <w:color w:val="000000"/>
          <w:lang w:val="es-ES_tradnl"/>
        </w:rPr>
        <w:t xml:space="preserve">Además, </w:t>
      </w:r>
      <w:r>
        <w:rPr>
          <w:rFonts w:eastAsia="Calibri" w:cs="Tahoma"/>
          <w:bCs/>
          <w:iCs/>
          <w:color w:val="000000"/>
          <w:lang w:val="es-ES_tradnl"/>
        </w:rPr>
        <w:t xml:space="preserve">de ser necesario, </w:t>
      </w:r>
      <w:r w:rsidRPr="0038233A">
        <w:rPr>
          <w:rFonts w:eastAsia="Calibri" w:cs="Tahoma"/>
          <w:bCs/>
          <w:iCs/>
          <w:color w:val="000000"/>
          <w:lang w:val="es-ES_tradnl"/>
        </w:rPr>
        <w:t xml:space="preserve">deberá proporcionar el Acuerdo de Clasificación donde el Comité de Transparencia, confirme la eliminación de los datos </w:t>
      </w:r>
      <w:r>
        <w:rPr>
          <w:rFonts w:eastAsia="Calibri" w:cs="Tahoma"/>
          <w:bCs/>
          <w:iCs/>
          <w:color w:val="000000"/>
          <w:lang w:val="es-ES_tradnl"/>
        </w:rPr>
        <w:t>clasificados</w:t>
      </w:r>
      <w:r w:rsidRPr="0038233A">
        <w:rPr>
          <w:rFonts w:eastAsia="Calibri" w:cs="Tahoma"/>
          <w:bCs/>
          <w:iCs/>
          <w:color w:val="000000"/>
          <w:lang w:val="es-ES_tradnl"/>
        </w:rPr>
        <w:t>, en la versión pública, de conformidad con los artículos 49, fracciones II y VIII</w:t>
      </w:r>
      <w:r w:rsidR="00094C42">
        <w:rPr>
          <w:rFonts w:eastAsia="Calibri" w:cs="Tahoma"/>
          <w:bCs/>
          <w:iCs/>
          <w:color w:val="000000"/>
          <w:lang w:val="es-ES_tradnl"/>
        </w:rPr>
        <w:t xml:space="preserve"> y</w:t>
      </w:r>
      <w:r w:rsidRPr="0038233A">
        <w:rPr>
          <w:rFonts w:eastAsia="Calibri" w:cs="Tahoma"/>
          <w:bCs/>
          <w:iCs/>
          <w:color w:val="000000"/>
          <w:lang w:val="es-ES_tradnl"/>
        </w:rPr>
        <w:t xml:space="preserve"> 132, fracción II</w:t>
      </w:r>
      <w:r>
        <w:rPr>
          <w:rFonts w:eastAsia="Calibri" w:cs="Tahoma"/>
          <w:bCs/>
          <w:iCs/>
          <w:color w:val="000000"/>
          <w:lang w:val="es-ES_tradnl"/>
        </w:rPr>
        <w:t xml:space="preserve">, </w:t>
      </w:r>
      <w:r w:rsidRPr="0038233A">
        <w:rPr>
          <w:rFonts w:eastAsia="Calibri" w:cs="Tahoma"/>
          <w:bCs/>
          <w:iCs/>
          <w:color w:val="000000"/>
          <w:lang w:val="es-ES_tradnl"/>
        </w:rPr>
        <w:t>de la Ley de Transparencia y Acceso a la Información Pública del Estado de México y Municipios.</w:t>
      </w:r>
    </w:p>
    <w:p w:rsidRPr="00A41531" w:rsidR="00A41531" w:rsidP="00A41531" w:rsidRDefault="00A41531" w14:paraId="1A198579" w14:textId="5C9DF6F7">
      <w:pPr>
        <w:spacing w:after="0"/>
        <w:ind w:right="-93"/>
        <w:rPr>
          <w:rFonts w:eastAsia="Calibri" w:cs="Times New Roman"/>
          <w:bCs/>
          <w:color w:val="auto"/>
          <w:lang w:val="es-ES" w:eastAsia="es-ES"/>
        </w:rPr>
      </w:pPr>
    </w:p>
    <w:p w:rsidRPr="00A41531" w:rsidR="00A41531" w:rsidP="00A41531" w:rsidRDefault="00A41531" w14:paraId="5475BC63" w14:textId="77777777">
      <w:pPr>
        <w:spacing w:after="0"/>
        <w:rPr>
          <w:rFonts w:eastAsia="Times New Roman" w:cs="Tahoma"/>
          <w:color w:val="0D0D0D" w:themeColor="text1" w:themeTint="F2"/>
          <w:lang w:val="es-ES_tradnl" w:eastAsia="es-ES"/>
        </w:rPr>
      </w:pPr>
      <w:r w:rsidRPr="00A41531">
        <w:rPr>
          <w:rFonts w:eastAsia="Calibri" w:cs="Tahoma"/>
          <w:b/>
          <w:bCs/>
          <w:color w:val="0D0D0D" w:themeColor="text1" w:themeTint="F2"/>
          <w:lang w:val="es-ES_tradnl"/>
        </w:rPr>
        <w:t>TERCERO.</w:t>
      </w:r>
      <w:r w:rsidRPr="00A41531">
        <w:rPr>
          <w:rFonts w:eastAsia="Times New Roman" w:cs="Tahoma"/>
          <w:color w:val="0D0D0D" w:themeColor="text1" w:themeTint="F2"/>
          <w:lang w:val="es-ES_tradnl" w:eastAsia="es-ES"/>
        </w:rPr>
        <w:t xml:space="preserve"> </w:t>
      </w:r>
      <w:r w:rsidRPr="00A41531">
        <w:rPr>
          <w:rFonts w:eastAsia="Times New Roman" w:cs="Tahoma"/>
          <w:b/>
          <w:color w:val="0D0D0D" w:themeColor="text1" w:themeTint="F2"/>
          <w:lang w:val="es-ES_tradnl" w:eastAsia="es-ES"/>
        </w:rPr>
        <w:t xml:space="preserve">NOTIFÍQUESE </w:t>
      </w:r>
      <w:r w:rsidRPr="00A41531">
        <w:rPr>
          <w:rFonts w:eastAsia="Times New Roman" w:cs="Tahoma"/>
          <w:color w:val="0D0D0D" w:themeColor="text1" w:themeTint="F2"/>
          <w:lang w:val="es-ES_tradnl" w:eastAsia="es-ES"/>
        </w:rPr>
        <w:t>la presente resolución a la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A41531" w:rsidR="00A41531" w:rsidP="00A41531" w:rsidRDefault="00A41531" w14:paraId="43C8F4C3" w14:textId="77777777">
      <w:pPr>
        <w:spacing w:after="0"/>
        <w:rPr>
          <w:rFonts w:eastAsia="Times New Roman" w:cs="Tahoma"/>
          <w:color w:val="0D0D0D" w:themeColor="text1" w:themeTint="F2"/>
          <w:lang w:val="es-ES_tradnl" w:eastAsia="es-ES"/>
        </w:rPr>
      </w:pPr>
    </w:p>
    <w:p w:rsidRPr="00A41531" w:rsidR="00A41531" w:rsidP="00A41531" w:rsidRDefault="00A41531" w14:paraId="2A97A391" w14:textId="77777777">
      <w:pPr>
        <w:spacing w:after="0"/>
        <w:rPr>
          <w:rFonts w:eastAsia="Calibri" w:cs="Tahoma"/>
          <w:iCs/>
          <w:color w:val="0D0D0D" w:themeColor="text1" w:themeTint="F2"/>
          <w:lang w:val="es-ES_tradnl"/>
        </w:rPr>
      </w:pPr>
      <w:r w:rsidRPr="00A41531">
        <w:rPr>
          <w:rFonts w:eastAsia="Calibri" w:cs="Tahoma"/>
          <w:iCs/>
          <w:color w:val="0D0D0D" w:themeColor="text1" w:themeTint="F2"/>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A41531" w:rsidR="00A41531" w:rsidP="00A41531" w:rsidRDefault="00A41531" w14:paraId="166AAF32" w14:textId="77777777">
      <w:pPr>
        <w:spacing w:after="0"/>
        <w:rPr>
          <w:rFonts w:eastAsia="Times New Roman" w:cs="Tahoma"/>
          <w:color w:val="0D0D0D" w:themeColor="text1" w:themeTint="F2"/>
          <w:lang w:val="es-ES_tradnl" w:eastAsia="es-ES"/>
        </w:rPr>
      </w:pPr>
    </w:p>
    <w:p w:rsidRPr="00A41531" w:rsidR="00A41531" w:rsidP="00A41531" w:rsidRDefault="00A41531" w14:paraId="15CFC983" w14:textId="77777777">
      <w:pPr>
        <w:spacing w:after="0"/>
        <w:ind w:right="-93"/>
        <w:rPr>
          <w:rFonts w:eastAsia="Times New Roman" w:cs="Tahoma"/>
          <w:color w:val="auto"/>
          <w:lang w:val="es-ES_tradnl" w:eastAsia="es-ES"/>
        </w:rPr>
      </w:pPr>
      <w:r w:rsidRPr="00A41531">
        <w:rPr>
          <w:rFonts w:eastAsia="Calibri" w:cs="Tahoma"/>
          <w:b/>
          <w:color w:val="auto"/>
          <w:lang w:val="es-ES_tradnl" w:eastAsia="es-MX"/>
        </w:rPr>
        <w:t>CUARTO</w:t>
      </w:r>
      <w:r w:rsidRPr="00A41531">
        <w:rPr>
          <w:rFonts w:eastAsia="Calibri" w:cs="Tahoma"/>
          <w:b/>
          <w:bCs/>
          <w:color w:val="auto"/>
          <w:lang w:val="es-ES_tradnl"/>
        </w:rPr>
        <w:t>.</w:t>
      </w:r>
      <w:r w:rsidRPr="00A41531">
        <w:rPr>
          <w:rFonts w:eastAsia="Calibri" w:cs="Tahoma"/>
          <w:color w:val="auto"/>
          <w:lang w:val="es-ES_tradnl" w:eastAsia="es-MX"/>
        </w:rPr>
        <w:t xml:space="preserve"> </w:t>
      </w:r>
      <w:r w:rsidRPr="00A41531">
        <w:rPr>
          <w:rFonts w:eastAsia="Times New Roman" w:cs="Tahoma"/>
          <w:b/>
          <w:color w:val="auto"/>
          <w:lang w:val="es-ES_tradnl" w:eastAsia="es-ES"/>
        </w:rPr>
        <w:t>NOTIFÍQUESE</w:t>
      </w:r>
      <w:r w:rsidRPr="00A41531">
        <w:rPr>
          <w:rFonts w:eastAsia="Times New Roman" w:cs="Tahoma"/>
          <w:color w:val="auto"/>
          <w:lang w:val="es-ES_tradnl" w:eastAsia="es-ES"/>
        </w:rPr>
        <w:t xml:space="preserve"> al Recurrente la presente Resolución,</w:t>
      </w:r>
      <w:r w:rsidRPr="00A41531">
        <w:rPr>
          <w:rFonts w:eastAsia="Calibri" w:cs="Times New Roman"/>
          <w:color w:val="auto"/>
          <w:lang w:val="es-ES_tradnl" w:eastAsia="es-ES"/>
        </w:rPr>
        <w:t xml:space="preserve"> a través del Sistema de Acceso a la Información Mexiquense (SAIMEX);</w:t>
      </w:r>
      <w:r w:rsidRPr="00A41531">
        <w:rPr>
          <w:rFonts w:eastAsia="Times New Roman" w:cs="Tahoma"/>
          <w:color w:val="auto"/>
          <w:lang w:val="es-ES_tradnl"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5E7A1A" w:rsidR="005E7A1A" w:rsidP="00FD5865" w:rsidRDefault="005E7A1A" w14:paraId="6266D217" w14:textId="4C568C10">
      <w:pPr>
        <w:spacing w:after="0"/>
        <w:rPr>
          <w:rFonts w:eastAsia="Calibri" w:cs="Tahoma"/>
          <w:color w:val="auto"/>
          <w:lang w:val="es-ES" w:eastAsia="es-ES_tradnl"/>
        </w:rPr>
      </w:pPr>
      <w:r w:rsidRPr="005E7A1A">
        <w:rPr>
          <w:rFonts w:eastAsia="Calibri" w:cs="Tahoma"/>
          <w:color w:val="auto"/>
          <w:lang w:val="es-ES" w:eastAsia="es-ES_tradnl"/>
        </w:rPr>
        <w:lastRenderedPageBreak/>
        <w:t xml:space="preserve">ASÍ LO RESUELVE, </w:t>
      </w:r>
      <w:r w:rsidRPr="005E7A1A">
        <w:rPr>
          <w:rFonts w:eastAsia="Calibri" w:cs="Tahoma"/>
          <w:b/>
          <w:bCs/>
          <w:color w:val="auto"/>
          <w:lang w:val="es-ES" w:eastAsia="es-ES_tradnl"/>
        </w:rPr>
        <w:t>POR UNANIMIDAD</w:t>
      </w:r>
      <w:r w:rsidRPr="005E7A1A">
        <w:rPr>
          <w:rFonts w:eastAsia="Calibri" w:cs="Tahoma"/>
          <w:color w:val="auto"/>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A41531">
        <w:rPr>
          <w:rFonts w:eastAsia="Calibri" w:cs="Tahoma"/>
          <w:color w:val="auto"/>
          <w:lang w:val="es-ES" w:eastAsia="es-ES_tradnl"/>
        </w:rPr>
        <w:t>TERCERA</w:t>
      </w:r>
      <w:r w:rsidRPr="005E7A1A">
        <w:rPr>
          <w:rFonts w:eastAsia="Calibri" w:cs="Tahoma"/>
          <w:color w:val="auto"/>
          <w:lang w:val="es-ES" w:eastAsia="es-ES_tradnl"/>
        </w:rPr>
        <w:t xml:space="preserve"> SESIÓN ORDINARIA, CELEBRADA EL </w:t>
      </w:r>
      <w:r w:rsidR="00A41531">
        <w:rPr>
          <w:rFonts w:eastAsia="Calibri" w:cs="Tahoma"/>
          <w:color w:val="auto"/>
          <w:lang w:val="es-ES" w:eastAsia="es-ES_tradnl"/>
        </w:rPr>
        <w:t>SIETE ABRIL</w:t>
      </w:r>
      <w:r w:rsidRPr="005E7A1A">
        <w:rPr>
          <w:rFonts w:eastAsia="Calibri" w:cs="Tahoma"/>
          <w:color w:val="auto"/>
          <w:lang w:val="es-ES" w:eastAsia="es-ES_tradnl"/>
        </w:rPr>
        <w:t xml:space="preserve"> DE DOS MIL VEINTIDÓS, ANTE EL SECRETARIO TÉCNICO DEL PLENO, ALEXIS TAPIA RAMÍREZ.</w:t>
      </w:r>
    </w:p>
    <w:p w:rsidR="0067455C" w:rsidRDefault="0067455C" w14:paraId="04F4A441" w14:textId="00F3B4CF">
      <w:pPr>
        <w:spacing w:line="259" w:lineRule="auto"/>
        <w:jc w:val="left"/>
        <w:rPr>
          <w:rFonts w:eastAsia="Calibri" w:cs="Tahoma"/>
          <w:bCs/>
          <w:color w:val="auto"/>
          <w:lang w:eastAsia="es-ES_tradnl"/>
        </w:rPr>
      </w:pPr>
      <w:r>
        <w:rPr>
          <w:rFonts w:eastAsia="Calibri" w:cs="Tahoma"/>
          <w:bCs/>
          <w:color w:val="auto"/>
          <w:lang w:eastAsia="es-ES_tradnl"/>
        </w:rPr>
        <w:br w:type="page"/>
      </w:r>
    </w:p>
    <w:p w:rsidR="00FD5865" w:rsidRDefault="00FD5865" w14:paraId="206C200D" w14:textId="77777777">
      <w:pPr>
        <w:spacing w:after="0"/>
      </w:pPr>
    </w:p>
    <w:sectPr w:rsidR="00FD5865" w:rsidSect="001136B4">
      <w:headerReference w:type="even" r:id="rId11"/>
      <w:headerReference w:type="default" r:id="rId12"/>
      <w:footerReference w:type="even" r:id="rId13"/>
      <w:footerReference w:type="default" r:id="rId14"/>
      <w:headerReference w:type="first" r:id="rId15"/>
      <w:footerReference w:type="first" r:id="rId16"/>
      <w:pgSz w:w="12240" w:h="15840" w:orient="portrait"/>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1FF8" w:rsidP="00D8203F" w:rsidRDefault="00E91FF8" w14:paraId="1AEACEA5" w14:textId="77777777">
      <w:pPr>
        <w:spacing w:after="0" w:line="240" w:lineRule="auto"/>
      </w:pPr>
      <w:r>
        <w:separator/>
      </w:r>
    </w:p>
  </w:endnote>
  <w:endnote w:type="continuationSeparator" w:id="0">
    <w:p w:rsidR="00E91FF8" w:rsidP="00D8203F" w:rsidRDefault="00E91FF8" w14:paraId="37630E5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1C57" w:rsidRDefault="00924CF0" w14:paraId="555A052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011C57" w:rsidRDefault="00E91FF8" w14:paraId="7984F74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500765"/>
      <w:docPartObj>
        <w:docPartGallery w:val="Page Numbers (Bottom of Page)"/>
        <w:docPartUnique/>
      </w:docPartObj>
    </w:sdtPr>
    <w:sdtEndPr/>
    <w:sdtContent>
      <w:sdt>
        <w:sdtPr>
          <w:id w:val="2034073797"/>
          <w:docPartObj>
            <w:docPartGallery w:val="Page Numbers (Top of Page)"/>
            <w:docPartUnique/>
          </w:docPartObj>
        </w:sdtPr>
        <w:sdtEndPr/>
        <w:sdtContent>
          <w:p w:rsidR="00011C57" w:rsidRDefault="00924CF0" w14:paraId="66F7D9E7"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05206">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05206">
              <w:rPr>
                <w:b/>
                <w:bCs/>
                <w:noProof/>
              </w:rPr>
              <w:t>17</w:t>
            </w:r>
            <w:r>
              <w:rPr>
                <w:b/>
                <w:bCs/>
                <w:sz w:val="24"/>
                <w:szCs w:val="24"/>
              </w:rPr>
              <w:fldChar w:fldCharType="end"/>
            </w:r>
          </w:p>
        </w:sdtContent>
      </w:sdt>
    </w:sdtContent>
  </w:sdt>
  <w:p w:rsidR="00011C57" w:rsidRDefault="00E91FF8" w14:paraId="4D6F5526"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1C57" w:rsidRDefault="00924CF0" w14:paraId="2A6947B3"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A622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A6229">
      <w:rPr>
        <w:b/>
        <w:bCs/>
        <w:noProof/>
      </w:rPr>
      <w:t>18</w:t>
    </w:r>
    <w:r>
      <w:rPr>
        <w:b/>
        <w:bCs/>
        <w:sz w:val="24"/>
        <w:szCs w:val="24"/>
      </w:rPr>
      <w:fldChar w:fldCharType="end"/>
    </w:r>
  </w:p>
  <w:p w:rsidR="00011C57" w:rsidRDefault="00E91FF8" w14:paraId="23F05C8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1FF8" w:rsidP="00D8203F" w:rsidRDefault="00E91FF8" w14:paraId="37843419" w14:textId="77777777">
      <w:pPr>
        <w:spacing w:after="0" w:line="240" w:lineRule="auto"/>
      </w:pPr>
      <w:r>
        <w:separator/>
      </w:r>
    </w:p>
  </w:footnote>
  <w:footnote w:type="continuationSeparator" w:id="0">
    <w:p w:rsidR="00E91FF8" w:rsidP="00D8203F" w:rsidRDefault="00E91FF8" w14:paraId="641AB9D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90"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30"/>
      <w:gridCol w:w="3860"/>
    </w:tblGrid>
    <w:tr w:rsidRPr="00330DA7" w:rsidR="00011C57" w:rsidTr="00B0279C" w14:paraId="757EF26E" w14:textId="77777777">
      <w:trPr>
        <w:trHeight w:val="144"/>
        <w:jc w:val="right"/>
      </w:trPr>
      <w:tc>
        <w:tcPr>
          <w:tcW w:w="2530" w:type="dxa"/>
          <w:vAlign w:val="center"/>
        </w:tcPr>
        <w:p w:rsidRPr="00330DA7" w:rsidR="00011C57" w:rsidP="00B0279C" w:rsidRDefault="00924CF0" w14:paraId="704CC7D5" w14:textId="77777777">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3860" w:type="dxa"/>
          <w:vAlign w:val="center"/>
        </w:tcPr>
        <w:p w:rsidRPr="00330DA7" w:rsidR="00011C57" w:rsidP="00B0279C" w:rsidRDefault="00924CF0" w14:paraId="4C9B1B9B" w14:textId="77777777">
          <w:pPr>
            <w:tabs>
              <w:tab w:val="right" w:pos="8838"/>
            </w:tabs>
            <w:spacing w:line="276" w:lineRule="auto"/>
            <w:ind w:left="-74" w:right="-105"/>
            <w:jc w:val="left"/>
            <w:rPr>
              <w:rFonts w:eastAsia="Calibri" w:cs="Tahoma"/>
              <w:bCs/>
            </w:rPr>
          </w:pPr>
          <w:r w:rsidRPr="005754CF">
            <w:rPr>
              <w:rFonts w:eastAsia="Calibri" w:cs="Tahoma"/>
              <w:bCs/>
            </w:rPr>
            <w:t>03371/INFOEM/IP/RR/2020</w:t>
          </w:r>
        </w:p>
      </w:tc>
    </w:tr>
    <w:tr w:rsidRPr="00330DA7" w:rsidR="00011C57" w:rsidTr="00B0279C" w14:paraId="64450472" w14:textId="77777777">
      <w:trPr>
        <w:trHeight w:val="283"/>
        <w:jc w:val="right"/>
      </w:trPr>
      <w:tc>
        <w:tcPr>
          <w:tcW w:w="2530" w:type="dxa"/>
          <w:vAlign w:val="center"/>
        </w:tcPr>
        <w:p w:rsidRPr="00330DA7" w:rsidR="00011C57" w:rsidP="00B0279C" w:rsidRDefault="00924CF0" w14:paraId="22276019" w14:textId="77777777">
          <w:pPr>
            <w:tabs>
              <w:tab w:val="right" w:pos="8838"/>
            </w:tabs>
            <w:spacing w:line="276" w:lineRule="auto"/>
            <w:ind w:left="-74" w:right="-105"/>
            <w:jc w:val="left"/>
            <w:rPr>
              <w:rFonts w:eastAsia="Calibri" w:cs="Tahoma"/>
              <w:b/>
            </w:rPr>
          </w:pPr>
          <w:r w:rsidRPr="00330DA7">
            <w:rPr>
              <w:rFonts w:eastAsia="Calibri" w:cs="Tahoma"/>
              <w:b/>
            </w:rPr>
            <w:t>Sujeto Obligado:</w:t>
          </w:r>
        </w:p>
      </w:tc>
      <w:tc>
        <w:tcPr>
          <w:tcW w:w="3860" w:type="dxa"/>
          <w:vAlign w:val="center"/>
        </w:tcPr>
        <w:p w:rsidRPr="005754CF" w:rsidR="00011C57" w:rsidP="00B0279C" w:rsidRDefault="00924CF0" w14:paraId="5B9E558E" w14:textId="77777777">
          <w:pPr>
            <w:tabs>
              <w:tab w:val="left" w:pos="2834"/>
              <w:tab w:val="right" w:pos="8838"/>
            </w:tabs>
            <w:spacing w:line="276" w:lineRule="auto"/>
            <w:ind w:left="-74" w:right="-105"/>
            <w:jc w:val="left"/>
            <w:rPr>
              <w:rFonts w:eastAsia="Calibri" w:cs="Tahoma"/>
              <w:highlight w:val="yellow"/>
            </w:rPr>
          </w:pPr>
          <w:r w:rsidRPr="005754CF">
            <w:rPr>
              <w:rFonts w:eastAsia="Calibri" w:cs="Tahoma"/>
            </w:rPr>
            <w:t>Secretaría Ejecutiva del Sistema Estatal Anticorrupción</w:t>
          </w:r>
        </w:p>
      </w:tc>
    </w:tr>
    <w:tr w:rsidRPr="00330DA7" w:rsidR="00011C57" w:rsidTr="00B0279C" w14:paraId="2A4EE535" w14:textId="77777777">
      <w:trPr>
        <w:trHeight w:val="283"/>
        <w:jc w:val="right"/>
      </w:trPr>
      <w:tc>
        <w:tcPr>
          <w:tcW w:w="2530" w:type="dxa"/>
          <w:vAlign w:val="center"/>
        </w:tcPr>
        <w:p w:rsidRPr="00330DA7" w:rsidR="00011C57" w:rsidP="00B0279C" w:rsidRDefault="00924CF0" w14:paraId="46C87DC7" w14:textId="77777777">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3860" w:type="dxa"/>
          <w:vAlign w:val="center"/>
        </w:tcPr>
        <w:p w:rsidRPr="005754CF" w:rsidR="00011C57" w:rsidP="00B0279C" w:rsidRDefault="00924CF0" w14:paraId="148E1882" w14:textId="77777777">
          <w:pPr>
            <w:tabs>
              <w:tab w:val="right" w:pos="8838"/>
            </w:tabs>
            <w:spacing w:line="276" w:lineRule="auto"/>
            <w:ind w:left="-74" w:right="-105"/>
            <w:jc w:val="left"/>
            <w:rPr>
              <w:rFonts w:eastAsia="Calibri" w:cs="Tahoma"/>
            </w:rPr>
          </w:pPr>
          <w:r w:rsidRPr="00330DA7">
            <w:rPr>
              <w:rFonts w:eastAsia="Calibri" w:cs="Tahoma"/>
            </w:rPr>
            <w:t>Luis Gustavo Parra Noriega</w:t>
          </w:r>
        </w:p>
      </w:tc>
    </w:tr>
  </w:tbl>
  <w:p w:rsidR="00011C57" w:rsidP="00B0279C" w:rsidRDefault="00E91FF8" w14:paraId="2FBBDBA6" w14:textId="77777777">
    <w:pPr>
      <w:pStyle w:val="Encabezado"/>
    </w:pPr>
    <w:r>
      <w:rPr>
        <w:noProof/>
      </w:rPr>
      <w:pict w14:anchorId="7EB532F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5" style="position:absolute;left:0;text-align:left;margin-left:0;margin-top:0;width:663.5pt;height:12in;z-index:-251659776;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230"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30"/>
      <w:gridCol w:w="4700"/>
    </w:tblGrid>
    <w:tr w:rsidRPr="00330DA7" w:rsidR="00011C57" w:rsidTr="00CA1B00" w14:paraId="542E7F84" w14:textId="77777777">
      <w:trPr>
        <w:trHeight w:val="144"/>
        <w:jc w:val="right"/>
      </w:trPr>
      <w:tc>
        <w:tcPr>
          <w:tcW w:w="2530" w:type="dxa"/>
          <w:vAlign w:val="center"/>
        </w:tcPr>
        <w:p w:rsidRPr="00330DA7" w:rsidR="00011C57" w:rsidP="00B0279C" w:rsidRDefault="00924CF0" w14:paraId="225A1910" w14:textId="77777777">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4700" w:type="dxa"/>
          <w:vAlign w:val="center"/>
        </w:tcPr>
        <w:p w:rsidRPr="00D65B00" w:rsidR="00011C57" w:rsidP="00B0279C" w:rsidRDefault="00FE7E88" w14:paraId="75804045" w14:textId="38230F0E">
          <w:pPr>
            <w:tabs>
              <w:tab w:val="right" w:pos="8838"/>
            </w:tabs>
            <w:spacing w:line="276" w:lineRule="auto"/>
            <w:ind w:left="-74" w:right="-105"/>
            <w:jc w:val="left"/>
            <w:rPr>
              <w:rFonts w:eastAsia="Calibri" w:cs="Tahoma"/>
            </w:rPr>
          </w:pPr>
          <w:r w:rsidRPr="00FE7E88">
            <w:rPr>
              <w:rFonts w:eastAsia="Calibri" w:cs="Tahoma"/>
            </w:rPr>
            <w:t>00441/INFOEM/IP/RR/2022</w:t>
          </w:r>
        </w:p>
      </w:tc>
    </w:tr>
    <w:tr w:rsidRPr="00330DA7" w:rsidR="00011C57" w:rsidTr="00CA1B00" w14:paraId="12309B75" w14:textId="77777777">
      <w:trPr>
        <w:trHeight w:val="283"/>
        <w:jc w:val="right"/>
      </w:trPr>
      <w:tc>
        <w:tcPr>
          <w:tcW w:w="2530" w:type="dxa"/>
        </w:tcPr>
        <w:p w:rsidRPr="00330DA7" w:rsidR="00011C57" w:rsidP="006D24CC" w:rsidRDefault="00924CF0" w14:paraId="16DECCE3" w14:textId="77777777">
          <w:pPr>
            <w:tabs>
              <w:tab w:val="right" w:pos="8838"/>
            </w:tabs>
            <w:spacing w:line="276" w:lineRule="auto"/>
            <w:ind w:left="-74" w:right="-105"/>
            <w:jc w:val="left"/>
            <w:rPr>
              <w:rFonts w:eastAsia="Calibri" w:cs="Tahoma"/>
              <w:b/>
            </w:rPr>
          </w:pPr>
          <w:r w:rsidRPr="00330DA7">
            <w:rPr>
              <w:rFonts w:eastAsia="Calibri" w:cs="Tahoma"/>
              <w:b/>
            </w:rPr>
            <w:t>Sujeto Obligado:</w:t>
          </w:r>
        </w:p>
      </w:tc>
      <w:tc>
        <w:tcPr>
          <w:tcW w:w="4700" w:type="dxa"/>
          <w:vAlign w:val="center"/>
        </w:tcPr>
        <w:p w:rsidRPr="00D65B00" w:rsidR="00011C57" w:rsidP="00D65B00" w:rsidRDefault="00FE7E88" w14:paraId="7C66E373" w14:textId="107DB7E7">
          <w:pPr>
            <w:tabs>
              <w:tab w:val="left" w:pos="2834"/>
              <w:tab w:val="right" w:pos="8838"/>
            </w:tabs>
            <w:spacing w:line="276" w:lineRule="auto"/>
            <w:ind w:left="-74" w:right="-105"/>
            <w:rPr>
              <w:rFonts w:eastAsia="Calibri" w:cs="Tahoma"/>
              <w:highlight w:val="yellow"/>
            </w:rPr>
          </w:pPr>
          <w:r w:rsidRPr="00FE7E88">
            <w:rPr>
              <w:rFonts w:eastAsia="Calibri" w:cs="Tahoma"/>
            </w:rPr>
            <w:t>Organismo Público Descentralizado para la Prestación de Los Servicios de Agua Potable Alcantarillado y Saneamiento del Municipio de Naucalpan de Juárez</w:t>
          </w:r>
        </w:p>
      </w:tc>
    </w:tr>
    <w:tr w:rsidRPr="00330DA7" w:rsidR="00011C57" w:rsidTr="00CA1B00" w14:paraId="6881DCB9" w14:textId="77777777">
      <w:trPr>
        <w:trHeight w:val="283"/>
        <w:jc w:val="right"/>
      </w:trPr>
      <w:tc>
        <w:tcPr>
          <w:tcW w:w="2530" w:type="dxa"/>
          <w:vAlign w:val="center"/>
        </w:tcPr>
        <w:p w:rsidRPr="00330DA7" w:rsidR="00011C57" w:rsidP="00B0279C" w:rsidRDefault="00924CF0" w14:paraId="6DC88189" w14:textId="77777777">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4700" w:type="dxa"/>
          <w:vAlign w:val="center"/>
        </w:tcPr>
        <w:p w:rsidRPr="005754CF" w:rsidR="00011C57" w:rsidP="00B0279C" w:rsidRDefault="00924CF0" w14:paraId="401E6127" w14:textId="77777777">
          <w:pPr>
            <w:tabs>
              <w:tab w:val="right" w:pos="8838"/>
            </w:tabs>
            <w:spacing w:line="276" w:lineRule="auto"/>
            <w:ind w:left="-74" w:right="-105"/>
            <w:jc w:val="left"/>
            <w:rPr>
              <w:rFonts w:eastAsia="Calibri" w:cs="Tahoma"/>
            </w:rPr>
          </w:pPr>
          <w:r w:rsidRPr="00330DA7">
            <w:rPr>
              <w:rFonts w:eastAsia="Calibri" w:cs="Tahoma"/>
            </w:rPr>
            <w:t>Luis Gustavo Parra Noriega</w:t>
          </w:r>
        </w:p>
      </w:tc>
    </w:tr>
  </w:tbl>
  <w:p w:rsidR="00011C57" w:rsidRDefault="00E91FF8" w14:paraId="58FD90F4" w14:textId="77777777">
    <w:pPr>
      <w:pStyle w:val="Encabezado"/>
    </w:pPr>
    <w:r>
      <w:rPr>
        <w:noProof/>
      </w:rPr>
      <w:pict w14:anchorId="08725E9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6" style="position:absolute;left:0;text-align:left;margin-left:0;margin-top:0;width:663.5pt;height:12in;z-index:-251658752;mso-position-horizontal:center;mso-position-horizontal-relative:margin;mso-position-vertical:center;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230"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4820"/>
    </w:tblGrid>
    <w:tr w:rsidRPr="00330DA7" w:rsidR="00011C57" w:rsidTr="6BBA071F" w14:paraId="2FB24069" w14:textId="77777777">
      <w:trPr>
        <w:trHeight w:val="144"/>
        <w:jc w:val="right"/>
      </w:trPr>
      <w:tc>
        <w:tcPr>
          <w:tcW w:w="2410" w:type="dxa"/>
          <w:tcMar/>
          <w:vAlign w:val="center"/>
        </w:tcPr>
        <w:p w:rsidRPr="00330DA7" w:rsidR="00011C57" w:rsidP="00B0279C" w:rsidRDefault="00924CF0" w14:paraId="1B6F5EF3" w14:textId="77777777">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4820" w:type="dxa"/>
          <w:tcMar/>
          <w:vAlign w:val="center"/>
        </w:tcPr>
        <w:p w:rsidRPr="00D8203F" w:rsidR="00011C57" w:rsidP="0099703C" w:rsidRDefault="00C51551" w14:paraId="1A9A621A" w14:textId="4CBCD149">
          <w:pPr>
            <w:tabs>
              <w:tab w:val="right" w:pos="8838"/>
            </w:tabs>
            <w:spacing w:line="276" w:lineRule="auto"/>
            <w:ind w:right="-105"/>
            <w:jc w:val="left"/>
            <w:rPr>
              <w:rFonts w:eastAsia="Calibri" w:cs="Tahoma"/>
            </w:rPr>
          </w:pPr>
          <w:r w:rsidRPr="00C51551">
            <w:rPr>
              <w:rFonts w:eastAsia="Calibri" w:cs="Tahoma"/>
            </w:rPr>
            <w:t>00441/INFOEM/IP/RR/2022</w:t>
          </w:r>
        </w:p>
      </w:tc>
    </w:tr>
    <w:tr w:rsidRPr="00330DA7" w:rsidR="00011C57" w:rsidTr="6BBA071F" w14:paraId="569CFEB5" w14:textId="77777777">
      <w:trPr>
        <w:trHeight w:val="144"/>
        <w:jc w:val="right"/>
      </w:trPr>
      <w:tc>
        <w:tcPr>
          <w:tcW w:w="2410" w:type="dxa"/>
          <w:tcMar/>
          <w:vAlign w:val="center"/>
        </w:tcPr>
        <w:p w:rsidRPr="00330DA7" w:rsidR="00011C57" w:rsidP="00B0279C" w:rsidRDefault="00924CF0" w14:paraId="645DC220" w14:textId="77777777">
          <w:pPr>
            <w:tabs>
              <w:tab w:val="right" w:pos="8838"/>
            </w:tabs>
            <w:spacing w:line="276" w:lineRule="auto"/>
            <w:ind w:left="-74" w:right="-105"/>
            <w:jc w:val="left"/>
            <w:rPr>
              <w:rFonts w:eastAsia="Calibri" w:cs="Tahoma"/>
              <w:b/>
            </w:rPr>
          </w:pPr>
          <w:r w:rsidRPr="00330DA7">
            <w:rPr>
              <w:rFonts w:eastAsia="Calibri" w:cs="Tahoma"/>
              <w:b/>
            </w:rPr>
            <w:t>Recurrente:</w:t>
          </w:r>
        </w:p>
      </w:tc>
      <w:tc>
        <w:tcPr>
          <w:tcW w:w="4820" w:type="dxa"/>
          <w:tcMar/>
          <w:vAlign w:val="center"/>
        </w:tcPr>
        <w:p w:rsidRPr="00330DA7" w:rsidR="00011C57" w:rsidP="6BBA071F" w:rsidRDefault="00FE7E88" w14:paraId="7BED387D" w14:textId="7B23910F">
          <w:pPr>
            <w:pStyle w:val="Normal"/>
            <w:tabs>
              <w:tab w:val="left" w:leader="none" w:pos="3122"/>
              <w:tab w:val="right" w:leader="none" w:pos="8838"/>
            </w:tabs>
            <w:bidi w:val="0"/>
            <w:spacing w:before="0" w:beforeAutospacing="off" w:after="0" w:afterAutospacing="off" w:line="276" w:lineRule="auto"/>
            <w:ind w:left="0" w:right="-105"/>
            <w:jc w:val="left"/>
            <w:rPr>
              <w:rFonts w:ascii="Palatino Linotype" w:hAnsi="Palatino Linotype" w:eastAsia="Calibri" w:cs=""/>
              <w:color w:val="000000" w:themeColor="text1" w:themeTint="FF" w:themeShade="FF"/>
              <w:highlight w:val="black"/>
            </w:rPr>
          </w:pPr>
          <w:r w:rsidRPr="6BBA071F" w:rsidR="6BBA071F">
            <w:rPr>
              <w:rFonts w:eastAsia="Calibri" w:cs="Tahoma"/>
              <w:highlight w:val="black"/>
            </w:rPr>
            <w:t>XXXXXXXXXX</w:t>
          </w:r>
        </w:p>
      </w:tc>
    </w:tr>
    <w:tr w:rsidRPr="00330DA7" w:rsidR="00011C57" w:rsidTr="6BBA071F" w14:paraId="2CCCDD19" w14:textId="77777777">
      <w:trPr>
        <w:trHeight w:val="283"/>
        <w:jc w:val="right"/>
      </w:trPr>
      <w:tc>
        <w:tcPr>
          <w:tcW w:w="2410" w:type="dxa"/>
          <w:tcMar/>
        </w:tcPr>
        <w:p w:rsidRPr="00330DA7" w:rsidR="00011C57" w:rsidP="006D24CC" w:rsidRDefault="00924CF0" w14:paraId="5FE443CA" w14:textId="77777777">
          <w:pPr>
            <w:tabs>
              <w:tab w:val="right" w:pos="8838"/>
            </w:tabs>
            <w:spacing w:line="276" w:lineRule="auto"/>
            <w:ind w:left="-74" w:right="-105"/>
            <w:jc w:val="left"/>
            <w:rPr>
              <w:rFonts w:eastAsia="Calibri" w:cs="Tahoma"/>
              <w:b/>
            </w:rPr>
          </w:pPr>
          <w:r w:rsidRPr="00330DA7">
            <w:rPr>
              <w:rFonts w:eastAsia="Calibri" w:cs="Tahoma"/>
              <w:b/>
            </w:rPr>
            <w:t>Sujeto Obligado:</w:t>
          </w:r>
        </w:p>
      </w:tc>
      <w:tc>
        <w:tcPr>
          <w:tcW w:w="4820" w:type="dxa"/>
          <w:tcMar/>
          <w:vAlign w:val="center"/>
        </w:tcPr>
        <w:p w:rsidRPr="00D8203F" w:rsidR="00011C57" w:rsidP="0099703C" w:rsidRDefault="00FE7E88" w14:paraId="530974A6" w14:textId="4129461F">
          <w:pPr>
            <w:tabs>
              <w:tab w:val="left" w:pos="2834"/>
              <w:tab w:val="right" w:pos="8838"/>
            </w:tabs>
            <w:spacing w:line="276" w:lineRule="auto"/>
            <w:ind w:right="-105"/>
            <w:rPr>
              <w:rFonts w:eastAsia="Calibri" w:cs="Tahoma"/>
              <w:highlight w:val="yellow"/>
            </w:rPr>
          </w:pPr>
          <w:r w:rsidRPr="00FE7E88">
            <w:rPr>
              <w:rFonts w:eastAsia="Calibri" w:cs="Tahoma"/>
            </w:rPr>
            <w:t>Organismo Público Descentralizado para la Prestación de Los Servicios de Agua Potable Alcantarillado y Saneamiento del Municipio de Naucalpan de Juárez</w:t>
          </w:r>
        </w:p>
      </w:tc>
    </w:tr>
    <w:tr w:rsidRPr="00330DA7" w:rsidR="00011C57" w:rsidTr="6BBA071F" w14:paraId="6A0D177B" w14:textId="77777777">
      <w:trPr>
        <w:trHeight w:val="283"/>
        <w:jc w:val="right"/>
      </w:trPr>
      <w:tc>
        <w:tcPr>
          <w:tcW w:w="2410" w:type="dxa"/>
          <w:tcMar/>
          <w:vAlign w:val="center"/>
        </w:tcPr>
        <w:p w:rsidRPr="00330DA7" w:rsidR="00011C57" w:rsidP="00B0279C" w:rsidRDefault="00924CF0" w14:paraId="4A4AC4EC" w14:textId="77777777">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4820" w:type="dxa"/>
          <w:tcMar/>
          <w:vAlign w:val="center"/>
        </w:tcPr>
        <w:p w:rsidRPr="005754CF" w:rsidR="00011C57" w:rsidP="0099703C" w:rsidRDefault="00924CF0" w14:paraId="31717E75" w14:textId="77777777">
          <w:pPr>
            <w:tabs>
              <w:tab w:val="right" w:pos="8838"/>
            </w:tabs>
            <w:spacing w:line="276" w:lineRule="auto"/>
            <w:ind w:right="-105"/>
            <w:jc w:val="left"/>
            <w:rPr>
              <w:rFonts w:eastAsia="Calibri" w:cs="Tahoma"/>
            </w:rPr>
          </w:pPr>
          <w:r w:rsidRPr="00330DA7">
            <w:rPr>
              <w:rFonts w:eastAsia="Calibri" w:cs="Tahoma"/>
            </w:rPr>
            <w:t>Luis Gustavo Parra Noriega</w:t>
          </w:r>
        </w:p>
      </w:tc>
    </w:tr>
  </w:tbl>
  <w:p w:rsidR="00011C57" w:rsidP="00B0279C" w:rsidRDefault="00E91FF8" w14:paraId="134AC6BE" w14:textId="77777777">
    <w:pPr>
      <w:pStyle w:val="Encabezado"/>
    </w:pPr>
    <w:r>
      <w:rPr>
        <w:noProof/>
      </w:rPr>
      <w:pict w14:anchorId="26A3ADB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4" style="position:absolute;left:0;text-align:left;margin-left:0;margin-top:0;width:663.5pt;height:12in;z-index:-251657728;mso-position-horizontal:center;mso-position-horizontal-relative:margin;mso-position-vertical:center;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7D5"/>
    <w:multiLevelType w:val="hybridMultilevel"/>
    <w:tmpl w:val="DA90532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52E554F"/>
    <w:multiLevelType w:val="hybridMultilevel"/>
    <w:tmpl w:val="E4006054"/>
    <w:lvl w:ilvl="0" w:tplc="DA5A3ECE">
      <w:start w:val="1"/>
      <w:numFmt w:val="lowerRoman"/>
      <w:lvlText w:val="%1."/>
      <w:lvlJc w:val="left"/>
      <w:pPr>
        <w:ind w:left="720" w:hanging="360"/>
      </w:pPr>
      <w:rPr>
        <w:rFonts w:hint="default" w:ascii="Palatino Linotype" w:hAnsi="Palatino Linotype"/>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9D675C"/>
    <w:multiLevelType w:val="hybridMultilevel"/>
    <w:tmpl w:val="1DFCD368"/>
    <w:lvl w:ilvl="0" w:tplc="DA5A3ECE">
      <w:start w:val="1"/>
      <w:numFmt w:val="lowerRoman"/>
      <w:lvlText w:val="%1."/>
      <w:lvlJc w:val="left"/>
      <w:pPr>
        <w:ind w:left="1440" w:hanging="360"/>
      </w:pPr>
      <w:rPr>
        <w:rFonts w:hint="default" w:ascii="Palatino Linotype" w:hAnsi="Palatino Linotype"/>
        <w:sz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F060AC4"/>
    <w:multiLevelType w:val="hybridMultilevel"/>
    <w:tmpl w:val="6812F5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189754F"/>
    <w:multiLevelType w:val="hybridMultilevel"/>
    <w:tmpl w:val="4ABC7128"/>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6D32D4"/>
    <w:multiLevelType w:val="hybridMultilevel"/>
    <w:tmpl w:val="428C77A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81149B"/>
    <w:multiLevelType w:val="hybridMultilevel"/>
    <w:tmpl w:val="B0181A0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9BA29DD"/>
    <w:multiLevelType w:val="hybridMultilevel"/>
    <w:tmpl w:val="BCA0CD4C"/>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31B794B"/>
    <w:multiLevelType w:val="hybridMultilevel"/>
    <w:tmpl w:val="178CCFF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8086AB4"/>
    <w:multiLevelType w:val="hybridMultilevel"/>
    <w:tmpl w:val="961C58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83E13B8"/>
    <w:multiLevelType w:val="hybridMultilevel"/>
    <w:tmpl w:val="F12E2416"/>
    <w:lvl w:ilvl="0" w:tplc="080A000F">
      <w:start w:val="1"/>
      <w:numFmt w:val="decimal"/>
      <w:lvlText w:val="%1."/>
      <w:lvlJc w:val="left"/>
      <w:pPr>
        <w:ind w:left="1440" w:hanging="360"/>
      </w:pPr>
      <w:rPr>
        <w:rFonts w:hint="default"/>
        <w:sz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28A924B3"/>
    <w:multiLevelType w:val="hybridMultilevel"/>
    <w:tmpl w:val="2EAA7AA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AD73AC0"/>
    <w:multiLevelType w:val="hybridMultilevel"/>
    <w:tmpl w:val="298682E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CEA5692"/>
    <w:multiLevelType w:val="hybridMultilevel"/>
    <w:tmpl w:val="BCA0CD4C"/>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D23733"/>
    <w:multiLevelType w:val="hybridMultilevel"/>
    <w:tmpl w:val="EBA6F676"/>
    <w:lvl w:ilvl="0" w:tplc="C51C7D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F10EB9"/>
    <w:multiLevelType w:val="hybridMultilevel"/>
    <w:tmpl w:val="298682E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4625E42"/>
    <w:multiLevelType w:val="hybridMultilevel"/>
    <w:tmpl w:val="BF12CA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35F11499"/>
    <w:multiLevelType w:val="hybridMultilevel"/>
    <w:tmpl w:val="EECA3B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36B91F5B"/>
    <w:multiLevelType w:val="hybridMultilevel"/>
    <w:tmpl w:val="E78EE7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490EAE"/>
    <w:multiLevelType w:val="hybridMultilevel"/>
    <w:tmpl w:val="A0E882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3B8631FE"/>
    <w:multiLevelType w:val="hybridMultilevel"/>
    <w:tmpl w:val="1D12A9B0"/>
    <w:lvl w:ilvl="0" w:tplc="080A001B">
      <w:start w:val="1"/>
      <w:numFmt w:val="low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15:restartNumberingAfterBreak="0">
    <w:nsid w:val="41E07B41"/>
    <w:multiLevelType w:val="hybridMultilevel"/>
    <w:tmpl w:val="5C06E59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432A6F72"/>
    <w:multiLevelType w:val="hybridMultilevel"/>
    <w:tmpl w:val="71F43B6E"/>
    <w:lvl w:ilvl="0" w:tplc="080A0001">
      <w:start w:val="1"/>
      <w:numFmt w:val="bullet"/>
      <w:lvlText w:val=""/>
      <w:lvlJc w:val="left"/>
      <w:pPr>
        <w:ind w:left="720" w:hanging="360"/>
      </w:pPr>
      <w:rPr>
        <w:rFonts w:hint="default" w:ascii="Symbol" w:hAnsi="Symbol"/>
      </w:rPr>
    </w:lvl>
    <w:lvl w:ilvl="1" w:tplc="DA5A3ECE">
      <w:start w:val="1"/>
      <w:numFmt w:val="lowerRoman"/>
      <w:lvlText w:val="%2."/>
      <w:lvlJc w:val="left"/>
      <w:pPr>
        <w:ind w:left="1440" w:hanging="360"/>
      </w:pPr>
      <w:rPr>
        <w:rFonts w:hint="default" w:ascii="Palatino Linotype" w:hAnsi="Palatino Linotype"/>
        <w:sz w:val="20"/>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8261DD0"/>
    <w:multiLevelType w:val="hybridMultilevel"/>
    <w:tmpl w:val="709466D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3E785D"/>
    <w:multiLevelType w:val="hybridMultilevel"/>
    <w:tmpl w:val="A2D433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59A603DD"/>
    <w:multiLevelType w:val="hybridMultilevel"/>
    <w:tmpl w:val="E4006054"/>
    <w:lvl w:ilvl="0" w:tplc="DA5A3ECE">
      <w:start w:val="1"/>
      <w:numFmt w:val="lowerRoman"/>
      <w:lvlText w:val="%1."/>
      <w:lvlJc w:val="left"/>
      <w:pPr>
        <w:ind w:left="720" w:hanging="360"/>
      </w:pPr>
      <w:rPr>
        <w:rFonts w:hint="default" w:ascii="Palatino Linotype" w:hAnsi="Palatino Linotype"/>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A25063"/>
    <w:multiLevelType w:val="hybridMultilevel"/>
    <w:tmpl w:val="5B74DC9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62E35779"/>
    <w:multiLevelType w:val="hybridMultilevel"/>
    <w:tmpl w:val="05FE2C2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631F677D"/>
    <w:multiLevelType w:val="hybridMultilevel"/>
    <w:tmpl w:val="5DA287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9A81A85"/>
    <w:multiLevelType w:val="hybridMultilevel"/>
    <w:tmpl w:val="0A7A5E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0A57A8"/>
    <w:multiLevelType w:val="hybridMultilevel"/>
    <w:tmpl w:val="407C589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5" w15:restartNumberingAfterBreak="0">
    <w:nsid w:val="70036345"/>
    <w:multiLevelType w:val="hybridMultilevel"/>
    <w:tmpl w:val="3BE0686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706B081D"/>
    <w:multiLevelType w:val="hybridMultilevel"/>
    <w:tmpl w:val="EC7CE8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707930CC"/>
    <w:multiLevelType w:val="hybridMultilevel"/>
    <w:tmpl w:val="EBA6F676"/>
    <w:lvl w:ilvl="0" w:tplc="C51C7D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837861"/>
    <w:multiLevelType w:val="hybridMultilevel"/>
    <w:tmpl w:val="036EFE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7D1A2A4C"/>
    <w:multiLevelType w:val="hybridMultilevel"/>
    <w:tmpl w:val="313C472E"/>
    <w:lvl w:ilvl="0" w:tplc="080A0001">
      <w:start w:val="1"/>
      <w:numFmt w:val="bullet"/>
      <w:lvlText w:val=""/>
      <w:lvlJc w:val="left"/>
      <w:pPr>
        <w:ind w:left="786"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6784582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5348923">
    <w:abstractNumId w:val="9"/>
  </w:num>
  <w:num w:numId="3" w16cid:durableId="5840005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2302339">
    <w:abstractNumId w:val="38"/>
  </w:num>
  <w:num w:numId="5" w16cid:durableId="137385986">
    <w:abstractNumId w:val="1"/>
  </w:num>
  <w:num w:numId="6" w16cid:durableId="1325622636">
    <w:abstractNumId w:val="10"/>
  </w:num>
  <w:num w:numId="7" w16cid:durableId="834221349">
    <w:abstractNumId w:val="26"/>
  </w:num>
  <w:num w:numId="8" w16cid:durableId="246885268">
    <w:abstractNumId w:val="28"/>
  </w:num>
  <w:num w:numId="9" w16cid:durableId="676082854">
    <w:abstractNumId w:val="6"/>
  </w:num>
  <w:num w:numId="10" w16cid:durableId="1501431221">
    <w:abstractNumId w:val="27"/>
  </w:num>
  <w:num w:numId="11" w16cid:durableId="991061989">
    <w:abstractNumId w:val="31"/>
  </w:num>
  <w:num w:numId="12" w16cid:durableId="645202159">
    <w:abstractNumId w:val="7"/>
  </w:num>
  <w:num w:numId="13" w16cid:durableId="2108380275">
    <w:abstractNumId w:val="2"/>
  </w:num>
  <w:num w:numId="14" w16cid:durableId="1498184871">
    <w:abstractNumId w:val="12"/>
  </w:num>
  <w:num w:numId="15" w16cid:durableId="1669016296">
    <w:abstractNumId w:val="15"/>
  </w:num>
  <w:num w:numId="16" w16cid:durableId="453599746">
    <w:abstractNumId w:val="5"/>
  </w:num>
  <w:num w:numId="17" w16cid:durableId="875972097">
    <w:abstractNumId w:val="4"/>
  </w:num>
  <w:num w:numId="18" w16cid:durableId="2008510680">
    <w:abstractNumId w:val="24"/>
  </w:num>
  <w:num w:numId="19" w16cid:durableId="870995649">
    <w:abstractNumId w:val="3"/>
  </w:num>
  <w:num w:numId="20" w16cid:durableId="1968663958">
    <w:abstractNumId w:val="8"/>
  </w:num>
  <w:num w:numId="21" w16cid:durableId="1422096877">
    <w:abstractNumId w:val="35"/>
  </w:num>
  <w:num w:numId="22" w16cid:durableId="123158039">
    <w:abstractNumId w:val="11"/>
  </w:num>
  <w:num w:numId="23" w16cid:durableId="1388339933">
    <w:abstractNumId w:val="13"/>
  </w:num>
  <w:num w:numId="24" w16cid:durableId="1076511794">
    <w:abstractNumId w:val="17"/>
  </w:num>
  <w:num w:numId="25" w16cid:durableId="545803249">
    <w:abstractNumId w:val="14"/>
  </w:num>
  <w:num w:numId="26" w16cid:durableId="84694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5415798">
    <w:abstractNumId w:val="37"/>
  </w:num>
  <w:num w:numId="28" w16cid:durableId="1314917946">
    <w:abstractNumId w:val="0"/>
  </w:num>
  <w:num w:numId="29" w16cid:durableId="926964385">
    <w:abstractNumId w:val="22"/>
  </w:num>
  <w:num w:numId="30" w16cid:durableId="311250906">
    <w:abstractNumId w:val="16"/>
  </w:num>
  <w:num w:numId="31" w16cid:durableId="1682931006">
    <w:abstractNumId w:val="39"/>
  </w:num>
  <w:num w:numId="32" w16cid:durableId="1856117501">
    <w:abstractNumId w:val="20"/>
  </w:num>
  <w:num w:numId="33" w16cid:durableId="1843664743">
    <w:abstractNumId w:val="25"/>
  </w:num>
  <w:num w:numId="34" w16cid:durableId="702559423">
    <w:abstractNumId w:val="32"/>
  </w:num>
  <w:num w:numId="35" w16cid:durableId="98527386">
    <w:abstractNumId w:val="30"/>
  </w:num>
  <w:num w:numId="36" w16cid:durableId="710418366">
    <w:abstractNumId w:val="18"/>
  </w:num>
  <w:num w:numId="37" w16cid:durableId="1037703457">
    <w:abstractNumId w:val="33"/>
  </w:num>
  <w:num w:numId="38" w16cid:durableId="113329770">
    <w:abstractNumId w:val="36"/>
  </w:num>
  <w:num w:numId="39" w16cid:durableId="292296585">
    <w:abstractNumId w:val="21"/>
  </w:num>
  <w:num w:numId="40" w16cid:durableId="1466700761">
    <w:abstractNumId w:val="29"/>
  </w:num>
  <w:num w:numId="41" w16cid:durableId="1240210918">
    <w:abstractNumId w:val="23"/>
  </w:num>
  <w:num w:numId="42" w16cid:durableId="16825112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03F"/>
    <w:rsid w:val="00002000"/>
    <w:rsid w:val="00005411"/>
    <w:rsid w:val="00005B94"/>
    <w:rsid w:val="0001464C"/>
    <w:rsid w:val="00015D26"/>
    <w:rsid w:val="00033495"/>
    <w:rsid w:val="00036CA1"/>
    <w:rsid w:val="00041034"/>
    <w:rsid w:val="000437E4"/>
    <w:rsid w:val="000530D1"/>
    <w:rsid w:val="00060676"/>
    <w:rsid w:val="0006659E"/>
    <w:rsid w:val="00072F70"/>
    <w:rsid w:val="00077108"/>
    <w:rsid w:val="000805DC"/>
    <w:rsid w:val="00084238"/>
    <w:rsid w:val="00092BC4"/>
    <w:rsid w:val="00094C42"/>
    <w:rsid w:val="000B38F1"/>
    <w:rsid w:val="000D5539"/>
    <w:rsid w:val="000E518D"/>
    <w:rsid w:val="000E7811"/>
    <w:rsid w:val="0010753F"/>
    <w:rsid w:val="001136B4"/>
    <w:rsid w:val="00115A2B"/>
    <w:rsid w:val="001269EA"/>
    <w:rsid w:val="0013003D"/>
    <w:rsid w:val="0014480C"/>
    <w:rsid w:val="00147995"/>
    <w:rsid w:val="00152501"/>
    <w:rsid w:val="00154A3D"/>
    <w:rsid w:val="00155617"/>
    <w:rsid w:val="0016479F"/>
    <w:rsid w:val="00175C2F"/>
    <w:rsid w:val="00176419"/>
    <w:rsid w:val="00191AE4"/>
    <w:rsid w:val="00192BF8"/>
    <w:rsid w:val="00193B5F"/>
    <w:rsid w:val="001971E7"/>
    <w:rsid w:val="001A0FE6"/>
    <w:rsid w:val="001A721E"/>
    <w:rsid w:val="001A7CAE"/>
    <w:rsid w:val="001B1F7E"/>
    <w:rsid w:val="001B2967"/>
    <w:rsid w:val="001B4FE3"/>
    <w:rsid w:val="001B5B28"/>
    <w:rsid w:val="001B6B5E"/>
    <w:rsid w:val="001C12E6"/>
    <w:rsid w:val="001C5F8F"/>
    <w:rsid w:val="001D4BEF"/>
    <w:rsid w:val="001E601D"/>
    <w:rsid w:val="001E61B0"/>
    <w:rsid w:val="001F6315"/>
    <w:rsid w:val="00202FD6"/>
    <w:rsid w:val="00205C3E"/>
    <w:rsid w:val="00212C5B"/>
    <w:rsid w:val="00221964"/>
    <w:rsid w:val="00224C52"/>
    <w:rsid w:val="00232543"/>
    <w:rsid w:val="002351AB"/>
    <w:rsid w:val="0023761E"/>
    <w:rsid w:val="00241763"/>
    <w:rsid w:val="002419D5"/>
    <w:rsid w:val="002513F1"/>
    <w:rsid w:val="002619F7"/>
    <w:rsid w:val="002625D0"/>
    <w:rsid w:val="00273C8F"/>
    <w:rsid w:val="00273D56"/>
    <w:rsid w:val="002751C6"/>
    <w:rsid w:val="00277532"/>
    <w:rsid w:val="00283FB5"/>
    <w:rsid w:val="002878DE"/>
    <w:rsid w:val="00292E42"/>
    <w:rsid w:val="00296195"/>
    <w:rsid w:val="002B22F0"/>
    <w:rsid w:val="002B7026"/>
    <w:rsid w:val="002C425A"/>
    <w:rsid w:val="002C6689"/>
    <w:rsid w:val="002D1940"/>
    <w:rsid w:val="002D426D"/>
    <w:rsid w:val="002D4507"/>
    <w:rsid w:val="002E32AB"/>
    <w:rsid w:val="002E5BC9"/>
    <w:rsid w:val="002F13CE"/>
    <w:rsid w:val="002F1649"/>
    <w:rsid w:val="002F7105"/>
    <w:rsid w:val="0030159C"/>
    <w:rsid w:val="00304EDC"/>
    <w:rsid w:val="00313025"/>
    <w:rsid w:val="00324ADE"/>
    <w:rsid w:val="00324EC3"/>
    <w:rsid w:val="00325503"/>
    <w:rsid w:val="00327C5F"/>
    <w:rsid w:val="0033169F"/>
    <w:rsid w:val="00335515"/>
    <w:rsid w:val="00337795"/>
    <w:rsid w:val="0034646A"/>
    <w:rsid w:val="00351215"/>
    <w:rsid w:val="003512B5"/>
    <w:rsid w:val="00351BBE"/>
    <w:rsid w:val="00353F3B"/>
    <w:rsid w:val="0035784F"/>
    <w:rsid w:val="0037052D"/>
    <w:rsid w:val="00371D10"/>
    <w:rsid w:val="0037486D"/>
    <w:rsid w:val="00376DE8"/>
    <w:rsid w:val="003778C6"/>
    <w:rsid w:val="00384899"/>
    <w:rsid w:val="00395577"/>
    <w:rsid w:val="00396975"/>
    <w:rsid w:val="003A6229"/>
    <w:rsid w:val="003B0D6C"/>
    <w:rsid w:val="003B1737"/>
    <w:rsid w:val="003B2792"/>
    <w:rsid w:val="003B5A0A"/>
    <w:rsid w:val="003B7B49"/>
    <w:rsid w:val="003C67AD"/>
    <w:rsid w:val="003D66E7"/>
    <w:rsid w:val="003E713C"/>
    <w:rsid w:val="003E7CB0"/>
    <w:rsid w:val="003F0EAA"/>
    <w:rsid w:val="003F3FDB"/>
    <w:rsid w:val="003F5815"/>
    <w:rsid w:val="00416FD2"/>
    <w:rsid w:val="0042089F"/>
    <w:rsid w:val="0042237E"/>
    <w:rsid w:val="00426064"/>
    <w:rsid w:val="00431386"/>
    <w:rsid w:val="004436D4"/>
    <w:rsid w:val="00444B06"/>
    <w:rsid w:val="00446040"/>
    <w:rsid w:val="00450E27"/>
    <w:rsid w:val="00454109"/>
    <w:rsid w:val="004646D8"/>
    <w:rsid w:val="004820EA"/>
    <w:rsid w:val="004954EF"/>
    <w:rsid w:val="00495E03"/>
    <w:rsid w:val="004B71D1"/>
    <w:rsid w:val="004D102C"/>
    <w:rsid w:val="004D3EDF"/>
    <w:rsid w:val="004D556A"/>
    <w:rsid w:val="004E0763"/>
    <w:rsid w:val="004E5C8E"/>
    <w:rsid w:val="00501BDA"/>
    <w:rsid w:val="00502445"/>
    <w:rsid w:val="00505206"/>
    <w:rsid w:val="00523A2F"/>
    <w:rsid w:val="00523E9A"/>
    <w:rsid w:val="0052654D"/>
    <w:rsid w:val="005345A9"/>
    <w:rsid w:val="00541061"/>
    <w:rsid w:val="00543DD3"/>
    <w:rsid w:val="00546850"/>
    <w:rsid w:val="0055608D"/>
    <w:rsid w:val="0056275B"/>
    <w:rsid w:val="00562EBC"/>
    <w:rsid w:val="005670FF"/>
    <w:rsid w:val="005703B8"/>
    <w:rsid w:val="0058799A"/>
    <w:rsid w:val="00590E15"/>
    <w:rsid w:val="00593B72"/>
    <w:rsid w:val="005A0835"/>
    <w:rsid w:val="005A4818"/>
    <w:rsid w:val="005B3BAB"/>
    <w:rsid w:val="005C64C9"/>
    <w:rsid w:val="005D0BA3"/>
    <w:rsid w:val="005E03C3"/>
    <w:rsid w:val="005E0F61"/>
    <w:rsid w:val="005E21DD"/>
    <w:rsid w:val="005E56FE"/>
    <w:rsid w:val="005E7A1A"/>
    <w:rsid w:val="005F2AA8"/>
    <w:rsid w:val="005F4D3B"/>
    <w:rsid w:val="005F573C"/>
    <w:rsid w:val="00601EA2"/>
    <w:rsid w:val="0060238A"/>
    <w:rsid w:val="00606F85"/>
    <w:rsid w:val="00616387"/>
    <w:rsid w:val="00616923"/>
    <w:rsid w:val="00621403"/>
    <w:rsid w:val="00623791"/>
    <w:rsid w:val="006311A9"/>
    <w:rsid w:val="006319BF"/>
    <w:rsid w:val="00635D9F"/>
    <w:rsid w:val="0065125A"/>
    <w:rsid w:val="00652BB7"/>
    <w:rsid w:val="00652D8D"/>
    <w:rsid w:val="00654565"/>
    <w:rsid w:val="0067455C"/>
    <w:rsid w:val="0067778A"/>
    <w:rsid w:val="006900B8"/>
    <w:rsid w:val="00691F6B"/>
    <w:rsid w:val="006956C3"/>
    <w:rsid w:val="006A2FB4"/>
    <w:rsid w:val="006A4ACF"/>
    <w:rsid w:val="006C0BE4"/>
    <w:rsid w:val="006C526C"/>
    <w:rsid w:val="006D790F"/>
    <w:rsid w:val="006D7A7E"/>
    <w:rsid w:val="006E6D2A"/>
    <w:rsid w:val="006F0034"/>
    <w:rsid w:val="006F47EF"/>
    <w:rsid w:val="006F54C2"/>
    <w:rsid w:val="007000A0"/>
    <w:rsid w:val="0070107C"/>
    <w:rsid w:val="00711D42"/>
    <w:rsid w:val="0071218A"/>
    <w:rsid w:val="007138B4"/>
    <w:rsid w:val="00716C22"/>
    <w:rsid w:val="00722333"/>
    <w:rsid w:val="00730406"/>
    <w:rsid w:val="00740517"/>
    <w:rsid w:val="00740AC4"/>
    <w:rsid w:val="00752CBF"/>
    <w:rsid w:val="00764A1C"/>
    <w:rsid w:val="0077306F"/>
    <w:rsid w:val="00777341"/>
    <w:rsid w:val="00782C2E"/>
    <w:rsid w:val="00784A13"/>
    <w:rsid w:val="007851A6"/>
    <w:rsid w:val="00792F4F"/>
    <w:rsid w:val="007A23FE"/>
    <w:rsid w:val="007B0411"/>
    <w:rsid w:val="007C5768"/>
    <w:rsid w:val="007D4E6D"/>
    <w:rsid w:val="007E5CAF"/>
    <w:rsid w:val="007F329C"/>
    <w:rsid w:val="007F4B96"/>
    <w:rsid w:val="007F6748"/>
    <w:rsid w:val="007F6888"/>
    <w:rsid w:val="007F68DC"/>
    <w:rsid w:val="007F79FE"/>
    <w:rsid w:val="00806798"/>
    <w:rsid w:val="00813C48"/>
    <w:rsid w:val="008145EC"/>
    <w:rsid w:val="00814BE4"/>
    <w:rsid w:val="00821623"/>
    <w:rsid w:val="00830C85"/>
    <w:rsid w:val="0084321B"/>
    <w:rsid w:val="0084339B"/>
    <w:rsid w:val="008441BB"/>
    <w:rsid w:val="00846D35"/>
    <w:rsid w:val="00847200"/>
    <w:rsid w:val="00852035"/>
    <w:rsid w:val="0086681E"/>
    <w:rsid w:val="0087558A"/>
    <w:rsid w:val="00875A4D"/>
    <w:rsid w:val="00887C2C"/>
    <w:rsid w:val="008A050C"/>
    <w:rsid w:val="008A0F99"/>
    <w:rsid w:val="008A5840"/>
    <w:rsid w:val="008B6A10"/>
    <w:rsid w:val="008C1900"/>
    <w:rsid w:val="008D0436"/>
    <w:rsid w:val="008D06D2"/>
    <w:rsid w:val="008D2AA0"/>
    <w:rsid w:val="008D4095"/>
    <w:rsid w:val="008D589F"/>
    <w:rsid w:val="008D72BE"/>
    <w:rsid w:val="008E2904"/>
    <w:rsid w:val="008E61D4"/>
    <w:rsid w:val="008F0993"/>
    <w:rsid w:val="0090299E"/>
    <w:rsid w:val="00903752"/>
    <w:rsid w:val="00915BC9"/>
    <w:rsid w:val="00917722"/>
    <w:rsid w:val="00924CF0"/>
    <w:rsid w:val="009278D9"/>
    <w:rsid w:val="00941F99"/>
    <w:rsid w:val="009479DF"/>
    <w:rsid w:val="0095259E"/>
    <w:rsid w:val="00953BD3"/>
    <w:rsid w:val="00954749"/>
    <w:rsid w:val="009638C6"/>
    <w:rsid w:val="009639F0"/>
    <w:rsid w:val="00966490"/>
    <w:rsid w:val="00966655"/>
    <w:rsid w:val="009748C1"/>
    <w:rsid w:val="00976739"/>
    <w:rsid w:val="00982ACA"/>
    <w:rsid w:val="009900F6"/>
    <w:rsid w:val="009B05A5"/>
    <w:rsid w:val="009B2E42"/>
    <w:rsid w:val="009B44DB"/>
    <w:rsid w:val="009C55B6"/>
    <w:rsid w:val="009D3092"/>
    <w:rsid w:val="009E048A"/>
    <w:rsid w:val="009E13D1"/>
    <w:rsid w:val="009E7049"/>
    <w:rsid w:val="009F273D"/>
    <w:rsid w:val="00A021D0"/>
    <w:rsid w:val="00A0231D"/>
    <w:rsid w:val="00A10F3C"/>
    <w:rsid w:val="00A21F24"/>
    <w:rsid w:val="00A22A88"/>
    <w:rsid w:val="00A2355B"/>
    <w:rsid w:val="00A300C4"/>
    <w:rsid w:val="00A41531"/>
    <w:rsid w:val="00A43DE3"/>
    <w:rsid w:val="00A47768"/>
    <w:rsid w:val="00A636D9"/>
    <w:rsid w:val="00A65096"/>
    <w:rsid w:val="00A66BE0"/>
    <w:rsid w:val="00A71605"/>
    <w:rsid w:val="00A92E13"/>
    <w:rsid w:val="00A93BEA"/>
    <w:rsid w:val="00A946F3"/>
    <w:rsid w:val="00A95528"/>
    <w:rsid w:val="00A955E1"/>
    <w:rsid w:val="00AA2C3A"/>
    <w:rsid w:val="00AA478B"/>
    <w:rsid w:val="00AA7D70"/>
    <w:rsid w:val="00AB598B"/>
    <w:rsid w:val="00AC3E38"/>
    <w:rsid w:val="00AC473C"/>
    <w:rsid w:val="00AC59DD"/>
    <w:rsid w:val="00AD046B"/>
    <w:rsid w:val="00AD0556"/>
    <w:rsid w:val="00AD1619"/>
    <w:rsid w:val="00AD4046"/>
    <w:rsid w:val="00AD4556"/>
    <w:rsid w:val="00AD6A80"/>
    <w:rsid w:val="00AE03DF"/>
    <w:rsid w:val="00AF09A1"/>
    <w:rsid w:val="00B033BC"/>
    <w:rsid w:val="00B248AF"/>
    <w:rsid w:val="00B33B4C"/>
    <w:rsid w:val="00B466E2"/>
    <w:rsid w:val="00B662F8"/>
    <w:rsid w:val="00B7264D"/>
    <w:rsid w:val="00B82893"/>
    <w:rsid w:val="00B92E09"/>
    <w:rsid w:val="00B96BE1"/>
    <w:rsid w:val="00BA1F27"/>
    <w:rsid w:val="00BB394B"/>
    <w:rsid w:val="00BC3B00"/>
    <w:rsid w:val="00BD016C"/>
    <w:rsid w:val="00BD08C5"/>
    <w:rsid w:val="00BD4FE0"/>
    <w:rsid w:val="00BE14C6"/>
    <w:rsid w:val="00BE3263"/>
    <w:rsid w:val="00BE3F5F"/>
    <w:rsid w:val="00BE435F"/>
    <w:rsid w:val="00BF27BE"/>
    <w:rsid w:val="00BF3C00"/>
    <w:rsid w:val="00BF44C3"/>
    <w:rsid w:val="00C035DB"/>
    <w:rsid w:val="00C07FA6"/>
    <w:rsid w:val="00C108C3"/>
    <w:rsid w:val="00C12603"/>
    <w:rsid w:val="00C138ED"/>
    <w:rsid w:val="00C151BD"/>
    <w:rsid w:val="00C24420"/>
    <w:rsid w:val="00C25690"/>
    <w:rsid w:val="00C3697C"/>
    <w:rsid w:val="00C376BD"/>
    <w:rsid w:val="00C40AC9"/>
    <w:rsid w:val="00C435D5"/>
    <w:rsid w:val="00C43F93"/>
    <w:rsid w:val="00C44AF0"/>
    <w:rsid w:val="00C47C15"/>
    <w:rsid w:val="00C504DD"/>
    <w:rsid w:val="00C51551"/>
    <w:rsid w:val="00C54877"/>
    <w:rsid w:val="00C60536"/>
    <w:rsid w:val="00C65A34"/>
    <w:rsid w:val="00C70651"/>
    <w:rsid w:val="00C71B79"/>
    <w:rsid w:val="00C831F7"/>
    <w:rsid w:val="00C86FBC"/>
    <w:rsid w:val="00C919B4"/>
    <w:rsid w:val="00C92DAA"/>
    <w:rsid w:val="00C93CBC"/>
    <w:rsid w:val="00CA1B00"/>
    <w:rsid w:val="00CC42FB"/>
    <w:rsid w:val="00CC7B75"/>
    <w:rsid w:val="00CD6D1B"/>
    <w:rsid w:val="00CE17DA"/>
    <w:rsid w:val="00CF56B9"/>
    <w:rsid w:val="00D01F46"/>
    <w:rsid w:val="00D03BBC"/>
    <w:rsid w:val="00D056B8"/>
    <w:rsid w:val="00D0584A"/>
    <w:rsid w:val="00D06558"/>
    <w:rsid w:val="00D142A7"/>
    <w:rsid w:val="00D173B4"/>
    <w:rsid w:val="00D34ADA"/>
    <w:rsid w:val="00D4040E"/>
    <w:rsid w:val="00D41BDB"/>
    <w:rsid w:val="00D451C6"/>
    <w:rsid w:val="00D50360"/>
    <w:rsid w:val="00D56A74"/>
    <w:rsid w:val="00D64EAA"/>
    <w:rsid w:val="00D678B4"/>
    <w:rsid w:val="00D715B0"/>
    <w:rsid w:val="00D75842"/>
    <w:rsid w:val="00D8203F"/>
    <w:rsid w:val="00D8468C"/>
    <w:rsid w:val="00D86243"/>
    <w:rsid w:val="00D86DC2"/>
    <w:rsid w:val="00D91B6D"/>
    <w:rsid w:val="00D93C72"/>
    <w:rsid w:val="00D974CF"/>
    <w:rsid w:val="00DD1AF9"/>
    <w:rsid w:val="00DD3DE5"/>
    <w:rsid w:val="00DE45C9"/>
    <w:rsid w:val="00DF084F"/>
    <w:rsid w:val="00DF5F5D"/>
    <w:rsid w:val="00E1071F"/>
    <w:rsid w:val="00E16B64"/>
    <w:rsid w:val="00E24DAE"/>
    <w:rsid w:val="00E27548"/>
    <w:rsid w:val="00E30966"/>
    <w:rsid w:val="00E33C78"/>
    <w:rsid w:val="00E461AC"/>
    <w:rsid w:val="00E53178"/>
    <w:rsid w:val="00E5479A"/>
    <w:rsid w:val="00E56D77"/>
    <w:rsid w:val="00E56E00"/>
    <w:rsid w:val="00E57C36"/>
    <w:rsid w:val="00E637F3"/>
    <w:rsid w:val="00E70D83"/>
    <w:rsid w:val="00E77820"/>
    <w:rsid w:val="00E91068"/>
    <w:rsid w:val="00E915C0"/>
    <w:rsid w:val="00E91FF8"/>
    <w:rsid w:val="00E93CA8"/>
    <w:rsid w:val="00EA56EE"/>
    <w:rsid w:val="00EA776B"/>
    <w:rsid w:val="00EB0F2D"/>
    <w:rsid w:val="00EC0586"/>
    <w:rsid w:val="00EC3F60"/>
    <w:rsid w:val="00EC7552"/>
    <w:rsid w:val="00EF640A"/>
    <w:rsid w:val="00EF700D"/>
    <w:rsid w:val="00EF75FB"/>
    <w:rsid w:val="00F053C6"/>
    <w:rsid w:val="00F10871"/>
    <w:rsid w:val="00F12805"/>
    <w:rsid w:val="00F16379"/>
    <w:rsid w:val="00F22CD0"/>
    <w:rsid w:val="00F236A7"/>
    <w:rsid w:val="00F304F0"/>
    <w:rsid w:val="00F354D1"/>
    <w:rsid w:val="00F42CAA"/>
    <w:rsid w:val="00F45A0F"/>
    <w:rsid w:val="00F46BC9"/>
    <w:rsid w:val="00F551BD"/>
    <w:rsid w:val="00F61040"/>
    <w:rsid w:val="00F61205"/>
    <w:rsid w:val="00F66D38"/>
    <w:rsid w:val="00F875E3"/>
    <w:rsid w:val="00F97409"/>
    <w:rsid w:val="00F97C83"/>
    <w:rsid w:val="00FA4CDC"/>
    <w:rsid w:val="00FA4CF7"/>
    <w:rsid w:val="00FB1779"/>
    <w:rsid w:val="00FB2EA1"/>
    <w:rsid w:val="00FB6C24"/>
    <w:rsid w:val="00FC5E8D"/>
    <w:rsid w:val="00FC60F9"/>
    <w:rsid w:val="00FC6764"/>
    <w:rsid w:val="00FD3A19"/>
    <w:rsid w:val="00FD4D46"/>
    <w:rsid w:val="00FD5865"/>
    <w:rsid w:val="00FE03F9"/>
    <w:rsid w:val="00FE1561"/>
    <w:rsid w:val="00FE1E4A"/>
    <w:rsid w:val="00FE3DC1"/>
    <w:rsid w:val="00FE7E88"/>
    <w:rsid w:val="00FF7458"/>
    <w:rsid w:val="00FF7ECC"/>
    <w:rsid w:val="6BBA07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4E857"/>
  <w15:chartTrackingRefBased/>
  <w15:docId w15:val="{FC29865A-8719-42FC-8C2A-7E7D616B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1531"/>
    <w:pPr>
      <w:spacing w:line="360" w:lineRule="auto"/>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59"/>
    <w:rsid w:val="00D820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D8203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8203F"/>
    <w:rPr>
      <w:rFonts w:ascii="Palatino Linotype" w:hAnsi="Palatino Linotype"/>
      <w:color w:val="000000" w:themeColor="text1"/>
    </w:rPr>
  </w:style>
  <w:style w:type="paragraph" w:styleId="Piedepgina">
    <w:name w:val="footer"/>
    <w:basedOn w:val="Normal"/>
    <w:link w:val="PiedepginaCar"/>
    <w:uiPriority w:val="99"/>
    <w:unhideWhenUsed/>
    <w:rsid w:val="00D8203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8203F"/>
    <w:rPr>
      <w:rFonts w:ascii="Palatino Linotype" w:hAnsi="Palatino Linotype"/>
      <w:color w:val="000000" w:themeColor="text1"/>
    </w:rPr>
  </w:style>
  <w:style w:type="paragraph" w:styleId="Prrafodelista">
    <w:name w:val="List Paragraph"/>
    <w:basedOn w:val="Normal"/>
    <w:uiPriority w:val="34"/>
    <w:qFormat/>
    <w:rsid w:val="00D8203F"/>
    <w:pPr>
      <w:ind w:left="720"/>
      <w:contextualSpacing/>
    </w:pPr>
  </w:style>
  <w:style w:type="character" w:styleId="Hipervnculo">
    <w:name w:val="Hyperlink"/>
    <w:basedOn w:val="Fuentedeprrafopredeter"/>
    <w:uiPriority w:val="99"/>
    <w:unhideWhenUsed/>
    <w:rsid w:val="00D8203F"/>
    <w:rPr>
      <w:color w:val="0563C1" w:themeColor="hyperlink"/>
      <w:u w:val="single"/>
    </w:rPr>
  </w:style>
  <w:style w:type="character" w:styleId="Refdecomentario">
    <w:name w:val="annotation reference"/>
    <w:basedOn w:val="Fuentedeprrafopredeter"/>
    <w:uiPriority w:val="99"/>
    <w:semiHidden/>
    <w:unhideWhenUsed/>
    <w:rsid w:val="002C6689"/>
    <w:rPr>
      <w:sz w:val="16"/>
      <w:szCs w:val="16"/>
    </w:rPr>
  </w:style>
  <w:style w:type="paragraph" w:styleId="Textocomentario">
    <w:name w:val="annotation text"/>
    <w:basedOn w:val="Normal"/>
    <w:link w:val="TextocomentarioCar"/>
    <w:uiPriority w:val="99"/>
    <w:semiHidden/>
    <w:unhideWhenUsed/>
    <w:rsid w:val="002C6689"/>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2C6689"/>
    <w:rPr>
      <w:rFonts w:ascii="Palatino Linotype" w:hAnsi="Palatino Linotype"/>
      <w:color w:val="000000" w:themeColor="text1"/>
      <w:sz w:val="20"/>
      <w:szCs w:val="20"/>
    </w:rPr>
  </w:style>
  <w:style w:type="paragraph" w:styleId="Asuntodelcomentario">
    <w:name w:val="annotation subject"/>
    <w:basedOn w:val="Textocomentario"/>
    <w:next w:val="Textocomentario"/>
    <w:link w:val="AsuntodelcomentarioCar"/>
    <w:uiPriority w:val="99"/>
    <w:semiHidden/>
    <w:unhideWhenUsed/>
    <w:rsid w:val="002C6689"/>
    <w:rPr>
      <w:b/>
      <w:bCs/>
    </w:rPr>
  </w:style>
  <w:style w:type="character" w:styleId="AsuntodelcomentarioCar" w:customStyle="1">
    <w:name w:val="Asunto del comentario Car"/>
    <w:basedOn w:val="TextocomentarioCar"/>
    <w:link w:val="Asuntodelcomentario"/>
    <w:uiPriority w:val="99"/>
    <w:semiHidden/>
    <w:rsid w:val="002C6689"/>
    <w:rPr>
      <w:rFonts w:ascii="Palatino Linotype" w:hAnsi="Palatino Linotype"/>
      <w:b/>
      <w:bCs/>
      <w:color w:val="000000" w:themeColor="text1"/>
      <w:sz w:val="20"/>
      <w:szCs w:val="20"/>
    </w:rPr>
  </w:style>
  <w:style w:type="character" w:styleId="Mencinsinresolver1" w:customStyle="1">
    <w:name w:val="Mención sin resolver1"/>
    <w:basedOn w:val="Fuentedeprrafopredeter"/>
    <w:uiPriority w:val="99"/>
    <w:semiHidden/>
    <w:unhideWhenUsed/>
    <w:rsid w:val="002513F1"/>
    <w:rPr>
      <w:color w:val="605E5C"/>
      <w:shd w:val="clear" w:color="auto" w:fill="E1DFDD"/>
    </w:rPr>
  </w:style>
  <w:style w:type="character" w:styleId="Hipervnculovisitado">
    <w:name w:val="FollowedHyperlink"/>
    <w:basedOn w:val="Fuentedeprrafopredeter"/>
    <w:uiPriority w:val="99"/>
    <w:semiHidden/>
    <w:unhideWhenUsed/>
    <w:rsid w:val="00523E9A"/>
    <w:rPr>
      <w:color w:val="954F72" w:themeColor="followedHyperlink"/>
      <w:u w:val="single"/>
    </w:rPr>
  </w:style>
  <w:style w:type="character" w:styleId="Mencinsinresolver">
    <w:name w:val="Unresolved Mention"/>
    <w:basedOn w:val="Fuentedeprrafopredeter"/>
    <w:uiPriority w:val="99"/>
    <w:semiHidden/>
    <w:unhideWhenUsed/>
    <w:rsid w:val="00FF7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80207">
      <w:bodyDiv w:val="1"/>
      <w:marLeft w:val="0"/>
      <w:marRight w:val="0"/>
      <w:marTop w:val="0"/>
      <w:marBottom w:val="0"/>
      <w:divBdr>
        <w:top w:val="none" w:sz="0" w:space="0" w:color="auto"/>
        <w:left w:val="none" w:sz="0" w:space="0" w:color="auto"/>
        <w:bottom w:val="none" w:sz="0" w:space="0" w:color="auto"/>
        <w:right w:val="none" w:sz="0" w:space="0" w:color="auto"/>
      </w:divBdr>
    </w:div>
    <w:div w:id="221673005">
      <w:bodyDiv w:val="1"/>
      <w:marLeft w:val="0"/>
      <w:marRight w:val="0"/>
      <w:marTop w:val="0"/>
      <w:marBottom w:val="0"/>
      <w:divBdr>
        <w:top w:val="none" w:sz="0" w:space="0" w:color="auto"/>
        <w:left w:val="none" w:sz="0" w:space="0" w:color="auto"/>
        <w:bottom w:val="none" w:sz="0" w:space="0" w:color="auto"/>
        <w:right w:val="none" w:sz="0" w:space="0" w:color="auto"/>
      </w:divBdr>
    </w:div>
    <w:div w:id="236674019">
      <w:bodyDiv w:val="1"/>
      <w:marLeft w:val="0"/>
      <w:marRight w:val="0"/>
      <w:marTop w:val="0"/>
      <w:marBottom w:val="0"/>
      <w:divBdr>
        <w:top w:val="none" w:sz="0" w:space="0" w:color="auto"/>
        <w:left w:val="none" w:sz="0" w:space="0" w:color="auto"/>
        <w:bottom w:val="none" w:sz="0" w:space="0" w:color="auto"/>
        <w:right w:val="none" w:sz="0" w:space="0" w:color="auto"/>
      </w:divBdr>
    </w:div>
    <w:div w:id="551186618">
      <w:bodyDiv w:val="1"/>
      <w:marLeft w:val="0"/>
      <w:marRight w:val="0"/>
      <w:marTop w:val="0"/>
      <w:marBottom w:val="0"/>
      <w:divBdr>
        <w:top w:val="none" w:sz="0" w:space="0" w:color="auto"/>
        <w:left w:val="none" w:sz="0" w:space="0" w:color="auto"/>
        <w:bottom w:val="none" w:sz="0" w:space="0" w:color="auto"/>
        <w:right w:val="none" w:sz="0" w:space="0" w:color="auto"/>
      </w:divBdr>
    </w:div>
    <w:div w:id="681132400">
      <w:bodyDiv w:val="1"/>
      <w:marLeft w:val="0"/>
      <w:marRight w:val="0"/>
      <w:marTop w:val="0"/>
      <w:marBottom w:val="0"/>
      <w:divBdr>
        <w:top w:val="none" w:sz="0" w:space="0" w:color="auto"/>
        <w:left w:val="none" w:sz="0" w:space="0" w:color="auto"/>
        <w:bottom w:val="none" w:sz="0" w:space="0" w:color="auto"/>
        <w:right w:val="none" w:sz="0" w:space="0" w:color="auto"/>
      </w:divBdr>
    </w:div>
    <w:div w:id="1172454315">
      <w:bodyDiv w:val="1"/>
      <w:marLeft w:val="0"/>
      <w:marRight w:val="0"/>
      <w:marTop w:val="0"/>
      <w:marBottom w:val="0"/>
      <w:divBdr>
        <w:top w:val="none" w:sz="0" w:space="0" w:color="auto"/>
        <w:left w:val="none" w:sz="0" w:space="0" w:color="auto"/>
        <w:bottom w:val="none" w:sz="0" w:space="0" w:color="auto"/>
        <w:right w:val="none" w:sz="0" w:space="0" w:color="auto"/>
      </w:divBdr>
    </w:div>
    <w:div w:id="125235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hyperlink" Target="https://www.ipomex.org.mx/ipo3/lgt/indice/OASNAUCALPAN/art_92_viii.web" TargetMode="External" Id="rId9" /><Relationship Type="http://schemas.openxmlformats.org/officeDocument/2006/relationships/footer" Target="footer2.xml" Id="rId14" /><Relationship Type="http://schemas.openxmlformats.org/officeDocument/2006/relationships/glossaryDocument" Target="glossary/document.xml" Id="Rf92be8cc31bb40f7"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207e59a-9e6c-4f0f-b4ce-45f137b3d9a5}"/>
      </w:docPartPr>
      <w:docPartBody>
        <w:p w14:paraId="56C884AC">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9222C-557B-4D03-ADA9-4FEEF34D88C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7</revision>
  <dcterms:created xsi:type="dcterms:W3CDTF">2022-04-01T03:06:00.0000000Z</dcterms:created>
  <dcterms:modified xsi:type="dcterms:W3CDTF">2022-05-12T18:21:40.4674102Z</dcterms:modified>
</coreProperties>
</file>