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04AA6" w14:textId="77777777" w:rsidR="00207D17" w:rsidRDefault="00207D17" w:rsidP="00C673EE">
      <w:pPr>
        <w:tabs>
          <w:tab w:val="left" w:pos="3465"/>
        </w:tabs>
        <w:spacing w:line="360" w:lineRule="auto"/>
        <w:jc w:val="both"/>
        <w:rPr>
          <w:rFonts w:ascii="Palatino Linotype" w:hAnsi="Palatino Linotype"/>
        </w:rPr>
      </w:pPr>
      <w:r w:rsidRPr="00C673EE">
        <w:rPr>
          <w:rFonts w:ascii="Palatino Linotype" w:hAnsi="Palatino Linotype"/>
        </w:rPr>
        <w:t>Resolución del Pleno del Instituto de Transparencia, Acceso a la Información Pública y Protección de Datos Personales del Estado de México y Municipios, con domicilio en Metepec, Estado de México; de diecinueve (19) de enero de dos mil veintidós.</w:t>
      </w:r>
    </w:p>
    <w:p w14:paraId="53AC8105" w14:textId="77777777" w:rsidR="00C673EE" w:rsidRPr="00C673EE" w:rsidRDefault="00C673EE" w:rsidP="00C673EE">
      <w:pPr>
        <w:tabs>
          <w:tab w:val="left" w:pos="3465"/>
        </w:tabs>
        <w:spacing w:line="360" w:lineRule="auto"/>
        <w:jc w:val="both"/>
        <w:rPr>
          <w:rFonts w:ascii="Palatino Linotype" w:hAnsi="Palatino Linotype"/>
        </w:rPr>
      </w:pPr>
    </w:p>
    <w:p w14:paraId="1BDE8EEF" w14:textId="1FEEC72A" w:rsidR="00207D17" w:rsidRDefault="00207D17" w:rsidP="00C673EE">
      <w:pPr>
        <w:spacing w:line="360" w:lineRule="auto"/>
        <w:jc w:val="both"/>
        <w:rPr>
          <w:rFonts w:ascii="Palatino Linotype" w:hAnsi="Palatino Linotype"/>
        </w:rPr>
      </w:pPr>
      <w:r w:rsidRPr="00C673EE">
        <w:rPr>
          <w:rFonts w:ascii="Palatino Linotype" w:hAnsi="Palatino Linotype"/>
          <w:b/>
        </w:rPr>
        <w:t>VISTO</w:t>
      </w:r>
      <w:r w:rsidRPr="00C673EE">
        <w:rPr>
          <w:rFonts w:ascii="Palatino Linotype" w:hAnsi="Palatino Linotype"/>
        </w:rPr>
        <w:t xml:space="preserve"> el expediente electrónico formado con motivo del recurso de revisión </w:t>
      </w:r>
      <w:r w:rsidRPr="00C673EE">
        <w:rPr>
          <w:rFonts w:ascii="Palatino Linotype" w:hAnsi="Palatino Linotype"/>
          <w:b/>
        </w:rPr>
        <w:t>05283/INFOEM/IP/RR/2021</w:t>
      </w:r>
      <w:r w:rsidRPr="00C673EE">
        <w:rPr>
          <w:rFonts w:ascii="Palatino Linotype" w:hAnsi="Palatino Linotype" w:cs="Arial"/>
          <w:b/>
          <w:bCs/>
        </w:rPr>
        <w:t xml:space="preserve">; </w:t>
      </w:r>
      <w:r w:rsidRPr="00C673EE">
        <w:rPr>
          <w:rFonts w:ascii="Palatino Linotype" w:hAnsi="Palatino Linotype"/>
        </w:rPr>
        <w:t xml:space="preserve">promovido por </w:t>
      </w:r>
      <w:r w:rsidR="002F191D">
        <w:rPr>
          <w:rFonts w:ascii="Palatino Linotype" w:hAnsi="Palatino Linotype"/>
          <w:b/>
          <w:szCs w:val="22"/>
        </w:rPr>
        <w:t>XXXXXXXXXXXXXXXX</w:t>
      </w:r>
      <w:bookmarkStart w:id="0" w:name="_GoBack"/>
      <w:bookmarkEnd w:id="0"/>
      <w:r w:rsidRPr="00C673EE">
        <w:rPr>
          <w:rFonts w:ascii="Palatino Linotype" w:hAnsi="Palatino Linotype"/>
          <w:szCs w:val="22"/>
        </w:rPr>
        <w:t xml:space="preserve">, quien </w:t>
      </w:r>
      <w:r w:rsidRPr="00C673EE">
        <w:rPr>
          <w:rFonts w:ascii="Palatino Linotype" w:hAnsi="Palatino Linotype"/>
        </w:rPr>
        <w:t xml:space="preserve">en lo sucesivo se le identificará </w:t>
      </w:r>
      <w:r w:rsidRPr="00C673EE">
        <w:rPr>
          <w:rFonts w:ascii="Palatino Linotype" w:hAnsi="Palatino Linotype" w:cs="Arial"/>
        </w:rPr>
        <w:t xml:space="preserve">como  </w:t>
      </w:r>
      <w:r w:rsidRPr="00C673EE">
        <w:rPr>
          <w:rFonts w:ascii="Palatino Linotype" w:hAnsi="Palatino Linotype" w:cs="Arial"/>
          <w:b/>
        </w:rPr>
        <w:t>RECURRENTE</w:t>
      </w:r>
      <w:r w:rsidRPr="00C673EE">
        <w:rPr>
          <w:rFonts w:ascii="Palatino Linotype" w:hAnsi="Palatino Linotype" w:cs="Arial"/>
        </w:rPr>
        <w:t>, en contra de la respuesta del</w:t>
      </w:r>
      <w:r w:rsidRPr="00C673EE">
        <w:rPr>
          <w:rFonts w:ascii="Palatino Linotype" w:hAnsi="Palatino Linotype"/>
        </w:rPr>
        <w:t xml:space="preserve"> </w:t>
      </w:r>
      <w:r w:rsidRPr="00C673EE">
        <w:rPr>
          <w:rFonts w:ascii="Palatino Linotype" w:eastAsia="Calibri" w:hAnsi="Palatino Linotype" w:cs="Tahoma"/>
          <w:b/>
          <w:szCs w:val="22"/>
          <w:lang w:eastAsia="en-US"/>
        </w:rPr>
        <w:t>Ayuntamiento de Metepec</w:t>
      </w:r>
      <w:r w:rsidRPr="00C673EE">
        <w:rPr>
          <w:rFonts w:ascii="Palatino Linotype" w:hAnsi="Palatino Linotype"/>
          <w:b/>
        </w:rPr>
        <w:t xml:space="preserve">, </w:t>
      </w:r>
      <w:r w:rsidRPr="00C673EE">
        <w:rPr>
          <w:rFonts w:ascii="Palatino Linotype" w:hAnsi="Palatino Linotype"/>
        </w:rPr>
        <w:t>en lo sucesivo el</w:t>
      </w:r>
      <w:r w:rsidRPr="00C673EE">
        <w:rPr>
          <w:rFonts w:ascii="Palatino Linotype" w:hAnsi="Palatino Linotype"/>
          <w:b/>
        </w:rPr>
        <w:t xml:space="preserve"> SUJETO OBLIGADO, </w:t>
      </w:r>
      <w:r w:rsidRPr="00C673EE">
        <w:rPr>
          <w:rFonts w:ascii="Palatino Linotype" w:hAnsi="Palatino Linotype"/>
        </w:rPr>
        <w:t>se procede a dictar la presente resolución, con base en los siguientes:</w:t>
      </w:r>
    </w:p>
    <w:p w14:paraId="441E32CD" w14:textId="77777777" w:rsidR="00C673EE" w:rsidRPr="00C673EE" w:rsidRDefault="00C673EE" w:rsidP="00C673EE">
      <w:pPr>
        <w:spacing w:line="360" w:lineRule="auto"/>
        <w:jc w:val="both"/>
        <w:rPr>
          <w:rFonts w:ascii="Palatino Linotype" w:hAnsi="Palatino Linotype"/>
          <w:b/>
        </w:rPr>
      </w:pPr>
    </w:p>
    <w:p w14:paraId="558FC35B" w14:textId="77777777" w:rsidR="00207D17" w:rsidRDefault="00207D17" w:rsidP="00C673EE">
      <w:pPr>
        <w:pStyle w:val="Ttulo1"/>
        <w:spacing w:before="0" w:line="360" w:lineRule="auto"/>
        <w:jc w:val="center"/>
        <w:rPr>
          <w:rFonts w:ascii="Palatino Linotype" w:hAnsi="Palatino Linotype"/>
          <w:b/>
          <w:color w:val="auto"/>
          <w:sz w:val="24"/>
        </w:rPr>
      </w:pPr>
      <w:bookmarkStart w:id="1" w:name="_Toc461555884"/>
      <w:bookmarkStart w:id="2" w:name="_Toc466371847"/>
      <w:bookmarkStart w:id="3" w:name="_Toc81233123"/>
      <w:r w:rsidRPr="00C673EE">
        <w:rPr>
          <w:rFonts w:ascii="Palatino Linotype" w:hAnsi="Palatino Linotype"/>
          <w:b/>
          <w:color w:val="auto"/>
          <w:sz w:val="24"/>
        </w:rPr>
        <w:t>ANTECEDENTES</w:t>
      </w:r>
      <w:bookmarkEnd w:id="1"/>
      <w:bookmarkEnd w:id="2"/>
      <w:bookmarkEnd w:id="3"/>
    </w:p>
    <w:p w14:paraId="07464E95" w14:textId="77777777" w:rsidR="00C673EE" w:rsidRPr="00C673EE" w:rsidRDefault="00C673EE" w:rsidP="00C673EE"/>
    <w:p w14:paraId="2F415969" w14:textId="77777777" w:rsidR="00207D17" w:rsidRPr="00C673EE" w:rsidRDefault="00207D17" w:rsidP="00C673EE">
      <w:pPr>
        <w:pStyle w:val="Prrafodelista"/>
        <w:numPr>
          <w:ilvl w:val="0"/>
          <w:numId w:val="2"/>
        </w:numPr>
        <w:tabs>
          <w:tab w:val="left" w:pos="284"/>
        </w:tabs>
        <w:spacing w:line="360" w:lineRule="auto"/>
        <w:ind w:left="0" w:firstLine="0"/>
        <w:jc w:val="both"/>
        <w:rPr>
          <w:rFonts w:ascii="Palatino Linotype" w:eastAsia="Calibri" w:hAnsi="Palatino Linotype" w:cs="Arial"/>
          <w:sz w:val="24"/>
          <w:lang w:val="es-ES"/>
        </w:rPr>
      </w:pPr>
      <w:r w:rsidRPr="00C673EE">
        <w:rPr>
          <w:rFonts w:ascii="Palatino Linotype" w:eastAsia="Calibri" w:hAnsi="Palatino Linotype" w:cs="Arial"/>
          <w:sz w:val="24"/>
          <w:lang w:val="es-ES"/>
        </w:rPr>
        <w:t>El uno (01) de octubre  de dos mil veintiuno</w:t>
      </w:r>
      <w:r w:rsidRPr="00C673EE">
        <w:rPr>
          <w:rFonts w:ascii="Palatino Linotype" w:hAnsi="Palatino Linotype"/>
          <w:b/>
          <w:sz w:val="24"/>
        </w:rPr>
        <w:t xml:space="preserve">, </w:t>
      </w:r>
      <w:r w:rsidRPr="00C673EE">
        <w:rPr>
          <w:rFonts w:ascii="Palatino Linotype" w:eastAsia="Calibri" w:hAnsi="Palatino Linotype" w:cs="Arial"/>
          <w:sz w:val="24"/>
          <w:lang w:val="es-ES"/>
        </w:rPr>
        <w:t xml:space="preserve">se presentó ante el </w:t>
      </w:r>
      <w:r w:rsidRPr="00C673EE">
        <w:rPr>
          <w:rFonts w:ascii="Palatino Linotype" w:eastAsia="Calibri" w:hAnsi="Palatino Linotype" w:cs="Arial"/>
          <w:b/>
          <w:sz w:val="24"/>
          <w:lang w:val="es-ES"/>
        </w:rPr>
        <w:t>SUJETO OBLIGADO</w:t>
      </w:r>
      <w:r w:rsidRPr="00C673EE">
        <w:rPr>
          <w:rFonts w:ascii="Palatino Linotype" w:eastAsia="Calibri" w:hAnsi="Palatino Linotype" w:cs="Arial"/>
          <w:sz w:val="24"/>
        </w:rPr>
        <w:t xml:space="preserve"> vía </w:t>
      </w:r>
      <w:r w:rsidRPr="00C673EE">
        <w:rPr>
          <w:rFonts w:ascii="Palatino Linotype" w:eastAsia="Calibri" w:hAnsi="Palatino Linotype" w:cs="Arial"/>
          <w:sz w:val="24"/>
          <w:lang w:val="es-ES"/>
        </w:rPr>
        <w:t xml:space="preserve">Sistema de Acceso a la Información Mexiquense </w:t>
      </w:r>
      <w:r w:rsidRPr="00C673EE">
        <w:rPr>
          <w:rFonts w:ascii="Palatino Linotype" w:eastAsia="Calibri" w:hAnsi="Palatino Linotype" w:cs="Arial"/>
          <w:b/>
          <w:sz w:val="24"/>
          <w:lang w:val="es-ES"/>
        </w:rPr>
        <w:t>SAIMEX</w:t>
      </w:r>
      <w:r w:rsidRPr="00C673EE">
        <w:rPr>
          <w:rFonts w:ascii="Palatino Linotype" w:eastAsia="Calibri" w:hAnsi="Palatino Linotype" w:cs="Arial"/>
          <w:sz w:val="24"/>
          <w:lang w:val="es-ES"/>
        </w:rPr>
        <w:t xml:space="preserve">, la solicitud de información pública registrada con el número </w:t>
      </w:r>
      <w:r w:rsidRPr="00C673EE">
        <w:rPr>
          <w:rFonts w:ascii="Palatino Linotype" w:hAnsi="Palatino Linotype"/>
          <w:b/>
          <w:bCs/>
          <w:color w:val="000000" w:themeColor="text1"/>
          <w:sz w:val="24"/>
        </w:rPr>
        <w:t xml:space="preserve">00563/METEPEC/IP/2021 </w:t>
      </w:r>
      <w:r w:rsidRPr="00C673EE">
        <w:rPr>
          <w:rFonts w:ascii="Palatino Linotype" w:eastAsia="Calibri" w:hAnsi="Palatino Linotype" w:cs="Arial"/>
          <w:sz w:val="24"/>
          <w:lang w:val="es-ES"/>
        </w:rPr>
        <w:t>mediante la cual solicitó:</w:t>
      </w:r>
    </w:p>
    <w:p w14:paraId="790FDC38" w14:textId="77777777" w:rsidR="00207D17" w:rsidRPr="00C673EE" w:rsidRDefault="00207D17" w:rsidP="00C673EE">
      <w:pPr>
        <w:pStyle w:val="Prrafodelista"/>
        <w:spacing w:line="360" w:lineRule="auto"/>
        <w:ind w:left="360"/>
        <w:jc w:val="both"/>
        <w:rPr>
          <w:rFonts w:ascii="Palatino Linotype" w:hAnsi="Palatino Linotype"/>
          <w:i/>
          <w:color w:val="000000"/>
          <w:szCs w:val="22"/>
        </w:rPr>
      </w:pPr>
    </w:p>
    <w:p w14:paraId="708050B1" w14:textId="77777777" w:rsidR="00207D17" w:rsidRPr="00C673EE" w:rsidRDefault="00207D17" w:rsidP="00C673EE">
      <w:pPr>
        <w:pStyle w:val="Prrafodelista"/>
        <w:spacing w:line="360" w:lineRule="auto"/>
        <w:ind w:left="567" w:right="567"/>
        <w:jc w:val="both"/>
        <w:rPr>
          <w:rFonts w:ascii="Palatino Linotype" w:hAnsi="Palatino Linotype"/>
          <w:color w:val="000000"/>
        </w:rPr>
      </w:pPr>
      <w:r w:rsidRPr="00C673EE">
        <w:rPr>
          <w:rFonts w:ascii="Palatino Linotype" w:hAnsi="Palatino Linotype"/>
          <w:i/>
          <w:color w:val="000000"/>
          <w:szCs w:val="22"/>
        </w:rPr>
        <w:t xml:space="preserve">“Solicito se me indique el día que me será entregado mi finiquito ya que ha transcurrido casi 8 meses después de mi baja y no recibo respuesta por parte de la Dirección de Administración ni Tesorería Municipal, adjunto evidencia de que se </w:t>
      </w:r>
      <w:proofErr w:type="spellStart"/>
      <w:r w:rsidRPr="00C673EE">
        <w:rPr>
          <w:rFonts w:ascii="Palatino Linotype" w:hAnsi="Palatino Linotype"/>
          <w:i/>
          <w:color w:val="000000"/>
          <w:szCs w:val="22"/>
        </w:rPr>
        <w:t>solicito</w:t>
      </w:r>
      <w:proofErr w:type="spellEnd"/>
      <w:r w:rsidRPr="00C673EE">
        <w:rPr>
          <w:rFonts w:ascii="Palatino Linotype" w:hAnsi="Palatino Linotype"/>
          <w:i/>
          <w:color w:val="000000"/>
          <w:szCs w:val="22"/>
        </w:rPr>
        <w:t xml:space="preserve"> por escrito.</w:t>
      </w:r>
      <w:r w:rsidRPr="00C673EE">
        <w:rPr>
          <w:rFonts w:ascii="Palatino Linotype" w:hAnsi="Palatino Linotype"/>
          <w:i/>
          <w:color w:val="000000"/>
        </w:rPr>
        <w:t>”</w:t>
      </w:r>
      <w:r w:rsidRPr="00C673EE">
        <w:rPr>
          <w:rFonts w:ascii="Palatino Linotype" w:hAnsi="Palatino Linotype"/>
          <w:color w:val="000000"/>
        </w:rPr>
        <w:t xml:space="preserve"> (Sic)</w:t>
      </w:r>
    </w:p>
    <w:p w14:paraId="05A49C5A" w14:textId="77777777" w:rsidR="00207D17" w:rsidRPr="00C673EE" w:rsidRDefault="00207D17" w:rsidP="00C673EE">
      <w:pPr>
        <w:pStyle w:val="Prrafodelista"/>
        <w:tabs>
          <w:tab w:val="left" w:pos="284"/>
        </w:tabs>
        <w:spacing w:line="360" w:lineRule="auto"/>
        <w:ind w:left="0"/>
        <w:jc w:val="both"/>
        <w:rPr>
          <w:rFonts w:ascii="Palatino Linotype" w:eastAsia="MS Mincho" w:hAnsi="Palatino Linotype"/>
        </w:rPr>
      </w:pPr>
    </w:p>
    <w:p w14:paraId="170EDA87" w14:textId="77777777" w:rsidR="007A668C" w:rsidRPr="00C673EE" w:rsidRDefault="007A668C" w:rsidP="00C673EE">
      <w:pPr>
        <w:numPr>
          <w:ilvl w:val="0"/>
          <w:numId w:val="5"/>
        </w:numPr>
        <w:spacing w:line="360" w:lineRule="auto"/>
        <w:jc w:val="both"/>
        <w:rPr>
          <w:rFonts w:ascii="Palatino Linotype" w:hAnsi="Palatino Linotype" w:cs="Arial"/>
          <w:color w:val="333333"/>
          <w:sz w:val="27"/>
          <w:szCs w:val="27"/>
          <w:lang w:val="es-ES" w:eastAsia="es-ES"/>
        </w:rPr>
      </w:pPr>
      <w:r w:rsidRPr="00C673EE">
        <w:rPr>
          <w:rFonts w:ascii="Palatino Linotype" w:eastAsia="MS Mincho" w:hAnsi="Palatino Linotype"/>
        </w:rPr>
        <w:t xml:space="preserve">Documento adjunto </w:t>
      </w:r>
      <w:hyperlink r:id="rId7" w:tgtFrame="_blank" w:history="1">
        <w:r w:rsidRPr="00C673EE">
          <w:rPr>
            <w:rStyle w:val="Hipervnculo"/>
            <w:rFonts w:ascii="Palatino Linotype" w:eastAsiaTheme="majorEastAsia" w:hAnsi="Palatino Linotype" w:cs="Arial"/>
            <w:b/>
            <w:bCs/>
            <w:color w:val="auto"/>
          </w:rPr>
          <w:t>ESCRITO DE SOLICITUD.png</w:t>
        </w:r>
      </w:hyperlink>
      <w:r w:rsidRPr="00C673EE">
        <w:rPr>
          <w:rFonts w:ascii="Palatino Linotype" w:hAnsi="Palatino Linotype" w:cs="Arial"/>
          <w:b/>
        </w:rPr>
        <w:t>:</w:t>
      </w:r>
      <w:r w:rsidR="00812CDC" w:rsidRPr="00C673EE">
        <w:rPr>
          <w:rFonts w:ascii="Palatino Linotype" w:hAnsi="Palatino Linotype" w:cs="Arial"/>
          <w:szCs w:val="27"/>
        </w:rPr>
        <w:t xml:space="preserve"> imagen de un  escrito, suscrito por la RECURRENTE y dirigido a la Directora de Administración del Ayuntamiento de Metepec, mediante el cual solicitó se tramite su finiquito.</w:t>
      </w:r>
    </w:p>
    <w:p w14:paraId="2FE21881" w14:textId="77777777" w:rsidR="007A668C" w:rsidRPr="00C673EE" w:rsidRDefault="007A668C" w:rsidP="00C673EE">
      <w:pPr>
        <w:pStyle w:val="Prrafodelista"/>
        <w:tabs>
          <w:tab w:val="left" w:pos="284"/>
        </w:tabs>
        <w:spacing w:line="360" w:lineRule="auto"/>
        <w:ind w:left="0"/>
        <w:jc w:val="both"/>
        <w:rPr>
          <w:rFonts w:ascii="Palatino Linotype" w:eastAsia="MS Mincho" w:hAnsi="Palatino Linotype"/>
        </w:rPr>
      </w:pPr>
    </w:p>
    <w:p w14:paraId="0FD2CDD4" w14:textId="77777777" w:rsidR="00207D17" w:rsidRPr="00C673EE" w:rsidRDefault="00207D17" w:rsidP="00C673EE">
      <w:pPr>
        <w:pStyle w:val="Prrafodelista"/>
        <w:numPr>
          <w:ilvl w:val="0"/>
          <w:numId w:val="2"/>
        </w:numPr>
        <w:tabs>
          <w:tab w:val="left" w:pos="284"/>
        </w:tabs>
        <w:spacing w:line="360" w:lineRule="auto"/>
        <w:ind w:left="0" w:firstLine="0"/>
        <w:jc w:val="both"/>
        <w:rPr>
          <w:rFonts w:ascii="Palatino Linotype" w:eastAsia="MS Mincho" w:hAnsi="Palatino Linotype"/>
          <w:sz w:val="24"/>
        </w:rPr>
      </w:pPr>
      <w:r w:rsidRPr="00C673EE">
        <w:rPr>
          <w:rFonts w:ascii="Palatino Linotype" w:eastAsia="Calibri" w:hAnsi="Palatino Linotype" w:cs="Arial"/>
          <w:sz w:val="24"/>
          <w:lang w:val="es-AR"/>
        </w:rPr>
        <w:lastRenderedPageBreak/>
        <w:t>Se señaló</w:t>
      </w:r>
      <w:r w:rsidRPr="00C673EE">
        <w:rPr>
          <w:rFonts w:ascii="Palatino Linotype" w:hAnsi="Palatino Linotype" w:cs="Arial"/>
          <w:sz w:val="24"/>
          <w:lang w:val="es-ES"/>
        </w:rPr>
        <w:t xml:space="preserve"> como modalidad de entrega de la información a través de </w:t>
      </w:r>
      <w:r w:rsidRPr="00C673EE">
        <w:rPr>
          <w:rFonts w:ascii="Palatino Linotype" w:hAnsi="Palatino Linotype" w:cs="Arial"/>
          <w:b/>
          <w:sz w:val="24"/>
          <w:lang w:val="es-ES"/>
        </w:rPr>
        <w:t>SAIMEX</w:t>
      </w:r>
      <w:r w:rsidRPr="00C673EE">
        <w:rPr>
          <w:rFonts w:ascii="Palatino Linotype" w:hAnsi="Palatino Linotype" w:cs="Arial"/>
          <w:sz w:val="24"/>
          <w:lang w:val="es-ES"/>
        </w:rPr>
        <w:t>.</w:t>
      </w:r>
    </w:p>
    <w:p w14:paraId="252F0400" w14:textId="77777777" w:rsidR="00207D17" w:rsidRPr="00C673EE" w:rsidRDefault="00207D17" w:rsidP="00C673EE">
      <w:pPr>
        <w:pStyle w:val="Prrafodelista"/>
        <w:tabs>
          <w:tab w:val="left" w:pos="284"/>
        </w:tabs>
        <w:spacing w:line="360" w:lineRule="auto"/>
        <w:ind w:left="0" w:right="34"/>
        <w:jc w:val="both"/>
        <w:rPr>
          <w:rFonts w:ascii="Palatino Linotype" w:hAnsi="Palatino Linotype" w:cs="Arial"/>
          <w:sz w:val="24"/>
          <w:szCs w:val="22"/>
        </w:rPr>
      </w:pPr>
    </w:p>
    <w:p w14:paraId="17B94081" w14:textId="77777777" w:rsidR="00207D17" w:rsidRPr="00C673EE" w:rsidRDefault="00207D17" w:rsidP="00C673EE">
      <w:pPr>
        <w:pStyle w:val="Prrafodelista"/>
        <w:numPr>
          <w:ilvl w:val="0"/>
          <w:numId w:val="2"/>
        </w:numPr>
        <w:tabs>
          <w:tab w:val="left" w:pos="284"/>
        </w:tabs>
        <w:spacing w:line="360" w:lineRule="auto"/>
        <w:ind w:left="0" w:right="34" w:firstLine="0"/>
        <w:jc w:val="both"/>
        <w:rPr>
          <w:rFonts w:ascii="Palatino Linotype" w:hAnsi="Palatino Linotype" w:cs="Arial"/>
          <w:i/>
          <w:sz w:val="24"/>
          <w:szCs w:val="22"/>
        </w:rPr>
      </w:pPr>
      <w:r w:rsidRPr="00C673EE">
        <w:rPr>
          <w:rFonts w:ascii="Palatino Linotype" w:eastAsia="Calibri" w:hAnsi="Palatino Linotype" w:cs="Arial"/>
          <w:sz w:val="24"/>
          <w:lang w:val="es-AR"/>
        </w:rPr>
        <w:t xml:space="preserve">El veinticinco (25) de octubre  de dos mil veintiuno, el </w:t>
      </w:r>
      <w:r w:rsidRPr="00C673EE">
        <w:rPr>
          <w:rFonts w:ascii="Palatino Linotype" w:eastAsia="Calibri" w:hAnsi="Palatino Linotype" w:cs="Arial"/>
          <w:b/>
          <w:sz w:val="24"/>
          <w:lang w:val="es-AR"/>
        </w:rPr>
        <w:t>SUJETO OBLIGADO</w:t>
      </w:r>
      <w:r w:rsidRPr="00C673EE">
        <w:rPr>
          <w:rFonts w:ascii="Palatino Linotype" w:eastAsia="Calibri" w:hAnsi="Palatino Linotype" w:cs="Arial"/>
          <w:bCs/>
          <w:sz w:val="24"/>
          <w:lang w:val="es-AR"/>
        </w:rPr>
        <w:t xml:space="preserve"> emitió su respuesta en los siguientes términos:</w:t>
      </w:r>
    </w:p>
    <w:p w14:paraId="38EC59CC" w14:textId="77777777" w:rsidR="00207D17" w:rsidRPr="00C673EE" w:rsidRDefault="00207D17" w:rsidP="00C673EE">
      <w:pPr>
        <w:pStyle w:val="Prrafodelista"/>
        <w:tabs>
          <w:tab w:val="left" w:pos="284"/>
        </w:tabs>
        <w:spacing w:line="360" w:lineRule="auto"/>
        <w:ind w:left="0" w:right="34"/>
        <w:jc w:val="both"/>
        <w:rPr>
          <w:rFonts w:ascii="Palatino Linotype" w:hAnsi="Palatino Linotype" w:cs="Arial"/>
          <w:i/>
          <w:sz w:val="24"/>
          <w:szCs w:val="22"/>
        </w:rPr>
      </w:pPr>
    </w:p>
    <w:p w14:paraId="5E3DC525" w14:textId="77777777" w:rsidR="00207D17" w:rsidRPr="00C673EE" w:rsidRDefault="00207D17" w:rsidP="00C673EE">
      <w:pPr>
        <w:pStyle w:val="Prrafodelista"/>
        <w:spacing w:line="360" w:lineRule="auto"/>
        <w:ind w:left="851" w:right="822"/>
        <w:jc w:val="both"/>
        <w:rPr>
          <w:rFonts w:ascii="Palatino Linotype" w:hAnsi="Palatino Linotype"/>
          <w:i/>
          <w:color w:val="000000"/>
          <w:szCs w:val="18"/>
        </w:rPr>
      </w:pPr>
      <w:r w:rsidRPr="00C673EE">
        <w:rPr>
          <w:rFonts w:ascii="Palatino Linotype" w:hAnsi="Palatino Linotype"/>
          <w:i/>
          <w:color w:val="000000"/>
          <w:szCs w:val="18"/>
        </w:rPr>
        <w:t>“…</w:t>
      </w:r>
    </w:p>
    <w:p w14:paraId="02C0F4B6" w14:textId="77777777" w:rsidR="00207D17" w:rsidRPr="00C673EE" w:rsidRDefault="00207D17" w:rsidP="00C673EE">
      <w:pPr>
        <w:pStyle w:val="Prrafodelista"/>
        <w:spacing w:line="360" w:lineRule="auto"/>
        <w:ind w:left="851" w:right="822"/>
        <w:jc w:val="both"/>
        <w:rPr>
          <w:rFonts w:ascii="Palatino Linotype" w:hAnsi="Palatino Linotype"/>
          <w:i/>
          <w:color w:val="000000"/>
          <w:szCs w:val="18"/>
        </w:rPr>
      </w:pPr>
      <w:r w:rsidRPr="00C673EE">
        <w:rPr>
          <w:rFonts w:ascii="Palatino Linotype" w:hAnsi="Palatino Linotype"/>
          <w:i/>
          <w:color w:val="000000"/>
          <w:szCs w:val="18"/>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p>
    <w:p w14:paraId="3F789C8B" w14:textId="77777777" w:rsidR="00207D17" w:rsidRPr="00C673EE" w:rsidRDefault="00207D17" w:rsidP="00C673EE">
      <w:pPr>
        <w:pStyle w:val="Prrafodelista"/>
        <w:spacing w:line="360" w:lineRule="auto"/>
        <w:ind w:left="851" w:right="822"/>
        <w:jc w:val="both"/>
        <w:rPr>
          <w:rFonts w:ascii="Palatino Linotype" w:hAnsi="Palatino Linotype"/>
          <w:i/>
          <w:color w:val="000000"/>
          <w:szCs w:val="18"/>
        </w:rPr>
      </w:pPr>
      <w:r w:rsidRPr="00C673EE">
        <w:rPr>
          <w:rFonts w:ascii="Palatino Linotype" w:hAnsi="Palatino Linotype"/>
          <w:i/>
          <w:color w:val="000000"/>
          <w:szCs w:val="18"/>
        </w:rPr>
        <w:t>…”</w:t>
      </w:r>
    </w:p>
    <w:p w14:paraId="111A63B5" w14:textId="77777777" w:rsidR="00207D17" w:rsidRPr="00C673EE" w:rsidRDefault="00207D17" w:rsidP="00C673EE">
      <w:pPr>
        <w:pStyle w:val="Prrafodelista"/>
        <w:spacing w:line="360" w:lineRule="auto"/>
        <w:ind w:left="0" w:right="34"/>
        <w:jc w:val="both"/>
        <w:rPr>
          <w:rFonts w:ascii="Palatino Linotype" w:hAnsi="Palatino Linotype" w:cs="Arial"/>
          <w:i/>
          <w:iCs/>
          <w:sz w:val="28"/>
          <w:szCs w:val="22"/>
        </w:rPr>
      </w:pPr>
    </w:p>
    <w:p w14:paraId="3C6FCDC0" w14:textId="77777777" w:rsidR="00207D17" w:rsidRPr="00C673EE" w:rsidRDefault="00207D17" w:rsidP="00C673EE">
      <w:pPr>
        <w:pStyle w:val="Prrafodelista"/>
        <w:spacing w:line="360" w:lineRule="auto"/>
        <w:ind w:right="34"/>
        <w:jc w:val="both"/>
        <w:rPr>
          <w:rFonts w:ascii="Palatino Linotype" w:hAnsi="Palatino Linotype" w:cs="Arial"/>
          <w:sz w:val="24"/>
          <w:szCs w:val="22"/>
        </w:rPr>
      </w:pPr>
      <w:r w:rsidRPr="00C673EE">
        <w:rPr>
          <w:rFonts w:ascii="Palatino Linotype" w:hAnsi="Palatino Linotype" w:cs="Arial"/>
          <w:sz w:val="24"/>
          <w:szCs w:val="22"/>
        </w:rPr>
        <w:t xml:space="preserve">A su respuesta, </w:t>
      </w:r>
      <w:r w:rsidR="000363C0" w:rsidRPr="00C673EE">
        <w:rPr>
          <w:rFonts w:ascii="Palatino Linotype" w:hAnsi="Palatino Linotype" w:cs="Arial"/>
          <w:sz w:val="24"/>
          <w:szCs w:val="22"/>
        </w:rPr>
        <w:t>se adjuntó el siguiente documento que se describe:</w:t>
      </w:r>
    </w:p>
    <w:p w14:paraId="28352507" w14:textId="77777777" w:rsidR="00207D17" w:rsidRPr="00C673EE" w:rsidRDefault="00207D17" w:rsidP="00C673EE">
      <w:pPr>
        <w:spacing w:line="360" w:lineRule="auto"/>
        <w:ind w:right="34"/>
        <w:jc w:val="both"/>
        <w:rPr>
          <w:rFonts w:ascii="Palatino Linotype" w:hAnsi="Palatino Linotype" w:cs="Arial"/>
          <w:szCs w:val="22"/>
        </w:rPr>
      </w:pPr>
    </w:p>
    <w:p w14:paraId="19DA5510" w14:textId="77777777" w:rsidR="00207D17" w:rsidRPr="00C673EE" w:rsidRDefault="00641EB9" w:rsidP="00C673EE">
      <w:pPr>
        <w:pStyle w:val="Prrafodelista"/>
        <w:numPr>
          <w:ilvl w:val="0"/>
          <w:numId w:val="4"/>
        </w:numPr>
        <w:spacing w:line="360" w:lineRule="auto"/>
        <w:ind w:right="34"/>
        <w:jc w:val="both"/>
        <w:rPr>
          <w:rFonts w:ascii="Palatino Linotype" w:hAnsi="Palatino Linotype" w:cs="Arial"/>
          <w:sz w:val="24"/>
        </w:rPr>
      </w:pPr>
      <w:hyperlink r:id="rId8" w:tgtFrame="_blank" w:history="1">
        <w:r w:rsidR="000363C0" w:rsidRPr="00C673EE">
          <w:rPr>
            <w:rStyle w:val="Hipervnculo"/>
            <w:rFonts w:ascii="Palatino Linotype" w:eastAsiaTheme="majorEastAsia" w:hAnsi="Palatino Linotype" w:cs="Arial"/>
            <w:b/>
            <w:bCs/>
            <w:color w:val="auto"/>
            <w:sz w:val="24"/>
          </w:rPr>
          <w:t>563.pdf</w:t>
        </w:r>
      </w:hyperlink>
      <w:r w:rsidR="000363C0" w:rsidRPr="00C673EE">
        <w:rPr>
          <w:rFonts w:ascii="Palatino Linotype" w:hAnsi="Palatino Linotype" w:cs="Arial"/>
          <w:sz w:val="24"/>
        </w:rPr>
        <w:t>: de fecha veintidós (22) de octubre de dos mil veintiuno, suscrito por el Jefe de la Unidad de Tr</w:t>
      </w:r>
      <w:r w:rsidR="007A668C" w:rsidRPr="00C673EE">
        <w:rPr>
          <w:rFonts w:ascii="Palatino Linotype" w:hAnsi="Palatino Linotype" w:cs="Arial"/>
          <w:sz w:val="24"/>
        </w:rPr>
        <w:t>ansparencia, en el cual se señaló medularmente lo siguiente:</w:t>
      </w:r>
    </w:p>
    <w:p w14:paraId="67FE0048" w14:textId="77777777" w:rsidR="007A668C" w:rsidRPr="00C673EE" w:rsidRDefault="007A668C" w:rsidP="00C673EE">
      <w:pPr>
        <w:pStyle w:val="Prrafodelista"/>
        <w:spacing w:line="360" w:lineRule="auto"/>
        <w:ind w:left="1440" w:right="34"/>
        <w:jc w:val="both"/>
        <w:rPr>
          <w:rFonts w:ascii="Palatino Linotype" w:hAnsi="Palatino Linotype"/>
          <w:i/>
        </w:rPr>
      </w:pPr>
      <w:r w:rsidRPr="00C673EE">
        <w:rPr>
          <w:rFonts w:ascii="Palatino Linotype" w:hAnsi="Palatino Linotype"/>
          <w:i/>
        </w:rPr>
        <w:t>“…</w:t>
      </w:r>
    </w:p>
    <w:p w14:paraId="165DB036" w14:textId="77777777" w:rsidR="007A668C" w:rsidRPr="00C673EE" w:rsidRDefault="007A668C" w:rsidP="00C673EE">
      <w:pPr>
        <w:pStyle w:val="Prrafodelista"/>
        <w:spacing w:line="360" w:lineRule="auto"/>
        <w:ind w:left="1440" w:right="34"/>
        <w:jc w:val="both"/>
        <w:rPr>
          <w:rFonts w:ascii="Palatino Linotype" w:hAnsi="Palatino Linotype"/>
          <w:i/>
        </w:rPr>
      </w:pPr>
      <w:r w:rsidRPr="00C673EE">
        <w:rPr>
          <w:rFonts w:ascii="Palatino Linotype" w:hAnsi="Palatino Linotype"/>
          <w:i/>
        </w:rPr>
        <w:t xml:space="preserve">PRIMERO. – En fecha del primero de octubre del año dos mil diecinueve, se recibió la solicitud de acceso a la información con número de folio 00563/METEPEC/IP/2021, a </w:t>
      </w:r>
      <w:proofErr w:type="gramStart"/>
      <w:r w:rsidRPr="00C673EE">
        <w:rPr>
          <w:rFonts w:ascii="Palatino Linotype" w:hAnsi="Palatino Linotype"/>
          <w:i/>
        </w:rPr>
        <w:t>través</w:t>
      </w:r>
      <w:proofErr w:type="gramEnd"/>
      <w:r w:rsidRPr="00C673EE">
        <w:rPr>
          <w:rFonts w:ascii="Palatino Linotype" w:hAnsi="Palatino Linotype"/>
          <w:i/>
        </w:rPr>
        <w:t xml:space="preserve"> del Sistema de Acceso a la Información Mexiquense (SAIMEX). </w:t>
      </w:r>
    </w:p>
    <w:p w14:paraId="233DCA3B" w14:textId="77777777" w:rsidR="007A668C" w:rsidRPr="00C673EE" w:rsidRDefault="007A668C" w:rsidP="00C673EE">
      <w:pPr>
        <w:pStyle w:val="Prrafodelista"/>
        <w:spacing w:line="360" w:lineRule="auto"/>
        <w:ind w:left="1440" w:right="34"/>
        <w:jc w:val="both"/>
        <w:rPr>
          <w:rFonts w:ascii="Palatino Linotype" w:hAnsi="Palatino Linotype"/>
          <w:i/>
        </w:rPr>
      </w:pPr>
      <w:r w:rsidRPr="00C673EE">
        <w:rPr>
          <w:rFonts w:ascii="Palatino Linotype" w:hAnsi="Palatino Linotype"/>
          <w:i/>
        </w:rPr>
        <w:t xml:space="preserve">SEGUNDO. – Posterior al análisis correspondiente, se determinó que si bien fundamenta su solicitud en la Ley de Transparencia y Acceso a la Información Pública del Estado de México y Municipios, equivoca el derecho de acceso a la información </w:t>
      </w:r>
      <w:r w:rsidRPr="00C673EE">
        <w:rPr>
          <w:rFonts w:ascii="Palatino Linotype" w:hAnsi="Palatino Linotype"/>
          <w:i/>
        </w:rPr>
        <w:lastRenderedPageBreak/>
        <w:t>pública con el de petición, motivo por el cual se debe considerar como necesario señalar que la naturaleza de la atención a las solicitudes de información radica en lo estatuido por el artículo 6º de la Constitución Política de los Estados Unidos Mexicanos, mismo que dispone los principios relativos a la publicidad de la información, así como las restricciones de la misma.</w:t>
      </w:r>
    </w:p>
    <w:p w14:paraId="1483FF45" w14:textId="77777777" w:rsidR="007A668C" w:rsidRPr="00C673EE" w:rsidRDefault="007A668C" w:rsidP="00C673EE">
      <w:pPr>
        <w:pStyle w:val="Prrafodelista"/>
        <w:spacing w:line="360" w:lineRule="auto"/>
        <w:ind w:left="1440" w:right="34"/>
        <w:jc w:val="both"/>
        <w:rPr>
          <w:rFonts w:ascii="Palatino Linotype" w:hAnsi="Palatino Linotype"/>
          <w:i/>
        </w:rPr>
      </w:pPr>
      <w:r w:rsidRPr="00C673EE">
        <w:rPr>
          <w:rFonts w:ascii="Palatino Linotype" w:hAnsi="Palatino Linotype"/>
          <w:i/>
        </w:rPr>
        <w:t>…</w:t>
      </w:r>
    </w:p>
    <w:p w14:paraId="26E4B8A2" w14:textId="77777777" w:rsidR="007A668C" w:rsidRPr="00C673EE" w:rsidRDefault="007A668C" w:rsidP="00C673EE">
      <w:pPr>
        <w:pStyle w:val="Prrafodelista"/>
        <w:spacing w:line="360" w:lineRule="auto"/>
        <w:ind w:left="1440" w:right="34"/>
        <w:jc w:val="both"/>
        <w:rPr>
          <w:rFonts w:ascii="Palatino Linotype" w:hAnsi="Palatino Linotype"/>
          <w:i/>
        </w:rPr>
      </w:pPr>
      <w:r w:rsidRPr="00C673EE">
        <w:rPr>
          <w:rFonts w:ascii="Palatino Linotype" w:hAnsi="Palatino Linotype"/>
          <w:i/>
        </w:rPr>
        <w:t>TERCERO. – Por lo comentarios antes señalados, se le solicita de manera respetuosa tenga a bien comprender lo expuesto en el presente, a efecto de considerar el alcance del derecho de acceso a la información, quedando a salvo su derecho de presentar su solicitud posteriormente, a efecto de poder atender, en su caso, oportunamente su requerimiento.</w:t>
      </w:r>
    </w:p>
    <w:p w14:paraId="2F8BEC07" w14:textId="77777777" w:rsidR="007A668C" w:rsidRPr="00C673EE" w:rsidRDefault="007A668C" w:rsidP="00C673EE">
      <w:pPr>
        <w:pStyle w:val="Prrafodelista"/>
        <w:spacing w:line="360" w:lineRule="auto"/>
        <w:ind w:left="1440" w:right="34"/>
        <w:jc w:val="both"/>
        <w:rPr>
          <w:rFonts w:ascii="Palatino Linotype" w:hAnsi="Palatino Linotype" w:cs="Arial"/>
          <w:i/>
          <w:sz w:val="24"/>
        </w:rPr>
      </w:pPr>
      <w:r w:rsidRPr="00C673EE">
        <w:rPr>
          <w:rFonts w:ascii="Palatino Linotype" w:hAnsi="Palatino Linotype"/>
          <w:i/>
        </w:rPr>
        <w:t>…”</w:t>
      </w:r>
    </w:p>
    <w:p w14:paraId="25EAA5D5" w14:textId="77777777" w:rsidR="000363C0" w:rsidRPr="00C673EE" w:rsidRDefault="000363C0" w:rsidP="00C673EE">
      <w:pPr>
        <w:pStyle w:val="Prrafodelista"/>
        <w:spacing w:line="360" w:lineRule="auto"/>
        <w:ind w:left="1440" w:right="34"/>
        <w:jc w:val="both"/>
        <w:rPr>
          <w:rFonts w:ascii="Palatino Linotype" w:hAnsi="Palatino Linotype" w:cs="Arial"/>
          <w:sz w:val="24"/>
        </w:rPr>
      </w:pPr>
    </w:p>
    <w:p w14:paraId="35E89553" w14:textId="77777777" w:rsidR="00207D17" w:rsidRPr="00C673EE" w:rsidRDefault="00207D17" w:rsidP="00C673EE">
      <w:pPr>
        <w:pStyle w:val="Prrafodelista"/>
        <w:numPr>
          <w:ilvl w:val="0"/>
          <w:numId w:val="2"/>
        </w:numPr>
        <w:tabs>
          <w:tab w:val="left" w:pos="284"/>
        </w:tabs>
        <w:spacing w:line="360" w:lineRule="auto"/>
        <w:ind w:left="0" w:firstLine="0"/>
        <w:jc w:val="both"/>
        <w:rPr>
          <w:rFonts w:ascii="Palatino Linotype" w:hAnsi="Palatino Linotype"/>
          <w:b/>
          <w:i/>
          <w:sz w:val="24"/>
        </w:rPr>
      </w:pPr>
      <w:r w:rsidRPr="00C673EE">
        <w:rPr>
          <w:rFonts w:ascii="Palatino Linotype" w:hAnsi="Palatino Linotype" w:cs="Arial"/>
          <w:sz w:val="24"/>
        </w:rPr>
        <w:t>Derivado de la respuesta, el</w:t>
      </w:r>
      <w:r w:rsidRPr="00C673EE">
        <w:rPr>
          <w:rFonts w:ascii="Palatino Linotype" w:hAnsi="Palatino Linotype" w:cs="Arial"/>
          <w:sz w:val="24"/>
          <w:lang w:val="es-ES"/>
        </w:rPr>
        <w:t xml:space="preserve"> </w:t>
      </w:r>
      <w:r w:rsidR="007A668C" w:rsidRPr="00C673EE">
        <w:rPr>
          <w:rFonts w:ascii="Palatino Linotype" w:hAnsi="Palatino Linotype" w:cs="Arial"/>
          <w:sz w:val="24"/>
          <w:lang w:val="es-ES"/>
        </w:rPr>
        <w:t>veintiséis (26) de octubre</w:t>
      </w:r>
      <w:r w:rsidRPr="00C673EE">
        <w:rPr>
          <w:rFonts w:ascii="Palatino Linotype" w:hAnsi="Palatino Linotype" w:cs="Arial"/>
          <w:sz w:val="24"/>
          <w:lang w:val="es-ES"/>
        </w:rPr>
        <w:t xml:space="preserve"> de dos mil veintiuno, el particular interpuso el recurso de revisión señalando como:</w:t>
      </w:r>
    </w:p>
    <w:p w14:paraId="36B56CCA" w14:textId="77777777" w:rsidR="00207D17" w:rsidRPr="00C673EE" w:rsidRDefault="00207D17" w:rsidP="00C673EE">
      <w:pPr>
        <w:pStyle w:val="Prrafodelista"/>
        <w:tabs>
          <w:tab w:val="left" w:pos="284"/>
        </w:tabs>
        <w:spacing w:line="360" w:lineRule="auto"/>
        <w:ind w:left="0"/>
        <w:jc w:val="both"/>
        <w:rPr>
          <w:rFonts w:ascii="Palatino Linotype" w:hAnsi="Palatino Linotype"/>
          <w:b/>
          <w:i/>
          <w:sz w:val="10"/>
          <w:szCs w:val="22"/>
        </w:rPr>
      </w:pPr>
    </w:p>
    <w:p w14:paraId="691B60D7" w14:textId="77777777" w:rsidR="00207D17" w:rsidRPr="00C673EE" w:rsidRDefault="00207D17" w:rsidP="00C673EE">
      <w:pPr>
        <w:pStyle w:val="Prrafodelista"/>
        <w:tabs>
          <w:tab w:val="left" w:pos="426"/>
          <w:tab w:val="left" w:pos="993"/>
        </w:tabs>
        <w:spacing w:line="360" w:lineRule="auto"/>
        <w:ind w:left="1004"/>
        <w:jc w:val="both"/>
        <w:rPr>
          <w:rFonts w:ascii="Palatino Linotype" w:hAnsi="Palatino Linotype" w:cs="Arial"/>
          <w:lang w:val="es-ES"/>
        </w:rPr>
      </w:pPr>
      <w:r w:rsidRPr="00C673EE">
        <w:rPr>
          <w:rFonts w:ascii="Palatino Linotype" w:hAnsi="Palatino Linotype" w:cs="Arial"/>
          <w:b/>
          <w:lang w:val="es-ES"/>
        </w:rPr>
        <w:t>Acto impugnado:</w:t>
      </w:r>
      <w:r w:rsidRPr="00C673EE">
        <w:rPr>
          <w:rFonts w:ascii="Palatino Linotype" w:hAnsi="Palatino Linotype" w:cs="Arial"/>
          <w:lang w:val="es-ES"/>
        </w:rPr>
        <w:t xml:space="preserve"> “</w:t>
      </w:r>
      <w:r w:rsidR="007A668C" w:rsidRPr="00C673EE">
        <w:rPr>
          <w:rFonts w:ascii="Palatino Linotype" w:hAnsi="Palatino Linotype" w:cs="Arial"/>
          <w:i/>
        </w:rPr>
        <w:t>El oficio de fecha 22 de octubre de 2021, por medio del cual el sujeto obligado pretende justificar su omisión al no dar respuesta a la solicitud con el número de folio 00563/METEPEC/IP/2021</w:t>
      </w:r>
      <w:r w:rsidRPr="00C673EE">
        <w:rPr>
          <w:rFonts w:ascii="Palatino Linotype" w:hAnsi="Palatino Linotype" w:cs="Arial"/>
          <w:i/>
          <w:lang w:val="es-ES"/>
        </w:rPr>
        <w:t>”</w:t>
      </w:r>
      <w:r w:rsidRPr="00C673EE">
        <w:rPr>
          <w:rFonts w:ascii="Palatino Linotype" w:hAnsi="Palatino Linotype" w:cs="Arial"/>
          <w:lang w:val="es-ES"/>
        </w:rPr>
        <w:t xml:space="preserve"> (Sic).</w:t>
      </w:r>
    </w:p>
    <w:p w14:paraId="5A5F01AE" w14:textId="77777777" w:rsidR="00207D17" w:rsidRPr="00C673EE" w:rsidRDefault="00207D17" w:rsidP="00C673EE">
      <w:pPr>
        <w:pStyle w:val="Prrafodelista"/>
        <w:tabs>
          <w:tab w:val="left" w:pos="426"/>
          <w:tab w:val="left" w:pos="993"/>
        </w:tabs>
        <w:spacing w:line="360" w:lineRule="auto"/>
        <w:ind w:left="567"/>
        <w:jc w:val="both"/>
        <w:rPr>
          <w:rFonts w:ascii="Palatino Linotype" w:hAnsi="Palatino Linotype" w:cs="Arial"/>
          <w:lang w:val="es-ES"/>
        </w:rPr>
      </w:pPr>
    </w:p>
    <w:p w14:paraId="09D0476E" w14:textId="77777777" w:rsidR="00207D17" w:rsidRPr="00C673EE" w:rsidRDefault="00207D17" w:rsidP="00C673EE">
      <w:pPr>
        <w:pStyle w:val="Prrafodelista"/>
        <w:tabs>
          <w:tab w:val="left" w:pos="426"/>
          <w:tab w:val="left" w:pos="993"/>
        </w:tabs>
        <w:spacing w:line="360" w:lineRule="auto"/>
        <w:ind w:left="1004"/>
        <w:jc w:val="both"/>
        <w:rPr>
          <w:rFonts w:ascii="Palatino Linotype" w:hAnsi="Palatino Linotype" w:cs="Arial"/>
          <w:lang w:val="es-ES"/>
        </w:rPr>
      </w:pPr>
      <w:r w:rsidRPr="00C673EE">
        <w:rPr>
          <w:rFonts w:ascii="Palatino Linotype" w:hAnsi="Palatino Linotype" w:cs="Arial"/>
          <w:b/>
          <w:lang w:val="es-ES"/>
        </w:rPr>
        <w:t>Razones o motivos de inconformidad:</w:t>
      </w:r>
      <w:r w:rsidRPr="00C673EE">
        <w:rPr>
          <w:rFonts w:ascii="Palatino Linotype" w:hAnsi="Palatino Linotype" w:cs="Arial"/>
          <w:lang w:val="es-ES"/>
        </w:rPr>
        <w:t xml:space="preserve"> “</w:t>
      </w:r>
      <w:r w:rsidR="007A668C" w:rsidRPr="00C673EE">
        <w:rPr>
          <w:rFonts w:ascii="Palatino Linotype" w:hAnsi="Palatino Linotype" w:cs="Arial"/>
          <w:i/>
        </w:rPr>
        <w:t xml:space="preserve">Se interpone el recurso de revisión en contra de la negativa a la respuesta vertida en el oficio de fecha 22 de octubre de 2021 en razón de lo siguiente: ÚNICO: El sujeto obligado es omiso al dar respuesta a la solicitud marcada con el número de folio00563/METEPEC/IP/2021, violentando el derecho al acceso a la información pública en tenor de lo previsto por el artículo 6 Constitucional mismo que se cita para mayores referencias: Artículo 6. La manifestación de las ideas no será objeto de ninguna inquisición judicial o administrativa, sino en el caso de que ataque a la moral, la </w:t>
      </w:r>
      <w:r w:rsidR="007A668C" w:rsidRPr="00C673EE">
        <w:rPr>
          <w:rFonts w:ascii="Palatino Linotype" w:hAnsi="Palatino Linotype" w:cs="Arial"/>
          <w:i/>
        </w:rPr>
        <w:lastRenderedPageBreak/>
        <w:t xml:space="preserve">vida privada o los derechos de terceros, provoque algún delito, o perturbe el orden público; el derecho de réplica será ejercido en los términos dispuestos por la ley. El derecho a la información será garantizado por el Estado. (…) Para efectos de lo dispuesto en el presente artículo se observará lo siguiente: A. Para el ejercicio del derecho de acceso a la información, la Federación y las entidades federativas, en el ámbito de sus respectivas competencias, se regirán por los siguientes principios y bases: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 VI. Las leyes determinarán la manera en que los sujetos obligados deberán hacer pública la información relativa a los recursos públicos que entreguen a personas físicas o morales. Lo anterior en relación a los artículos 4, 12 y 24 último párrafo de la Ley de Transparencia y Acceso a la Información Pública del Estado de México y Municipios, haciendo énfasis en lo siguiente: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“Artículo 12. Quienes generen, recopilen, administren, manejen, procesen, archiven o conserven </w:t>
      </w:r>
      <w:r w:rsidR="007A668C" w:rsidRPr="00C673EE">
        <w:rPr>
          <w:rFonts w:ascii="Palatino Linotype" w:hAnsi="Palatino Linotype" w:cs="Arial"/>
          <w:i/>
        </w:rPr>
        <w:lastRenderedPageBreak/>
        <w:t xml:space="preserve">información pública serán responsables de la misma en los términos de las disposiciones jurídicas aplicables. Los sujetos obligados sólo proporcionarán la información pública que se les requiera y que obre en sus archivos y en el estado en que ésta se encuentre.” Artículo 24. … Los sujetos obligados solo proporcionarán la información pública que generen, administren o posean en el ejercicio de sus atribuciones.” (SIC) Los numerales previamente transcritos hacen referencia a que el solicitante, “tiene que el derecho de acceso a la información pública, lo que consiste en solicitar la información en posesión de la autoridad municipal en los términos que obre dentro de sus archivos; esto es; no se tiene el deber de procesarla o resumirla, ni realizar cálculos o investigaciones, en la intención de dar respuesta”. Tomando a consideración el criterio 03/17 emitido por el Instituto Nacional de Transparencia, Acceso a la Información y Protección de Datos Personales (INAI), en el que se menciona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Lo que, si bien es cierto, los sujetos obligados sólo proporcionarán la información pública que se les requiera y que obre en sus archivos y en el estado en que ésta se encuentre, esto atendiendo a lo establecido por el artículo 12 la Ley de Transparencia y Acceso a la Información Pública del Estado de México y Municipios transcrito previamente. Lo anterior con la finalidad de no violentar el derecho humano que nos ocupa. En ese orden de ideas y atendiendo a lo mencionado en el párrafo que antecede, se hace referencia a que el Ayuntamiento de Metepec </w:t>
      </w:r>
      <w:proofErr w:type="spellStart"/>
      <w:r w:rsidR="007A668C" w:rsidRPr="00C673EE">
        <w:rPr>
          <w:rFonts w:ascii="Palatino Linotype" w:hAnsi="Palatino Linotype" w:cs="Arial"/>
          <w:i/>
        </w:rPr>
        <w:t>esta</w:t>
      </w:r>
      <w:proofErr w:type="spellEnd"/>
      <w:r w:rsidR="007A668C" w:rsidRPr="00C673EE">
        <w:rPr>
          <w:rFonts w:ascii="Palatino Linotype" w:hAnsi="Palatino Linotype" w:cs="Arial"/>
          <w:i/>
        </w:rPr>
        <w:t xml:space="preserve"> conformado atendiendo a lo dispuesto por el artículo 35 del Bando Municipal del mismo, el cual refiere: “ARTÍCULO 35.- La Administración Pública Centralizada, es una forma de organización de la Administración Pública del Municipio, la cual se integra por: I. Secretaría del Ayuntamiento; II. Tesorería; III. Contraloría Municipal; IV. Consejería Jurídica Municipal; V. Direcciones de: a) Administración;” Dependencias que tienen sus atribuciones conferidas </w:t>
      </w:r>
      <w:r w:rsidR="007A668C" w:rsidRPr="00C673EE">
        <w:rPr>
          <w:rFonts w:ascii="Palatino Linotype" w:hAnsi="Palatino Linotype" w:cs="Arial"/>
          <w:i/>
        </w:rPr>
        <w:lastRenderedPageBreak/>
        <w:t xml:space="preserve">en lo que respecta al pago de finiquitos en los artículos 3.47, 3.48 fracción XXXIII y 3.82 fracción VI del Código de Reglamentación Municipal de Metepec, Estado de México, que se transcriben en la parte que interesa como sigue: “Artículo 3.47.- La Tesorería Municipal es la encargada de conducir la disciplina presupuestal del Municipio y coordinar las diferentes fuentes de captación, en coordinación con las entidades federales, estatales y municipales, buscando lograr la realización de los objetivos contemplados en el Plan de Desarrollo Municipal, a través de una adecuada integración del presupuesto de ingresos y egresos del Municipio, para la correcta administración de la hacienda municipal.” “Artículo 3. 48.- Además de las previstas en la Ley Orgánica y en la legislación fiscal para los Municipios, son atribuciones de la Tesorería Municipal las siguientes: (…) XXXIII. Evaluar y determinar la programación de los pagos de las obligaciones de acuerdo al flujo de efectivo;” “Artículo 3.82.- La Subdirección de Recursos Humanos, tiene las siguientes atribuciones: (…) VI. Verificar la correcta aplicación en los pagos que se generen por concepto de sueldos y prestaciones, tanto en la elaboración de la nómina como pagos mediante recibo, por concepto de liquidaciones y finiquitos, como cualquier pago realizado por cualquier vía, y que se aplique a través del capítulo 1000; (…) XV. Tramitar los finiquitos a que tengan derecho las y los servidores públicos, conforme a lo dispuesto por la legislación aplicable; (…) XXI. Efectuar los cálculos de los finiquitos conforme a los lineamientos establecidos, previa integración y análisis de la documentación, y en su caso tramitar el pago ante la Tesorería Municipal, así como de aquellos por conceptos de laudos determinados por la autoridad; Atendiendo a los numerales se hace referencia a que dos áreas del Ayuntamiento de Metepec tienen como funciones el verificar la correcta aplicación de pagos en el caso que nos interesa el finiquito (la Subdirección de Recursos Humanos) y tramitar los pagos a que tengan derechos las y los servidores públicos (la Tesorería Municipal). En ese entendido es, el sujeto obligado infiere que en sus archivos no se encuentra la información sobre la solicitud realizada pero conforme a lo que respecta a sus atribuciones previamente citadas, así como a lo dispuesto por el artículo 12 la Ley de Transparencia y Acceso a la Información Pública del </w:t>
      </w:r>
      <w:r w:rsidR="007A668C" w:rsidRPr="00C673EE">
        <w:rPr>
          <w:rFonts w:ascii="Palatino Linotype" w:hAnsi="Palatino Linotype" w:cs="Arial"/>
          <w:i/>
        </w:rPr>
        <w:lastRenderedPageBreak/>
        <w:t xml:space="preserve">Estado de México y Municipios, el sujeto obligado debe informar el estado en que guarda la información que se solicitó debido a que la misma se trata de información pública y esta obra en sus archivos, toda vez que el ahora solicitante fue dado de baja en marzo del 2021 y solicitó el pago de su finiquito en fecha 24 de junio del mismo año (lo cual se acredito con el documento adjunto a la solicitud) y con forme a la ley laboral aplicable debió entregar en un lapso no mayor a 15 días, aunado a que los documentos relativos a su renuncia y pago del finiquito obran en los archivos del H. Ayuntamiento de Metepec en las áreas previamente señaladas. Sirve de sustento a lo anterior, lo dispuesto por el artículo 6 Constitucional el cual refiere que toda la información en posesión de cualquier autoridad, entidad, órgano y organismo federal, estatal y municipal es pública; en la interpretación de este derecho deberá prevalecer el principio de máxima publicidad. A través del ejercicio del derecho de acceso a la información pública, los titulares del mismo pueden solicitar la información referente de todos y cada uno de los documentos que en ejercicio de sus atribuciones generen y que reflejen precisamente la toma de decisiones de los sujetos obligados o de aquéllos que por cualquier concepto reciban, administren o apliquen recursos públicos. Atendiendo a que la solicitud fue la siguiente: “Solicito me sea informado la fecha en que me será entregado mi finiquito, debido a que en diversas ocasiones me apersone en la Dirección de Administración y la Tesorería Municipal y me dan evasivas sobre la situación en la que se encuentra, no obstante que se solicitó previamente por oficio. Se adjunta evidencia.” Atendiendo a esto no se </w:t>
      </w:r>
      <w:proofErr w:type="spellStart"/>
      <w:r w:rsidR="007A668C" w:rsidRPr="00C673EE">
        <w:rPr>
          <w:rFonts w:ascii="Palatino Linotype" w:hAnsi="Palatino Linotype" w:cs="Arial"/>
          <w:i/>
        </w:rPr>
        <w:t>esta</w:t>
      </w:r>
      <w:proofErr w:type="spellEnd"/>
      <w:r w:rsidR="007A668C" w:rsidRPr="00C673EE">
        <w:rPr>
          <w:rFonts w:ascii="Palatino Linotype" w:hAnsi="Palatino Linotype" w:cs="Arial"/>
          <w:i/>
        </w:rPr>
        <w:t xml:space="preserve"> solicitando la entrega del finiquito si no que, se informe la fecha en que será entregado o en caso diverso lo previsto por el artículo 12 de la Ley de Transparencia y Acceso a la Información Pública del Estado de México, esto es, se informe el estado que guarda en los archivos de las áreas correspondientes la situación en la que se encuentra el finiquito del ahora solicitante. En este punto resulta oportuno mencionar que la referencia que ocupa el sujeto obligado hacia el derecho de petición carece de fundamentación y motivación, en razón de que el derecho de petición “es el derecho que pertenece al individuo de dirigir a los órganos o agentes públicos un escrito exponiendo opiniones, demandas o quejas” (León, Duguit). En </w:t>
      </w:r>
      <w:r w:rsidR="007A668C" w:rsidRPr="00C673EE">
        <w:rPr>
          <w:rFonts w:ascii="Palatino Linotype" w:hAnsi="Palatino Linotype" w:cs="Arial"/>
          <w:i/>
        </w:rPr>
        <w:lastRenderedPageBreak/>
        <w:t>la solicitud que se atienden solo se requiere información que guarda el finiquito en los archivos del sujeto obligado, por lo que su argumento sobre el derecho de petición debe ser desestimado de plano. Concluyendo así que el sujeto obligado, resulta ser omiso al brindar la información correspondiente al estatus del finiquito o en su caso la fecha en que se entregaría el mismo. En ese entendido el sujeto obligado, al no dar respuesta a la solicitud del peticionario violenta el derecho de acceso a la información pública, debido a que tiene el deber de informar el estatus en el que se encuentre aquella información que tengan en su poder, como resultado de las actividades que desempeñan. POR LO ANTERIORMENTE EXPUESTO Y FUNDADO, A USTEDES ATENTAMENTE PIDO SE SIRVAN: PRIMERO. Se me tenga por presentado en tiempo y forma, interponiendo el presente recurso en contra se la respuesta identificada con el número de folio SEGUNDO. Proveer conforme a derecho.</w:t>
      </w:r>
      <w:r w:rsidRPr="00C673EE">
        <w:rPr>
          <w:rFonts w:ascii="Palatino Linotype" w:hAnsi="Palatino Linotype" w:cs="Arial"/>
          <w:i/>
          <w:lang w:val="es-ES"/>
        </w:rPr>
        <w:t>”</w:t>
      </w:r>
      <w:r w:rsidRPr="00C673EE">
        <w:rPr>
          <w:rFonts w:ascii="Palatino Linotype" w:hAnsi="Palatino Linotype" w:cs="Arial"/>
          <w:lang w:val="es-ES"/>
        </w:rPr>
        <w:t xml:space="preserve"> (Sic).</w:t>
      </w:r>
    </w:p>
    <w:p w14:paraId="16510AEC" w14:textId="77777777" w:rsidR="00207D17" w:rsidRPr="00C673EE" w:rsidRDefault="00207D17" w:rsidP="00C673EE">
      <w:pPr>
        <w:spacing w:line="360" w:lineRule="auto"/>
        <w:ind w:left="360" w:right="34"/>
        <w:jc w:val="both"/>
        <w:rPr>
          <w:rStyle w:val="Ttulo2Car"/>
          <w:rFonts w:ascii="Palatino Linotype" w:hAnsi="Palatino Linotype"/>
          <w:b/>
          <w:lang w:val="es-ES"/>
        </w:rPr>
      </w:pPr>
    </w:p>
    <w:p w14:paraId="3E1CCFE8" w14:textId="77777777" w:rsidR="00207D17" w:rsidRPr="00C673EE" w:rsidRDefault="00207D17" w:rsidP="00C673EE">
      <w:pPr>
        <w:pStyle w:val="Prrafodelista"/>
        <w:numPr>
          <w:ilvl w:val="0"/>
          <w:numId w:val="2"/>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C673EE">
        <w:rPr>
          <w:rFonts w:ascii="Palatino Linotype" w:eastAsia="Calibri" w:hAnsi="Palatino Linotype" w:cs="Arial"/>
          <w:sz w:val="24"/>
          <w:lang w:val="es-ES"/>
        </w:rPr>
        <w:t xml:space="preserve">Se registró el recurso de revisión bajo el número de expediente al rubro indicado, asimismo, con fundamento en lo dispuesto por el artículo 185 fracción I de la </w:t>
      </w:r>
      <w:r w:rsidRPr="00C673EE">
        <w:rPr>
          <w:rFonts w:ascii="Palatino Linotype" w:eastAsia="Calibri" w:hAnsi="Palatino Linotype" w:cs="Arial"/>
          <w:b/>
          <w:sz w:val="24"/>
          <w:lang w:val="es-ES"/>
        </w:rPr>
        <w:t>Ley de Transparencia y Acceso a la Información Pública del Estado de México y Municipios</w:t>
      </w:r>
      <w:r w:rsidRPr="00C673EE">
        <w:rPr>
          <w:rFonts w:ascii="Palatino Linotype" w:eastAsia="Calibri" w:hAnsi="Palatino Linotype" w:cs="Arial"/>
          <w:sz w:val="24"/>
          <w:lang w:val="es-ES"/>
        </w:rPr>
        <w:t xml:space="preserve">, se turnó a la </w:t>
      </w:r>
      <w:r w:rsidRPr="00C673EE">
        <w:rPr>
          <w:rFonts w:ascii="Palatino Linotype" w:eastAsia="Calibri" w:hAnsi="Palatino Linotype" w:cs="Arial"/>
          <w:b/>
          <w:sz w:val="24"/>
          <w:lang w:val="es-ES"/>
        </w:rPr>
        <w:t xml:space="preserve">Comisionada </w:t>
      </w:r>
      <w:r w:rsidR="007A668C" w:rsidRPr="00C673EE">
        <w:rPr>
          <w:rFonts w:ascii="Palatino Linotype" w:eastAsia="Calibri" w:hAnsi="Palatino Linotype" w:cs="Arial"/>
          <w:b/>
          <w:sz w:val="24"/>
          <w:lang w:val="es-ES"/>
        </w:rPr>
        <w:t>María del Rosario Mejía Ayala</w:t>
      </w:r>
      <w:r w:rsidRPr="00C673EE">
        <w:rPr>
          <w:rFonts w:ascii="Palatino Linotype" w:eastAsia="Calibri" w:hAnsi="Palatino Linotype" w:cs="Arial"/>
          <w:sz w:val="24"/>
          <w:lang w:val="es-ES"/>
        </w:rPr>
        <w:t>, con el objeto de su análisis.</w:t>
      </w:r>
    </w:p>
    <w:p w14:paraId="7260DEC1" w14:textId="77777777" w:rsidR="00207D17" w:rsidRPr="00C673EE" w:rsidRDefault="00207D17" w:rsidP="00C673EE">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14:paraId="094E8C66" w14:textId="77777777" w:rsidR="00207D17" w:rsidRPr="00C673EE" w:rsidRDefault="00207D17" w:rsidP="00C673EE">
      <w:pPr>
        <w:pStyle w:val="Prrafodelista"/>
        <w:numPr>
          <w:ilvl w:val="0"/>
          <w:numId w:val="2"/>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C673EE">
        <w:rPr>
          <w:rFonts w:ascii="Palatino Linotype" w:eastAsia="Calibri" w:hAnsi="Palatino Linotype" w:cs="Arial"/>
          <w:sz w:val="24"/>
          <w:lang w:val="es-ES"/>
        </w:rPr>
        <w:t xml:space="preserve">El Comisionado Ponente, con fundamento en lo dispuesto por el artículo 185 fracción II de la ley de la materia, a través del acuerdo de admisión de </w:t>
      </w:r>
      <w:r w:rsidR="007A668C" w:rsidRPr="00C673EE">
        <w:rPr>
          <w:rFonts w:ascii="Palatino Linotype" w:eastAsia="Calibri" w:hAnsi="Palatino Linotype" w:cs="Arial"/>
          <w:sz w:val="24"/>
          <w:lang w:val="es-ES"/>
        </w:rPr>
        <w:t>veintinueve (29) de octubre</w:t>
      </w:r>
      <w:r w:rsidRPr="00C673EE">
        <w:rPr>
          <w:rFonts w:ascii="Palatino Linotype" w:eastAsia="Calibri" w:hAnsi="Palatino Linotype" w:cs="Arial"/>
          <w:sz w:val="24"/>
          <w:lang w:val="es-ES"/>
        </w:rPr>
        <w:t xml:space="preserve"> de dos mil v</w:t>
      </w:r>
      <w:r w:rsidR="007A668C" w:rsidRPr="00C673EE">
        <w:rPr>
          <w:rFonts w:ascii="Palatino Linotype" w:eastAsia="Calibri" w:hAnsi="Palatino Linotype" w:cs="Arial"/>
          <w:sz w:val="24"/>
          <w:lang w:val="es-ES"/>
        </w:rPr>
        <w:t>eintiuno</w:t>
      </w:r>
      <w:r w:rsidRPr="00C673EE">
        <w:rPr>
          <w:rFonts w:ascii="Palatino Linotype" w:eastAsia="Calibri" w:hAnsi="Palatino Linotype" w:cs="Arial"/>
          <w:sz w:val="24"/>
          <w:lang w:val="es-ES"/>
        </w:rPr>
        <w:t xml:space="preserve">, puso a disposición de las partes el expediente electrónico </w:t>
      </w:r>
      <w:r w:rsidRPr="00C673EE">
        <w:rPr>
          <w:rFonts w:ascii="Palatino Linotype" w:eastAsia="Calibri" w:hAnsi="Palatino Linotype" w:cs="Arial"/>
          <w:sz w:val="24"/>
        </w:rPr>
        <w:t xml:space="preserve">vía </w:t>
      </w:r>
      <w:r w:rsidRPr="00C673EE">
        <w:rPr>
          <w:rFonts w:ascii="Palatino Linotype" w:eastAsia="Calibri" w:hAnsi="Palatino Linotype" w:cs="Arial"/>
          <w:sz w:val="24"/>
          <w:lang w:val="es-ES"/>
        </w:rPr>
        <w:t xml:space="preserve">Sistema de Acceso a la Información Mexiquense </w:t>
      </w:r>
      <w:r w:rsidRPr="00C673EE">
        <w:rPr>
          <w:rFonts w:ascii="Palatino Linotype" w:eastAsia="Calibri" w:hAnsi="Palatino Linotype" w:cs="Arial"/>
          <w:b/>
          <w:sz w:val="24"/>
          <w:lang w:val="es-ES"/>
        </w:rPr>
        <w:t xml:space="preserve">SAIMEX </w:t>
      </w:r>
      <w:r w:rsidRPr="00C673EE">
        <w:rPr>
          <w:rFonts w:ascii="Palatino Linotype" w:eastAsia="Calibri" w:hAnsi="Palatino Linotype" w:cs="Arial"/>
          <w:sz w:val="24"/>
          <w:lang w:val="es-ES"/>
        </w:rPr>
        <w:t xml:space="preserve">a efecto de que en un plazo máximo de siete días manifestaran lo que a su derecho conviniera, ofrecieran pruebas y alegatos según correspondiera a los casos concretos, de esta forma para que el </w:t>
      </w:r>
      <w:r w:rsidRPr="00C673EE">
        <w:rPr>
          <w:rFonts w:ascii="Palatino Linotype" w:eastAsia="Calibri" w:hAnsi="Palatino Linotype" w:cs="Arial"/>
          <w:b/>
          <w:sz w:val="24"/>
          <w:lang w:val="es-ES"/>
        </w:rPr>
        <w:t>SUJETO OBLIGADO</w:t>
      </w:r>
      <w:r w:rsidRPr="00C673EE">
        <w:rPr>
          <w:rFonts w:ascii="Palatino Linotype" w:eastAsia="Calibri" w:hAnsi="Palatino Linotype" w:cs="Arial"/>
          <w:sz w:val="24"/>
          <w:lang w:val="es-ES"/>
        </w:rPr>
        <w:t xml:space="preserve"> presentara el Informe Justificado procedente.</w:t>
      </w:r>
      <w:bookmarkStart w:id="4" w:name="_Toc461555889"/>
      <w:bookmarkStart w:id="5" w:name="_Toc466371858"/>
    </w:p>
    <w:p w14:paraId="256CE951" w14:textId="77777777" w:rsidR="007A668C" w:rsidRPr="00C673EE" w:rsidRDefault="007A668C" w:rsidP="00C673EE">
      <w:pPr>
        <w:pStyle w:val="Prrafodelista"/>
        <w:numPr>
          <w:ilvl w:val="0"/>
          <w:numId w:val="2"/>
        </w:numPr>
        <w:tabs>
          <w:tab w:val="left" w:pos="426"/>
        </w:tabs>
        <w:spacing w:line="360" w:lineRule="auto"/>
        <w:ind w:left="0" w:firstLine="0"/>
        <w:jc w:val="both"/>
        <w:rPr>
          <w:rFonts w:ascii="Palatino Linotype" w:hAnsi="Palatino Linotype"/>
          <w:sz w:val="24"/>
        </w:rPr>
      </w:pPr>
      <w:r w:rsidRPr="00C673EE">
        <w:rPr>
          <w:rFonts w:ascii="Palatino Linotype" w:hAnsi="Palatino Linotype"/>
          <w:sz w:val="24"/>
        </w:rPr>
        <w:lastRenderedPageBreak/>
        <w:t xml:space="preserve">De las constancias que obran en el expediente electrónico SAIMEX, se observa que el Sujeto Obligado no emitió informe justificado, por su parte la RECURRENTE realizó manifestaciones a las cuales adjunto el documento </w:t>
      </w:r>
      <w:hyperlink r:id="rId9" w:history="1">
        <w:r w:rsidRPr="00C673EE">
          <w:rPr>
            <w:rStyle w:val="Hipervnculo"/>
            <w:rFonts w:ascii="Palatino Linotype" w:eastAsiaTheme="majorEastAsia" w:hAnsi="Palatino Linotype" w:cs="Arial"/>
            <w:b/>
            <w:bCs/>
            <w:color w:val="auto"/>
            <w:sz w:val="24"/>
          </w:rPr>
          <w:t>ALEGATOS KSG.pdf</w:t>
        </w:r>
      </w:hyperlink>
      <w:r w:rsidRPr="00C673EE">
        <w:rPr>
          <w:rFonts w:ascii="Palatino Linotype" w:hAnsi="Palatino Linotype"/>
          <w:sz w:val="24"/>
        </w:rPr>
        <w:t>, de fecha dieciocho de noviembre, con sus alegatos.</w:t>
      </w:r>
    </w:p>
    <w:p w14:paraId="5E3F8E1C" w14:textId="77777777" w:rsidR="007A668C" w:rsidRPr="00C673EE" w:rsidRDefault="007A668C" w:rsidP="00C673EE">
      <w:pPr>
        <w:pStyle w:val="Prrafodelista"/>
        <w:tabs>
          <w:tab w:val="left" w:pos="426"/>
        </w:tabs>
        <w:spacing w:line="360" w:lineRule="auto"/>
        <w:ind w:left="0"/>
        <w:jc w:val="both"/>
        <w:rPr>
          <w:rFonts w:ascii="Palatino Linotype" w:hAnsi="Palatino Linotype"/>
          <w:sz w:val="24"/>
        </w:rPr>
      </w:pPr>
    </w:p>
    <w:p w14:paraId="473B9F2A" w14:textId="77777777" w:rsidR="00207D17" w:rsidRPr="00C673EE" w:rsidRDefault="00207D17" w:rsidP="00C673EE">
      <w:pPr>
        <w:pStyle w:val="Prrafodelista"/>
        <w:numPr>
          <w:ilvl w:val="0"/>
          <w:numId w:val="2"/>
        </w:numPr>
        <w:tabs>
          <w:tab w:val="left" w:pos="426"/>
        </w:tabs>
        <w:spacing w:line="360" w:lineRule="auto"/>
        <w:ind w:left="0" w:firstLine="0"/>
        <w:jc w:val="both"/>
        <w:rPr>
          <w:rFonts w:ascii="Palatino Linotype" w:hAnsi="Palatino Linotype"/>
          <w:sz w:val="24"/>
        </w:rPr>
      </w:pPr>
      <w:r w:rsidRPr="00C673EE">
        <w:rPr>
          <w:rFonts w:ascii="Palatino Linotype" w:eastAsia="Calibri" w:hAnsi="Palatino Linotype" w:cs="Arial"/>
          <w:sz w:val="24"/>
        </w:rPr>
        <w:t>E</w:t>
      </w:r>
      <w:r w:rsidRPr="00C673EE">
        <w:rPr>
          <w:rFonts w:ascii="Palatino Linotype" w:eastAsia="Calibri" w:hAnsi="Palatino Linotype" w:cs="Arial"/>
          <w:sz w:val="24"/>
          <w:lang w:val="es-ES"/>
        </w:rPr>
        <w:t>l</w:t>
      </w:r>
      <w:r w:rsidRPr="00C673EE">
        <w:rPr>
          <w:rFonts w:ascii="Palatino Linotype" w:hAnsi="Palatino Linotype"/>
          <w:sz w:val="24"/>
        </w:rPr>
        <w:t xml:space="preserve"> Comisionado Ponente decretó el cierre del periodo de instrucción</w:t>
      </w:r>
      <w:r w:rsidRPr="00C673EE">
        <w:rPr>
          <w:rFonts w:ascii="Palatino Linotype" w:hAnsi="Palatino Linotype" w:cs="Arial"/>
          <w:sz w:val="24"/>
        </w:rPr>
        <w:t xml:space="preserve"> </w:t>
      </w:r>
      <w:r w:rsidRPr="00C673EE">
        <w:rPr>
          <w:rFonts w:ascii="Palatino Linotype" w:hAnsi="Palatino Linotype"/>
          <w:sz w:val="24"/>
        </w:rPr>
        <w:t xml:space="preserve">mediante acuerdo de </w:t>
      </w:r>
      <w:r w:rsidR="00812CDC" w:rsidRPr="00C673EE">
        <w:rPr>
          <w:rFonts w:ascii="Palatino Linotype" w:hAnsi="Palatino Linotype"/>
          <w:sz w:val="24"/>
        </w:rPr>
        <w:t xml:space="preserve">seis de diciembre </w:t>
      </w:r>
      <w:r w:rsidRPr="00C673EE">
        <w:rPr>
          <w:rFonts w:ascii="Palatino Linotype" w:hAnsi="Palatino Linotype"/>
          <w:sz w:val="24"/>
        </w:rPr>
        <w:t xml:space="preserve"> de dos mil veintiuno.</w:t>
      </w:r>
    </w:p>
    <w:p w14:paraId="5555E3AD" w14:textId="77777777" w:rsidR="00812CDC" w:rsidRPr="00C673EE" w:rsidRDefault="00812CDC" w:rsidP="00C673EE">
      <w:pPr>
        <w:pStyle w:val="Prrafodelista"/>
        <w:tabs>
          <w:tab w:val="left" w:pos="426"/>
        </w:tabs>
        <w:spacing w:line="360" w:lineRule="auto"/>
        <w:ind w:left="0"/>
        <w:jc w:val="both"/>
        <w:rPr>
          <w:rFonts w:ascii="Palatino Linotype" w:hAnsi="Palatino Linotype"/>
          <w:sz w:val="24"/>
        </w:rPr>
      </w:pPr>
    </w:p>
    <w:p w14:paraId="5B0C4062" w14:textId="77777777" w:rsidR="00812CDC" w:rsidRPr="00C673EE" w:rsidRDefault="00812CDC" w:rsidP="00C673EE">
      <w:pPr>
        <w:pStyle w:val="Prrafodelista"/>
        <w:numPr>
          <w:ilvl w:val="0"/>
          <w:numId w:val="2"/>
        </w:numPr>
        <w:spacing w:line="360" w:lineRule="auto"/>
        <w:ind w:left="0" w:firstLine="0"/>
        <w:jc w:val="both"/>
        <w:rPr>
          <w:rFonts w:ascii="Palatino Linotype" w:eastAsia="Calibri" w:hAnsi="Palatino Linotype" w:cs="Arial"/>
          <w:sz w:val="24"/>
          <w:lang w:val="es-ES"/>
        </w:rPr>
      </w:pPr>
      <w:r w:rsidRPr="00C673EE">
        <w:rPr>
          <w:rFonts w:ascii="Palatino Linotype" w:eastAsia="Calibri" w:hAnsi="Palatino Linotype" w:cs="Arial"/>
          <w:sz w:val="24"/>
          <w:lang w:val="es-ES"/>
        </w:rPr>
        <w:t>El veintiuno (21) de diciembre  de dos mil veintiuno, se notificó mediante acuerdo, que el plazo para resolver el recurso de revisión, se ampliaría por un periodo de quince días hábiles.</w:t>
      </w:r>
    </w:p>
    <w:p w14:paraId="000ED5F5" w14:textId="77777777" w:rsidR="00207D17" w:rsidRPr="00C673EE" w:rsidRDefault="00207D17" w:rsidP="00C673EE">
      <w:pPr>
        <w:pStyle w:val="Prrafodelista"/>
        <w:spacing w:line="360" w:lineRule="auto"/>
        <w:ind w:left="0" w:right="48"/>
        <w:jc w:val="both"/>
        <w:rPr>
          <w:rFonts w:ascii="Palatino Linotype" w:hAnsi="Palatino Linotype"/>
          <w:b/>
          <w:sz w:val="24"/>
        </w:rPr>
      </w:pPr>
    </w:p>
    <w:p w14:paraId="5432D020" w14:textId="77777777" w:rsidR="00207D17" w:rsidRPr="00C673EE" w:rsidRDefault="00207D17" w:rsidP="00C673EE">
      <w:pPr>
        <w:pStyle w:val="Ttulo2"/>
        <w:spacing w:before="0" w:line="360" w:lineRule="auto"/>
        <w:jc w:val="center"/>
        <w:rPr>
          <w:rFonts w:ascii="Palatino Linotype" w:hAnsi="Palatino Linotype"/>
          <w:b/>
          <w:color w:val="000000" w:themeColor="text1"/>
          <w:sz w:val="24"/>
        </w:rPr>
      </w:pPr>
      <w:bookmarkStart w:id="6" w:name="_Toc81233124"/>
      <w:r w:rsidRPr="00C673EE">
        <w:rPr>
          <w:rFonts w:ascii="Palatino Linotype" w:hAnsi="Palatino Linotype"/>
          <w:b/>
          <w:color w:val="000000" w:themeColor="text1"/>
          <w:sz w:val="24"/>
        </w:rPr>
        <w:t>CONSIDERANDO</w:t>
      </w:r>
      <w:bookmarkEnd w:id="4"/>
      <w:bookmarkEnd w:id="5"/>
      <w:bookmarkEnd w:id="6"/>
    </w:p>
    <w:p w14:paraId="3C673757" w14:textId="77777777" w:rsidR="00207D17" w:rsidRPr="00C673EE" w:rsidRDefault="00207D17" w:rsidP="00C673EE">
      <w:pPr>
        <w:spacing w:line="360" w:lineRule="auto"/>
        <w:rPr>
          <w:rFonts w:ascii="Palatino Linotype" w:hAnsi="Palatino Linotype"/>
          <w:lang w:eastAsia="en-US"/>
        </w:rPr>
      </w:pPr>
    </w:p>
    <w:p w14:paraId="5EC2D24E" w14:textId="77777777" w:rsidR="00207D17" w:rsidRPr="00C673EE" w:rsidRDefault="00207D17" w:rsidP="00C673EE">
      <w:pPr>
        <w:pStyle w:val="Ttulo2"/>
        <w:spacing w:before="0" w:line="360" w:lineRule="auto"/>
        <w:rPr>
          <w:rFonts w:ascii="Palatino Linotype" w:hAnsi="Palatino Linotype"/>
          <w:b/>
          <w:color w:val="auto"/>
          <w:sz w:val="24"/>
        </w:rPr>
      </w:pPr>
      <w:bookmarkStart w:id="7" w:name="_Toc461555890"/>
      <w:bookmarkStart w:id="8" w:name="_Toc466371859"/>
      <w:bookmarkStart w:id="9" w:name="_Toc81233125"/>
      <w:r w:rsidRPr="00C673EE">
        <w:rPr>
          <w:rFonts w:ascii="Palatino Linotype" w:hAnsi="Palatino Linotype"/>
          <w:b/>
          <w:color w:val="auto"/>
          <w:sz w:val="24"/>
        </w:rPr>
        <w:t>PRIMERO. De la competencia</w:t>
      </w:r>
      <w:bookmarkEnd w:id="7"/>
      <w:bookmarkEnd w:id="8"/>
      <w:bookmarkEnd w:id="9"/>
    </w:p>
    <w:p w14:paraId="730AE209" w14:textId="77777777" w:rsidR="00207D17" w:rsidRPr="00C673EE" w:rsidRDefault="00207D17" w:rsidP="00C673EE">
      <w:pPr>
        <w:spacing w:line="360" w:lineRule="auto"/>
        <w:rPr>
          <w:rFonts w:ascii="Palatino Linotype" w:hAnsi="Palatino Linotype"/>
          <w:lang w:eastAsia="en-US"/>
        </w:rPr>
      </w:pPr>
    </w:p>
    <w:p w14:paraId="038E5C19" w14:textId="77777777" w:rsidR="00812CDC" w:rsidRPr="00C673EE" w:rsidRDefault="00812CDC" w:rsidP="00C673EE">
      <w:pPr>
        <w:numPr>
          <w:ilvl w:val="0"/>
          <w:numId w:val="2"/>
        </w:numPr>
        <w:spacing w:line="360" w:lineRule="auto"/>
        <w:ind w:left="0" w:firstLine="0"/>
        <w:jc w:val="both"/>
        <w:rPr>
          <w:rFonts w:ascii="Palatino Linotype" w:eastAsia="Calibri" w:hAnsi="Palatino Linotype"/>
          <w:b/>
          <w:lang w:val="es-ES"/>
        </w:rPr>
      </w:pPr>
      <w:r w:rsidRPr="00C673EE">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C673EE">
        <w:rPr>
          <w:rFonts w:ascii="Palatino Linotype" w:eastAsia="Calibri" w:hAnsi="Palatino Linotype"/>
          <w:b/>
          <w:lang w:val="es-ES"/>
        </w:rPr>
        <w:t>Constitución Política de los Estados Unidos Mexicanos</w:t>
      </w:r>
      <w:r w:rsidRPr="00C673EE">
        <w:rPr>
          <w:rFonts w:ascii="Palatino Linotype" w:eastAsia="Calibri" w:hAnsi="Palatino Linotype"/>
          <w:lang w:val="es-ES"/>
        </w:rPr>
        <w:t xml:space="preserve">; 5, párrafos trigésimo, trigésimo primero y trigésimo segundo, fracciones IV y V, de la </w:t>
      </w:r>
      <w:r w:rsidRPr="00C673EE">
        <w:rPr>
          <w:rFonts w:ascii="Palatino Linotype" w:eastAsia="Calibri" w:hAnsi="Palatino Linotype"/>
          <w:b/>
          <w:lang w:val="es-ES"/>
        </w:rPr>
        <w:t>Constitución Política del Estado Libre y Soberano de México</w:t>
      </w:r>
      <w:r w:rsidRPr="00C673EE">
        <w:rPr>
          <w:rFonts w:ascii="Palatino Linotype" w:eastAsia="Calibri" w:hAnsi="Palatino Linotype"/>
          <w:lang w:val="es-ES"/>
        </w:rPr>
        <w:t xml:space="preserve">; artículos 1, 2 fracción II, 13, 29, 36 fracciones I y II, 176, 178, 179, 181 párrafo tercero y 185 de la </w:t>
      </w:r>
      <w:r w:rsidRPr="00C673EE">
        <w:rPr>
          <w:rFonts w:ascii="Palatino Linotype" w:eastAsia="Calibri" w:hAnsi="Palatino Linotype"/>
          <w:b/>
          <w:lang w:val="es-ES"/>
        </w:rPr>
        <w:t>Ley de Transparencia y Acceso a la Información Pública del Estado de México y Municipios</w:t>
      </w:r>
      <w:r w:rsidRPr="00C673EE">
        <w:rPr>
          <w:rFonts w:ascii="Palatino Linotype" w:eastAsia="Calibri" w:hAnsi="Palatino Linotype"/>
          <w:lang w:val="es-ES"/>
        </w:rPr>
        <w:t xml:space="preserve">; y 10, 7, 9 fracciones I y XXIV, y 11 del </w:t>
      </w:r>
      <w:r w:rsidRPr="00C673EE">
        <w:rPr>
          <w:rFonts w:ascii="Palatino Linotype" w:eastAsia="Calibri" w:hAnsi="Palatino Linotype"/>
          <w:b/>
          <w:lang w:val="es-ES"/>
        </w:rPr>
        <w:t xml:space="preserve">Reglamento Interior del Instituto </w:t>
      </w:r>
      <w:r w:rsidRPr="00C673EE">
        <w:rPr>
          <w:rFonts w:ascii="Palatino Linotype" w:eastAsia="Calibri" w:hAnsi="Palatino Linotype"/>
          <w:b/>
          <w:lang w:val="es-ES"/>
        </w:rPr>
        <w:lastRenderedPageBreak/>
        <w:t>de Transparencia, Acceso a la Información Pública y Protección de Datos Personales del Estado de México y Municipios.</w:t>
      </w:r>
    </w:p>
    <w:p w14:paraId="076FE30F" w14:textId="77777777" w:rsidR="00207D17" w:rsidRPr="00C673EE" w:rsidRDefault="00207D17" w:rsidP="00C673EE">
      <w:pPr>
        <w:pStyle w:val="Prrafodelista"/>
        <w:tabs>
          <w:tab w:val="left" w:pos="284"/>
          <w:tab w:val="left" w:pos="426"/>
        </w:tabs>
        <w:spacing w:line="360" w:lineRule="auto"/>
        <w:ind w:left="0"/>
        <w:jc w:val="both"/>
        <w:rPr>
          <w:rFonts w:ascii="Palatino Linotype" w:eastAsia="Calibri" w:hAnsi="Palatino Linotype"/>
          <w:b/>
          <w:lang w:val="es-ES"/>
        </w:rPr>
      </w:pPr>
    </w:p>
    <w:p w14:paraId="6A665DDC" w14:textId="77777777" w:rsidR="00207D17" w:rsidRDefault="00207D17" w:rsidP="00C673EE">
      <w:pPr>
        <w:pStyle w:val="Ttulo2"/>
        <w:tabs>
          <w:tab w:val="left" w:pos="284"/>
          <w:tab w:val="left" w:pos="426"/>
        </w:tabs>
        <w:spacing w:before="0" w:line="360" w:lineRule="auto"/>
        <w:rPr>
          <w:rFonts w:ascii="Palatino Linotype" w:hAnsi="Palatino Linotype"/>
          <w:b/>
          <w:color w:val="auto"/>
          <w:sz w:val="24"/>
        </w:rPr>
      </w:pPr>
      <w:bookmarkStart w:id="10" w:name="_Toc461555891"/>
      <w:bookmarkStart w:id="11" w:name="_Toc466371860"/>
      <w:bookmarkStart w:id="12" w:name="_Toc81233126"/>
      <w:r w:rsidRPr="00C673EE">
        <w:rPr>
          <w:rFonts w:ascii="Palatino Linotype" w:hAnsi="Palatino Linotype"/>
          <w:b/>
          <w:color w:val="auto"/>
          <w:sz w:val="24"/>
        </w:rPr>
        <w:t>SEGUNDO. De la oportunidad y procedencia.</w:t>
      </w:r>
      <w:bookmarkEnd w:id="10"/>
      <w:bookmarkEnd w:id="11"/>
      <w:bookmarkEnd w:id="12"/>
    </w:p>
    <w:p w14:paraId="742BAF97" w14:textId="77777777" w:rsidR="00C673EE" w:rsidRPr="00C673EE" w:rsidRDefault="00C673EE" w:rsidP="00C673EE">
      <w:pPr>
        <w:rPr>
          <w:lang w:eastAsia="en-US"/>
        </w:rPr>
      </w:pPr>
    </w:p>
    <w:p w14:paraId="4AFC188F" w14:textId="77777777" w:rsidR="00207D17" w:rsidRPr="00C673EE" w:rsidRDefault="00207D17"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bCs/>
        </w:rPr>
      </w:pPr>
      <w:r w:rsidRPr="00C673EE">
        <w:rPr>
          <w:rFonts w:ascii="Palatino Linotype" w:eastAsia="Calibri" w:hAnsi="Palatino Linotype" w:cs="Arial"/>
          <w:sz w:val="24"/>
        </w:rPr>
        <w:t xml:space="preserve">El medio de impugnación fue presentado a través del </w:t>
      </w:r>
      <w:r w:rsidRPr="00C673EE">
        <w:rPr>
          <w:rFonts w:ascii="Palatino Linotype" w:eastAsia="Calibri" w:hAnsi="Palatino Linotype" w:cs="Arial"/>
          <w:b/>
          <w:sz w:val="24"/>
        </w:rPr>
        <w:t>SAIMEX</w:t>
      </w:r>
      <w:r w:rsidRPr="00C673EE">
        <w:rPr>
          <w:rFonts w:ascii="Palatino Linotype" w:eastAsia="Calibri" w:hAnsi="Palatino Linotype" w:cs="Arial"/>
          <w:sz w:val="24"/>
        </w:rPr>
        <w:t xml:space="preserve"> en el formato previamente aprobado para tal efecto y dentro del plazo legal de quince días hábiles otorgados; siendo así que el </w:t>
      </w:r>
      <w:r w:rsidRPr="00C673EE">
        <w:rPr>
          <w:rFonts w:ascii="Palatino Linotype" w:eastAsia="Calibri" w:hAnsi="Palatino Linotype" w:cs="Arial"/>
          <w:b/>
          <w:sz w:val="24"/>
        </w:rPr>
        <w:t>SUJETO OBLIGADO</w:t>
      </w:r>
      <w:r w:rsidRPr="00C673EE">
        <w:rPr>
          <w:rFonts w:ascii="Palatino Linotype" w:eastAsia="Calibri" w:hAnsi="Palatino Linotype" w:cs="Arial"/>
          <w:sz w:val="24"/>
        </w:rPr>
        <w:t xml:space="preserve"> entregó respuesta el </w:t>
      </w:r>
      <w:r w:rsidR="00896EBF">
        <w:rPr>
          <w:rFonts w:ascii="Palatino Linotype" w:eastAsia="Calibri" w:hAnsi="Palatino Linotype" w:cs="Arial"/>
          <w:sz w:val="24"/>
        </w:rPr>
        <w:t>veinticinco (25) de octubre</w:t>
      </w:r>
      <w:r w:rsidRPr="00C673EE">
        <w:rPr>
          <w:rFonts w:ascii="Palatino Linotype" w:eastAsia="Calibri" w:hAnsi="Palatino Linotype" w:cs="Arial"/>
          <w:sz w:val="24"/>
        </w:rPr>
        <w:t xml:space="preserve"> de dos mil veintiuno, </w:t>
      </w:r>
      <w:r w:rsidRPr="00C673EE">
        <w:rPr>
          <w:rFonts w:ascii="Palatino Linotype" w:hAnsi="Palatino Linotype" w:cs="Arial"/>
          <w:sz w:val="24"/>
        </w:rPr>
        <w:t xml:space="preserve">de tal forma que el plazo para interponer el recurso de revisión transcurrió del </w:t>
      </w:r>
      <w:r w:rsidR="00896EBF">
        <w:rPr>
          <w:rFonts w:ascii="Palatino Linotype" w:hAnsi="Palatino Linotype" w:cs="Arial"/>
          <w:sz w:val="24"/>
        </w:rPr>
        <w:t>veintiséis (26) de octubre</w:t>
      </w:r>
      <w:r w:rsidRPr="00C673EE">
        <w:rPr>
          <w:rFonts w:ascii="Palatino Linotype" w:hAnsi="Palatino Linotype" w:cs="Arial"/>
          <w:sz w:val="24"/>
        </w:rPr>
        <w:t xml:space="preserve">  al </w:t>
      </w:r>
      <w:r w:rsidR="00896EBF">
        <w:rPr>
          <w:rFonts w:ascii="Palatino Linotype" w:hAnsi="Palatino Linotype" w:cs="Arial"/>
          <w:sz w:val="24"/>
        </w:rPr>
        <w:t xml:space="preserve">diecisiete (17) de noviembre </w:t>
      </w:r>
      <w:r w:rsidRPr="00C673EE">
        <w:rPr>
          <w:rFonts w:ascii="Palatino Linotype" w:hAnsi="Palatino Linotype" w:cs="Arial"/>
          <w:sz w:val="24"/>
        </w:rPr>
        <w:t xml:space="preserve"> de dos mil veintiuno; en consecuencia, presentó su inconformidad el doce </w:t>
      </w:r>
      <w:r w:rsidR="00896EBF">
        <w:rPr>
          <w:rFonts w:ascii="Palatino Linotype" w:hAnsi="Palatino Linotype" w:cs="Arial"/>
          <w:sz w:val="24"/>
        </w:rPr>
        <w:t>veintiséis de octubre</w:t>
      </w:r>
      <w:r w:rsidRPr="00C673EE">
        <w:rPr>
          <w:rFonts w:ascii="Palatino Linotype" w:hAnsi="Palatino Linotype" w:cs="Arial"/>
          <w:sz w:val="24"/>
        </w:rPr>
        <w:t xml:space="preserve"> de dos mil veintiuno,  </w:t>
      </w:r>
      <w:r w:rsidRPr="00C673EE">
        <w:rPr>
          <w:rFonts w:ascii="Palatino Linotype" w:eastAsiaTheme="minorEastAsia" w:hAnsi="Palatino Linotype" w:cs="Arial"/>
          <w:sz w:val="24"/>
          <w:lang w:val="es-ES_tradnl" w:eastAsia="es-ES"/>
        </w:rPr>
        <w:t xml:space="preserve">por lo que se encuentra dentro de los márgenes temporales previstos en el artículo 178 de la </w:t>
      </w:r>
      <w:r w:rsidRPr="00C673EE">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C673EE">
        <w:rPr>
          <w:rFonts w:ascii="Palatino Linotype" w:eastAsiaTheme="minorEastAsia" w:hAnsi="Palatino Linotype" w:cs="Arial"/>
          <w:sz w:val="24"/>
          <w:lang w:val="es-ES_tradnl" w:eastAsia="es-ES"/>
        </w:rPr>
        <w:t>vigente.</w:t>
      </w:r>
    </w:p>
    <w:p w14:paraId="44470495" w14:textId="77777777" w:rsidR="00207D17" w:rsidRPr="00C673EE" w:rsidRDefault="00207D17" w:rsidP="00C673EE">
      <w:pPr>
        <w:pStyle w:val="Prrafodelista"/>
        <w:spacing w:line="360" w:lineRule="auto"/>
        <w:ind w:left="0"/>
        <w:rPr>
          <w:rFonts w:ascii="Palatino Linotype" w:eastAsia="Calibri" w:hAnsi="Palatino Linotype" w:cs="Arial"/>
          <w:sz w:val="24"/>
          <w:lang w:val="es-ES_tradnl" w:eastAsia="es-ES"/>
        </w:rPr>
      </w:pPr>
    </w:p>
    <w:p w14:paraId="7387B1C6" w14:textId="77777777" w:rsidR="00207D17" w:rsidRPr="00C673EE" w:rsidRDefault="00207D17" w:rsidP="00C673EE">
      <w:pPr>
        <w:pStyle w:val="Prrafodelista"/>
        <w:numPr>
          <w:ilvl w:val="0"/>
          <w:numId w:val="2"/>
        </w:numPr>
        <w:spacing w:line="360" w:lineRule="auto"/>
        <w:ind w:left="0" w:right="48" w:firstLine="0"/>
        <w:jc w:val="both"/>
        <w:rPr>
          <w:rFonts w:ascii="Palatino Linotype" w:eastAsiaTheme="minorEastAsia" w:hAnsi="Palatino Linotype"/>
          <w:sz w:val="24"/>
          <w:lang w:val="es-ES_tradnl" w:eastAsia="es-ES"/>
        </w:rPr>
      </w:pPr>
      <w:r w:rsidRPr="00C673EE">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7BBFD7B" w14:textId="77777777" w:rsidR="00207D17" w:rsidRPr="00C673EE" w:rsidRDefault="00207D17" w:rsidP="00C673EE">
      <w:pPr>
        <w:pStyle w:val="Prrafodelista"/>
        <w:tabs>
          <w:tab w:val="left" w:pos="284"/>
          <w:tab w:val="left" w:pos="426"/>
        </w:tabs>
        <w:spacing w:line="360" w:lineRule="auto"/>
        <w:ind w:left="0"/>
        <w:rPr>
          <w:rFonts w:ascii="Palatino Linotype" w:hAnsi="Palatino Linotype"/>
        </w:rPr>
      </w:pPr>
    </w:p>
    <w:p w14:paraId="41F81799" w14:textId="77777777" w:rsidR="00207D17" w:rsidRDefault="00207D17" w:rsidP="00C673EE">
      <w:pPr>
        <w:pStyle w:val="Ttulo1"/>
        <w:tabs>
          <w:tab w:val="left" w:pos="284"/>
          <w:tab w:val="left" w:pos="426"/>
        </w:tabs>
        <w:spacing w:before="0" w:line="360" w:lineRule="auto"/>
        <w:rPr>
          <w:rFonts w:ascii="Palatino Linotype" w:hAnsi="Palatino Linotype"/>
          <w:b/>
          <w:color w:val="auto"/>
          <w:sz w:val="24"/>
          <w:szCs w:val="24"/>
        </w:rPr>
      </w:pPr>
      <w:bookmarkStart w:id="13" w:name="_Toc500360400"/>
      <w:bookmarkStart w:id="14" w:name="_Toc81233127"/>
      <w:bookmarkStart w:id="15" w:name="_Toc459174366"/>
      <w:bookmarkStart w:id="16" w:name="_Toc459659884"/>
      <w:bookmarkStart w:id="17" w:name="_Toc461687280"/>
      <w:bookmarkStart w:id="18" w:name="_Toc462771051"/>
      <w:bookmarkStart w:id="19" w:name="_Toc464139201"/>
      <w:bookmarkStart w:id="20" w:name="_Toc495427545"/>
      <w:bookmarkStart w:id="21" w:name="_Toc499296549"/>
      <w:r w:rsidRPr="00C673EE">
        <w:rPr>
          <w:rFonts w:ascii="Palatino Linotype" w:hAnsi="Palatino Linotype"/>
          <w:b/>
          <w:color w:val="auto"/>
          <w:sz w:val="24"/>
          <w:szCs w:val="24"/>
        </w:rPr>
        <w:t>TERCERO. De las causales del sobreseimiento.</w:t>
      </w:r>
      <w:bookmarkEnd w:id="13"/>
      <w:bookmarkEnd w:id="14"/>
    </w:p>
    <w:p w14:paraId="65AE2019" w14:textId="77777777" w:rsidR="00C673EE" w:rsidRPr="00C673EE" w:rsidRDefault="00C673EE" w:rsidP="00C673EE"/>
    <w:p w14:paraId="64123EEA" w14:textId="77777777" w:rsidR="00302FA6" w:rsidRPr="00C673EE" w:rsidRDefault="00207D17"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bookmarkStart w:id="22" w:name="_Toc455991148"/>
      <w:bookmarkStart w:id="23" w:name="_Toc450120669"/>
      <w:bookmarkStart w:id="24" w:name="_Toc461555896"/>
      <w:bookmarkStart w:id="25" w:name="_Toc462154385"/>
      <w:bookmarkStart w:id="26" w:name="_Toc462660376"/>
      <w:bookmarkStart w:id="27" w:name="_Toc462660687"/>
      <w:bookmarkStart w:id="28" w:name="_Toc462660766"/>
      <w:bookmarkStart w:id="29" w:name="_Toc465264624"/>
      <w:bookmarkStart w:id="30" w:name="_Toc465264870"/>
      <w:bookmarkStart w:id="31" w:name="_Toc465266520"/>
      <w:bookmarkStart w:id="32" w:name="_Toc466302258"/>
      <w:bookmarkStart w:id="33" w:name="_Toc466371866"/>
      <w:bookmarkStart w:id="34" w:name="_Toc466371925"/>
      <w:bookmarkStart w:id="35" w:name="_Toc466377654"/>
      <w:bookmarkStart w:id="36" w:name="_Toc478549736"/>
      <w:bookmarkStart w:id="37" w:name="_Toc478572850"/>
      <w:bookmarkStart w:id="38" w:name="_Toc479238537"/>
      <w:bookmarkEnd w:id="15"/>
      <w:bookmarkEnd w:id="16"/>
      <w:bookmarkEnd w:id="17"/>
      <w:bookmarkEnd w:id="18"/>
      <w:bookmarkEnd w:id="19"/>
      <w:bookmarkEnd w:id="20"/>
      <w:bookmarkEnd w:id="21"/>
      <w:r w:rsidRPr="00C673EE">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C673EE">
        <w:rPr>
          <w:rFonts w:ascii="Palatino Linotype" w:eastAsia="Calibri" w:hAnsi="Palatino Linotype" w:cs="Arial"/>
          <w:sz w:val="24"/>
        </w:rPr>
        <w:t>Transparencia, Acceso a la Información Pública del Estado de México y Municipios</w:t>
      </w:r>
      <w:r w:rsidRPr="00C673EE">
        <w:rPr>
          <w:rFonts w:ascii="Palatino Linotype" w:hAnsi="Palatino Linotype" w:cs="Arial"/>
          <w:sz w:val="24"/>
          <w:szCs w:val="23"/>
        </w:rPr>
        <w:t xml:space="preserve">, y determinar la confirmación; revocación o modificación; </w:t>
      </w:r>
      <w:proofErr w:type="spellStart"/>
      <w:r w:rsidRPr="00C673EE">
        <w:rPr>
          <w:rFonts w:ascii="Palatino Linotype" w:hAnsi="Palatino Linotype" w:cs="Arial"/>
          <w:sz w:val="24"/>
          <w:szCs w:val="23"/>
        </w:rPr>
        <w:t>desechamiento</w:t>
      </w:r>
      <w:proofErr w:type="spellEnd"/>
      <w:r w:rsidRPr="00C673EE">
        <w:rPr>
          <w:rFonts w:ascii="Palatino Linotype" w:hAnsi="Palatino Linotype" w:cs="Arial"/>
          <w:sz w:val="24"/>
          <w:szCs w:val="23"/>
        </w:rPr>
        <w:t xml:space="preserve"> </w:t>
      </w:r>
      <w:r w:rsidRPr="00C673EE">
        <w:rPr>
          <w:rFonts w:ascii="Palatino Linotype" w:hAnsi="Palatino Linotype" w:cs="Arial"/>
          <w:sz w:val="24"/>
          <w:szCs w:val="23"/>
        </w:rPr>
        <w:lastRenderedPageBreak/>
        <w:t xml:space="preserve">o </w:t>
      </w:r>
      <w:r w:rsidRPr="00C673EE">
        <w:rPr>
          <w:rFonts w:ascii="Palatino Linotype" w:hAnsi="Palatino Linotype" w:cs="Arial"/>
          <w:b/>
          <w:sz w:val="24"/>
          <w:szCs w:val="23"/>
          <w:u w:val="single"/>
        </w:rPr>
        <w:t>sobreseimiento</w:t>
      </w:r>
      <w:r w:rsidRPr="00C673EE">
        <w:rPr>
          <w:rFonts w:ascii="Palatino Linotype" w:hAnsi="Palatino Linotype" w:cs="Arial"/>
          <w:sz w:val="24"/>
          <w:szCs w:val="23"/>
        </w:rPr>
        <w:t xml:space="preserve">; y, en su caso, ordenar la entrega de la información respecto a la falta de respuesta por parte del </w:t>
      </w:r>
      <w:r w:rsidRPr="00C673EE">
        <w:rPr>
          <w:rFonts w:ascii="Palatino Linotype" w:hAnsi="Palatino Linotype" w:cs="Arial"/>
          <w:b/>
          <w:sz w:val="24"/>
          <w:szCs w:val="23"/>
        </w:rPr>
        <w:t>SUJETO</w:t>
      </w:r>
      <w:r w:rsidRPr="00C673EE">
        <w:rPr>
          <w:rFonts w:ascii="Palatino Linotype" w:hAnsi="Palatino Linotype" w:cs="Arial"/>
          <w:sz w:val="24"/>
          <w:szCs w:val="23"/>
        </w:rPr>
        <w:t xml:space="preserve"> </w:t>
      </w:r>
      <w:r w:rsidRPr="00C673EE">
        <w:rPr>
          <w:rFonts w:ascii="Palatino Linotype" w:hAnsi="Palatino Linotype" w:cs="Arial"/>
          <w:b/>
          <w:sz w:val="24"/>
          <w:szCs w:val="23"/>
        </w:rPr>
        <w:t>OBLIGADO</w:t>
      </w:r>
      <w:r w:rsidRPr="00C673EE">
        <w:rPr>
          <w:rFonts w:ascii="Palatino Linotype" w:hAnsi="Palatino Linotype" w:cs="Arial"/>
          <w:sz w:val="24"/>
          <w:szCs w:val="23"/>
        </w:rPr>
        <w:t>.</w:t>
      </w:r>
    </w:p>
    <w:p w14:paraId="2B047D10" w14:textId="77777777" w:rsidR="000967D3" w:rsidRPr="00C673EE" w:rsidRDefault="000967D3" w:rsidP="00C673EE">
      <w:pPr>
        <w:pStyle w:val="Prrafodelista"/>
        <w:tabs>
          <w:tab w:val="left" w:pos="284"/>
          <w:tab w:val="left" w:pos="426"/>
        </w:tabs>
        <w:spacing w:line="360" w:lineRule="auto"/>
        <w:ind w:left="0" w:right="49"/>
        <w:jc w:val="both"/>
        <w:rPr>
          <w:rFonts w:ascii="Palatino Linotype" w:hAnsi="Palatino Linotype" w:cs="Arial"/>
          <w:sz w:val="24"/>
        </w:rPr>
      </w:pPr>
    </w:p>
    <w:p w14:paraId="663E916C" w14:textId="77777777" w:rsidR="00471AD6" w:rsidRPr="00C673EE" w:rsidRDefault="00037E34"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r w:rsidRPr="00C673EE">
        <w:rPr>
          <w:rFonts w:ascii="Palatino Linotype" w:hAnsi="Palatino Linotype" w:cs="Arial"/>
          <w:sz w:val="24"/>
        </w:rPr>
        <w:t xml:space="preserve">Primeramente debemos recordar que la particular solicitó </w:t>
      </w:r>
      <w:r w:rsidR="00471AD6" w:rsidRPr="00C673EE">
        <w:rPr>
          <w:rFonts w:ascii="Palatino Linotype" w:hAnsi="Palatino Linotype"/>
          <w:i/>
          <w:color w:val="000000"/>
          <w:szCs w:val="22"/>
        </w:rPr>
        <w:t xml:space="preserve">“Solicito se me indique el día que me será entregado mi finiquito ya que ha transcurrido casi 8 meses después de mi baja y no recibo respuesta por parte de la Dirección de Administración ni Tesorería Municipal, adjunto evidencia de que se </w:t>
      </w:r>
      <w:proofErr w:type="spellStart"/>
      <w:r w:rsidR="00471AD6" w:rsidRPr="00C673EE">
        <w:rPr>
          <w:rFonts w:ascii="Palatino Linotype" w:hAnsi="Palatino Linotype"/>
          <w:i/>
          <w:color w:val="000000"/>
          <w:szCs w:val="22"/>
        </w:rPr>
        <w:t>solicito</w:t>
      </w:r>
      <w:proofErr w:type="spellEnd"/>
      <w:r w:rsidR="00471AD6" w:rsidRPr="00C673EE">
        <w:rPr>
          <w:rFonts w:ascii="Palatino Linotype" w:hAnsi="Palatino Linotype"/>
          <w:i/>
          <w:color w:val="000000"/>
          <w:szCs w:val="22"/>
        </w:rPr>
        <w:t xml:space="preserve"> por escrito.</w:t>
      </w:r>
      <w:r w:rsidR="00C27DEF">
        <w:rPr>
          <w:rFonts w:ascii="Palatino Linotype" w:hAnsi="Palatino Linotype"/>
          <w:i/>
          <w:color w:val="000000"/>
        </w:rPr>
        <w:t>”</w:t>
      </w:r>
      <w:r w:rsidR="00C27DEF">
        <w:rPr>
          <w:rFonts w:ascii="Palatino Linotype" w:hAnsi="Palatino Linotype"/>
          <w:color w:val="000000"/>
        </w:rPr>
        <w:t>; asimismo, adjunto a su solicitud un documentos dirigido a la Directora de Administración, con la finalidad de que se dé trámite a su finiquito</w:t>
      </w:r>
    </w:p>
    <w:p w14:paraId="095DC86F" w14:textId="77777777" w:rsidR="005A630D" w:rsidRPr="00C673EE" w:rsidRDefault="005A630D" w:rsidP="00C673EE">
      <w:pPr>
        <w:pStyle w:val="Prrafodelista"/>
        <w:tabs>
          <w:tab w:val="left" w:pos="284"/>
          <w:tab w:val="left" w:pos="426"/>
        </w:tabs>
        <w:spacing w:line="360" w:lineRule="auto"/>
        <w:ind w:left="0" w:right="49"/>
        <w:jc w:val="both"/>
        <w:rPr>
          <w:rFonts w:ascii="Palatino Linotype" w:hAnsi="Palatino Linotype" w:cs="Arial"/>
          <w:sz w:val="24"/>
        </w:rPr>
      </w:pPr>
    </w:p>
    <w:p w14:paraId="6DDF08E3" w14:textId="77777777" w:rsidR="005A630D" w:rsidRPr="00C673EE" w:rsidRDefault="005A630D"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r w:rsidRPr="00C673EE">
        <w:rPr>
          <w:rFonts w:ascii="Palatino Linotype" w:hAnsi="Palatino Linotype" w:cs="Arial"/>
          <w:sz w:val="24"/>
        </w:rPr>
        <w:t>En respuesta, el Sujeto Obligado señaló “</w:t>
      </w:r>
      <w:r w:rsidRPr="00C673EE">
        <w:rPr>
          <w:rFonts w:ascii="Palatino Linotype" w:hAnsi="Palatino Linotype"/>
          <w:i/>
          <w:sz w:val="24"/>
        </w:rPr>
        <w:t>Posterior al análisis correspondiente, se determinó que si bien fundamenta su solicitud en la Ley de Transparencia y Acceso a la Información Pública del Estado de México y Municipios, equivoca el derecho de acceso a la información pública con el de petición, motivo por el cual se debe considerar como necesario señalar que la naturaleza de la atención a las solicitudes de información radica en lo estatuido por el artículo 6º de la Constitución Política de los Estados Unidos Mexicanos, mismo que dispone los principios relativos a la publicidad de la información, así como las restricciones de la misma.”</w:t>
      </w:r>
    </w:p>
    <w:p w14:paraId="2064E002" w14:textId="77777777" w:rsidR="005A630D" w:rsidRPr="00C673EE" w:rsidRDefault="005A630D" w:rsidP="00C673EE">
      <w:pPr>
        <w:pStyle w:val="Prrafodelista"/>
        <w:tabs>
          <w:tab w:val="left" w:pos="284"/>
          <w:tab w:val="left" w:pos="426"/>
        </w:tabs>
        <w:spacing w:line="360" w:lineRule="auto"/>
        <w:ind w:left="0" w:right="49"/>
        <w:jc w:val="both"/>
        <w:rPr>
          <w:rFonts w:ascii="Palatino Linotype" w:hAnsi="Palatino Linotype" w:cs="Arial"/>
          <w:sz w:val="24"/>
        </w:rPr>
      </w:pPr>
    </w:p>
    <w:p w14:paraId="58F263CC" w14:textId="77777777" w:rsidR="005A630D" w:rsidRPr="00C673EE" w:rsidRDefault="005A630D"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i/>
          <w:sz w:val="44"/>
        </w:rPr>
      </w:pPr>
      <w:r w:rsidRPr="00C673EE">
        <w:rPr>
          <w:rFonts w:ascii="Palatino Linotype" w:hAnsi="Palatino Linotype" w:cs="Arial"/>
          <w:sz w:val="24"/>
        </w:rPr>
        <w:t>Inconforme con la respuesta, la particular interpuso recurso de revisión; manifestó en sus motivos de inconformidad lo siguiente: “</w:t>
      </w:r>
      <w:r w:rsidRPr="00C673EE">
        <w:rPr>
          <w:rFonts w:ascii="Palatino Linotype" w:hAnsi="Palatino Linotype"/>
          <w:i/>
          <w:color w:val="000000"/>
          <w:sz w:val="24"/>
          <w:szCs w:val="14"/>
        </w:rPr>
        <w:t xml:space="preserve">ÚNICO: El sujeto obligado es omiso al dar respuesta a la solicitud marcada con el número de folio00563/METEPEC/IP/2021, violentando el derecho al acceso a la información pública en tenor de lo previsto por el artículo 6 Constitucional mismo que se cita para mayores referencias: Artículo 6. La manifestación de las ideas no será objeto de ninguna inquisición judicial o administrativa, sino en el caso de que ataque a la moral, la vida privada o los derechos de </w:t>
      </w:r>
      <w:r w:rsidRPr="00C673EE">
        <w:rPr>
          <w:rFonts w:ascii="Palatino Linotype" w:hAnsi="Palatino Linotype"/>
          <w:i/>
          <w:color w:val="000000"/>
          <w:sz w:val="24"/>
          <w:szCs w:val="14"/>
        </w:rPr>
        <w:lastRenderedPageBreak/>
        <w:t xml:space="preserve">terceros, provoque algún delito, o perturbe el orden público; el derecho de réplica será ejercido en los términos dispuestos por la ley. El derecho a la información será garantizado por el Estado. (…) Para efectos de lo dispuesto en el presente artículo se observará lo siguiente: A. Para el ejercicio del derecho de acceso a la información, la Federación y las entidades federativas, en el ámbito de sus respectivas competencias, se regirán por los siguientes principios y bases: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 VI. Las leyes determinarán la manera en que los sujetos obligados deberán hacer pública la información relativa a los recursos públicos que entreguen a personas físicas o morales. Lo anterior en relación a los artículos 4, 12 y 24 último párrafo de la Ley de Transparencia y Acceso a la Información Pública del Estado de México y Municipios, haciendo énfasis en lo siguiente: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w:t>
      </w:r>
      <w:r w:rsidRPr="00C673EE">
        <w:rPr>
          <w:rFonts w:ascii="Palatino Linotype" w:hAnsi="Palatino Linotype"/>
          <w:i/>
          <w:color w:val="000000"/>
          <w:sz w:val="24"/>
          <w:szCs w:val="14"/>
        </w:rPr>
        <w:lastRenderedPageBreak/>
        <w:t xml:space="preserve">“Artículo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Artículo 24. … Los sujetos obligados solo proporcionarán la información pública que generen, administren o posean en el ejercicio de sus atribuciones.” (SIC) Los numerales previamente transcritos hacen referencia a que el solicitante, “tiene que el derecho de acceso a la información pública, lo que consiste en solicitar la información en posesión de la autoridad municipal en los términos que obre dentro de sus archivos; esto es; no se tiene el deber de procesarla o resumirla, ni realizar cálculos o investigaciones, en la intención de dar respuesta”. Tomando a consideración el criterio 03/17 emitido por el Instituto Nacional de Transparencia, Acceso a la Información y Protección de Datos Personales (INAI), en el que se menciona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Lo que, si bien es cierto, los sujetos obligados sólo proporcionarán la información pública que se les requiera y que obre en sus archivos y en el estado en que ésta se encuentre, esto atendiendo a lo establecido por el artículo 12 la Ley de Transparencia y Acceso a la Información Pública del Estado de México y Municipios transcrito previamente. Lo anterior con la finalidad de no violentar el derecho humano que nos ocupa. En ese orden de ideas y atendiendo a lo mencionado en el párrafo que antecede, se hace referencia a que el Ayuntamiento de Metepec </w:t>
      </w:r>
      <w:proofErr w:type="spellStart"/>
      <w:r w:rsidRPr="00C673EE">
        <w:rPr>
          <w:rFonts w:ascii="Palatino Linotype" w:hAnsi="Palatino Linotype"/>
          <w:i/>
          <w:color w:val="000000"/>
          <w:sz w:val="24"/>
          <w:szCs w:val="14"/>
        </w:rPr>
        <w:t>esta</w:t>
      </w:r>
      <w:proofErr w:type="spellEnd"/>
      <w:r w:rsidRPr="00C673EE">
        <w:rPr>
          <w:rFonts w:ascii="Palatino Linotype" w:hAnsi="Palatino Linotype"/>
          <w:i/>
          <w:color w:val="000000"/>
          <w:sz w:val="24"/>
          <w:szCs w:val="14"/>
        </w:rPr>
        <w:t xml:space="preserve"> conformado atendiendo a lo dispuesto por el artículo 35 del Bando Municipal del mismo, el cual refiere: “ARTÍCULO 35.- La Administración Pública Centralizada, es una forma de organización de la Administración Pública del Municipio, la cual se integra por: I. Secretaría </w:t>
      </w:r>
      <w:r w:rsidRPr="00C673EE">
        <w:rPr>
          <w:rFonts w:ascii="Palatino Linotype" w:hAnsi="Palatino Linotype"/>
          <w:i/>
          <w:color w:val="000000"/>
          <w:sz w:val="24"/>
          <w:szCs w:val="14"/>
        </w:rPr>
        <w:lastRenderedPageBreak/>
        <w:t xml:space="preserve">del Ayuntamiento; II. Tesorería; III. Contraloría Municipal; IV. Consejería Jurídica Municipal; V. Direcciones de: a) Administración;” Dependencias que tienen sus atribuciones conferidas en lo que respecta al pago de finiquitos en los artículos 3.47, 3.48 fracción XXXIII y 3.82 fracción VI del Código de Reglamentación Municipal de Metepec, Estado de México, que se transcriben en la parte que interesa como sigue: “Artículo 3.47.- La Tesorería Municipal es la encargada de conducir la disciplina presupuestal del Municipio y coordinar las diferentes fuentes de captación, en coordinación con las entidades federales, estatales y municipales, buscando lograr la realización de los objetivos contemplados en el Plan de Desarrollo Municipal, a través de una adecuada integración del presupuesto de ingresos y egresos del Municipio, para la correcta administración de la hacienda municipal.” “Artículo 3. 48.- Además de las previstas en la Ley Orgánica y en la legislación fiscal para los Municipios, son atribuciones de la Tesorería Municipal las siguientes: (…) XXXIII. Evaluar y determinar la programación de los pagos de las obligaciones de acuerdo al flujo de efectivo;” “Artículo 3.82.- La Subdirección de Recursos Humanos, tiene las siguientes atribuciones: (…) VI. Verificar la correcta aplicación en los pagos que se generen por concepto de sueldos y prestaciones, tanto en la elaboración de la nómina como pagos mediante recibo, por concepto de liquidaciones y finiquitos, como cualquier pago realizado por cualquier vía, y que se aplique a través del capítulo 1000; (…) XV. Tramitar los finiquitos a que tengan derecho las y los servidores públicos, conforme a lo dispuesto por la legislación aplicable; (…) XXI. Efectuar los cálculos de los finiquitos conforme a los lineamientos establecidos, previa integración y análisis de la documentación, y en su caso tramitar el pago ante la Tesorería Municipal, así como de aquellos por conceptos de laudos determinados por la autoridad; Atendiendo a los numerales se hace referencia a que dos áreas del Ayuntamiento de Metepec tienen como funciones el verificar la correcta aplicación de pagos en el caso que nos interesa el finiquito (la Subdirección de Recursos Humanos) y tramitar los pagos a que tengan derechos las y los servidores públicos (la Tesorería </w:t>
      </w:r>
      <w:r w:rsidRPr="00C673EE">
        <w:rPr>
          <w:rFonts w:ascii="Palatino Linotype" w:hAnsi="Palatino Linotype"/>
          <w:i/>
          <w:color w:val="000000"/>
          <w:sz w:val="24"/>
          <w:szCs w:val="14"/>
        </w:rPr>
        <w:lastRenderedPageBreak/>
        <w:t xml:space="preserve">Municipal). En ese entendido es, el sujeto obligado infiere que en sus archivos no se encuentra la información sobre la solicitud realizada pero conforme a lo que respecta a sus atribuciones previamente citadas, así como a lo dispuesto por el artículo 12 la Ley de Transparencia y Acceso a la Información Pública del Estado de México y Municipios, el sujeto obligado debe informar el estado en que guarda la información que se solicitó debido a que la misma se trata de información pública y esta obra en sus archivos, toda vez que el ahora solicitante fue dado de baja en marzo del 2021 y solicitó el pago de su finiquito en fecha 24 de junio del mismo año (lo cual se acredito con el documento adjunto a la solicitud) y con forme a la ley laboral aplicable debió entregar en un lapso no mayor a 15 días, aunado a que los documentos relativos a su renuncia y pago del finiquito obran en los archivos del H. Ayuntamiento de Metepec en las áreas previamente señaladas. Sirve de sustento a lo anterior, lo dispuesto por el artículo 6 Constitucional el cual refiere que toda la información en posesión de cualquier autoridad, entidad, órgano y organismo federal, estatal y municipal es pública; en la interpretación de este derecho deberá prevalecer el principio de máxima publicidad. A través del ejercicio del derecho de acceso a la información pública, los titulares del mismo pueden solicitar la información referente de todos y cada uno de los documentos que en ejercicio de sus atribuciones generen y que reflejen precisamente la toma de decisiones de los sujetos obligados o de aquéllos que por cualquier concepto reciban, administren o apliquen recursos públicos. Atendiendo a que la solicitud fue la siguiente: “Solicito me sea informado la fecha en que me será entregado mi finiquito, debido a que en diversas ocasiones me apersone en la Dirección de Administración y la Tesorería Municipal y me dan evasivas sobre la situación en la que se encuentra, no obstante que se solicitó previamente por oficio. Se adjunta evidencia.” Atendiendo a esto no se </w:t>
      </w:r>
      <w:proofErr w:type="spellStart"/>
      <w:r w:rsidRPr="00C673EE">
        <w:rPr>
          <w:rFonts w:ascii="Palatino Linotype" w:hAnsi="Palatino Linotype"/>
          <w:i/>
          <w:color w:val="000000"/>
          <w:sz w:val="24"/>
          <w:szCs w:val="14"/>
        </w:rPr>
        <w:t>esta</w:t>
      </w:r>
      <w:proofErr w:type="spellEnd"/>
      <w:r w:rsidRPr="00C673EE">
        <w:rPr>
          <w:rFonts w:ascii="Palatino Linotype" w:hAnsi="Palatino Linotype"/>
          <w:i/>
          <w:color w:val="000000"/>
          <w:sz w:val="24"/>
          <w:szCs w:val="14"/>
        </w:rPr>
        <w:t xml:space="preserve"> solicitando la entrega del finiquito si no que, se informe la fecha en que será entregado o en caso diverso lo previsto por el artículo 12 de la Ley de Transparencia y Acceso a la Información Pública del Estado de México, esto es, se informe el estado que guarda en los archivos de las </w:t>
      </w:r>
      <w:r w:rsidRPr="00C673EE">
        <w:rPr>
          <w:rFonts w:ascii="Palatino Linotype" w:hAnsi="Palatino Linotype"/>
          <w:i/>
          <w:color w:val="000000"/>
          <w:sz w:val="24"/>
          <w:szCs w:val="14"/>
        </w:rPr>
        <w:lastRenderedPageBreak/>
        <w:t>áreas correspondientes la situación en la que se encuentra el finiquito del ahora solicitante. En este punto resulta oportuno mencionar que la referencia que ocupa el sujeto obligado hacia el derecho de petición carece de fundamentación y motivación, en razón de que el derecho de petición “es el derecho que pertenece al individuo de dirigir a los órganos o agentes públicos un escrito exponiendo opiniones, demandas o quejas” (León, Duguit). En la solicitud que se atienden solo se requiere información que guarda el finiquito en los archivos del sujeto obligado, por lo que su argumento sobre el derecho de petición debe ser desestimado de plano. Concluyendo así que el sujeto obligado, resulta ser omiso al brindar la información correspondiente al estatus del finiquito o en su caso la fecha en que se entregaría el mismo. En ese entendido el sujeto obligado, al no dar respuesta a la solicitud del peticionario violenta el derecho de acceso a la información pública, debido a que tiene el deber de informar el estatus en el que se encuentre aquella información que tengan en su poder, como resultado de las actividades que desempeñan. POR LO ANTERIORMENTE EXPUESTO Y FUNDADO, A USTEDES ATENTAMENTE PIDO SE SIRVAN: PRIMERO. Se me tenga por presentado en tiempo y forma, interponiendo el presente recurso en contra se la respuesta identificada con el número de folio SEGUNDO. Proveer conforme a derecho.”</w:t>
      </w:r>
    </w:p>
    <w:p w14:paraId="65EB765A" w14:textId="77777777" w:rsidR="00471AD6" w:rsidRPr="00C673EE" w:rsidRDefault="00471AD6" w:rsidP="00C673EE">
      <w:pPr>
        <w:pStyle w:val="Prrafodelista"/>
        <w:tabs>
          <w:tab w:val="left" w:pos="284"/>
          <w:tab w:val="left" w:pos="426"/>
        </w:tabs>
        <w:spacing w:line="360" w:lineRule="auto"/>
        <w:ind w:left="0" w:right="49"/>
        <w:jc w:val="both"/>
        <w:rPr>
          <w:rFonts w:ascii="Palatino Linotype" w:hAnsi="Palatino Linotype" w:cs="Arial"/>
          <w:sz w:val="24"/>
        </w:rPr>
      </w:pPr>
    </w:p>
    <w:p w14:paraId="15285475" w14:textId="77777777" w:rsidR="005A630D" w:rsidRPr="00C27DEF" w:rsidRDefault="00471AD6"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r w:rsidRPr="00C673EE">
        <w:rPr>
          <w:rFonts w:ascii="Palatino Linotype" w:hAnsi="Palatino Linotype" w:cs="Arial"/>
          <w:sz w:val="24"/>
        </w:rPr>
        <w:t>En este caso, este Órgano Garante</w:t>
      </w:r>
      <w:r w:rsidRPr="00C673EE">
        <w:rPr>
          <w:rFonts w:ascii="Palatino Linotype" w:hAnsi="Palatino Linotype"/>
          <w:color w:val="000000" w:themeColor="text1"/>
          <w:sz w:val="24"/>
        </w:rPr>
        <w:t xml:space="preserve"> advierte que </w:t>
      </w:r>
      <w:r w:rsidR="005A630D" w:rsidRPr="00C673EE">
        <w:rPr>
          <w:rFonts w:ascii="Palatino Linotype" w:hAnsi="Palatino Linotype"/>
          <w:color w:val="000000" w:themeColor="text1"/>
          <w:sz w:val="24"/>
        </w:rPr>
        <w:t xml:space="preserve">las </w:t>
      </w:r>
      <w:r w:rsidRPr="00C673EE">
        <w:rPr>
          <w:rFonts w:ascii="Palatino Linotype" w:hAnsi="Palatino Linotype"/>
          <w:bCs/>
          <w:sz w:val="24"/>
        </w:rPr>
        <w:t xml:space="preserve">manifestaciones </w:t>
      </w:r>
      <w:r w:rsidR="005A630D" w:rsidRPr="00C673EE">
        <w:rPr>
          <w:rFonts w:ascii="Palatino Linotype" w:hAnsi="Palatino Linotype"/>
          <w:bCs/>
          <w:sz w:val="24"/>
        </w:rPr>
        <w:t xml:space="preserve">vertidas por el </w:t>
      </w:r>
      <w:r w:rsidR="005A630D" w:rsidRPr="00C673EE">
        <w:rPr>
          <w:rFonts w:ascii="Palatino Linotype" w:hAnsi="Palatino Linotype"/>
          <w:b/>
          <w:bCs/>
          <w:sz w:val="24"/>
        </w:rPr>
        <w:t>RECURRENTE</w:t>
      </w:r>
      <w:r w:rsidR="005A630D" w:rsidRPr="00C673EE">
        <w:rPr>
          <w:rFonts w:ascii="Palatino Linotype" w:hAnsi="Palatino Linotype"/>
          <w:bCs/>
          <w:sz w:val="24"/>
        </w:rPr>
        <w:t xml:space="preserve"> </w:t>
      </w:r>
      <w:r w:rsidRPr="00C673EE">
        <w:rPr>
          <w:rFonts w:ascii="Palatino Linotype" w:hAnsi="Palatino Linotype"/>
          <w:bCs/>
          <w:sz w:val="24"/>
        </w:rPr>
        <w:t xml:space="preserve">resultan inoperantes en el presente recurso de revisión, cuya solicitud que dio origen al mismo estriba primordialmente en que </w:t>
      </w:r>
      <w:r w:rsidRPr="00C673EE">
        <w:rPr>
          <w:rFonts w:ascii="Palatino Linotype" w:hAnsi="Palatino Linotype"/>
          <w:b/>
          <w:bCs/>
          <w:sz w:val="24"/>
        </w:rPr>
        <w:t xml:space="preserve">EL SUJETO OBLIGADO </w:t>
      </w:r>
      <w:r w:rsidRPr="00C673EE">
        <w:rPr>
          <w:rFonts w:ascii="Palatino Linotype" w:hAnsi="Palatino Linotype"/>
          <w:bCs/>
          <w:sz w:val="24"/>
        </w:rPr>
        <w:t xml:space="preserve">emita un pronunciamiento en relación a un cuestionamiento que le fuera planteado por la solicitante; lo que tampoco constituye un derecho de acceso a la </w:t>
      </w:r>
      <w:r w:rsidRPr="00C673EE">
        <w:rPr>
          <w:rFonts w:ascii="Palatino Linotype" w:hAnsi="Palatino Linotype"/>
          <w:bCs/>
          <w:sz w:val="24"/>
        </w:rPr>
        <w:lastRenderedPageBreak/>
        <w:t>información; sino por el contrario se trata de un derecho de petición consagrado en el numeral 8 de nuestra Carta Magna</w:t>
      </w:r>
      <w:r w:rsidRPr="00C673EE">
        <w:rPr>
          <w:rStyle w:val="Refdenotaalpie"/>
          <w:rFonts w:ascii="Palatino Linotype" w:hAnsi="Palatino Linotype"/>
          <w:bCs/>
          <w:sz w:val="24"/>
        </w:rPr>
        <w:footnoteReference w:id="1"/>
      </w:r>
      <w:r w:rsidRPr="00C673EE">
        <w:rPr>
          <w:rFonts w:ascii="Palatino Linotype" w:hAnsi="Palatino Linotype"/>
          <w:bCs/>
          <w:sz w:val="24"/>
        </w:rPr>
        <w:t>.</w:t>
      </w:r>
    </w:p>
    <w:p w14:paraId="473CC659" w14:textId="77777777" w:rsidR="00C27DEF" w:rsidRPr="00C27DEF" w:rsidRDefault="00C27DEF" w:rsidP="00C27DEF">
      <w:pPr>
        <w:pStyle w:val="Prrafodelista"/>
        <w:tabs>
          <w:tab w:val="left" w:pos="284"/>
          <w:tab w:val="left" w:pos="426"/>
        </w:tabs>
        <w:spacing w:line="360" w:lineRule="auto"/>
        <w:ind w:left="0" w:right="49"/>
        <w:jc w:val="both"/>
        <w:rPr>
          <w:rFonts w:ascii="Palatino Linotype" w:hAnsi="Palatino Linotype" w:cs="Arial"/>
          <w:sz w:val="24"/>
        </w:rPr>
      </w:pPr>
    </w:p>
    <w:p w14:paraId="019226DE" w14:textId="77777777" w:rsidR="00C27DEF" w:rsidRPr="00C673EE" w:rsidRDefault="00025421"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r>
        <w:rPr>
          <w:rFonts w:ascii="Palatino Linotype" w:hAnsi="Palatino Linotype"/>
          <w:bCs/>
          <w:sz w:val="24"/>
        </w:rPr>
        <w:t>Por otro lado, debemos señalar que</w:t>
      </w:r>
      <w:r w:rsidR="00C27DEF">
        <w:rPr>
          <w:rFonts w:ascii="Palatino Linotype" w:hAnsi="Palatino Linotype"/>
          <w:bCs/>
          <w:sz w:val="24"/>
        </w:rPr>
        <w:t xml:space="preserve"> la particular adjunt</w:t>
      </w:r>
      <w:r>
        <w:rPr>
          <w:rFonts w:ascii="Palatino Linotype" w:hAnsi="Palatino Linotype"/>
          <w:bCs/>
          <w:sz w:val="24"/>
        </w:rPr>
        <w:t>ó a su solicitud</w:t>
      </w:r>
      <w:r w:rsidR="00C27DEF">
        <w:rPr>
          <w:rFonts w:ascii="Palatino Linotype" w:hAnsi="Palatino Linotype"/>
          <w:bCs/>
          <w:sz w:val="24"/>
        </w:rPr>
        <w:t xml:space="preserve"> un documento </w:t>
      </w:r>
      <w:r>
        <w:rPr>
          <w:rFonts w:ascii="Palatino Linotype" w:hAnsi="Palatino Linotype"/>
          <w:bCs/>
          <w:sz w:val="24"/>
        </w:rPr>
        <w:t xml:space="preserve">que fue </w:t>
      </w:r>
      <w:r w:rsidR="00C27DEF">
        <w:rPr>
          <w:rFonts w:ascii="Palatino Linotype" w:hAnsi="Palatino Linotype"/>
          <w:bCs/>
          <w:sz w:val="24"/>
        </w:rPr>
        <w:t xml:space="preserve">dirigido a la Directora de administración, con la finalidad </w:t>
      </w:r>
      <w:r>
        <w:rPr>
          <w:rFonts w:ascii="Palatino Linotype" w:hAnsi="Palatino Linotype"/>
          <w:bCs/>
          <w:sz w:val="24"/>
        </w:rPr>
        <w:t>dar</w:t>
      </w:r>
      <w:r w:rsidR="00C27DEF">
        <w:rPr>
          <w:rFonts w:ascii="Palatino Linotype" w:hAnsi="Palatino Linotype"/>
          <w:bCs/>
          <w:sz w:val="24"/>
        </w:rPr>
        <w:t xml:space="preserve"> trámite a su f</w:t>
      </w:r>
      <w:r>
        <w:rPr>
          <w:rFonts w:ascii="Palatino Linotype" w:hAnsi="Palatino Linotype"/>
          <w:bCs/>
          <w:sz w:val="24"/>
        </w:rPr>
        <w:t>iniquito, en este caso, al igual que en la solicitud como en las manifestaciones vertidas por la recurrente en el recuro de revisión, nos encontramos ante un derecho de petición que no puede ser atendido a través del derecho de acceso a la información pública.</w:t>
      </w:r>
    </w:p>
    <w:p w14:paraId="5EE9C0A7" w14:textId="77777777" w:rsidR="00C27DEF" w:rsidRPr="00C27DEF" w:rsidRDefault="00C27DEF" w:rsidP="00C27DEF">
      <w:pPr>
        <w:pStyle w:val="Prrafodelista"/>
        <w:tabs>
          <w:tab w:val="left" w:pos="284"/>
          <w:tab w:val="left" w:pos="426"/>
        </w:tabs>
        <w:spacing w:line="360" w:lineRule="auto"/>
        <w:ind w:left="0" w:right="49"/>
        <w:jc w:val="both"/>
        <w:rPr>
          <w:rFonts w:ascii="Palatino Linotype" w:hAnsi="Palatino Linotype" w:cs="Arial"/>
          <w:sz w:val="24"/>
        </w:rPr>
      </w:pPr>
    </w:p>
    <w:p w14:paraId="4890B4BD" w14:textId="77777777" w:rsidR="005A630D" w:rsidRPr="00C673EE" w:rsidRDefault="005A630D"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r w:rsidRPr="00C673EE">
        <w:rPr>
          <w:rFonts w:ascii="Palatino Linotype" w:eastAsia="MS Mincho" w:hAnsi="Palatino Linotype" w:cs="Arial"/>
          <w:sz w:val="24"/>
          <w:lang w:val="es-ES_tradnl" w:eastAsia="es-ES"/>
        </w:rPr>
        <w:t>Bajo ese contexto, es importante dejar en claro lo que debe entenderse por derecho de petición y por derecho de acceso a la información pública.</w:t>
      </w:r>
    </w:p>
    <w:p w14:paraId="72729571" w14:textId="77777777" w:rsidR="005A630D" w:rsidRPr="00C673EE" w:rsidRDefault="005A630D" w:rsidP="00C673EE">
      <w:pPr>
        <w:pStyle w:val="Prrafodelista"/>
        <w:tabs>
          <w:tab w:val="left" w:pos="284"/>
          <w:tab w:val="left" w:pos="426"/>
        </w:tabs>
        <w:spacing w:line="360" w:lineRule="auto"/>
        <w:ind w:left="0" w:right="49"/>
        <w:jc w:val="both"/>
        <w:rPr>
          <w:rFonts w:ascii="Palatino Linotype" w:hAnsi="Palatino Linotype" w:cs="Arial"/>
          <w:sz w:val="24"/>
        </w:rPr>
      </w:pPr>
    </w:p>
    <w:p w14:paraId="30DC07A3" w14:textId="77777777" w:rsidR="005A630D" w:rsidRPr="00C673EE" w:rsidRDefault="005A630D"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r w:rsidRPr="00C673EE">
        <w:rPr>
          <w:rFonts w:ascii="Palatino Linotype" w:eastAsia="MS Mincho" w:hAnsi="Palatino Linotype" w:cs="Arial"/>
          <w:sz w:val="24"/>
          <w:lang w:val="es-ES_tradnl" w:eastAsia="es-ES"/>
        </w:rPr>
        <w:t xml:space="preserve">Por lo que respecta a la definición de Derecho de Petición, el Maestro Ignacio Burgoa Orihuela refiere: </w:t>
      </w:r>
    </w:p>
    <w:p w14:paraId="041DCE29" w14:textId="77777777" w:rsidR="00C673EE" w:rsidRPr="00C673EE" w:rsidRDefault="00C673EE" w:rsidP="00C673EE">
      <w:pPr>
        <w:pStyle w:val="Prrafodelista"/>
        <w:tabs>
          <w:tab w:val="left" w:pos="284"/>
          <w:tab w:val="left" w:pos="426"/>
        </w:tabs>
        <w:spacing w:line="360" w:lineRule="auto"/>
        <w:ind w:left="0" w:right="49"/>
        <w:jc w:val="both"/>
        <w:rPr>
          <w:rFonts w:ascii="Palatino Linotype" w:hAnsi="Palatino Linotype" w:cs="Arial"/>
          <w:sz w:val="24"/>
        </w:rPr>
      </w:pPr>
    </w:p>
    <w:p w14:paraId="067ABB7D" w14:textId="77777777" w:rsidR="005A630D" w:rsidRDefault="005A630D" w:rsidP="00C673EE">
      <w:pPr>
        <w:autoSpaceDE w:val="0"/>
        <w:autoSpaceDN w:val="0"/>
        <w:adjustRightInd w:val="0"/>
        <w:spacing w:line="360" w:lineRule="auto"/>
        <w:ind w:left="851" w:right="901"/>
        <w:jc w:val="both"/>
        <w:rPr>
          <w:rFonts w:ascii="Palatino Linotype" w:eastAsia="MS Mincho" w:hAnsi="Palatino Linotype" w:cs="Arial"/>
          <w:i/>
          <w:lang w:val="es-ES_tradnl" w:eastAsia="es-ES"/>
        </w:rPr>
      </w:pPr>
      <w:r w:rsidRPr="00C673EE">
        <w:rPr>
          <w:rFonts w:ascii="Palatino Linotype" w:eastAsia="MS Mincho" w:hAnsi="Palatino Linotype" w:cs="Arial"/>
          <w:b/>
          <w:lang w:val="es-ES_tradnl" w:eastAsia="es-ES"/>
        </w:rPr>
        <w:t>“</w:t>
      </w:r>
      <w:r w:rsidRPr="00C673EE">
        <w:rPr>
          <w:rFonts w:ascii="Palatino Linotype" w:eastAsia="MS Mincho" w:hAnsi="Palatino Linotype" w:cs="Arial"/>
          <w:lang w:val="es-ES_tradnl" w:eastAsia="es-ES"/>
        </w:rPr>
        <w:t>…</w:t>
      </w:r>
      <w:r w:rsidRPr="00C673EE">
        <w:rPr>
          <w:rFonts w:ascii="Palatino Linotype" w:eastAsia="MS Mincho" w:hAnsi="Palatino Linotype" w:cs="Arial"/>
          <w:i/>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proofErr w:type="gramStart"/>
      <w:r w:rsidRPr="00C673EE">
        <w:rPr>
          <w:rFonts w:ascii="Palatino Linotype" w:eastAsia="MS Mincho" w:hAnsi="Palatino Linotype" w:cs="Arial"/>
          <w:i/>
          <w:lang w:val="es-ES_tradnl" w:eastAsia="es-ES"/>
        </w:rPr>
        <w:t>.</w:t>
      </w:r>
      <w:r w:rsidRPr="00C673EE">
        <w:rPr>
          <w:rFonts w:ascii="Palatino Linotype" w:eastAsia="MS Mincho" w:hAnsi="Palatino Linotype"/>
          <w:b/>
          <w:i/>
          <w:lang w:val="es-ES_tradnl" w:eastAsia="es-ES"/>
        </w:rPr>
        <w:t>“</w:t>
      </w:r>
      <w:proofErr w:type="gramEnd"/>
      <w:r w:rsidRPr="00C673EE">
        <w:rPr>
          <w:rFonts w:ascii="Palatino Linotype" w:eastAsia="MS Mincho" w:hAnsi="Palatino Linotype" w:cs="Arial"/>
          <w:i/>
          <w:lang w:val="es-ES_tradnl" w:eastAsia="es-ES"/>
        </w:rPr>
        <w:t xml:space="preserve"> (</w:t>
      </w:r>
      <w:proofErr w:type="gramStart"/>
      <w:r w:rsidRPr="00C673EE">
        <w:rPr>
          <w:rFonts w:ascii="Palatino Linotype" w:eastAsia="MS Mincho" w:hAnsi="Palatino Linotype" w:cs="Arial"/>
          <w:i/>
          <w:lang w:val="es-ES_tradnl" w:eastAsia="es-ES"/>
        </w:rPr>
        <w:t>sic</w:t>
      </w:r>
      <w:proofErr w:type="gramEnd"/>
      <w:r w:rsidRPr="00C673EE">
        <w:rPr>
          <w:rFonts w:ascii="Palatino Linotype" w:eastAsia="MS Mincho" w:hAnsi="Palatino Linotype" w:cs="Arial"/>
          <w:i/>
          <w:lang w:val="es-ES_tradnl" w:eastAsia="es-ES"/>
        </w:rPr>
        <w:t>)</w:t>
      </w:r>
    </w:p>
    <w:p w14:paraId="2D774D8E" w14:textId="77777777" w:rsidR="00C673EE" w:rsidRPr="00C673EE" w:rsidRDefault="00C673EE" w:rsidP="00C673EE">
      <w:pPr>
        <w:autoSpaceDE w:val="0"/>
        <w:autoSpaceDN w:val="0"/>
        <w:adjustRightInd w:val="0"/>
        <w:spacing w:line="360" w:lineRule="auto"/>
        <w:ind w:left="851" w:right="901"/>
        <w:jc w:val="both"/>
        <w:rPr>
          <w:rFonts w:ascii="Palatino Linotype" w:eastAsia="MS Mincho" w:hAnsi="Palatino Linotype" w:cs="Arial"/>
          <w:i/>
          <w:lang w:val="es-ES_tradnl" w:eastAsia="es-ES"/>
        </w:rPr>
      </w:pPr>
    </w:p>
    <w:p w14:paraId="54E6FB54" w14:textId="77777777" w:rsidR="005A630D" w:rsidRPr="00C673EE" w:rsidRDefault="005A630D"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r w:rsidRPr="00C673EE">
        <w:rPr>
          <w:rFonts w:ascii="Palatino Linotype" w:eastAsia="MS Mincho" w:hAnsi="Palatino Linotype" w:cs="Arial"/>
          <w:sz w:val="24"/>
          <w:lang w:val="es-ES_tradnl" w:eastAsia="es-ES"/>
        </w:rPr>
        <w:t xml:space="preserve">Por su parte, David Cienfuegos Salgado, concibe al derecho de petición como: </w:t>
      </w:r>
    </w:p>
    <w:p w14:paraId="3C44AEF1" w14:textId="77777777" w:rsidR="00C673EE" w:rsidRPr="00C673EE" w:rsidRDefault="00C673EE" w:rsidP="00C673EE">
      <w:pPr>
        <w:pStyle w:val="Prrafodelista"/>
        <w:tabs>
          <w:tab w:val="left" w:pos="284"/>
          <w:tab w:val="left" w:pos="426"/>
        </w:tabs>
        <w:spacing w:line="360" w:lineRule="auto"/>
        <w:ind w:left="0" w:right="49"/>
        <w:jc w:val="both"/>
        <w:rPr>
          <w:rFonts w:ascii="Palatino Linotype" w:hAnsi="Palatino Linotype" w:cs="Arial"/>
          <w:sz w:val="24"/>
        </w:rPr>
      </w:pPr>
    </w:p>
    <w:p w14:paraId="31F81CD5" w14:textId="77777777" w:rsidR="005A630D" w:rsidRPr="00C673EE" w:rsidRDefault="005A630D" w:rsidP="00C673EE">
      <w:pPr>
        <w:autoSpaceDE w:val="0"/>
        <w:autoSpaceDN w:val="0"/>
        <w:adjustRightInd w:val="0"/>
        <w:spacing w:line="360" w:lineRule="auto"/>
        <w:ind w:left="720" w:right="901"/>
        <w:contextualSpacing/>
        <w:jc w:val="both"/>
        <w:rPr>
          <w:rFonts w:ascii="Palatino Linotype" w:eastAsia="MS Mincho" w:hAnsi="Palatino Linotype" w:cs="Arial"/>
          <w:i/>
          <w:lang w:val="es-ES_tradnl" w:eastAsia="es-ES"/>
        </w:rPr>
      </w:pPr>
      <w:r w:rsidRPr="00C673EE">
        <w:rPr>
          <w:rFonts w:ascii="Palatino Linotype" w:eastAsia="MS Mincho" w:hAnsi="Palatino Linotype" w:cs="Arial"/>
          <w:b/>
          <w:i/>
          <w:lang w:val="es-ES_tradnl" w:eastAsia="es-ES"/>
        </w:rPr>
        <w:t>“</w:t>
      </w:r>
      <w:r w:rsidRPr="00C673EE">
        <w:rPr>
          <w:rFonts w:ascii="Palatino Linotype" w:eastAsia="MS Mincho" w:hAnsi="Palatino Linotype" w:cs="Arial"/>
          <w:i/>
          <w:lang w:val="es-ES_tradnl" w:eastAsia="es-ES"/>
        </w:rPr>
        <w:t>el derecho de toda persona a ser escuchado por quienes ejercen el poder público.</w:t>
      </w:r>
      <w:r w:rsidRPr="00C673EE">
        <w:rPr>
          <w:rFonts w:ascii="Palatino Linotype" w:eastAsia="MS Mincho" w:hAnsi="Palatino Linotype" w:cs="Arial"/>
          <w:b/>
          <w:i/>
          <w:lang w:val="es-ES_tradnl" w:eastAsia="es-ES"/>
        </w:rPr>
        <w:t>”</w:t>
      </w:r>
      <w:r w:rsidRPr="00C673EE">
        <w:rPr>
          <w:rFonts w:ascii="Palatino Linotype" w:eastAsia="MS Mincho" w:hAnsi="Palatino Linotype" w:cs="Arial"/>
          <w:i/>
          <w:lang w:val="es-ES_tradnl" w:eastAsia="es-ES"/>
        </w:rPr>
        <w:t xml:space="preserve"> (</w:t>
      </w:r>
      <w:proofErr w:type="gramStart"/>
      <w:r w:rsidRPr="00C673EE">
        <w:rPr>
          <w:rFonts w:ascii="Palatino Linotype" w:eastAsia="MS Mincho" w:hAnsi="Palatino Linotype" w:cs="Arial"/>
          <w:i/>
          <w:lang w:val="es-ES_tradnl" w:eastAsia="es-ES"/>
        </w:rPr>
        <w:t>sic</w:t>
      </w:r>
      <w:proofErr w:type="gramEnd"/>
      <w:r w:rsidRPr="00C673EE">
        <w:rPr>
          <w:rFonts w:ascii="Palatino Linotype" w:eastAsia="MS Mincho" w:hAnsi="Palatino Linotype" w:cs="Arial"/>
          <w:i/>
          <w:lang w:val="es-ES_tradnl" w:eastAsia="es-ES"/>
        </w:rPr>
        <w:t xml:space="preserve">) </w:t>
      </w:r>
    </w:p>
    <w:p w14:paraId="1676E395" w14:textId="77777777" w:rsidR="005A630D" w:rsidRPr="00C673EE" w:rsidRDefault="005A630D" w:rsidP="00C673EE">
      <w:pPr>
        <w:pStyle w:val="Prrafodelista"/>
        <w:tabs>
          <w:tab w:val="left" w:pos="284"/>
          <w:tab w:val="left" w:pos="426"/>
        </w:tabs>
        <w:spacing w:line="360" w:lineRule="auto"/>
        <w:ind w:left="0" w:right="49"/>
        <w:jc w:val="both"/>
        <w:rPr>
          <w:rFonts w:ascii="Palatino Linotype" w:hAnsi="Palatino Linotype" w:cs="Arial"/>
          <w:sz w:val="24"/>
        </w:rPr>
      </w:pPr>
    </w:p>
    <w:p w14:paraId="6A059A8D" w14:textId="77777777" w:rsidR="00604567" w:rsidRPr="00C673EE" w:rsidRDefault="005A630D"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r w:rsidRPr="00C673EE">
        <w:rPr>
          <w:rFonts w:ascii="Palatino Linotype" w:eastAsia="MS Mincho" w:hAnsi="Palatino Linotype" w:cs="Arial"/>
          <w:sz w:val="24"/>
          <w:lang w:val="es-ES_tradnl" w:eastAsia="es-ES"/>
        </w:rPr>
        <w:t xml:space="preserve">A este respecto, para diferenciar el derecho de petición al derecho de acceso a la información, resulta conducente señalar que José Guadalupe Robles, conceptualiza el derecho a la información como: </w:t>
      </w:r>
    </w:p>
    <w:p w14:paraId="740701BD" w14:textId="77777777" w:rsidR="00604567" w:rsidRPr="00C673EE" w:rsidRDefault="00604567" w:rsidP="00C673EE">
      <w:pPr>
        <w:pStyle w:val="Prrafodelista"/>
        <w:tabs>
          <w:tab w:val="left" w:pos="284"/>
          <w:tab w:val="left" w:pos="426"/>
        </w:tabs>
        <w:spacing w:line="360" w:lineRule="auto"/>
        <w:ind w:left="0" w:right="49"/>
        <w:jc w:val="both"/>
        <w:rPr>
          <w:rFonts w:ascii="Palatino Linotype" w:hAnsi="Palatino Linotype" w:cs="Arial"/>
          <w:sz w:val="24"/>
        </w:rPr>
      </w:pPr>
    </w:p>
    <w:p w14:paraId="4BDAACCA" w14:textId="77777777" w:rsidR="00604567" w:rsidRPr="00C673EE" w:rsidRDefault="00604567" w:rsidP="00C673EE">
      <w:pPr>
        <w:pStyle w:val="Prrafodelista"/>
        <w:tabs>
          <w:tab w:val="left" w:pos="8222"/>
        </w:tabs>
        <w:autoSpaceDE w:val="0"/>
        <w:autoSpaceDN w:val="0"/>
        <w:adjustRightInd w:val="0"/>
        <w:spacing w:line="360" w:lineRule="auto"/>
        <w:ind w:left="851" w:right="822"/>
        <w:jc w:val="both"/>
        <w:rPr>
          <w:rFonts w:ascii="Palatino Linotype" w:eastAsia="MS Mincho" w:hAnsi="Palatino Linotype" w:cs="Arial"/>
          <w:i/>
          <w:lang w:val="es-ES_tradnl" w:eastAsia="es-ES"/>
        </w:rPr>
      </w:pPr>
      <w:r w:rsidRPr="00C673EE">
        <w:rPr>
          <w:rFonts w:ascii="Palatino Linotype" w:eastAsia="MS Mincho" w:hAnsi="Palatino Linotype" w:cs="Arial"/>
          <w:b/>
          <w:i/>
          <w:lang w:val="es-ES_tradnl" w:eastAsia="es-ES"/>
        </w:rPr>
        <w:t>“</w:t>
      </w:r>
      <w:r w:rsidRPr="00C673EE">
        <w:rPr>
          <w:rFonts w:ascii="Palatino Linotype" w:eastAsia="MS Mincho" w:hAnsi="Palatino Linotype" w:cs="Arial"/>
          <w:i/>
          <w:lang w:val="es-ES_tradnl" w:eastAsia="es-ES"/>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C673EE">
        <w:rPr>
          <w:rFonts w:ascii="Palatino Linotype" w:eastAsia="MS Mincho" w:hAnsi="Palatino Linotype" w:cs="Arial"/>
          <w:b/>
          <w:i/>
          <w:lang w:val="es-ES_tradnl" w:eastAsia="es-ES"/>
        </w:rPr>
        <w:t>”</w:t>
      </w:r>
      <w:r w:rsidRPr="00C673EE">
        <w:rPr>
          <w:rFonts w:ascii="Palatino Linotype" w:eastAsia="MS Mincho" w:hAnsi="Palatino Linotype" w:cs="Arial"/>
          <w:i/>
          <w:lang w:val="es-ES_tradnl" w:eastAsia="es-ES"/>
        </w:rPr>
        <w:t xml:space="preserve"> (</w:t>
      </w:r>
      <w:proofErr w:type="gramStart"/>
      <w:r w:rsidRPr="00C673EE">
        <w:rPr>
          <w:rFonts w:ascii="Palatino Linotype" w:eastAsia="MS Mincho" w:hAnsi="Palatino Linotype" w:cs="Arial"/>
          <w:i/>
          <w:lang w:val="es-ES_tradnl" w:eastAsia="es-ES"/>
        </w:rPr>
        <w:t>sic</w:t>
      </w:r>
      <w:proofErr w:type="gramEnd"/>
      <w:r w:rsidRPr="00C673EE">
        <w:rPr>
          <w:rFonts w:ascii="Palatino Linotype" w:eastAsia="MS Mincho" w:hAnsi="Palatino Linotype" w:cs="Arial"/>
          <w:i/>
          <w:lang w:val="es-ES_tradnl" w:eastAsia="es-ES"/>
        </w:rPr>
        <w:t xml:space="preserve">) </w:t>
      </w:r>
    </w:p>
    <w:p w14:paraId="1F23A869" w14:textId="77777777" w:rsidR="00604567" w:rsidRPr="00C673EE" w:rsidRDefault="00604567" w:rsidP="00C673EE">
      <w:pPr>
        <w:pStyle w:val="Prrafodelista"/>
        <w:tabs>
          <w:tab w:val="left" w:pos="284"/>
          <w:tab w:val="left" w:pos="426"/>
        </w:tabs>
        <w:spacing w:line="360" w:lineRule="auto"/>
        <w:ind w:left="0" w:right="49"/>
        <w:jc w:val="both"/>
        <w:rPr>
          <w:rFonts w:ascii="Palatino Linotype" w:hAnsi="Palatino Linotype" w:cs="Arial"/>
          <w:sz w:val="24"/>
        </w:rPr>
      </w:pPr>
    </w:p>
    <w:p w14:paraId="3600949E" w14:textId="77777777" w:rsidR="00604567" w:rsidRPr="00C673EE" w:rsidRDefault="005A630D"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r w:rsidRPr="00C673EE">
        <w:rPr>
          <w:rFonts w:ascii="Palatino Linotype" w:eastAsia="MS Mincho" w:hAnsi="Palatino Linotype" w:cs="Arial"/>
          <w:sz w:val="24"/>
          <w:lang w:val="es-ES_tradnl" w:eastAsia="es-ES"/>
        </w:rPr>
        <w:t xml:space="preserve">Ahora bien, el derecho </w:t>
      </w:r>
      <w:r w:rsidRPr="00C673EE">
        <w:rPr>
          <w:rFonts w:ascii="Palatino Linotype" w:eastAsia="MS Mincho" w:hAnsi="Palatino Linotype"/>
          <w:sz w:val="24"/>
          <w:lang w:val="es-ES_tradnl" w:eastAsia="es-ES"/>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4F524E62" w14:textId="77777777" w:rsidR="00604567" w:rsidRPr="00C673EE" w:rsidRDefault="00604567" w:rsidP="00C673EE">
      <w:pPr>
        <w:pStyle w:val="Prrafodelista"/>
        <w:tabs>
          <w:tab w:val="left" w:pos="284"/>
          <w:tab w:val="left" w:pos="426"/>
        </w:tabs>
        <w:spacing w:line="360" w:lineRule="auto"/>
        <w:ind w:left="0" w:right="49"/>
        <w:jc w:val="both"/>
        <w:rPr>
          <w:rFonts w:ascii="Palatino Linotype" w:hAnsi="Palatino Linotype" w:cs="Arial"/>
          <w:sz w:val="24"/>
        </w:rPr>
      </w:pPr>
    </w:p>
    <w:p w14:paraId="2395EF67" w14:textId="77777777" w:rsidR="00604567" w:rsidRPr="00C673EE" w:rsidRDefault="005A630D"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r w:rsidRPr="00C673EE">
        <w:rPr>
          <w:rFonts w:ascii="Palatino Linotype" w:eastAsia="MS Mincho" w:hAnsi="Palatino Linotype" w:cs="Arial"/>
          <w:sz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A0E082D" w14:textId="77777777" w:rsidR="00604567" w:rsidRPr="00C673EE" w:rsidRDefault="00604567" w:rsidP="00C673EE">
      <w:pPr>
        <w:pStyle w:val="Prrafodelista"/>
        <w:tabs>
          <w:tab w:val="left" w:pos="284"/>
          <w:tab w:val="left" w:pos="426"/>
        </w:tabs>
        <w:spacing w:line="360" w:lineRule="auto"/>
        <w:ind w:left="0" w:right="49"/>
        <w:jc w:val="both"/>
        <w:rPr>
          <w:rFonts w:ascii="Palatino Linotype" w:hAnsi="Palatino Linotype" w:cs="Arial"/>
          <w:sz w:val="24"/>
        </w:rPr>
      </w:pPr>
    </w:p>
    <w:p w14:paraId="175C844F" w14:textId="77777777" w:rsidR="00604567" w:rsidRPr="00C673EE" w:rsidRDefault="005A630D"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r w:rsidRPr="00C673EE">
        <w:rPr>
          <w:rFonts w:ascii="Palatino Linotype" w:eastAsia="MS Mincho" w:hAnsi="Palatino Linotype" w:cs="Arial"/>
          <w:sz w:val="24"/>
          <w:lang w:val="es-ES_tradnl" w:eastAsia="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534C9BFF" w14:textId="77777777" w:rsidR="00604567" w:rsidRPr="00C673EE" w:rsidRDefault="00604567" w:rsidP="00C673EE">
      <w:pPr>
        <w:pStyle w:val="Prrafodelista"/>
        <w:tabs>
          <w:tab w:val="left" w:pos="284"/>
          <w:tab w:val="left" w:pos="426"/>
        </w:tabs>
        <w:spacing w:line="360" w:lineRule="auto"/>
        <w:ind w:left="0" w:right="49"/>
        <w:jc w:val="both"/>
        <w:rPr>
          <w:rFonts w:ascii="Palatino Linotype" w:hAnsi="Palatino Linotype" w:cs="Arial"/>
          <w:sz w:val="24"/>
        </w:rPr>
      </w:pPr>
    </w:p>
    <w:p w14:paraId="3D09628C" w14:textId="77777777" w:rsidR="00604567" w:rsidRPr="00C673EE" w:rsidRDefault="005A630D"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r w:rsidRPr="00C673EE">
        <w:rPr>
          <w:rFonts w:ascii="Palatino Linotype" w:eastAsia="MS Mincho" w:hAnsi="Palatino Linotype" w:cs="Arial"/>
          <w:sz w:val="24"/>
          <w:lang w:val="es-ES_tradnl" w:eastAsia="es-ES"/>
        </w:rPr>
        <w:t>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2C1677B1" w14:textId="77777777" w:rsidR="00604567" w:rsidRPr="00C673EE" w:rsidRDefault="00604567" w:rsidP="00C673EE">
      <w:pPr>
        <w:pStyle w:val="Prrafodelista"/>
        <w:tabs>
          <w:tab w:val="left" w:pos="284"/>
          <w:tab w:val="left" w:pos="426"/>
        </w:tabs>
        <w:spacing w:line="360" w:lineRule="auto"/>
        <w:ind w:left="0" w:right="49"/>
        <w:jc w:val="both"/>
        <w:rPr>
          <w:rFonts w:ascii="Palatino Linotype" w:hAnsi="Palatino Linotype" w:cs="Arial"/>
          <w:sz w:val="24"/>
        </w:rPr>
      </w:pPr>
    </w:p>
    <w:p w14:paraId="74FA8B2D" w14:textId="77777777" w:rsidR="00604567" w:rsidRPr="00C673EE" w:rsidRDefault="005A630D"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r w:rsidRPr="00C673EE">
        <w:rPr>
          <w:rFonts w:ascii="Palatino Linotype" w:eastAsia="MS Mincho" w:hAnsi="Palatino Linotype" w:cs="Arial"/>
          <w:sz w:val="24"/>
          <w:lang w:val="es-ES_tradnl" w:eastAsia="es-ES"/>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w:t>
      </w:r>
      <w:r w:rsidRPr="00C673EE">
        <w:rPr>
          <w:rFonts w:ascii="Palatino Linotype" w:eastAsia="MS Mincho" w:hAnsi="Palatino Linotype" w:cs="Arial"/>
          <w:sz w:val="24"/>
          <w:lang w:val="es-ES_tradnl" w:eastAsia="es-ES"/>
        </w:rPr>
        <w:lastRenderedPageBreak/>
        <w:t>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ABA414C" w14:textId="77777777" w:rsidR="00604567" w:rsidRPr="00C673EE" w:rsidRDefault="00604567" w:rsidP="00C673EE">
      <w:pPr>
        <w:pStyle w:val="Prrafodelista"/>
        <w:tabs>
          <w:tab w:val="left" w:pos="284"/>
          <w:tab w:val="left" w:pos="426"/>
        </w:tabs>
        <w:spacing w:line="360" w:lineRule="auto"/>
        <w:ind w:left="0" w:right="49"/>
        <w:jc w:val="both"/>
        <w:rPr>
          <w:rFonts w:ascii="Palatino Linotype" w:hAnsi="Palatino Linotype" w:cs="Arial"/>
          <w:sz w:val="24"/>
        </w:rPr>
      </w:pPr>
    </w:p>
    <w:p w14:paraId="6667D580" w14:textId="77777777" w:rsidR="003B52E4" w:rsidRPr="00C673EE" w:rsidRDefault="005A630D"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r w:rsidRPr="00C673EE">
        <w:rPr>
          <w:rFonts w:ascii="Palatino Linotype" w:eastAsia="MS Mincho" w:hAnsi="Palatino Linotype" w:cs="Arial"/>
          <w:sz w:val="24"/>
          <w:lang w:val="es-ES_tradnl" w:eastAsia="es-ES"/>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387687FC" w14:textId="77777777" w:rsidR="003B52E4" w:rsidRPr="00C673EE" w:rsidRDefault="003B52E4" w:rsidP="00C673EE">
      <w:pPr>
        <w:pStyle w:val="Prrafodelista"/>
        <w:tabs>
          <w:tab w:val="left" w:pos="284"/>
          <w:tab w:val="left" w:pos="426"/>
        </w:tabs>
        <w:spacing w:line="360" w:lineRule="auto"/>
        <w:ind w:left="0" w:right="49"/>
        <w:jc w:val="both"/>
        <w:rPr>
          <w:rFonts w:ascii="Palatino Linotype" w:hAnsi="Palatino Linotype" w:cs="Arial"/>
          <w:sz w:val="24"/>
        </w:rPr>
      </w:pPr>
    </w:p>
    <w:p w14:paraId="364BAB62" w14:textId="77777777" w:rsidR="003B52E4" w:rsidRPr="00C673EE" w:rsidRDefault="003B52E4"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r w:rsidRPr="00C673EE">
        <w:rPr>
          <w:rFonts w:ascii="Palatino Linotype" w:eastAsia="MS Mincho" w:hAnsi="Palatino Linotype" w:cs="Arial"/>
          <w:sz w:val="24"/>
          <w:lang w:val="es-ES_tradnl"/>
        </w:rPr>
        <w:t>Derivado de</w:t>
      </w:r>
      <w:r w:rsidR="005A630D" w:rsidRPr="00C673EE">
        <w:rPr>
          <w:rFonts w:ascii="Palatino Linotype" w:eastAsia="MS Mincho" w:hAnsi="Palatino Linotype" w:cs="Arial"/>
          <w:sz w:val="24"/>
          <w:lang w:val="es-ES_tradnl"/>
        </w:rPr>
        <w:t xml:space="preserve"> lo anterior, el doctrinario Ernesto Villanueva </w:t>
      </w:r>
      <w:proofErr w:type="spellStart"/>
      <w:r w:rsidR="005A630D" w:rsidRPr="00C673EE">
        <w:rPr>
          <w:rFonts w:ascii="Palatino Linotype" w:eastAsia="MS Mincho" w:hAnsi="Palatino Linotype" w:cs="Arial"/>
          <w:sz w:val="24"/>
          <w:lang w:val="es-ES_tradnl"/>
        </w:rPr>
        <w:t>Villanueva</w:t>
      </w:r>
      <w:proofErr w:type="spellEnd"/>
      <w:r w:rsidR="005A630D" w:rsidRPr="00C673EE">
        <w:rPr>
          <w:rFonts w:ascii="Palatino Linotype" w:eastAsia="MS Mincho" w:hAnsi="Palatino Linotype" w:cs="Arial"/>
          <w:sz w:val="24"/>
          <w:lang w:val="es-ES_tradnl"/>
        </w:rPr>
        <w:t xml:space="preserve"> define al derecho de acceso a la información como: </w:t>
      </w:r>
    </w:p>
    <w:p w14:paraId="0FFAAA78" w14:textId="77777777" w:rsidR="00C673EE" w:rsidRPr="00C673EE" w:rsidRDefault="00C673EE" w:rsidP="00C673EE">
      <w:pPr>
        <w:pStyle w:val="Prrafodelista"/>
        <w:tabs>
          <w:tab w:val="left" w:pos="284"/>
          <w:tab w:val="left" w:pos="426"/>
        </w:tabs>
        <w:spacing w:line="360" w:lineRule="auto"/>
        <w:ind w:left="0" w:right="49"/>
        <w:jc w:val="both"/>
        <w:rPr>
          <w:rFonts w:ascii="Palatino Linotype" w:hAnsi="Palatino Linotype" w:cs="Arial"/>
          <w:sz w:val="24"/>
        </w:rPr>
      </w:pPr>
    </w:p>
    <w:p w14:paraId="1E6A653C" w14:textId="77777777" w:rsidR="003B52E4" w:rsidRPr="003F101E" w:rsidRDefault="003B52E4" w:rsidP="00C673EE">
      <w:pPr>
        <w:spacing w:line="360" w:lineRule="auto"/>
        <w:ind w:left="720" w:right="902"/>
        <w:contextualSpacing/>
        <w:jc w:val="both"/>
        <w:rPr>
          <w:rFonts w:ascii="Palatino Linotype" w:eastAsia="MS Mincho" w:hAnsi="Palatino Linotype" w:cs="Arial"/>
          <w:i/>
          <w:sz w:val="22"/>
          <w:lang w:val="es-ES_tradnl"/>
        </w:rPr>
      </w:pPr>
      <w:r w:rsidRPr="003F101E">
        <w:rPr>
          <w:rFonts w:ascii="Palatino Linotype" w:eastAsia="MS Mincho" w:hAnsi="Palatino Linotype" w:cs="Arial"/>
          <w:b/>
          <w:i/>
          <w:sz w:val="22"/>
          <w:lang w:val="es-ES_tradnl"/>
        </w:rPr>
        <w:t>“</w:t>
      </w:r>
      <w:r w:rsidRPr="003F101E">
        <w:rPr>
          <w:rFonts w:ascii="Palatino Linotype" w:eastAsia="MS Mincho" w:hAnsi="Palatino Linotype" w:cs="Arial"/>
          <w:i/>
          <w:sz w:val="22"/>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3F101E">
        <w:rPr>
          <w:rFonts w:ascii="Palatino Linotype" w:eastAsia="MS Mincho" w:hAnsi="Palatino Linotype" w:cs="Arial"/>
          <w:b/>
          <w:i/>
          <w:sz w:val="22"/>
          <w:lang w:val="es-ES_tradnl"/>
        </w:rPr>
        <w:t>”</w:t>
      </w:r>
      <w:r w:rsidRPr="003F101E">
        <w:rPr>
          <w:rFonts w:ascii="Palatino Linotype" w:eastAsia="MS Mincho" w:hAnsi="Palatino Linotype" w:cs="Arial"/>
          <w:i/>
          <w:sz w:val="22"/>
          <w:vertAlign w:val="superscript"/>
          <w:lang w:val="es-ES_tradnl"/>
        </w:rPr>
        <w:t xml:space="preserve"> </w:t>
      </w:r>
      <w:r w:rsidRPr="003F101E">
        <w:rPr>
          <w:rFonts w:ascii="Palatino Linotype" w:eastAsia="MS Mincho" w:hAnsi="Palatino Linotype" w:cs="Arial"/>
          <w:i/>
          <w:sz w:val="22"/>
          <w:lang w:val="es-ES_tradnl"/>
        </w:rPr>
        <w:t>(</w:t>
      </w:r>
      <w:proofErr w:type="gramStart"/>
      <w:r w:rsidRPr="003F101E">
        <w:rPr>
          <w:rFonts w:ascii="Palatino Linotype" w:eastAsia="MS Mincho" w:hAnsi="Palatino Linotype" w:cs="Arial"/>
          <w:i/>
          <w:sz w:val="22"/>
          <w:lang w:val="es-ES_tradnl"/>
        </w:rPr>
        <w:t>sic</w:t>
      </w:r>
      <w:proofErr w:type="gramEnd"/>
      <w:r w:rsidRPr="003F101E">
        <w:rPr>
          <w:rFonts w:ascii="Palatino Linotype" w:eastAsia="MS Mincho" w:hAnsi="Palatino Linotype" w:cs="Arial"/>
          <w:i/>
          <w:sz w:val="22"/>
          <w:lang w:val="es-ES_tradnl"/>
        </w:rPr>
        <w:t xml:space="preserve">) </w:t>
      </w:r>
    </w:p>
    <w:p w14:paraId="72BA65A4" w14:textId="77777777" w:rsidR="003B52E4" w:rsidRPr="00C673EE" w:rsidRDefault="003B52E4" w:rsidP="00C673EE">
      <w:pPr>
        <w:spacing w:line="360" w:lineRule="auto"/>
        <w:ind w:left="720" w:right="902"/>
        <w:contextualSpacing/>
        <w:jc w:val="both"/>
        <w:rPr>
          <w:rFonts w:ascii="Palatino Linotype" w:eastAsia="MS Mincho" w:hAnsi="Palatino Linotype" w:cs="Arial"/>
          <w:i/>
          <w:lang w:val="es-ES_tradnl"/>
        </w:rPr>
      </w:pPr>
    </w:p>
    <w:p w14:paraId="73DA4347" w14:textId="77777777" w:rsidR="003B52E4" w:rsidRPr="00C673EE" w:rsidRDefault="003B52E4"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r w:rsidRPr="00C673EE">
        <w:rPr>
          <w:rFonts w:ascii="Palatino Linotype" w:eastAsia="MS Mincho" w:hAnsi="Palatino Linotype" w:cs="Arial"/>
          <w:sz w:val="24"/>
          <w:lang w:val="es-ES_tradnl" w:eastAsia="es-ES"/>
        </w:rPr>
        <w:t>Así</w:t>
      </w:r>
      <w:r w:rsidR="005A630D" w:rsidRPr="00C673EE">
        <w:rPr>
          <w:rFonts w:ascii="Palatino Linotype" w:eastAsia="MS Mincho" w:hAnsi="Palatino Linotype" w:cs="Arial"/>
          <w:sz w:val="24"/>
          <w:lang w:val="es-ES_tradnl" w:eastAsia="es-ES"/>
        </w:rPr>
        <w:t xml:space="preserve">, se puede concluir que la distinción entre el derecho de petición y el derecho de acceso a la información estriba principalmente en que en el primero de ellos, </w:t>
      </w:r>
      <w:r w:rsidR="005A630D" w:rsidRPr="00C673EE">
        <w:rPr>
          <w:rFonts w:ascii="Palatino Linotype" w:eastAsia="MS Mincho" w:hAnsi="Palatino Linotype" w:cs="Arial"/>
          <w:color w:val="000000"/>
          <w:sz w:val="24"/>
          <w:lang w:val="es-ES_tradnl"/>
        </w:rPr>
        <w:t xml:space="preserve">la pretensión del peticionario consiste generalmente en obligar a la autoridad responsable a que actúe en el sentido de contestar lo solicitado, mientras que en el </w:t>
      </w:r>
      <w:r w:rsidR="005A630D" w:rsidRPr="00C673EE">
        <w:rPr>
          <w:rFonts w:ascii="Palatino Linotype" w:eastAsia="MS Mincho" w:hAnsi="Palatino Linotype" w:cs="Arial"/>
          <w:bCs/>
          <w:sz w:val="24"/>
          <w:lang w:val="es-ES_tradnl" w:eastAsia="es-CO"/>
        </w:rPr>
        <w:t xml:space="preserve">segundo supuesto </w:t>
      </w:r>
      <w:r w:rsidR="005A630D" w:rsidRPr="00C673EE">
        <w:rPr>
          <w:rFonts w:ascii="Palatino Linotype" w:eastAsia="MS Mincho" w:hAnsi="Palatino Linotype" w:cs="Arial"/>
          <w:b/>
          <w:bCs/>
          <w:sz w:val="24"/>
          <w:u w:val="single"/>
          <w:lang w:val="es-ES_tradnl" w:eastAsia="es-CO"/>
        </w:rPr>
        <w:t xml:space="preserve">la solicitud de acceso a la información pública se encamina </w:t>
      </w:r>
      <w:r w:rsidR="005A630D" w:rsidRPr="00C673EE">
        <w:rPr>
          <w:rFonts w:ascii="Palatino Linotype" w:eastAsia="MS Mincho" w:hAnsi="Palatino Linotype" w:cs="Arial"/>
          <w:b/>
          <w:bCs/>
          <w:sz w:val="24"/>
          <w:u w:val="single"/>
          <w:lang w:val="es-ES_tradnl" w:eastAsia="es-CO"/>
        </w:rPr>
        <w:lastRenderedPageBreak/>
        <w:t>primordialmente a</w:t>
      </w:r>
      <w:r w:rsidR="005A630D" w:rsidRPr="00C673EE">
        <w:rPr>
          <w:rFonts w:ascii="Palatino Linotype" w:eastAsia="MS Mincho" w:hAnsi="Palatino Linotype" w:cs="Arial"/>
          <w:b/>
          <w:sz w:val="24"/>
          <w:u w:val="single"/>
          <w:lang w:val="es-ES_tradnl" w:eastAsia="es-ES"/>
        </w:rPr>
        <w:t xml:space="preserve"> permitir el </w:t>
      </w:r>
      <w:r w:rsidR="005A630D" w:rsidRPr="00C673EE">
        <w:rPr>
          <w:rFonts w:ascii="Palatino Linotype" w:eastAsia="MS Mincho" w:hAnsi="Palatino Linotype" w:cs="Arial"/>
          <w:b/>
          <w:sz w:val="24"/>
          <w:u w:val="single"/>
          <w:lang w:val="es-ES_tradnl" w:eastAsia="es-CO"/>
        </w:rPr>
        <w:t xml:space="preserve">acceso a datos, registros y todo tipo de información pública que conste en documentos, sea generada o se encuentre en posesión de </w:t>
      </w:r>
      <w:r w:rsidR="005A630D" w:rsidRPr="00C673EE">
        <w:rPr>
          <w:rFonts w:ascii="Palatino Linotype" w:eastAsia="MS Mincho" w:hAnsi="Palatino Linotype" w:cs="Arial"/>
          <w:b/>
          <w:sz w:val="24"/>
          <w:u w:val="single"/>
          <w:lang w:val="es-ES_tradnl" w:eastAsia="es-ES"/>
        </w:rPr>
        <w:t xml:space="preserve">la autoridad. </w:t>
      </w:r>
    </w:p>
    <w:p w14:paraId="175400FE" w14:textId="77777777" w:rsidR="003B52E4" w:rsidRPr="00C673EE" w:rsidRDefault="003B52E4" w:rsidP="00C673EE">
      <w:pPr>
        <w:pStyle w:val="Prrafodelista"/>
        <w:tabs>
          <w:tab w:val="left" w:pos="284"/>
          <w:tab w:val="left" w:pos="426"/>
        </w:tabs>
        <w:spacing w:line="360" w:lineRule="auto"/>
        <w:ind w:left="0" w:right="49"/>
        <w:jc w:val="both"/>
        <w:rPr>
          <w:rFonts w:ascii="Palatino Linotype" w:hAnsi="Palatino Linotype" w:cs="Arial"/>
          <w:sz w:val="24"/>
        </w:rPr>
      </w:pPr>
    </w:p>
    <w:p w14:paraId="0CB6D00A" w14:textId="77777777" w:rsidR="00C35F09" w:rsidRPr="00C673EE" w:rsidRDefault="005A630D"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r w:rsidRPr="00C673EE">
        <w:rPr>
          <w:rFonts w:ascii="Palatino Linotype" w:eastAsia="MS Mincho" w:hAnsi="Palatino Linotype" w:cs="Arial"/>
          <w:sz w:val="24"/>
          <w:lang w:val="es-ES_tradnl" w:eastAsia="es-ES"/>
        </w:rPr>
        <w:t>Así las cosas, debe señalarse que el particular solicita saber</w:t>
      </w:r>
      <w:r w:rsidR="003B52E4" w:rsidRPr="00C673EE">
        <w:rPr>
          <w:rFonts w:ascii="Palatino Linotype" w:eastAsia="MS Mincho" w:hAnsi="Palatino Linotype" w:cs="Arial"/>
          <w:sz w:val="24"/>
          <w:lang w:val="es-ES_tradnl" w:eastAsia="es-ES"/>
        </w:rPr>
        <w:t xml:space="preserve"> el día que le será entregado su </w:t>
      </w:r>
      <w:r w:rsidR="003F101E" w:rsidRPr="00C673EE">
        <w:rPr>
          <w:rFonts w:ascii="Palatino Linotype" w:eastAsia="MS Mincho" w:hAnsi="Palatino Linotype" w:cs="Arial"/>
          <w:sz w:val="24"/>
          <w:lang w:val="es-ES_tradnl" w:eastAsia="es-ES"/>
        </w:rPr>
        <w:t>finiquito</w:t>
      </w:r>
      <w:r w:rsidRPr="00C673EE">
        <w:rPr>
          <w:rFonts w:ascii="Palatino Linotype" w:eastAsia="MS Mincho" w:hAnsi="Palatino Linotype" w:cs="Arial"/>
          <w:sz w:val="24"/>
          <w:lang w:val="es-ES_tradnl" w:eastAsia="es-ES"/>
        </w:rPr>
        <w:t xml:space="preserve">; por lo que se desprende que no hay una solicitud expresa de obtener un documento específico o que requiera el acceso a información pública. Es decir, </w:t>
      </w:r>
      <w:r w:rsidRPr="00C673EE">
        <w:rPr>
          <w:rFonts w:ascii="Palatino Linotype" w:eastAsia="MS Mincho" w:hAnsi="Palatino Linotype" w:cs="Arial"/>
          <w:b/>
          <w:sz w:val="24"/>
          <w:lang w:val="es-ES_tradnl" w:eastAsia="es-ES"/>
        </w:rPr>
        <w:t>EL</w:t>
      </w:r>
      <w:r w:rsidRPr="00C673EE">
        <w:rPr>
          <w:rFonts w:ascii="Palatino Linotype" w:eastAsia="MS Mincho" w:hAnsi="Palatino Linotype" w:cs="Arial"/>
          <w:sz w:val="24"/>
          <w:lang w:val="es-ES_tradnl" w:eastAsia="es-ES"/>
        </w:rPr>
        <w:t xml:space="preserve"> </w:t>
      </w:r>
      <w:r w:rsidRPr="00C673EE">
        <w:rPr>
          <w:rFonts w:ascii="Palatino Linotype" w:eastAsia="MS Mincho" w:hAnsi="Palatino Linotype" w:cs="Arial"/>
          <w:b/>
          <w:sz w:val="24"/>
          <w:lang w:val="es-ES_tradnl" w:eastAsia="es-ES"/>
        </w:rPr>
        <w:t>RECURRENTE</w:t>
      </w:r>
      <w:r w:rsidRPr="00C673EE">
        <w:rPr>
          <w:rFonts w:ascii="Palatino Linotype" w:eastAsia="MS Mincho" w:hAnsi="Palatino Linotype" w:cs="Arial"/>
          <w:sz w:val="24"/>
          <w:lang w:val="es-ES_tradnl" w:eastAsia="es-ES"/>
        </w:rPr>
        <w:t xml:space="preserve"> desea una contestación a su petición, mediante un documento ad hoc para satisfacer su pretensión, aunado a que como quedó asentado previamente este Órgano Garante del derecho de acceso a la Información pública no se encuentra facultado para ordenar al </w:t>
      </w:r>
      <w:r w:rsidRPr="00C673EE">
        <w:rPr>
          <w:rFonts w:ascii="Palatino Linotype" w:eastAsia="MS Mincho" w:hAnsi="Palatino Linotype" w:cs="Arial"/>
          <w:b/>
          <w:sz w:val="24"/>
          <w:lang w:val="es-ES_tradnl" w:eastAsia="es-ES"/>
        </w:rPr>
        <w:t xml:space="preserve">SUJETO OBLIGADO </w:t>
      </w:r>
      <w:r w:rsidRPr="00C673EE">
        <w:rPr>
          <w:rFonts w:ascii="Palatino Linotype" w:eastAsia="MS Mincho" w:hAnsi="Palatino Linotype" w:cs="Arial"/>
          <w:sz w:val="24"/>
          <w:lang w:val="es-ES_tradnl" w:eastAsia="es-ES"/>
        </w:rPr>
        <w:t>a realizar acciones respecto de cuestionamientos a manera de petición.</w:t>
      </w:r>
    </w:p>
    <w:p w14:paraId="5C57D936" w14:textId="77777777" w:rsidR="00C35F09" w:rsidRPr="00C673EE" w:rsidRDefault="00C35F09" w:rsidP="00C673EE">
      <w:pPr>
        <w:pStyle w:val="Prrafodelista"/>
        <w:tabs>
          <w:tab w:val="left" w:pos="284"/>
          <w:tab w:val="left" w:pos="426"/>
        </w:tabs>
        <w:spacing w:line="360" w:lineRule="auto"/>
        <w:ind w:left="0" w:right="49"/>
        <w:jc w:val="both"/>
        <w:rPr>
          <w:rFonts w:ascii="Palatino Linotype" w:hAnsi="Palatino Linotype" w:cs="Arial"/>
          <w:sz w:val="24"/>
        </w:rPr>
      </w:pPr>
    </w:p>
    <w:p w14:paraId="3134D4B2" w14:textId="77777777" w:rsidR="005A630D" w:rsidRPr="00C673EE" w:rsidRDefault="005A630D"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r w:rsidRPr="00C673EE">
        <w:rPr>
          <w:rFonts w:ascii="Palatino Linotype" w:eastAsia="MS Mincho" w:hAnsi="Palatino Linotype" w:cs="Arial"/>
          <w:sz w:val="24"/>
          <w:lang w:val="es-ES_tradnl" w:eastAsia="es-ES"/>
        </w:rPr>
        <w:t xml:space="preserve">Por lo que la entrega de una razón o un razonamiento por parte de </w:t>
      </w:r>
      <w:r w:rsidRPr="00C673EE">
        <w:rPr>
          <w:rFonts w:ascii="Palatino Linotype" w:eastAsia="MS Mincho" w:hAnsi="Palatino Linotype" w:cs="Arial"/>
          <w:b/>
          <w:sz w:val="24"/>
        </w:rPr>
        <w:t>EL SUJETO OBLIGADO</w:t>
      </w:r>
      <w:r w:rsidRPr="00C673EE">
        <w:rPr>
          <w:rFonts w:ascii="Palatino Linotype" w:eastAsia="MS Mincho" w:hAnsi="Palatino Linotype" w:cs="Arial"/>
          <w:sz w:val="24"/>
          <w:lang w:val="es-ES_tradnl" w:eastAsia="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52D06F9A" w14:textId="77777777" w:rsidR="00C35F09" w:rsidRPr="00C673EE" w:rsidRDefault="00C35F09" w:rsidP="00C673EE">
      <w:pPr>
        <w:pStyle w:val="Prrafodelista"/>
        <w:tabs>
          <w:tab w:val="left" w:pos="284"/>
          <w:tab w:val="left" w:pos="426"/>
        </w:tabs>
        <w:spacing w:line="360" w:lineRule="auto"/>
        <w:ind w:left="0" w:right="49"/>
        <w:jc w:val="both"/>
        <w:rPr>
          <w:rFonts w:ascii="Palatino Linotype" w:hAnsi="Palatino Linotype" w:cs="Arial"/>
          <w:sz w:val="24"/>
        </w:rPr>
      </w:pPr>
    </w:p>
    <w:p w14:paraId="215656F7" w14:textId="77777777" w:rsidR="004342F1" w:rsidRPr="00C673EE" w:rsidRDefault="003C7587" w:rsidP="00C673EE">
      <w:pPr>
        <w:pStyle w:val="Prrafodelista"/>
        <w:numPr>
          <w:ilvl w:val="0"/>
          <w:numId w:val="2"/>
        </w:numPr>
        <w:spacing w:line="360" w:lineRule="auto"/>
        <w:ind w:left="0" w:firstLine="0"/>
        <w:jc w:val="both"/>
        <w:rPr>
          <w:rFonts w:ascii="Palatino Linotype" w:hAnsi="Palatino Linotype"/>
          <w:bCs/>
          <w:sz w:val="24"/>
        </w:rPr>
      </w:pPr>
      <w:r w:rsidRPr="00C673EE">
        <w:rPr>
          <w:rFonts w:ascii="Palatino Linotype" w:hAnsi="Palatino Linotype" w:cs="Arial"/>
          <w:sz w:val="24"/>
        </w:rPr>
        <w:t>Ahora bien</w:t>
      </w:r>
      <w:r w:rsidR="004342F1" w:rsidRPr="00C673EE">
        <w:rPr>
          <w:rFonts w:ascii="Palatino Linotype" w:hAnsi="Palatino Linotype" w:cs="Arial"/>
          <w:sz w:val="24"/>
        </w:rPr>
        <w:t>,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14:paraId="08530A6A" w14:textId="77777777" w:rsidR="004342F1" w:rsidRPr="00C673EE" w:rsidRDefault="004342F1" w:rsidP="00C673EE">
      <w:pPr>
        <w:pStyle w:val="Prrafodelista"/>
        <w:spacing w:line="360" w:lineRule="auto"/>
        <w:ind w:left="360"/>
        <w:jc w:val="both"/>
        <w:rPr>
          <w:rFonts w:ascii="Palatino Linotype" w:hAnsi="Palatino Linotype"/>
          <w:bCs/>
        </w:rPr>
      </w:pPr>
    </w:p>
    <w:p w14:paraId="74C33F53" w14:textId="77777777"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w:t>
      </w:r>
      <w:r w:rsidRPr="00C673EE">
        <w:rPr>
          <w:rFonts w:ascii="Palatino Linotype" w:hAnsi="Palatino Linotype" w:cs="Arial"/>
          <w:b/>
          <w:i/>
        </w:rPr>
        <w:t>Artículo 179</w:t>
      </w:r>
      <w:r w:rsidRPr="00C673EE">
        <w:rPr>
          <w:rFonts w:ascii="Palatino Linotype" w:hAnsi="Palatino Linotype" w:cs="Arial"/>
          <w:i/>
        </w:rPr>
        <w:t>. El recurso de revisión es un medio de protección que la Ley otorga a los particulares, para hacer valer su derecho de acceso a la información pública, y procederá en contra de las siguientes causas:</w:t>
      </w:r>
    </w:p>
    <w:p w14:paraId="0161438D" w14:textId="77777777" w:rsidR="004342F1" w:rsidRPr="00C673EE" w:rsidRDefault="004342F1" w:rsidP="00C673EE">
      <w:pPr>
        <w:pStyle w:val="Prrafodelista"/>
        <w:spacing w:line="360" w:lineRule="auto"/>
        <w:ind w:left="360" w:right="757"/>
        <w:jc w:val="both"/>
        <w:rPr>
          <w:rFonts w:ascii="Palatino Linotype" w:hAnsi="Palatino Linotype" w:cs="Arial"/>
          <w:i/>
        </w:rPr>
      </w:pPr>
    </w:p>
    <w:p w14:paraId="0B691706" w14:textId="77777777"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I. La negativa a la información solicitada;</w:t>
      </w:r>
    </w:p>
    <w:p w14:paraId="59A4E765" w14:textId="77777777"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II. La clasificación de la información;</w:t>
      </w:r>
    </w:p>
    <w:p w14:paraId="264DE519" w14:textId="77777777"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III. La declaración de inexistencia de la información;</w:t>
      </w:r>
    </w:p>
    <w:p w14:paraId="155AB252" w14:textId="77777777"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IV. La declaración de incompetencia por el sujeto obligado;</w:t>
      </w:r>
    </w:p>
    <w:p w14:paraId="5377BD25" w14:textId="77777777"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V. La entrega de información incompleta;</w:t>
      </w:r>
    </w:p>
    <w:p w14:paraId="33A0079D" w14:textId="77777777"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VI. La entrega de información que no corresponda con lo solicitado;</w:t>
      </w:r>
    </w:p>
    <w:p w14:paraId="1D50DD57" w14:textId="77777777"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VII. La falta de respuesta a una solicitud de acceso a la información;</w:t>
      </w:r>
    </w:p>
    <w:p w14:paraId="42481B23" w14:textId="77777777"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VIII. La notificación, entrega o puesta a disposición de información en una modalidad o formato distinto al solicitado;</w:t>
      </w:r>
    </w:p>
    <w:p w14:paraId="6345E0F5" w14:textId="77777777"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IX. La entrega o puesta a disposición de información en un formato incomprensible y/o no accesible para el solicitante;</w:t>
      </w:r>
    </w:p>
    <w:p w14:paraId="0AD40FA4" w14:textId="77777777"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X. Los costos o tiempos de entrega de la información;</w:t>
      </w:r>
    </w:p>
    <w:p w14:paraId="0468CAFE" w14:textId="77777777"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XI. La falta de trámite a una solicitud;</w:t>
      </w:r>
    </w:p>
    <w:p w14:paraId="43401F88" w14:textId="77777777"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XII. La negativa a permitir la consulta directa de la información;</w:t>
      </w:r>
    </w:p>
    <w:p w14:paraId="0E067329" w14:textId="77777777"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XIII. La falta, deficiencia o insuficiencia de la fundamentación y/o motivación en la respuesta; y</w:t>
      </w:r>
    </w:p>
    <w:p w14:paraId="287C9BB3" w14:textId="77777777"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XIV. La orientación a un trámite específico.</w:t>
      </w:r>
    </w:p>
    <w:p w14:paraId="4F6DF785" w14:textId="77777777"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48BD8CD2" w14:textId="77777777" w:rsidR="004342F1" w:rsidRPr="00C673EE" w:rsidRDefault="004342F1" w:rsidP="00C673EE">
      <w:pPr>
        <w:pStyle w:val="Prrafodelista"/>
        <w:spacing w:line="360" w:lineRule="auto"/>
        <w:ind w:left="360" w:right="757"/>
        <w:jc w:val="both"/>
        <w:rPr>
          <w:rFonts w:ascii="Palatino Linotype" w:hAnsi="Palatino Linotype" w:cs="Arial"/>
          <w:i/>
          <w:sz w:val="24"/>
        </w:rPr>
      </w:pPr>
    </w:p>
    <w:p w14:paraId="2AD03686" w14:textId="77777777" w:rsidR="004342F1" w:rsidRPr="00ED74EB" w:rsidRDefault="004342F1" w:rsidP="00ED74EB">
      <w:pPr>
        <w:pStyle w:val="Prrafodelista"/>
        <w:numPr>
          <w:ilvl w:val="0"/>
          <w:numId w:val="2"/>
        </w:numPr>
        <w:spacing w:line="360" w:lineRule="auto"/>
        <w:ind w:left="0" w:right="51" w:firstLine="0"/>
        <w:jc w:val="both"/>
        <w:rPr>
          <w:rFonts w:ascii="Palatino Linotype" w:hAnsi="Palatino Linotype" w:cs="Arial"/>
          <w:i/>
        </w:rPr>
      </w:pPr>
      <w:r w:rsidRPr="00C673EE">
        <w:rPr>
          <w:rFonts w:ascii="Palatino Linotype" w:hAnsi="Palatino Linotype" w:cs="Arial"/>
          <w:sz w:val="24"/>
        </w:rPr>
        <w:lastRenderedPageBreak/>
        <w:t xml:space="preserve">En tal virtud, al no actualizarse ninguno de los supuestos aludidos, este Instituto no tiene atribuciones para pronunciarse respecto a la petición formulada por </w:t>
      </w:r>
      <w:r w:rsidRPr="00C673EE">
        <w:rPr>
          <w:rFonts w:ascii="Palatino Linotype" w:hAnsi="Palatino Linotype" w:cs="Arial"/>
          <w:b/>
          <w:sz w:val="24"/>
        </w:rPr>
        <w:t>LA</w:t>
      </w:r>
      <w:r w:rsidR="00ED74EB">
        <w:rPr>
          <w:rFonts w:ascii="Palatino Linotype" w:hAnsi="Palatino Linotype" w:cs="Arial"/>
          <w:b/>
          <w:sz w:val="24"/>
        </w:rPr>
        <w:t xml:space="preserve"> RECURRENTE. </w:t>
      </w:r>
      <w:r w:rsidR="00ED74EB" w:rsidRPr="00ED74EB">
        <w:rPr>
          <w:rFonts w:ascii="Palatino Linotype" w:hAnsi="Palatino Linotype" w:cs="Arial"/>
          <w:sz w:val="24"/>
        </w:rPr>
        <w:t>Ahora bien,</w:t>
      </w:r>
      <w:r w:rsidR="00ED74EB">
        <w:rPr>
          <w:rFonts w:ascii="Palatino Linotype" w:hAnsi="Palatino Linotype" w:cs="Arial"/>
          <w:b/>
          <w:sz w:val="24"/>
        </w:rPr>
        <w:t xml:space="preserve"> </w:t>
      </w:r>
      <w:r w:rsidR="00ED74EB">
        <w:rPr>
          <w:rFonts w:ascii="Palatino Linotype" w:hAnsi="Palatino Linotype" w:cs="Arial"/>
          <w:sz w:val="24"/>
        </w:rPr>
        <w:t>con fundamento en</w:t>
      </w:r>
      <w:r w:rsidR="00273630" w:rsidRPr="00ED74EB">
        <w:rPr>
          <w:rFonts w:ascii="Palatino Linotype" w:hAnsi="Palatino Linotype" w:cs="Arial"/>
          <w:sz w:val="24"/>
        </w:rPr>
        <w:t xml:space="preserve"> el art</w:t>
      </w:r>
      <w:r w:rsidR="00ED74EB">
        <w:rPr>
          <w:rFonts w:ascii="Palatino Linotype" w:hAnsi="Palatino Linotype" w:cs="Arial"/>
          <w:sz w:val="24"/>
        </w:rPr>
        <w:t>ículo 192,</w:t>
      </w:r>
      <w:r w:rsidR="00273630" w:rsidRPr="00ED74EB">
        <w:rPr>
          <w:rFonts w:ascii="Palatino Linotype" w:hAnsi="Palatino Linotype" w:cs="Arial"/>
          <w:sz w:val="24"/>
        </w:rPr>
        <w:t xml:space="preserve"> fracción VI</w:t>
      </w:r>
      <w:r w:rsidR="00ED74EB">
        <w:rPr>
          <w:rFonts w:ascii="Palatino Linotype" w:hAnsi="Palatino Linotype" w:cs="Arial"/>
          <w:sz w:val="24"/>
        </w:rPr>
        <w:t xml:space="preserve"> </w:t>
      </w:r>
      <w:r w:rsidR="00ED74EB" w:rsidRPr="00ED74EB">
        <w:rPr>
          <w:rFonts w:ascii="Palatino Linotype" w:hAnsi="Palatino Linotype"/>
          <w:color w:val="000000" w:themeColor="text1"/>
          <w:sz w:val="24"/>
        </w:rPr>
        <w:t>de</w:t>
      </w:r>
      <w:r w:rsidR="00ED74EB" w:rsidRPr="00ED74EB">
        <w:rPr>
          <w:rFonts w:ascii="Palatino Linotype" w:hAnsi="Palatino Linotype" w:cs="Arial"/>
          <w:sz w:val="24"/>
          <w:lang w:val="es-ES_tradnl"/>
        </w:rPr>
        <w:t xml:space="preserve"> la </w:t>
      </w:r>
      <w:r w:rsidR="00ED74EB" w:rsidRPr="00ED74EB">
        <w:rPr>
          <w:rFonts w:ascii="Palatino Linotype" w:hAnsi="Palatino Linotype"/>
          <w:sz w:val="24"/>
        </w:rPr>
        <w:t>Ley de Transparencia y Acceso a la Información Pública del Estado de México y Municipios</w:t>
      </w:r>
      <w:r w:rsidR="00273630" w:rsidRPr="00ED74EB">
        <w:rPr>
          <w:rFonts w:ascii="Palatino Linotype" w:hAnsi="Palatino Linotype" w:cs="Arial"/>
          <w:sz w:val="24"/>
        </w:rPr>
        <w:t xml:space="preserve"> </w:t>
      </w:r>
      <w:r w:rsidR="00ED74EB">
        <w:rPr>
          <w:rFonts w:ascii="Palatino Linotype" w:hAnsi="Palatino Linotype" w:cs="Arial"/>
          <w:sz w:val="24"/>
        </w:rPr>
        <w:t>el recurso de revisión será sobreseído cuando admitido aparezca una causal de improcedencia</w:t>
      </w:r>
      <w:r w:rsidRPr="00ED74EB">
        <w:rPr>
          <w:rFonts w:ascii="Palatino Linotype" w:hAnsi="Palatino Linotype"/>
          <w:color w:val="000000" w:themeColor="text1"/>
          <w:sz w:val="24"/>
        </w:rPr>
        <w:t>:</w:t>
      </w:r>
      <w:r w:rsidRPr="00ED74EB">
        <w:rPr>
          <w:rFonts w:ascii="Palatino Linotype" w:hAnsi="Palatino Linotype"/>
          <w:color w:val="000000" w:themeColor="text1"/>
        </w:rPr>
        <w:t xml:space="preserve"> </w:t>
      </w:r>
    </w:p>
    <w:p w14:paraId="10C86B2E" w14:textId="77777777" w:rsidR="00C673EE" w:rsidRPr="00C673EE" w:rsidRDefault="00C673EE" w:rsidP="00C673EE">
      <w:pPr>
        <w:pStyle w:val="Prrafodelista"/>
        <w:spacing w:line="360" w:lineRule="auto"/>
        <w:ind w:left="0" w:right="51"/>
        <w:jc w:val="both"/>
        <w:rPr>
          <w:rFonts w:ascii="Palatino Linotype" w:hAnsi="Palatino Linotype" w:cs="Arial"/>
          <w:i/>
        </w:rPr>
      </w:pPr>
    </w:p>
    <w:p w14:paraId="73C47589" w14:textId="77777777" w:rsidR="004342F1" w:rsidRDefault="004342F1" w:rsidP="00C673EE">
      <w:pPr>
        <w:pStyle w:val="Prrafodelista"/>
        <w:spacing w:line="360" w:lineRule="auto"/>
        <w:ind w:left="851" w:right="822"/>
        <w:jc w:val="both"/>
        <w:rPr>
          <w:rFonts w:ascii="Palatino Linotype" w:hAnsi="Palatino Linotype"/>
          <w:i/>
        </w:rPr>
      </w:pPr>
      <w:r w:rsidRPr="00C673EE">
        <w:rPr>
          <w:rFonts w:ascii="Palatino Linotype" w:hAnsi="Palatino Linotype" w:cs="Arial"/>
          <w:i/>
        </w:rPr>
        <w:t>“</w:t>
      </w:r>
      <w:r w:rsidRPr="00C673EE">
        <w:rPr>
          <w:rFonts w:ascii="Palatino Linotype" w:hAnsi="Palatino Linotype"/>
          <w:i/>
        </w:rPr>
        <w:t xml:space="preserve">Artículo 192. El recurso será sobreseído, en todo o en parte, cuando una vez admitido, se actualicen alguno de los siguientes supuestos: </w:t>
      </w:r>
    </w:p>
    <w:p w14:paraId="52DE00F4" w14:textId="77777777" w:rsidR="00ED74EB" w:rsidRPr="00C673EE" w:rsidRDefault="00ED74EB" w:rsidP="00C673EE">
      <w:pPr>
        <w:pStyle w:val="Prrafodelista"/>
        <w:spacing w:line="360" w:lineRule="auto"/>
        <w:ind w:left="851" w:right="822"/>
        <w:jc w:val="both"/>
        <w:rPr>
          <w:rFonts w:ascii="Palatino Linotype" w:hAnsi="Palatino Linotype"/>
          <w:i/>
        </w:rPr>
      </w:pPr>
    </w:p>
    <w:p w14:paraId="29D777F8" w14:textId="77777777" w:rsidR="004342F1" w:rsidRPr="00C673EE" w:rsidRDefault="004342F1" w:rsidP="00C673EE">
      <w:pPr>
        <w:pStyle w:val="Prrafodelista"/>
        <w:spacing w:line="360" w:lineRule="auto"/>
        <w:ind w:left="851" w:right="822"/>
        <w:jc w:val="both"/>
        <w:rPr>
          <w:rFonts w:ascii="Palatino Linotype" w:hAnsi="Palatino Linotype"/>
          <w:i/>
        </w:rPr>
      </w:pPr>
      <w:r w:rsidRPr="00C673EE">
        <w:rPr>
          <w:rFonts w:ascii="Palatino Linotype" w:hAnsi="Palatino Linotype"/>
          <w:i/>
        </w:rPr>
        <w:t xml:space="preserve">I. El recurrente se desista expresamente del recurso; </w:t>
      </w:r>
    </w:p>
    <w:p w14:paraId="4A222B14" w14:textId="77777777" w:rsidR="004342F1" w:rsidRPr="00C673EE" w:rsidRDefault="004342F1" w:rsidP="00C673EE">
      <w:pPr>
        <w:pStyle w:val="Prrafodelista"/>
        <w:spacing w:line="360" w:lineRule="auto"/>
        <w:ind w:left="851" w:right="822"/>
        <w:rPr>
          <w:rFonts w:ascii="Palatino Linotype" w:hAnsi="Palatino Linotype"/>
          <w:i/>
        </w:rPr>
      </w:pPr>
      <w:r w:rsidRPr="00C673EE">
        <w:rPr>
          <w:rFonts w:ascii="Palatino Linotype" w:hAnsi="Palatino Linotype"/>
          <w:i/>
        </w:rPr>
        <w:t xml:space="preserve">II. El recurrente fallezca o, tratándose de personas jurídicas colectivas, se disuelva; </w:t>
      </w:r>
    </w:p>
    <w:p w14:paraId="1BDB6AC5" w14:textId="77777777" w:rsidR="004342F1" w:rsidRPr="00C673EE" w:rsidRDefault="004342F1" w:rsidP="00C673EE">
      <w:pPr>
        <w:pStyle w:val="Prrafodelista"/>
        <w:spacing w:line="360" w:lineRule="auto"/>
        <w:ind w:left="851" w:right="822"/>
        <w:rPr>
          <w:rFonts w:ascii="Palatino Linotype" w:hAnsi="Palatino Linotype"/>
          <w:i/>
        </w:rPr>
      </w:pPr>
      <w:r w:rsidRPr="00C673EE">
        <w:rPr>
          <w:rFonts w:ascii="Palatino Linotype" w:hAnsi="Palatino Linotype"/>
          <w:i/>
        </w:rPr>
        <w:t xml:space="preserve">III. El sujeto obligado responsable del acto lo modifique o revoque de tal manera que el recurso de revisión quede sin materia; </w:t>
      </w:r>
    </w:p>
    <w:p w14:paraId="4B9BCC80" w14:textId="77777777" w:rsidR="004342F1" w:rsidRPr="00C673EE" w:rsidRDefault="004342F1" w:rsidP="00C673EE">
      <w:pPr>
        <w:pStyle w:val="Prrafodelista"/>
        <w:spacing w:line="360" w:lineRule="auto"/>
        <w:ind w:left="851" w:right="822"/>
        <w:rPr>
          <w:rFonts w:ascii="Palatino Linotype" w:hAnsi="Palatino Linotype"/>
          <w:i/>
        </w:rPr>
      </w:pPr>
      <w:r w:rsidRPr="00C673EE">
        <w:rPr>
          <w:rFonts w:ascii="Palatino Linotype" w:hAnsi="Palatino Linotype"/>
          <w:i/>
        </w:rPr>
        <w:t xml:space="preserve">IV. </w:t>
      </w:r>
      <w:r w:rsidRPr="00C673EE">
        <w:rPr>
          <w:rFonts w:ascii="Palatino Linotype" w:hAnsi="Palatino Linotype"/>
          <w:b/>
          <w:i/>
        </w:rPr>
        <w:t>Admitido el recurso de revisión, aparezca alguna causal de improcedencia en los términos de la presente Ley; y</w:t>
      </w:r>
      <w:r w:rsidRPr="00C673EE">
        <w:rPr>
          <w:rFonts w:ascii="Palatino Linotype" w:hAnsi="Palatino Linotype"/>
          <w:i/>
        </w:rPr>
        <w:t xml:space="preserve"> </w:t>
      </w:r>
    </w:p>
    <w:p w14:paraId="33012889" w14:textId="77777777" w:rsidR="004342F1" w:rsidRPr="00C673EE" w:rsidRDefault="004342F1" w:rsidP="00C673EE">
      <w:pPr>
        <w:pStyle w:val="Prrafodelista"/>
        <w:spacing w:line="360" w:lineRule="auto"/>
        <w:ind w:left="851" w:right="822"/>
        <w:rPr>
          <w:rFonts w:ascii="Palatino Linotype" w:hAnsi="Palatino Linotype" w:cs="Arial"/>
          <w:b/>
          <w:i/>
        </w:rPr>
      </w:pPr>
      <w:r w:rsidRPr="00C673EE">
        <w:rPr>
          <w:rFonts w:ascii="Palatino Linotype" w:hAnsi="Palatino Linotype"/>
          <w:i/>
        </w:rPr>
        <w:t>V. Cuando por cualquier motivo quede sin materia el recurso.</w:t>
      </w:r>
      <w:r w:rsidRPr="00C673EE">
        <w:rPr>
          <w:rFonts w:ascii="Palatino Linotype" w:hAnsi="Palatino Linotype" w:cs="Arial"/>
          <w:i/>
        </w:rPr>
        <w:t>”</w:t>
      </w:r>
    </w:p>
    <w:p w14:paraId="4E7CE809" w14:textId="77777777" w:rsidR="004342F1" w:rsidRPr="00C673EE" w:rsidRDefault="004342F1" w:rsidP="00C673EE">
      <w:pPr>
        <w:pStyle w:val="Prrafodelista"/>
        <w:spacing w:line="360" w:lineRule="auto"/>
        <w:ind w:left="851" w:right="822"/>
        <w:jc w:val="both"/>
        <w:rPr>
          <w:rFonts w:ascii="Palatino Linotype" w:hAnsi="Palatino Linotype" w:cs="Arial"/>
        </w:rPr>
      </w:pPr>
      <w:r w:rsidRPr="00C673EE">
        <w:rPr>
          <w:rFonts w:ascii="Palatino Linotype" w:hAnsi="Palatino Linotype" w:cs="Arial"/>
        </w:rPr>
        <w:t>(Énfasis añadido)</w:t>
      </w:r>
    </w:p>
    <w:p w14:paraId="28DE7A10" w14:textId="77777777" w:rsidR="003C7587" w:rsidRPr="00C673EE" w:rsidRDefault="003C7587" w:rsidP="00C673EE">
      <w:pPr>
        <w:pStyle w:val="Prrafodelista"/>
        <w:widowControl w:val="0"/>
        <w:autoSpaceDE w:val="0"/>
        <w:autoSpaceDN w:val="0"/>
        <w:adjustRightInd w:val="0"/>
        <w:spacing w:line="360" w:lineRule="auto"/>
        <w:ind w:left="0"/>
        <w:jc w:val="both"/>
        <w:rPr>
          <w:rFonts w:ascii="Palatino Linotype" w:eastAsia="Calibri" w:hAnsi="Palatino Linotype" w:cs="Arial"/>
          <w:sz w:val="24"/>
        </w:rPr>
      </w:pPr>
    </w:p>
    <w:p w14:paraId="79FD74A7" w14:textId="77777777" w:rsidR="00ED74EB" w:rsidRDefault="00ED74EB" w:rsidP="00C673EE">
      <w:pPr>
        <w:pStyle w:val="Prrafodelista"/>
        <w:widowControl w:val="0"/>
        <w:numPr>
          <w:ilvl w:val="0"/>
          <w:numId w:val="2"/>
        </w:numPr>
        <w:autoSpaceDE w:val="0"/>
        <w:autoSpaceDN w:val="0"/>
        <w:adjustRightInd w:val="0"/>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En consecuencia, la causal de improcedencia que se advierte en este caso, es la prevista en la fracci</w:t>
      </w:r>
      <w:r w:rsidR="000B6839">
        <w:rPr>
          <w:rFonts w:ascii="Palatino Linotype" w:eastAsia="Calibri" w:hAnsi="Palatino Linotype" w:cs="Arial"/>
          <w:sz w:val="24"/>
        </w:rPr>
        <w:t>ón VI</w:t>
      </w:r>
      <w:r>
        <w:rPr>
          <w:rFonts w:ascii="Palatino Linotype" w:eastAsia="Calibri" w:hAnsi="Palatino Linotype" w:cs="Arial"/>
          <w:sz w:val="24"/>
        </w:rPr>
        <w:t xml:space="preserve"> del artículo 191 de la ley de Transparencia Local, que establece los siguiente:</w:t>
      </w:r>
    </w:p>
    <w:p w14:paraId="0B711764" w14:textId="77777777" w:rsidR="00ED74EB" w:rsidRDefault="00ED74EB" w:rsidP="00ED74EB">
      <w:pPr>
        <w:pStyle w:val="Prrafodelista"/>
        <w:widowControl w:val="0"/>
        <w:autoSpaceDE w:val="0"/>
        <w:autoSpaceDN w:val="0"/>
        <w:adjustRightInd w:val="0"/>
        <w:spacing w:line="360" w:lineRule="auto"/>
        <w:ind w:left="0"/>
        <w:jc w:val="both"/>
        <w:rPr>
          <w:rFonts w:ascii="Palatino Linotype" w:eastAsia="Calibri" w:hAnsi="Palatino Linotype" w:cs="Arial"/>
          <w:sz w:val="24"/>
        </w:rPr>
      </w:pPr>
    </w:p>
    <w:p w14:paraId="0C9B2063" w14:textId="77777777" w:rsidR="00ED74EB" w:rsidRPr="00ED74EB" w:rsidRDefault="00ED74EB" w:rsidP="00ED74EB">
      <w:pPr>
        <w:pStyle w:val="Prrafodelista"/>
        <w:widowControl w:val="0"/>
        <w:autoSpaceDE w:val="0"/>
        <w:autoSpaceDN w:val="0"/>
        <w:adjustRightInd w:val="0"/>
        <w:spacing w:line="360" w:lineRule="auto"/>
        <w:ind w:left="851" w:right="822"/>
        <w:jc w:val="both"/>
        <w:rPr>
          <w:rFonts w:ascii="Palatino Linotype" w:hAnsi="Palatino Linotype"/>
          <w:i/>
        </w:rPr>
      </w:pPr>
      <w:r>
        <w:rPr>
          <w:rFonts w:ascii="Palatino Linotype" w:hAnsi="Palatino Linotype"/>
          <w:i/>
        </w:rPr>
        <w:t>“</w:t>
      </w:r>
      <w:r w:rsidRPr="00ED74EB">
        <w:rPr>
          <w:rFonts w:ascii="Palatino Linotype" w:hAnsi="Palatino Linotype"/>
          <w:i/>
        </w:rPr>
        <w:t xml:space="preserve">Artículo 191. El recurso será desechado por improcedente cuando: </w:t>
      </w:r>
    </w:p>
    <w:p w14:paraId="36362D43" w14:textId="77777777" w:rsidR="00ED74EB" w:rsidRPr="00ED74EB" w:rsidRDefault="00ED74EB" w:rsidP="00ED74EB">
      <w:pPr>
        <w:pStyle w:val="Prrafodelista"/>
        <w:widowControl w:val="0"/>
        <w:autoSpaceDE w:val="0"/>
        <w:autoSpaceDN w:val="0"/>
        <w:adjustRightInd w:val="0"/>
        <w:spacing w:line="360" w:lineRule="auto"/>
        <w:ind w:left="851" w:right="822"/>
        <w:jc w:val="both"/>
        <w:rPr>
          <w:rFonts w:ascii="Palatino Linotype" w:hAnsi="Palatino Linotype"/>
          <w:i/>
        </w:rPr>
      </w:pPr>
      <w:r w:rsidRPr="00ED74EB">
        <w:rPr>
          <w:rFonts w:ascii="Palatino Linotype" w:hAnsi="Palatino Linotype"/>
          <w:i/>
        </w:rPr>
        <w:t xml:space="preserve">I. Sea extemporáneo por haber transcurrido el plazo establecido en la presente Ley, a partir de la respuesta; </w:t>
      </w:r>
    </w:p>
    <w:p w14:paraId="57733F20" w14:textId="77777777" w:rsidR="00ED74EB" w:rsidRPr="00ED74EB" w:rsidRDefault="00ED74EB" w:rsidP="00ED74EB">
      <w:pPr>
        <w:pStyle w:val="Prrafodelista"/>
        <w:widowControl w:val="0"/>
        <w:autoSpaceDE w:val="0"/>
        <w:autoSpaceDN w:val="0"/>
        <w:adjustRightInd w:val="0"/>
        <w:spacing w:line="360" w:lineRule="auto"/>
        <w:ind w:left="851" w:right="822"/>
        <w:jc w:val="both"/>
        <w:rPr>
          <w:rFonts w:ascii="Palatino Linotype" w:hAnsi="Palatino Linotype"/>
          <w:i/>
        </w:rPr>
      </w:pPr>
      <w:r w:rsidRPr="00ED74EB">
        <w:rPr>
          <w:rFonts w:ascii="Palatino Linotype" w:hAnsi="Palatino Linotype"/>
          <w:i/>
        </w:rPr>
        <w:lastRenderedPageBreak/>
        <w:t xml:space="preserve">II. Se esté tramitando ante el Poder Judicial de la Federación algún recurso o medio de defensa interpuesto por el recurrente; </w:t>
      </w:r>
    </w:p>
    <w:p w14:paraId="7B499C04" w14:textId="77777777" w:rsidR="00ED74EB" w:rsidRPr="00ED74EB" w:rsidRDefault="00ED74EB" w:rsidP="00ED74EB">
      <w:pPr>
        <w:pStyle w:val="Prrafodelista"/>
        <w:widowControl w:val="0"/>
        <w:autoSpaceDE w:val="0"/>
        <w:autoSpaceDN w:val="0"/>
        <w:adjustRightInd w:val="0"/>
        <w:spacing w:line="360" w:lineRule="auto"/>
        <w:ind w:left="851" w:right="822"/>
        <w:jc w:val="both"/>
        <w:rPr>
          <w:rFonts w:ascii="Palatino Linotype" w:hAnsi="Palatino Linotype"/>
          <w:i/>
        </w:rPr>
      </w:pPr>
      <w:r w:rsidRPr="00ED74EB">
        <w:rPr>
          <w:rFonts w:ascii="Palatino Linotype" w:hAnsi="Palatino Linotype"/>
          <w:i/>
        </w:rPr>
        <w:t xml:space="preserve">III. No actualice alguno de los supuestos previstos en la presente Ley; </w:t>
      </w:r>
    </w:p>
    <w:p w14:paraId="51F34D26" w14:textId="77777777" w:rsidR="00ED74EB" w:rsidRPr="00ED74EB" w:rsidRDefault="00ED74EB" w:rsidP="00ED74EB">
      <w:pPr>
        <w:pStyle w:val="Prrafodelista"/>
        <w:widowControl w:val="0"/>
        <w:autoSpaceDE w:val="0"/>
        <w:autoSpaceDN w:val="0"/>
        <w:adjustRightInd w:val="0"/>
        <w:spacing w:line="360" w:lineRule="auto"/>
        <w:ind w:left="851" w:right="822"/>
        <w:jc w:val="both"/>
        <w:rPr>
          <w:rFonts w:ascii="Palatino Linotype" w:hAnsi="Palatino Linotype"/>
          <w:i/>
        </w:rPr>
      </w:pPr>
      <w:r w:rsidRPr="00ED74EB">
        <w:rPr>
          <w:rFonts w:ascii="Palatino Linotype" w:hAnsi="Palatino Linotype"/>
          <w:i/>
        </w:rPr>
        <w:t xml:space="preserve">IV. No se haya desahogado la prevención en los términos establecidos en la presente Ley; </w:t>
      </w:r>
    </w:p>
    <w:p w14:paraId="7DE382D8" w14:textId="77777777" w:rsidR="00ED74EB" w:rsidRPr="00ED74EB" w:rsidRDefault="00ED74EB" w:rsidP="00ED74EB">
      <w:pPr>
        <w:pStyle w:val="Prrafodelista"/>
        <w:widowControl w:val="0"/>
        <w:autoSpaceDE w:val="0"/>
        <w:autoSpaceDN w:val="0"/>
        <w:adjustRightInd w:val="0"/>
        <w:spacing w:line="360" w:lineRule="auto"/>
        <w:ind w:left="851" w:right="822"/>
        <w:jc w:val="both"/>
        <w:rPr>
          <w:rFonts w:ascii="Palatino Linotype" w:hAnsi="Palatino Linotype"/>
          <w:i/>
        </w:rPr>
      </w:pPr>
      <w:r w:rsidRPr="00ED74EB">
        <w:rPr>
          <w:rFonts w:ascii="Palatino Linotype" w:hAnsi="Palatino Linotype"/>
          <w:i/>
        </w:rPr>
        <w:t xml:space="preserve">V. Se impugne la veracidad de la información proporcionada; </w:t>
      </w:r>
    </w:p>
    <w:p w14:paraId="1C1F82B8" w14:textId="77777777" w:rsidR="00ED74EB" w:rsidRPr="00ED74EB" w:rsidRDefault="00ED74EB" w:rsidP="00ED74EB">
      <w:pPr>
        <w:pStyle w:val="Prrafodelista"/>
        <w:widowControl w:val="0"/>
        <w:autoSpaceDE w:val="0"/>
        <w:autoSpaceDN w:val="0"/>
        <w:adjustRightInd w:val="0"/>
        <w:spacing w:line="360" w:lineRule="auto"/>
        <w:ind w:left="851" w:right="822"/>
        <w:jc w:val="both"/>
        <w:rPr>
          <w:rFonts w:ascii="Palatino Linotype" w:hAnsi="Palatino Linotype"/>
          <w:b/>
          <w:i/>
        </w:rPr>
      </w:pPr>
      <w:r w:rsidRPr="00ED74EB">
        <w:rPr>
          <w:rFonts w:ascii="Palatino Linotype" w:hAnsi="Palatino Linotype"/>
          <w:b/>
          <w:i/>
        </w:rPr>
        <w:t xml:space="preserve">VI. Se trate de una consulta, o trámite en específico; y </w:t>
      </w:r>
    </w:p>
    <w:p w14:paraId="7FE69632" w14:textId="77777777" w:rsidR="00ED74EB" w:rsidRDefault="00ED74EB" w:rsidP="00ED74EB">
      <w:pPr>
        <w:pStyle w:val="Prrafodelista"/>
        <w:widowControl w:val="0"/>
        <w:autoSpaceDE w:val="0"/>
        <w:autoSpaceDN w:val="0"/>
        <w:adjustRightInd w:val="0"/>
        <w:spacing w:line="360" w:lineRule="auto"/>
        <w:ind w:left="851" w:right="822"/>
        <w:jc w:val="both"/>
        <w:rPr>
          <w:rFonts w:ascii="Palatino Linotype" w:hAnsi="Palatino Linotype"/>
          <w:i/>
        </w:rPr>
      </w:pPr>
      <w:r w:rsidRPr="00ED74EB">
        <w:rPr>
          <w:rFonts w:ascii="Palatino Linotype" w:hAnsi="Palatino Linotype"/>
          <w:i/>
        </w:rPr>
        <w:t>VII. El recurrente amplíe su solicitud en el recurso de revisión, únicamente respecto de los nuevos contenidos.</w:t>
      </w:r>
      <w:r>
        <w:rPr>
          <w:rFonts w:ascii="Palatino Linotype" w:hAnsi="Palatino Linotype"/>
          <w:i/>
        </w:rPr>
        <w:t>”</w:t>
      </w:r>
    </w:p>
    <w:p w14:paraId="4C1CF5B3" w14:textId="77777777" w:rsidR="00ED74EB" w:rsidRPr="00ED74EB" w:rsidRDefault="00ED74EB" w:rsidP="00ED74EB">
      <w:pPr>
        <w:pStyle w:val="Prrafodelista"/>
        <w:widowControl w:val="0"/>
        <w:autoSpaceDE w:val="0"/>
        <w:autoSpaceDN w:val="0"/>
        <w:adjustRightInd w:val="0"/>
        <w:spacing w:line="360" w:lineRule="auto"/>
        <w:ind w:left="851" w:right="822"/>
        <w:jc w:val="both"/>
        <w:rPr>
          <w:rFonts w:ascii="Palatino Linotype" w:hAnsi="Palatino Linotype"/>
          <w:i/>
        </w:rPr>
      </w:pPr>
      <w:r>
        <w:rPr>
          <w:rFonts w:ascii="Palatino Linotype" w:hAnsi="Palatino Linotype"/>
          <w:i/>
        </w:rPr>
        <w:t>Énfasis añadido</w:t>
      </w:r>
    </w:p>
    <w:p w14:paraId="0E0A9F7C" w14:textId="77777777" w:rsidR="00ED74EB" w:rsidRPr="00ED74EB" w:rsidRDefault="00ED74EB" w:rsidP="00ED74EB">
      <w:pPr>
        <w:pStyle w:val="Prrafodelista"/>
        <w:widowControl w:val="0"/>
        <w:autoSpaceDE w:val="0"/>
        <w:autoSpaceDN w:val="0"/>
        <w:adjustRightInd w:val="0"/>
        <w:spacing w:line="360" w:lineRule="auto"/>
        <w:ind w:left="0"/>
        <w:jc w:val="both"/>
        <w:rPr>
          <w:rFonts w:ascii="Palatino Linotype" w:eastAsia="Calibri" w:hAnsi="Palatino Linotype" w:cs="Arial"/>
          <w:sz w:val="24"/>
        </w:rPr>
      </w:pPr>
    </w:p>
    <w:p w14:paraId="48950827" w14:textId="77777777" w:rsidR="00C673EE" w:rsidRPr="00C673EE" w:rsidRDefault="000B6839" w:rsidP="00C673EE">
      <w:pPr>
        <w:pStyle w:val="Prrafodelista"/>
        <w:widowControl w:val="0"/>
        <w:numPr>
          <w:ilvl w:val="0"/>
          <w:numId w:val="2"/>
        </w:numPr>
        <w:autoSpaceDE w:val="0"/>
        <w:autoSpaceDN w:val="0"/>
        <w:adjustRightInd w:val="0"/>
        <w:spacing w:line="360" w:lineRule="auto"/>
        <w:ind w:left="0" w:firstLine="0"/>
        <w:jc w:val="both"/>
        <w:rPr>
          <w:rFonts w:ascii="Palatino Linotype" w:eastAsia="Calibri" w:hAnsi="Palatino Linotype" w:cs="Arial"/>
          <w:sz w:val="24"/>
        </w:rPr>
      </w:pPr>
      <w:r>
        <w:rPr>
          <w:rFonts w:ascii="Palatino Linotype" w:hAnsi="Palatino Linotype"/>
          <w:color w:val="000000"/>
          <w:sz w:val="24"/>
        </w:rPr>
        <w:t>Por lo tanto</w:t>
      </w:r>
      <w:r w:rsidR="004342F1" w:rsidRPr="00C673EE">
        <w:rPr>
          <w:rFonts w:ascii="Palatino Linotype" w:hAnsi="Palatino Linotype"/>
          <w:color w:val="000000"/>
          <w:sz w:val="24"/>
        </w:rPr>
        <w:t>,</w:t>
      </w:r>
      <w:r>
        <w:rPr>
          <w:rFonts w:ascii="Palatino Linotype" w:hAnsi="Palatino Linotype"/>
          <w:color w:val="000000"/>
          <w:sz w:val="24"/>
        </w:rPr>
        <w:t xml:space="preserve"> este Órgano Garante</w:t>
      </w:r>
      <w:r w:rsidR="004342F1" w:rsidRPr="00C673EE">
        <w:rPr>
          <w:rFonts w:ascii="Palatino Linotype" w:hAnsi="Palatino Linotype"/>
          <w:sz w:val="24"/>
        </w:rPr>
        <w:t xml:space="preserve"> </w:t>
      </w:r>
      <w:r w:rsidR="004342F1" w:rsidRPr="00C673EE">
        <w:rPr>
          <w:rFonts w:ascii="Palatino Linotype" w:hAnsi="Palatino Linotype" w:cs="Arial"/>
          <w:sz w:val="24"/>
          <w:lang w:val="es-ES_tradnl"/>
        </w:rPr>
        <w:t xml:space="preserve">determina </w:t>
      </w:r>
      <w:r w:rsidR="004342F1" w:rsidRPr="00C673EE">
        <w:rPr>
          <w:rFonts w:ascii="Palatino Linotype" w:hAnsi="Palatino Linotype" w:cs="Arial"/>
          <w:b/>
          <w:sz w:val="24"/>
          <w:lang w:val="es-ES_tradnl"/>
        </w:rPr>
        <w:t>SOBRESEER</w:t>
      </w:r>
      <w:r w:rsidR="004342F1" w:rsidRPr="00C673EE">
        <w:rPr>
          <w:rFonts w:ascii="Palatino Linotype" w:hAnsi="Palatino Linotype" w:cs="Arial"/>
          <w:sz w:val="24"/>
          <w:lang w:val="es-ES_tradnl"/>
        </w:rPr>
        <w:t xml:space="preserve"> el presente recurso de revisión, en </w:t>
      </w:r>
      <w:r w:rsidR="004342F1" w:rsidRPr="00C673EE">
        <w:rPr>
          <w:rFonts w:ascii="Palatino Linotype" w:hAnsi="Palatino Linotype"/>
          <w:bCs/>
          <w:sz w:val="24"/>
        </w:rPr>
        <w:t>términos</w:t>
      </w:r>
      <w:r w:rsidR="004342F1" w:rsidRPr="00C673EE">
        <w:rPr>
          <w:rFonts w:ascii="Palatino Linotype" w:hAnsi="Palatino Linotype" w:cs="Arial"/>
          <w:sz w:val="24"/>
          <w:lang w:val="es-ES_tradnl"/>
        </w:rPr>
        <w:t xml:space="preserve"> del artículo 186, fracción I, de la </w:t>
      </w:r>
      <w:r w:rsidR="004342F1" w:rsidRPr="00C673EE">
        <w:rPr>
          <w:rFonts w:ascii="Palatino Linotype" w:eastAsia="Calibri" w:hAnsi="Palatino Linotype" w:cs="Arial"/>
          <w:sz w:val="24"/>
        </w:rPr>
        <w:t xml:space="preserve">Ley de Transparencia y Acceso a la Información Pública del Estado de México y Municipios dado a que la solicitud de mérito no constituye el Derecho de </w:t>
      </w:r>
      <w:r w:rsidR="00C673EE" w:rsidRPr="00C673EE">
        <w:rPr>
          <w:rFonts w:ascii="Palatino Linotype" w:eastAsia="Calibri" w:hAnsi="Palatino Linotype" w:cs="Arial"/>
          <w:sz w:val="24"/>
        </w:rPr>
        <w:t>Acceso a la Información Pública.</w:t>
      </w:r>
      <w:bookmarkStart w:id="39" w:name="_Toc466371865"/>
      <w:bookmarkStart w:id="40" w:name="_Toc466377653"/>
      <w:bookmarkStart w:id="41" w:name="_Toc495427547"/>
      <w:bookmarkStart w:id="42" w:name="_Toc49790536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18668B2D" w14:textId="77777777" w:rsidR="00C673EE" w:rsidRPr="00C673EE" w:rsidRDefault="00C673EE" w:rsidP="00C673EE">
      <w:pPr>
        <w:pStyle w:val="Prrafodelista"/>
        <w:widowControl w:val="0"/>
        <w:autoSpaceDE w:val="0"/>
        <w:autoSpaceDN w:val="0"/>
        <w:adjustRightInd w:val="0"/>
        <w:spacing w:line="360" w:lineRule="auto"/>
        <w:ind w:left="0"/>
        <w:jc w:val="both"/>
        <w:rPr>
          <w:rFonts w:ascii="Palatino Linotype" w:eastAsia="Calibri" w:hAnsi="Palatino Linotype" w:cs="Arial"/>
          <w:sz w:val="24"/>
        </w:rPr>
      </w:pPr>
    </w:p>
    <w:p w14:paraId="30F5EA02" w14:textId="77777777" w:rsidR="00207D17" w:rsidRPr="00C673EE" w:rsidRDefault="00207D17" w:rsidP="00C673EE">
      <w:pPr>
        <w:pStyle w:val="Prrafodelista"/>
        <w:widowControl w:val="0"/>
        <w:numPr>
          <w:ilvl w:val="0"/>
          <w:numId w:val="2"/>
        </w:numPr>
        <w:autoSpaceDE w:val="0"/>
        <w:autoSpaceDN w:val="0"/>
        <w:adjustRightInd w:val="0"/>
        <w:spacing w:line="360" w:lineRule="auto"/>
        <w:ind w:left="0" w:firstLine="0"/>
        <w:jc w:val="both"/>
        <w:rPr>
          <w:rFonts w:ascii="Palatino Linotype" w:eastAsia="Calibri" w:hAnsi="Palatino Linotype" w:cs="Arial"/>
          <w:sz w:val="24"/>
        </w:rPr>
      </w:pPr>
      <w:r w:rsidRPr="00C673EE">
        <w:rPr>
          <w:rFonts w:ascii="Palatino Linotype" w:eastAsia="MS Mincho" w:hAnsi="Palatino Linotype"/>
          <w:color w:val="000000"/>
          <w:sz w:val="24"/>
        </w:rPr>
        <w:t xml:space="preserve">Por lo anteriormente expuesto y fundado, este Órgano Garante emite los siguientes: </w:t>
      </w:r>
    </w:p>
    <w:p w14:paraId="651F0C17" w14:textId="77777777" w:rsidR="00C673EE" w:rsidRPr="00C673EE" w:rsidRDefault="00C673EE" w:rsidP="00C673EE">
      <w:pPr>
        <w:spacing w:line="360" w:lineRule="auto"/>
        <w:rPr>
          <w:rFonts w:ascii="Palatino Linotype" w:eastAsia="MS Mincho" w:hAnsi="Palatino Linotype"/>
          <w:color w:val="000000"/>
        </w:rPr>
      </w:pPr>
    </w:p>
    <w:p w14:paraId="731FC57D" w14:textId="77777777" w:rsidR="00207D17" w:rsidRPr="00C673EE" w:rsidRDefault="00207D17" w:rsidP="00C673EE">
      <w:pPr>
        <w:pStyle w:val="Ttulo1"/>
        <w:spacing w:before="0" w:line="360" w:lineRule="auto"/>
        <w:jc w:val="center"/>
        <w:rPr>
          <w:rFonts w:ascii="Palatino Linotype" w:hAnsi="Palatino Linotype"/>
          <w:b/>
          <w:color w:val="000000" w:themeColor="text1"/>
          <w:sz w:val="24"/>
          <w:szCs w:val="24"/>
        </w:rPr>
      </w:pPr>
      <w:bookmarkStart w:id="43" w:name="_Toc81233128"/>
      <w:r w:rsidRPr="00C673EE">
        <w:rPr>
          <w:rFonts w:ascii="Palatino Linotype" w:hAnsi="Palatino Linotype"/>
          <w:b/>
          <w:color w:val="000000" w:themeColor="text1"/>
          <w:sz w:val="24"/>
          <w:szCs w:val="24"/>
        </w:rPr>
        <w:t>R E S O L U T I V O S</w:t>
      </w:r>
      <w:bookmarkEnd w:id="39"/>
      <w:bookmarkEnd w:id="40"/>
      <w:bookmarkEnd w:id="41"/>
      <w:bookmarkEnd w:id="42"/>
      <w:bookmarkEnd w:id="43"/>
    </w:p>
    <w:p w14:paraId="24E84545" w14:textId="77777777" w:rsidR="00207D17" w:rsidRPr="00C673EE" w:rsidRDefault="00207D17" w:rsidP="00C673EE">
      <w:pPr>
        <w:spacing w:line="360" w:lineRule="auto"/>
        <w:rPr>
          <w:rFonts w:ascii="Palatino Linotype" w:hAnsi="Palatino Linotype"/>
        </w:rPr>
      </w:pPr>
    </w:p>
    <w:p w14:paraId="7DB64174" w14:textId="77777777" w:rsidR="000967D3" w:rsidRPr="00C673EE" w:rsidRDefault="000967D3" w:rsidP="00C673EE">
      <w:pPr>
        <w:spacing w:line="360" w:lineRule="auto"/>
        <w:jc w:val="both"/>
        <w:rPr>
          <w:rFonts w:ascii="Palatino Linotype" w:hAnsi="Palatino Linotype"/>
        </w:rPr>
      </w:pPr>
      <w:r w:rsidRPr="00C673EE">
        <w:rPr>
          <w:rFonts w:ascii="Palatino Linotype" w:hAnsi="Palatino Linotype"/>
          <w:b/>
        </w:rPr>
        <w:t>PRIMERO</w:t>
      </w:r>
      <w:r w:rsidRPr="00C673EE">
        <w:rPr>
          <w:rFonts w:ascii="Palatino Linotype" w:hAnsi="Palatino Linotype"/>
        </w:rPr>
        <w:t xml:space="preserve">. Se </w:t>
      </w:r>
      <w:r w:rsidRPr="00C673EE">
        <w:rPr>
          <w:rFonts w:ascii="Palatino Linotype" w:hAnsi="Palatino Linotype"/>
          <w:b/>
        </w:rPr>
        <w:t>SOBRESEE por improcedente</w:t>
      </w:r>
      <w:r w:rsidRPr="00C673EE">
        <w:rPr>
          <w:rFonts w:ascii="Palatino Linotype" w:hAnsi="Palatino Linotype"/>
        </w:rPr>
        <w:t xml:space="preserve"> el recurso de revisión número </w:t>
      </w:r>
      <w:r w:rsidRPr="00C673EE">
        <w:rPr>
          <w:rFonts w:ascii="Palatino Linotype" w:hAnsi="Palatino Linotype"/>
          <w:b/>
        </w:rPr>
        <w:t>05283/INFOEM/IP/RR/2021</w:t>
      </w:r>
      <w:r w:rsidRPr="00C673EE">
        <w:rPr>
          <w:rFonts w:ascii="Palatino Linotype" w:hAnsi="Palatino Linotype"/>
        </w:rPr>
        <w:t xml:space="preserve">, en términos del Considerando </w:t>
      </w:r>
      <w:r w:rsidRPr="00C673EE">
        <w:rPr>
          <w:rFonts w:ascii="Palatino Linotype" w:hAnsi="Palatino Linotype"/>
          <w:b/>
        </w:rPr>
        <w:t>TERCERO</w:t>
      </w:r>
      <w:r w:rsidRPr="00C673EE">
        <w:rPr>
          <w:rFonts w:ascii="Palatino Linotype" w:hAnsi="Palatino Linotype"/>
        </w:rPr>
        <w:t xml:space="preserve"> de la presente resolución.</w:t>
      </w:r>
    </w:p>
    <w:p w14:paraId="53F9F3BA" w14:textId="77777777" w:rsidR="000967D3" w:rsidRPr="00C673EE" w:rsidRDefault="000967D3" w:rsidP="00C673EE">
      <w:pPr>
        <w:pStyle w:val="Sinespaciado"/>
        <w:spacing w:line="360" w:lineRule="auto"/>
        <w:ind w:left="851"/>
        <w:jc w:val="both"/>
        <w:rPr>
          <w:rFonts w:ascii="Palatino Linotype" w:hAnsi="Palatino Linotype"/>
          <w:sz w:val="20"/>
          <w:szCs w:val="20"/>
        </w:rPr>
      </w:pPr>
    </w:p>
    <w:p w14:paraId="370818B0" w14:textId="77777777" w:rsidR="000967D3" w:rsidRPr="00C673EE" w:rsidRDefault="000967D3" w:rsidP="00C673EE">
      <w:pPr>
        <w:pStyle w:val="Sinespaciado"/>
        <w:spacing w:line="360" w:lineRule="auto"/>
        <w:jc w:val="both"/>
        <w:rPr>
          <w:rFonts w:ascii="Palatino Linotype" w:eastAsia="Calibri" w:hAnsi="Palatino Linotype" w:cs="Arial"/>
          <w:b/>
          <w:bCs/>
          <w:sz w:val="24"/>
          <w:szCs w:val="24"/>
          <w:lang w:val="es-ES"/>
        </w:rPr>
      </w:pPr>
      <w:r w:rsidRPr="00C673EE">
        <w:rPr>
          <w:rFonts w:ascii="Palatino Linotype" w:eastAsia="Calibri" w:hAnsi="Palatino Linotype" w:cs="Arial"/>
          <w:b/>
          <w:bCs/>
          <w:sz w:val="24"/>
          <w:szCs w:val="24"/>
          <w:lang w:val="es-ES"/>
        </w:rPr>
        <w:lastRenderedPageBreak/>
        <w:t xml:space="preserve">SEGUNDO. REMÍTASE </w:t>
      </w:r>
      <w:r w:rsidRPr="00C673EE">
        <w:rPr>
          <w:rFonts w:ascii="Palatino Linotype" w:eastAsia="Calibri" w:hAnsi="Palatino Linotype" w:cs="Arial"/>
          <w:bCs/>
          <w:sz w:val="24"/>
          <w:szCs w:val="24"/>
          <w:lang w:val="es-ES"/>
        </w:rPr>
        <w:t xml:space="preserve">a través del Sistema de Acceso a la Información Mexiquense </w:t>
      </w:r>
      <w:r w:rsidRPr="00C673EE">
        <w:rPr>
          <w:rFonts w:ascii="Palatino Linotype" w:eastAsia="Calibri" w:hAnsi="Palatino Linotype" w:cs="Arial"/>
          <w:b/>
          <w:bCs/>
          <w:sz w:val="24"/>
          <w:szCs w:val="24"/>
          <w:lang w:val="es-ES"/>
        </w:rPr>
        <w:t xml:space="preserve">(SAIMEX) </w:t>
      </w:r>
      <w:r w:rsidRPr="00C673EE">
        <w:rPr>
          <w:rFonts w:ascii="Palatino Linotype" w:eastAsia="Calibri" w:hAnsi="Palatino Linotype" w:cs="Arial"/>
          <w:bCs/>
          <w:sz w:val="24"/>
          <w:szCs w:val="24"/>
          <w:lang w:val="es-ES"/>
        </w:rPr>
        <w:t>la presente resolución al Titular de la Unidad de Transparencia del</w:t>
      </w:r>
      <w:r w:rsidRPr="00C673EE">
        <w:rPr>
          <w:rFonts w:ascii="Palatino Linotype" w:eastAsia="Calibri" w:hAnsi="Palatino Linotype" w:cs="Arial"/>
          <w:b/>
          <w:bCs/>
          <w:sz w:val="24"/>
          <w:szCs w:val="24"/>
          <w:lang w:val="es-ES"/>
        </w:rPr>
        <w:t xml:space="preserve"> SUJETO OBLIGADO. </w:t>
      </w:r>
    </w:p>
    <w:p w14:paraId="4CA7E3EA" w14:textId="77777777" w:rsidR="000967D3" w:rsidRPr="00C673EE" w:rsidRDefault="000967D3" w:rsidP="00C673EE">
      <w:pPr>
        <w:pStyle w:val="Sinespaciado"/>
        <w:spacing w:line="360" w:lineRule="auto"/>
        <w:jc w:val="both"/>
        <w:rPr>
          <w:rFonts w:ascii="Palatino Linotype" w:eastAsia="Palatino Linotype" w:hAnsi="Palatino Linotype" w:cs="Palatino Linotype"/>
          <w:b/>
          <w:sz w:val="24"/>
          <w:szCs w:val="24"/>
        </w:rPr>
      </w:pPr>
    </w:p>
    <w:p w14:paraId="5FDF68E3" w14:textId="77777777" w:rsidR="000967D3" w:rsidRDefault="000967D3" w:rsidP="00C673EE">
      <w:pPr>
        <w:pStyle w:val="Sinespaciado"/>
        <w:spacing w:line="360" w:lineRule="auto"/>
        <w:jc w:val="both"/>
        <w:rPr>
          <w:rFonts w:ascii="Palatino Linotype" w:eastAsia="Times New Roman" w:hAnsi="Palatino Linotype" w:cs="Times New Roman"/>
          <w:color w:val="222222"/>
          <w:sz w:val="24"/>
          <w:szCs w:val="24"/>
          <w:lang w:val="es-ES" w:eastAsia="es-MX"/>
        </w:rPr>
      </w:pPr>
      <w:r w:rsidRPr="00C673EE">
        <w:rPr>
          <w:rFonts w:ascii="Palatino Linotype" w:eastAsia="Times New Roman" w:hAnsi="Palatino Linotype" w:cs="Arial"/>
          <w:b/>
          <w:sz w:val="24"/>
          <w:szCs w:val="24"/>
        </w:rPr>
        <w:t xml:space="preserve">TERCERO. </w:t>
      </w:r>
      <w:r w:rsidRPr="00C673EE">
        <w:rPr>
          <w:rFonts w:ascii="Palatino Linotype" w:eastAsia="Times New Roman" w:hAnsi="Palatino Linotype" w:cs="Times New Roman"/>
          <w:b/>
          <w:bCs/>
          <w:color w:val="222222"/>
          <w:sz w:val="24"/>
          <w:szCs w:val="24"/>
          <w:lang w:val="es-ES"/>
        </w:rPr>
        <w:t xml:space="preserve">Notifíquese </w:t>
      </w:r>
      <w:r w:rsidRPr="00C673EE">
        <w:rPr>
          <w:rFonts w:ascii="Palatino Linotype" w:eastAsia="Times New Roman" w:hAnsi="Palatino Linotype" w:cs="Times New Roman"/>
          <w:bCs/>
          <w:color w:val="222222"/>
          <w:sz w:val="24"/>
          <w:szCs w:val="24"/>
          <w:lang w:val="es-ES"/>
        </w:rPr>
        <w:t xml:space="preserve">a la </w:t>
      </w:r>
      <w:r w:rsidRPr="00C673EE">
        <w:rPr>
          <w:rFonts w:ascii="Palatino Linotype" w:hAnsi="Palatino Linotype"/>
          <w:b/>
          <w:sz w:val="24"/>
          <w:szCs w:val="24"/>
        </w:rPr>
        <w:t xml:space="preserve">RECURRENTE </w:t>
      </w:r>
      <w:r w:rsidRPr="00C673EE">
        <w:rPr>
          <w:rFonts w:ascii="Palatino Linotype" w:eastAsia="Times New Roman" w:hAnsi="Palatino Linotype" w:cs="Times New Roman"/>
          <w:color w:val="222222"/>
          <w:sz w:val="24"/>
          <w:szCs w:val="24"/>
          <w:lang w:val="es-ES" w:eastAsia="es-MX"/>
        </w:rPr>
        <w:t>la presente resolución.</w:t>
      </w:r>
    </w:p>
    <w:p w14:paraId="18C7C75A" w14:textId="77777777" w:rsidR="00DB5D82" w:rsidRPr="00C673EE" w:rsidRDefault="00DB5D82" w:rsidP="00C673EE">
      <w:pPr>
        <w:pStyle w:val="Sinespaciado"/>
        <w:spacing w:line="360" w:lineRule="auto"/>
        <w:jc w:val="both"/>
        <w:rPr>
          <w:rFonts w:ascii="Palatino Linotype" w:eastAsia="Times New Roman" w:hAnsi="Palatino Linotype" w:cs="Times New Roman"/>
          <w:color w:val="222222"/>
          <w:sz w:val="24"/>
          <w:szCs w:val="24"/>
          <w:lang w:val="es-ES" w:eastAsia="es-MX"/>
        </w:rPr>
      </w:pPr>
    </w:p>
    <w:p w14:paraId="433776FA" w14:textId="77777777" w:rsidR="000967D3" w:rsidRPr="00C673EE" w:rsidRDefault="000967D3" w:rsidP="00C673EE">
      <w:pPr>
        <w:shd w:val="clear" w:color="auto" w:fill="FFFFFF"/>
        <w:spacing w:line="360" w:lineRule="auto"/>
        <w:jc w:val="both"/>
        <w:rPr>
          <w:rFonts w:ascii="Palatino Linotype" w:eastAsia="MS Mincho" w:hAnsi="Palatino Linotype"/>
          <w:lang w:val="es-ES"/>
        </w:rPr>
      </w:pPr>
      <w:r w:rsidRPr="00C673EE">
        <w:rPr>
          <w:rFonts w:ascii="Palatino Linotype" w:eastAsia="MS Mincho" w:hAnsi="Palatino Linotype"/>
          <w:b/>
        </w:rPr>
        <w:t>CUARTO.</w:t>
      </w:r>
      <w:r w:rsidRPr="00C673EE">
        <w:rPr>
          <w:rFonts w:ascii="Palatino Linotype" w:eastAsia="MS Mincho" w:hAnsi="Palatino Linotype"/>
        </w:rPr>
        <w:t xml:space="preserve"> </w:t>
      </w:r>
      <w:r w:rsidRPr="00C673EE">
        <w:rPr>
          <w:rFonts w:ascii="Palatino Linotype" w:eastAsia="MS Mincho" w:hAnsi="Palatino Linotype"/>
          <w:lang w:val="es-ES"/>
        </w:rPr>
        <w:t xml:space="preserve">Se hace del conocimiento del </w:t>
      </w:r>
      <w:r w:rsidRPr="00C673EE">
        <w:rPr>
          <w:rFonts w:ascii="Palatino Linotype" w:hAnsi="Palatino Linotype"/>
          <w:b/>
        </w:rPr>
        <w:t>RECURRENTE</w:t>
      </w:r>
      <w:r w:rsidRPr="00C673EE">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C673EE">
        <w:rPr>
          <w:rFonts w:ascii="Palatino Linotype" w:eastAsia="MS Mincho" w:hAnsi="Palatino Linotype"/>
          <w:bCs/>
          <w:lang w:val="es-ES"/>
        </w:rPr>
        <w:t>vía juicio de amparo</w:t>
      </w:r>
      <w:r w:rsidRPr="00C673EE">
        <w:rPr>
          <w:rFonts w:ascii="Palatino Linotype" w:eastAsia="MS Mincho" w:hAnsi="Palatino Linotype"/>
          <w:lang w:val="es-ES"/>
        </w:rPr>
        <w:t> en los términos de las leyes aplicables.</w:t>
      </w:r>
    </w:p>
    <w:p w14:paraId="41DC1FE6" w14:textId="77777777" w:rsidR="00207D17" w:rsidRPr="00C673EE" w:rsidRDefault="00207D17" w:rsidP="00C673EE">
      <w:pPr>
        <w:pStyle w:val="Prrafodelista"/>
        <w:spacing w:line="360" w:lineRule="auto"/>
        <w:ind w:left="0"/>
        <w:jc w:val="both"/>
        <w:rPr>
          <w:rFonts w:ascii="Palatino Linotype" w:hAnsi="Palatino Linotype"/>
          <w:color w:val="000000" w:themeColor="text1"/>
        </w:rPr>
      </w:pPr>
    </w:p>
    <w:p w14:paraId="67E05F08" w14:textId="77777777" w:rsidR="00A350E5" w:rsidRDefault="00A350E5" w:rsidP="00A350E5">
      <w:pPr>
        <w:tabs>
          <w:tab w:val="left" w:pos="0"/>
        </w:tabs>
        <w:spacing w:line="360" w:lineRule="auto"/>
        <w:ind w:right="49"/>
        <w:jc w:val="both"/>
        <w:rPr>
          <w:rFonts w:ascii="Palatino Linotype" w:hAnsi="Palatino Linotype" w:cs="Arial"/>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w:t>
      </w:r>
      <w:r>
        <w:rPr>
          <w:rFonts w:ascii="Palatino Linotype" w:hAnsi="Palatino Linotype" w:cs="Arial"/>
        </w:rPr>
        <w:t xml:space="preserve">; EN LA SEGUNDA SESIÓN ORDINARIA CELEBRADA EL DIECINUEVE DE ENERO DE DOS MIL VEINTIDÓS, ANTE EL SECRETARIO TÉCNICO DEL PLENO, </w:t>
      </w:r>
      <w:r>
        <w:rPr>
          <w:rFonts w:ascii="Palatino Linotype" w:hAnsi="Palatino Linotype"/>
        </w:rPr>
        <w:t>ALEXIS TAPIA RAMÍREZ</w:t>
      </w:r>
      <w:r>
        <w:rPr>
          <w:rFonts w:ascii="Palatino Linotype" w:hAnsi="Palatino Linotype" w:cs="Arial"/>
        </w:rPr>
        <w:t>.</w:t>
      </w:r>
    </w:p>
    <w:p w14:paraId="5B0F781A" w14:textId="77777777" w:rsidR="00207D17" w:rsidRPr="00C673EE" w:rsidRDefault="00207D17" w:rsidP="00C673EE">
      <w:pPr>
        <w:spacing w:line="360" w:lineRule="auto"/>
        <w:rPr>
          <w:rFonts w:ascii="Palatino Linotype" w:hAnsi="Palatino Linotype"/>
        </w:rPr>
      </w:pPr>
    </w:p>
    <w:p w14:paraId="7B7F74F4" w14:textId="77777777" w:rsidR="00207D17" w:rsidRPr="00C673EE" w:rsidRDefault="00207D17" w:rsidP="00C673EE">
      <w:pPr>
        <w:spacing w:line="360" w:lineRule="auto"/>
        <w:rPr>
          <w:rFonts w:ascii="Palatino Linotype" w:hAnsi="Palatino Linotype"/>
        </w:rPr>
      </w:pPr>
    </w:p>
    <w:p w14:paraId="63B6A9FA" w14:textId="77777777" w:rsidR="00207D17" w:rsidRPr="00C673EE" w:rsidRDefault="00207D17" w:rsidP="00C673EE">
      <w:pPr>
        <w:spacing w:line="360" w:lineRule="auto"/>
        <w:rPr>
          <w:rFonts w:ascii="Palatino Linotype" w:hAnsi="Palatino Linotype"/>
        </w:rPr>
      </w:pPr>
    </w:p>
    <w:p w14:paraId="71A3C70A" w14:textId="77777777" w:rsidR="00207D17" w:rsidRPr="00C673EE" w:rsidRDefault="00207D17" w:rsidP="00C673EE">
      <w:pPr>
        <w:spacing w:line="360" w:lineRule="auto"/>
        <w:rPr>
          <w:rFonts w:ascii="Palatino Linotype" w:hAnsi="Palatino Linotype"/>
        </w:rPr>
      </w:pPr>
    </w:p>
    <w:p w14:paraId="3317C810" w14:textId="77777777" w:rsidR="00207D17" w:rsidRPr="00C673EE" w:rsidRDefault="00207D17" w:rsidP="00C673EE">
      <w:pPr>
        <w:spacing w:line="360" w:lineRule="auto"/>
        <w:rPr>
          <w:rFonts w:ascii="Palatino Linotype" w:hAnsi="Palatino Linotype"/>
        </w:rPr>
      </w:pPr>
    </w:p>
    <w:p w14:paraId="3262EA5A" w14:textId="77777777" w:rsidR="00207D17" w:rsidRPr="00C673EE" w:rsidRDefault="00207D17" w:rsidP="00C673EE">
      <w:pPr>
        <w:spacing w:line="360" w:lineRule="auto"/>
        <w:rPr>
          <w:rFonts w:ascii="Palatino Linotype" w:hAnsi="Palatino Linotype"/>
        </w:rPr>
      </w:pPr>
    </w:p>
    <w:p w14:paraId="17C53EB0" w14:textId="77777777" w:rsidR="00207D17" w:rsidRPr="00C673EE" w:rsidRDefault="00207D17" w:rsidP="00C673EE">
      <w:pPr>
        <w:spacing w:line="360" w:lineRule="auto"/>
        <w:rPr>
          <w:rFonts w:ascii="Palatino Linotype" w:hAnsi="Palatino Linotype"/>
        </w:rPr>
      </w:pPr>
    </w:p>
    <w:p w14:paraId="05029E10" w14:textId="77777777" w:rsidR="00207D17" w:rsidRPr="00C673EE" w:rsidRDefault="00207D17" w:rsidP="00C673EE">
      <w:pPr>
        <w:spacing w:line="360" w:lineRule="auto"/>
        <w:rPr>
          <w:rFonts w:ascii="Palatino Linotype" w:hAnsi="Palatino Linotype"/>
        </w:rPr>
      </w:pPr>
    </w:p>
    <w:p w14:paraId="50768129" w14:textId="77777777" w:rsidR="00207D17" w:rsidRPr="00C673EE" w:rsidRDefault="00207D17" w:rsidP="00C673EE">
      <w:pPr>
        <w:spacing w:line="360" w:lineRule="auto"/>
        <w:rPr>
          <w:rFonts w:ascii="Palatino Linotype" w:hAnsi="Palatino Linotype"/>
        </w:rPr>
      </w:pPr>
    </w:p>
    <w:p w14:paraId="6D45E852" w14:textId="77777777" w:rsidR="00207D17" w:rsidRPr="00C673EE" w:rsidRDefault="00207D17" w:rsidP="00C673EE">
      <w:pPr>
        <w:spacing w:line="360" w:lineRule="auto"/>
        <w:rPr>
          <w:rFonts w:ascii="Palatino Linotype" w:hAnsi="Palatino Linotype"/>
        </w:rPr>
      </w:pPr>
    </w:p>
    <w:p w14:paraId="2DEE773E" w14:textId="77777777" w:rsidR="00207D17" w:rsidRPr="00C673EE" w:rsidRDefault="00207D17" w:rsidP="00C673EE">
      <w:pPr>
        <w:spacing w:line="360" w:lineRule="auto"/>
        <w:rPr>
          <w:rFonts w:ascii="Palatino Linotype" w:hAnsi="Palatino Linotype"/>
        </w:rPr>
      </w:pPr>
    </w:p>
    <w:p w14:paraId="30615D44" w14:textId="77777777" w:rsidR="00207D17" w:rsidRPr="00C673EE" w:rsidRDefault="00207D17" w:rsidP="00C673EE">
      <w:pPr>
        <w:spacing w:line="360" w:lineRule="auto"/>
        <w:rPr>
          <w:rFonts w:ascii="Palatino Linotype" w:hAnsi="Palatino Linotype"/>
        </w:rPr>
      </w:pPr>
    </w:p>
    <w:p w14:paraId="2243C815" w14:textId="77777777" w:rsidR="00207D17" w:rsidRPr="00C673EE" w:rsidRDefault="00207D17" w:rsidP="00C673EE">
      <w:pPr>
        <w:spacing w:line="360" w:lineRule="auto"/>
        <w:rPr>
          <w:rFonts w:ascii="Palatino Linotype" w:hAnsi="Palatino Linotype"/>
        </w:rPr>
      </w:pPr>
    </w:p>
    <w:p w14:paraId="1D5F80F5" w14:textId="77777777" w:rsidR="00207D17" w:rsidRPr="00C673EE" w:rsidRDefault="00207D17" w:rsidP="00C673EE">
      <w:pPr>
        <w:spacing w:line="360" w:lineRule="auto"/>
        <w:rPr>
          <w:rFonts w:ascii="Palatino Linotype" w:hAnsi="Palatino Linotype"/>
        </w:rPr>
      </w:pPr>
    </w:p>
    <w:p w14:paraId="73E2FABC" w14:textId="77777777" w:rsidR="00207D17" w:rsidRPr="00C673EE" w:rsidRDefault="00207D17" w:rsidP="00C673EE">
      <w:pPr>
        <w:spacing w:line="360" w:lineRule="auto"/>
        <w:rPr>
          <w:rFonts w:ascii="Palatino Linotype" w:hAnsi="Palatino Linotype"/>
        </w:rPr>
      </w:pPr>
    </w:p>
    <w:p w14:paraId="65BA064A" w14:textId="77777777" w:rsidR="00207D17" w:rsidRPr="00C673EE" w:rsidRDefault="00207D17" w:rsidP="00C673EE">
      <w:pPr>
        <w:spacing w:line="360" w:lineRule="auto"/>
        <w:rPr>
          <w:rFonts w:ascii="Palatino Linotype" w:hAnsi="Palatino Linotype"/>
        </w:rPr>
      </w:pPr>
    </w:p>
    <w:p w14:paraId="2C9038CC" w14:textId="77777777" w:rsidR="00207D17" w:rsidRPr="00C673EE" w:rsidRDefault="00207D17" w:rsidP="00C673EE">
      <w:pPr>
        <w:spacing w:line="360" w:lineRule="auto"/>
        <w:rPr>
          <w:rFonts w:ascii="Palatino Linotype" w:hAnsi="Palatino Linotype"/>
        </w:rPr>
      </w:pPr>
    </w:p>
    <w:p w14:paraId="33DFC3E0" w14:textId="77777777" w:rsidR="00207D17" w:rsidRPr="00C673EE" w:rsidRDefault="00207D17" w:rsidP="00C673EE">
      <w:pPr>
        <w:spacing w:line="360" w:lineRule="auto"/>
        <w:rPr>
          <w:rFonts w:ascii="Palatino Linotype" w:hAnsi="Palatino Linotype"/>
        </w:rPr>
      </w:pPr>
    </w:p>
    <w:p w14:paraId="2A6A3315" w14:textId="77777777" w:rsidR="00207D17" w:rsidRPr="00C673EE" w:rsidRDefault="00207D17" w:rsidP="00C673EE">
      <w:pPr>
        <w:spacing w:line="360" w:lineRule="auto"/>
        <w:rPr>
          <w:rFonts w:ascii="Palatino Linotype" w:hAnsi="Palatino Linotype"/>
        </w:rPr>
      </w:pPr>
    </w:p>
    <w:p w14:paraId="473663C7" w14:textId="77777777" w:rsidR="00207D17" w:rsidRPr="00C673EE" w:rsidRDefault="00207D17" w:rsidP="00C673EE">
      <w:pPr>
        <w:spacing w:line="360" w:lineRule="auto"/>
        <w:rPr>
          <w:rFonts w:ascii="Palatino Linotype" w:hAnsi="Palatino Linotype"/>
        </w:rPr>
      </w:pPr>
    </w:p>
    <w:p w14:paraId="0C9E9726" w14:textId="77777777" w:rsidR="00207D17" w:rsidRPr="00C673EE" w:rsidRDefault="00207D17" w:rsidP="00C673EE">
      <w:pPr>
        <w:spacing w:line="360" w:lineRule="auto"/>
        <w:rPr>
          <w:rFonts w:ascii="Palatino Linotype" w:hAnsi="Palatino Linotype"/>
        </w:rPr>
      </w:pPr>
    </w:p>
    <w:p w14:paraId="3B1935B7" w14:textId="77777777" w:rsidR="00207D17" w:rsidRPr="00C673EE" w:rsidRDefault="00207D17" w:rsidP="00C673EE">
      <w:pPr>
        <w:spacing w:line="360" w:lineRule="auto"/>
        <w:rPr>
          <w:rFonts w:ascii="Palatino Linotype" w:hAnsi="Palatino Linotype"/>
        </w:rPr>
      </w:pPr>
    </w:p>
    <w:p w14:paraId="512E8E10" w14:textId="77777777" w:rsidR="00207D17" w:rsidRPr="00C673EE" w:rsidRDefault="00207D17" w:rsidP="00C673EE">
      <w:pPr>
        <w:spacing w:line="360" w:lineRule="auto"/>
        <w:rPr>
          <w:rFonts w:ascii="Palatino Linotype" w:hAnsi="Palatino Linotype"/>
        </w:rPr>
      </w:pPr>
    </w:p>
    <w:p w14:paraId="020CDAD3" w14:textId="77777777" w:rsidR="00207D17" w:rsidRPr="00C673EE" w:rsidRDefault="00207D17" w:rsidP="00C673EE">
      <w:pPr>
        <w:spacing w:line="360" w:lineRule="auto"/>
        <w:rPr>
          <w:rFonts w:ascii="Palatino Linotype" w:hAnsi="Palatino Linotype"/>
        </w:rPr>
      </w:pPr>
    </w:p>
    <w:p w14:paraId="4233906B" w14:textId="77777777" w:rsidR="004E1710" w:rsidRPr="00C673EE" w:rsidRDefault="00641EB9" w:rsidP="00C673EE">
      <w:pPr>
        <w:spacing w:line="360" w:lineRule="auto"/>
        <w:rPr>
          <w:rFonts w:ascii="Palatino Linotype" w:hAnsi="Palatino Linotype"/>
        </w:rPr>
      </w:pPr>
    </w:p>
    <w:sectPr w:rsidR="004E1710" w:rsidRPr="00C673EE" w:rsidSect="00BB456B">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C7B7E" w14:textId="77777777" w:rsidR="00641EB9" w:rsidRDefault="00641EB9" w:rsidP="00207D17">
      <w:r>
        <w:separator/>
      </w:r>
    </w:p>
  </w:endnote>
  <w:endnote w:type="continuationSeparator" w:id="0">
    <w:p w14:paraId="3AFCAD2F" w14:textId="77777777" w:rsidR="00641EB9" w:rsidRDefault="00641EB9" w:rsidP="0020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6FE62" w14:textId="77777777" w:rsidR="00BB456B" w:rsidRDefault="001D031F">
    <w:pPr>
      <w:pStyle w:val="Piedepgina"/>
      <w:jc w:val="right"/>
    </w:pPr>
    <w:r>
      <w:rPr>
        <w:lang w:val="es-ES"/>
      </w:rPr>
      <w:t xml:space="preserve">Página </w:t>
    </w:r>
    <w:r>
      <w:rPr>
        <w:b/>
        <w:bCs/>
      </w:rPr>
      <w:fldChar w:fldCharType="begin"/>
    </w:r>
    <w:r>
      <w:rPr>
        <w:b/>
        <w:bCs/>
      </w:rPr>
      <w:instrText>PAGE</w:instrText>
    </w:r>
    <w:r>
      <w:rPr>
        <w:b/>
        <w:bCs/>
      </w:rPr>
      <w:fldChar w:fldCharType="separate"/>
    </w:r>
    <w:r w:rsidR="002F191D">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F191D">
      <w:rPr>
        <w:b/>
        <w:bCs/>
        <w:noProof/>
      </w:rPr>
      <w:t>26</w:t>
    </w:r>
    <w:r>
      <w:rPr>
        <w:b/>
        <w:bCs/>
      </w:rPr>
      <w:fldChar w:fldCharType="end"/>
    </w:r>
  </w:p>
  <w:p w14:paraId="1869A4BC" w14:textId="77777777" w:rsidR="00BB456B" w:rsidRDefault="00641E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9E386" w14:textId="77777777" w:rsidR="00BB456B" w:rsidRDefault="001D031F">
    <w:pPr>
      <w:pStyle w:val="Piedepgina"/>
      <w:jc w:val="right"/>
    </w:pPr>
    <w:r>
      <w:rPr>
        <w:lang w:val="es-ES"/>
      </w:rPr>
      <w:t xml:space="preserve">Página </w:t>
    </w:r>
    <w:r>
      <w:rPr>
        <w:b/>
        <w:bCs/>
      </w:rPr>
      <w:fldChar w:fldCharType="begin"/>
    </w:r>
    <w:r>
      <w:rPr>
        <w:b/>
        <w:bCs/>
      </w:rPr>
      <w:instrText>PAGE</w:instrText>
    </w:r>
    <w:r>
      <w:rPr>
        <w:b/>
        <w:bCs/>
      </w:rPr>
      <w:fldChar w:fldCharType="separate"/>
    </w:r>
    <w:r w:rsidR="002F191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F191D">
      <w:rPr>
        <w:b/>
        <w:bCs/>
        <w:noProof/>
      </w:rPr>
      <w:t>26</w:t>
    </w:r>
    <w:r>
      <w:rPr>
        <w:b/>
        <w:bCs/>
      </w:rPr>
      <w:fldChar w:fldCharType="end"/>
    </w:r>
  </w:p>
  <w:p w14:paraId="790A43F3" w14:textId="77777777" w:rsidR="00BB456B" w:rsidRDefault="00641E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A3B0C" w14:textId="77777777" w:rsidR="00641EB9" w:rsidRDefault="00641EB9" w:rsidP="00207D17">
      <w:r>
        <w:separator/>
      </w:r>
    </w:p>
  </w:footnote>
  <w:footnote w:type="continuationSeparator" w:id="0">
    <w:p w14:paraId="059E99D9" w14:textId="77777777" w:rsidR="00641EB9" w:rsidRDefault="00641EB9" w:rsidP="00207D17">
      <w:r>
        <w:continuationSeparator/>
      </w:r>
    </w:p>
  </w:footnote>
  <w:footnote w:id="1">
    <w:p w14:paraId="3FA1BA8F" w14:textId="77777777" w:rsidR="00471AD6" w:rsidRPr="00733DD3" w:rsidRDefault="00471AD6" w:rsidP="00471AD6">
      <w:pPr>
        <w:autoSpaceDE w:val="0"/>
        <w:autoSpaceDN w:val="0"/>
        <w:adjustRightInd w:val="0"/>
        <w:jc w:val="both"/>
        <w:rPr>
          <w:rFonts w:ascii="Palatino Linotype" w:hAnsi="Palatino Linotype" w:cs="Arial"/>
          <w:sz w:val="16"/>
          <w:szCs w:val="16"/>
        </w:rPr>
      </w:pPr>
      <w:r>
        <w:rPr>
          <w:rStyle w:val="Refdenotaalpie"/>
        </w:rPr>
        <w:footnoteRef/>
      </w:r>
      <w:r>
        <w:t xml:space="preserve"> </w:t>
      </w:r>
      <w:r w:rsidRPr="00733DD3">
        <w:rPr>
          <w:rFonts w:ascii="Palatino Linotype" w:hAnsi="Palatino Linotype" w:cs="Arial"/>
          <w:sz w:val="16"/>
          <w:szCs w:val="16"/>
        </w:rPr>
        <w:t xml:space="preserve">Derecho de Petición, el Maestro Ignacio Burgoa Orihuela refiere: </w:t>
      </w:r>
    </w:p>
    <w:p w14:paraId="3A7ED7D7" w14:textId="77777777" w:rsidR="00471AD6" w:rsidRPr="00733DD3" w:rsidRDefault="00471AD6" w:rsidP="00471AD6">
      <w:pPr>
        <w:autoSpaceDE w:val="0"/>
        <w:autoSpaceDN w:val="0"/>
        <w:adjustRightInd w:val="0"/>
        <w:ind w:left="851" w:right="901"/>
        <w:jc w:val="both"/>
        <w:rPr>
          <w:rFonts w:ascii="Palatino Linotype" w:hAnsi="Palatino Linotype" w:cs="Arial"/>
          <w:i/>
          <w:sz w:val="16"/>
          <w:szCs w:val="16"/>
        </w:rPr>
      </w:pPr>
      <w:r w:rsidRPr="00733DD3">
        <w:rPr>
          <w:rFonts w:ascii="Palatino Linotype" w:hAnsi="Palatino Linotype" w:cs="Arial"/>
          <w:b/>
          <w:sz w:val="16"/>
          <w:szCs w:val="16"/>
        </w:rPr>
        <w:t>“</w:t>
      </w:r>
      <w:r w:rsidRPr="00733DD3">
        <w:rPr>
          <w:rFonts w:ascii="Palatino Linotype" w:hAnsi="Palatino Linotype" w:cs="Arial"/>
          <w:sz w:val="16"/>
          <w:szCs w:val="16"/>
        </w:rPr>
        <w:t>…</w:t>
      </w:r>
      <w:r w:rsidRPr="00733DD3">
        <w:rPr>
          <w:rFonts w:ascii="Palatino Linotype" w:hAnsi="Palatino Linotype" w:cs="Arial"/>
          <w:i/>
          <w:sz w:val="16"/>
          <w:szCs w:val="16"/>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proofErr w:type="gramStart"/>
      <w:r w:rsidRPr="00733DD3">
        <w:rPr>
          <w:rFonts w:ascii="Palatino Linotype" w:hAnsi="Palatino Linotype" w:cs="Arial"/>
          <w:i/>
          <w:sz w:val="16"/>
          <w:szCs w:val="16"/>
        </w:rPr>
        <w:t>.</w:t>
      </w:r>
      <w:r w:rsidRPr="00733DD3">
        <w:rPr>
          <w:rFonts w:ascii="Palatino Linotype" w:hAnsi="Palatino Linotype"/>
          <w:b/>
          <w:i/>
          <w:sz w:val="16"/>
          <w:szCs w:val="16"/>
        </w:rPr>
        <w:t>“</w:t>
      </w:r>
      <w:proofErr w:type="gramEnd"/>
      <w:r w:rsidRPr="00733DD3">
        <w:rPr>
          <w:rFonts w:ascii="Palatino Linotype" w:hAnsi="Palatino Linotype" w:cs="Arial"/>
          <w:i/>
          <w:sz w:val="16"/>
          <w:szCs w:val="16"/>
        </w:rPr>
        <w:t xml:space="preserve"> (sic)</w:t>
      </w:r>
    </w:p>
    <w:p w14:paraId="2F2B2F6B" w14:textId="77777777" w:rsidR="00471AD6" w:rsidRDefault="00471AD6" w:rsidP="00471AD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9491A" w14:textId="77777777" w:rsidR="00BB456B" w:rsidRDefault="00641EB9">
    <w:pPr>
      <w:pStyle w:val="Encabezado"/>
    </w:pPr>
    <w:r>
      <w:rPr>
        <w:noProof/>
      </w:rPr>
      <w:pict w14:anchorId="79391C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BB456B" w:rsidRPr="005C106F" w14:paraId="5C050852" w14:textId="77777777" w:rsidTr="00BB456B">
      <w:trPr>
        <w:trHeight w:val="1435"/>
      </w:trPr>
      <w:tc>
        <w:tcPr>
          <w:tcW w:w="2268" w:type="dxa"/>
          <w:shd w:val="clear" w:color="auto" w:fill="auto"/>
        </w:tcPr>
        <w:p w14:paraId="1DB80C70" w14:textId="77777777" w:rsidR="00BB456B" w:rsidRPr="005C106F" w:rsidRDefault="00641EB9" w:rsidP="00BB456B">
          <w:pPr>
            <w:tabs>
              <w:tab w:val="right" w:pos="4273"/>
            </w:tabs>
            <w:rPr>
              <w:rFonts w:ascii="Garamond" w:eastAsia="Calibri" w:hAnsi="Garamond"/>
              <w:sz w:val="16"/>
              <w:szCs w:val="16"/>
              <w:lang w:eastAsia="en-US"/>
            </w:rPr>
          </w:pPr>
        </w:p>
      </w:tc>
      <w:tc>
        <w:tcPr>
          <w:tcW w:w="6946" w:type="dxa"/>
          <w:shd w:val="clear" w:color="auto" w:fill="auto"/>
        </w:tcPr>
        <w:p w14:paraId="38C1E9FF" w14:textId="77777777" w:rsidR="00BB456B" w:rsidRDefault="00641EB9" w:rsidP="00BB456B"/>
        <w:tbl>
          <w:tblPr>
            <w:tblW w:w="6662" w:type="dxa"/>
            <w:tblInd w:w="40" w:type="dxa"/>
            <w:tblLayout w:type="fixed"/>
            <w:tblLook w:val="0420" w:firstRow="1" w:lastRow="0" w:firstColumn="0" w:lastColumn="0" w:noHBand="0" w:noVBand="1"/>
          </w:tblPr>
          <w:tblGrid>
            <w:gridCol w:w="2551"/>
            <w:gridCol w:w="4111"/>
          </w:tblGrid>
          <w:tr w:rsidR="00BB456B" w14:paraId="1667D4AF" w14:textId="77777777" w:rsidTr="00BB456B">
            <w:trPr>
              <w:trHeight w:val="150"/>
            </w:trPr>
            <w:tc>
              <w:tcPr>
                <w:tcW w:w="2551" w:type="dxa"/>
                <w:shd w:val="clear" w:color="auto" w:fill="auto"/>
              </w:tcPr>
              <w:p w14:paraId="023AB627" w14:textId="77777777" w:rsidR="00BB456B" w:rsidRPr="00020E73" w:rsidRDefault="001D031F" w:rsidP="00BB456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216AB9D5" w14:textId="77777777" w:rsidR="00BB456B" w:rsidRPr="00020E73" w:rsidRDefault="00207D17" w:rsidP="00BB456B">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05283</w:t>
                </w:r>
                <w:r w:rsidR="001D031F" w:rsidRPr="009E7B0A">
                  <w:rPr>
                    <w:rFonts w:ascii="Palatino Linotype" w:eastAsia="Calibri" w:hAnsi="Palatino Linotype" w:cs="Tahoma"/>
                    <w:bCs/>
                    <w:sz w:val="22"/>
                    <w:szCs w:val="22"/>
                    <w:lang w:eastAsia="en-US"/>
                  </w:rPr>
                  <w:t>/INFOEM/IP/RR/2021</w:t>
                </w:r>
                <w:r w:rsidR="001D031F" w:rsidRPr="009E7B0A">
                  <w:rPr>
                    <w:rFonts w:ascii="Palatino Linotype" w:eastAsia="Calibri" w:hAnsi="Palatino Linotype" w:cs="Tahoma"/>
                    <w:b/>
                    <w:bCs/>
                    <w:sz w:val="22"/>
                    <w:szCs w:val="22"/>
                    <w:lang w:eastAsia="en-US"/>
                  </w:rPr>
                  <w:t xml:space="preserve"> </w:t>
                </w:r>
              </w:p>
            </w:tc>
          </w:tr>
          <w:tr w:rsidR="00BB456B" w14:paraId="27F0E58B" w14:textId="77777777" w:rsidTr="00BB456B">
            <w:trPr>
              <w:trHeight w:val="295"/>
            </w:trPr>
            <w:tc>
              <w:tcPr>
                <w:tcW w:w="2551" w:type="dxa"/>
                <w:shd w:val="clear" w:color="auto" w:fill="auto"/>
              </w:tcPr>
              <w:p w14:paraId="2856FFD0" w14:textId="77777777" w:rsidR="00BB456B" w:rsidRPr="00020E73" w:rsidRDefault="001D031F" w:rsidP="00BB456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2CA097EB" w14:textId="77777777" w:rsidR="00BB456B" w:rsidRPr="00020E73" w:rsidRDefault="00207D17" w:rsidP="00D262C2">
                <w:pPr>
                  <w:tabs>
                    <w:tab w:val="left" w:pos="2834"/>
                    <w:tab w:val="right" w:pos="8838"/>
                  </w:tabs>
                  <w:ind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Metepec</w:t>
                </w:r>
              </w:p>
            </w:tc>
          </w:tr>
          <w:tr w:rsidR="00BB456B" w14:paraId="6966269B" w14:textId="77777777" w:rsidTr="00BB456B">
            <w:trPr>
              <w:trHeight w:val="295"/>
            </w:trPr>
            <w:tc>
              <w:tcPr>
                <w:tcW w:w="2551" w:type="dxa"/>
                <w:shd w:val="clear" w:color="auto" w:fill="auto"/>
              </w:tcPr>
              <w:p w14:paraId="5FA2D0CC" w14:textId="77777777" w:rsidR="00BB456B" w:rsidRPr="00020E73" w:rsidRDefault="001D031F" w:rsidP="00BB456B">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04311102" w14:textId="77777777" w:rsidR="00BB456B" w:rsidRPr="00020E73" w:rsidRDefault="001D031F" w:rsidP="00BB456B">
                <w:pPr>
                  <w:tabs>
                    <w:tab w:val="right" w:pos="8838"/>
                  </w:tabs>
                  <w:ind w:left="-108" w:right="171"/>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r>
        </w:tbl>
        <w:p w14:paraId="0EE400F2" w14:textId="77777777" w:rsidR="00BB456B" w:rsidRPr="005C106F" w:rsidRDefault="00641EB9" w:rsidP="00BB456B">
          <w:pPr>
            <w:tabs>
              <w:tab w:val="right" w:pos="8838"/>
            </w:tabs>
            <w:ind w:left="-28"/>
            <w:jc w:val="both"/>
            <w:rPr>
              <w:rFonts w:ascii="Arial" w:eastAsia="Calibri" w:hAnsi="Arial" w:cs="Arial"/>
              <w:b/>
              <w:sz w:val="22"/>
              <w:szCs w:val="22"/>
              <w:lang w:eastAsia="en-US"/>
            </w:rPr>
          </w:pPr>
        </w:p>
      </w:tc>
    </w:tr>
  </w:tbl>
  <w:p w14:paraId="481D2BC6" w14:textId="77777777" w:rsidR="00BB456B" w:rsidRPr="00443C6B" w:rsidRDefault="00641EB9" w:rsidP="00BB456B">
    <w:pPr>
      <w:pStyle w:val="Encabezado"/>
      <w:rPr>
        <w:sz w:val="14"/>
      </w:rPr>
    </w:pPr>
    <w:r>
      <w:rPr>
        <w:noProof/>
        <w:sz w:val="14"/>
      </w:rPr>
      <w:pict w14:anchorId="1F083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BB456B" w:rsidRPr="00330DA7" w14:paraId="03F5C20D" w14:textId="77777777" w:rsidTr="00BB456B">
      <w:trPr>
        <w:trHeight w:val="1435"/>
      </w:trPr>
      <w:tc>
        <w:tcPr>
          <w:tcW w:w="2268" w:type="dxa"/>
          <w:shd w:val="clear" w:color="auto" w:fill="auto"/>
        </w:tcPr>
        <w:p w14:paraId="109613EC" w14:textId="77777777" w:rsidR="00BB456B" w:rsidRPr="00330DA7" w:rsidRDefault="00641EB9" w:rsidP="00BB456B">
          <w:pPr>
            <w:tabs>
              <w:tab w:val="right" w:pos="4273"/>
            </w:tabs>
            <w:rPr>
              <w:rFonts w:ascii="Garamond" w:eastAsia="Calibri" w:hAnsi="Garamond"/>
              <w:sz w:val="22"/>
              <w:szCs w:val="22"/>
              <w:lang w:eastAsia="en-US"/>
            </w:rPr>
          </w:pPr>
        </w:p>
      </w:tc>
      <w:tc>
        <w:tcPr>
          <w:tcW w:w="6804" w:type="dxa"/>
          <w:shd w:val="clear" w:color="auto" w:fill="auto"/>
        </w:tcPr>
        <w:tbl>
          <w:tblPr>
            <w:tblW w:w="10880" w:type="dxa"/>
            <w:tblInd w:w="40" w:type="dxa"/>
            <w:tblLayout w:type="fixed"/>
            <w:tblLook w:val="0420" w:firstRow="1" w:lastRow="0" w:firstColumn="0" w:lastColumn="0" w:noHBand="0" w:noVBand="1"/>
          </w:tblPr>
          <w:tblGrid>
            <w:gridCol w:w="2444"/>
            <w:gridCol w:w="4218"/>
            <w:gridCol w:w="4218"/>
          </w:tblGrid>
          <w:tr w:rsidR="00BB456B" w:rsidRPr="00330DA7" w14:paraId="4C35423D" w14:textId="77777777" w:rsidTr="00B4318F">
            <w:trPr>
              <w:trHeight w:val="144"/>
            </w:trPr>
            <w:tc>
              <w:tcPr>
                <w:tcW w:w="2444" w:type="dxa"/>
                <w:shd w:val="clear" w:color="auto" w:fill="auto"/>
              </w:tcPr>
              <w:p w14:paraId="6886FD3A" w14:textId="77777777" w:rsidR="00BB456B" w:rsidRPr="00020E73" w:rsidRDefault="001D031F" w:rsidP="00BB456B">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1DAD98A0" w14:textId="77777777" w:rsidR="00BB456B" w:rsidRPr="00020E73" w:rsidRDefault="00207D17" w:rsidP="00BB456B">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05283</w:t>
                </w:r>
                <w:r w:rsidR="001D031F" w:rsidRPr="009E7B0A">
                  <w:rPr>
                    <w:rFonts w:ascii="Palatino Linotype" w:eastAsia="Calibri" w:hAnsi="Palatino Linotype" w:cs="Tahoma"/>
                    <w:sz w:val="22"/>
                    <w:szCs w:val="22"/>
                    <w:lang w:eastAsia="en-US"/>
                  </w:rPr>
                  <w:t>/INFOEM/IP/RR/2021</w:t>
                </w:r>
                <w:r w:rsidR="001D031F">
                  <w:rPr>
                    <w:rFonts w:ascii="Palatino Linotype" w:eastAsia="Calibri" w:hAnsi="Palatino Linotype" w:cs="Tahoma"/>
                    <w:b/>
                    <w:bCs/>
                    <w:sz w:val="22"/>
                    <w:szCs w:val="22"/>
                    <w:lang w:eastAsia="en-US"/>
                  </w:rPr>
                  <w:t xml:space="preserve"> </w:t>
                </w:r>
              </w:p>
            </w:tc>
            <w:tc>
              <w:tcPr>
                <w:tcW w:w="4218" w:type="dxa"/>
              </w:tcPr>
              <w:p w14:paraId="27C503F3" w14:textId="77777777" w:rsidR="00BB456B" w:rsidRDefault="00641EB9" w:rsidP="00BB456B">
                <w:pPr>
                  <w:tabs>
                    <w:tab w:val="right" w:pos="8838"/>
                  </w:tabs>
                  <w:ind w:left="-74" w:right="-105"/>
                  <w:jc w:val="both"/>
                  <w:rPr>
                    <w:rFonts w:ascii="Palatino Linotype" w:eastAsia="Calibri" w:hAnsi="Palatino Linotype" w:cs="Tahoma"/>
                    <w:sz w:val="22"/>
                    <w:szCs w:val="22"/>
                    <w:lang w:eastAsia="en-US"/>
                  </w:rPr>
                </w:pPr>
              </w:p>
            </w:tc>
          </w:tr>
          <w:tr w:rsidR="00BB456B" w:rsidRPr="00330DA7" w14:paraId="79B575AE" w14:textId="77777777" w:rsidTr="00B4318F">
            <w:trPr>
              <w:trHeight w:val="144"/>
            </w:trPr>
            <w:tc>
              <w:tcPr>
                <w:tcW w:w="2444" w:type="dxa"/>
                <w:shd w:val="clear" w:color="auto" w:fill="auto"/>
              </w:tcPr>
              <w:p w14:paraId="323B0A82" w14:textId="77777777" w:rsidR="00BB456B" w:rsidRPr="00020E73" w:rsidRDefault="001D031F" w:rsidP="00BB456B">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1E0EE9BB" w14:textId="30ED38DD" w:rsidR="00BB456B" w:rsidRPr="00020E73" w:rsidRDefault="002F191D" w:rsidP="00BB456B">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XXXXXXXXXXXXXXX</w:t>
                </w:r>
              </w:p>
            </w:tc>
            <w:tc>
              <w:tcPr>
                <w:tcW w:w="4218" w:type="dxa"/>
              </w:tcPr>
              <w:p w14:paraId="3D296FDE" w14:textId="77777777" w:rsidR="00BB456B" w:rsidRPr="00020E73" w:rsidRDefault="00641EB9" w:rsidP="00BB456B">
                <w:pPr>
                  <w:tabs>
                    <w:tab w:val="left" w:pos="3122"/>
                    <w:tab w:val="right" w:pos="8838"/>
                  </w:tabs>
                  <w:ind w:left="-74" w:right="-105"/>
                  <w:jc w:val="both"/>
                  <w:rPr>
                    <w:rFonts w:ascii="Palatino Linotype" w:eastAsia="Calibri" w:hAnsi="Palatino Linotype" w:cs="Tahoma"/>
                    <w:sz w:val="22"/>
                    <w:szCs w:val="22"/>
                    <w:lang w:val="es-ES" w:eastAsia="en-US"/>
                  </w:rPr>
                </w:pPr>
              </w:p>
            </w:tc>
          </w:tr>
          <w:tr w:rsidR="00BB456B" w:rsidRPr="00330DA7" w14:paraId="73FB3131" w14:textId="77777777" w:rsidTr="00B4318F">
            <w:trPr>
              <w:trHeight w:val="283"/>
            </w:trPr>
            <w:tc>
              <w:tcPr>
                <w:tcW w:w="2444" w:type="dxa"/>
                <w:shd w:val="clear" w:color="auto" w:fill="auto"/>
              </w:tcPr>
              <w:p w14:paraId="417092D7" w14:textId="77777777" w:rsidR="00BB456B" w:rsidRPr="00020E73" w:rsidRDefault="001D031F" w:rsidP="00BB456B">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16BE1B0C" w14:textId="77777777" w:rsidR="00BB456B" w:rsidRPr="009E7B0A" w:rsidRDefault="00207D17" w:rsidP="00BB456B">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Metepec</w:t>
                </w:r>
              </w:p>
            </w:tc>
            <w:tc>
              <w:tcPr>
                <w:tcW w:w="4218" w:type="dxa"/>
              </w:tcPr>
              <w:p w14:paraId="16206624" w14:textId="77777777" w:rsidR="00BB456B" w:rsidRDefault="00641EB9" w:rsidP="00BB456B">
                <w:pPr>
                  <w:tabs>
                    <w:tab w:val="left" w:pos="2834"/>
                    <w:tab w:val="right" w:pos="8838"/>
                  </w:tabs>
                  <w:ind w:left="-74" w:right="-105"/>
                  <w:jc w:val="both"/>
                  <w:rPr>
                    <w:rFonts w:ascii="Palatino Linotype" w:eastAsia="Calibri" w:hAnsi="Palatino Linotype" w:cs="Tahoma"/>
                    <w:sz w:val="22"/>
                    <w:szCs w:val="22"/>
                    <w:lang w:eastAsia="en-US"/>
                  </w:rPr>
                </w:pPr>
              </w:p>
            </w:tc>
          </w:tr>
          <w:tr w:rsidR="00BB456B" w:rsidRPr="00330DA7" w14:paraId="72D96106" w14:textId="77777777" w:rsidTr="00B4318F">
            <w:trPr>
              <w:trHeight w:val="283"/>
            </w:trPr>
            <w:tc>
              <w:tcPr>
                <w:tcW w:w="2444" w:type="dxa"/>
                <w:shd w:val="clear" w:color="auto" w:fill="auto"/>
              </w:tcPr>
              <w:p w14:paraId="069B14E6" w14:textId="77777777" w:rsidR="00BB456B" w:rsidRPr="00020E73" w:rsidRDefault="001D031F" w:rsidP="00BB456B">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67D64D8" w14:textId="77777777" w:rsidR="00BB456B" w:rsidRPr="00020E73" w:rsidRDefault="001D031F" w:rsidP="00BB456B">
                <w:pPr>
                  <w:tabs>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c>
              <w:tcPr>
                <w:tcW w:w="4218" w:type="dxa"/>
              </w:tcPr>
              <w:p w14:paraId="1392692B" w14:textId="77777777" w:rsidR="00BB456B" w:rsidRDefault="00641EB9" w:rsidP="00BB456B">
                <w:pPr>
                  <w:tabs>
                    <w:tab w:val="right" w:pos="8838"/>
                  </w:tabs>
                  <w:ind w:left="-74" w:right="-105"/>
                  <w:jc w:val="both"/>
                  <w:rPr>
                    <w:rFonts w:ascii="Palatino Linotype" w:eastAsia="Calibri" w:hAnsi="Palatino Linotype" w:cs="Tahoma"/>
                    <w:sz w:val="22"/>
                    <w:szCs w:val="22"/>
                    <w:lang w:val="es-ES" w:eastAsia="en-US"/>
                  </w:rPr>
                </w:pPr>
              </w:p>
            </w:tc>
          </w:tr>
        </w:tbl>
        <w:p w14:paraId="186C0B2F" w14:textId="77777777" w:rsidR="00BB456B" w:rsidRPr="00330DA7" w:rsidRDefault="00641EB9" w:rsidP="00BB456B">
          <w:pPr>
            <w:tabs>
              <w:tab w:val="right" w:pos="8838"/>
            </w:tabs>
            <w:ind w:left="-28"/>
            <w:jc w:val="both"/>
            <w:rPr>
              <w:rFonts w:ascii="Arial" w:eastAsia="Calibri" w:hAnsi="Arial" w:cs="Arial"/>
              <w:b/>
              <w:sz w:val="22"/>
              <w:szCs w:val="22"/>
              <w:lang w:eastAsia="en-US"/>
            </w:rPr>
          </w:pPr>
        </w:p>
      </w:tc>
    </w:tr>
  </w:tbl>
  <w:p w14:paraId="06221424" w14:textId="77777777" w:rsidR="00BB456B" w:rsidRPr="00827FA0" w:rsidRDefault="00641EB9" w:rsidP="00BB456B">
    <w:pPr>
      <w:pStyle w:val="Encabezado"/>
      <w:rPr>
        <w:sz w:val="2"/>
        <w:szCs w:val="22"/>
      </w:rPr>
    </w:pPr>
    <w:r>
      <w:rPr>
        <w:noProof/>
        <w:sz w:val="2"/>
        <w:szCs w:val="22"/>
      </w:rPr>
      <w:pict w14:anchorId="18CB0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96B"/>
    <w:multiLevelType w:val="hybridMultilevel"/>
    <w:tmpl w:val="91A6FBFE"/>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B94EDB"/>
    <w:multiLevelType w:val="hybridMultilevel"/>
    <w:tmpl w:val="FCBEB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FA775B"/>
    <w:multiLevelType w:val="multilevel"/>
    <w:tmpl w:val="55B0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17490"/>
    <w:multiLevelType w:val="hybridMultilevel"/>
    <w:tmpl w:val="91A6FBFE"/>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D7852D6"/>
    <w:multiLevelType w:val="hybridMultilevel"/>
    <w:tmpl w:val="344259B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602B190D"/>
    <w:multiLevelType w:val="hybridMultilevel"/>
    <w:tmpl w:val="8BF827D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17"/>
    <w:rsid w:val="00007A3C"/>
    <w:rsid w:val="00025421"/>
    <w:rsid w:val="000363C0"/>
    <w:rsid w:val="00037E34"/>
    <w:rsid w:val="000967D3"/>
    <w:rsid w:val="000B6839"/>
    <w:rsid w:val="001D031F"/>
    <w:rsid w:val="001F4046"/>
    <w:rsid w:val="00207D17"/>
    <w:rsid w:val="00214EBE"/>
    <w:rsid w:val="00273630"/>
    <w:rsid w:val="00290F3A"/>
    <w:rsid w:val="002F191D"/>
    <w:rsid w:val="00302FA6"/>
    <w:rsid w:val="003B52E4"/>
    <w:rsid w:val="003C7587"/>
    <w:rsid w:val="003F101E"/>
    <w:rsid w:val="004342F1"/>
    <w:rsid w:val="00471AD6"/>
    <w:rsid w:val="00573CA9"/>
    <w:rsid w:val="005A630D"/>
    <w:rsid w:val="00604567"/>
    <w:rsid w:val="00641EB9"/>
    <w:rsid w:val="0076643E"/>
    <w:rsid w:val="007A668C"/>
    <w:rsid w:val="007D1BC5"/>
    <w:rsid w:val="00812CDC"/>
    <w:rsid w:val="00823BCD"/>
    <w:rsid w:val="00896EBF"/>
    <w:rsid w:val="00A350E5"/>
    <w:rsid w:val="00BC5EDE"/>
    <w:rsid w:val="00C27DEF"/>
    <w:rsid w:val="00C35F09"/>
    <w:rsid w:val="00C673EE"/>
    <w:rsid w:val="00DB5D82"/>
    <w:rsid w:val="00ED74EB"/>
    <w:rsid w:val="00EE19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6E8304"/>
  <w15:chartTrackingRefBased/>
  <w15:docId w15:val="{F1278B12-09F4-487B-AFD7-A3F201B4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D17"/>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207D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07D1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7D17"/>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207D17"/>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207D17"/>
    <w:pPr>
      <w:tabs>
        <w:tab w:val="center" w:pos="4419"/>
        <w:tab w:val="right" w:pos="8838"/>
      </w:tabs>
    </w:pPr>
  </w:style>
  <w:style w:type="character" w:customStyle="1" w:styleId="EncabezadoCar">
    <w:name w:val="Encabezado Car"/>
    <w:basedOn w:val="Fuentedeprrafopredeter"/>
    <w:link w:val="Encabezado"/>
    <w:uiPriority w:val="99"/>
    <w:rsid w:val="00207D17"/>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207D17"/>
    <w:pPr>
      <w:tabs>
        <w:tab w:val="center" w:pos="4419"/>
        <w:tab w:val="right" w:pos="8838"/>
      </w:tabs>
    </w:pPr>
  </w:style>
  <w:style w:type="character" w:customStyle="1" w:styleId="PiedepginaCar">
    <w:name w:val="Pie de página Car"/>
    <w:basedOn w:val="Fuentedeprrafopredeter"/>
    <w:link w:val="Piedepgina"/>
    <w:uiPriority w:val="99"/>
    <w:rsid w:val="00207D17"/>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7D1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07D17"/>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207D17"/>
    <w:rPr>
      <w:color w:val="0563C1"/>
      <w:u w:val="single"/>
    </w:rPr>
  </w:style>
  <w:style w:type="paragraph" w:styleId="Sinespaciado">
    <w:name w:val="No Spacing"/>
    <w:aliases w:val="Francesa,INAI"/>
    <w:link w:val="SinespaciadoCar"/>
    <w:uiPriority w:val="1"/>
    <w:qFormat/>
    <w:rsid w:val="00207D17"/>
    <w:pPr>
      <w:spacing w:after="0" w:line="240" w:lineRule="auto"/>
    </w:pPr>
    <w:rPr>
      <w:lang w:val="es-MX"/>
    </w:rPr>
  </w:style>
  <w:style w:type="character" w:customStyle="1" w:styleId="SinespaciadoCar">
    <w:name w:val="Sin espaciado Car"/>
    <w:aliases w:val="Francesa Car,INAI Car"/>
    <w:link w:val="Sinespaciado"/>
    <w:uiPriority w:val="1"/>
    <w:locked/>
    <w:rsid w:val="00207D17"/>
    <w:rPr>
      <w:lang w:val="es-MX"/>
    </w:rPr>
  </w:style>
  <w:style w:type="paragraph" w:styleId="TDC1">
    <w:name w:val="toc 1"/>
    <w:basedOn w:val="Normal"/>
    <w:next w:val="Normal"/>
    <w:autoRedefine/>
    <w:uiPriority w:val="39"/>
    <w:unhideWhenUsed/>
    <w:rsid w:val="00207D1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207D17"/>
    <w:pPr>
      <w:spacing w:after="100" w:line="259" w:lineRule="auto"/>
      <w:ind w:left="220"/>
    </w:pPr>
    <w:rPr>
      <w:rFonts w:asciiTheme="minorHAnsi" w:eastAsiaTheme="minorHAnsi" w:hAnsiTheme="minorHAnsi" w:cstheme="minorBidi"/>
      <w:sz w:val="22"/>
      <w:szCs w:val="22"/>
      <w:lang w:eastAsia="en-US"/>
    </w:rPr>
  </w:style>
  <w:style w:type="paragraph" w:styleId="TtulodeTDC">
    <w:name w:val="TOC Heading"/>
    <w:basedOn w:val="Ttulo1"/>
    <w:next w:val="Normal"/>
    <w:uiPriority w:val="39"/>
    <w:semiHidden/>
    <w:unhideWhenUsed/>
    <w:qFormat/>
    <w:rsid w:val="00207D17"/>
    <w:pPr>
      <w:outlineLvl w:val="9"/>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71AD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71AD6"/>
    <w:rPr>
      <w:sz w:val="20"/>
      <w:szCs w:val="20"/>
      <w:lang w:val="es-MX"/>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471A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5506">
      <w:bodyDiv w:val="1"/>
      <w:marLeft w:val="0"/>
      <w:marRight w:val="0"/>
      <w:marTop w:val="0"/>
      <w:marBottom w:val="0"/>
      <w:divBdr>
        <w:top w:val="none" w:sz="0" w:space="0" w:color="auto"/>
        <w:left w:val="none" w:sz="0" w:space="0" w:color="auto"/>
        <w:bottom w:val="none" w:sz="0" w:space="0" w:color="auto"/>
        <w:right w:val="none" w:sz="0" w:space="0" w:color="auto"/>
      </w:divBdr>
    </w:div>
    <w:div w:id="160052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42226.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aimex.org.mx/saimex/solicitud/downloadAttach/1226338.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imex.org.mx/saimex/solicitud/downloadAttach/1265833.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6905</Words>
  <Characters>37978</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2022-02-17T22:41:00Z</dcterms:created>
  <dcterms:modified xsi:type="dcterms:W3CDTF">2022-02-17T22:41:00Z</dcterms:modified>
</cp:coreProperties>
</file>