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w:t>
      </w:r>
      <w:r w:rsidR="005662D4">
        <w:rPr>
          <w:rFonts w:ascii="Palatino Linotype" w:eastAsia="Palatino Linotype" w:hAnsi="Palatino Linotype" w:cs="Palatino Linotype"/>
        </w:rPr>
        <w:t xml:space="preserve"> Estado de México, de fecha veintitrés</w:t>
      </w:r>
      <w:r>
        <w:rPr>
          <w:rFonts w:ascii="Palatino Linotype" w:eastAsia="Palatino Linotype" w:hAnsi="Palatino Linotype" w:cs="Palatino Linotype"/>
        </w:rPr>
        <w:t xml:space="preserve"> de febrero del dos mil veintidós. </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sidR="005662D4">
        <w:rPr>
          <w:rFonts w:ascii="Palatino Linotype" w:eastAsia="Palatino Linotype" w:hAnsi="Palatino Linotype" w:cs="Palatino Linotype"/>
          <w:b/>
        </w:rPr>
        <w:t>00034/INFOEM/IP/RR/2022</w:t>
      </w:r>
      <w:r>
        <w:rPr>
          <w:rFonts w:ascii="Palatino Linotype" w:eastAsia="Palatino Linotype" w:hAnsi="Palatino Linotype" w:cs="Palatino Linotype"/>
        </w:rPr>
        <w:t xml:space="preserve">, interpuesto por </w:t>
      </w:r>
      <w:r w:rsidR="00411A7A">
        <w:rPr>
          <w:rFonts w:ascii="Palatino Linotype" w:eastAsia="Palatino Linotype" w:hAnsi="Palatino Linotype" w:cs="Palatino Linotype"/>
          <w:b/>
        </w:rPr>
        <w:t xml:space="preserve">XXXXX XXXX XXXXX </w:t>
      </w:r>
      <w:proofErr w:type="spellStart"/>
      <w:r w:rsidR="00411A7A">
        <w:rPr>
          <w:rFonts w:ascii="Palatino Linotype" w:eastAsia="Palatino Linotype" w:hAnsi="Palatino Linotype" w:cs="Palatino Linotype"/>
          <w:b/>
        </w:rPr>
        <w:t>XXXXX</w:t>
      </w:r>
      <w:proofErr w:type="spellEnd"/>
      <w:r w:rsidR="005662D4">
        <w:rPr>
          <w:rFonts w:ascii="Palatino Linotype" w:eastAsia="Palatino Linotype" w:hAnsi="Palatino Linotype" w:cs="Palatino Linotype"/>
        </w:rPr>
        <w:t xml:space="preserve">, en lo sucesivo el </w:t>
      </w:r>
      <w:r w:rsidR="005662D4" w:rsidRPr="005662D4">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 </w:t>
      </w:r>
      <w:r w:rsidR="005662D4" w:rsidRPr="005662D4">
        <w:rPr>
          <w:rFonts w:ascii="Palatino Linotype" w:eastAsia="Palatino Linotype" w:hAnsi="Palatino Linotype" w:cs="Palatino Linotype"/>
          <w:b/>
        </w:rPr>
        <w:t>00290/AMECAMEC/IP/2021</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w:t>
      </w:r>
      <w:r w:rsidR="005662D4">
        <w:rPr>
          <w:rFonts w:ascii="Palatino Linotype" w:eastAsia="Palatino Linotype" w:hAnsi="Palatino Linotype" w:cs="Palatino Linotype"/>
          <w:b/>
        </w:rPr>
        <w:t>yuntamiento de Amecameca</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2B1D27" w:rsidRDefault="00707FE0">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2B1D27" w:rsidRDefault="00707FE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sidR="005662D4">
        <w:rPr>
          <w:rFonts w:ascii="Palatino Linotype" w:eastAsia="Palatino Linotype" w:hAnsi="Palatino Linotype" w:cs="Palatino Linotype"/>
        </w:rPr>
        <w:t>Con fecha catorce de diciembre</w:t>
      </w:r>
      <w:r>
        <w:rPr>
          <w:rFonts w:ascii="Palatino Linotype" w:eastAsia="Palatino Linotype" w:hAnsi="Palatino Linotype" w:cs="Palatino Linotype"/>
        </w:rPr>
        <w:t xml:space="preserve"> del dos mil veintiuno,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2B1D27" w:rsidRDefault="00707FE0">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5662D4" w:rsidRPr="005662D4">
        <w:rPr>
          <w:rFonts w:ascii="Palatino Linotype" w:eastAsia="Palatino Linotype" w:hAnsi="Palatino Linotype" w:cs="Palatino Linotype"/>
          <w:i/>
          <w:color w:val="000000"/>
          <w:sz w:val="22"/>
          <w:szCs w:val="22"/>
        </w:rPr>
        <w:t>SOLICITO AL SUJETO OBLIGADO ME INFORME QUE UNIDAD ADMINISTRATIVA SE ENCARGA DE LAS ENAJENACIONES DE BIENES MUEBLES Y DE QUE DIRECCIÓN GENERAL DEPENDE DICHA UNIDAD ADMINISTRATIVA.</w:t>
      </w:r>
      <w:r>
        <w:rPr>
          <w:rFonts w:ascii="Palatino Linotype" w:eastAsia="Palatino Linotype" w:hAnsi="Palatino Linotype" w:cs="Palatino Linotype"/>
          <w:i/>
          <w:color w:val="000000"/>
          <w:sz w:val="22"/>
          <w:szCs w:val="22"/>
        </w:rPr>
        <w:t>” (Sic)</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sidR="005662D4">
        <w:rPr>
          <w:rFonts w:ascii="Palatino Linotype" w:eastAsia="Palatino Linotype" w:hAnsi="Palatino Linotype" w:cs="Palatino Linotype"/>
        </w:rPr>
        <w:t>Con fecha quince de diciembre</w:t>
      </w:r>
      <w:r>
        <w:rPr>
          <w:rFonts w:ascii="Palatino Linotype" w:eastAsia="Palatino Linotype" w:hAnsi="Palatino Linotype" w:cs="Palatino Linotype"/>
        </w:rPr>
        <w:t xml:space="preserve"> de </w:t>
      </w:r>
      <w:proofErr w:type="gramStart"/>
      <w:r>
        <w:rPr>
          <w:rFonts w:ascii="Palatino Linotype" w:eastAsia="Palatino Linotype" w:hAnsi="Palatino Linotype" w:cs="Palatino Linotype"/>
        </w:rPr>
        <w:t>dos mil veintiuno</w:t>
      </w:r>
      <w:proofErr w:type="gramEnd"/>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2B1D27" w:rsidRDefault="00707FE0" w:rsidP="005662D4">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5662D4" w:rsidRPr="005662D4">
        <w:rPr>
          <w:rFonts w:ascii="Palatino Linotype" w:eastAsia="Palatino Linotype" w:hAnsi="Palatino Linotype" w:cs="Palatino Linotype"/>
          <w:i/>
          <w:color w:val="000000"/>
          <w:sz w:val="22"/>
          <w:szCs w:val="22"/>
        </w:rPr>
        <w:t>Se proporciona la información solicitada</w:t>
      </w:r>
    </w:p>
    <w:p w:rsidR="002B1D27" w:rsidRDefault="00707FE0">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2B1D27" w:rsidRDefault="005662D4">
      <w:pPr>
        <w:ind w:left="851" w:right="902"/>
        <w:jc w:val="both"/>
        <w:rPr>
          <w:rFonts w:ascii="Palatino Linotype" w:eastAsia="Palatino Linotype" w:hAnsi="Palatino Linotype" w:cs="Palatino Linotype"/>
          <w:i/>
          <w:color w:val="000000"/>
          <w:sz w:val="22"/>
          <w:szCs w:val="22"/>
        </w:rPr>
      </w:pPr>
      <w:r w:rsidRPr="005662D4">
        <w:rPr>
          <w:rFonts w:ascii="Palatino Linotype" w:eastAsia="Palatino Linotype" w:hAnsi="Palatino Linotype" w:cs="Palatino Linotype"/>
          <w:i/>
          <w:color w:val="000000"/>
          <w:sz w:val="22"/>
          <w:szCs w:val="22"/>
        </w:rPr>
        <w:t xml:space="preserve">Leticia </w:t>
      </w:r>
      <w:proofErr w:type="spellStart"/>
      <w:r w:rsidRPr="005662D4">
        <w:rPr>
          <w:rFonts w:ascii="Palatino Linotype" w:eastAsia="Palatino Linotype" w:hAnsi="Palatino Linotype" w:cs="Palatino Linotype"/>
          <w:i/>
          <w:color w:val="000000"/>
          <w:sz w:val="22"/>
          <w:szCs w:val="22"/>
        </w:rPr>
        <w:t>Ramirez</w:t>
      </w:r>
      <w:proofErr w:type="spellEnd"/>
      <w:r w:rsidRPr="005662D4">
        <w:rPr>
          <w:rFonts w:ascii="Palatino Linotype" w:eastAsia="Palatino Linotype" w:hAnsi="Palatino Linotype" w:cs="Palatino Linotype"/>
          <w:i/>
          <w:color w:val="000000"/>
          <w:sz w:val="22"/>
          <w:szCs w:val="22"/>
        </w:rPr>
        <w:t xml:space="preserve"> </w:t>
      </w:r>
      <w:proofErr w:type="spellStart"/>
      <w:r w:rsidRPr="005662D4">
        <w:rPr>
          <w:rFonts w:ascii="Palatino Linotype" w:eastAsia="Palatino Linotype" w:hAnsi="Palatino Linotype" w:cs="Palatino Linotype"/>
          <w:i/>
          <w:color w:val="000000"/>
          <w:sz w:val="22"/>
          <w:szCs w:val="22"/>
        </w:rPr>
        <w:t>Velazquez</w:t>
      </w:r>
      <w:proofErr w:type="spellEnd"/>
      <w:r w:rsidR="00707FE0">
        <w:rPr>
          <w:rFonts w:ascii="Palatino Linotype" w:eastAsia="Palatino Linotype" w:hAnsi="Palatino Linotype" w:cs="Palatino Linotype"/>
          <w:i/>
          <w:color w:val="000000"/>
          <w:sz w:val="22"/>
          <w:szCs w:val="22"/>
        </w:rPr>
        <w:t>” (Sic)</w:t>
      </w:r>
    </w:p>
    <w:p w:rsidR="002B1D27" w:rsidRDefault="002B1D27">
      <w:pPr>
        <w:ind w:left="851" w:right="902"/>
        <w:jc w:val="both"/>
        <w:rPr>
          <w:rFonts w:ascii="Palatino Linotype" w:eastAsia="Palatino Linotype" w:hAnsi="Palatino Linotype" w:cs="Palatino Linotype"/>
          <w:i/>
          <w:sz w:val="22"/>
          <w:szCs w:val="22"/>
        </w:rPr>
      </w:pPr>
    </w:p>
    <w:p w:rsidR="002B1D27" w:rsidRDefault="00707FE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Adjuntando a su respuesta el archivo electrónico denominado: “</w:t>
      </w:r>
      <w:hyperlink r:id="rId8" w:tgtFrame="_blank" w:history="1">
        <w:r w:rsidR="005662D4" w:rsidRPr="005662D4">
          <w:rPr>
            <w:rFonts w:ascii="Palatino Linotype" w:eastAsia="Palatino Linotype" w:hAnsi="Palatino Linotype" w:cs="Palatino Linotype"/>
          </w:rPr>
          <w:t>cont. 0290-21.pdf</w:t>
        </w:r>
      </w:hyperlink>
      <w:r>
        <w:rPr>
          <w:rFonts w:ascii="Palatino Linotype" w:eastAsia="Palatino Linotype" w:hAnsi="Palatino Linotype" w:cs="Palatino Linotype"/>
        </w:rPr>
        <w:t>”, el cual será analizado y detallado en el apartado de estudio correspondiente.</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w:t>
      </w:r>
      <w:r w:rsidRPr="009D389D">
        <w:rPr>
          <w:rFonts w:ascii="Palatino Linotype" w:eastAsia="Palatino Linotype" w:hAnsi="Palatino Linotype" w:cs="Palatino Linotype"/>
          <w:b/>
        </w:rPr>
        <w:t xml:space="preserve">de revisión. </w:t>
      </w:r>
      <w:r w:rsidRPr="009D389D">
        <w:rPr>
          <w:rFonts w:ascii="Palatino Linotype" w:eastAsia="Palatino Linotype" w:hAnsi="Palatino Linotype" w:cs="Palatino Linotype"/>
        </w:rPr>
        <w:t xml:space="preserve">Inconforme el solicitante con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w:t>
      </w:r>
      <w:r w:rsidR="009D389D">
        <w:rPr>
          <w:rFonts w:ascii="Palatino Linotype" w:eastAsia="Palatino Linotype" w:hAnsi="Palatino Linotype" w:cs="Palatino Linotype"/>
          <w:b/>
        </w:rPr>
        <w:t>TO OBLIGADO el ahora RECURRENTE</w:t>
      </w:r>
      <w:r>
        <w:rPr>
          <w:rFonts w:ascii="Palatino Linotype" w:eastAsia="Palatino Linotype" w:hAnsi="Palatino Linotype" w:cs="Palatino Linotype"/>
        </w:rPr>
        <w:t xml:space="preserve"> interpuso recurso de revisión a travé</w:t>
      </w:r>
      <w:r w:rsidR="009D389D">
        <w:rPr>
          <w:rFonts w:ascii="Palatino Linotype" w:eastAsia="Palatino Linotype" w:hAnsi="Palatino Linotype" w:cs="Palatino Linotype"/>
        </w:rPr>
        <w:t>s del SAIMEX en fecha diez de enero de dos mil veintidós</w:t>
      </w:r>
      <w:r>
        <w:rPr>
          <w:rFonts w:ascii="Palatino Linotype" w:eastAsia="Palatino Linotype" w:hAnsi="Palatino Linotype" w:cs="Palatino Linotype"/>
        </w:rPr>
        <w:t>, a través del cual expresó lo siguiente:</w:t>
      </w:r>
    </w:p>
    <w:p w:rsidR="002B1D27" w:rsidRDefault="00707FE0">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2B1D27" w:rsidRDefault="00707FE0">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9D389D" w:rsidRPr="009D389D">
        <w:rPr>
          <w:rFonts w:ascii="Palatino Linotype" w:eastAsia="Palatino Linotype" w:hAnsi="Palatino Linotype" w:cs="Palatino Linotype"/>
          <w:i/>
          <w:color w:val="000000"/>
          <w:sz w:val="22"/>
          <w:szCs w:val="22"/>
        </w:rPr>
        <w:t>Solicito al sujeto obligado me informe que unidad administrativa se encarga de las Enajenaciones de Bienes Muebles y de qué Dirección general depende dicha unidad administrativa.</w:t>
      </w:r>
      <w:r>
        <w:rPr>
          <w:rFonts w:ascii="Palatino Linotype" w:eastAsia="Palatino Linotype" w:hAnsi="Palatino Linotype" w:cs="Palatino Linotype"/>
          <w:i/>
          <w:color w:val="000000"/>
          <w:sz w:val="22"/>
          <w:szCs w:val="22"/>
        </w:rPr>
        <w:t>” (Sic)</w:t>
      </w:r>
    </w:p>
    <w:p w:rsidR="002B1D27" w:rsidRDefault="00707FE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2B1D27" w:rsidRDefault="00707FE0">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9D389D" w:rsidRPr="009D389D">
        <w:rPr>
          <w:rFonts w:ascii="Palatino Linotype" w:eastAsia="Palatino Linotype" w:hAnsi="Palatino Linotype" w:cs="Palatino Linotype"/>
          <w:i/>
          <w:color w:val="000000"/>
          <w:sz w:val="22"/>
          <w:szCs w:val="22"/>
        </w:rPr>
        <w:t>Se le solicito al sujeto obligado informara ¿Qué unidad administrativa se encarga de EJECUTAR el procedimiento de enajenación de bienes muebles</w:t>
      </w:r>
      <w:proofErr w:type="gramStart"/>
      <w:r w:rsidR="009D389D" w:rsidRPr="009D389D">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color w:val="000000"/>
          <w:sz w:val="22"/>
          <w:szCs w:val="22"/>
        </w:rPr>
        <w:t>”(</w:t>
      </w:r>
      <w:proofErr w:type="gramEnd"/>
      <w:r>
        <w:rPr>
          <w:rFonts w:ascii="Palatino Linotype" w:eastAsia="Palatino Linotype" w:hAnsi="Palatino Linotype" w:cs="Palatino Linotype"/>
          <w:i/>
          <w:color w:val="000000"/>
          <w:sz w:val="22"/>
          <w:szCs w:val="22"/>
        </w:rPr>
        <w:t>Sic)</w:t>
      </w:r>
    </w:p>
    <w:p w:rsidR="002B1D27" w:rsidRDefault="00707FE0">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9D389D">
        <w:rPr>
          <w:rFonts w:ascii="Palatino Linotype" w:eastAsia="Palatino Linotype" w:hAnsi="Palatino Linotype" w:cs="Palatino Linotype"/>
          <w:b/>
        </w:rPr>
        <w:t>00034/INFOEM/IP/RR/2022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w:t>
      </w:r>
      <w:r>
        <w:rPr>
          <w:rFonts w:ascii="Palatino Linotype" w:eastAsia="Palatino Linotype" w:hAnsi="Palatino Linotype" w:cs="Palatino Linotype"/>
          <w:b/>
        </w:rPr>
        <w:lastRenderedPageBreak/>
        <w:t>Ramírez Peña</w:t>
      </w:r>
      <w:r>
        <w:rPr>
          <w:rFonts w:ascii="Palatino Linotype" w:eastAsia="Palatino Linotype" w:hAnsi="Palatino Linotype" w:cs="Palatino Linotype"/>
        </w:rPr>
        <w:t>, para su análisis, estudio, elaboración del proyecto y presentación ante el Pleno de este Instituto.</w:t>
      </w:r>
    </w:p>
    <w:p w:rsidR="002B1D27" w:rsidRDefault="002B1D27">
      <w:pPr>
        <w:spacing w:line="360" w:lineRule="auto"/>
        <w:jc w:val="both"/>
        <w:rPr>
          <w:rFonts w:ascii="Palatino Linotype" w:eastAsia="Palatino Linotype" w:hAnsi="Palatino Linotype" w:cs="Palatino Linotype"/>
        </w:rPr>
      </w:pPr>
    </w:p>
    <w:p w:rsidR="002B1D27" w:rsidRDefault="00707FE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sidR="009D389D">
        <w:rPr>
          <w:rFonts w:ascii="Palatino Linotype" w:eastAsia="Palatino Linotype" w:hAnsi="Palatino Linotype" w:cs="Palatino Linotype"/>
        </w:rPr>
        <w:t>En fecha trece de enero de dos mil veintidós</w:t>
      </w:r>
      <w:r>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2B1D27" w:rsidRDefault="00707FE0">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xml:space="preserve">: De las constancias que integran el expediente en que se actúa se advierte que </w:t>
      </w:r>
      <w:r w:rsidR="005662D4">
        <w:rPr>
          <w:rFonts w:ascii="Palatino Linotype" w:eastAsia="Palatino Linotype" w:hAnsi="Palatino Linotype" w:cs="Palatino Linotype"/>
          <w:color w:val="000000"/>
        </w:rPr>
        <w:t xml:space="preserve">el </w:t>
      </w:r>
      <w:r w:rsidR="005662D4" w:rsidRPr="009D389D">
        <w:rPr>
          <w:rFonts w:ascii="Palatino Linotype" w:eastAsia="Palatino Linotype" w:hAnsi="Palatino Linotype" w:cs="Palatino Linotype"/>
          <w:b/>
          <w:color w:val="000000"/>
        </w:rPr>
        <w:t>RECURRENTE</w:t>
      </w:r>
      <w:r w:rsidR="009D389D">
        <w:rPr>
          <w:rFonts w:ascii="Palatino Linotype" w:eastAsia="Palatino Linotype" w:hAnsi="Palatino Linotype" w:cs="Palatino Linotype"/>
          <w:color w:val="000000"/>
        </w:rPr>
        <w:t xml:space="preserve"> fue omiso</w:t>
      </w:r>
      <w:r>
        <w:rPr>
          <w:rFonts w:ascii="Palatino Linotype" w:eastAsia="Palatino Linotype" w:hAnsi="Palatino Linotype" w:cs="Palatino Linotype"/>
          <w:color w:val="000000"/>
        </w:rPr>
        <w:t xml:space="preserve"> en ofrecer pruebas o expresar alegatos; en términos del artículo 185 fracciones II de la ley que nos ocupa. Por su parte,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de igual forma, fue omiso en presentar el Informe Justificado correspondiente.</w:t>
      </w:r>
    </w:p>
    <w:p w:rsidR="002B1D27" w:rsidRDefault="00707FE0">
      <w:pPr>
        <w:widowControl w:val="0"/>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 de instrucción. </w:t>
      </w:r>
      <w:r w:rsidR="009D389D">
        <w:rPr>
          <w:rFonts w:ascii="Palatino Linotype" w:eastAsia="Palatino Linotype" w:hAnsi="Palatino Linotype" w:cs="Palatino Linotype"/>
        </w:rPr>
        <w:t>En fecha dieciséis de febrero de dos mil veintidós</w:t>
      </w:r>
      <w:r>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rsidR="002B1D27" w:rsidRDefault="00707FE0">
      <w:pPr>
        <w:numPr>
          <w:ilvl w:val="0"/>
          <w:numId w:val="4"/>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rsidR="002B1D27" w:rsidRDefault="00707FE0">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Pr>
          <w:rFonts w:ascii="Palatino Linotype" w:eastAsia="Palatino Linotype" w:hAnsi="Palatino Linotype" w:cs="Palatino Linotype"/>
          <w:highlight w:val="white"/>
        </w:rPr>
        <w:lastRenderedPageBreak/>
        <w:t xml:space="preserve">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w:t>
      </w:r>
      <w:r w:rsidR="009D389D">
        <w:rPr>
          <w:rFonts w:ascii="Palatino Linotype" w:eastAsia="Palatino Linotype" w:hAnsi="Palatino Linotype" w:cs="Palatino Linotype"/>
        </w:rPr>
        <w:t>tud de información el quince de diciembre</w:t>
      </w:r>
      <w:r>
        <w:rPr>
          <w:rFonts w:ascii="Palatino Linotype" w:eastAsia="Palatino Linotype" w:hAnsi="Palatino Linotype" w:cs="Palatino Linotype"/>
        </w:rPr>
        <w:t xml:space="preserve"> del dos mil veintiuno, y </w:t>
      </w:r>
      <w:r w:rsidR="005662D4">
        <w:rPr>
          <w:rFonts w:ascii="Palatino Linotype" w:eastAsia="Palatino Linotype" w:hAnsi="Palatino Linotype" w:cs="Palatino Linotype"/>
        </w:rPr>
        <w:t xml:space="preserve">el </w:t>
      </w:r>
      <w:r w:rsidR="005662D4" w:rsidRPr="009D389D">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w:t>
      </w:r>
      <w:r w:rsidR="009D389D">
        <w:rPr>
          <w:rFonts w:ascii="Palatino Linotype" w:eastAsia="Palatino Linotype" w:hAnsi="Palatino Linotype" w:cs="Palatino Linotype"/>
        </w:rPr>
        <w:t>ecurso de revisión el diez de enero del</w:t>
      </w:r>
      <w:r>
        <w:rPr>
          <w:rFonts w:ascii="Palatino Linotype" w:eastAsia="Palatino Linotype" w:hAnsi="Palatino Linotype" w:cs="Palatino Linotype"/>
        </w:rPr>
        <w:t xml:space="preserve"> año</w:t>
      </w:r>
      <w:r w:rsidR="009D389D">
        <w:rPr>
          <w:rFonts w:ascii="Palatino Linotype" w:eastAsia="Palatino Linotype" w:hAnsi="Palatino Linotype" w:cs="Palatino Linotype"/>
        </w:rPr>
        <w:t xml:space="preserve"> dos mil veintidós</w:t>
      </w:r>
      <w:r w:rsidR="00C91A30">
        <w:rPr>
          <w:rFonts w:ascii="Palatino Linotype" w:eastAsia="Palatino Linotype" w:hAnsi="Palatino Linotype" w:cs="Palatino Linotype"/>
        </w:rPr>
        <w:t>, esto es al sexto</w:t>
      </w:r>
      <w:r>
        <w:rPr>
          <w:rFonts w:ascii="Palatino Linotype" w:eastAsia="Palatino Linotype" w:hAnsi="Palatino Linotype" w:cs="Palatino Linotype"/>
        </w:rPr>
        <w:t xml:space="preserve"> día hábil siguiente de aquel en que tuvo conocimiento de la respuesta, evidenciándose que la interposición del recurso se encuentra dentro de los márgenes temporales previstos en el citado precepto legal.</w:t>
      </w:r>
    </w:p>
    <w:p w:rsidR="002B1D27" w:rsidRDefault="00707FE0">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rsidR="002B1D27" w:rsidRDefault="00707FE0">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2B1D27" w:rsidRDefault="00707FE0">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negativa de la información solicitada…”</w:t>
      </w:r>
      <w:r>
        <w:rPr>
          <w:rFonts w:ascii="Palatino Linotype" w:eastAsia="Palatino Linotype" w:hAnsi="Palatino Linotype" w:cs="Palatino Linotype"/>
          <w:i/>
        </w:rPr>
        <w:t xml:space="preserve"> (Sic)</w:t>
      </w:r>
    </w:p>
    <w:p w:rsidR="002B1D27" w:rsidRDefault="002B1D27">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2B1D27" w:rsidRDefault="00707FE0">
      <w:pPr>
        <w:pBdr>
          <w:top w:val="nil"/>
          <w:left w:val="nil"/>
          <w:bottom w:val="nil"/>
          <w:right w:val="nil"/>
          <w:between w:val="nil"/>
        </w:pBdr>
        <w:spacing w:after="240" w:line="360" w:lineRule="auto"/>
        <w:ind w:right="-150"/>
        <w:jc w:val="both"/>
        <w:rPr>
          <w:color w:val="000000"/>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Con base en las constancias que obran en el expediente que se actúa, este Instituto tiene la convicción de que la presente resolución tiene como objetivo central determinar si la respuesta proporcionada por el </w:t>
      </w:r>
      <w:r w:rsidR="00C91A30" w:rsidRPr="00C91A30">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es correcta y suficiente para tener por atendida la solicitud de acceso a la información.</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Del análisis de la solicitud de información motivo del recurso de revisión que ahora se resuelve, se advierte que el particular requirió al </w:t>
      </w:r>
      <w:r w:rsidR="00C91A30">
        <w:rPr>
          <w:rFonts w:ascii="Palatino Linotype" w:eastAsia="Palatino Linotype" w:hAnsi="Palatino Linotype" w:cs="Palatino Linotype"/>
          <w:b/>
        </w:rPr>
        <w:t>Ayuntamiento de Amecameca</w:t>
      </w:r>
      <w:r>
        <w:rPr>
          <w:rFonts w:ascii="Palatino Linotype" w:eastAsia="Palatino Linotype" w:hAnsi="Palatino Linotype" w:cs="Palatino Linotype"/>
        </w:rPr>
        <w:t xml:space="preserve">, </w:t>
      </w:r>
      <w:r w:rsidR="00C91A30">
        <w:rPr>
          <w:rFonts w:ascii="Palatino Linotype" w:eastAsia="Palatino Linotype" w:hAnsi="Palatino Linotype" w:cs="Palatino Linotype"/>
        </w:rPr>
        <w:t xml:space="preserve">le informara </w:t>
      </w:r>
      <w:r>
        <w:rPr>
          <w:rFonts w:ascii="Palatino Linotype" w:eastAsia="Palatino Linotype" w:hAnsi="Palatino Linotype" w:cs="Palatino Linotype"/>
        </w:rPr>
        <w:t>lo siguiente:</w:t>
      </w:r>
    </w:p>
    <w:p w:rsidR="00C91A30" w:rsidRPr="00C91A30" w:rsidRDefault="00C91A30" w:rsidP="00C91A30">
      <w:pPr>
        <w:pStyle w:val="Prrafodelista"/>
        <w:numPr>
          <w:ilvl w:val="0"/>
          <w:numId w:val="5"/>
        </w:numPr>
        <w:spacing w:before="240" w:after="240" w:line="360" w:lineRule="auto"/>
        <w:jc w:val="both"/>
        <w:rPr>
          <w:rFonts w:ascii="Palatino Linotype" w:eastAsia="Palatino Linotype" w:hAnsi="Palatino Linotype" w:cs="Palatino Linotype"/>
          <w:sz w:val="24"/>
          <w:szCs w:val="24"/>
        </w:rPr>
      </w:pPr>
      <w:r w:rsidRPr="00C91A30">
        <w:rPr>
          <w:rFonts w:ascii="Palatino Linotype" w:eastAsia="Palatino Linotype" w:hAnsi="Palatino Linotype" w:cs="Palatino Linotype"/>
          <w:sz w:val="24"/>
          <w:szCs w:val="24"/>
        </w:rPr>
        <w:t>La unidad administrativa se encarga de las enajenaciones de bienes muebles y de qué dirección general depende dicha unidad administrativa.</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través del siguiente archivo electrónico:</w:t>
      </w:r>
    </w:p>
    <w:p w:rsidR="002B1D27" w:rsidRDefault="00C91A30" w:rsidP="00C91A30">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9" w:tgtFrame="_blank" w:history="1">
        <w:r w:rsidRPr="005662D4">
          <w:rPr>
            <w:rFonts w:ascii="Palatino Linotype" w:eastAsia="Palatino Linotype" w:hAnsi="Palatino Linotype" w:cs="Palatino Linotype"/>
          </w:rPr>
          <w:t>cont. 0290-21.pdf</w:t>
        </w:r>
      </w:hyperlink>
      <w:r>
        <w:rPr>
          <w:rFonts w:ascii="Palatino Linotype" w:eastAsia="Palatino Linotype" w:hAnsi="Palatino Linotype" w:cs="Palatino Linotype"/>
        </w:rPr>
        <w:t xml:space="preserve">”, el cual contiene el oficio número UTAIP/AMEC/767/2021, por medio del cual el Titular de la Unidad de Transparencia y Acceso a la Información Pública del Ayuntamiento de Amecameca, informó al particular de acuerdo al fundamento legal que señaló en el mismo, que las enajenaciones de bienes muebles las llevan a cabo en la Coordinación </w:t>
      </w:r>
      <w:r w:rsidR="0075429A">
        <w:rPr>
          <w:rFonts w:ascii="Palatino Linotype" w:eastAsia="Palatino Linotype" w:hAnsi="Palatino Linotype" w:cs="Palatino Linotype"/>
        </w:rPr>
        <w:t>de bienes muebles y dependen de la Secretaria Municipal.</w:t>
      </w:r>
    </w:p>
    <w:p w:rsidR="002B1D27" w:rsidRDefault="00707FE0">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el particular con la respuesta, interpone el recurso de revisión que se resuelve, señalando como motivos de inconformidad </w:t>
      </w:r>
      <w:r w:rsidR="0075429A">
        <w:rPr>
          <w:rFonts w:ascii="Palatino Linotype" w:eastAsia="Palatino Linotype" w:hAnsi="Palatino Linotype" w:cs="Palatino Linotype"/>
        </w:rPr>
        <w:t>“</w:t>
      </w:r>
      <w:r w:rsidR="0075429A" w:rsidRPr="0075429A">
        <w:rPr>
          <w:rFonts w:ascii="Palatino Linotype" w:eastAsia="Palatino Linotype" w:hAnsi="Palatino Linotype" w:cs="Palatino Linotype"/>
        </w:rPr>
        <w:t>Se le solicito al sujeto obligado informara ¿Qué unidad administrativa se encarga de EJECUTAR el procedimiento de enajenación de bienes muebles?”</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rendir su informe justificado.</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del análisis de las constancias que integran el expediente en que se actúa, así como de la materia sobre la que versa la solicitud de acceso a la información pública, se advierte que los motivos de inconformidad acontecen fundados para modificar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w:t>
      </w:r>
      <w:r>
        <w:rPr>
          <w:rFonts w:ascii="Palatino Linotype" w:eastAsia="Palatino Linotype" w:hAnsi="Palatino Linotype" w:cs="Palatino Linotype"/>
        </w:rPr>
        <w:lastRenderedPageBreak/>
        <w:t>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2B1D27" w:rsidRDefault="00707FE0">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B1D27" w:rsidRDefault="00707FE0">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2B1D27" w:rsidRDefault="00707FE0">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rsidR="002B1D27" w:rsidRDefault="002B1D27">
      <w:pPr>
        <w:spacing w:line="360" w:lineRule="auto"/>
        <w:jc w:val="both"/>
        <w:rPr>
          <w:rFonts w:ascii="Palatino Linotype" w:eastAsia="Palatino Linotype" w:hAnsi="Palatino Linotype" w:cs="Palatino Linotype"/>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w:t>
      </w:r>
      <w:r>
        <w:rPr>
          <w:rFonts w:ascii="Palatino Linotype" w:eastAsia="Palatino Linotype" w:hAnsi="Palatino Linotype" w:cs="Palatino Linotype"/>
        </w:rPr>
        <w:lastRenderedPageBreak/>
        <w:t>Transparencia y Acceso a la Información Pública del Estado de México y Municipios, que a la letra dice:</w:t>
      </w:r>
    </w:p>
    <w:p w:rsidR="002B1D27" w:rsidRDefault="002B1D27">
      <w:pPr>
        <w:spacing w:line="360" w:lineRule="auto"/>
        <w:jc w:val="both"/>
        <w:rPr>
          <w:rFonts w:ascii="Palatino Linotype" w:eastAsia="Palatino Linotype" w:hAnsi="Palatino Linotype" w:cs="Palatino Linotype"/>
        </w:rPr>
      </w:pPr>
    </w:p>
    <w:p w:rsidR="002B1D27" w:rsidRDefault="00707FE0">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2B1D27" w:rsidRDefault="002B1D27">
      <w:pPr>
        <w:ind w:left="567" w:right="758"/>
        <w:jc w:val="both"/>
        <w:rPr>
          <w:rFonts w:ascii="Palatino Linotype" w:eastAsia="Palatino Linotype" w:hAnsi="Palatino Linotype" w:cs="Palatino Linotype"/>
          <w:i/>
          <w:sz w:val="22"/>
          <w:szCs w:val="22"/>
        </w:rPr>
      </w:pPr>
    </w:p>
    <w:p w:rsidR="002B1D27" w:rsidRDefault="00707FE0">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2B1D27" w:rsidRDefault="002B1D27">
      <w:pPr>
        <w:spacing w:line="360" w:lineRule="auto"/>
        <w:ind w:right="-93"/>
        <w:jc w:val="both"/>
        <w:rPr>
          <w:rFonts w:ascii="Palatino Linotype" w:eastAsia="Palatino Linotype" w:hAnsi="Palatino Linotype" w:cs="Palatino Linotype"/>
          <w:color w:val="000000"/>
        </w:rPr>
      </w:pPr>
    </w:p>
    <w:p w:rsidR="002B1D27" w:rsidRDefault="00707FE0">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2B1D27" w:rsidRDefault="002B1D27">
      <w:pPr>
        <w:spacing w:line="360" w:lineRule="auto"/>
        <w:ind w:right="-93"/>
        <w:jc w:val="both"/>
        <w:rPr>
          <w:rFonts w:ascii="Palatino Linotype" w:eastAsia="Palatino Linotype" w:hAnsi="Palatino Linotype" w:cs="Palatino Linotype"/>
          <w:color w:val="000000"/>
        </w:rPr>
      </w:pPr>
    </w:p>
    <w:p w:rsidR="002B1D27" w:rsidRDefault="00707FE0">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rsidR="002B1D27" w:rsidRDefault="002B1D27">
      <w:pPr>
        <w:ind w:left="851" w:right="850"/>
        <w:jc w:val="both"/>
        <w:rPr>
          <w:rFonts w:ascii="Palatino Linotype" w:eastAsia="Palatino Linotype" w:hAnsi="Palatino Linotype" w:cs="Palatino Linotype"/>
          <w:color w:val="000000"/>
        </w:rPr>
      </w:pPr>
    </w:p>
    <w:p w:rsidR="002B1D27" w:rsidRDefault="00707FE0">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w:t>
      </w:r>
      <w:r>
        <w:rPr>
          <w:rFonts w:ascii="Palatino Linotype" w:eastAsia="Palatino Linotype" w:hAnsi="Palatino Linotype" w:cs="Palatino Linotype"/>
          <w:i/>
          <w:color w:val="000000"/>
          <w:sz w:val="22"/>
          <w:szCs w:val="22"/>
        </w:rPr>
        <w:lastRenderedPageBreak/>
        <w:t>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B1D27" w:rsidRDefault="00707FE0">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2B1D27" w:rsidRDefault="00707FE0">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2B1D27" w:rsidRDefault="00707FE0">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2B1D27" w:rsidRDefault="00707FE0">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w:t>
      </w:r>
      <w:proofErr w:type="gramStart"/>
      <w:r>
        <w:rPr>
          <w:rFonts w:ascii="Palatino Linotype" w:eastAsia="Palatino Linotype" w:hAnsi="Palatino Linotype" w:cs="Palatino Linotype"/>
          <w:i/>
          <w:color w:val="000000"/>
          <w:sz w:val="22"/>
          <w:szCs w:val="22"/>
        </w:rPr>
        <w:t>.”(</w:t>
      </w:r>
      <w:proofErr w:type="gramEnd"/>
      <w:r>
        <w:rPr>
          <w:rFonts w:ascii="Palatino Linotype" w:eastAsia="Palatino Linotype" w:hAnsi="Palatino Linotype" w:cs="Palatino Linotype"/>
          <w:i/>
          <w:color w:val="000000"/>
          <w:sz w:val="22"/>
          <w:szCs w:val="22"/>
        </w:rPr>
        <w:t>Sic)</w:t>
      </w:r>
    </w:p>
    <w:p w:rsidR="002B1D27" w:rsidRDefault="002B1D27">
      <w:pPr>
        <w:spacing w:line="360" w:lineRule="auto"/>
        <w:ind w:right="-93"/>
        <w:jc w:val="both"/>
        <w:rPr>
          <w:rFonts w:ascii="Palatino Linotype" w:eastAsia="Palatino Linotype" w:hAnsi="Palatino Linotype" w:cs="Palatino Linotype"/>
          <w:color w:val="000000"/>
        </w:rPr>
      </w:pPr>
    </w:p>
    <w:p w:rsidR="002B1D27" w:rsidRDefault="00707FE0">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B1D27" w:rsidRDefault="002B1D27">
      <w:pPr>
        <w:spacing w:line="360" w:lineRule="auto"/>
        <w:jc w:val="both"/>
        <w:rPr>
          <w:rFonts w:ascii="Palatino Linotype" w:eastAsia="Palatino Linotype" w:hAnsi="Palatino Linotype" w:cs="Palatino Linotype"/>
          <w:color w:val="000000"/>
        </w:rPr>
      </w:pPr>
    </w:p>
    <w:p w:rsidR="002B1D27" w:rsidRDefault="00707FE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B1D27" w:rsidRDefault="002B1D27">
      <w:pPr>
        <w:spacing w:line="360" w:lineRule="auto"/>
        <w:ind w:right="49"/>
        <w:jc w:val="both"/>
        <w:rPr>
          <w:rFonts w:ascii="Palatino Linotype" w:eastAsia="Palatino Linotype" w:hAnsi="Palatino Linotype" w:cs="Palatino Linotype"/>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B1D27" w:rsidRDefault="002B1D27">
      <w:pPr>
        <w:ind w:left="851" w:right="899"/>
        <w:jc w:val="both"/>
        <w:rPr>
          <w:rFonts w:ascii="Palatino Linotype" w:eastAsia="Palatino Linotype" w:hAnsi="Palatino Linotype" w:cs="Palatino Linotype"/>
          <w:i/>
          <w:sz w:val="22"/>
          <w:szCs w:val="22"/>
        </w:rPr>
      </w:pPr>
    </w:p>
    <w:p w:rsidR="002B1D27" w:rsidRDefault="00707FE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2B1D27" w:rsidRDefault="00707FE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B1D27" w:rsidRDefault="00707FE0">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2B1D27" w:rsidRDefault="002B1D27">
      <w:pPr>
        <w:ind w:left="851" w:right="899"/>
        <w:jc w:val="both"/>
        <w:rPr>
          <w:rFonts w:ascii="Palatino Linotype" w:eastAsia="Palatino Linotype" w:hAnsi="Palatino Linotype" w:cs="Palatino Linotype"/>
          <w:sz w:val="22"/>
          <w:szCs w:val="22"/>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2B1D27" w:rsidRDefault="002B1D27">
      <w:pPr>
        <w:ind w:left="851" w:right="899"/>
        <w:jc w:val="both"/>
        <w:rPr>
          <w:rFonts w:ascii="Palatino Linotype" w:eastAsia="Palatino Linotype" w:hAnsi="Palatino Linotype" w:cs="Palatino Linotype"/>
        </w:rPr>
      </w:pPr>
    </w:p>
    <w:p w:rsidR="002B1D27" w:rsidRDefault="00707FE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2B1D27" w:rsidRDefault="00707FE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B1D27" w:rsidRDefault="00707FE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rsidR="002B1D27" w:rsidRDefault="00707FE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rsidR="002B1D27" w:rsidRDefault="00707FE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administrada por los Sujetos Obligados, y</w:t>
      </w:r>
    </w:p>
    <w:p w:rsidR="002B1D27" w:rsidRDefault="00707FE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 encuentre en posesión de los Sujetos Obligados.” (Sic)</w:t>
      </w:r>
    </w:p>
    <w:p w:rsidR="002B1D27" w:rsidRDefault="002B1D27">
      <w:pPr>
        <w:spacing w:line="360" w:lineRule="auto"/>
        <w:ind w:right="-93"/>
        <w:jc w:val="both"/>
        <w:rPr>
          <w:rFonts w:ascii="Palatino Linotype" w:eastAsia="Palatino Linotype" w:hAnsi="Palatino Linotype" w:cs="Palatino Linotype"/>
          <w:color w:val="000000"/>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se reitera que la información proporcionada por el Sujeto Obligado en su respuesta, no cumple con lo establecido por los artículos 4, 12, 24 último párrafo y 162 de la Ley de Transparencia y Acceso a la Información Pública del Estado de México y Municipios, de conformidad con los puntos siguientes:</w:t>
      </w:r>
    </w:p>
    <w:p w:rsidR="00385E18" w:rsidRDefault="00385E18">
      <w:pPr>
        <w:spacing w:line="360" w:lineRule="auto"/>
        <w:jc w:val="both"/>
        <w:rPr>
          <w:rFonts w:ascii="Palatino Linotype" w:eastAsia="Palatino Linotype" w:hAnsi="Palatino Linotype" w:cs="Palatino Linotype"/>
        </w:rPr>
      </w:pPr>
    </w:p>
    <w:p w:rsidR="00385E18" w:rsidRPr="000F2209" w:rsidRDefault="00385E18" w:rsidP="00385E18">
      <w:pPr>
        <w:spacing w:line="360" w:lineRule="auto"/>
        <w:ind w:right="49"/>
        <w:jc w:val="both"/>
        <w:rPr>
          <w:lang w:val="es-MX"/>
        </w:rPr>
      </w:pPr>
      <w:r>
        <w:rPr>
          <w:rFonts w:ascii="Palatino Linotype" w:hAnsi="Palatino Linotype"/>
          <w:color w:val="222222"/>
        </w:rPr>
        <w:t xml:space="preserve">Antes que nada, es procedente precisar </w:t>
      </w:r>
      <w:r>
        <w:rPr>
          <w:rFonts w:ascii="Palatino Linotype" w:eastAsia="Palatino Linotype" w:hAnsi="Palatino Linotype" w:cs="Palatino Linotype"/>
        </w:rPr>
        <w:t xml:space="preserve">que el particular omitió mencionar el periodo temporal de la información solicitada, por lo que este Instituto con fundamento en lo dispuesto por el artículo 13 y 181, párrafo cuarto de la Ley de Transparencia y Acceso a la Información Pública de la entidad, procede a suplir la deficiencia señalada para determinar el periodo temporal de la información solicitada, por lo que considerando la fecha de la </w:t>
      </w:r>
      <w:r w:rsidRPr="00386076">
        <w:rPr>
          <w:rFonts w:ascii="Palatino Linotype" w:eastAsia="Palatino Linotype" w:hAnsi="Palatino Linotype" w:cs="Palatino Linotype"/>
        </w:rPr>
        <w:t xml:space="preserve">solicitud, se determina </w:t>
      </w:r>
      <w:r>
        <w:rPr>
          <w:rFonts w:ascii="Palatino Linotype" w:eastAsia="Palatino Linotype" w:hAnsi="Palatino Linotype" w:cs="Palatino Linotype"/>
        </w:rPr>
        <w:t>que la requerida es la vigente a la solicitud</w:t>
      </w:r>
      <w:r w:rsidR="000E3C0D">
        <w:rPr>
          <w:rFonts w:ascii="Palatino Linotype" w:eastAsia="Palatino Linotype" w:hAnsi="Palatino Linotype" w:cs="Palatino Linotype"/>
        </w:rPr>
        <w:t xml:space="preserve"> de información; es decir al catorce</w:t>
      </w:r>
      <w:r>
        <w:rPr>
          <w:rFonts w:ascii="Palatino Linotype" w:eastAsia="Palatino Linotype" w:hAnsi="Palatino Linotype" w:cs="Palatino Linotype"/>
        </w:rPr>
        <w:t xml:space="preserve"> de diciembre </w:t>
      </w:r>
      <w:r>
        <w:rPr>
          <w:rFonts w:ascii="Palatino Linotype" w:eastAsia="Palatino Linotype" w:hAnsi="Palatino Linotype" w:cs="Palatino Linotype"/>
        </w:rPr>
        <w:lastRenderedPageBreak/>
        <w:t xml:space="preserve">del año dos mil veintiuno, </w:t>
      </w:r>
      <w:r w:rsidRPr="000F2209">
        <w:rPr>
          <w:rFonts w:ascii="Palatino Linotype" w:hAnsi="Palatino Linotype"/>
          <w:color w:val="000000"/>
          <w:lang w:val="es-MX"/>
        </w:rPr>
        <w:t>discernimiento que encuentra apoyado en los Criterios 1/2010 y 2/2010,  emitidos por el “Comité de Acceso a la Información y Protección de Datos personales” de la Suprema Corte de Justicia de la Nación, que disponen: </w:t>
      </w:r>
    </w:p>
    <w:p w:rsidR="00385E18" w:rsidRDefault="00385E18" w:rsidP="00385E18"/>
    <w:p w:rsidR="00385E18" w:rsidRPr="000F2209" w:rsidRDefault="00385E18" w:rsidP="00385E18">
      <w:pPr>
        <w:pStyle w:val="NormalWeb"/>
        <w:spacing w:before="0" w:beforeAutospacing="0" w:after="0" w:afterAutospacing="0"/>
        <w:ind w:left="851" w:right="900"/>
        <w:contextualSpacing/>
      </w:pPr>
      <w:r w:rsidRPr="000F2209">
        <w:rPr>
          <w:rFonts w:ascii="Palatino Linotype" w:hAnsi="Palatino Linotype"/>
          <w:i/>
          <w:iCs/>
          <w:color w:val="000000"/>
          <w:sz w:val="22"/>
          <w:szCs w:val="22"/>
        </w:rPr>
        <w:t> “</w:t>
      </w:r>
      <w:r w:rsidRPr="000F2209">
        <w:rPr>
          <w:rFonts w:ascii="Palatino Linotype" w:hAnsi="Palatino Linotype"/>
          <w:b/>
          <w:bCs/>
          <w:i/>
          <w:iCs/>
          <w:color w:val="000000"/>
          <w:sz w:val="22"/>
          <w:szCs w:val="22"/>
        </w:rPr>
        <w:t>Criterio 1/2010</w:t>
      </w:r>
    </w:p>
    <w:p w:rsidR="00385E18" w:rsidRPr="000F2209" w:rsidRDefault="00385E18" w:rsidP="00385E18">
      <w:pPr>
        <w:pStyle w:val="NormalWeb"/>
        <w:spacing w:before="0" w:beforeAutospacing="0" w:after="0" w:afterAutospacing="0"/>
        <w:ind w:left="851" w:right="900"/>
        <w:contextualSpacing/>
        <w:jc w:val="both"/>
      </w:pPr>
      <w:r w:rsidRPr="000F2209">
        <w:rPr>
          <w:rFonts w:ascii="Palatino Linotype" w:hAnsi="Palatino Linotype"/>
          <w:b/>
          <w:bCs/>
          <w:i/>
          <w:iCs/>
          <w:color w:val="000000"/>
          <w:sz w:val="22"/>
          <w:szCs w:val="22"/>
        </w:rPr>
        <w:t>SOLICITUD DE ACCESO A LA INFORMACIÓN. SU OTORGAMIENTO ES RESPECTO DE AQUELLA QUE EXISTA Y SE HUBIESE GENERADO AL MOMENTO DE LA PETICIÓN.</w:t>
      </w:r>
    </w:p>
    <w:p w:rsidR="00385E18" w:rsidRPr="000F2209" w:rsidRDefault="00385E18" w:rsidP="00385E18">
      <w:pPr>
        <w:pStyle w:val="NormalWeb"/>
        <w:spacing w:before="0" w:beforeAutospacing="0" w:after="0" w:afterAutospacing="0"/>
        <w:ind w:left="851" w:right="900"/>
        <w:contextualSpacing/>
        <w:jc w:val="both"/>
      </w:pPr>
      <w:r w:rsidRPr="000F2209">
        <w:rPr>
          <w:rFonts w:ascii="Palatino Linotype" w:hAnsi="Palatino Linotype"/>
          <w:i/>
          <w:iCs/>
          <w:color w:val="000000"/>
          <w:sz w:val="22"/>
          <w:szCs w:val="22"/>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385E18" w:rsidRPr="000F2209" w:rsidRDefault="00385E18" w:rsidP="00385E18">
      <w:pPr>
        <w:pStyle w:val="NormalWeb"/>
        <w:spacing w:before="0" w:beforeAutospacing="0" w:after="0" w:afterAutospacing="0"/>
        <w:ind w:left="851" w:right="900"/>
        <w:contextualSpacing/>
        <w:jc w:val="both"/>
      </w:pPr>
      <w:r w:rsidRPr="000F2209">
        <w:rPr>
          <w:rFonts w:ascii="Palatino Linotype" w:hAnsi="Palatino Linotype"/>
          <w:i/>
          <w:iCs/>
          <w:color w:val="000000"/>
          <w:sz w:val="22"/>
          <w:szCs w:val="22"/>
        </w:rPr>
        <w:t>Clasificación de Información 69/2009-A. 30 de septiembre de 2009. Unanimidad de votos.”</w:t>
      </w:r>
    </w:p>
    <w:p w:rsidR="00385E18" w:rsidRPr="000F2209" w:rsidRDefault="00385E18" w:rsidP="00385E18">
      <w:pPr>
        <w:pStyle w:val="NormalWeb"/>
        <w:spacing w:before="0" w:beforeAutospacing="0" w:after="0" w:afterAutospacing="0"/>
        <w:ind w:left="851" w:right="900"/>
        <w:contextualSpacing/>
      </w:pPr>
      <w:r w:rsidRPr="000F2209">
        <w:rPr>
          <w:rFonts w:ascii="Palatino Linotype" w:hAnsi="Palatino Linotype"/>
          <w:i/>
          <w:iCs/>
          <w:color w:val="000000"/>
          <w:sz w:val="22"/>
          <w:szCs w:val="22"/>
        </w:rPr>
        <w:t>“</w:t>
      </w:r>
      <w:r w:rsidRPr="000F2209">
        <w:rPr>
          <w:rFonts w:ascii="Palatino Linotype" w:hAnsi="Palatino Linotype"/>
          <w:b/>
          <w:bCs/>
          <w:i/>
          <w:iCs/>
          <w:color w:val="000000"/>
          <w:sz w:val="22"/>
          <w:szCs w:val="22"/>
        </w:rPr>
        <w:t>Criterio 2/2010.</w:t>
      </w:r>
    </w:p>
    <w:p w:rsidR="00385E18" w:rsidRPr="000F2209" w:rsidRDefault="00385E18" w:rsidP="00385E18">
      <w:pPr>
        <w:pStyle w:val="NormalWeb"/>
        <w:spacing w:before="0" w:beforeAutospacing="0" w:after="0" w:afterAutospacing="0"/>
        <w:ind w:left="851" w:right="900"/>
        <w:contextualSpacing/>
        <w:jc w:val="both"/>
      </w:pPr>
      <w:r w:rsidRPr="000F2209">
        <w:rPr>
          <w:rFonts w:ascii="Palatino Linotype" w:hAnsi="Palatino Linotype"/>
          <w:b/>
          <w:bCs/>
          <w:i/>
          <w:iCs/>
          <w:color w:val="000000"/>
          <w:sz w:val="22"/>
          <w:szCs w:val="22"/>
        </w:rPr>
        <w:t>SOLICITUD DE ACCESO A LA INFORMACIÓN. ES MATERIA DE ANÁLISIS Y OTORGAMIENTO LA GENERADA HASTA LA FECHA DE LA SOLICITUD EN CASO DE IMPRECISIÓN TEMPORAL. </w:t>
      </w:r>
    </w:p>
    <w:p w:rsidR="00385E18" w:rsidRPr="000F2209" w:rsidRDefault="00385E18" w:rsidP="00385E18">
      <w:pPr>
        <w:pStyle w:val="NormalWeb"/>
        <w:spacing w:before="0" w:beforeAutospacing="0" w:after="0" w:afterAutospacing="0"/>
        <w:ind w:left="851" w:right="900"/>
        <w:contextualSpacing/>
        <w:jc w:val="both"/>
      </w:pPr>
      <w:r w:rsidRPr="000F2209">
        <w:rPr>
          <w:rFonts w:ascii="Palatino Linotype" w:hAnsi="Palatino Linotype"/>
          <w:i/>
          <w:iCs/>
          <w:color w:val="000000"/>
          <w:sz w:val="22"/>
          <w:szCs w:val="22"/>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385E18" w:rsidRPr="005416A7" w:rsidRDefault="00385E18" w:rsidP="00385E18">
      <w:pPr>
        <w:pStyle w:val="NormalWeb"/>
        <w:spacing w:before="0" w:beforeAutospacing="0" w:after="0" w:afterAutospacing="0"/>
        <w:ind w:left="851" w:right="900"/>
        <w:contextualSpacing/>
        <w:jc w:val="both"/>
      </w:pPr>
      <w:r w:rsidRPr="000F2209">
        <w:rPr>
          <w:rFonts w:ascii="Palatino Linotype" w:hAnsi="Palatino Linotype"/>
          <w:i/>
          <w:iCs/>
          <w:color w:val="000000"/>
          <w:sz w:val="22"/>
          <w:szCs w:val="22"/>
        </w:rPr>
        <w:t xml:space="preserve">Clasificación de Información 69/2009-A. 30 de septiembre de 2009. </w:t>
      </w:r>
      <w:r w:rsidRPr="005416A7">
        <w:rPr>
          <w:rFonts w:ascii="Palatino Linotype" w:hAnsi="Palatino Linotype"/>
          <w:i/>
          <w:iCs/>
          <w:color w:val="000000"/>
          <w:sz w:val="22"/>
          <w:szCs w:val="22"/>
        </w:rPr>
        <w:t>Unanimidad de votos</w:t>
      </w:r>
      <w:proofErr w:type="gramStart"/>
      <w:r w:rsidRPr="005416A7">
        <w:rPr>
          <w:rFonts w:ascii="Palatino Linotype" w:hAnsi="Palatino Linotype"/>
          <w:i/>
          <w:iCs/>
          <w:color w:val="000000"/>
          <w:sz w:val="22"/>
          <w:szCs w:val="22"/>
        </w:rPr>
        <w:t>.”</w:t>
      </w:r>
      <w:r>
        <w:rPr>
          <w:rFonts w:ascii="Palatino Linotype" w:hAnsi="Palatino Linotype"/>
          <w:i/>
          <w:iCs/>
          <w:color w:val="000000"/>
          <w:sz w:val="22"/>
          <w:szCs w:val="22"/>
        </w:rPr>
        <w:t>(</w:t>
      </w:r>
      <w:proofErr w:type="gramEnd"/>
      <w:r>
        <w:rPr>
          <w:rFonts w:ascii="Palatino Linotype" w:hAnsi="Palatino Linotype"/>
          <w:i/>
          <w:iCs/>
          <w:color w:val="000000"/>
          <w:sz w:val="22"/>
          <w:szCs w:val="22"/>
        </w:rPr>
        <w:t>Sic)</w:t>
      </w:r>
    </w:p>
    <w:p w:rsidR="00385E18" w:rsidRDefault="00385E18" w:rsidP="0075429A">
      <w:pPr>
        <w:shd w:val="clear" w:color="auto" w:fill="FFFFFF"/>
        <w:spacing w:before="240" w:after="240" w:line="360" w:lineRule="auto"/>
        <w:jc w:val="both"/>
        <w:rPr>
          <w:rFonts w:ascii="Palatino Linotype" w:eastAsia="Palatino Linotype" w:hAnsi="Palatino Linotype" w:cs="Palatino Linotype"/>
        </w:rPr>
      </w:pPr>
    </w:p>
    <w:p w:rsidR="000E3C0D" w:rsidRDefault="00707FE0" w:rsidP="0075429A">
      <w:pPr>
        <w:shd w:val="clear" w:color="auto" w:fill="FFFFFF"/>
        <w:spacing w:before="240" w:after="240" w:line="360" w:lineRule="auto"/>
        <w:jc w:val="both"/>
        <w:rPr>
          <w:noProof/>
          <w:lang w:val="es-MX" w:eastAsia="es-MX"/>
        </w:rPr>
      </w:pPr>
      <w:r>
        <w:rPr>
          <w:rFonts w:ascii="Palatino Linotype" w:eastAsia="Palatino Linotype" w:hAnsi="Palatino Linotype" w:cs="Palatino Linotype"/>
        </w:rPr>
        <w:lastRenderedPageBreak/>
        <w:t xml:space="preserve">En primer lugar, </w:t>
      </w:r>
      <w:r w:rsidR="000E3C0D">
        <w:rPr>
          <w:rFonts w:ascii="Palatino Linotype" w:eastAsia="Palatino Linotype" w:hAnsi="Palatino Linotype" w:cs="Palatino Linotype"/>
        </w:rPr>
        <w:t xml:space="preserve">al analizar la respuesta del </w:t>
      </w:r>
      <w:r w:rsidR="000E3C0D" w:rsidRPr="000E3C0D">
        <w:rPr>
          <w:rFonts w:ascii="Palatino Linotype" w:eastAsia="Palatino Linotype" w:hAnsi="Palatino Linotype" w:cs="Palatino Linotype"/>
          <w:b/>
        </w:rPr>
        <w:t>SUJETO OBLIGADO</w:t>
      </w:r>
      <w:r w:rsidR="000E3C0D">
        <w:rPr>
          <w:rFonts w:ascii="Palatino Linotype" w:eastAsia="Palatino Linotype" w:hAnsi="Palatino Linotype" w:cs="Palatino Linotype"/>
        </w:rPr>
        <w:t xml:space="preserve">, se advierte que la Titular de la Unidad de Transparencia y Acceso a la Información Pública del Ayuntamiento de Amecameca, indicó que la unidad encargada </w:t>
      </w:r>
      <w:r w:rsidR="000E3C0D" w:rsidRPr="000E3C0D">
        <w:rPr>
          <w:rFonts w:ascii="Palatino Linotype" w:eastAsia="Palatino Linotype" w:hAnsi="Palatino Linotype" w:cs="Palatino Linotype"/>
        </w:rPr>
        <w:t>de las enajenaciones de bienes muebles</w:t>
      </w:r>
      <w:r w:rsidR="000E3C0D">
        <w:rPr>
          <w:rFonts w:ascii="Palatino Linotype" w:eastAsia="Palatino Linotype" w:hAnsi="Palatino Linotype" w:cs="Palatino Linotype"/>
        </w:rPr>
        <w:t>, es la Coordinación de bienes Muebles, la cual en observancia a la estructura orgánica del Ayuntamiento de Amecameca 2019-2021, la cual es:</w:t>
      </w:r>
    </w:p>
    <w:p w:rsidR="000E3C0D" w:rsidRDefault="000E3C0D" w:rsidP="0075429A">
      <w:pPr>
        <w:shd w:val="clear" w:color="auto" w:fill="FFFFFF"/>
        <w:spacing w:before="240" w:after="240" w:line="360" w:lineRule="auto"/>
        <w:jc w:val="both"/>
        <w:rPr>
          <w:rFonts w:ascii="Palatino Linotype" w:eastAsia="Palatino Linotype" w:hAnsi="Palatino Linotype" w:cs="Palatino Linotype"/>
        </w:rPr>
      </w:pPr>
      <w:r>
        <w:rPr>
          <w:noProof/>
          <w:lang w:val="en-US" w:eastAsia="en-US"/>
        </w:rPr>
        <w:drawing>
          <wp:inline distT="0" distB="0" distL="0" distR="0" wp14:anchorId="4947E557" wp14:editId="6D7E0471">
            <wp:extent cx="5589872" cy="5611091"/>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730" t="12603" r="1700" b="6238"/>
                    <a:stretch/>
                  </pic:blipFill>
                  <pic:spPr bwMode="auto">
                    <a:xfrm>
                      <a:off x="0" y="0"/>
                      <a:ext cx="5634311" cy="5655698"/>
                    </a:xfrm>
                    <a:prstGeom prst="rect">
                      <a:avLst/>
                    </a:prstGeom>
                    <a:ln>
                      <a:noFill/>
                    </a:ln>
                    <a:extLst>
                      <a:ext uri="{53640926-AAD7-44D8-BBD7-CCE9431645EC}">
                        <a14:shadowObscured xmlns:a14="http://schemas.microsoft.com/office/drawing/2010/main"/>
                      </a:ext>
                    </a:extLst>
                  </pic:spPr>
                </pic:pic>
              </a:graphicData>
            </a:graphic>
          </wp:inline>
        </w:drawing>
      </w:r>
    </w:p>
    <w:p w:rsidR="000E3C0D" w:rsidRPr="002518D1" w:rsidRDefault="000E3C0D" w:rsidP="000E3C0D">
      <w:pPr>
        <w:shd w:val="clear" w:color="auto" w:fill="FFFFFF"/>
        <w:spacing w:before="240" w:after="240" w:line="360" w:lineRule="auto"/>
        <w:jc w:val="both"/>
        <w:rPr>
          <w:rFonts w:ascii="Palatino Linotype" w:eastAsia="Batang" w:hAnsi="Palatino Linotype" w:cs="Arial"/>
          <w:iCs/>
          <w:lang w:val="es-AR"/>
        </w:rPr>
      </w:pPr>
      <w:r>
        <w:rPr>
          <w:rFonts w:ascii="Palatino Linotype" w:eastAsia="Palatino Linotype" w:hAnsi="Palatino Linotype" w:cs="Palatino Linotype"/>
        </w:rPr>
        <w:lastRenderedPageBreak/>
        <w:t xml:space="preserve">No existe un área denominada Coordinación de Bienes Muebles; por ello, </w:t>
      </w:r>
      <w:r w:rsidR="00527B33">
        <w:rPr>
          <w:rFonts w:ascii="Palatino Linotype" w:eastAsia="Palatino Linotype" w:hAnsi="Palatino Linotype" w:cs="Palatino Linotype"/>
        </w:rPr>
        <w:t xml:space="preserve">es necesario a traer lo señalado por </w:t>
      </w:r>
      <w:r>
        <w:rPr>
          <w:rFonts w:ascii="Palatino Linotype" w:eastAsia="Palatino Linotype" w:hAnsi="Palatino Linotype" w:cs="Palatino Linotype"/>
        </w:rPr>
        <w:t xml:space="preserve">el </w:t>
      </w:r>
      <w:r w:rsidRPr="009841B6">
        <w:rPr>
          <w:rFonts w:ascii="Palatino Linotype" w:eastAsia="Batang" w:hAnsi="Palatino Linotype" w:cs="Arial"/>
          <w:iCs/>
          <w:lang w:val="es-AR"/>
        </w:rPr>
        <w:t>Reglamento de la Ley de Contratación Pública del Estado de México y Municipios</w:t>
      </w:r>
      <w:r>
        <w:rPr>
          <w:rFonts w:ascii="Palatino Linotype" w:eastAsia="Batang" w:hAnsi="Palatino Linotype" w:cs="Arial"/>
          <w:iCs/>
          <w:lang w:val="es-AR"/>
        </w:rPr>
        <w:t xml:space="preserve">, </w:t>
      </w:r>
      <w:r w:rsidR="00527B33">
        <w:rPr>
          <w:rFonts w:ascii="Palatino Linotype" w:eastAsia="Batang" w:hAnsi="Palatino Linotype" w:cs="Arial"/>
          <w:iCs/>
          <w:lang w:val="es-AR"/>
        </w:rPr>
        <w:t>en cuando al tema de enajenación de bienes muebles, en donde se establece</w:t>
      </w:r>
      <w:r>
        <w:rPr>
          <w:rFonts w:ascii="Palatino Linotype" w:eastAsia="Batang" w:hAnsi="Palatino Linotype" w:cs="Arial"/>
          <w:iCs/>
          <w:lang w:val="es-AR"/>
        </w:rPr>
        <w:t xml:space="preserve"> que existe un </w:t>
      </w:r>
      <w:r w:rsidRPr="002518D1">
        <w:rPr>
          <w:rFonts w:ascii="Palatino Linotype" w:eastAsia="Batang" w:hAnsi="Palatino Linotype" w:cs="Arial"/>
          <w:bCs/>
          <w:iCs/>
          <w:lang w:val="es-AR"/>
        </w:rPr>
        <w:t>cuerpo colegido que es el encargado de las enajenaciones de muebles</w:t>
      </w:r>
      <w:r w:rsidRPr="002518D1">
        <w:rPr>
          <w:rFonts w:ascii="Palatino Linotype" w:eastAsia="Batang" w:hAnsi="Palatino Linotype" w:cs="Arial"/>
          <w:iCs/>
          <w:lang w:val="es-AR"/>
        </w:rPr>
        <w:t xml:space="preserve"> </w:t>
      </w:r>
      <w:r w:rsidRPr="002518D1">
        <w:rPr>
          <w:rFonts w:ascii="Palatino Linotype" w:eastAsia="Batang" w:hAnsi="Palatino Linotype" w:cs="Arial"/>
          <w:bCs/>
          <w:iCs/>
          <w:lang w:val="es-AR"/>
        </w:rPr>
        <w:t>y así mismo</w:t>
      </w:r>
      <w:r w:rsidRPr="002518D1">
        <w:rPr>
          <w:rFonts w:ascii="Palatino Linotype" w:eastAsia="Batang" w:hAnsi="Palatino Linotype" w:cs="Arial"/>
          <w:iCs/>
          <w:lang w:val="es-AR"/>
        </w:rPr>
        <w:t xml:space="preserve">, </w:t>
      </w:r>
      <w:r>
        <w:rPr>
          <w:rFonts w:ascii="Palatino Linotype" w:eastAsia="Batang" w:hAnsi="Palatino Linotype" w:cs="Arial"/>
          <w:iCs/>
          <w:lang w:val="es-AR"/>
        </w:rPr>
        <w:t xml:space="preserve">se traduce, </w:t>
      </w:r>
      <w:r w:rsidRPr="002518D1">
        <w:rPr>
          <w:rFonts w:ascii="Palatino Linotype" w:eastAsia="Batang" w:hAnsi="Palatino Linotype" w:cs="Arial"/>
          <w:iCs/>
          <w:lang w:val="es-AR"/>
        </w:rPr>
        <w:t>que</w:t>
      </w:r>
      <w:r w:rsidRPr="002518D1">
        <w:rPr>
          <w:rFonts w:ascii="Palatino Linotype" w:eastAsia="Batang" w:hAnsi="Palatino Linotype" w:cs="Arial"/>
          <w:bCs/>
          <w:iCs/>
          <w:lang w:val="es-AR"/>
        </w:rPr>
        <w:t xml:space="preserve"> </w:t>
      </w:r>
      <w:r>
        <w:rPr>
          <w:rFonts w:ascii="Palatino Linotype" w:eastAsia="Batang" w:hAnsi="Palatino Linotype" w:cs="Arial"/>
          <w:bCs/>
          <w:iCs/>
          <w:lang w:val="es-AR"/>
        </w:rPr>
        <w:t>depende del Secretario del A</w:t>
      </w:r>
      <w:r w:rsidRPr="002518D1">
        <w:rPr>
          <w:rFonts w:ascii="Palatino Linotype" w:eastAsia="Batang" w:hAnsi="Palatino Linotype" w:cs="Arial"/>
          <w:bCs/>
          <w:iCs/>
          <w:lang w:val="es-AR"/>
        </w:rPr>
        <w:t>yuntamiento</w:t>
      </w:r>
      <w:r w:rsidR="00527B33">
        <w:rPr>
          <w:rFonts w:ascii="Palatino Linotype" w:eastAsia="Batang" w:hAnsi="Palatino Linotype" w:cs="Arial"/>
          <w:bCs/>
          <w:iCs/>
          <w:lang w:val="es-AR"/>
        </w:rPr>
        <w:t xml:space="preserve"> el </w:t>
      </w:r>
      <w:r w:rsidRPr="002518D1">
        <w:rPr>
          <w:rFonts w:ascii="Palatino Linotype" w:eastAsia="Batang" w:hAnsi="Palatino Linotype" w:cs="Arial"/>
          <w:bCs/>
          <w:iCs/>
          <w:lang w:val="es-AR"/>
        </w:rPr>
        <w:t xml:space="preserve">Comité de Arrendamientos, Adquisiciones de Inmuebles y Enajenaciones por considerarse el encargado del control patrimonial, quien fungirá como presidente, </w:t>
      </w:r>
      <w:r w:rsidRPr="002518D1">
        <w:rPr>
          <w:rFonts w:ascii="Palatino Linotype" w:eastAsia="Batang" w:hAnsi="Palatino Linotype" w:cs="Arial"/>
          <w:iCs/>
          <w:lang w:val="es-AR"/>
        </w:rPr>
        <w:t xml:space="preserve">puesto será quien autorizara con su firma la convocatoria, las bases, emitir el fallo de adjudicación, así como suscribir los contratos que se deriven de los procedimientos de arrendamientos, adquisiciones de inmuebles y enajenaciones. </w:t>
      </w:r>
    </w:p>
    <w:p w:rsidR="000E3C0D" w:rsidRDefault="000E3C0D" w:rsidP="000E3C0D">
      <w:pPr>
        <w:spacing w:line="360" w:lineRule="auto"/>
        <w:jc w:val="both"/>
        <w:rPr>
          <w:rFonts w:ascii="Palatino Linotype" w:eastAsia="Batang" w:hAnsi="Palatino Linotype" w:cs="Arial"/>
          <w:iCs/>
          <w:lang w:val="es-AR"/>
        </w:rPr>
      </w:pPr>
      <w:r w:rsidRPr="00B73BA9">
        <w:rPr>
          <w:rFonts w:ascii="Palatino Linotype" w:eastAsia="Batang" w:hAnsi="Palatino Linotype" w:cs="Arial"/>
          <w:iCs/>
          <w:lang w:val="es-AR"/>
        </w:rPr>
        <w:t xml:space="preserve">De lo anterior, el argumento de este Instituto se sustenta en lo establecido en los artículos </w:t>
      </w:r>
      <w:r>
        <w:rPr>
          <w:rFonts w:ascii="Palatino Linotype" w:eastAsia="Batang" w:hAnsi="Palatino Linotype" w:cs="Arial"/>
          <w:iCs/>
          <w:lang w:val="es-AR"/>
        </w:rPr>
        <w:t xml:space="preserve">22, de la </w:t>
      </w:r>
      <w:bookmarkStart w:id="0" w:name="_Hlk94556964"/>
      <w:r w:rsidRPr="00800C5B">
        <w:rPr>
          <w:rFonts w:ascii="Palatino Linotype" w:eastAsia="Batang" w:hAnsi="Palatino Linotype" w:cs="Arial"/>
          <w:iCs/>
          <w:lang w:val="es-AR"/>
        </w:rPr>
        <w:t>Ley de Contratación Pública del Estado de México y Municipios</w:t>
      </w:r>
      <w:r>
        <w:rPr>
          <w:rFonts w:ascii="Palatino Linotype" w:eastAsia="Batang" w:hAnsi="Palatino Linotype" w:cs="Arial"/>
          <w:iCs/>
          <w:lang w:val="es-AR"/>
        </w:rPr>
        <w:t xml:space="preserve"> </w:t>
      </w:r>
      <w:bookmarkEnd w:id="0"/>
      <w:r>
        <w:rPr>
          <w:rFonts w:ascii="Palatino Linotype" w:eastAsia="Batang" w:hAnsi="Palatino Linotype" w:cs="Arial"/>
          <w:iCs/>
          <w:lang w:val="es-AR"/>
        </w:rPr>
        <w:t xml:space="preserve">y los artículos 51, 52, 54, 55, fracción I, y 56, </w:t>
      </w:r>
      <w:bookmarkStart w:id="1" w:name="_Hlk94554968"/>
      <w:r>
        <w:rPr>
          <w:rFonts w:ascii="Palatino Linotype" w:eastAsia="Batang" w:hAnsi="Palatino Linotype" w:cs="Arial"/>
          <w:iCs/>
          <w:lang w:val="es-AR"/>
        </w:rPr>
        <w:t xml:space="preserve">del </w:t>
      </w:r>
      <w:bookmarkStart w:id="2" w:name="_Hlk94557003"/>
      <w:r w:rsidRPr="009841B6">
        <w:rPr>
          <w:rFonts w:ascii="Palatino Linotype" w:eastAsia="Batang" w:hAnsi="Palatino Linotype" w:cs="Arial"/>
          <w:iCs/>
          <w:lang w:val="es-AR"/>
        </w:rPr>
        <w:t>Reglamento de la Ley de Contratación Pública del Estado de México y Municipios</w:t>
      </w:r>
      <w:bookmarkEnd w:id="2"/>
      <w:r>
        <w:rPr>
          <w:rFonts w:ascii="Palatino Linotype" w:eastAsia="Batang" w:hAnsi="Palatino Linotype" w:cs="Arial"/>
          <w:iCs/>
          <w:lang w:val="es-AR"/>
        </w:rPr>
        <w:t>, que se citan a continuación:</w:t>
      </w:r>
      <w:r w:rsidRPr="009841B6">
        <w:rPr>
          <w:rFonts w:ascii="Palatino Linotype" w:eastAsia="Batang" w:hAnsi="Palatino Linotype" w:cs="Arial"/>
          <w:iCs/>
          <w:lang w:val="es-AR"/>
        </w:rPr>
        <w:cr/>
      </w:r>
      <w:bookmarkEnd w:id="1"/>
    </w:p>
    <w:p w:rsidR="000E3C0D" w:rsidRPr="009E45DD" w:rsidRDefault="000E3C0D" w:rsidP="000E3C0D">
      <w:pPr>
        <w:ind w:left="850" w:right="901"/>
        <w:jc w:val="center"/>
        <w:rPr>
          <w:rFonts w:ascii="Palatino Linotype" w:hAnsi="Palatino Linotype"/>
          <w:b/>
          <w:bCs/>
          <w:i/>
          <w:iCs/>
          <w:sz w:val="22"/>
          <w:szCs w:val="22"/>
        </w:rPr>
      </w:pPr>
      <w:r>
        <w:rPr>
          <w:rFonts w:ascii="Palatino Linotype" w:hAnsi="Palatino Linotype"/>
          <w:i/>
          <w:iCs/>
          <w:sz w:val="22"/>
          <w:szCs w:val="22"/>
        </w:rPr>
        <w:t>“</w:t>
      </w:r>
      <w:r w:rsidRPr="009E45DD">
        <w:rPr>
          <w:rFonts w:ascii="Palatino Linotype" w:hAnsi="Palatino Linotype"/>
          <w:b/>
          <w:bCs/>
          <w:i/>
          <w:iCs/>
          <w:sz w:val="22"/>
          <w:szCs w:val="22"/>
        </w:rPr>
        <w:t>Ley de Contratación Pública del Estado de México y Municipios</w:t>
      </w:r>
    </w:p>
    <w:p w:rsidR="000E3C0D" w:rsidRPr="00A7650A" w:rsidRDefault="000E3C0D" w:rsidP="000E3C0D">
      <w:pPr>
        <w:ind w:left="850" w:right="901"/>
        <w:jc w:val="both"/>
        <w:rPr>
          <w:rFonts w:ascii="Palatino Linotype" w:eastAsia="Batang" w:hAnsi="Palatino Linotype" w:cs="Arial"/>
          <w:i/>
          <w:iCs/>
          <w:sz w:val="22"/>
          <w:szCs w:val="22"/>
          <w:lang w:val="es-AR"/>
        </w:rPr>
      </w:pPr>
      <w:r w:rsidRPr="00A7650A">
        <w:rPr>
          <w:rFonts w:ascii="Palatino Linotype" w:hAnsi="Palatino Linotype"/>
          <w:b/>
          <w:bCs/>
          <w:i/>
          <w:iCs/>
          <w:sz w:val="22"/>
          <w:szCs w:val="22"/>
        </w:rPr>
        <w:t>Artículo 22.-</w:t>
      </w:r>
      <w:r w:rsidRPr="00A7650A">
        <w:rPr>
          <w:rFonts w:ascii="Palatino Linotype" w:hAnsi="Palatino Linotype"/>
          <w:i/>
          <w:iCs/>
          <w:sz w:val="22"/>
          <w:szCs w:val="22"/>
        </w:rPr>
        <w:t xml:space="preserve"> </w:t>
      </w:r>
      <w:r w:rsidRPr="00A7650A">
        <w:rPr>
          <w:rFonts w:ascii="Palatino Linotype" w:hAnsi="Palatino Linotype"/>
          <w:i/>
          <w:iCs/>
          <w:sz w:val="22"/>
          <w:szCs w:val="22"/>
          <w:u w:val="single"/>
        </w:rPr>
        <w:t>Los comités son órganos colegiados con facultades de opinión, que tienen por objeto auxiliar a la Secretaría, entidades, tribunales administrativos y ayuntamientos</w:t>
      </w:r>
      <w:r w:rsidRPr="00A7650A">
        <w:rPr>
          <w:rFonts w:ascii="Palatino Linotype" w:hAnsi="Palatino Linotype"/>
          <w:i/>
          <w:iCs/>
          <w:sz w:val="22"/>
          <w:szCs w:val="22"/>
        </w:rPr>
        <w:t>, en la substanciación de los procedimientos de adquisiciones y de servicios, de conformidad con el Reglamento y los manuales de operación.</w:t>
      </w:r>
    </w:p>
    <w:p w:rsidR="000E3C0D" w:rsidRPr="00A7650A" w:rsidRDefault="000E3C0D" w:rsidP="000E3C0D">
      <w:pPr>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i/>
          <w:iCs/>
          <w:sz w:val="22"/>
          <w:szCs w:val="22"/>
          <w:lang w:val="es-AR"/>
        </w:rPr>
        <w:t>(…)</w:t>
      </w:r>
    </w:p>
    <w:p w:rsidR="000E3C0D" w:rsidRPr="00A7650A" w:rsidRDefault="000E3C0D" w:rsidP="000E3C0D">
      <w:pPr>
        <w:ind w:left="850" w:right="901"/>
        <w:jc w:val="both"/>
        <w:rPr>
          <w:rFonts w:ascii="Palatino Linotype" w:eastAsia="Batang" w:hAnsi="Palatino Linotype" w:cs="Arial"/>
          <w:b/>
          <w:bCs/>
          <w:i/>
          <w:iCs/>
          <w:sz w:val="22"/>
          <w:szCs w:val="22"/>
          <w:lang w:val="es-AR"/>
        </w:rPr>
      </w:pPr>
      <w:r w:rsidRPr="00A7650A">
        <w:rPr>
          <w:rFonts w:ascii="Palatino Linotype" w:hAnsi="Palatino Linotype"/>
          <w:i/>
          <w:iCs/>
          <w:sz w:val="22"/>
          <w:szCs w:val="22"/>
        </w:rPr>
        <w:t xml:space="preserve">La Secretaría, las entidades, los tribunales administrativos y </w:t>
      </w:r>
      <w:r w:rsidRPr="00A7650A">
        <w:rPr>
          <w:rFonts w:ascii="Palatino Linotype" w:hAnsi="Palatino Linotype"/>
          <w:b/>
          <w:bCs/>
          <w:i/>
          <w:iCs/>
          <w:sz w:val="22"/>
          <w:szCs w:val="22"/>
        </w:rPr>
        <w:t>los ayuntamientos se auxiliarán de un comité de arrendamientos, adquisiciones de inmuebles y enajenaciones.</w:t>
      </w:r>
      <w:r>
        <w:rPr>
          <w:rFonts w:ascii="Palatino Linotype" w:hAnsi="Palatino Linotype"/>
          <w:b/>
          <w:bCs/>
          <w:i/>
          <w:iCs/>
          <w:sz w:val="22"/>
          <w:szCs w:val="22"/>
        </w:rPr>
        <w:t>”</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9E45DD">
        <w:rPr>
          <w:rFonts w:ascii="Palatino Linotype" w:eastAsia="Batang" w:hAnsi="Palatino Linotype" w:cs="Arial"/>
          <w:i/>
          <w:iCs/>
          <w:sz w:val="22"/>
          <w:szCs w:val="22"/>
          <w:lang w:val="es-AR"/>
        </w:rPr>
        <w:t>(énfasis añadido)</w:t>
      </w:r>
    </w:p>
    <w:p w:rsidR="000E3C0D" w:rsidRDefault="000E3C0D" w:rsidP="000E3C0D">
      <w:pPr>
        <w:autoSpaceDE w:val="0"/>
        <w:autoSpaceDN w:val="0"/>
        <w:adjustRightInd w:val="0"/>
        <w:ind w:left="850" w:right="901"/>
        <w:jc w:val="both"/>
        <w:rPr>
          <w:rFonts w:ascii="Palatino Linotype" w:eastAsia="Batang" w:hAnsi="Palatino Linotype" w:cs="Arial"/>
          <w:b/>
          <w:bCs/>
          <w:i/>
          <w:iCs/>
          <w:sz w:val="22"/>
          <w:szCs w:val="22"/>
          <w:lang w:val="es-AR"/>
        </w:rPr>
      </w:pPr>
    </w:p>
    <w:p w:rsidR="000E3C0D" w:rsidRDefault="000E3C0D" w:rsidP="000E3C0D">
      <w:pPr>
        <w:autoSpaceDE w:val="0"/>
        <w:autoSpaceDN w:val="0"/>
        <w:adjustRightInd w:val="0"/>
        <w:ind w:left="850" w:right="901"/>
        <w:jc w:val="center"/>
        <w:rPr>
          <w:rFonts w:ascii="Palatino Linotype" w:eastAsia="Batang" w:hAnsi="Palatino Linotype" w:cs="Arial"/>
          <w:b/>
          <w:bCs/>
          <w:i/>
          <w:iCs/>
          <w:sz w:val="22"/>
          <w:szCs w:val="22"/>
          <w:lang w:val="es-AR"/>
        </w:rPr>
      </w:pPr>
      <w:r>
        <w:rPr>
          <w:rFonts w:ascii="Palatino Linotype" w:eastAsia="Batang" w:hAnsi="Palatino Linotype" w:cs="Arial"/>
          <w:b/>
          <w:bCs/>
          <w:i/>
          <w:iCs/>
          <w:sz w:val="22"/>
          <w:szCs w:val="22"/>
          <w:lang w:val="es-AR"/>
        </w:rPr>
        <w:lastRenderedPageBreak/>
        <w:t>“</w:t>
      </w:r>
      <w:r w:rsidRPr="009E45DD">
        <w:rPr>
          <w:rFonts w:ascii="Palatino Linotype" w:eastAsia="Batang" w:hAnsi="Palatino Linotype" w:cs="Arial"/>
          <w:b/>
          <w:bCs/>
          <w:i/>
          <w:iCs/>
          <w:sz w:val="22"/>
          <w:szCs w:val="22"/>
          <w:lang w:val="es-AR"/>
        </w:rPr>
        <w:t>Reglamento de la Ley de Contratación Pública del Estado de México y Municipios</w:t>
      </w:r>
    </w:p>
    <w:p w:rsidR="000E3C0D" w:rsidRDefault="000E3C0D" w:rsidP="000E3C0D">
      <w:pPr>
        <w:autoSpaceDE w:val="0"/>
        <w:autoSpaceDN w:val="0"/>
        <w:adjustRightInd w:val="0"/>
        <w:ind w:left="850" w:right="901"/>
        <w:jc w:val="both"/>
        <w:rPr>
          <w:rFonts w:ascii="Palatino Linotype" w:eastAsia="Batang" w:hAnsi="Palatino Linotype" w:cs="Arial"/>
          <w:b/>
          <w:bCs/>
          <w:i/>
          <w:iCs/>
          <w:sz w:val="22"/>
          <w:szCs w:val="22"/>
          <w:lang w:val="es-AR"/>
        </w:rPr>
      </w:pPr>
      <w:r w:rsidRPr="00A7650A">
        <w:rPr>
          <w:rFonts w:ascii="Palatino Linotype" w:eastAsia="Batang" w:hAnsi="Palatino Linotype" w:cs="Arial"/>
          <w:b/>
          <w:bCs/>
          <w:i/>
          <w:iCs/>
          <w:sz w:val="22"/>
          <w:szCs w:val="22"/>
          <w:lang w:val="es-AR"/>
        </w:rPr>
        <w:t>Artículo 51.-</w:t>
      </w:r>
      <w:r w:rsidRPr="00A7650A">
        <w:rPr>
          <w:rFonts w:ascii="Palatino Linotype" w:eastAsia="Batang" w:hAnsi="Palatino Linotype" w:cs="Arial"/>
          <w:i/>
          <w:iCs/>
          <w:sz w:val="22"/>
          <w:szCs w:val="22"/>
          <w:lang w:val="es-AR"/>
        </w:rPr>
        <w:t xml:space="preserve"> La Secretaría, organismos auxiliares, tribunales administrativos y </w:t>
      </w:r>
      <w:r w:rsidRPr="00A7650A">
        <w:rPr>
          <w:rFonts w:ascii="Palatino Linotype" w:eastAsia="Batang" w:hAnsi="Palatino Linotype" w:cs="Arial"/>
          <w:b/>
          <w:bCs/>
          <w:i/>
          <w:iCs/>
          <w:sz w:val="22"/>
          <w:szCs w:val="22"/>
          <w:lang w:val="es-AR"/>
        </w:rPr>
        <w:t>municipios, se auxiliarán de un Comité de Arrendamientos, Adquisiciones de Inmuebles y Enajenaciones, para el desahogo de sus procedimientos, con arreglo a lo establecido en la Ley.</w:t>
      </w:r>
    </w:p>
    <w:p w:rsidR="000E3C0D" w:rsidRPr="00A7650A" w:rsidRDefault="000E3C0D" w:rsidP="000E3C0D">
      <w:pPr>
        <w:autoSpaceDE w:val="0"/>
        <w:autoSpaceDN w:val="0"/>
        <w:adjustRightInd w:val="0"/>
        <w:ind w:left="850" w:right="901"/>
        <w:jc w:val="both"/>
        <w:rPr>
          <w:rFonts w:ascii="Palatino Linotype" w:eastAsia="Batang" w:hAnsi="Palatino Linotype" w:cs="Arial"/>
          <w:b/>
          <w:bCs/>
          <w:i/>
          <w:iCs/>
          <w:sz w:val="22"/>
          <w:szCs w:val="22"/>
          <w:lang w:val="es-AR"/>
        </w:rPr>
      </w:pPr>
    </w:p>
    <w:p w:rsidR="000E3C0D"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9E45DD">
        <w:rPr>
          <w:rFonts w:ascii="Palatino Linotype" w:eastAsia="Batang" w:hAnsi="Palatino Linotype" w:cs="Arial"/>
          <w:b/>
          <w:bCs/>
          <w:i/>
          <w:iCs/>
          <w:sz w:val="22"/>
          <w:szCs w:val="22"/>
          <w:lang w:val="es-AR"/>
        </w:rPr>
        <w:t>Artículo 52</w:t>
      </w:r>
      <w:r w:rsidRPr="00A7650A">
        <w:rPr>
          <w:rFonts w:ascii="Palatino Linotype" w:eastAsia="Batang" w:hAnsi="Palatino Linotype" w:cs="Arial"/>
          <w:i/>
          <w:iCs/>
          <w:sz w:val="22"/>
          <w:szCs w:val="22"/>
          <w:lang w:val="es-AR"/>
        </w:rPr>
        <w:t xml:space="preserve">.- </w:t>
      </w:r>
      <w:r w:rsidRPr="00A7650A">
        <w:rPr>
          <w:rFonts w:ascii="Palatino Linotype" w:eastAsia="Batang" w:hAnsi="Palatino Linotype" w:cs="Arial"/>
          <w:b/>
          <w:bCs/>
          <w:i/>
          <w:iCs/>
          <w:sz w:val="22"/>
          <w:szCs w:val="22"/>
          <w:lang w:val="es-AR"/>
        </w:rPr>
        <w:t>El Comité de Arrendamientos, Adquisiciones de Inmuebles y Enajenaciones</w:t>
      </w:r>
      <w:r w:rsidRPr="00A7650A">
        <w:rPr>
          <w:rFonts w:ascii="Palatino Linotype" w:eastAsia="Batang" w:hAnsi="Palatino Linotype" w:cs="Arial"/>
          <w:i/>
          <w:iCs/>
          <w:sz w:val="22"/>
          <w:szCs w:val="22"/>
          <w:lang w:val="es-AR"/>
        </w:rPr>
        <w:t>, se integrará por:</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p>
    <w:p w:rsidR="000E3C0D" w:rsidRPr="002518D1" w:rsidRDefault="000E3C0D" w:rsidP="000E3C0D">
      <w:pPr>
        <w:autoSpaceDE w:val="0"/>
        <w:autoSpaceDN w:val="0"/>
        <w:adjustRightInd w:val="0"/>
        <w:ind w:left="850" w:right="901"/>
        <w:jc w:val="both"/>
        <w:rPr>
          <w:rFonts w:ascii="Palatino Linotype" w:eastAsia="Batang" w:hAnsi="Palatino Linotype" w:cs="Arial"/>
          <w:i/>
          <w:iCs/>
          <w:sz w:val="22"/>
          <w:szCs w:val="22"/>
          <w:u w:val="single"/>
          <w:lang w:val="es-AR"/>
        </w:rPr>
      </w:pPr>
      <w:r w:rsidRPr="00A7650A">
        <w:rPr>
          <w:rFonts w:ascii="Palatino Linotype" w:eastAsia="Batang" w:hAnsi="Palatino Linotype" w:cs="Arial"/>
          <w:b/>
          <w:bCs/>
          <w:i/>
          <w:iCs/>
          <w:sz w:val="22"/>
          <w:szCs w:val="22"/>
          <w:lang w:val="es-AR"/>
        </w:rPr>
        <w:t>I</w:t>
      </w:r>
      <w:r w:rsidRPr="002518D1">
        <w:rPr>
          <w:rFonts w:ascii="Palatino Linotype" w:eastAsia="Batang" w:hAnsi="Palatino Linotype" w:cs="Arial"/>
          <w:b/>
          <w:bCs/>
          <w:i/>
          <w:iCs/>
          <w:sz w:val="22"/>
          <w:szCs w:val="22"/>
          <w:u w:val="single"/>
          <w:lang w:val="es-AR"/>
        </w:rPr>
        <w:t>.</w:t>
      </w:r>
      <w:r w:rsidRPr="002518D1">
        <w:rPr>
          <w:rFonts w:ascii="Palatino Linotype" w:eastAsia="Batang" w:hAnsi="Palatino Linotype" w:cs="Arial"/>
          <w:i/>
          <w:iCs/>
          <w:sz w:val="22"/>
          <w:szCs w:val="22"/>
          <w:u w:val="single"/>
          <w:lang w:val="es-AR"/>
        </w:rPr>
        <w:t xml:space="preserve"> El titular del área encargada del control patrimonial de la Secretaría, en el caso de las organismos auxiliares, tribunales administrativos o municipios, el encargado del control patrimonial, quien fungirá como presidente;</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b/>
          <w:bCs/>
          <w:i/>
          <w:iCs/>
          <w:sz w:val="22"/>
          <w:szCs w:val="22"/>
          <w:lang w:val="es-AR"/>
        </w:rPr>
        <w:t>II.</w:t>
      </w:r>
      <w:r w:rsidRPr="00A7650A">
        <w:rPr>
          <w:rFonts w:ascii="Palatino Linotype" w:eastAsia="Batang" w:hAnsi="Palatino Linotype" w:cs="Arial"/>
          <w:i/>
          <w:iCs/>
          <w:sz w:val="22"/>
          <w:szCs w:val="22"/>
          <w:lang w:val="es-AR"/>
        </w:rPr>
        <w:t xml:space="preserve"> Un representante de la Consejería Jurídica o del área jurídica respectiva, de la entidad, tribunal administrativo o municipio o quién lleve a cabo las funciones de esta naturaleza, con funciones de vocal;</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b/>
          <w:bCs/>
          <w:i/>
          <w:iCs/>
          <w:sz w:val="22"/>
          <w:szCs w:val="22"/>
          <w:lang w:val="es-AR"/>
        </w:rPr>
        <w:t>III.</w:t>
      </w:r>
      <w:r w:rsidRPr="00A7650A">
        <w:rPr>
          <w:rFonts w:ascii="Palatino Linotype" w:eastAsia="Batang" w:hAnsi="Palatino Linotype" w:cs="Arial"/>
          <w:i/>
          <w:iCs/>
          <w:sz w:val="22"/>
          <w:szCs w:val="22"/>
          <w:lang w:val="es-AR"/>
        </w:rPr>
        <w:t xml:space="preserve"> Un representante del área financiera de la Secretaría, entidad, tribunal administrativo o municipio con funciones de vocal;</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b/>
          <w:bCs/>
          <w:i/>
          <w:iCs/>
          <w:sz w:val="22"/>
          <w:szCs w:val="22"/>
          <w:lang w:val="es-AR"/>
        </w:rPr>
        <w:t>IV.</w:t>
      </w:r>
      <w:r w:rsidRPr="00A7650A">
        <w:rPr>
          <w:rFonts w:ascii="Palatino Linotype" w:eastAsia="Batang" w:hAnsi="Palatino Linotype" w:cs="Arial"/>
          <w:i/>
          <w:iCs/>
          <w:sz w:val="22"/>
          <w:szCs w:val="22"/>
          <w:lang w:val="es-AR"/>
        </w:rPr>
        <w:t xml:space="preserve"> Un representante de la Coordinación Administrativa o su equivalente de la dependencia, entidad o tribunal administrativo o del área de administración del municipio, interesada en el arrendamiento, adquisición, o enajenación, con funciones de vocal;</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b/>
          <w:bCs/>
          <w:i/>
          <w:iCs/>
          <w:sz w:val="22"/>
          <w:szCs w:val="22"/>
          <w:lang w:val="es-AR"/>
        </w:rPr>
        <w:t>V.</w:t>
      </w:r>
      <w:r w:rsidRPr="00A7650A">
        <w:rPr>
          <w:rFonts w:ascii="Palatino Linotype" w:eastAsia="Batang" w:hAnsi="Palatino Linotype" w:cs="Arial"/>
          <w:i/>
          <w:iCs/>
          <w:sz w:val="22"/>
          <w:szCs w:val="22"/>
          <w:lang w:val="es-AR"/>
        </w:rPr>
        <w:t xml:space="preserve"> Un representante del Órgano de Control de la Secretaría, entidad, tribunal administrativo o municipio, con funciones de vocal; y</w:t>
      </w:r>
    </w:p>
    <w:p w:rsidR="000E3C0D"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b/>
          <w:bCs/>
          <w:i/>
          <w:iCs/>
          <w:sz w:val="22"/>
          <w:szCs w:val="22"/>
          <w:lang w:val="es-AR"/>
        </w:rPr>
        <w:t>VI.</w:t>
      </w:r>
      <w:r w:rsidRPr="00A7650A">
        <w:rPr>
          <w:rFonts w:ascii="Palatino Linotype" w:eastAsia="Batang" w:hAnsi="Palatino Linotype" w:cs="Arial"/>
          <w:i/>
          <w:iCs/>
          <w:sz w:val="22"/>
          <w:szCs w:val="22"/>
          <w:lang w:val="es-AR"/>
        </w:rPr>
        <w:t xml:space="preserve"> Un Secretario Ejecutivo, quien será designado por el presidente.</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i/>
          <w:iCs/>
          <w:sz w:val="22"/>
          <w:szCs w:val="22"/>
          <w:lang w:val="es-AR"/>
        </w:rPr>
        <w:t>Los integrantes del comité tendrán derecho a voz y voto a excepción de los indicados en las fracciones V y VI, quienes sólo participarán con voz, debiendo fundamentar y motivar el sentido de su opinión, a efecto de que se incluida en el acta correspondiente. En caso de empate, el presidente tendrá voto de calidad.</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p>
    <w:p w:rsidR="000E3C0D"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i/>
          <w:iCs/>
          <w:sz w:val="22"/>
          <w:szCs w:val="22"/>
          <w:lang w:val="es-AR"/>
        </w:rPr>
        <w:t>A las sesiones del comité podrá invitarse a servidores públicos cuya intervención se considere necesaria por el secretario ejecutivo, para aclarar aspectos técnicos o administrativos relacionados con los asuntos sometidos al comité.</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p>
    <w:p w:rsidR="000E3C0D"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i/>
          <w:iCs/>
          <w:sz w:val="22"/>
          <w:szCs w:val="22"/>
          <w:lang w:val="es-AR"/>
        </w:rPr>
        <w:t>Los integrantes del comité designarán por escrito a sus respectivos suplentes, y sólo participarán en ausencia del titular.</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i/>
          <w:iCs/>
          <w:sz w:val="22"/>
          <w:szCs w:val="22"/>
          <w:lang w:val="es-AR"/>
        </w:rPr>
        <w:t>Los cargos de integrantes del comité serán honoríficos.</w:t>
      </w:r>
    </w:p>
    <w:p w:rsidR="000E3C0D"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786291">
        <w:rPr>
          <w:rFonts w:ascii="Palatino Linotype" w:eastAsia="Batang" w:hAnsi="Palatino Linotype" w:cs="Arial"/>
          <w:b/>
          <w:bCs/>
          <w:i/>
          <w:iCs/>
          <w:sz w:val="22"/>
          <w:szCs w:val="22"/>
          <w:lang w:val="es-AR"/>
        </w:rPr>
        <w:lastRenderedPageBreak/>
        <w:t>Artículo 54.-</w:t>
      </w:r>
      <w:r w:rsidRPr="00A7650A">
        <w:rPr>
          <w:rFonts w:ascii="Palatino Linotype" w:eastAsia="Batang" w:hAnsi="Palatino Linotype" w:cs="Arial"/>
          <w:i/>
          <w:iCs/>
          <w:sz w:val="22"/>
          <w:szCs w:val="22"/>
          <w:lang w:val="es-AR"/>
        </w:rPr>
        <w:t xml:space="preserve"> Además de las establecidas en la Ley, el Comité de Arrendamientos, Adquisiciones de Inmuebles y Enajenaciones tendrá las siguientes funciones:</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I.</w:t>
      </w:r>
      <w:r w:rsidRPr="00A7650A">
        <w:rPr>
          <w:rFonts w:ascii="Palatino Linotype" w:eastAsia="Batang" w:hAnsi="Palatino Linotype" w:cs="Arial"/>
          <w:i/>
          <w:iCs/>
          <w:sz w:val="22"/>
          <w:szCs w:val="22"/>
          <w:lang w:val="es-AR"/>
        </w:rPr>
        <w:t xml:space="preserve"> Expedir su manual de operación;</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II.</w:t>
      </w:r>
      <w:r w:rsidRPr="00A7650A">
        <w:rPr>
          <w:rFonts w:ascii="Palatino Linotype" w:eastAsia="Batang" w:hAnsi="Palatino Linotype" w:cs="Arial"/>
          <w:i/>
          <w:iCs/>
          <w:sz w:val="22"/>
          <w:szCs w:val="22"/>
          <w:lang w:val="es-AR"/>
        </w:rPr>
        <w:t xml:space="preserve"> Revisar y validar el programa anual de arrendamiento; así como formular las observaciones y recomendaciones que estimen convenientes;</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III.</w:t>
      </w:r>
      <w:r w:rsidRPr="00A7650A">
        <w:rPr>
          <w:rFonts w:ascii="Palatino Linotype" w:eastAsia="Batang" w:hAnsi="Palatino Linotype" w:cs="Arial"/>
          <w:i/>
          <w:iCs/>
          <w:sz w:val="22"/>
          <w:szCs w:val="22"/>
          <w:lang w:val="es-AR"/>
        </w:rPr>
        <w:t xml:space="preserve"> </w:t>
      </w:r>
      <w:r w:rsidRPr="00423E45">
        <w:rPr>
          <w:rFonts w:ascii="Palatino Linotype" w:eastAsia="Batang" w:hAnsi="Palatino Linotype" w:cs="Arial"/>
          <w:b/>
          <w:bCs/>
          <w:i/>
          <w:iCs/>
          <w:sz w:val="22"/>
          <w:szCs w:val="22"/>
          <w:lang w:val="es-AR"/>
        </w:rPr>
        <w:t>Analizar la documentación de los actos relacionados con</w:t>
      </w:r>
      <w:r w:rsidRPr="00A7650A">
        <w:rPr>
          <w:rFonts w:ascii="Palatino Linotype" w:eastAsia="Batang" w:hAnsi="Palatino Linotype" w:cs="Arial"/>
          <w:i/>
          <w:iCs/>
          <w:sz w:val="22"/>
          <w:szCs w:val="22"/>
          <w:lang w:val="es-AR"/>
        </w:rPr>
        <w:t xml:space="preserve"> arrendamiento, adquisiciones de inmuebles y </w:t>
      </w:r>
      <w:r w:rsidRPr="00423E45">
        <w:rPr>
          <w:rFonts w:ascii="Palatino Linotype" w:eastAsia="Batang" w:hAnsi="Palatino Linotype" w:cs="Arial"/>
          <w:b/>
          <w:bCs/>
          <w:i/>
          <w:iCs/>
          <w:sz w:val="22"/>
          <w:szCs w:val="22"/>
          <w:lang w:val="es-AR"/>
        </w:rPr>
        <w:t>enajenaciones de muebles</w:t>
      </w:r>
      <w:r w:rsidRPr="00A7650A">
        <w:rPr>
          <w:rFonts w:ascii="Palatino Linotype" w:eastAsia="Batang" w:hAnsi="Palatino Linotype" w:cs="Arial"/>
          <w:i/>
          <w:iCs/>
          <w:sz w:val="22"/>
          <w:szCs w:val="22"/>
          <w:lang w:val="es-AR"/>
        </w:rPr>
        <w:t xml:space="preserve"> e inmuebles, y emitir la opinión correspondiente;</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IV.</w:t>
      </w:r>
      <w:r w:rsidRPr="00A7650A">
        <w:rPr>
          <w:rFonts w:ascii="Palatino Linotype" w:eastAsia="Batang" w:hAnsi="Palatino Linotype" w:cs="Arial"/>
          <w:i/>
          <w:iCs/>
          <w:sz w:val="22"/>
          <w:szCs w:val="22"/>
          <w:lang w:val="es-AR"/>
        </w:rPr>
        <w:t xml:space="preserve"> Dictaminar sobre las solicitudes para adquirir inmuebles, arrendamientos y</w:t>
      </w:r>
      <w:r>
        <w:rPr>
          <w:rFonts w:ascii="Palatino Linotype" w:eastAsia="Batang" w:hAnsi="Palatino Linotype" w:cs="Arial"/>
          <w:i/>
          <w:iCs/>
          <w:sz w:val="22"/>
          <w:szCs w:val="22"/>
          <w:lang w:val="es-AR"/>
        </w:rPr>
        <w:t xml:space="preserve"> </w:t>
      </w:r>
      <w:r w:rsidRPr="00A7650A">
        <w:rPr>
          <w:rFonts w:ascii="Palatino Linotype" w:eastAsia="Batang" w:hAnsi="Palatino Linotype" w:cs="Arial"/>
          <w:i/>
          <w:iCs/>
          <w:sz w:val="22"/>
          <w:szCs w:val="22"/>
          <w:lang w:val="es-AR"/>
        </w:rPr>
        <w:t>subarrendamientos;</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V.</w:t>
      </w:r>
      <w:r w:rsidRPr="00A7650A">
        <w:rPr>
          <w:rFonts w:ascii="Palatino Linotype" w:eastAsia="Batang" w:hAnsi="Palatino Linotype" w:cs="Arial"/>
          <w:i/>
          <w:iCs/>
          <w:sz w:val="22"/>
          <w:szCs w:val="22"/>
          <w:lang w:val="es-AR"/>
        </w:rPr>
        <w:t xml:space="preserve"> </w:t>
      </w:r>
      <w:r w:rsidRPr="00423E45">
        <w:rPr>
          <w:rFonts w:ascii="Palatino Linotype" w:eastAsia="Batang" w:hAnsi="Palatino Linotype" w:cs="Arial"/>
          <w:b/>
          <w:bCs/>
          <w:i/>
          <w:iCs/>
          <w:sz w:val="22"/>
          <w:szCs w:val="22"/>
          <w:lang w:val="es-AR"/>
        </w:rPr>
        <w:t>Dictaminar sobre las propuestas de enajenación de bienes muebles</w:t>
      </w:r>
      <w:r w:rsidRPr="00A7650A">
        <w:rPr>
          <w:rFonts w:ascii="Palatino Linotype" w:eastAsia="Batang" w:hAnsi="Palatino Linotype" w:cs="Arial"/>
          <w:i/>
          <w:iCs/>
          <w:sz w:val="22"/>
          <w:szCs w:val="22"/>
          <w:lang w:val="es-AR"/>
        </w:rPr>
        <w:t xml:space="preserve"> e inmuebles;</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VI</w:t>
      </w:r>
      <w:r w:rsidRPr="00A7650A">
        <w:rPr>
          <w:rFonts w:ascii="Palatino Linotype" w:eastAsia="Batang" w:hAnsi="Palatino Linotype" w:cs="Arial"/>
          <w:i/>
          <w:iCs/>
          <w:sz w:val="22"/>
          <w:szCs w:val="22"/>
          <w:lang w:val="es-AR"/>
        </w:rPr>
        <w:t>. Solicitar asesoría técnica a las cámaras de comercio, industria de la construcción, de empresas inmobiliarias y colegios de profesionales o de las confederaciones que las agrupan;</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VII. Implementar acciones y emitir acuerdos que considere necesarios para el mejoramiento del procedimiento para</w:t>
      </w:r>
      <w:r w:rsidRPr="00A7650A">
        <w:rPr>
          <w:rFonts w:ascii="Palatino Linotype" w:eastAsia="Batang" w:hAnsi="Palatino Linotype" w:cs="Arial"/>
          <w:i/>
          <w:iCs/>
          <w:sz w:val="22"/>
          <w:szCs w:val="22"/>
          <w:lang w:val="es-AR"/>
        </w:rPr>
        <w:t xml:space="preserve"> arrendamiento, adquisiciones de inmuebles y </w:t>
      </w:r>
      <w:r w:rsidRPr="00423E45">
        <w:rPr>
          <w:rFonts w:ascii="Palatino Linotype" w:eastAsia="Batang" w:hAnsi="Palatino Linotype" w:cs="Arial"/>
          <w:b/>
          <w:bCs/>
          <w:i/>
          <w:iCs/>
          <w:sz w:val="22"/>
          <w:szCs w:val="22"/>
          <w:lang w:val="es-AR"/>
        </w:rPr>
        <w:t>enajenaciones de muebles</w:t>
      </w:r>
      <w:r w:rsidRPr="00A7650A">
        <w:rPr>
          <w:rFonts w:ascii="Palatino Linotype" w:eastAsia="Batang" w:hAnsi="Palatino Linotype" w:cs="Arial"/>
          <w:i/>
          <w:iCs/>
          <w:sz w:val="22"/>
          <w:szCs w:val="22"/>
          <w:lang w:val="es-AR"/>
        </w:rPr>
        <w:t xml:space="preserve"> e inmuebles;</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VIII.</w:t>
      </w:r>
      <w:r w:rsidRPr="00A7650A">
        <w:rPr>
          <w:rFonts w:ascii="Palatino Linotype" w:eastAsia="Batang" w:hAnsi="Palatino Linotype" w:cs="Arial"/>
          <w:i/>
          <w:iCs/>
          <w:sz w:val="22"/>
          <w:szCs w:val="22"/>
          <w:lang w:val="es-AR"/>
        </w:rPr>
        <w:t xml:space="preserve"> Evaluar las propuestas o posturas que se presenten en los procedimientos de licitación pública, subasta pública, invitación restringida o adjudicación directa;</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IX.</w:t>
      </w:r>
      <w:r w:rsidRPr="00A7650A">
        <w:rPr>
          <w:rFonts w:ascii="Palatino Linotype" w:eastAsia="Batang" w:hAnsi="Palatino Linotype" w:cs="Arial"/>
          <w:i/>
          <w:iCs/>
          <w:sz w:val="22"/>
          <w:szCs w:val="22"/>
          <w:lang w:val="es-AR"/>
        </w:rPr>
        <w:t xml:space="preserve"> </w:t>
      </w:r>
      <w:r w:rsidRPr="00423E45">
        <w:rPr>
          <w:rFonts w:ascii="Palatino Linotype" w:eastAsia="Batang" w:hAnsi="Palatino Linotype" w:cs="Arial"/>
          <w:b/>
          <w:bCs/>
          <w:i/>
          <w:iCs/>
          <w:sz w:val="22"/>
          <w:szCs w:val="22"/>
          <w:lang w:val="es-AR"/>
        </w:rPr>
        <w:t>Emitir los dictámenes</w:t>
      </w:r>
      <w:r w:rsidRPr="00A7650A">
        <w:rPr>
          <w:rFonts w:ascii="Palatino Linotype" w:eastAsia="Batang" w:hAnsi="Palatino Linotype" w:cs="Arial"/>
          <w:i/>
          <w:iCs/>
          <w:sz w:val="22"/>
          <w:szCs w:val="22"/>
          <w:lang w:val="es-AR"/>
        </w:rPr>
        <w:t xml:space="preserve"> de adjudicación, </w:t>
      </w:r>
      <w:r w:rsidRPr="00423E45">
        <w:rPr>
          <w:rFonts w:ascii="Palatino Linotype" w:eastAsia="Batang" w:hAnsi="Palatino Linotype" w:cs="Arial"/>
          <w:b/>
          <w:bCs/>
          <w:i/>
          <w:iCs/>
          <w:sz w:val="22"/>
          <w:szCs w:val="22"/>
          <w:lang w:val="es-AR"/>
        </w:rPr>
        <w:t xml:space="preserve">que servirán para la emisión del fallo en </w:t>
      </w:r>
      <w:r w:rsidRPr="00A7650A">
        <w:rPr>
          <w:rFonts w:ascii="Palatino Linotype" w:eastAsia="Batang" w:hAnsi="Palatino Linotype" w:cs="Arial"/>
          <w:i/>
          <w:iCs/>
          <w:sz w:val="22"/>
          <w:szCs w:val="22"/>
          <w:lang w:val="es-AR"/>
        </w:rPr>
        <w:t>los</w:t>
      </w:r>
      <w:r>
        <w:rPr>
          <w:rFonts w:ascii="Palatino Linotype" w:eastAsia="Batang" w:hAnsi="Palatino Linotype" w:cs="Arial"/>
          <w:i/>
          <w:iCs/>
          <w:sz w:val="22"/>
          <w:szCs w:val="22"/>
          <w:lang w:val="es-AR"/>
        </w:rPr>
        <w:t xml:space="preserve"> </w:t>
      </w:r>
      <w:r w:rsidRPr="00A7650A">
        <w:rPr>
          <w:rFonts w:ascii="Palatino Linotype" w:eastAsia="Batang" w:hAnsi="Palatino Linotype" w:cs="Arial"/>
          <w:i/>
          <w:iCs/>
          <w:sz w:val="22"/>
          <w:szCs w:val="22"/>
          <w:lang w:val="es-AR"/>
        </w:rPr>
        <w:t xml:space="preserve">arrendamientos, adquisiciones de inmuebles y </w:t>
      </w:r>
      <w:r w:rsidRPr="00423E45">
        <w:rPr>
          <w:rFonts w:ascii="Palatino Linotype" w:eastAsia="Batang" w:hAnsi="Palatino Linotype" w:cs="Arial"/>
          <w:b/>
          <w:bCs/>
          <w:i/>
          <w:iCs/>
          <w:sz w:val="22"/>
          <w:szCs w:val="22"/>
          <w:lang w:val="es-AR"/>
        </w:rPr>
        <w:t>enajenaciones</w:t>
      </w:r>
      <w:r w:rsidRPr="00A7650A">
        <w:rPr>
          <w:rFonts w:ascii="Palatino Linotype" w:eastAsia="Batang" w:hAnsi="Palatino Linotype" w:cs="Arial"/>
          <w:i/>
          <w:iCs/>
          <w:sz w:val="22"/>
          <w:szCs w:val="22"/>
          <w:lang w:val="es-AR"/>
        </w:rPr>
        <w:t>;</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X.</w:t>
      </w:r>
      <w:r w:rsidRPr="00A7650A">
        <w:rPr>
          <w:rFonts w:ascii="Palatino Linotype" w:eastAsia="Batang" w:hAnsi="Palatino Linotype" w:cs="Arial"/>
          <w:i/>
          <w:iCs/>
          <w:sz w:val="22"/>
          <w:szCs w:val="22"/>
          <w:lang w:val="es-AR"/>
        </w:rPr>
        <w:t xml:space="preserve"> Crear subcomités y grupos de trabajo de orden administrativo y técnico que considere necesarios para el desarrollo de sus funciones; y</w:t>
      </w:r>
    </w:p>
    <w:p w:rsidR="000E3C0D"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XI.</w:t>
      </w:r>
      <w:r w:rsidRPr="00A7650A">
        <w:rPr>
          <w:rFonts w:ascii="Palatino Linotype" w:eastAsia="Batang" w:hAnsi="Palatino Linotype" w:cs="Arial"/>
          <w:i/>
          <w:iCs/>
          <w:sz w:val="22"/>
          <w:szCs w:val="22"/>
          <w:lang w:val="es-AR"/>
        </w:rPr>
        <w:t xml:space="preserve"> Las demás que sean necesarias para el cumplimiento de sus funciones.</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p>
    <w:p w:rsidR="000E3C0D"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Artículo 55.-</w:t>
      </w:r>
      <w:r w:rsidRPr="00A7650A">
        <w:rPr>
          <w:rFonts w:ascii="Palatino Linotype" w:eastAsia="Batang" w:hAnsi="Palatino Linotype" w:cs="Arial"/>
          <w:i/>
          <w:iCs/>
          <w:sz w:val="22"/>
          <w:szCs w:val="22"/>
          <w:lang w:val="es-AR"/>
        </w:rPr>
        <w:t xml:space="preserve"> Los integrantes del comité tendrán las siguientes funciones:</w:t>
      </w: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p>
    <w:p w:rsidR="000E3C0D" w:rsidRPr="00A7650A" w:rsidRDefault="000E3C0D" w:rsidP="000E3C0D">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I. Presidente:</w:t>
      </w:r>
      <w:r w:rsidRPr="00A7650A">
        <w:rPr>
          <w:rFonts w:ascii="Palatino Linotype" w:eastAsia="Batang" w:hAnsi="Palatino Linotype" w:cs="Arial"/>
          <w:i/>
          <w:iCs/>
          <w:sz w:val="22"/>
          <w:szCs w:val="22"/>
          <w:lang w:val="es-AR"/>
        </w:rPr>
        <w:t xml:space="preserve"> </w:t>
      </w:r>
      <w:r w:rsidRPr="00423E45">
        <w:rPr>
          <w:rFonts w:ascii="Palatino Linotype" w:eastAsia="Batang" w:hAnsi="Palatino Linotype" w:cs="Arial"/>
          <w:b/>
          <w:bCs/>
          <w:i/>
          <w:iCs/>
          <w:sz w:val="22"/>
          <w:szCs w:val="22"/>
          <w:lang w:val="es-AR"/>
        </w:rPr>
        <w:t>Representar legalmente al comité, autorizar la convocatoria y el orden del día de las sesiones; convocar a sus integrantes cuando sea necesario, y emitir su voto, así como firmar las actas de los actos en los que haya participado;</w:t>
      </w:r>
      <w:r w:rsidRPr="00423E45">
        <w:rPr>
          <w:rFonts w:ascii="Palatino Linotype" w:eastAsia="Batang" w:hAnsi="Palatino Linotype" w:cs="Arial"/>
          <w:b/>
          <w:bCs/>
          <w:i/>
          <w:iCs/>
          <w:sz w:val="22"/>
          <w:szCs w:val="22"/>
          <w:lang w:val="es-AR"/>
        </w:rPr>
        <w:cr/>
      </w:r>
    </w:p>
    <w:p w:rsidR="000E3C0D" w:rsidRPr="009E45DD" w:rsidRDefault="000E3C0D" w:rsidP="000E3C0D">
      <w:pPr>
        <w:autoSpaceDE w:val="0"/>
        <w:autoSpaceDN w:val="0"/>
        <w:adjustRightInd w:val="0"/>
        <w:ind w:left="850" w:right="901"/>
        <w:jc w:val="both"/>
        <w:rPr>
          <w:rFonts w:ascii="Palatino Linotype" w:hAnsi="Palatino Linotype"/>
          <w:i/>
          <w:iCs/>
          <w:sz w:val="22"/>
          <w:szCs w:val="22"/>
        </w:rPr>
      </w:pPr>
      <w:r w:rsidRPr="00423E45">
        <w:rPr>
          <w:rFonts w:ascii="Palatino Linotype" w:hAnsi="Palatino Linotype"/>
          <w:b/>
          <w:bCs/>
          <w:i/>
          <w:iCs/>
          <w:sz w:val="22"/>
          <w:szCs w:val="22"/>
        </w:rPr>
        <w:t xml:space="preserve">Artículo 56.- Es responsabilidad del titular de la unidad administrativa de la Secretaría encargada del control patrimonial, </w:t>
      </w:r>
      <w:bookmarkStart w:id="3" w:name="_Hlk94554861"/>
      <w:r w:rsidRPr="00423E45">
        <w:rPr>
          <w:rFonts w:ascii="Palatino Linotype" w:hAnsi="Palatino Linotype"/>
          <w:b/>
          <w:bCs/>
          <w:i/>
          <w:iCs/>
          <w:sz w:val="22"/>
          <w:szCs w:val="22"/>
        </w:rPr>
        <w:t xml:space="preserve">autorizar con su firma la convocatoria, las bases, emitir el fallo de adjudicación, así como </w:t>
      </w:r>
      <w:r w:rsidRPr="00423E45">
        <w:rPr>
          <w:rFonts w:ascii="Palatino Linotype" w:hAnsi="Palatino Linotype"/>
          <w:b/>
          <w:bCs/>
          <w:i/>
          <w:iCs/>
          <w:sz w:val="22"/>
          <w:szCs w:val="22"/>
        </w:rPr>
        <w:lastRenderedPageBreak/>
        <w:t>suscribir los contratos que se deriven de los procedimientos de arrendamientos, adquisiciones de inmuebles y enajenaciones</w:t>
      </w:r>
      <w:bookmarkEnd w:id="3"/>
      <w:proofErr w:type="gramStart"/>
      <w:r w:rsidRPr="00423E45">
        <w:rPr>
          <w:rFonts w:ascii="Palatino Linotype" w:hAnsi="Palatino Linotype"/>
          <w:b/>
          <w:bCs/>
          <w:i/>
          <w:iCs/>
          <w:sz w:val="22"/>
          <w:szCs w:val="22"/>
        </w:rPr>
        <w:t>.</w:t>
      </w:r>
      <w:r>
        <w:rPr>
          <w:rFonts w:ascii="Palatino Linotype" w:hAnsi="Palatino Linotype"/>
          <w:b/>
          <w:bCs/>
          <w:i/>
          <w:iCs/>
          <w:sz w:val="22"/>
          <w:szCs w:val="22"/>
        </w:rPr>
        <w:t>”</w:t>
      </w:r>
      <w:r>
        <w:rPr>
          <w:rFonts w:ascii="Palatino Linotype" w:hAnsi="Palatino Linotype"/>
          <w:i/>
          <w:iCs/>
          <w:sz w:val="22"/>
          <w:szCs w:val="22"/>
        </w:rPr>
        <w:t>(</w:t>
      </w:r>
      <w:proofErr w:type="gramEnd"/>
      <w:r>
        <w:rPr>
          <w:rFonts w:ascii="Palatino Linotype" w:hAnsi="Palatino Linotype"/>
          <w:i/>
          <w:iCs/>
          <w:sz w:val="22"/>
          <w:szCs w:val="22"/>
        </w:rPr>
        <w:t>Sic</w:t>
      </w:r>
      <w:r w:rsidRPr="009E45DD">
        <w:rPr>
          <w:rFonts w:ascii="Palatino Linotype" w:hAnsi="Palatino Linotype"/>
          <w:i/>
          <w:iCs/>
          <w:sz w:val="22"/>
          <w:szCs w:val="22"/>
        </w:rPr>
        <w:t>)</w:t>
      </w:r>
    </w:p>
    <w:p w:rsidR="002B1D27" w:rsidRDefault="00527B33" w:rsidP="0075429A">
      <w:pPr>
        <w:shd w:val="clear" w:color="auto" w:fill="FFFFFF"/>
        <w:spacing w:before="240" w:after="240"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Asimismo, </w:t>
      </w:r>
      <w:r w:rsidR="00707FE0">
        <w:rPr>
          <w:rFonts w:ascii="Palatino Linotype" w:eastAsia="Palatino Linotype" w:hAnsi="Palatino Linotype" w:cs="Palatino Linotype"/>
        </w:rPr>
        <w:t xml:space="preserve">de la respuesta se advierte que esta no cumple las formalidades de la Ley de la Materia, en razón de que el Titular de la Unidad de Transparencia </w:t>
      </w:r>
      <w:r w:rsidR="0075429A">
        <w:rPr>
          <w:rFonts w:ascii="Palatino Linotype" w:eastAsia="Palatino Linotype" w:hAnsi="Palatino Linotype" w:cs="Palatino Linotype"/>
        </w:rPr>
        <w:t xml:space="preserve">y Acceso a la Información Pública del Ayuntamiento de Amecameca, </w:t>
      </w:r>
      <w:r w:rsidR="00707FE0">
        <w:rPr>
          <w:rFonts w:ascii="Palatino Linotype" w:eastAsia="Palatino Linotype" w:hAnsi="Palatino Linotype" w:cs="Palatino Linotype"/>
        </w:rPr>
        <w:t xml:space="preserve">sólo se limitó a referir de manera unilateral que </w:t>
      </w:r>
      <w:r w:rsidR="0075429A">
        <w:rPr>
          <w:rFonts w:ascii="Palatino Linotype" w:eastAsia="Palatino Linotype" w:hAnsi="Palatino Linotype" w:cs="Palatino Linotype"/>
        </w:rPr>
        <w:t>las enajenaciones de bienes muebles las llevan a cabo en la Coordinación de bienes muebles y dependen de la Secretaria Municipal;</w:t>
      </w:r>
      <w:r w:rsidR="00707FE0">
        <w:rPr>
          <w:rFonts w:ascii="Palatino Linotype" w:eastAsia="Palatino Linotype" w:hAnsi="Palatino Linotype" w:cs="Palatino Linotype"/>
        </w:rPr>
        <w:t xml:space="preserve"> </w:t>
      </w:r>
      <w:r w:rsidR="0075429A">
        <w:rPr>
          <w:rFonts w:ascii="Palatino Linotype" w:eastAsia="Palatino Linotype" w:hAnsi="Palatino Linotype" w:cs="Palatino Linotype"/>
        </w:rPr>
        <w:t>sin que turnara</w:t>
      </w:r>
      <w:r w:rsidR="00707FE0">
        <w:rPr>
          <w:rFonts w:ascii="Palatino Linotype" w:eastAsia="Palatino Linotype" w:hAnsi="Palatino Linotype" w:cs="Palatino Linotype"/>
        </w:rPr>
        <w:t xml:space="preserve"> la solicitud al área competente que de acuerdo a sus atribuciones deba contar con la información solicitada</w:t>
      </w:r>
      <w:r w:rsidR="0000658A">
        <w:rPr>
          <w:rFonts w:ascii="Palatino Linotype" w:eastAsia="Palatino Linotype" w:hAnsi="Palatino Linotype" w:cs="Palatino Linotype"/>
        </w:rPr>
        <w:t xml:space="preserve">, </w:t>
      </w:r>
      <w:r w:rsidR="00707FE0">
        <w:rPr>
          <w:rFonts w:ascii="Palatino Linotype" w:eastAsia="Palatino Linotype" w:hAnsi="Palatino Linotype" w:cs="Palatino Linotype"/>
        </w:rPr>
        <w:t>como se advierte en la siguiente imagen de la respuesta</w:t>
      </w:r>
      <w:r w:rsidR="0000658A">
        <w:rPr>
          <w:rFonts w:ascii="Palatino Linotype" w:eastAsia="Palatino Linotype" w:hAnsi="Palatino Linotype" w:cs="Palatino Linotype"/>
        </w:rPr>
        <w:t>, que se inserta a continuación:</w:t>
      </w:r>
      <w:r w:rsidR="00385E18" w:rsidRPr="00385E18">
        <w:rPr>
          <w:noProof/>
          <w:lang w:val="es-MX" w:eastAsia="en-US"/>
        </w:rPr>
        <w:t xml:space="preserve"> </w:t>
      </w:r>
    </w:p>
    <w:p w:rsidR="002B1D27" w:rsidRDefault="00385E18">
      <w:pPr>
        <w:spacing w:line="360" w:lineRule="auto"/>
        <w:jc w:val="both"/>
        <w:rPr>
          <w:rFonts w:ascii="Palatino Linotype" w:eastAsia="Palatino Linotype" w:hAnsi="Palatino Linotype" w:cs="Palatino Linotype"/>
        </w:rPr>
      </w:pPr>
      <w:r>
        <w:rPr>
          <w:noProof/>
          <w:lang w:val="en-US" w:eastAsia="en-US"/>
        </w:rPr>
        <mc:AlternateContent>
          <mc:Choice Requires="wps">
            <w:drawing>
              <wp:anchor distT="0" distB="0" distL="114300" distR="114300" simplePos="0" relativeHeight="251659264" behindDoc="0" locked="0" layoutInCell="1" hidden="0" allowOverlap="1" wp14:anchorId="36A668EE" wp14:editId="29143380">
                <wp:simplePos x="0" y="0"/>
                <wp:positionH relativeFrom="column">
                  <wp:posOffset>4051812</wp:posOffset>
                </wp:positionH>
                <wp:positionV relativeFrom="paragraph">
                  <wp:posOffset>3664932</wp:posOffset>
                </wp:positionV>
                <wp:extent cx="444500" cy="577850"/>
                <wp:effectExtent l="0" t="0" r="0" b="0"/>
                <wp:wrapNone/>
                <wp:docPr id="30" name="Flecha izquierda 30"/>
                <wp:cNvGraphicFramePr/>
                <a:graphic xmlns:a="http://schemas.openxmlformats.org/drawingml/2006/main">
                  <a:graphicData uri="http://schemas.microsoft.com/office/word/2010/wordprocessingShape">
                    <wps:wsp>
                      <wps:cNvSpPr/>
                      <wps:spPr>
                        <a:xfrm>
                          <a:off x="0" y="0"/>
                          <a:ext cx="444500" cy="577850"/>
                        </a:xfrm>
                        <a:prstGeom prst="lef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385E18" w:rsidRDefault="00385E18" w:rsidP="00385E18">
                            <w:pPr>
                              <w:textDirection w:val="btLr"/>
                            </w:pPr>
                          </w:p>
                        </w:txbxContent>
                      </wps:txbx>
                      <wps:bodyPr spcFirstLastPara="1" wrap="square" lIns="91425" tIns="91425" rIns="91425" bIns="91425" anchor="ctr" anchorCtr="0">
                        <a:noAutofit/>
                      </wps:bodyPr>
                    </wps:wsp>
                  </a:graphicData>
                </a:graphic>
              </wp:anchor>
            </w:drawing>
          </mc:Choice>
          <mc:Fallback>
            <w:pict>
              <v:shapetype w14:anchorId="36A668E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30" o:spid="_x0000_s1026" type="#_x0000_t66" style="position:absolute;left:0;text-align:left;margin-left:319.05pt;margin-top:288.6pt;width:35pt;height: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" adj="10800" fillcolor="#5b9bd5 [3204]" strokecolor="#42719b" strokeweight="1pt">
                <v:stroke startarrowwidth="narrow" startarrowlength="short" endarrowwidth="narrow" endarrowlength="short"/>
                <v:textbox inset="2.53958mm,2.53958mm,2.53958mm,2.53958mm">
                  <w:txbxContent>
                    <w:p w:rsidR="00385E18" w:rsidRDefault="00385E18" w:rsidP="00385E18">
                      <w:pPr>
                        <w:textDirection w:val="btLr"/>
                      </w:pPr>
                    </w:p>
                  </w:txbxContent>
                </v:textbox>
              </v:shape>
            </w:pict>
          </mc:Fallback>
        </mc:AlternateContent>
      </w:r>
      <w:bookmarkStart w:id="4" w:name="_GoBack"/>
      <w:r w:rsidR="00D7059C">
        <w:rPr>
          <w:noProof/>
          <w:lang w:val="en-US" w:eastAsia="en-US"/>
        </w:rPr>
        <w:drawing>
          <wp:inline distT="0" distB="0" distL="0" distR="0" wp14:anchorId="07E283F1" wp14:editId="22BEF53B">
            <wp:extent cx="5543550" cy="4095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48" t="19018" r="58588" b="25438"/>
                    <a:stretch/>
                  </pic:blipFill>
                  <pic:spPr bwMode="auto">
                    <a:xfrm>
                      <a:off x="0" y="0"/>
                      <a:ext cx="5543550" cy="4095750"/>
                    </a:xfrm>
                    <a:prstGeom prst="rect">
                      <a:avLst/>
                    </a:prstGeom>
                    <a:ln>
                      <a:noFill/>
                    </a:ln>
                    <a:extLst>
                      <a:ext uri="{53640926-AAD7-44D8-BBD7-CCE9431645EC}">
                        <a14:shadowObscured xmlns:a14="http://schemas.microsoft.com/office/drawing/2010/main"/>
                      </a:ext>
                    </a:extLst>
                  </pic:spPr>
                </pic:pic>
              </a:graphicData>
            </a:graphic>
          </wp:inline>
        </w:drawing>
      </w:r>
      <w:bookmarkEnd w:id="4"/>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Incumpliendo con ello lo señalado por el artículo 162 de la Ley de Transparencia y Acceso a la Información Pública del Estado de México y Municipios, ya que, no se puede perder de vista que para otorgar respuesta a la solicitud inicial,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turnar la solicitud a las áreas en las que debe obrar la información de acuerdo a sus atribuciones, lo que no sucedió en el presente caso tal como se puede apreciar en el expediente electrónico, de conformidad con la fracción XXXIX del artículo tercero de la legislación local vigente en materia de transparencia, en donde señala que el Servidor Público Habilitado es el competente para apoyar, gestionar y entregar la información: </w:t>
      </w:r>
    </w:p>
    <w:p w:rsidR="002B1D27" w:rsidRDefault="00707FE0">
      <w:pPr>
        <w:spacing w:before="240" w:after="240"/>
        <w:ind w:left="709"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rsidR="002B1D27" w:rsidRDefault="00707FE0">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En este orden de ideas, se advierte que efectivamente la Unidad de Transparencia no cumplió con lo expresado en el artículo 162 de la Ley </w:t>
      </w:r>
      <w:r>
        <w:rPr>
          <w:rFonts w:ascii="Palatino Linotype" w:eastAsia="Palatino Linotype" w:hAnsi="Palatino Linotype" w:cs="Palatino Linotype"/>
          <w:color w:val="000000"/>
        </w:rPr>
        <w:t>de Transparencia y Acceso a la Información Pública del Estado de México y Municipios, el cual menciona lo siguiente:</w:t>
      </w:r>
    </w:p>
    <w:p w:rsidR="002B1D27" w:rsidRDefault="00707FE0">
      <w:pPr>
        <w:shd w:val="clear" w:color="auto" w:fill="FFFFFF"/>
        <w:spacing w:after="240"/>
        <w:ind w:left="993" w:right="1041"/>
        <w:jc w:val="both"/>
        <w:rPr>
          <w:color w:val="222222"/>
        </w:rPr>
      </w:pPr>
      <w:r>
        <w:rPr>
          <w:rFonts w:ascii="Palatino Linotype" w:eastAsia="Palatino Linotype" w:hAnsi="Palatino Linotype" w:cs="Palatino Linotype"/>
          <w:b/>
          <w:i/>
          <w:color w:val="222222"/>
          <w:sz w:val="22"/>
          <w:szCs w:val="22"/>
        </w:rPr>
        <w:t>“Artículo 162.</w:t>
      </w:r>
      <w:r>
        <w:rPr>
          <w:rFonts w:ascii="Palatino Linotype" w:eastAsia="Palatino Linotype" w:hAnsi="Palatino Linotype" w:cs="Palatino Linotype"/>
          <w:i/>
          <w:color w:val="222222"/>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roofErr w:type="gramStart"/>
      <w:r>
        <w:rPr>
          <w:rFonts w:ascii="Palatino Linotype" w:eastAsia="Palatino Linotype" w:hAnsi="Palatino Linotype" w:cs="Palatino Linotype"/>
          <w:i/>
          <w:color w:val="222222"/>
          <w:sz w:val="22"/>
          <w:szCs w:val="22"/>
        </w:rPr>
        <w:t>.”(</w:t>
      </w:r>
      <w:proofErr w:type="gramEnd"/>
      <w:r>
        <w:rPr>
          <w:rFonts w:ascii="Palatino Linotype" w:eastAsia="Palatino Linotype" w:hAnsi="Palatino Linotype" w:cs="Palatino Linotype"/>
          <w:i/>
          <w:color w:val="222222"/>
          <w:sz w:val="22"/>
          <w:szCs w:val="22"/>
        </w:rPr>
        <w:t>Sic)</w:t>
      </w:r>
    </w:p>
    <w:p w:rsidR="002B1D27" w:rsidRDefault="00707FE0">
      <w:pPr>
        <w:shd w:val="clear" w:color="auto" w:fill="FFFFFF"/>
        <w:spacing w:before="240" w:line="360" w:lineRule="auto"/>
        <w:jc w:val="both"/>
        <w:rPr>
          <w:color w:val="222222"/>
        </w:rPr>
      </w:pPr>
      <w:r>
        <w:rPr>
          <w:rFonts w:ascii="Palatino Linotype" w:eastAsia="Palatino Linotype" w:hAnsi="Palatino Linotype" w:cs="Palatino Linotype"/>
          <w:color w:val="222222"/>
        </w:rPr>
        <w:t xml:space="preserve">Dicho procedimiento de búsqueda, se constituye como la garantía primaria del derecho humano de acceso a la información pública, el cual se rige por los principios de simplicidad, rapidez, gratuidad del procedimiento, auxilio y orientación a los </w:t>
      </w:r>
      <w:r>
        <w:rPr>
          <w:rFonts w:ascii="Palatino Linotype" w:eastAsia="Palatino Linotype" w:hAnsi="Palatino Linotype" w:cs="Palatino Linotype"/>
          <w:color w:val="222222"/>
        </w:rPr>
        <w:lastRenderedPageBreak/>
        <w:t>particulares con el fin de otorgar la prote</w:t>
      </w:r>
      <w:bookmarkStart w:id="5" w:name="bookmark=id.gjdgxs" w:colFirst="0" w:colLast="0"/>
      <w:bookmarkEnd w:id="5"/>
      <w:r>
        <w:rPr>
          <w:rFonts w:ascii="Palatino Linotype" w:eastAsia="Palatino Linotype" w:hAnsi="Palatino Linotype" w:cs="Palatino Linotype"/>
          <w:color w:val="222222"/>
        </w:rPr>
        <w:t>cción más amplia de éste derecho</w:t>
      </w:r>
      <w:r>
        <w:rPr>
          <w:rFonts w:ascii="Palatino Linotype" w:eastAsia="Palatino Linotype" w:hAnsi="Palatino Linotype" w:cs="Palatino Linotype"/>
          <w:color w:val="222222"/>
          <w:vertAlign w:val="superscript"/>
        </w:rPr>
        <w:footnoteReference w:id="1"/>
      </w:r>
      <w:r>
        <w:rPr>
          <w:rFonts w:ascii="Palatino Linotype" w:eastAsia="Palatino Linotype" w:hAnsi="Palatino Linotype" w:cs="Palatino Linotype"/>
          <w:color w:val="222222"/>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rsidR="002B1D27" w:rsidRDefault="002B1D27">
      <w:pPr>
        <w:shd w:val="clear" w:color="auto" w:fill="FFFFFF"/>
        <w:ind w:left="993" w:right="1041"/>
        <w:jc w:val="both"/>
        <w:rPr>
          <w:rFonts w:ascii="Palatino Linotype" w:eastAsia="Palatino Linotype" w:hAnsi="Palatino Linotype" w:cs="Palatino Linotype"/>
          <w:b/>
          <w:i/>
          <w:color w:val="222222"/>
          <w:sz w:val="22"/>
          <w:szCs w:val="22"/>
        </w:rPr>
      </w:pPr>
    </w:p>
    <w:p w:rsidR="002B1D27" w:rsidRDefault="00707FE0">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t>“Artículo 160. </w:t>
      </w:r>
      <w:r>
        <w:rPr>
          <w:rFonts w:ascii="Palatino Linotype" w:eastAsia="Palatino Linotype" w:hAnsi="Palatino Linotype" w:cs="Palatino Linotype"/>
          <w:i/>
          <w:color w:val="222222"/>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B1D27" w:rsidRDefault="00707FE0">
      <w:pPr>
        <w:shd w:val="clear" w:color="auto" w:fill="FFFFFF"/>
        <w:ind w:left="993" w:right="1041"/>
        <w:jc w:val="both"/>
        <w:rPr>
          <w:color w:val="222222"/>
        </w:rPr>
      </w:pPr>
      <w:r>
        <w:rPr>
          <w:rFonts w:ascii="Palatino Linotype" w:eastAsia="Palatino Linotype" w:hAnsi="Palatino Linotype" w:cs="Palatino Linotype"/>
          <w:i/>
          <w:color w:val="222222"/>
          <w:sz w:val="22"/>
          <w:szCs w:val="22"/>
        </w:rPr>
        <w:t>En caso que la información solicitada consista en bases de datos se deberá privilegiar la entrega de la misma en formatos abiertos.</w:t>
      </w:r>
    </w:p>
    <w:p w:rsidR="002B1D27" w:rsidRDefault="00707FE0">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t>Artículo 163.</w:t>
      </w:r>
      <w:r>
        <w:rPr>
          <w:rFonts w:ascii="Palatino Linotype" w:eastAsia="Palatino Linotype" w:hAnsi="Palatino Linotype" w:cs="Palatino Linotype"/>
          <w:i/>
          <w:color w:val="222222"/>
          <w:sz w:val="22"/>
          <w:szCs w:val="22"/>
        </w:rPr>
        <w:t> La Unidad de Transparencia deberá notificar la respuesta a la solicitud al interesado en el menor tiempo posible, que no podrá exceder de quince días hábiles, contados a partir del día siguiente a la presentación de aquélla.</w:t>
      </w:r>
    </w:p>
    <w:p w:rsidR="002B1D27" w:rsidRDefault="00707FE0">
      <w:pPr>
        <w:shd w:val="clear" w:color="auto" w:fill="FFFFFF"/>
        <w:ind w:left="993" w:right="1041"/>
        <w:jc w:val="both"/>
        <w:rPr>
          <w:color w:val="222222"/>
        </w:rPr>
      </w:pPr>
      <w:r>
        <w:rPr>
          <w:rFonts w:ascii="Palatino Linotype" w:eastAsia="Palatino Linotype" w:hAnsi="Palatino Linotype" w:cs="Palatino Linotype"/>
          <w:i/>
          <w:color w:val="222222"/>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B1D27" w:rsidRDefault="00707FE0">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lastRenderedPageBreak/>
        <w:t>Artículo 165.</w:t>
      </w:r>
      <w:r>
        <w:rPr>
          <w:rFonts w:ascii="Palatino Linotype" w:eastAsia="Palatino Linotype" w:hAnsi="Palatino Linotype" w:cs="Palatino Linotype"/>
          <w:i/>
          <w:color w:val="222222"/>
          <w:sz w:val="22"/>
          <w:szCs w:val="22"/>
        </w:rPr>
        <w:t> Los sujetos obligados establecerán la forma y términos en que darán trámite interno a las solicitudes en materia de acceso a la información.</w:t>
      </w:r>
    </w:p>
    <w:p w:rsidR="002B1D27" w:rsidRDefault="00707FE0">
      <w:pPr>
        <w:shd w:val="clear" w:color="auto" w:fill="FFFFFF"/>
        <w:ind w:left="993" w:right="1041"/>
        <w:jc w:val="both"/>
        <w:rPr>
          <w:color w:val="222222"/>
        </w:rPr>
      </w:pPr>
      <w:r>
        <w:rPr>
          <w:rFonts w:ascii="Palatino Linotype" w:eastAsia="Palatino Linotype" w:hAnsi="Palatino Linotype" w:cs="Palatino Linotype"/>
          <w:i/>
          <w:color w:val="222222"/>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2B1D27" w:rsidRDefault="00707FE0">
      <w:pPr>
        <w:shd w:val="clear" w:color="auto" w:fill="FFFFFF"/>
        <w:spacing w:after="240"/>
        <w:ind w:left="993" w:right="1041"/>
        <w:jc w:val="both"/>
        <w:rPr>
          <w:color w:val="222222"/>
        </w:rPr>
      </w:pPr>
      <w:r>
        <w:rPr>
          <w:rFonts w:ascii="Palatino Linotype" w:eastAsia="Palatino Linotype" w:hAnsi="Palatino Linotype" w:cs="Palatino Linotype"/>
          <w:i/>
          <w:color w:val="222222"/>
          <w:sz w:val="22"/>
          <w:szCs w:val="22"/>
        </w:rPr>
        <w:t>Ante la falta de respuesta a una solicitud en el plazo previsto y en caso de que proceda el acceso, los costos de reproducción y envío correrán a cargo del sujeto obligado</w:t>
      </w:r>
      <w:proofErr w:type="gramStart"/>
      <w:r>
        <w:rPr>
          <w:rFonts w:ascii="Palatino Linotype" w:eastAsia="Palatino Linotype" w:hAnsi="Palatino Linotype" w:cs="Palatino Linotype"/>
          <w:i/>
          <w:color w:val="222222"/>
          <w:sz w:val="22"/>
          <w:szCs w:val="22"/>
        </w:rPr>
        <w:t>.”(</w:t>
      </w:r>
      <w:proofErr w:type="gramEnd"/>
      <w:r>
        <w:rPr>
          <w:rFonts w:ascii="Palatino Linotype" w:eastAsia="Palatino Linotype" w:hAnsi="Palatino Linotype" w:cs="Palatino Linotype"/>
          <w:i/>
          <w:color w:val="222222"/>
          <w:sz w:val="22"/>
          <w:szCs w:val="22"/>
        </w:rPr>
        <w:t>Sic)</w:t>
      </w:r>
    </w:p>
    <w:p w:rsidR="002B1D27" w:rsidRDefault="00707FE0">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Pr>
          <w:rFonts w:ascii="Palatino Linotype" w:eastAsia="Palatino Linotype" w:hAnsi="Palatino Linotype" w:cs="Palatino Linotype"/>
          <w:color w:val="222222"/>
          <w:vertAlign w:val="superscript"/>
        </w:rPr>
        <w:footnoteReference w:id="2"/>
      </w:r>
      <w:r>
        <w:rPr>
          <w:rFonts w:ascii="Palatino Linotype" w:eastAsia="Palatino Linotype" w:hAnsi="Palatino Linotype" w:cs="Palatino Linotype"/>
          <w:color w:val="222222"/>
        </w:rPr>
        <w:t xml:space="preserve">, situación que no se advierte en el presente caso, toda vez que el </w:t>
      </w:r>
      <w:r w:rsidR="0075429A" w:rsidRPr="0075429A">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rsidR="002518D1" w:rsidRDefault="00707FE0">
      <w:pPr>
        <w:shd w:val="clear" w:color="auto" w:fill="FFFFFF"/>
        <w:spacing w:before="240" w:after="240"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color w:val="222222"/>
        </w:rPr>
        <w:t xml:space="preserve">En mérito de lo anterior, se colige que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debió realizar una búsqueda exhaustiva y razonable de la información peticionada en todas las áreas competentes </w:t>
      </w:r>
      <w:r w:rsidRPr="002518D1">
        <w:rPr>
          <w:rFonts w:ascii="Palatino Linotype" w:eastAsia="Palatino Linotype" w:hAnsi="Palatino Linotype" w:cs="Palatino Linotype"/>
        </w:rPr>
        <w:t>para que se pronunciaran respecto</w:t>
      </w:r>
      <w:r w:rsidR="00527B33">
        <w:rPr>
          <w:rFonts w:ascii="Palatino Linotype" w:eastAsia="Palatino Linotype" w:hAnsi="Palatino Linotype" w:cs="Palatino Linotype"/>
        </w:rPr>
        <w:t xml:space="preserve"> de la solicitud del particular.</w:t>
      </w:r>
    </w:p>
    <w:p w:rsidR="002B1D27" w:rsidRDefault="00707FE0">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Razones, por las cuales lo dable es ordenar que realice una búsqueda exhaustiva y razonable de la información, en el área compete</w:t>
      </w:r>
      <w:r w:rsidR="00385E18">
        <w:rPr>
          <w:rFonts w:ascii="Palatino Linotype" w:eastAsia="Palatino Linotype" w:hAnsi="Palatino Linotype" w:cs="Palatino Linotype"/>
        </w:rPr>
        <w:t>nte, y entregarla.</w:t>
      </w:r>
    </w:p>
    <w:p w:rsidR="002B1D27" w:rsidRDefault="002B1D27">
      <w:pPr>
        <w:shd w:val="clear" w:color="auto" w:fill="FFFFFF"/>
        <w:ind w:left="851" w:right="851"/>
        <w:jc w:val="both"/>
        <w:rPr>
          <w:rFonts w:ascii="Palatino Linotype" w:eastAsia="Palatino Linotype" w:hAnsi="Palatino Linotype" w:cs="Palatino Linotype"/>
        </w:rPr>
      </w:pPr>
    </w:p>
    <w:p w:rsidR="002B1D27" w:rsidRDefault="00707FE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2B1D27" w:rsidRDefault="00707FE0">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sidR="0000658A">
        <w:rPr>
          <w:rFonts w:ascii="Palatino Linotype" w:eastAsia="Palatino Linotype" w:hAnsi="Palatino Linotype" w:cs="Palatino Linotype"/>
        </w:rPr>
        <w:t>Resultan</w:t>
      </w:r>
      <w:r>
        <w:rPr>
          <w:rFonts w:ascii="Palatino Linotype" w:eastAsia="Palatino Linotype" w:hAnsi="Palatino Linotype" w:cs="Palatino Linotype"/>
        </w:rPr>
        <w:t xml:space="preserve"> fundados los motivos de inconformidad hechos valer por </w:t>
      </w:r>
      <w:r w:rsidR="005662D4">
        <w:rPr>
          <w:rFonts w:ascii="Palatino Linotype" w:eastAsia="Palatino Linotype" w:hAnsi="Palatino Linotype" w:cs="Palatino Linotype"/>
        </w:rPr>
        <w:t xml:space="preserve">el </w:t>
      </w:r>
      <w:r w:rsidR="005662D4" w:rsidRPr="00385E18">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sidR="00385E18">
        <w:rPr>
          <w:rFonts w:ascii="Palatino Linotype" w:eastAsia="Palatino Linotype" w:hAnsi="Palatino Linotype" w:cs="Palatino Linotype"/>
          <w:b/>
        </w:rPr>
        <w:t>00034/INFOEM/IP/RR/2022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sidR="00385E18">
        <w:rPr>
          <w:rFonts w:ascii="Palatino Linotype" w:eastAsia="Palatino Linotype" w:hAnsi="Palatino Linotype" w:cs="Palatino Linotype"/>
          <w:b/>
        </w:rPr>
        <w:t>MODIFICA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2B1D27" w:rsidRDefault="00707FE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Cuarto, haga entrega vía SAIMEX, </w:t>
      </w:r>
      <w:r w:rsidRPr="0000658A">
        <w:rPr>
          <w:rFonts w:ascii="Palatino Linotype" w:eastAsia="Palatino Linotype" w:hAnsi="Palatino Linotype" w:cs="Palatino Linotype"/>
        </w:rPr>
        <w:t>previa búsqueda exhaustiva y razonable</w:t>
      </w:r>
      <w:r>
        <w:rPr>
          <w:rFonts w:ascii="Palatino Linotype" w:eastAsia="Palatino Linotype" w:hAnsi="Palatino Linotype" w:cs="Palatino Linotype"/>
        </w:rPr>
        <w:t xml:space="preserve"> del documento o documentos en donde conste lo siguiente:</w:t>
      </w:r>
    </w:p>
    <w:p w:rsidR="002B1D27" w:rsidRPr="00385E18" w:rsidRDefault="00385E18" w:rsidP="00385E18">
      <w:pPr>
        <w:pStyle w:val="Prrafodelista"/>
        <w:numPr>
          <w:ilvl w:val="0"/>
          <w:numId w:val="5"/>
        </w:numPr>
        <w:spacing w:before="240" w:after="240" w:line="360" w:lineRule="auto"/>
        <w:ind w:right="49"/>
        <w:jc w:val="both"/>
        <w:rPr>
          <w:rFonts w:ascii="Palatino Linotype" w:eastAsia="Palatino Linotype" w:hAnsi="Palatino Linotype" w:cs="Palatino Linotype"/>
          <w:sz w:val="24"/>
          <w:szCs w:val="24"/>
        </w:rPr>
      </w:pPr>
      <w:r w:rsidRPr="00385E18">
        <w:rPr>
          <w:rFonts w:ascii="Palatino Linotype" w:eastAsia="Palatino Linotype" w:hAnsi="Palatino Linotype" w:cs="Palatino Linotype"/>
          <w:sz w:val="24"/>
          <w:szCs w:val="24"/>
        </w:rPr>
        <w:t xml:space="preserve">Unidad administrativa </w:t>
      </w:r>
      <w:r>
        <w:rPr>
          <w:rFonts w:ascii="Palatino Linotype" w:eastAsia="Palatino Linotype" w:hAnsi="Palatino Linotype" w:cs="Palatino Linotype"/>
          <w:sz w:val="24"/>
          <w:szCs w:val="24"/>
        </w:rPr>
        <w:t xml:space="preserve">que </w:t>
      </w:r>
      <w:r w:rsidRPr="00385E18">
        <w:rPr>
          <w:rFonts w:ascii="Palatino Linotype" w:eastAsia="Palatino Linotype" w:hAnsi="Palatino Linotype" w:cs="Palatino Linotype"/>
          <w:sz w:val="24"/>
          <w:szCs w:val="24"/>
        </w:rPr>
        <w:t xml:space="preserve">se encarga de las enajenaciones de bienes muebles y de qué dirección general depende dicha unidad </w:t>
      </w:r>
      <w:r>
        <w:rPr>
          <w:rFonts w:ascii="Palatino Linotype" w:eastAsia="Palatino Linotype" w:hAnsi="Palatino Linotype" w:cs="Palatino Linotype"/>
          <w:sz w:val="24"/>
          <w:szCs w:val="24"/>
        </w:rPr>
        <w:t xml:space="preserve">administrativa, vigente al catorce de diciembre del año </w:t>
      </w:r>
      <w:proofErr w:type="gramStart"/>
      <w:r>
        <w:rPr>
          <w:rFonts w:ascii="Palatino Linotype" w:eastAsia="Palatino Linotype" w:hAnsi="Palatino Linotype" w:cs="Palatino Linotype"/>
          <w:sz w:val="24"/>
          <w:szCs w:val="24"/>
        </w:rPr>
        <w:t>dos mil veintiuno</w:t>
      </w:r>
      <w:proofErr w:type="gramEnd"/>
      <w:r>
        <w:rPr>
          <w:rFonts w:ascii="Palatino Linotype" w:eastAsia="Palatino Linotype" w:hAnsi="Palatino Linotype" w:cs="Palatino Linotype"/>
          <w:sz w:val="24"/>
          <w:szCs w:val="24"/>
        </w:rPr>
        <w:t>.</w:t>
      </w:r>
      <w:r w:rsidRPr="00385E18">
        <w:rPr>
          <w:rFonts w:ascii="Palatino Linotype" w:eastAsia="Palatino Linotype" w:hAnsi="Palatino Linotype" w:cs="Palatino Linotype"/>
          <w:sz w:val="24"/>
          <w:szCs w:val="24"/>
        </w:rPr>
        <w:t xml:space="preserve"> </w:t>
      </w:r>
    </w:p>
    <w:p w:rsidR="002B1D27" w:rsidRDefault="00707FE0">
      <w:pPr>
        <w:spacing w:before="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Responsable de la Unidad de Transparencia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la presente resolución, para que conforme al artículo 186, último párrafo y 189, párrafo segundo de la Ley de Transparencia y Acceso a la Información Pública del Estado de México y Municipios dé cumplimiento a lo </w:t>
      </w:r>
      <w:r>
        <w:rPr>
          <w:rFonts w:ascii="Palatino Linotype" w:eastAsia="Palatino Linotype" w:hAnsi="Palatino Linotype" w:cs="Palatino Linotype"/>
          <w:highlight w:val="white"/>
        </w:rPr>
        <w:lastRenderedPageBreak/>
        <w:t>ordenado dentro del plazo de diez días hábiles, debiendo informar a este Instituto en un plazo de tres días hábiles siguientes sobre el cumplimiento dado.</w:t>
      </w:r>
    </w:p>
    <w:p w:rsidR="002B1D27" w:rsidRDefault="002B1D27">
      <w:pPr>
        <w:spacing w:line="360" w:lineRule="auto"/>
        <w:jc w:val="both"/>
        <w:rPr>
          <w:rFonts w:ascii="Palatino Linotype" w:eastAsia="Palatino Linotype" w:hAnsi="Palatino Linotype" w:cs="Palatino Linotype"/>
          <w:b/>
        </w:rPr>
      </w:pPr>
    </w:p>
    <w:p w:rsidR="002B1D27" w:rsidRDefault="00707FE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2B1D27" w:rsidRDefault="002B1D27">
      <w:pPr>
        <w:spacing w:line="360" w:lineRule="auto"/>
        <w:ind w:right="49"/>
        <w:jc w:val="both"/>
        <w:rPr>
          <w:rFonts w:ascii="Palatino Linotype" w:eastAsia="Palatino Linotype" w:hAnsi="Palatino Linotype" w:cs="Palatino Linotype"/>
        </w:rPr>
      </w:pPr>
    </w:p>
    <w:p w:rsidR="002B1D27" w:rsidRDefault="00707FE0">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2B1D27" w:rsidRDefault="00707FE0">
      <w:pPr>
        <w:spacing w:before="240" w:after="240" w:line="360" w:lineRule="auto"/>
        <w:jc w:val="both"/>
        <w:rPr>
          <w:rFonts w:ascii="Palatino Linotype" w:eastAsia="Palatino Linotype" w:hAnsi="Palatino Linotype" w:cs="Palatino Linotype"/>
        </w:rPr>
        <w:sectPr w:rsidR="002B1D27">
          <w:headerReference w:type="default" r:id="rId12"/>
          <w:footerReference w:type="default" r:id="rId13"/>
          <w:headerReference w:type="first" r:id="rId14"/>
          <w:footerReference w:type="first" r:id="rId15"/>
          <w:pgSz w:w="12240" w:h="15840"/>
          <w:pgMar w:top="2041" w:right="1701" w:bottom="1701" w:left="1701" w:header="709" w:footer="709" w:gutter="0"/>
          <w:pgNumType w:start="1"/>
          <w:cols w:space="720"/>
          <w:titlePg/>
        </w:sectPr>
      </w:pPr>
      <w:r>
        <w:rPr>
          <w:rFonts w:ascii="Palatino Linotype" w:eastAsia="Palatino Linotype" w:hAnsi="Palatino Linotype" w:cs="Palatino Linotype"/>
          <w:color w:val="222222"/>
          <w:highlight w:val="whit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w:t>
      </w:r>
      <w:r w:rsidR="00385E18">
        <w:rPr>
          <w:rFonts w:ascii="Palatino Linotype" w:eastAsia="Palatino Linotype" w:hAnsi="Palatino Linotype" w:cs="Palatino Linotype"/>
          <w:color w:val="222222"/>
          <w:highlight w:val="white"/>
        </w:rPr>
        <w:t>ALUPE RAMÍREZ PEÑA; EN LA SÉPTIMA SESIÓN ORDINARIA CELEBRADA EL VEINTITRÉS</w:t>
      </w:r>
      <w:r w:rsidR="00385E18">
        <w:rPr>
          <w:rFonts w:ascii="Palatino Linotype" w:eastAsia="Palatino Linotype" w:hAnsi="Palatino Linotype" w:cs="Palatino Linotype"/>
        </w:rPr>
        <w:t xml:space="preserve"> DE FEBRERO DEL DOS </w:t>
      </w:r>
      <w:r>
        <w:rPr>
          <w:rFonts w:ascii="Palatino Linotype" w:eastAsia="Palatino Linotype" w:hAnsi="Palatino Linotype" w:cs="Palatino Linotype"/>
        </w:rPr>
        <w:t>MIL VEINTIDÓS, ANTE EL SECRETARIO TÉCNICO DEL PLENO ALEXIS TAPIA RAMÍREZ.</w:t>
      </w:r>
    </w:p>
    <w:p w:rsidR="002B1D27" w:rsidRDefault="002B1D27">
      <w:pPr>
        <w:spacing w:before="240" w:after="240" w:line="360" w:lineRule="auto"/>
        <w:jc w:val="both"/>
        <w:rPr>
          <w:rFonts w:ascii="Palatino Linotype" w:eastAsia="Palatino Linotype" w:hAnsi="Palatino Linotype" w:cs="Palatino Linotype"/>
        </w:rPr>
      </w:pPr>
    </w:p>
    <w:sectPr w:rsidR="002B1D27">
      <w:headerReference w:type="first" r:id="rId1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FE0" w:rsidRDefault="00707FE0">
      <w:r>
        <w:separator/>
      </w:r>
    </w:p>
  </w:endnote>
  <w:endnote w:type="continuationSeparator" w:id="0">
    <w:p w:rsidR="00707FE0" w:rsidRDefault="0070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27" w:rsidRDefault="00707FE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7059C">
      <w:rPr>
        <w:rFonts w:ascii="Arial" w:eastAsia="Arial" w:hAnsi="Arial" w:cs="Arial"/>
        <w:b/>
        <w:noProof/>
        <w:color w:val="000000"/>
        <w:sz w:val="20"/>
        <w:szCs w:val="20"/>
      </w:rPr>
      <w:t>18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7059C">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rsidR="002B1D27" w:rsidRDefault="002B1D27">
    <w:pPr>
      <w:pBdr>
        <w:top w:val="nil"/>
        <w:left w:val="nil"/>
        <w:bottom w:val="nil"/>
        <w:right w:val="nil"/>
        <w:between w:val="nil"/>
      </w:pBdr>
      <w:tabs>
        <w:tab w:val="center" w:pos="4252"/>
        <w:tab w:val="right" w:pos="8504"/>
      </w:tabs>
      <w:rPr>
        <w:color w:val="000000"/>
      </w:rPr>
    </w:pPr>
  </w:p>
  <w:p w:rsidR="002B1D27" w:rsidRDefault="002B1D2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27" w:rsidRDefault="00707FE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7059C">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7059C">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rsidR="002B1D27" w:rsidRDefault="002B1D2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FE0" w:rsidRDefault="00707FE0">
      <w:r>
        <w:separator/>
      </w:r>
    </w:p>
  </w:footnote>
  <w:footnote w:type="continuationSeparator" w:id="0">
    <w:p w:rsidR="00707FE0" w:rsidRDefault="00707FE0">
      <w:r>
        <w:continuationSeparator/>
      </w:r>
    </w:p>
  </w:footnote>
  <w:footnote w:id="1">
    <w:p w:rsidR="002B1D27" w:rsidRDefault="00707FE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2">
    <w:p w:rsidR="002B1D27" w:rsidRDefault="00707FE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27" w:rsidRDefault="002B1D27">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5528" w:type="dxa"/>
      <w:tblInd w:w="3261" w:type="dxa"/>
      <w:tblLayout w:type="fixed"/>
      <w:tblLook w:val="0400" w:firstRow="0" w:lastRow="0" w:firstColumn="0" w:lastColumn="0" w:noHBand="0" w:noVBand="1"/>
    </w:tblPr>
    <w:tblGrid>
      <w:gridCol w:w="2551"/>
      <w:gridCol w:w="2977"/>
    </w:tblGrid>
    <w:tr w:rsidR="002B1D27">
      <w:tc>
        <w:tcPr>
          <w:tcW w:w="2551" w:type="dxa"/>
          <w:vAlign w:val="center"/>
        </w:tcPr>
        <w:p w:rsidR="002B1D27" w:rsidRDefault="00707F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2B1D27" w:rsidRDefault="009D389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00034/INFOEM/IP/RR/2022</w:t>
          </w:r>
        </w:p>
      </w:tc>
    </w:tr>
    <w:tr w:rsidR="002B1D27">
      <w:trPr>
        <w:trHeight w:val="228"/>
      </w:trPr>
      <w:tc>
        <w:tcPr>
          <w:tcW w:w="2551" w:type="dxa"/>
          <w:vAlign w:val="center"/>
        </w:tcPr>
        <w:p w:rsidR="002B1D27" w:rsidRDefault="00707F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2B1D27" w:rsidRDefault="009D389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Amecameca</w:t>
          </w:r>
          <w:r w:rsidR="00707FE0">
            <w:rPr>
              <w:rFonts w:ascii="Palatino Linotype" w:eastAsia="Palatino Linotype" w:hAnsi="Palatino Linotype" w:cs="Palatino Linotype"/>
              <w:b/>
              <w:sz w:val="22"/>
              <w:szCs w:val="22"/>
            </w:rPr>
            <w:t>.</w:t>
          </w:r>
        </w:p>
      </w:tc>
    </w:tr>
    <w:tr w:rsidR="002B1D27">
      <w:tc>
        <w:tcPr>
          <w:tcW w:w="2551" w:type="dxa"/>
          <w:vAlign w:val="center"/>
        </w:tcPr>
        <w:p w:rsidR="002B1D27" w:rsidRDefault="00707F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2B1D27" w:rsidRDefault="00707FE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B1D27" w:rsidRDefault="00707FE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n-US" w:eastAsia="en-US"/>
      </w:rPr>
      <w:drawing>
        <wp:anchor distT="0" distB="0" distL="0" distR="0" simplePos="0" relativeHeight="251658240" behindDoc="1" locked="0" layoutInCell="1" hidden="0" allowOverlap="1">
          <wp:simplePos x="0" y="0"/>
          <wp:positionH relativeFrom="column">
            <wp:posOffset>-695770</wp:posOffset>
          </wp:positionH>
          <wp:positionV relativeFrom="paragraph">
            <wp:posOffset>-1200945</wp:posOffset>
          </wp:positionV>
          <wp:extent cx="7809876" cy="10165823"/>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27" w:rsidRDefault="00707FE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n-US" w:eastAsia="en-US"/>
      </w:rPr>
      <w:drawing>
        <wp:anchor distT="0" distB="0" distL="0" distR="0" simplePos="0" relativeHeight="251659264" behindDoc="1" locked="0" layoutInCell="1" hidden="0" allowOverlap="1">
          <wp:simplePos x="0" y="0"/>
          <wp:positionH relativeFrom="column">
            <wp:posOffset>-846160</wp:posOffset>
          </wp:positionH>
          <wp:positionV relativeFrom="paragraph">
            <wp:posOffset>-171231</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2B1D27">
      <w:tc>
        <w:tcPr>
          <w:tcW w:w="2551" w:type="dxa"/>
          <w:vAlign w:val="center"/>
        </w:tcPr>
        <w:p w:rsidR="002B1D27" w:rsidRDefault="00707F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2B1D27" w:rsidRDefault="005662D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00034/INFOEM/IP/RR/2022</w:t>
          </w:r>
          <w:r w:rsidR="00707FE0">
            <w:rPr>
              <w:rFonts w:ascii="Palatino Linotype" w:eastAsia="Palatino Linotype" w:hAnsi="Palatino Linotype" w:cs="Palatino Linotype"/>
              <w:b/>
              <w:sz w:val="22"/>
              <w:szCs w:val="22"/>
            </w:rPr>
            <w:t xml:space="preserve">. </w:t>
          </w:r>
        </w:p>
      </w:tc>
    </w:tr>
    <w:tr w:rsidR="002B1D27">
      <w:tc>
        <w:tcPr>
          <w:tcW w:w="2551" w:type="dxa"/>
          <w:vAlign w:val="center"/>
        </w:tcPr>
        <w:p w:rsidR="002B1D27" w:rsidRDefault="00707FE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2B1D27" w:rsidRDefault="00411A7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r w:rsidR="00707FE0">
            <w:rPr>
              <w:rFonts w:ascii="Palatino Linotype" w:eastAsia="Palatino Linotype" w:hAnsi="Palatino Linotype" w:cs="Palatino Linotype"/>
              <w:b/>
              <w:sz w:val="22"/>
              <w:szCs w:val="22"/>
            </w:rPr>
            <w:t>.</w:t>
          </w:r>
        </w:p>
      </w:tc>
    </w:tr>
    <w:tr w:rsidR="002B1D27">
      <w:trPr>
        <w:trHeight w:val="228"/>
      </w:trPr>
      <w:tc>
        <w:tcPr>
          <w:tcW w:w="2551" w:type="dxa"/>
          <w:vAlign w:val="center"/>
        </w:tcPr>
        <w:p w:rsidR="002B1D27" w:rsidRDefault="00707F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2B1D27" w:rsidRDefault="00707FE0" w:rsidP="005662D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5662D4">
            <w:rPr>
              <w:rFonts w:ascii="Palatino Linotype" w:eastAsia="Palatino Linotype" w:hAnsi="Palatino Linotype" w:cs="Palatino Linotype"/>
              <w:b/>
              <w:sz w:val="22"/>
              <w:szCs w:val="22"/>
            </w:rPr>
            <w:t>Amecameca</w:t>
          </w:r>
          <w:r>
            <w:rPr>
              <w:rFonts w:ascii="Palatino Linotype" w:eastAsia="Palatino Linotype" w:hAnsi="Palatino Linotype" w:cs="Palatino Linotype"/>
              <w:b/>
              <w:sz w:val="22"/>
              <w:szCs w:val="22"/>
            </w:rPr>
            <w:t>.</w:t>
          </w:r>
        </w:p>
      </w:tc>
    </w:tr>
    <w:tr w:rsidR="002B1D27">
      <w:tc>
        <w:tcPr>
          <w:tcW w:w="2551" w:type="dxa"/>
          <w:vAlign w:val="center"/>
        </w:tcPr>
        <w:p w:rsidR="002B1D27" w:rsidRDefault="00707F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2B1D27" w:rsidRDefault="00707FE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B1D27" w:rsidRDefault="002B1D2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27" w:rsidRDefault="002B1D27">
    <w:pPr>
      <w:pBdr>
        <w:top w:val="nil"/>
        <w:left w:val="nil"/>
        <w:bottom w:val="nil"/>
        <w:right w:val="nil"/>
        <w:between w:val="nil"/>
      </w:pBdr>
      <w:tabs>
        <w:tab w:val="center" w:pos="4252"/>
        <w:tab w:val="right" w:pos="8504"/>
      </w:tabs>
      <w:jc w:val="both"/>
      <w:rPr>
        <w:rFonts w:ascii="Calibri" w:eastAsia="Calibri" w:hAnsi="Calibri" w:cs="Calibri"/>
        <w:color w:val="000000"/>
      </w:rPr>
    </w:pPr>
  </w:p>
  <w:p w:rsidR="002B1D27" w:rsidRDefault="002B1D2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15022"/>
    <w:multiLevelType w:val="hybridMultilevel"/>
    <w:tmpl w:val="6228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D53FF4"/>
    <w:multiLevelType w:val="multilevel"/>
    <w:tmpl w:val="64C4497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5C1B62"/>
    <w:multiLevelType w:val="multilevel"/>
    <w:tmpl w:val="4F863E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4A5098"/>
    <w:multiLevelType w:val="multilevel"/>
    <w:tmpl w:val="4C0E1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6D5175F"/>
    <w:multiLevelType w:val="multilevel"/>
    <w:tmpl w:val="B4E06DC4"/>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27"/>
    <w:rsid w:val="0000658A"/>
    <w:rsid w:val="000C2EC1"/>
    <w:rsid w:val="000E3C0D"/>
    <w:rsid w:val="002518D1"/>
    <w:rsid w:val="002B1D27"/>
    <w:rsid w:val="002C77B4"/>
    <w:rsid w:val="00385E18"/>
    <w:rsid w:val="00411A7A"/>
    <w:rsid w:val="0049667A"/>
    <w:rsid w:val="00527B33"/>
    <w:rsid w:val="005662D4"/>
    <w:rsid w:val="005C7AEC"/>
    <w:rsid w:val="00703CFF"/>
    <w:rsid w:val="00707FE0"/>
    <w:rsid w:val="0075429A"/>
    <w:rsid w:val="009D389D"/>
    <w:rsid w:val="00BF032E"/>
    <w:rsid w:val="00C91A30"/>
    <w:rsid w:val="00D7059C"/>
    <w:rsid w:val="00DF7F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AB75"/>
  <w15:docId w15:val="{09151D2A-4E5A-4231-9D69-F4484B49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apple-tab-span">
    <w:name w:val="apple-tab-span"/>
    <w:basedOn w:val="Fuentedeprrafopredeter"/>
    <w:rsid w:val="0038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522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93237.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293237.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kWaqqQSunVAmQ+sdaMeuTDh7gw==">AMUW2mU6dZTo0UkfZy5Vupha044xxku03hkym7+EdWNmNllxd21qZCQmOQL1rhNFPbOoRSmA3hUEJcGTPCX1kyC6aOPnJrDg+U6AsuLrFcXnS/Eqrqsy4GWnaWkwgAIv7hrTeqngozsNmExoIpzN7Vd651y8ivzAFA==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23</Pages>
  <Words>5417</Words>
  <Characters>30880</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NAJERA </cp:lastModifiedBy>
  <cp:revision>9</cp:revision>
  <dcterms:created xsi:type="dcterms:W3CDTF">2022-02-16T15:43:00Z</dcterms:created>
  <dcterms:modified xsi:type="dcterms:W3CDTF">2022-04-28T23:14:00Z</dcterms:modified>
</cp:coreProperties>
</file>