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del </w:t>
      </w:r>
      <w:r>
        <w:rPr>
          <w:rFonts w:ascii="Palatino Linotype" w:eastAsia="Palatino Linotype" w:hAnsi="Palatino Linotype" w:cs="Palatino Linotype"/>
          <w:b/>
        </w:rPr>
        <w:t>siete</w:t>
      </w:r>
      <w:r>
        <w:rPr>
          <w:rFonts w:ascii="Palatino Linotype" w:eastAsia="Palatino Linotype" w:hAnsi="Palatino Linotype" w:cs="Palatino Linotype"/>
        </w:rPr>
        <w:t xml:space="preserve"> </w:t>
      </w:r>
      <w:r>
        <w:rPr>
          <w:rFonts w:ascii="Palatino Linotype" w:eastAsia="Palatino Linotype" w:hAnsi="Palatino Linotype" w:cs="Palatino Linotype"/>
          <w:b/>
        </w:rPr>
        <w:t>de abril del dos mil veintidós</w:t>
      </w:r>
      <w:r>
        <w:rPr>
          <w:rFonts w:ascii="Palatino Linotype" w:eastAsia="Palatino Linotype" w:hAnsi="Palatino Linotype" w:cs="Palatino Linotype"/>
        </w:rPr>
        <w:t>.</w:t>
      </w:r>
    </w:p>
    <w:p w:rsidR="002B1905" w:rsidRPr="00B64EE7" w:rsidRDefault="00D56886" w:rsidP="00B64EE7">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relativo al recurso de revisión </w:t>
      </w:r>
      <w:r>
        <w:rPr>
          <w:rFonts w:ascii="Palatino Linotype" w:eastAsia="Palatino Linotype" w:hAnsi="Palatino Linotype" w:cs="Palatino Linotype"/>
          <w:b/>
        </w:rPr>
        <w:t>00904/INFOEM/IP</w:t>
      </w:r>
      <w:r>
        <w:rPr>
          <w:rFonts w:ascii="Palatino Linotype" w:eastAsia="Palatino Linotype" w:hAnsi="Palatino Linotype" w:cs="Palatino Linotype"/>
          <w:b/>
          <w:color w:val="000000"/>
        </w:rPr>
        <w:t>/RR/2022</w:t>
      </w:r>
      <w:r>
        <w:rPr>
          <w:rFonts w:ascii="Palatino Linotype" w:eastAsia="Palatino Linotype" w:hAnsi="Palatino Linotype" w:cs="Palatino Linotype"/>
        </w:rPr>
        <w:t>, interpuesto por</w:t>
      </w:r>
      <w:r>
        <w:rPr>
          <w:rFonts w:ascii="Palatino Linotype" w:eastAsia="Palatino Linotype" w:hAnsi="Palatino Linotype" w:cs="Palatino Linotype"/>
          <w:b/>
        </w:rPr>
        <w:t xml:space="preserve"> </w:t>
      </w:r>
      <w:r w:rsidR="00B64EE7">
        <w:rPr>
          <w:rFonts w:ascii="Palatino Linotype" w:eastAsia="Palatino Linotype" w:hAnsi="Palatino Linotype" w:cs="Palatino Linotype"/>
          <w:b/>
        </w:rPr>
        <w:t>XXXX XXXXXXX XXXXXXX</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a quien en lo sucesivo se le denominará </w:t>
      </w:r>
      <w:r>
        <w:rPr>
          <w:rFonts w:ascii="Palatino Linotype" w:eastAsia="Palatino Linotype" w:hAnsi="Palatino Linotype" w:cs="Palatino Linotype"/>
          <w:b/>
        </w:rPr>
        <w:t>el</w:t>
      </w:r>
      <w:r>
        <w:rPr>
          <w:rFonts w:ascii="Palatino Linotype" w:eastAsia="Palatino Linotype" w:hAnsi="Palatino Linotype" w:cs="Palatino Linotype"/>
          <w:b/>
          <w:i/>
        </w:rPr>
        <w:t xml:space="preserve"> </w:t>
      </w:r>
      <w:r>
        <w:rPr>
          <w:rFonts w:ascii="Palatino Linotype" w:eastAsia="Palatino Linotype" w:hAnsi="Palatino Linotype" w:cs="Palatino Linotype"/>
          <w:b/>
        </w:rPr>
        <w:t>Recurrente</w:t>
      </w:r>
      <w:r>
        <w:rPr>
          <w:rFonts w:ascii="Palatino Linotype" w:eastAsia="Palatino Linotype" w:hAnsi="Palatino Linotype" w:cs="Palatino Linotype"/>
          <w:b/>
          <w:i/>
        </w:rPr>
        <w:t xml:space="preserve"> </w:t>
      </w:r>
      <w:r>
        <w:rPr>
          <w:rFonts w:ascii="Palatino Linotype" w:eastAsia="Palatino Linotype" w:hAnsi="Palatino Linotype" w:cs="Palatino Linotype"/>
        </w:rPr>
        <w:t>en contra de la respuesta a su solicitud de información con número de folio</w:t>
      </w:r>
      <w:r>
        <w:rPr>
          <w:rFonts w:ascii="Verdana" w:eastAsia="Verdana" w:hAnsi="Verdana" w:cs="Verdana"/>
          <w:b/>
          <w:color w:val="FF0000"/>
        </w:rPr>
        <w:t> </w:t>
      </w:r>
      <w:r>
        <w:rPr>
          <w:rFonts w:ascii="Palatino Linotype" w:eastAsia="Palatino Linotype" w:hAnsi="Palatino Linotype" w:cs="Palatino Linotype"/>
          <w:b/>
        </w:rPr>
        <w:t>00327/TOLUCA/IP/2022,</w:t>
      </w:r>
      <w:r>
        <w:rPr>
          <w:rFonts w:ascii="Palatino Linotype" w:eastAsia="Palatino Linotype" w:hAnsi="Palatino Linotype" w:cs="Palatino Linotype"/>
        </w:rPr>
        <w:t xml:space="preserve"> otorgada por el </w:t>
      </w:r>
      <w:r>
        <w:rPr>
          <w:rFonts w:ascii="Palatino Linotype" w:eastAsia="Palatino Linotype" w:hAnsi="Palatino Linotype" w:cs="Palatino Linotype"/>
          <w:b/>
        </w:rPr>
        <w:t>Ayuntamiento de Toluca</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Sujeto Obligado</w:t>
      </w:r>
      <w:r>
        <w:rPr>
          <w:rFonts w:ascii="Palatino Linotype" w:eastAsia="Palatino Linotype" w:hAnsi="Palatino Linotype" w:cs="Palatino Linotype"/>
        </w:rPr>
        <w:t>,</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 procede a dictar la presente resolución, con base en lo siguiente. </w:t>
      </w:r>
    </w:p>
    <w:p w:rsidR="002B1905" w:rsidRDefault="00D56886">
      <w:pPr>
        <w:pStyle w:val="Ttulo2"/>
        <w:spacing w:before="240" w:after="240" w:line="360" w:lineRule="auto"/>
        <w:jc w:val="center"/>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I. A N T E C E D E N T E S:</w:t>
      </w:r>
    </w:p>
    <w:p w:rsidR="002B1905" w:rsidRDefault="00D56886">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b/>
          <w:sz w:val="22"/>
          <w:szCs w:val="22"/>
        </w:rPr>
        <w:t xml:space="preserve"> </w:t>
      </w:r>
      <w:r>
        <w:rPr>
          <w:rFonts w:ascii="Palatino Linotype" w:eastAsia="Palatino Linotype" w:hAnsi="Palatino Linotype" w:cs="Palatino Linotype"/>
        </w:rPr>
        <w:t xml:space="preserve">Con fecha </w:t>
      </w:r>
      <w:r>
        <w:rPr>
          <w:rFonts w:ascii="Palatino Linotype" w:eastAsia="Palatino Linotype" w:hAnsi="Palatino Linotype" w:cs="Palatino Linotype"/>
          <w:b/>
        </w:rPr>
        <w:t>veinticuatro de enero del dos mil veintidós,</w:t>
      </w:r>
      <w:r>
        <w:rPr>
          <w:rFonts w:ascii="Palatino Linotype" w:eastAsia="Palatino Linotype" w:hAnsi="Palatino Linotype" w:cs="Palatino Linotype"/>
        </w:rPr>
        <w:t xml:space="preserve"> el ahora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presentó a través del Sistema de Acceso a la Información Mexiquense, en lo subsecuente 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ante el </w:t>
      </w:r>
      <w:r>
        <w:rPr>
          <w:rFonts w:ascii="Palatino Linotype" w:eastAsia="Palatino Linotype" w:hAnsi="Palatino Linotype" w:cs="Palatino Linotype"/>
          <w:b/>
        </w:rPr>
        <w:t>Sujeto Obligado</w:t>
      </w:r>
      <w:r>
        <w:rPr>
          <w:rFonts w:ascii="Palatino Linotype" w:eastAsia="Palatino Linotype" w:hAnsi="Palatino Linotype" w:cs="Palatino Linotype"/>
        </w:rPr>
        <w:t>, la solicitud de acceso a la información pública, a la que se le asignó el número</w:t>
      </w:r>
      <w:r>
        <w:rPr>
          <w:rFonts w:ascii="Palatino Linotype" w:eastAsia="Palatino Linotype" w:hAnsi="Palatino Linotype" w:cs="Palatino Linotype"/>
          <w:b/>
        </w:rPr>
        <w:t xml:space="preserve"> </w:t>
      </w:r>
      <w:r>
        <w:rPr>
          <w:rFonts w:ascii="Palatino Linotype" w:eastAsia="Palatino Linotype" w:hAnsi="Palatino Linotype" w:cs="Palatino Linotype"/>
        </w:rPr>
        <w:t>de folio</w:t>
      </w:r>
      <w:r>
        <w:rPr>
          <w:rFonts w:ascii="Palatino Linotype" w:eastAsia="Palatino Linotype" w:hAnsi="Palatino Linotype" w:cs="Palatino Linotype"/>
          <w:b/>
        </w:rPr>
        <w:t xml:space="preserve"> 00327/TOLUCA/IP/2022, </w:t>
      </w:r>
      <w:r>
        <w:rPr>
          <w:rFonts w:ascii="Palatino Linotype" w:eastAsia="Palatino Linotype" w:hAnsi="Palatino Linotype" w:cs="Palatino Linotype"/>
        </w:rPr>
        <w:t>requiriendo lo siguiente:</w:t>
      </w:r>
    </w:p>
    <w:p w:rsidR="002B1905" w:rsidRDefault="00D56886" w:rsidP="00354422">
      <w:pPr>
        <w:spacing w:before="240" w:after="240" w:line="276" w:lineRule="auto"/>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“Requiero </w:t>
      </w:r>
      <w:r>
        <w:rPr>
          <w:rFonts w:ascii="Palatino Linotype" w:eastAsia="Palatino Linotype" w:hAnsi="Palatino Linotype" w:cs="Palatino Linotype"/>
          <w:b/>
          <w:i/>
          <w:sz w:val="22"/>
          <w:szCs w:val="22"/>
        </w:rPr>
        <w:t xml:space="preserve">él acta de la instalación de las Comisiones Edilicias de Gobernación, Planeación para el Desarrollo así como de Seguridad Pública, Tránsito y Protección Civil. Enero 2022 </w:t>
      </w:r>
      <w:r>
        <w:rPr>
          <w:rFonts w:ascii="Palatino Linotype" w:eastAsia="Palatino Linotype" w:hAnsi="Palatino Linotype" w:cs="Palatino Linotype"/>
          <w:i/>
          <w:sz w:val="22"/>
          <w:szCs w:val="22"/>
        </w:rPr>
        <w:t>Así como la</w:t>
      </w:r>
      <w:r>
        <w:rPr>
          <w:rFonts w:ascii="Palatino Linotype" w:eastAsia="Palatino Linotype" w:hAnsi="Palatino Linotype" w:cs="Palatino Linotype"/>
          <w:b/>
          <w:i/>
          <w:sz w:val="22"/>
          <w:szCs w:val="22"/>
        </w:rPr>
        <w:t xml:space="preserve"> evidencia fotográfica Requiero las evidencias fotográficas de todas las sesiones de todos los Comités y Comisiones edilicias del mes de Enero del 2022, listas de asistencia y actas de todas las sesiones del mes de enero del año 2022</w:t>
      </w:r>
      <w:r>
        <w:rPr>
          <w:rFonts w:ascii="Palatino Linotype" w:eastAsia="Palatino Linotype" w:hAnsi="Palatino Linotype" w:cs="Palatino Linotype"/>
          <w:i/>
          <w:sz w:val="22"/>
          <w:szCs w:val="22"/>
        </w:rPr>
        <w:t>.” (Sic)</w:t>
      </w:r>
    </w:p>
    <w:p w:rsidR="002B1905" w:rsidRDefault="00D56886">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Modalidad de entrega de la información</w:t>
      </w:r>
      <w:r>
        <w:rPr>
          <w:rFonts w:ascii="Palatino Linotype" w:eastAsia="Palatino Linotype" w:hAnsi="Palatino Linotype" w:cs="Palatino Linotype"/>
        </w:rPr>
        <w:t xml:space="preserve">: vía </w:t>
      </w:r>
      <w:r>
        <w:rPr>
          <w:rFonts w:ascii="Palatino Linotype" w:eastAsia="Palatino Linotype" w:hAnsi="Palatino Linotype" w:cs="Palatino Linotype"/>
          <w:b/>
        </w:rPr>
        <w:t>SAIMEX.</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2. Respuesta. </w:t>
      </w:r>
      <w:r>
        <w:rPr>
          <w:rFonts w:ascii="Palatino Linotype" w:eastAsia="Palatino Linotype" w:hAnsi="Palatino Linotype" w:cs="Palatino Linotype"/>
        </w:rPr>
        <w:t xml:space="preserve">Con fecha </w:t>
      </w:r>
      <w:r>
        <w:rPr>
          <w:rFonts w:ascii="Palatino Linotype" w:eastAsia="Palatino Linotype" w:hAnsi="Palatino Linotype" w:cs="Palatino Linotype"/>
          <w:b/>
        </w:rPr>
        <w:t>quince de febrero del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otorgó, a través del SAIMEX, respuesta a la solicitud de acceso a la información en los siguientes términos:</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atención a la solicitud de información número 00327/TOLUCA/IP/2022, me permito adjuntar al presente la respuesta correspondiente. Sin más por el momento, le envío un cordial saludo.</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ATENTAMENTE</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Lic. Norma Sofía Pérez Martínez” (Sic)</w:t>
      </w:r>
    </w:p>
    <w:p w:rsidR="002B1905" w:rsidRDefault="00D56886">
      <w:pPr>
        <w:spacing w:before="240" w:after="240" w:line="360" w:lineRule="auto"/>
        <w:ind w:right="567"/>
        <w:jc w:val="both"/>
        <w:rPr>
          <w:rFonts w:ascii="Palatino Linotype" w:eastAsia="Palatino Linotype" w:hAnsi="Palatino Linotype" w:cs="Palatino Linotype"/>
        </w:rPr>
      </w:pPr>
      <w:r>
        <w:rPr>
          <w:rFonts w:ascii="Palatino Linotype" w:eastAsia="Palatino Linotype" w:hAnsi="Palatino Linotype" w:cs="Palatino Linotype"/>
          <w:b/>
        </w:rPr>
        <w:t>Archivos adjuntos:</w:t>
      </w:r>
      <w:r>
        <w:rPr>
          <w:rFonts w:ascii="Palatino Linotype" w:eastAsia="Palatino Linotype" w:hAnsi="Palatino Linotype" w:cs="Palatino Linotype"/>
        </w:rPr>
        <w:t xml:space="preserv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los archivos electrónicos que se describen a continuación: </w:t>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“ACTAS DE INSTALACIÓN.pdf”: </w:t>
      </w:r>
      <w:r>
        <w:rPr>
          <w:rFonts w:ascii="Palatino Linotype" w:eastAsia="Palatino Linotype" w:hAnsi="Palatino Linotype" w:cs="Palatino Linotype"/>
          <w:sz w:val="22"/>
          <w:szCs w:val="22"/>
        </w:rPr>
        <w:t>Documento de veintiocho fojas, en el que se advierten las actas de instalación de la Comisión de Reglamentación Municipal, Comisión de Desarrollo Económico, Comisión Transitoria para la Revisión y Elaboración del Bando Municipal de Toluca 2022.</w:t>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929540" cy="5156221"/>
            <wp:effectExtent l="0" t="0" r="0" b="0"/>
            <wp:docPr id="9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3929540" cy="5156221"/>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“EVIDENCIA COMISIONES.docx”: </w:t>
      </w:r>
      <w:r>
        <w:rPr>
          <w:rFonts w:ascii="Palatino Linotype" w:eastAsia="Palatino Linotype" w:hAnsi="Palatino Linotype" w:cs="Palatino Linotype"/>
          <w:sz w:val="22"/>
          <w:szCs w:val="22"/>
        </w:rPr>
        <w:t xml:space="preserve">Archivo digital de cuatro fojas, en las cuales se advierten evidencias fotográficas de diversas comisiones. </w:t>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343168" cy="3929534"/>
            <wp:effectExtent l="0" t="0" r="0" b="0"/>
            <wp:docPr id="10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srcRect/>
                    <a:stretch>
                      <a:fillRect/>
                    </a:stretch>
                  </pic:blipFill>
                  <pic:spPr>
                    <a:xfrm>
                      <a:off x="0" y="0"/>
                      <a:ext cx="4343168" cy="3929534"/>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“COMITÉ ADQU.pdf”: </w:t>
      </w:r>
      <w:r>
        <w:rPr>
          <w:rFonts w:ascii="Palatino Linotype" w:eastAsia="Palatino Linotype" w:hAnsi="Palatino Linotype" w:cs="Palatino Linotype"/>
          <w:sz w:val="22"/>
          <w:szCs w:val="22"/>
        </w:rPr>
        <w:t xml:space="preserve">Acta de Instalación y Primera Sesión Ordinaria del Comité de Adquisiciones y Servicios del H. Ayuntamiento de Toluca, celebrada el 7 de enero de 2022. </w:t>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024429" cy="5252341"/>
            <wp:effectExtent l="0" t="0" r="0" b="0"/>
            <wp:docPr id="10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4024429" cy="5252341"/>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“COMITE ARR.pdf”: </w:t>
      </w:r>
      <w:r>
        <w:rPr>
          <w:rFonts w:ascii="Palatino Linotype" w:eastAsia="Palatino Linotype" w:hAnsi="Palatino Linotype" w:cs="Palatino Linotype"/>
          <w:sz w:val="22"/>
          <w:szCs w:val="22"/>
        </w:rPr>
        <w:t xml:space="preserve">Acta de Instalación y Primera Sesión del Comité de Arrendamientos, Adquisiciones de Inmuebles y Enajenaciones del H. Ayuntamiento de Toluca.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156853" cy="5699983"/>
            <wp:effectExtent l="0" t="0" r="0" b="0"/>
            <wp:docPr id="10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
                    <a:srcRect/>
                    <a:stretch>
                      <a:fillRect/>
                    </a:stretch>
                  </pic:blipFill>
                  <pic:spPr>
                    <a:xfrm>
                      <a:off x="0" y="0"/>
                      <a:ext cx="4156853" cy="5699983"/>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SESIÓN DE INSTALACIÓN COMISIÓN ADULTOS MAYORES.pdf”: </w:t>
      </w:r>
      <w:r>
        <w:rPr>
          <w:rFonts w:ascii="Palatino Linotype" w:eastAsia="Palatino Linotype" w:hAnsi="Palatino Linotype" w:cs="Palatino Linotype"/>
          <w:sz w:val="22"/>
          <w:szCs w:val="22"/>
        </w:rPr>
        <w:t xml:space="preserve">Contiene el Acta de Instalación de la Comisión de Atención al Adulto Mayor.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706783" cy="5473243"/>
            <wp:effectExtent l="0" t="0" r="0" b="0"/>
            <wp:docPr id="10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3706783" cy="5473243"/>
                    </a:xfrm>
                    <a:prstGeom prst="rect">
                      <a:avLst/>
                    </a:prstGeom>
                    <a:ln/>
                  </pic:spPr>
                </pic:pic>
              </a:graphicData>
            </a:graphic>
          </wp:inline>
        </w:drawing>
      </w:r>
    </w:p>
    <w:p w:rsidR="002B1905" w:rsidRDefault="002B1905">
      <w:pPr>
        <w:spacing w:before="240" w:after="240" w:line="360" w:lineRule="auto"/>
        <w:ind w:left="567" w:right="567"/>
        <w:jc w:val="both"/>
        <w:rPr>
          <w:rFonts w:ascii="Palatino Linotype" w:eastAsia="Palatino Linotype" w:hAnsi="Palatino Linotype" w:cs="Palatino Linotype"/>
          <w:b/>
          <w:i/>
        </w:rPr>
      </w:pP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DE INSTALACIÓN COMISIÓN PARA EL SEGUIMIENTO A LA IMPLEMENTACIÓN DE LA AGENDA 2030 EN TOLUCA.pdf”: </w:t>
      </w:r>
      <w:r>
        <w:rPr>
          <w:rFonts w:ascii="Palatino Linotype" w:eastAsia="Palatino Linotype" w:hAnsi="Palatino Linotype" w:cs="Palatino Linotype"/>
          <w:sz w:val="22"/>
          <w:szCs w:val="22"/>
        </w:rPr>
        <w:t xml:space="preserve">Acta de Instalación de la Comisión para el Seguimiento a la Implementación de la Agenda 2030 en Toluca.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928881" cy="5549730"/>
            <wp:effectExtent l="0" t="0" r="0" b="0"/>
            <wp:docPr id="10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3928881" cy="5549730"/>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“EVIDENCIA FOTOGRAFICA ANEXO.pdf”: </w:t>
      </w:r>
      <w:r>
        <w:rPr>
          <w:rFonts w:ascii="Palatino Linotype" w:eastAsia="Palatino Linotype" w:hAnsi="Palatino Linotype" w:cs="Palatino Linotype"/>
          <w:sz w:val="22"/>
          <w:szCs w:val="22"/>
        </w:rPr>
        <w:t>Soporte documental emitido por la Cuarta Regiduría, el cual consta de una foja en la que se aprecian las fotografías por las instalaciones de las Comisiones de Atención al Adulto Mayor y la Comisión para el Seguimiento a la Implementación de la Agenda 2030 en Toluca.</w:t>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5026556" cy="3820892"/>
            <wp:effectExtent l="0" t="0" r="0" b="0"/>
            <wp:docPr id="10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a:stretch>
                      <a:fillRect/>
                    </a:stretch>
                  </pic:blipFill>
                  <pic:spPr>
                    <a:xfrm>
                      <a:off x="0" y="0"/>
                      <a:ext cx="5026556" cy="3820892"/>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de asuntos internacionales.pdf”: </w:t>
      </w:r>
      <w:r>
        <w:rPr>
          <w:rFonts w:ascii="Palatino Linotype" w:eastAsia="Palatino Linotype" w:hAnsi="Palatino Linotype" w:cs="Palatino Linotype"/>
          <w:sz w:val="22"/>
          <w:szCs w:val="22"/>
        </w:rPr>
        <w:t xml:space="preserve">Contiene el acta de instalación de la Comisión de Asuntos Internacionales y Apoyo al Migrante, sesión que tuvo verificativo el veinticuatro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748475" cy="5160943"/>
            <wp:effectExtent l="0" t="0" r="0" b="0"/>
            <wp:docPr id="10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5"/>
                    <a:srcRect/>
                    <a:stretch>
                      <a:fillRect/>
                    </a:stretch>
                  </pic:blipFill>
                  <pic:spPr>
                    <a:xfrm>
                      <a:off x="0" y="0"/>
                      <a:ext cx="3748475" cy="5160943"/>
                    </a:xfrm>
                    <a:prstGeom prst="rect">
                      <a:avLst/>
                    </a:prstGeom>
                    <a:ln/>
                  </pic:spPr>
                </pic:pic>
              </a:graphicData>
            </a:graphic>
          </wp:inline>
        </w:drawing>
      </w:r>
    </w:p>
    <w:p w:rsidR="002B1905" w:rsidRDefault="002B1905">
      <w:pPr>
        <w:spacing w:before="240" w:after="240" w:line="360" w:lineRule="auto"/>
        <w:ind w:left="567" w:right="567"/>
        <w:jc w:val="both"/>
        <w:rPr>
          <w:rFonts w:ascii="Palatino Linotype" w:eastAsia="Palatino Linotype" w:hAnsi="Palatino Linotype" w:cs="Palatino Linotype"/>
        </w:rPr>
      </w:pP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de cultura y educacion.pdf”: </w:t>
      </w:r>
      <w:r>
        <w:rPr>
          <w:rFonts w:ascii="Palatino Linotype" w:eastAsia="Palatino Linotype" w:hAnsi="Palatino Linotype" w:cs="Palatino Linotype"/>
          <w:sz w:val="22"/>
          <w:szCs w:val="22"/>
        </w:rPr>
        <w:t xml:space="preserve">Acta de Instalación de la Comisión de Cultura y Educación, celebrada el veintiuno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717033" cy="5124246"/>
            <wp:effectExtent l="0" t="0" r="0" b="0"/>
            <wp:docPr id="10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3717033" cy="5124246"/>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“comision ingresos.pdf”: </w:t>
      </w:r>
      <w:r>
        <w:rPr>
          <w:rFonts w:ascii="Palatino Linotype" w:eastAsia="Palatino Linotype" w:hAnsi="Palatino Linotype" w:cs="Palatino Linotype"/>
          <w:sz w:val="22"/>
          <w:szCs w:val="22"/>
        </w:rPr>
        <w:t xml:space="preserve">Acta de Instalación de la Comisión Edilicia de Hacienda (Ingresos), celebrada el veintiuno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243347" cy="5710184"/>
            <wp:effectExtent l="0" t="0" r="0" b="0"/>
            <wp:docPr id="11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4243347" cy="5710184"/>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“COMISIÓN DE TRANSPARENCIA, ACCESO A LA INFORMACIÓN Y PROT. DE DATOS FIRMADA.pdf”: </w:t>
      </w:r>
      <w:r>
        <w:rPr>
          <w:rFonts w:ascii="Palatino Linotype" w:eastAsia="Palatino Linotype" w:hAnsi="Palatino Linotype" w:cs="Palatino Linotype"/>
          <w:sz w:val="22"/>
          <w:szCs w:val="22"/>
        </w:rPr>
        <w:t xml:space="preserve">Acta de Sesión de Instalación de la Comisión de Transparencia, Acceso a la Información Pública y Protección de Datos Personales, celebrada el veinticinco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118541" cy="6041660"/>
            <wp:effectExtent l="0" t="0" r="0" b="0"/>
            <wp:docPr id="10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4118541" cy="6041660"/>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“evidenciafotografica_transparencia.pdf”: </w:t>
      </w:r>
      <w:r>
        <w:rPr>
          <w:rFonts w:ascii="Palatino Linotype" w:eastAsia="Palatino Linotype" w:hAnsi="Palatino Linotype" w:cs="Palatino Linotype"/>
          <w:sz w:val="22"/>
          <w:szCs w:val="22"/>
        </w:rPr>
        <w:t xml:space="preserve">Se advierten dos fojas, mediante las cuales se presentan fotografías. </w:t>
      </w:r>
    </w:p>
    <w:p w:rsidR="002B1905" w:rsidRDefault="002B1905">
      <w:pPr>
        <w:spacing w:before="240" w:after="240" w:line="360" w:lineRule="auto"/>
        <w:ind w:left="567" w:right="567"/>
        <w:jc w:val="both"/>
        <w:rPr>
          <w:rFonts w:ascii="Palatino Linotype" w:eastAsia="Palatino Linotype" w:hAnsi="Palatino Linotype" w:cs="Palatino Linotype"/>
        </w:rPr>
      </w:pP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545535" cy="5104467"/>
            <wp:effectExtent l="0" t="0" r="0" b="0"/>
            <wp:docPr id="10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a:srcRect/>
                    <a:stretch>
                      <a:fillRect/>
                    </a:stretch>
                  </pic:blipFill>
                  <pic:spPr>
                    <a:xfrm>
                      <a:off x="0" y="0"/>
                      <a:ext cx="3545535" cy="5104467"/>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Instalación Comisión Movilidad.pdf”: </w:t>
      </w:r>
      <w:r>
        <w:rPr>
          <w:rFonts w:ascii="Palatino Linotype" w:eastAsia="Palatino Linotype" w:hAnsi="Palatino Linotype" w:cs="Palatino Linotype"/>
          <w:sz w:val="22"/>
          <w:szCs w:val="22"/>
        </w:rPr>
        <w:t>Acta de Instalación de la Comisión de Movilidad, la cual se celebró el veinticuatro de enero de dos mil veintidós.</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965720" cy="4965893"/>
            <wp:effectExtent l="0" t="0" r="0" b="0"/>
            <wp:docPr id="11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0"/>
                    <a:srcRect/>
                    <a:stretch>
                      <a:fillRect/>
                    </a:stretch>
                  </pic:blipFill>
                  <pic:spPr>
                    <a:xfrm>
                      <a:off x="0" y="0"/>
                      <a:ext cx="3965720" cy="4965893"/>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“Evidencia Fotográfica Instalación de Comisiones.pdf”: </w:t>
      </w:r>
      <w:r>
        <w:rPr>
          <w:rFonts w:ascii="Palatino Linotype" w:eastAsia="Palatino Linotype" w:hAnsi="Palatino Linotype" w:cs="Palatino Linotype"/>
          <w:sz w:val="22"/>
          <w:szCs w:val="22"/>
        </w:rPr>
        <w:t>Archivo digital en el que se aprecian fotografías de las sesiones de instalaciones de comisiones.</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564597" cy="5278608"/>
            <wp:effectExtent l="0" t="0" r="0" b="0"/>
            <wp:docPr id="1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a:stretch>
                      <a:fillRect/>
                    </a:stretch>
                  </pic:blipFill>
                  <pic:spPr>
                    <a:xfrm>
                      <a:off x="0" y="0"/>
                      <a:ext cx="3564597" cy="5278608"/>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Instalación Comisión Infraestructura.pdf”: </w:t>
      </w:r>
      <w:r>
        <w:rPr>
          <w:rFonts w:ascii="Palatino Linotype" w:eastAsia="Palatino Linotype" w:hAnsi="Palatino Linotype" w:cs="Palatino Linotype"/>
          <w:sz w:val="22"/>
          <w:szCs w:val="22"/>
        </w:rPr>
        <w:t xml:space="preserve">Acta de Instalación de la Comisión de Infraestructura e Inversión Pública, la cual se celebró el veinticuatro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546903" cy="5257908"/>
            <wp:effectExtent l="0" t="0" r="0" b="0"/>
            <wp:docPr id="1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3546903" cy="5257908"/>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Instalación Comisión Servicios Pub.pdf”: </w:t>
      </w:r>
      <w:r>
        <w:rPr>
          <w:rFonts w:ascii="Palatino Linotype" w:eastAsia="Palatino Linotype" w:hAnsi="Palatino Linotype" w:cs="Palatino Linotype"/>
          <w:sz w:val="22"/>
          <w:szCs w:val="22"/>
        </w:rPr>
        <w:t xml:space="preserve">Acta de instalación de la Comisión de Servicios Públicos, celebrada el veintiséis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626569" cy="5261822"/>
            <wp:effectExtent l="0" t="0" r="0" b="0"/>
            <wp:docPr id="11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3"/>
                    <a:srcRect/>
                    <a:stretch>
                      <a:fillRect/>
                    </a:stretch>
                  </pic:blipFill>
                  <pic:spPr>
                    <a:xfrm>
                      <a:off x="0" y="0"/>
                      <a:ext cx="3626569" cy="5261822"/>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 xml:space="preserve">“Acta Instalación Comisión de Asuntos Lab.pdf”: </w:t>
      </w:r>
      <w:r>
        <w:rPr>
          <w:rFonts w:ascii="Palatino Linotype" w:eastAsia="Palatino Linotype" w:hAnsi="Palatino Linotype" w:cs="Palatino Linotype"/>
          <w:sz w:val="22"/>
          <w:szCs w:val="22"/>
        </w:rPr>
        <w:t>Acta de Instalación de la Comisión de Prevención y Atención de Conflictos Laborales, celebrada el veintiuno de enero de dos mil veintidós.</w:t>
      </w:r>
    </w:p>
    <w:p w:rsidR="002B1905" w:rsidRDefault="00D56886">
      <w:pPr>
        <w:spacing w:before="240" w:after="240" w:line="360" w:lineRule="auto"/>
        <w:ind w:left="567" w:right="567"/>
        <w:jc w:val="center"/>
        <w:rPr>
          <w:rFonts w:ascii="Palatino Linotype" w:eastAsia="Palatino Linotype" w:hAnsi="Palatino Linotype" w:cs="Palatino Linotype"/>
          <w:b/>
          <w:i/>
        </w:rPr>
      </w:pPr>
      <w:r>
        <w:rPr>
          <w:rFonts w:ascii="Palatino Linotype" w:eastAsia="Palatino Linotype" w:hAnsi="Palatino Linotype" w:cs="Palatino Linotype"/>
          <w:b/>
          <w:i/>
          <w:noProof/>
          <w:lang w:val="es-MX"/>
        </w:rPr>
        <w:lastRenderedPageBreak/>
        <w:drawing>
          <wp:inline distT="0" distB="0" distL="0" distR="0">
            <wp:extent cx="3563975" cy="5437959"/>
            <wp:effectExtent l="0" t="0" r="0" b="0"/>
            <wp:docPr id="11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a:srcRect/>
                    <a:stretch>
                      <a:fillRect/>
                    </a:stretch>
                  </pic:blipFill>
                  <pic:spPr>
                    <a:xfrm>
                      <a:off x="0" y="0"/>
                      <a:ext cx="3563975" cy="5437959"/>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“CamScanner 02-11-2022 16.31.pdf”: </w:t>
      </w:r>
      <w:r>
        <w:rPr>
          <w:rFonts w:ascii="Palatino Linotype" w:eastAsia="Palatino Linotype" w:hAnsi="Palatino Linotype" w:cs="Palatino Linotype"/>
        </w:rPr>
        <w:t xml:space="preserve">Acta de la Sesión de Instalación de la Comisión de Protección e Inclusión a Personas con Discapacidad, celebrada el treinta y uno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254183" cy="4956952"/>
            <wp:effectExtent l="0" t="0" r="0" b="0"/>
            <wp:docPr id="11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5"/>
                    <a:srcRect/>
                    <a:stretch>
                      <a:fillRect/>
                    </a:stretch>
                  </pic:blipFill>
                  <pic:spPr>
                    <a:xfrm>
                      <a:off x="0" y="0"/>
                      <a:ext cx="3254183" cy="4956952"/>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w:t>
      </w:r>
      <w:r>
        <w:rPr>
          <w:rFonts w:ascii="Palatino Linotype" w:eastAsia="Palatino Linotype" w:hAnsi="Palatino Linotype" w:cs="Palatino Linotype"/>
          <w:b/>
          <w:i/>
        </w:rPr>
        <w:t xml:space="preserve">SAIMEX 00327 ANEXO.pdf”: </w:t>
      </w:r>
      <w:r>
        <w:rPr>
          <w:rFonts w:ascii="Palatino Linotype" w:eastAsia="Palatino Linotype" w:hAnsi="Palatino Linotype" w:cs="Palatino Linotype"/>
        </w:rPr>
        <w:t>Soporte documental que consta de dos fojas y se vislumbran fotografías de instalación de las Comisiones de la Juventud, Deporte y Recreación, Comisión de Transversalidad de Género (Equidad de Género) y la Comisión de Atención a la Violencia contra las Mujeres.</w:t>
      </w:r>
      <w:r>
        <w:rPr>
          <w:rFonts w:ascii="Palatino Linotype" w:eastAsia="Palatino Linotype" w:hAnsi="Palatino Linotype" w:cs="Palatino Linotype"/>
          <w:sz w:val="22"/>
          <w:szCs w:val="22"/>
        </w:rPr>
        <w:t xml:space="preserve">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049389" cy="2489731"/>
            <wp:effectExtent l="0" t="0" r="0" b="0"/>
            <wp:docPr id="11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4049389" cy="2489731"/>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“INSTALACIÓN DE LAS COMISIONES EDILICIAS DE LA SEGUNDA REGIDURÍA.pdf”: </w:t>
      </w:r>
      <w:r>
        <w:rPr>
          <w:rFonts w:ascii="Palatino Linotype" w:eastAsia="Palatino Linotype" w:hAnsi="Palatino Linotype" w:cs="Palatino Linotype"/>
        </w:rPr>
        <w:t xml:space="preserve">Documento de dos fojas en los que se visualizan las evidencias fotográficas de las instalaciones de comisiones de la segunda regiduría. </w:t>
      </w:r>
    </w:p>
    <w:p w:rsidR="002B1905" w:rsidRDefault="00D56886">
      <w:pPr>
        <w:spacing w:before="240" w:after="240" w:line="360" w:lineRule="auto"/>
        <w:ind w:left="567" w:right="567"/>
        <w:jc w:val="center"/>
        <w:rPr>
          <w:rFonts w:ascii="Palatino Linotype" w:eastAsia="Palatino Linotype" w:hAnsi="Palatino Linotype" w:cs="Palatino Linotype"/>
          <w:sz w:val="22"/>
          <w:szCs w:val="22"/>
        </w:rPr>
      </w:pPr>
      <w:r>
        <w:rPr>
          <w:rFonts w:ascii="Palatino Linotype" w:eastAsia="Palatino Linotype" w:hAnsi="Palatino Linotype" w:cs="Palatino Linotype"/>
          <w:noProof/>
          <w:sz w:val="22"/>
          <w:szCs w:val="22"/>
          <w:lang w:val="es-MX"/>
        </w:rPr>
        <w:lastRenderedPageBreak/>
        <w:drawing>
          <wp:inline distT="0" distB="0" distL="0" distR="0">
            <wp:extent cx="2845229" cy="3797164"/>
            <wp:effectExtent l="0" t="0" r="0" b="0"/>
            <wp:docPr id="1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
                    <a:srcRect/>
                    <a:stretch>
                      <a:fillRect/>
                    </a:stretch>
                  </pic:blipFill>
                  <pic:spPr>
                    <a:xfrm>
                      <a:off x="0" y="0"/>
                      <a:ext cx="2845229" cy="3797164"/>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w:t>
      </w:r>
      <w:r>
        <w:rPr>
          <w:rFonts w:ascii="Palatino Linotype" w:eastAsia="Palatino Linotype" w:hAnsi="Palatino Linotype" w:cs="Palatino Linotype"/>
          <w:b/>
          <w:i/>
        </w:rPr>
        <w:t xml:space="preserve">Acta Comisión Atención a la Violencia.pdf”: </w:t>
      </w:r>
      <w:r>
        <w:rPr>
          <w:rFonts w:ascii="Palatino Linotype" w:eastAsia="Palatino Linotype" w:hAnsi="Palatino Linotype" w:cs="Palatino Linotype"/>
        </w:rPr>
        <w:t>Acta de Instalación de la Comisión de Atención a la Violencia en Contra de las Mujeres, celebrada el veinticinco de enero de dos mil veintidós.</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415255" cy="4456035"/>
            <wp:effectExtent l="0" t="0" r="0" b="0"/>
            <wp:docPr id="8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3415255" cy="4456035"/>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“Acta comisión juventud y deporte (1).pdf”: </w:t>
      </w:r>
      <w:r>
        <w:rPr>
          <w:rFonts w:ascii="Palatino Linotype" w:eastAsia="Palatino Linotype" w:hAnsi="Palatino Linotype" w:cs="Palatino Linotype"/>
        </w:rPr>
        <w:t>Acta de Instalación de la Comisión de la Juventud, Deporte y Recreación, celebrada el veintiuno de enero de dos mil veintidós.</w:t>
      </w:r>
    </w:p>
    <w:p w:rsidR="002B1905" w:rsidRDefault="00D56886">
      <w:pPr>
        <w:spacing w:before="240" w:after="240" w:line="360" w:lineRule="auto"/>
        <w:ind w:left="567" w:right="567"/>
        <w:jc w:val="center"/>
        <w:rPr>
          <w:rFonts w:ascii="Palatino Linotype" w:eastAsia="Palatino Linotype" w:hAnsi="Palatino Linotype" w:cs="Palatino Linotype"/>
          <w:b/>
          <w:i/>
        </w:rPr>
      </w:pPr>
      <w:r>
        <w:rPr>
          <w:rFonts w:ascii="Palatino Linotype" w:eastAsia="Palatino Linotype" w:hAnsi="Palatino Linotype" w:cs="Palatino Linotype"/>
          <w:b/>
          <w:i/>
          <w:noProof/>
          <w:lang w:val="es-MX"/>
        </w:rPr>
        <w:lastRenderedPageBreak/>
        <w:drawing>
          <wp:inline distT="0" distB="0" distL="0" distR="0">
            <wp:extent cx="2933730" cy="4340966"/>
            <wp:effectExtent l="0" t="0" r="0" b="0"/>
            <wp:docPr id="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2933730" cy="4340966"/>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“Acta Comisión Transversalidad de Género.pdf”: </w:t>
      </w:r>
      <w:r>
        <w:rPr>
          <w:rFonts w:ascii="Palatino Linotype" w:eastAsia="Palatino Linotype" w:hAnsi="Palatino Linotype" w:cs="Palatino Linotype"/>
        </w:rPr>
        <w:t>Acta de la Instalación de la Comisión de Transversalidad de Género (Equidad de género), celebrada el veinticuatro de enero de dos mil veintidós.</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170786" cy="4845334"/>
            <wp:effectExtent l="0" t="0" r="0" b="0"/>
            <wp:docPr id="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3170786" cy="4845334"/>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“IMG-20220125-WA0015.jpg”: </w:t>
      </w:r>
      <w:r>
        <w:rPr>
          <w:rFonts w:ascii="Palatino Linotype" w:eastAsia="Palatino Linotype" w:hAnsi="Palatino Linotype" w:cs="Palatino Linotype"/>
        </w:rPr>
        <w:t xml:space="preserve">Fotografía sin que se precise si pertenece a una sesión de comisión o de algún comité. </w:t>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4442264" cy="2856862"/>
            <wp:effectExtent l="0" t="0" r="0" b="0"/>
            <wp:docPr id="9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a:stretch>
                      <a:fillRect/>
                    </a:stretch>
                  </pic:blipFill>
                  <pic:spPr>
                    <a:xfrm>
                      <a:off x="0" y="0"/>
                      <a:ext cx="4442264" cy="2856862"/>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“Tercera Ordinaria 22.pdf”: </w:t>
      </w:r>
      <w:r>
        <w:rPr>
          <w:rFonts w:ascii="Palatino Linotype" w:eastAsia="Palatino Linotype" w:hAnsi="Palatino Linotype" w:cs="Palatino Linotype"/>
        </w:rPr>
        <w:t xml:space="preserve">Acta de la Tercera Sesión Ordinaria del Comité de Transparencia del H. Ayuntamiento de Toluca, celebrada el dieciocho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242750" cy="4328000"/>
            <wp:effectExtent l="0" t="0" r="0" b="0"/>
            <wp:docPr id="9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a:stretch>
                      <a:fillRect/>
                    </a:stretch>
                  </pic:blipFill>
                  <pic:spPr>
                    <a:xfrm>
                      <a:off x="0" y="0"/>
                      <a:ext cx="3242750" cy="4328000"/>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“Primera ordinaria 22.pdf”: </w:t>
      </w:r>
      <w:r>
        <w:rPr>
          <w:rFonts w:ascii="Palatino Linotype" w:eastAsia="Palatino Linotype" w:hAnsi="Palatino Linotype" w:cs="Palatino Linotype"/>
        </w:rPr>
        <w:t xml:space="preserve">Acta de la Primera Sesión Ordinaria del Comité de Transparencia del H. Ayuntamiento de Toluca, celebrada el doce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234829" cy="4159953"/>
            <wp:effectExtent l="0" t="0" r="0" b="0"/>
            <wp:docPr id="9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a:stretch>
                      <a:fillRect/>
                    </a:stretch>
                  </pic:blipFill>
                  <pic:spPr>
                    <a:xfrm>
                      <a:off x="0" y="0"/>
                      <a:ext cx="3234829" cy="4159953"/>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“Segunda Ordinaria 22.pdf”: </w:t>
      </w:r>
      <w:r>
        <w:rPr>
          <w:rFonts w:ascii="Palatino Linotype" w:eastAsia="Palatino Linotype" w:hAnsi="Palatino Linotype" w:cs="Palatino Linotype"/>
        </w:rPr>
        <w:t xml:space="preserve">Acta de la Segunda Sesión Ordinaria del Comité de Transparencia, celebrada el doce de enero de dos mil veintidós.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428917" cy="4409550"/>
            <wp:effectExtent l="0" t="0" r="0" b="0"/>
            <wp:docPr id="9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a:stretch>
                      <a:fillRect/>
                    </a:stretch>
                  </pic:blipFill>
                  <pic:spPr>
                    <a:xfrm>
                      <a:off x="0" y="0"/>
                      <a:ext cx="3428917" cy="4409550"/>
                    </a:xfrm>
                    <a:prstGeom prst="rect">
                      <a:avLst/>
                    </a:prstGeom>
                    <a:ln/>
                  </pic:spPr>
                </pic:pic>
              </a:graphicData>
            </a:graphic>
          </wp:inline>
        </w:drawing>
      </w:r>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“rESPUESTA 00327_2022.pdf”: </w:t>
      </w:r>
      <w:r>
        <w:rPr>
          <w:rFonts w:ascii="Palatino Linotype" w:eastAsia="Palatino Linotype" w:hAnsi="Palatino Linotype" w:cs="Palatino Linotype"/>
        </w:rPr>
        <w:t xml:space="preserve">Documento de seis fojas, mediante el cual la Titular de la Unidad de Transparencia, otorga respuesta a la solicitud de información, se inserta la primera foja a manera de ejemplo. </w:t>
      </w:r>
    </w:p>
    <w:p w:rsidR="002B1905" w:rsidRDefault="0009063F">
      <w:pPr>
        <w:spacing w:before="240" w:after="240" w:line="360" w:lineRule="auto"/>
        <w:ind w:left="567" w:right="567"/>
        <w:jc w:val="center"/>
        <w:rPr>
          <w:rFonts w:ascii="Palatino Linotype" w:eastAsia="Palatino Linotype" w:hAnsi="Palatino Linotype" w:cs="Palatino Linotype"/>
        </w:rPr>
      </w:pPr>
      <w:r>
        <w:object w:dxaOrig="5910" w:dyaOrig="7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5.5pt;height:393pt" o:ole="">
            <v:imagedata r:id="rId34" o:title=""/>
          </v:shape>
          <o:OLEObject Type="Embed" ProgID="Paint.Picture.1" ShapeID="_x0000_i1026" DrawAspect="Content" ObjectID="_1715703374" r:id="rId35"/>
        </w:object>
      </w:r>
      <w:bookmarkStart w:id="0" w:name="_GoBack"/>
      <w:bookmarkEnd w:id="0"/>
    </w:p>
    <w:p w:rsidR="002B1905" w:rsidRDefault="00D56886">
      <w:pPr>
        <w:spacing w:before="240" w:after="240" w:line="360" w:lineRule="auto"/>
        <w:ind w:left="567" w:right="567"/>
        <w:jc w:val="both"/>
        <w:rPr>
          <w:rFonts w:ascii="Palatino Linotype" w:eastAsia="Palatino Linotype" w:hAnsi="Palatino Linotype" w:cs="Palatino Linotype"/>
        </w:rPr>
      </w:pPr>
      <w:r>
        <w:rPr>
          <w:rFonts w:ascii="Palatino Linotype" w:eastAsia="Palatino Linotype" w:hAnsi="Palatino Linotype" w:cs="Palatino Linotype"/>
          <w:b/>
          <w:i/>
        </w:rPr>
        <w:t xml:space="preserve">“fotos.1.pdf”: </w:t>
      </w:r>
      <w:r>
        <w:rPr>
          <w:rFonts w:ascii="Palatino Linotype" w:eastAsia="Palatino Linotype" w:hAnsi="Palatino Linotype" w:cs="Palatino Linotype"/>
        </w:rPr>
        <w:t xml:space="preserve">Archivo electrónico que consta de cuatro páginas, en este soporte se vislumbran fotografías, sin embargo, no se precisa si son evidencias de algún evento, sesión de comité o de comisión, se inserta la primera foja de manera ilustrativa. </w:t>
      </w:r>
    </w:p>
    <w:p w:rsidR="002B1905" w:rsidRDefault="00D56886">
      <w:pPr>
        <w:spacing w:before="240" w:after="240" w:line="360" w:lineRule="auto"/>
        <w:ind w:left="567" w:right="567"/>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3212526" cy="3637463"/>
            <wp:effectExtent l="0" t="0" r="0" b="0"/>
            <wp:docPr id="9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a:stretch>
                      <a:fillRect/>
                    </a:stretch>
                  </pic:blipFill>
                  <pic:spPr>
                    <a:xfrm>
                      <a:off x="0" y="0"/>
                      <a:ext cx="3212526" cy="3637463"/>
                    </a:xfrm>
                    <a:prstGeom prst="rect">
                      <a:avLst/>
                    </a:prstGeom>
                    <a:ln/>
                  </pic:spPr>
                </pic:pic>
              </a:graphicData>
            </a:graphic>
          </wp:inline>
        </w:drawing>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3. Recurso de revisión.</w:t>
      </w:r>
      <w:r>
        <w:rPr>
          <w:rFonts w:ascii="Palatino Linotype" w:eastAsia="Palatino Linotype" w:hAnsi="Palatino Linotype" w:cs="Palatino Linotype"/>
          <w:b/>
          <w:sz w:val="22"/>
          <w:szCs w:val="22"/>
        </w:rPr>
        <w:t xml:space="preserve"> </w:t>
      </w:r>
      <w:r>
        <w:rPr>
          <w:rFonts w:ascii="Palatino Linotype" w:eastAsia="Palatino Linotype" w:hAnsi="Palatino Linotype" w:cs="Palatino Linotype"/>
        </w:rPr>
        <w:t xml:space="preserve">Inconforme con la respuesta recibida, el Recurrente interpuso en fecha </w:t>
      </w:r>
      <w:r>
        <w:rPr>
          <w:rFonts w:ascii="Palatino Linotype" w:eastAsia="Palatino Linotype" w:hAnsi="Palatino Linotype" w:cs="Palatino Linotype"/>
          <w:b/>
        </w:rPr>
        <w:t>dieciséis de febrero del año dos mil veintidós</w:t>
      </w:r>
      <w:r>
        <w:rPr>
          <w:rFonts w:ascii="Palatino Linotype" w:eastAsia="Palatino Linotype" w:hAnsi="Palatino Linotype" w:cs="Palatino Linotype"/>
        </w:rPr>
        <w:t>, el presente medio de impugnación expresando las siguientes manifestaciones:</w:t>
      </w:r>
    </w:p>
    <w:p w:rsidR="002B1905" w:rsidRDefault="00D56886">
      <w:pPr>
        <w:spacing w:before="240" w:after="240" w:line="360" w:lineRule="auto"/>
        <w:ind w:left="567" w:right="567"/>
        <w:rPr>
          <w:rFonts w:ascii="Palatino Linotype" w:eastAsia="Palatino Linotype" w:hAnsi="Palatino Linotype" w:cs="Palatino Linotype"/>
          <w:b/>
        </w:rPr>
      </w:pPr>
      <w:r>
        <w:rPr>
          <w:rFonts w:ascii="Palatino Linotype" w:eastAsia="Palatino Linotype" w:hAnsi="Palatino Linotype" w:cs="Palatino Linotype"/>
          <w:b/>
        </w:rPr>
        <w:t>a) Acto impugnado.</w:t>
      </w:r>
    </w:p>
    <w:p w:rsidR="002B1905" w:rsidRDefault="00D56886">
      <w:pPr>
        <w:spacing w:before="240" w:after="240" w:line="360" w:lineRule="auto"/>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RESPUESTA PROPORCIONADA.” (Sic)</w:t>
      </w:r>
    </w:p>
    <w:p w:rsidR="002B1905" w:rsidRDefault="00D56886">
      <w:pPr>
        <w:spacing w:before="240" w:after="240" w:line="360" w:lineRule="auto"/>
        <w:ind w:left="567" w:right="567"/>
        <w:jc w:val="both"/>
        <w:rPr>
          <w:rFonts w:ascii="Palatino Linotype" w:eastAsia="Palatino Linotype" w:hAnsi="Palatino Linotype" w:cs="Palatino Linotype"/>
          <w:b/>
        </w:rPr>
      </w:pPr>
      <w:r>
        <w:rPr>
          <w:rFonts w:ascii="Palatino Linotype" w:eastAsia="Palatino Linotype" w:hAnsi="Palatino Linotype" w:cs="Palatino Linotype"/>
          <w:b/>
        </w:rPr>
        <w:t>b) Razones o motivos de inconformidad.</w:t>
      </w:r>
    </w:p>
    <w:p w:rsidR="002B1905" w:rsidRDefault="00D56886">
      <w:pPr>
        <w:spacing w:before="240" w:after="240" w:line="360" w:lineRule="auto"/>
        <w:ind w:left="567" w:right="567"/>
        <w:jc w:val="both"/>
        <w:rPr>
          <w:rFonts w:ascii="Palatino Linotype" w:eastAsia="Palatino Linotype" w:hAnsi="Palatino Linotype" w:cs="Palatino Linotype"/>
          <w:b/>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FALTAN EVIDENCIAS DE SESIONES REALIZADAS</w:t>
      </w:r>
      <w:r>
        <w:rPr>
          <w:rFonts w:ascii="Palatino Linotype" w:eastAsia="Palatino Linotype" w:hAnsi="Palatino Linotype" w:cs="Palatino Linotype"/>
          <w:i/>
          <w:sz w:val="22"/>
          <w:szCs w:val="22"/>
        </w:rPr>
        <w:t>.” (Sic)</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envió electrónicamente al </w:t>
      </w:r>
      <w:r>
        <w:rPr>
          <w:rFonts w:ascii="Palatino Linotype" w:eastAsia="Palatino Linotype" w:hAnsi="Palatino Linotype" w:cs="Palatino Linotype"/>
        </w:rPr>
        <w:lastRenderedPageBreak/>
        <w:t xml:space="preserve">Instituto de Transparencia, Acceso a la Información Pública y Protección de Datos Personales del Estado de México y Municipios, que por razón de turno fue asignado a la </w:t>
      </w:r>
      <w:r>
        <w:rPr>
          <w:rFonts w:ascii="Palatino Linotype" w:eastAsia="Palatino Linotype" w:hAnsi="Palatino Linotype" w:cs="Palatino Linotype"/>
          <w:b/>
        </w:rPr>
        <w:t>Comisionada Guadalupe Ramírez Peña</w:t>
      </w:r>
      <w:r>
        <w:rPr>
          <w:rFonts w:ascii="Palatino Linotype" w:eastAsia="Palatino Linotype" w:hAnsi="Palatino Linotype" w:cs="Palatino Linotype"/>
        </w:rPr>
        <w:t xml:space="preserve"> para su análisis, estudio, elaboración del proyecto y presentación ante el Pleno de este Instituto.</w:t>
      </w:r>
    </w:p>
    <w:p w:rsidR="002B1905" w:rsidRDefault="00D56886">
      <w:pPr>
        <w:spacing w:before="240" w:after="240" w:line="360" w:lineRule="auto"/>
        <w:jc w:val="both"/>
      </w:pPr>
      <w:r>
        <w:rPr>
          <w:rFonts w:ascii="Palatino Linotype" w:eastAsia="Palatino Linotype" w:hAnsi="Palatino Linotype" w:cs="Palatino Linotype"/>
          <w:b/>
        </w:rPr>
        <w:t xml:space="preserve">5. Admisión. </w:t>
      </w:r>
      <w:r>
        <w:rPr>
          <w:rFonts w:ascii="Palatino Linotype" w:eastAsia="Palatino Linotype" w:hAnsi="Palatino Linotype" w:cs="Palatino Linotype"/>
        </w:rPr>
        <w:t xml:space="preserve">Mediante auto de fecha </w:t>
      </w:r>
      <w:r>
        <w:rPr>
          <w:rFonts w:ascii="Palatino Linotype" w:eastAsia="Palatino Linotype" w:hAnsi="Palatino Linotype" w:cs="Palatino Linotype"/>
          <w:b/>
        </w:rPr>
        <w:t>veintiuno de febrero del dos mil veintidós</w:t>
      </w:r>
      <w:r>
        <w:rPr>
          <w:rFonts w:ascii="Palatino Linotype" w:eastAsia="Palatino Linotype" w:hAnsi="Palatino Linotype" w:cs="Palatino Linotype"/>
        </w:rPr>
        <w:t xml:space="preserve">, este Órgano Garante, admitió a trámite el recurso de revisión respectivo, poniéndose a disposición de las partes, para que un plazo no mayor a siete días hábiles manifestase lo que a su derecho corresponda, a efecto de ofrecer pruebas, informe justificado y alegatos, lo anterior con fundamento en el artículo 185 fracciones I, II y IV de la Ley de Transparencia y Acceso a la Información Pública del Estado de México y Municipios. </w:t>
      </w:r>
    </w:p>
    <w:p w:rsidR="002B1905" w:rsidRDefault="00D56886">
      <w:pPr>
        <w:widowControl w:val="0"/>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6. Manifestaciones.</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 xml:space="preserve">De las constancias que integran el expediente en que se actúan se advierte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rindió su informe justificado el </w:t>
      </w:r>
      <w:r>
        <w:rPr>
          <w:rFonts w:ascii="Palatino Linotype" w:eastAsia="Palatino Linotype" w:hAnsi="Palatino Linotype" w:cs="Palatino Linotype"/>
          <w:b/>
        </w:rPr>
        <w:t xml:space="preserve">tres de marzo de dos mil veintidós </w:t>
      </w:r>
      <w:r>
        <w:rPr>
          <w:rFonts w:ascii="Palatino Linotype" w:eastAsia="Palatino Linotype" w:hAnsi="Palatino Linotype" w:cs="Palatino Linotype"/>
        </w:rPr>
        <w:t>mediante el archivo electrónico denominado</w:t>
      </w:r>
      <w:r>
        <w:rPr>
          <w:rFonts w:ascii="Palatino Linotype" w:eastAsia="Palatino Linotype" w:hAnsi="Palatino Linotype" w:cs="Palatino Linotype"/>
          <w:b/>
        </w:rPr>
        <w:t xml:space="preserve"> </w:t>
      </w:r>
      <w:r>
        <w:rPr>
          <w:rFonts w:ascii="Palatino Linotype" w:eastAsia="Palatino Linotype" w:hAnsi="Palatino Linotype" w:cs="Palatino Linotype"/>
          <w:b/>
          <w:i/>
        </w:rPr>
        <w:t>“Infotme 00904_2022.pdf”</w:t>
      </w:r>
      <w:r>
        <w:rPr>
          <w:rFonts w:ascii="Palatino Linotype" w:eastAsia="Palatino Linotype" w:hAnsi="Palatino Linotype" w:cs="Palatino Linotype"/>
        </w:rPr>
        <w:t>, el cual consta de ocho fojas y en él se aprecia que medularmente se confirma la respuesta emitida inicialmente, sirven de referencia las siguientes capturas de pantalla:</w:t>
      </w:r>
    </w:p>
    <w:p w:rsidR="002B1905" w:rsidRDefault="00D56886">
      <w:pPr>
        <w:widowControl w:val="0"/>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5400675" cy="6667500"/>
            <wp:effectExtent l="0" t="0" r="0" b="0"/>
            <wp:docPr id="7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5400675" cy="6667500"/>
                    </a:xfrm>
                    <a:prstGeom prst="rect">
                      <a:avLst/>
                    </a:prstGeom>
                    <a:ln/>
                  </pic:spPr>
                </pic:pic>
              </a:graphicData>
            </a:graphic>
          </wp:inline>
        </w:drawing>
      </w:r>
      <w:r w:rsidR="00B64EE7">
        <w:object w:dxaOrig="8355" w:dyaOrig="10770">
          <v:shape id="_x0000_i1025" type="#_x0000_t75" style="width:417.75pt;height:534.75pt" o:ole="">
            <v:imagedata r:id="rId38" o:title="" croptop="456f"/>
          </v:shape>
          <o:OLEObject Type="Embed" ProgID="Paint.Picture.1" ShapeID="_x0000_i1025" DrawAspect="Content" ObjectID="_1715703375" r:id="rId39"/>
        </w:object>
      </w:r>
    </w:p>
    <w:p w:rsidR="002B1905" w:rsidRDefault="002B1905">
      <w:pPr>
        <w:widowControl w:val="0"/>
        <w:tabs>
          <w:tab w:val="left" w:pos="709"/>
        </w:tabs>
        <w:spacing w:before="240" w:after="240" w:line="360" w:lineRule="auto"/>
        <w:jc w:val="both"/>
        <w:rPr>
          <w:rFonts w:ascii="Palatino Linotype" w:eastAsia="Palatino Linotype" w:hAnsi="Palatino Linotype" w:cs="Palatino Linotype"/>
        </w:rPr>
      </w:pPr>
    </w:p>
    <w:p w:rsidR="002B1905" w:rsidRDefault="002B1905">
      <w:pPr>
        <w:widowControl w:val="0"/>
        <w:tabs>
          <w:tab w:val="left" w:pos="709"/>
        </w:tabs>
        <w:spacing w:before="240" w:after="240" w:line="360" w:lineRule="auto"/>
        <w:jc w:val="both"/>
        <w:rPr>
          <w:rFonts w:ascii="Palatino Linotype" w:eastAsia="Palatino Linotype" w:hAnsi="Palatino Linotype" w:cs="Palatino Linotype"/>
        </w:rPr>
      </w:pPr>
    </w:p>
    <w:p w:rsidR="002B1905" w:rsidRDefault="00D56886">
      <w:pPr>
        <w:widowControl w:val="0"/>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extent cx="5200650" cy="6134100"/>
            <wp:effectExtent l="0" t="0" r="0" b="0"/>
            <wp:docPr id="7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5200650" cy="6134100"/>
                    </a:xfrm>
                    <a:prstGeom prst="rect">
                      <a:avLst/>
                    </a:prstGeom>
                    <a:ln/>
                  </pic:spPr>
                </pic:pic>
              </a:graphicData>
            </a:graphic>
          </wp:inline>
        </w:drawing>
      </w:r>
      <w:r>
        <w:rPr>
          <w:rFonts w:ascii="Palatino Linotype" w:eastAsia="Palatino Linotype" w:hAnsi="Palatino Linotype" w:cs="Palatino Linotype"/>
          <w:noProof/>
          <w:lang w:val="es-MX"/>
        </w:rPr>
        <w:lastRenderedPageBreak/>
        <w:drawing>
          <wp:inline distT="0" distB="0" distL="0" distR="0">
            <wp:extent cx="5400675" cy="6772275"/>
            <wp:effectExtent l="0" t="0" r="0" b="0"/>
            <wp:docPr id="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a:stretch>
                      <a:fillRect/>
                    </a:stretch>
                  </pic:blipFill>
                  <pic:spPr>
                    <a:xfrm>
                      <a:off x="0" y="0"/>
                      <a:ext cx="5400675" cy="6772275"/>
                    </a:xfrm>
                    <a:prstGeom prst="rect">
                      <a:avLst/>
                    </a:prstGeom>
                    <a:ln/>
                  </pic:spPr>
                </pic:pic>
              </a:graphicData>
            </a:graphic>
          </wp:inline>
        </w:drawing>
      </w:r>
    </w:p>
    <w:p w:rsidR="002B1905" w:rsidRDefault="002B1905">
      <w:pPr>
        <w:widowControl w:val="0"/>
        <w:tabs>
          <w:tab w:val="left" w:pos="709"/>
        </w:tabs>
        <w:spacing w:before="240" w:after="240" w:line="360" w:lineRule="auto"/>
        <w:jc w:val="both"/>
        <w:rPr>
          <w:rFonts w:ascii="Palatino Linotype" w:eastAsia="Palatino Linotype" w:hAnsi="Palatino Linotype" w:cs="Palatino Linotype"/>
        </w:rPr>
      </w:pPr>
    </w:p>
    <w:p w:rsidR="002B1905" w:rsidRDefault="002B1905">
      <w:pPr>
        <w:widowControl w:val="0"/>
        <w:tabs>
          <w:tab w:val="left" w:pos="709"/>
        </w:tabs>
        <w:spacing w:before="240" w:after="240" w:line="360" w:lineRule="auto"/>
        <w:jc w:val="both"/>
        <w:rPr>
          <w:rFonts w:ascii="Palatino Linotype" w:eastAsia="Palatino Linotype" w:hAnsi="Palatino Linotype" w:cs="Palatino Linotype"/>
        </w:rPr>
      </w:pPr>
    </w:p>
    <w:p w:rsidR="002B1905" w:rsidRDefault="00D56886">
      <w:pPr>
        <w:widowControl w:val="0"/>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Es de precisar que este informe, se puso a la vista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mediante acuerdo emitido por la Comisionada Ponente en fecha </w:t>
      </w:r>
      <w:r>
        <w:rPr>
          <w:rFonts w:ascii="Palatino Linotype" w:eastAsia="Palatino Linotype" w:hAnsi="Palatino Linotype" w:cs="Palatino Linotype"/>
          <w:b/>
        </w:rPr>
        <w:t>treinta de marzo de dos mil veintidós</w:t>
      </w:r>
      <w:r>
        <w:rPr>
          <w:rFonts w:ascii="Palatino Linotype" w:eastAsia="Palatino Linotype" w:hAnsi="Palatino Linotype" w:cs="Palatino Linotype"/>
        </w:rPr>
        <w:t xml:space="preserve">, asimismo, por cuanto hace al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tiene que fue omiso en emitir pronunciamiento alguno que a su derecho convenga, por lo tanto, se tiene por precluido su derecho para tal efecto</w:t>
      </w:r>
      <w:r>
        <w:rPr>
          <w:noProof/>
          <w:lang w:val="es-MX"/>
        </w:rPr>
        <w:drawing>
          <wp:anchor distT="0" distB="0" distL="114300" distR="114300" simplePos="0" relativeHeight="251658240" behindDoc="0" locked="0" layoutInCell="1" hidden="0" allowOverlap="1">
            <wp:simplePos x="0" y="0"/>
            <wp:positionH relativeFrom="column">
              <wp:posOffset>-270509</wp:posOffset>
            </wp:positionH>
            <wp:positionV relativeFrom="paragraph">
              <wp:posOffset>1691640</wp:posOffset>
            </wp:positionV>
            <wp:extent cx="6054725" cy="1409700"/>
            <wp:effectExtent l="0" t="0" r="0" b="0"/>
            <wp:wrapTopAndBottom distT="0" distB="0"/>
            <wp:docPr id="8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6054725" cy="1409700"/>
                    </a:xfrm>
                    <a:prstGeom prst="rect">
                      <a:avLst/>
                    </a:prstGeom>
                    <a:ln/>
                  </pic:spPr>
                </pic:pic>
              </a:graphicData>
            </a:graphic>
          </wp:anchor>
        </w:drawing>
      </w:r>
    </w:p>
    <w:p w:rsidR="002B1905" w:rsidRDefault="002B1905">
      <w:pPr>
        <w:spacing w:before="240" w:after="240" w:line="360" w:lineRule="auto"/>
        <w:jc w:val="both"/>
        <w:rPr>
          <w:rFonts w:ascii="Palatino Linotype" w:eastAsia="Palatino Linotype" w:hAnsi="Palatino Linotype" w:cs="Palatino Linotype"/>
          <w:b/>
        </w:rPr>
      </w:pP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7.- Ampliación del plazo para emitir resolución.</w:t>
      </w:r>
      <w:r>
        <w:rPr>
          <w:rFonts w:ascii="Palatino Linotype" w:eastAsia="Palatino Linotype" w:hAnsi="Palatino Linotype" w:cs="Palatino Linotype"/>
        </w:rPr>
        <w:t xml:space="preserve"> El </w:t>
      </w:r>
      <w:r>
        <w:rPr>
          <w:rFonts w:ascii="Palatino Linotype" w:eastAsia="Palatino Linotype" w:hAnsi="Palatino Linotype" w:cs="Palatino Linotype"/>
          <w:b/>
        </w:rPr>
        <w:t>seis de abril de dos mil veintidós</w:t>
      </w:r>
      <w:r>
        <w:rPr>
          <w:rFonts w:ascii="Palatino Linotype" w:eastAsia="Palatino Linotype" w:hAnsi="Palatino Linotype" w:cs="Palatino Linotype"/>
        </w:rPr>
        <w:t>, se notificó a las partes el Acuerdo de Ampliación de Plazo para resolver el medio de impugnación que nos ocupa, en términos de lo dispuesto por el artículo 181, párrafo tercero de la Ley de Transparencia y Acceso a la Información Pública del Estado de México y Municipios, a fin de aminorar los efectos que conlleva.</w:t>
      </w:r>
    </w:p>
    <w:p w:rsidR="002B1905" w:rsidRDefault="00D56886">
      <w:pPr>
        <w:spacing w:before="240" w:after="240" w:line="360" w:lineRule="auto"/>
        <w:jc w:val="both"/>
        <w:rPr>
          <w:rFonts w:ascii="Palatino Linotype" w:eastAsia="Palatino Linotype" w:hAnsi="Palatino Linotype" w:cs="Palatino Linotype"/>
          <w:b/>
          <w:sz w:val="28"/>
          <w:szCs w:val="28"/>
        </w:rPr>
      </w:pPr>
      <w:r>
        <w:rPr>
          <w:rFonts w:ascii="Palatino Linotype" w:eastAsia="Palatino Linotype" w:hAnsi="Palatino Linotype" w:cs="Palatino Linotype"/>
          <w:b/>
        </w:rPr>
        <w:t xml:space="preserve">8. Cierre de Instrucción. </w:t>
      </w:r>
      <w:r>
        <w:rPr>
          <w:rFonts w:ascii="Palatino Linotype" w:eastAsia="Palatino Linotype" w:hAnsi="Palatino Linotype" w:cs="Palatino Linotype"/>
        </w:rPr>
        <w:t xml:space="preserve">En fecha </w:t>
      </w:r>
      <w:r>
        <w:rPr>
          <w:rFonts w:ascii="Palatino Linotype" w:eastAsia="Palatino Linotype" w:hAnsi="Palatino Linotype" w:cs="Palatino Linotype"/>
          <w:b/>
        </w:rPr>
        <w:t>seis de abril del año dos mil veintidós</w:t>
      </w:r>
      <w:r>
        <w:rPr>
          <w:rFonts w:ascii="Palatino Linotype" w:eastAsia="Palatino Linotype" w:hAnsi="Palatino Linotype" w:cs="Palatino Linotype"/>
        </w:rPr>
        <w:t xml:space="preserve">, se emitió el acuerdo por medio del cual se declaró cerrada la instrucción, pasando el expediente a resolución, debido a que fue debidamente substanciado el expediente y no existiendo diligencia pendiente de desahogo, en términos del artículo 185 fracciones VI y VIII de la Ley de Transparencia y Acceso a la Información Pública del Estado de México y Municipios, el cual fue notificado a las partes en la misma fecha. </w:t>
      </w:r>
      <w:r>
        <w:rPr>
          <w:rFonts w:ascii="Palatino Linotype" w:eastAsia="Palatino Linotype" w:hAnsi="Palatino Linotype" w:cs="Palatino Linotype"/>
          <w:b/>
          <w:sz w:val="28"/>
          <w:szCs w:val="28"/>
        </w:rPr>
        <w:t xml:space="preserve"> </w:t>
      </w:r>
    </w:p>
    <w:p w:rsidR="002B1905" w:rsidRDefault="00D56886">
      <w:pPr>
        <w:pStyle w:val="Ttulo2"/>
        <w:spacing w:before="240" w:after="240" w:line="360" w:lineRule="auto"/>
        <w:jc w:val="center"/>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lastRenderedPageBreak/>
        <w:t>II. C O N S I D E R A N D O S:</w:t>
      </w:r>
    </w:p>
    <w:p w:rsidR="002B1905" w:rsidRDefault="00D56886">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Primero. Competencia</w:t>
      </w:r>
      <w:r>
        <w:rPr>
          <w:rFonts w:ascii="Palatino Linotype" w:eastAsia="Palatino Linotype" w:hAnsi="Palatino Linotype" w:cs="Palatino Linotype"/>
          <w:b/>
          <w:sz w:val="22"/>
          <w:szCs w:val="22"/>
        </w:rPr>
        <w:t xml:space="preserve">. </w:t>
      </w:r>
      <w:r>
        <w:rPr>
          <w:rFonts w:ascii="Palatino Linotype" w:eastAsia="Palatino Linotype" w:hAnsi="Palatino Linotype" w:cs="Palatino Linotype"/>
          <w:highlight w:val="white"/>
        </w:rPr>
        <w:t xml:space="preserve">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3 y 185 de la Ley Transparencia y Acceso a la Información Pública del Estado de México y Municipios; </w:t>
      </w:r>
      <w:r>
        <w:rPr>
          <w:rFonts w:ascii="Palatino Linotype" w:eastAsia="Palatino Linotype" w:hAnsi="Palatino Linotype" w:cs="Palatino Linotype"/>
        </w:rPr>
        <w:t xml:space="preserve">9 fracciones I, XXIV y 11 </w:t>
      </w:r>
      <w:r>
        <w:rPr>
          <w:rFonts w:ascii="Palatino Linotype" w:eastAsia="Palatino Linotype" w:hAnsi="Palatino Linotype" w:cs="Palatino Linotype"/>
          <w:highlight w:val="white"/>
        </w:rPr>
        <w:t>del Reglamento Interior del Instituto de Transparencia, Acceso a la Información Pública y Protección de Datos Personales del Estado de México y Municipios.</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su respuesta a la solicitud de información el día </w:t>
      </w:r>
      <w:r>
        <w:rPr>
          <w:rFonts w:ascii="Palatino Linotype" w:eastAsia="Palatino Linotype" w:hAnsi="Palatino Linotype" w:cs="Palatino Linotype"/>
          <w:b/>
        </w:rPr>
        <w:t xml:space="preserve">quince de febrero de dos mil veintidós, </w:t>
      </w:r>
      <w:r>
        <w:rPr>
          <w:rFonts w:ascii="Palatino Linotype" w:eastAsia="Palatino Linotype" w:hAnsi="Palatino Linotype" w:cs="Palatino Linotype"/>
        </w:rPr>
        <w:t xml:space="preserve">mientras que el recurso de revisión interpuesto por la parte </w:t>
      </w:r>
      <w:r>
        <w:rPr>
          <w:rFonts w:ascii="Palatino Linotype" w:eastAsia="Palatino Linotype" w:hAnsi="Palatino Linotype" w:cs="Palatino Linotype"/>
        </w:rPr>
        <w:lastRenderedPageBreak/>
        <w:t xml:space="preserve">recurrente, se tuvo por presentado el día </w:t>
      </w:r>
      <w:r>
        <w:rPr>
          <w:rFonts w:ascii="Palatino Linotype" w:eastAsia="Palatino Linotype" w:hAnsi="Palatino Linotype" w:cs="Palatino Linotype"/>
          <w:b/>
        </w:rPr>
        <w:t>dieciséis de febrero de dos mil veintidós</w:t>
      </w:r>
      <w:r>
        <w:rPr>
          <w:rFonts w:ascii="Palatino Linotype" w:eastAsia="Palatino Linotype" w:hAnsi="Palatino Linotype" w:cs="Palatino Linotype"/>
        </w:rPr>
        <w:t xml:space="preserve">, esto es, al </w:t>
      </w:r>
      <w:r>
        <w:rPr>
          <w:rFonts w:ascii="Palatino Linotype" w:eastAsia="Palatino Linotype" w:hAnsi="Palatino Linotype" w:cs="Palatino Linotype"/>
          <w:b/>
        </w:rPr>
        <w:t>primer día hábil</w:t>
      </w:r>
      <w:r>
        <w:rPr>
          <w:rFonts w:ascii="Palatino Linotype" w:eastAsia="Palatino Linotype" w:hAnsi="Palatino Linotype" w:cs="Palatino Linotype"/>
        </w:rPr>
        <w:t xml:space="preserve"> en que tuvo conocimiento de la respuesta impugnada.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rsidR="002B1905" w:rsidRDefault="00D56886">
      <w:pPr>
        <w:pBdr>
          <w:top w:val="nil"/>
          <w:left w:val="nil"/>
          <w:bottom w:val="nil"/>
          <w:right w:val="nil"/>
          <w:between w:val="nil"/>
        </w:pBdr>
        <w:spacing w:before="240" w:after="240" w:line="360" w:lineRule="auto"/>
        <w:ind w:right="-147"/>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Ahora bien, resulta procedente la interposición del recurso, según lo aducido por el recurrente en sus razones o </w:t>
      </w:r>
      <w:r>
        <w:rPr>
          <w:rFonts w:ascii="Palatino Linotype" w:eastAsia="Palatino Linotype" w:hAnsi="Palatino Linotype" w:cs="Palatino Linotype"/>
          <w:color w:val="000000"/>
        </w:rPr>
        <w:t>motivos de inconformidad, de acuerdo al artículo 179, fracción V de la Ley de Transparencia y Acceso a la Información Pública del Estado de México y Municipios; que a la letra dice:</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“Artículo 176. </w:t>
      </w:r>
      <w:r>
        <w:rPr>
          <w:rFonts w:ascii="Palatino Linotype" w:eastAsia="Palatino Linotype" w:hAnsi="Palatino Linotype" w:cs="Palatino Linotype"/>
          <w:i/>
          <w:sz w:val="22"/>
          <w:szCs w:val="22"/>
        </w:rPr>
        <w:t>El recurso de revisión es la garantía secundaria mediante la cual se pretende reparar cualquier posible afectación al derecho de acceso a la información pública en términos del presente y siguiente Capítulo.</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b/>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rsidR="002B1905" w:rsidRDefault="00D56886">
      <w:pPr>
        <w:spacing w:before="240" w:after="240" w:line="276" w:lineRule="auto"/>
        <w:ind w:left="567"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La entrega de información incompleta;</w:t>
      </w:r>
      <w:r>
        <w:rPr>
          <w:rFonts w:ascii="Palatino Linotype" w:eastAsia="Palatino Linotype" w:hAnsi="Palatino Linotype" w:cs="Palatino Linotype"/>
          <w:i/>
          <w:sz w:val="22"/>
          <w:szCs w:val="22"/>
        </w:rPr>
        <w:t>”    (Sic)</w:t>
      </w:r>
    </w:p>
    <w:p w:rsidR="002B1905" w:rsidRDefault="00D56886">
      <w:pPr>
        <w:spacing w:before="240" w:after="240" w:line="276" w:lineRule="auto"/>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(Énfasis añadido)              </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De la revisión a las constancias y documentos que obran en el expediente electrónico se advierte, que el tema sobre el que este </w:t>
      </w:r>
      <w:r>
        <w:rPr>
          <w:rFonts w:ascii="Palatino Linotype" w:eastAsia="Palatino Linotype" w:hAnsi="Palatino Linotype" w:cs="Palatino Linotype"/>
        </w:rPr>
        <w:lastRenderedPageBreak/>
        <w:t xml:space="preserve">Órgano Garante de Transparencia y Acceso a la Información se pronunciará será: </w:t>
      </w:r>
      <w:r>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Pr>
          <w:rFonts w:ascii="Palatino Linotype" w:eastAsia="Palatino Linotype" w:hAnsi="Palatino Linotype" w:cs="Palatino Linotype"/>
        </w:rPr>
        <w:t>de la parte Recurrente, o en su defecto, en caso de ser procedente, ordenar la entrega de información oportuna.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 xml:space="preserve">Previo al estudio del presente asunto, es conveniente recordar que el solicitante requirió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la solicitud, le proporcionara lo siguiente:</w:t>
      </w:r>
    </w:p>
    <w:p w:rsidR="002B1905" w:rsidRDefault="00D56886">
      <w:pPr>
        <w:numPr>
          <w:ilvl w:val="0"/>
          <w:numId w:val="1"/>
        </w:numPr>
        <w:pBdr>
          <w:top w:val="nil"/>
          <w:left w:val="nil"/>
          <w:bottom w:val="nil"/>
          <w:right w:val="nil"/>
          <w:between w:val="nil"/>
        </w:pBdr>
        <w:spacing w:before="240" w:after="240" w:line="360" w:lineRule="auto"/>
        <w:ind w:left="567" w:right="567" w:hanging="14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Acta de la instalación de las Comisiones Edilicias de Gobernación, Planeación para el Desarrollo así como de Seguridad Pública, Tránsito y Protección Civil, generadas en enero de 2022, con su evidencia fotográfica. </w:t>
      </w:r>
    </w:p>
    <w:p w:rsidR="002B1905" w:rsidRDefault="00D56886">
      <w:pPr>
        <w:numPr>
          <w:ilvl w:val="0"/>
          <w:numId w:val="1"/>
        </w:numPr>
        <w:pBdr>
          <w:top w:val="nil"/>
          <w:left w:val="nil"/>
          <w:bottom w:val="nil"/>
          <w:right w:val="nil"/>
          <w:between w:val="nil"/>
        </w:pBdr>
        <w:spacing w:before="240" w:after="240" w:line="360" w:lineRule="auto"/>
        <w:ind w:left="567" w:right="567" w:hanging="14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Evidencias fotográficas de todas las sesiones de todos los Comités y Comisiones edilicias del mes de enero del 2022.</w:t>
      </w:r>
    </w:p>
    <w:p w:rsidR="002B1905" w:rsidRDefault="00D56886">
      <w:pPr>
        <w:numPr>
          <w:ilvl w:val="0"/>
          <w:numId w:val="1"/>
        </w:numPr>
        <w:pBdr>
          <w:top w:val="nil"/>
          <w:left w:val="nil"/>
          <w:bottom w:val="nil"/>
          <w:right w:val="nil"/>
          <w:between w:val="nil"/>
        </w:pBdr>
        <w:spacing w:before="240" w:after="240" w:line="360" w:lineRule="auto"/>
        <w:ind w:left="567" w:right="567" w:hanging="14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Listas de asistencia y actas de todas las sesiones del mes de enero del año 2022</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respuesta a la solicitud de información,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diversos archivos electrónicos con el propósito de satisfacer los requerimientos del particular, mismos que fueron descritos de manera pormenorizada en líneas anteriores. </w:t>
      </w:r>
    </w:p>
    <w:p w:rsidR="002B1905" w:rsidRDefault="00D56886">
      <w:pPr>
        <w:spacing w:before="240" w:after="240" w:line="360" w:lineRule="auto"/>
        <w:ind w:right="49"/>
        <w:jc w:val="both"/>
        <w:rPr>
          <w:rFonts w:ascii="Palatino Linotype" w:eastAsia="Palatino Linotype" w:hAnsi="Palatino Linotype" w:cs="Palatino Linotype"/>
          <w:sz w:val="28"/>
          <w:szCs w:val="28"/>
        </w:rPr>
      </w:pPr>
      <w:r>
        <w:rPr>
          <w:rFonts w:ascii="Palatino Linotype" w:eastAsia="Palatino Linotype" w:hAnsi="Palatino Linotype" w:cs="Palatino Linotype"/>
        </w:rPr>
        <w:t xml:space="preserve">Conocida la respuesta,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interpuso el recurso de revisión que nos ocupa, expresando medularmente en sus razones o motivos de inconformidad </w:t>
      </w:r>
      <w:r>
        <w:rPr>
          <w:rFonts w:ascii="Palatino Linotype" w:eastAsia="Palatino Linotype" w:hAnsi="Palatino Linotype" w:cs="Palatino Linotype"/>
        </w:rPr>
        <w:lastRenderedPageBreak/>
        <w:t xml:space="preserve">que la información recibida se encuentra incompleta, toda vez que </w:t>
      </w: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u w:val="single"/>
        </w:rPr>
        <w:t>FALTAN EVIDENCIAS DE SESIONES REALIZADAS.</w:t>
      </w:r>
      <w:r>
        <w:rPr>
          <w:rFonts w:ascii="Palatino Linotype" w:eastAsia="Palatino Linotype" w:hAnsi="Palatino Linotype" w:cs="Palatino Linotype"/>
          <w:i/>
          <w:sz w:val="22"/>
          <w:szCs w:val="22"/>
        </w:rPr>
        <w:t>” (Sic)</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rPr>
        <w:t xml:space="preserve">por lo cual se advierte que se inconforma de la falta de evidencias fotográficas. </w:t>
      </w:r>
    </w:p>
    <w:p w:rsidR="002B1905" w:rsidRDefault="00D56886">
      <w:pP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color w:val="000000"/>
        </w:rPr>
        <w:t xml:space="preserve">Bajo este tenor, la parte de la respuesta concerniente a </w:t>
      </w:r>
      <w:r>
        <w:rPr>
          <w:rFonts w:ascii="Palatino Linotype" w:eastAsia="Palatino Linotype" w:hAnsi="Palatino Linotype" w:cs="Palatino Linotype"/>
          <w:b/>
          <w:i/>
          <w:color w:val="000000"/>
        </w:rPr>
        <w:t>“Acta de la instalación de las Comisiones Edilicias de Gobernación, Planeación para el Desarrollo así como de Seguridad Pública, Tránsito y Protección Civil, generadas en enero de 2022, así como las listas de asistencia y actas de todas las sesiones del mes de enero del año 2022</w:t>
      </w:r>
      <w:r>
        <w:rPr>
          <w:rFonts w:ascii="Palatino Linotype" w:eastAsia="Palatino Linotype" w:hAnsi="Palatino Linotype" w:cs="Palatino Linotype"/>
          <w:color w:val="000000"/>
        </w:rPr>
        <w:t xml:space="preserve">, se tiene que no fue impugnada, por lo que consecuentemente debe declararse consentida, toda vez que, al no haber realizado manifestaciones de inconformidad al respecto, se infiere que la información proporcionada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satisface este punto de la solicitud presentada.</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Lo anterior es así, debido a que cuando un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impugna la respuesta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y éste no expresa Razón o Motivo de Inconformidad en contra de todos los rubros solicitados, dichos rubros deben declararse atendidos, pues se entiende que </w:t>
      </w:r>
      <w:r>
        <w:rPr>
          <w:rFonts w:ascii="Palatino Linotype" w:eastAsia="Palatino Linotype" w:hAnsi="Palatino Linotype" w:cs="Palatino Linotype"/>
          <w:b/>
          <w:color w:val="000000"/>
        </w:rPr>
        <w:t>el Recurrente</w:t>
      </w:r>
      <w:r>
        <w:rPr>
          <w:rFonts w:ascii="Palatino Linotype" w:eastAsia="Palatino Linotype" w:hAnsi="Palatino Linotype" w:cs="Palatino Linotype"/>
          <w:color w:val="000000"/>
        </w:rPr>
        <w:t xml:space="preserve"> está conforme con la información entregada al no contravenir la misma. Sirve de Apoyo a lo anterior, por analogía la Tesis Jurisprudencial Número 3ª./J.7/91, Publicada en el Semanario Judicial de la Federación y su Gaceta bajo el número de registro 174,177, que establece lo siguiente:</w:t>
      </w:r>
    </w:p>
    <w:p w:rsidR="002B1905" w:rsidRDefault="00D56886">
      <w:pPr>
        <w:spacing w:before="240" w:after="240" w:line="276" w:lineRule="auto"/>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 xml:space="preserve">“REVISIÓN EN AMPARO. LOS RESOLUTIVOS NO COMBATIDOS DEBEN DECLARARSE FIRMES. </w:t>
      </w:r>
      <w:r>
        <w:rPr>
          <w:rFonts w:ascii="Palatino Linotype" w:eastAsia="Palatino Linotype" w:hAnsi="Palatino Linotype" w:cs="Palatino Linotype"/>
          <w:i/>
          <w:color w:val="000000"/>
          <w:sz w:val="22"/>
          <w:szCs w:val="22"/>
        </w:rPr>
        <w:t xml:space="preserve">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w:t>
      </w:r>
      <w:r>
        <w:rPr>
          <w:rFonts w:ascii="Palatino Linotype" w:eastAsia="Palatino Linotype" w:hAnsi="Palatino Linotype" w:cs="Palatino Linotype"/>
          <w:i/>
          <w:color w:val="000000"/>
          <w:sz w:val="22"/>
          <w:szCs w:val="22"/>
        </w:rPr>
        <w:lastRenderedPageBreak/>
        <w:t>firmes aquéllos en contra de los cuales no se formuló agravio y dicha declaración de firmeza debe reflejarse en la parte considerativa y en los resolutivos debe confirmarse la sentencia recurrida en la parte correspondiente.”</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Consecuentemente, se reitera que la parte de la solicitud que no fue impugnada debe declararse consentida por </w:t>
      </w:r>
      <w:r>
        <w:rPr>
          <w:rFonts w:ascii="Palatino Linotype" w:eastAsia="Palatino Linotype" w:hAnsi="Palatino Linotype" w:cs="Palatino Linotype"/>
          <w:b/>
          <w:color w:val="000000"/>
        </w:rPr>
        <w:t>el Recurrente</w:t>
      </w:r>
      <w:r>
        <w:rPr>
          <w:rFonts w:ascii="Palatino Linotype" w:eastAsia="Palatino Linotype" w:hAnsi="Palatino Linotype" w:cs="Palatino Linotype"/>
          <w:color w:val="000000"/>
        </w:rPr>
        <w:t xml:space="preserve">, en razón de que no se realizaron manifestaciones de inconformidad, por lo que no pueden producirse efectos jurídicos tendentes a revocar, confirmar o modificar el acto reclamado ya que se infiere un consentimiento del Recurrente ante la falta de impugnación eficaz. </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Sirve de sustento a lo anterior por analogía la tesis jurisprudencial número VI.3o.C. J/60, publicada en el Semanario Judicial de la Federación y su Gaceta bajo el número de registro 176,608 que a la letra dice:</w:t>
      </w:r>
    </w:p>
    <w:p w:rsidR="002B1905" w:rsidRDefault="00D56886">
      <w:pPr>
        <w:spacing w:before="240" w:after="240" w:line="276" w:lineRule="auto"/>
        <w:ind w:left="567" w:right="900"/>
        <w:jc w:val="both"/>
        <w:rPr>
          <w:rFonts w:ascii="Palatino Linotype" w:eastAsia="Palatino Linotype" w:hAnsi="Palatino Linotype" w:cs="Palatino Linotype"/>
        </w:rPr>
      </w:pPr>
      <w:r>
        <w:rPr>
          <w:rFonts w:ascii="Palatino Linotype" w:eastAsia="Palatino Linotype" w:hAnsi="Palatino Linotype" w:cs="Palatino Linotype"/>
          <w:b/>
          <w:i/>
          <w:smallCaps/>
          <w:color w:val="000000"/>
          <w:sz w:val="22"/>
          <w:szCs w:val="22"/>
        </w:rPr>
        <w:t xml:space="preserve">“ACTOS CONSENTIDOS. SON LOS QUE NO SE IMPUGNAN MEDIANTE EL RECURSO IDÓNEO. </w:t>
      </w:r>
      <w:r>
        <w:rPr>
          <w:rFonts w:ascii="Palatino Linotype" w:eastAsia="Palatino Linotype" w:hAnsi="Palatino Linotype" w:cs="Palatino Linotype"/>
          <w:i/>
          <w:color w:val="000000"/>
          <w:sz w:val="22"/>
          <w:szCs w:val="22"/>
        </w:rPr>
        <w:t>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Ahora bien, a efecto de garantizar el efectivo ejercicio del derecho de acceso a la información pública que asiste al particular, resulta conveniente precisar que el presente análisis versará sobre las evidencias fotográficas de la instalación de las Comisiones Edilicias de Gobernación, Planeación para el Desarrollo así como de Seguridad Pública, Tránsito y Protección Civil, así como de todas las sesiones de todos los Comités y Comisiones edilicias del mes de enero del 2022.</w:t>
      </w:r>
    </w:p>
    <w:p w:rsidR="002B1905" w:rsidRDefault="00D56886">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lastRenderedPageBreak/>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rsidR="002B1905" w:rsidRDefault="00D56886">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rsidR="002B1905" w:rsidRDefault="00D56886">
      <w:pPr>
        <w:tabs>
          <w:tab w:val="left" w:pos="709"/>
        </w:tabs>
        <w:ind w:left="851" w:right="85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rsidR="002B1905" w:rsidRDefault="00D56886">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rsidR="002B1905" w:rsidRDefault="00D56886">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rsidR="002B1905" w:rsidRDefault="00D56886">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lastRenderedPageBreak/>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rsidR="002B1905" w:rsidRDefault="002B1905">
      <w:pPr>
        <w:ind w:left="851" w:right="851"/>
        <w:jc w:val="both"/>
        <w:rPr>
          <w:rFonts w:ascii="Palatino Linotype" w:eastAsia="Palatino Linotype" w:hAnsi="Palatino Linotype" w:cs="Palatino Linotype"/>
          <w:i/>
          <w:sz w:val="22"/>
          <w:szCs w:val="22"/>
        </w:rPr>
      </w:pP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p>
    <w:p w:rsidR="002B1905" w:rsidRDefault="002B1905">
      <w:pPr>
        <w:ind w:right="851"/>
        <w:jc w:val="both"/>
        <w:rPr>
          <w:rFonts w:ascii="Palatino Linotype" w:eastAsia="Palatino Linotype" w:hAnsi="Palatino Linotype" w:cs="Palatino Linotype"/>
          <w:i/>
          <w:sz w:val="22"/>
          <w:szCs w:val="22"/>
        </w:rPr>
      </w:pPr>
    </w:p>
    <w:p w:rsidR="002B1905" w:rsidRDefault="00D56886">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w:t>
      </w:r>
      <w:r>
        <w:rPr>
          <w:rFonts w:ascii="Palatino Linotype" w:eastAsia="Palatino Linotype" w:hAnsi="Palatino Linotype" w:cs="Palatino Linotype"/>
        </w:rPr>
        <w:lastRenderedPageBreak/>
        <w:t xml:space="preserve">o moral que reciba y ejerza recursos públicos, siendo pública toda la información que posean con las excepciones enmarcadas, para lo cual queda demostrado que el presente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debe cumplir con dichos dispositivos legales.</w:t>
      </w:r>
    </w:p>
    <w:p w:rsidR="002B1905" w:rsidRDefault="00D56886">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En primer lugar</w:t>
      </w:r>
      <w:r>
        <w:rPr>
          <w:rFonts w:ascii="Palatino Linotype" w:eastAsia="Palatino Linotype" w:hAnsi="Palatino Linotype" w:cs="Palatino Linotype"/>
        </w:rPr>
        <w:t xml:space="preserve">, es conveniente analizar si las respuestas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cumplen con los requisitos y procedimientos del derecho de acceso a la información pública, en atención a que en la Ley de Transparencia y Acceso a la Información Pública del Estado de México y Municipios en su </w:t>
      </w:r>
      <w:r>
        <w:rPr>
          <w:rFonts w:ascii="Palatino Linotype" w:eastAsia="Palatino Linotype" w:hAnsi="Palatino Linotype" w:cs="Palatino Linotype"/>
          <w:color w:val="000000"/>
        </w:rPr>
        <w:t>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rsidR="002B1905" w:rsidRDefault="00D56886">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2B1905" w:rsidRDefault="00D56886">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2B1905" w:rsidRDefault="00D56886">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Pr>
          <w:rFonts w:ascii="Palatino Linotype" w:eastAsia="Palatino Linotype" w:hAnsi="Palatino Linotype" w:cs="Palatino Linotype"/>
          <w:i/>
          <w:sz w:val="22"/>
          <w:szCs w:val="22"/>
        </w:rPr>
        <w:t>.”(Sic)</w:t>
      </w:r>
    </w:p>
    <w:p w:rsidR="002B1905" w:rsidRDefault="002B1905">
      <w:pPr>
        <w:ind w:left="709" w:right="760"/>
        <w:jc w:val="both"/>
        <w:rPr>
          <w:rFonts w:ascii="Palatino Linotype" w:eastAsia="Palatino Linotype" w:hAnsi="Palatino Linotype" w:cs="Palatino Linotype"/>
          <w:i/>
        </w:rPr>
      </w:pP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 lo anterior, se desprende que los Sujetos Obligados tienen el deber de atender las solicitudes de acceso a la información pública que se les hagan de su conocimiento y proporcionar la información pública que obre en su poder conforme el estado que se encuentra y no hacer un procesamiento de la misma, ni presentarla conforme al interés del solicitante; como así lo establece el artículo 12 de la Ley de Transparencia y Acceso a la Información Pública del Estado de México y Municipios, el cual a la letra dice:</w:t>
      </w:r>
    </w:p>
    <w:p w:rsidR="002B1905" w:rsidRDefault="00D56886">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2B1905" w:rsidRDefault="00D56886">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2B1905" w:rsidRDefault="002B1905">
      <w:pPr>
        <w:spacing w:line="360" w:lineRule="auto"/>
        <w:ind w:right="-93"/>
        <w:jc w:val="both"/>
        <w:rPr>
          <w:rFonts w:ascii="Palatino Linotype" w:eastAsia="Palatino Linotype" w:hAnsi="Palatino Linotype" w:cs="Palatino Linotype"/>
          <w:color w:val="000000"/>
        </w:rPr>
      </w:pPr>
    </w:p>
    <w:p w:rsidR="002B1905" w:rsidRDefault="00D56886">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En esa tesitura, el artículo 24 en su último párrafo de la Ley de la Materia, dispone que los Sujetos Obligados </w:t>
      </w:r>
      <w:r>
        <w:rPr>
          <w:rFonts w:ascii="Palatino Linotype" w:eastAsia="Palatino Linotype" w:hAnsi="Palatino Linotype" w:cs="Palatino Linotype"/>
          <w:color w:val="000000"/>
        </w:rPr>
        <w:t xml:space="preserve">sólo proporcionarán la información pública que </w:t>
      </w:r>
      <w:r>
        <w:rPr>
          <w:rFonts w:ascii="Palatino Linotype" w:eastAsia="Palatino Linotype" w:hAnsi="Palatino Linotype" w:cs="Palatino Linotype"/>
        </w:rPr>
        <w:t>generen</w:t>
      </w:r>
      <w:r>
        <w:rPr>
          <w:rFonts w:ascii="Palatino Linotype" w:eastAsia="Palatino Linotype" w:hAnsi="Palatino Linotype" w:cs="Palatino Linotype"/>
          <w:color w:val="000000"/>
        </w:rPr>
        <w:t>, administren o posean en el ejercicio de sus atribuciones; por consiguiente, la información pública se encuentra a disposición de cualquier persona, lo que implica que es deber de los Sujetos Obligados, garantizar el Derecho de Acceso a la Información Pública, lo que no sucedió en el presente caso.</w:t>
      </w:r>
    </w:p>
    <w:p w:rsidR="002B1905" w:rsidRDefault="00D56886">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w:t>
      </w:r>
      <w:r>
        <w:rPr>
          <w:rFonts w:ascii="Palatino Linotype" w:eastAsia="Palatino Linotype" w:hAnsi="Palatino Linotype" w:cs="Palatino Linotype"/>
        </w:rPr>
        <w:lastRenderedPageBreak/>
        <w:t>versión pública que emita el servidor público habilitado de cada Sujeto Obligado; como así se establece en la Ley de Transparencia y Acceso a la Información Pública del Estado de México y Municipios.</w:t>
      </w:r>
    </w:p>
    <w:p w:rsidR="002B1905" w:rsidRDefault="002B1905">
      <w:pPr>
        <w:spacing w:line="360" w:lineRule="auto"/>
        <w:ind w:right="49"/>
        <w:jc w:val="both"/>
        <w:rPr>
          <w:rFonts w:ascii="Palatino Linotype" w:eastAsia="Palatino Linotype" w:hAnsi="Palatino Linotype" w:cs="Palatino Linotype"/>
        </w:rPr>
      </w:pPr>
    </w:p>
    <w:p w:rsidR="002B1905" w:rsidRDefault="00D56886">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conviene mencionar que la Ley de Transparencia vigente en el Estado de México refiere: </w:t>
      </w: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Los sujetos obligados deberán documentar todo acto que derive del ejercicio de sus facultades, competencias o funciones, considerando desde su origen la eventual publicidad</w:t>
      </w:r>
      <w:r>
        <w:rPr>
          <w:rFonts w:ascii="Palatino Linotype" w:eastAsia="Palatino Linotype" w:hAnsi="Palatino Linotype" w:cs="Palatino Linotype"/>
          <w:i/>
          <w:sz w:val="22"/>
          <w:szCs w:val="22"/>
        </w:rPr>
        <w:t xml:space="preserve"> y reutilización de la información que generen.</w:t>
      </w:r>
    </w:p>
    <w:p w:rsidR="002B1905" w:rsidRDefault="002B1905">
      <w:pPr>
        <w:ind w:left="851" w:right="851"/>
        <w:jc w:val="both"/>
        <w:rPr>
          <w:rFonts w:ascii="Palatino Linotype" w:eastAsia="Palatino Linotype" w:hAnsi="Palatino Linotype" w:cs="Palatino Linotype"/>
          <w:b/>
          <w:i/>
          <w:sz w:val="22"/>
          <w:szCs w:val="22"/>
        </w:rPr>
      </w:pP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19. </w:t>
      </w:r>
      <w:r>
        <w:rPr>
          <w:rFonts w:ascii="Palatino Linotype" w:eastAsia="Palatino Linotype" w:hAnsi="Palatino Linotype" w:cs="Palatino Linotype"/>
          <w:b/>
          <w:i/>
          <w:sz w:val="22"/>
          <w:szCs w:val="22"/>
          <w:u w:val="single"/>
        </w:rPr>
        <w:t>Se presume que la información debe existir si se refiere a las facultades, competencias y funciones que los ordenamientos jurídicos aplicables otorgan a los sujetos obligados</w:t>
      </w:r>
      <w:r>
        <w:rPr>
          <w:rFonts w:ascii="Palatino Linotype" w:eastAsia="Palatino Linotype" w:hAnsi="Palatino Linotype" w:cs="Palatino Linotype"/>
          <w:i/>
          <w:sz w:val="22"/>
          <w:szCs w:val="22"/>
        </w:rPr>
        <w:t>.</w:t>
      </w:r>
    </w:p>
    <w:p w:rsidR="002B1905" w:rsidRDefault="002B1905">
      <w:pPr>
        <w:ind w:left="851" w:right="851"/>
        <w:jc w:val="both"/>
        <w:rPr>
          <w:rFonts w:ascii="Palatino Linotype" w:eastAsia="Palatino Linotype" w:hAnsi="Palatino Linotype" w:cs="Palatino Linotype"/>
          <w:i/>
          <w:sz w:val="22"/>
          <w:szCs w:val="22"/>
        </w:rPr>
      </w:pP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en que ciertas facultades, competencias o funciones no se hayan ejercido, se debe motivar la respuesta en función de las causas que motiven tal circunstancia. </w:t>
      </w:r>
    </w:p>
    <w:p w:rsidR="002B1905" w:rsidRDefault="002B1905">
      <w:pPr>
        <w:ind w:left="851" w:right="851"/>
        <w:jc w:val="both"/>
        <w:rPr>
          <w:rFonts w:ascii="Palatino Linotype" w:eastAsia="Palatino Linotype" w:hAnsi="Palatino Linotype" w:cs="Palatino Linotype"/>
          <w:i/>
          <w:sz w:val="22"/>
          <w:szCs w:val="22"/>
        </w:rPr>
      </w:pP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2B1905" w:rsidRDefault="002B1905">
      <w:pPr>
        <w:ind w:left="851" w:right="851"/>
        <w:jc w:val="both"/>
        <w:rPr>
          <w:rFonts w:ascii="Palatino Linotype" w:eastAsia="Palatino Linotype" w:hAnsi="Palatino Linotype" w:cs="Palatino Linotype"/>
          <w:i/>
          <w:sz w:val="22"/>
          <w:szCs w:val="22"/>
        </w:rPr>
      </w:pPr>
    </w:p>
    <w:p w:rsidR="002B1905" w:rsidRDefault="00D56886">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Énfasis añadido.</w:t>
      </w:r>
    </w:p>
    <w:p w:rsidR="002B1905" w:rsidRDefault="002B1905">
      <w:pPr>
        <w:spacing w:line="360" w:lineRule="auto"/>
        <w:jc w:val="both"/>
        <w:rPr>
          <w:rFonts w:ascii="Palatino Linotype" w:eastAsia="Palatino Linotype" w:hAnsi="Palatino Linotype" w:cs="Palatino Linotype"/>
        </w:rPr>
      </w:pPr>
    </w:p>
    <w:p w:rsidR="002B1905" w:rsidRDefault="00D56886">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los dispositivos legales en comento, se aprecia que todo acto de autoridad en el ejercicio de sus funciones y atribuciones debe estar documentado, por lo que para dar atención a una solicitud de información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entregar el soporte documental en donde conste la información requerida, debiendo contemplar que no se trate de información reservada o confidencial, por lo que debe cuidar dicha información a través del acuerdo clasificatorio del </w:t>
      </w:r>
      <w:r>
        <w:rPr>
          <w:rFonts w:ascii="Palatino Linotype" w:eastAsia="Palatino Linotype" w:hAnsi="Palatino Linotype" w:cs="Palatino Linotype"/>
        </w:rPr>
        <w:lastRenderedPageBreak/>
        <w:t>comité de transparencia y la versión pública que emita cada Sujeto Obligado; como así se establece en la Ley de Transparencia y Acceso a la Información Pública del Estado de México y Municipios,</w:t>
      </w:r>
    </w:p>
    <w:p w:rsidR="002B1905" w:rsidRDefault="002B1905">
      <w:pPr>
        <w:spacing w:line="360" w:lineRule="auto"/>
        <w:jc w:val="both"/>
        <w:rPr>
          <w:rFonts w:ascii="Palatino Linotype" w:eastAsia="Palatino Linotype" w:hAnsi="Palatino Linotype" w:cs="Palatino Linotype"/>
        </w:rPr>
      </w:pPr>
    </w:p>
    <w:p w:rsidR="002B1905" w:rsidRDefault="00D56886">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2B1905" w:rsidRDefault="002B1905">
      <w:pPr>
        <w:ind w:left="851" w:right="899"/>
        <w:jc w:val="both"/>
        <w:rPr>
          <w:rFonts w:ascii="Palatino Linotype" w:eastAsia="Palatino Linotype" w:hAnsi="Palatino Linotype" w:cs="Palatino Linotype"/>
          <w:i/>
          <w:sz w:val="22"/>
          <w:szCs w:val="22"/>
        </w:rPr>
      </w:pP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ind w:left="851"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XI. Documento:</w:t>
      </w:r>
      <w:r>
        <w:rPr>
          <w:rFonts w:ascii="Palatino Linotype" w:eastAsia="Palatino Linotype" w:hAnsi="Palatino Linotype" w:cs="Palatino Linotype"/>
          <w:i/>
          <w:color w:val="000000"/>
          <w:sz w:val="22"/>
          <w:szCs w:val="22"/>
        </w:rPr>
        <w:t xml:space="preserve"> Los expedientes, reportes, estudios, actas</w:t>
      </w: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2B1905" w:rsidRDefault="002B1905">
      <w:pPr>
        <w:ind w:left="851" w:right="899"/>
        <w:jc w:val="both"/>
        <w:rPr>
          <w:rFonts w:ascii="Palatino Linotype" w:eastAsia="Palatino Linotype" w:hAnsi="Palatino Linotype" w:cs="Palatino Linotype"/>
          <w:sz w:val="22"/>
          <w:szCs w:val="22"/>
        </w:rPr>
      </w:pPr>
    </w:p>
    <w:p w:rsidR="002B1905" w:rsidRDefault="00D56886">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w:t>
      </w:r>
      <w:r>
        <w:rPr>
          <w:rFonts w:ascii="Palatino Linotype" w:eastAsia="Palatino Linotype" w:hAnsi="Palatino Linotype" w:cs="Palatino Linotype"/>
        </w:rPr>
        <w:lastRenderedPageBreak/>
        <w:t>del Gobierno”, el diecinueve de octubre de dos mil once, cuyo rubro y texto refieren lo siguiente:</w:t>
      </w:r>
    </w:p>
    <w:p w:rsidR="002B1905" w:rsidRDefault="002B1905">
      <w:pPr>
        <w:ind w:left="851" w:right="899"/>
        <w:jc w:val="both"/>
        <w:rPr>
          <w:rFonts w:ascii="Palatino Linotype" w:eastAsia="Palatino Linotype" w:hAnsi="Palatino Linotype" w:cs="Palatino Linotype"/>
        </w:rPr>
      </w:pPr>
    </w:p>
    <w:p w:rsidR="002B1905" w:rsidRDefault="00D56886">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consecuencia el acceso a la información se refiere a que se cumplan cualquiera de los siguientes tres supuestos:</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 Que se trate de información registrada en cualquier soporte documental, que en ejercicio de las atribuciones conferidas, sea administrada por los Sujetos Obligados, y</w:t>
      </w:r>
    </w:p>
    <w:p w:rsidR="002B1905" w:rsidRDefault="00D56886">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 Que se trate de información registrada en cualquier soporte documental, que en ejercicio de las atribuciones conferidas, se encuentre en posesión de los Sujetos Obligados.” </w:t>
      </w:r>
    </w:p>
    <w:p w:rsidR="002B1905" w:rsidRDefault="00D56886">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xml:space="preserve">, así como de interés público, es </w:t>
      </w:r>
      <w:r>
        <w:rPr>
          <w:rFonts w:ascii="Palatino Linotype" w:eastAsia="Palatino Linotype" w:hAnsi="Palatino Linotype" w:cs="Palatino Linotype"/>
        </w:rPr>
        <w:lastRenderedPageBreak/>
        <w:t>decir, aquella que resulta relevante o beneficiosa para la sociedad y no simplemente de 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como pudiera tratarse de aquella relacionada con las obligaciones de trasparencia señaladas en los artículos 92 y 100 de la Ley de la Materia.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en el asunto que nos ocupa respecto de las evidencias fotográficas,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en respuesta, el archivo digital </w:t>
      </w:r>
      <w:r>
        <w:rPr>
          <w:rFonts w:ascii="Palatino Linotype" w:eastAsia="Palatino Linotype" w:hAnsi="Palatino Linotype" w:cs="Palatino Linotype"/>
          <w:b/>
          <w:i/>
        </w:rPr>
        <w:t xml:space="preserve">“rESPUESTA 00327_2022.pdf”, </w:t>
      </w:r>
      <w:r>
        <w:rPr>
          <w:rFonts w:ascii="Palatino Linotype" w:eastAsia="Palatino Linotype" w:hAnsi="Palatino Linotype" w:cs="Palatino Linotype"/>
        </w:rPr>
        <w:t xml:space="preserve">tuvo a bien manifestar lo </w:t>
      </w:r>
      <w:r>
        <w:rPr>
          <w:rFonts w:ascii="Palatino Linotype" w:eastAsia="Palatino Linotype" w:hAnsi="Palatino Linotype" w:cs="Palatino Linotype"/>
          <w:color w:val="000000"/>
        </w:rPr>
        <w:t>siguiente:</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noProof/>
          <w:color w:val="000000"/>
          <w:lang w:val="es-MX"/>
        </w:rPr>
        <w:drawing>
          <wp:inline distT="0" distB="0" distL="0" distR="0">
            <wp:extent cx="5313746" cy="1507369"/>
            <wp:effectExtent l="0" t="0" r="0" b="0"/>
            <wp:docPr id="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313746" cy="1507369"/>
                    </a:xfrm>
                    <a:prstGeom prst="rect">
                      <a:avLst/>
                    </a:prstGeom>
                    <a:ln/>
                  </pic:spPr>
                </pic:pic>
              </a:graphicData>
            </a:graphic>
          </wp:inline>
        </w:drawing>
      </w:r>
      <w:r>
        <w:rPr>
          <w:noProof/>
          <w:lang w:val="es-MX"/>
        </w:rPr>
        <w:drawing>
          <wp:anchor distT="0" distB="0" distL="114300" distR="114300" simplePos="0" relativeHeight="251659264" behindDoc="0" locked="0" layoutInCell="1" hidden="0" allowOverlap="1">
            <wp:simplePos x="0" y="0"/>
            <wp:positionH relativeFrom="column">
              <wp:posOffset>322897</wp:posOffset>
            </wp:positionH>
            <wp:positionV relativeFrom="paragraph">
              <wp:posOffset>1682115</wp:posOffset>
            </wp:positionV>
            <wp:extent cx="4754880" cy="1695450"/>
            <wp:effectExtent l="0" t="0" r="0" b="0"/>
            <wp:wrapTopAndBottom distT="0" distB="0"/>
            <wp:docPr id="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4754880" cy="1695450"/>
                    </a:xfrm>
                    <a:prstGeom prst="rect">
                      <a:avLst/>
                    </a:prstGeom>
                    <a:ln/>
                  </pic:spPr>
                </pic:pic>
              </a:graphicData>
            </a:graphic>
          </wp:anchor>
        </w:drawing>
      </w:r>
    </w:p>
    <w:p w:rsidR="002B1905" w:rsidRDefault="00D56886">
      <w:pPr>
        <w:spacing w:before="240" w:after="240" w:line="36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lang w:val="es-MX"/>
        </w:rPr>
        <w:lastRenderedPageBreak/>
        <w:drawing>
          <wp:inline distT="0" distB="0" distL="0" distR="0">
            <wp:extent cx="4335132" cy="4450380"/>
            <wp:effectExtent l="0" t="0" r="0" b="0"/>
            <wp:docPr id="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4335132" cy="4450380"/>
                    </a:xfrm>
                    <a:prstGeom prst="rect">
                      <a:avLst/>
                    </a:prstGeom>
                    <a:ln/>
                  </pic:spPr>
                </pic:pic>
              </a:graphicData>
            </a:graphic>
          </wp:inline>
        </w:drawing>
      </w:r>
    </w:p>
    <w:p w:rsidR="002B1905" w:rsidRDefault="00D56886">
      <w:pPr>
        <w:spacing w:before="240" w:after="240" w:line="36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lang w:val="es-MX"/>
        </w:rPr>
        <w:lastRenderedPageBreak/>
        <w:drawing>
          <wp:inline distT="0" distB="0" distL="0" distR="0">
            <wp:extent cx="4676775" cy="5648325"/>
            <wp:effectExtent l="0" t="0" r="0" b="0"/>
            <wp:docPr id="8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4676775" cy="5648325"/>
                    </a:xfrm>
                    <a:prstGeom prst="rect">
                      <a:avLst/>
                    </a:prstGeom>
                    <a:ln/>
                  </pic:spPr>
                </pic:pic>
              </a:graphicData>
            </a:graphic>
          </wp:inline>
        </w:drawing>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Expuesto lo anterior, resulta pertinente traer a colación el siguiente cuadro de análisis para efecto de determinar cuáles son las evidencias fotográficas faltantes y así estar en posibilidades de ordenar la entrega de las mismas en los puntos resolutivos de esta determinación. </w:t>
      </w:r>
    </w:p>
    <w:tbl>
      <w:tblPr>
        <w:tblStyle w:val="a"/>
        <w:tblW w:w="84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7"/>
        <w:gridCol w:w="4248"/>
      </w:tblGrid>
      <w:tr w:rsidR="002B1905">
        <w:tc>
          <w:tcPr>
            <w:tcW w:w="4247" w:type="dxa"/>
            <w:shd w:val="clear" w:color="auto" w:fill="76923C"/>
          </w:tcPr>
          <w:p w:rsidR="002B1905" w:rsidRDefault="00D56886">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lastRenderedPageBreak/>
              <w:t>Sesión celebrada del Comité o Comisión</w:t>
            </w:r>
          </w:p>
        </w:tc>
        <w:tc>
          <w:tcPr>
            <w:tcW w:w="4248" w:type="dxa"/>
            <w:shd w:val="clear" w:color="auto" w:fill="76923C"/>
          </w:tcPr>
          <w:p w:rsidR="002B1905" w:rsidRDefault="00D56886">
            <w:pPr>
              <w:spacing w:before="240" w:after="240" w:line="360"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Evidencia fotográfica  (Si/No)</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18"/>
                <w:szCs w:val="18"/>
              </w:rPr>
              <w:t>Sesión de Instalación de la Comisión de Reglamentación Municipal</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Sí</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En el archivo </w:t>
            </w:r>
            <w:r>
              <w:rPr>
                <w:rFonts w:ascii="Palatino Linotype" w:eastAsia="Palatino Linotype" w:hAnsi="Palatino Linotype" w:cs="Palatino Linotype"/>
                <w:b/>
                <w:i/>
                <w:color w:val="000000"/>
                <w:sz w:val="20"/>
                <w:szCs w:val="20"/>
              </w:rPr>
              <w:t>“EVIDENCIA COMISIONES.docx”</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Instalación y Primera Sesión Ordinaria del Comité de Adquisiciones y Servicios. </w:t>
            </w:r>
          </w:p>
        </w:tc>
        <w:tc>
          <w:tcPr>
            <w:tcW w:w="4248" w:type="dxa"/>
            <w:vMerge w:val="restart"/>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w:t>
            </w:r>
          </w:p>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En el archivo </w:t>
            </w:r>
            <w:r>
              <w:rPr>
                <w:rFonts w:ascii="Palatino Linotype" w:eastAsia="Palatino Linotype" w:hAnsi="Palatino Linotype" w:cs="Palatino Linotype"/>
                <w:b/>
                <w:i/>
                <w:color w:val="000000"/>
                <w:sz w:val="20"/>
                <w:szCs w:val="20"/>
              </w:rPr>
              <w:t xml:space="preserve">“rEspuesta 00327_2022.pdf”, </w:t>
            </w:r>
            <w:r>
              <w:rPr>
                <w:rFonts w:ascii="Palatino Linotype" w:eastAsia="Palatino Linotype" w:hAnsi="Palatino Linotype" w:cs="Palatino Linotype"/>
                <w:color w:val="000000"/>
                <w:sz w:val="20"/>
                <w:szCs w:val="20"/>
              </w:rPr>
              <w:t>manifiesta que remiten las actas de las sesiones, que son los documentos con los que cuenta la Dirección General de Administración, por conducto de la Dirección de Recursos Materiales.</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Instalación y Primera Sesión Ordinaria del Comité de Arrendamientos, Adquisiciones de Inmuebles y Enajenaciones del H. Ayuntamiento de Toluca.</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Instalación de la Comisión de Atención al Adulto Mayor</w:t>
            </w:r>
          </w:p>
        </w:tc>
        <w:tc>
          <w:tcPr>
            <w:tcW w:w="4248" w:type="dxa"/>
            <w:vMerge w:val="restart"/>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Sí</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En el archivo digital </w:t>
            </w:r>
            <w:r>
              <w:rPr>
                <w:rFonts w:ascii="Palatino Linotype" w:eastAsia="Palatino Linotype" w:hAnsi="Palatino Linotype" w:cs="Palatino Linotype"/>
                <w:b/>
                <w:i/>
                <w:color w:val="000000"/>
                <w:sz w:val="20"/>
                <w:szCs w:val="20"/>
              </w:rPr>
              <w:t>“EVIDENCIA FOTOGRAFICA ANEXO.pdf”</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Sesión de Instalación de la Comisión Para el Seguimiento a la Implementación de la Agenda 2030 en Toluca.</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20"/>
                <w:szCs w:val="2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Asuntos Internacionales y Atención al Migrante.</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w:t>
            </w:r>
          </w:p>
          <w:p w:rsidR="002B1905" w:rsidRDefault="00D56886">
            <w:pPr>
              <w:spacing w:before="240" w:after="240" w:line="36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Únicamente enviaron el acta de la sesión de instalación.</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Cultura y Educación.</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w:t>
            </w:r>
          </w:p>
          <w:p w:rsidR="002B1905" w:rsidRDefault="00D56886">
            <w:pPr>
              <w:spacing w:before="240" w:after="240" w:line="360" w:lineRule="auto"/>
              <w:rPr>
                <w:rFonts w:ascii="Palatino Linotype" w:eastAsia="Palatino Linotype" w:hAnsi="Palatino Linotype" w:cs="Palatino Linotype"/>
                <w:b/>
                <w:color w:val="000000"/>
                <w:sz w:val="20"/>
                <w:szCs w:val="20"/>
              </w:rPr>
            </w:pPr>
            <w:r>
              <w:rPr>
                <w:rFonts w:ascii="Palatino Linotype" w:eastAsia="Palatino Linotype" w:hAnsi="Palatino Linotype" w:cs="Palatino Linotype"/>
                <w:color w:val="000000"/>
                <w:sz w:val="20"/>
                <w:szCs w:val="20"/>
              </w:rPr>
              <w:lastRenderedPageBreak/>
              <w:t>Únicamente enviaron el acta de la sesión de instalación.</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lastRenderedPageBreak/>
              <w:t>Sesión de Instalación de la Comisión de Ingresos (Hacienda)</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Únicamente enviaron el acta de la sesión de instalación.</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Transparencia y Protección de Datos Personales.</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Sí</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 envió el archivo electrónico denominado</w:t>
            </w:r>
            <w:r>
              <w:t xml:space="preserve"> </w:t>
            </w:r>
            <w:r>
              <w:rPr>
                <w:b/>
                <w:i/>
              </w:rPr>
              <w:t>“</w:t>
            </w:r>
            <w:r>
              <w:rPr>
                <w:rFonts w:ascii="Palatino Linotype" w:eastAsia="Palatino Linotype" w:hAnsi="Palatino Linotype" w:cs="Palatino Linotype"/>
                <w:b/>
                <w:i/>
                <w:color w:val="000000"/>
                <w:sz w:val="20"/>
                <w:szCs w:val="20"/>
              </w:rPr>
              <w:t>evidenciafotografica_transparencia.pdf”</w:t>
            </w:r>
            <w:r>
              <w:rPr>
                <w:rFonts w:ascii="Palatino Linotype" w:eastAsia="Palatino Linotype" w:hAnsi="Palatino Linotype" w:cs="Palatino Linotype"/>
                <w:color w:val="000000"/>
                <w:sz w:val="20"/>
                <w:szCs w:val="20"/>
              </w:rPr>
              <w:t xml:space="preserve"> </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Movilidad</w:t>
            </w:r>
          </w:p>
        </w:tc>
        <w:tc>
          <w:tcPr>
            <w:tcW w:w="4248" w:type="dxa"/>
            <w:vMerge w:val="restart"/>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Sí</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Envió el archivo </w:t>
            </w:r>
            <w:r>
              <w:rPr>
                <w:rFonts w:ascii="Palatino Linotype" w:eastAsia="Palatino Linotype" w:hAnsi="Palatino Linotype" w:cs="Palatino Linotype"/>
                <w:b/>
                <w:i/>
                <w:color w:val="000000"/>
                <w:sz w:val="20"/>
                <w:szCs w:val="20"/>
              </w:rPr>
              <w:t>“Evidencia Fotográfica Instalación de Comisiones.pdf”</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Infraestructura e Inversión Pública</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Servicios Públicos</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Sesión de Instalación de Prevención y Atención de Conflictos Laborales </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Sesión de Instalación de la Comisión de Protección e Inclusión a personas con discapacidad </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Únicamente enviaron el acta de la sesión de instalación.</w:t>
            </w:r>
          </w:p>
        </w:tc>
      </w:tr>
      <w:tr w:rsidR="002B1905">
        <w:tc>
          <w:tcPr>
            <w:tcW w:w="4247" w:type="dxa"/>
          </w:tcPr>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lastRenderedPageBreak/>
              <w:t xml:space="preserve">Sesión de Instalación de Atención a la Violencia en Contra de las Mujeres. </w:t>
            </w:r>
          </w:p>
        </w:tc>
        <w:tc>
          <w:tcPr>
            <w:tcW w:w="4248" w:type="dxa"/>
            <w:vMerge w:val="restart"/>
          </w:tcPr>
          <w:p w:rsidR="002B1905" w:rsidRDefault="00D56886">
            <w:pPr>
              <w:spacing w:before="240" w:after="240" w:line="360" w:lineRule="auto"/>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Sí</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 xml:space="preserve">Se localiza en el archivo </w:t>
            </w:r>
            <w:r>
              <w:rPr>
                <w:rFonts w:ascii="Palatino Linotype" w:eastAsia="Palatino Linotype" w:hAnsi="Palatino Linotype" w:cs="Palatino Linotype"/>
                <w:b/>
                <w:i/>
                <w:color w:val="000000"/>
                <w:sz w:val="20"/>
                <w:szCs w:val="20"/>
              </w:rPr>
              <w:t>“SAIMEX 00327 ANEXO.pdf”</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la Juventud, Deporte y Recreación.</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Sesión de Instalación de la Comisión de Transversalidad de Género (Equidad de Género)</w:t>
            </w:r>
          </w:p>
        </w:tc>
        <w:tc>
          <w:tcPr>
            <w:tcW w:w="4248" w:type="dxa"/>
            <w:vMerge/>
          </w:tcPr>
          <w:p w:rsidR="002B1905" w:rsidRDefault="002B1905">
            <w:pPr>
              <w:widowControl w:val="0"/>
              <w:pBdr>
                <w:top w:val="nil"/>
                <w:left w:val="nil"/>
                <w:bottom w:val="nil"/>
                <w:right w:val="nil"/>
                <w:between w:val="nil"/>
              </w:pBdr>
              <w:spacing w:line="276" w:lineRule="auto"/>
              <w:rPr>
                <w:rFonts w:ascii="Palatino Linotype" w:eastAsia="Palatino Linotype" w:hAnsi="Palatino Linotype" w:cs="Palatino Linotype"/>
                <w:color w:val="000000"/>
              </w:rPr>
            </w:pP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Primera, Segunda y Tercera Sesión Ordinarias del Comité de Transparencia</w:t>
            </w:r>
          </w:p>
        </w:tc>
        <w:tc>
          <w:tcPr>
            <w:tcW w:w="4248"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0"/>
                <w:szCs w:val="20"/>
              </w:rPr>
              <w:t>En respuesta, la Titular de la Unidad de Transparencia manifestó que relativo a las evidencias fotográficas, dicha Unidad no se encuentra obligada a generarlas, por lo que remiten únicamente las actas generadas por las sesiones ordinarias.</w:t>
            </w:r>
          </w:p>
        </w:tc>
      </w:tr>
      <w:tr w:rsidR="002B1905">
        <w:tc>
          <w:tcPr>
            <w:tcW w:w="4247" w:type="dxa"/>
          </w:tcPr>
          <w:p w:rsidR="002B1905" w:rsidRDefault="00D56886">
            <w:pPr>
              <w:spacing w:before="240" w:after="240"/>
              <w:jc w:val="both"/>
              <w:rPr>
                <w:rFonts w:ascii="Palatino Linotype" w:eastAsia="Palatino Linotype" w:hAnsi="Palatino Linotype" w:cs="Palatino Linotype"/>
                <w:color w:val="000000"/>
              </w:rPr>
            </w:pPr>
            <w:r>
              <w:rPr>
                <w:rFonts w:ascii="Palatino Linotype" w:eastAsia="Palatino Linotype" w:hAnsi="Palatino Linotype" w:cs="Palatino Linotype"/>
                <w:sz w:val="20"/>
                <w:szCs w:val="20"/>
              </w:rPr>
              <w:t>Evidencias fotográficas de la instalación de las Comisiones Edilicias de Gobernación, Planeación para el Desarrollo así como de Seguridad Pública, Tránsito y Protección Civil.</w:t>
            </w:r>
          </w:p>
        </w:tc>
        <w:tc>
          <w:tcPr>
            <w:tcW w:w="4248" w:type="dxa"/>
          </w:tcPr>
          <w:p w:rsidR="002B1905" w:rsidRDefault="00D56886">
            <w:pPr>
              <w:spacing w:before="240" w:after="240" w:line="36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sz w:val="20"/>
                <w:szCs w:val="20"/>
              </w:rPr>
              <w:t>No</w:t>
            </w:r>
          </w:p>
        </w:tc>
      </w:tr>
    </w:tbl>
    <w:p w:rsidR="002B1905" w:rsidRDefault="00D56886">
      <w:pPr>
        <w:spacing w:before="240" w:after="240"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color w:val="222222"/>
        </w:rPr>
        <w:t xml:space="preserve">Del análisis vertido con antelación, se tiene que las regidurías, sindicatura y la Titular de la Unidad de Transparencia, adjuntaron en su respuesta, las actas de las sesiones de Comités y Comisiones edilicias celebradas en el mes de enero de la presente anualidad que obran en sus archivos, sin embargo, por cuanto hace a las evidencias fotográficas, conviene precisar que las regidurías remitieron las fotografías con las que cuentan, sin embargo, debemos recordar que la Unidad de Transparencia y diversas unidades administrativas fueron omisas en remitir las evidencias fotográficas, por lo que con el propósito de determinar si las unidades administrativas se encuentran constreñidos a generar esta información, </w:t>
      </w:r>
      <w:r>
        <w:rPr>
          <w:rFonts w:ascii="Palatino Linotype" w:eastAsia="Palatino Linotype" w:hAnsi="Palatino Linotype" w:cs="Palatino Linotype"/>
          <w:color w:val="222222"/>
        </w:rPr>
        <w:lastRenderedPageBreak/>
        <w:t xml:space="preserve">este Instituto procedió a la revisión de la normatividad vigente en la demarcación municipal, </w:t>
      </w:r>
      <w:r>
        <w:rPr>
          <w:rFonts w:ascii="Palatino Linotype" w:eastAsia="Palatino Linotype" w:hAnsi="Palatino Linotype" w:cs="Palatino Linotype"/>
          <w:b/>
          <w:color w:val="222222"/>
        </w:rPr>
        <w:t>obteniendo así que no se encuentran constreñidos a generar este tipo de evidencias fotográficas, únicamente las actas derivado de las sesiones</w:t>
      </w:r>
      <w:r>
        <w:rPr>
          <w:rFonts w:ascii="Palatino Linotype" w:eastAsia="Palatino Linotype" w:hAnsi="Palatino Linotype" w:cs="Palatino Linotype"/>
          <w:color w:val="222222"/>
        </w:rPr>
        <w:t xml:space="preserve">, </w:t>
      </w:r>
      <w:r>
        <w:rPr>
          <w:rFonts w:ascii="Palatino Linotype" w:eastAsia="Palatino Linotype" w:hAnsi="Palatino Linotype" w:cs="Palatino Linotype"/>
          <w:b/>
          <w:color w:val="222222"/>
        </w:rPr>
        <w:t>no obstante, debemos recordar que en el presente asunto, el Coordinador General de Comunicación Social</w:t>
      </w:r>
      <w:r>
        <w:rPr>
          <w:rFonts w:ascii="Palatino Linotype" w:eastAsia="Palatino Linotype" w:hAnsi="Palatino Linotype" w:cs="Palatino Linotype"/>
          <w:color w:val="222222"/>
        </w:rPr>
        <w:t xml:space="preserve">, </w:t>
      </w:r>
      <w:r>
        <w:rPr>
          <w:rFonts w:ascii="Palatino Linotype" w:eastAsia="Palatino Linotype" w:hAnsi="Palatino Linotype" w:cs="Palatino Linotype"/>
          <w:b/>
          <w:color w:val="222222"/>
        </w:rPr>
        <w:t>asumió la facultad para generar, administrar o poseer la información solicitada</w:t>
      </w:r>
      <w:r>
        <w:rPr>
          <w:rFonts w:ascii="Palatino Linotype" w:eastAsia="Palatino Linotype" w:hAnsi="Palatino Linotype" w:cs="Palatino Linotype"/>
          <w:color w:val="222222"/>
        </w:rPr>
        <w:t xml:space="preserve">, dado que el soporte documental </w:t>
      </w:r>
      <w:r>
        <w:rPr>
          <w:rFonts w:ascii="Palatino Linotype" w:eastAsia="Palatino Linotype" w:hAnsi="Palatino Linotype" w:cs="Palatino Linotype"/>
          <w:b/>
          <w:i/>
          <w:color w:val="222222"/>
        </w:rPr>
        <w:t xml:space="preserve">“rESPUESTA 00327_2022.pdf”, </w:t>
      </w:r>
      <w:r>
        <w:rPr>
          <w:rFonts w:ascii="Palatino Linotype" w:eastAsia="Palatino Linotype" w:hAnsi="Palatino Linotype" w:cs="Palatino Linotype"/>
          <w:color w:val="222222"/>
        </w:rPr>
        <w:t xml:space="preserve">en el que manifestó lo siguiente: </w:t>
      </w:r>
    </w:p>
    <w:p w:rsidR="002B1905" w:rsidRDefault="00D56886">
      <w:pPr>
        <w:spacing w:before="240" w:after="240"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noProof/>
          <w:color w:val="000000"/>
          <w:lang w:val="es-MX"/>
        </w:rPr>
        <w:drawing>
          <wp:inline distT="0" distB="0" distL="0" distR="0">
            <wp:extent cx="5313746" cy="1507369"/>
            <wp:effectExtent l="0" t="0" r="0" b="0"/>
            <wp:docPr id="8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313746" cy="1507369"/>
                    </a:xfrm>
                    <a:prstGeom prst="rect">
                      <a:avLst/>
                    </a:prstGeom>
                    <a:ln/>
                  </pic:spPr>
                </pic:pic>
              </a:graphicData>
            </a:graphic>
          </wp:inline>
        </w:drawing>
      </w:r>
    </w:p>
    <w:p w:rsidR="002B1905" w:rsidRDefault="00D56886">
      <w:pPr>
        <w:spacing w:before="240" w:after="240"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color w:val="222222"/>
        </w:rPr>
        <w:t xml:space="preserve">Resulta pertinente robustecer el presente análisis con lo previsto por el Manual de Organización de la Coordinación General de Comunicación Social, el cual se cita a continuación: </w:t>
      </w:r>
    </w:p>
    <w:p w:rsidR="002B1905" w:rsidRDefault="00D56886">
      <w:pPr>
        <w:spacing w:before="240" w:after="240" w:line="276" w:lineRule="auto"/>
        <w:ind w:left="567" w:right="567"/>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 xml:space="preserve">“VII. OBJETIVO GENERAL </w:t>
      </w:r>
    </w:p>
    <w:p w:rsidR="002B1905" w:rsidRDefault="00D56886">
      <w:pPr>
        <w:spacing w:before="240" w:after="240" w:line="276" w:lineRule="auto"/>
        <w:ind w:left="567" w:right="567"/>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b/>
          <w:i/>
          <w:color w:val="222222"/>
          <w:sz w:val="22"/>
          <w:szCs w:val="22"/>
        </w:rPr>
        <w:t>Planear y coordinar la estrategia de comunicación social orientada a dar a conocer entre la población de Toluca, la información relacionada con la gestión de las dependencias de la administración pública municipal</w:t>
      </w:r>
      <w:r>
        <w:rPr>
          <w:rFonts w:ascii="Palatino Linotype" w:eastAsia="Palatino Linotype" w:hAnsi="Palatino Linotype" w:cs="Palatino Linotype"/>
          <w:i/>
          <w:color w:val="222222"/>
          <w:sz w:val="22"/>
          <w:szCs w:val="22"/>
        </w:rPr>
        <w:t>.</w:t>
      </w:r>
    </w:p>
    <w:p w:rsidR="002B1905" w:rsidRDefault="00D56886">
      <w:pPr>
        <w:spacing w:before="240" w:after="240" w:line="276" w:lineRule="auto"/>
        <w:ind w:left="567" w:right="567"/>
        <w:jc w:val="center"/>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noProof/>
          <w:color w:val="222222"/>
          <w:sz w:val="22"/>
          <w:szCs w:val="22"/>
          <w:lang w:val="es-MX"/>
        </w:rPr>
        <w:lastRenderedPageBreak/>
        <w:drawing>
          <wp:inline distT="0" distB="0" distL="0" distR="0">
            <wp:extent cx="5400675" cy="5695950"/>
            <wp:effectExtent l="0" t="0" r="0" b="0"/>
            <wp:docPr id="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5400675" cy="5695950"/>
                    </a:xfrm>
                    <a:prstGeom prst="rect">
                      <a:avLst/>
                    </a:prstGeom>
                    <a:ln/>
                  </pic:spPr>
                </pic:pic>
              </a:graphicData>
            </a:graphic>
          </wp:inline>
        </w:drawing>
      </w:r>
      <w:r>
        <w:rPr>
          <w:noProof/>
          <w:lang w:val="es-MX"/>
        </w:rPr>
        <mc:AlternateContent>
          <mc:Choice Requires="wps">
            <w:drawing>
              <wp:anchor distT="0" distB="0" distL="114300" distR="114300" simplePos="0" relativeHeight="251660288" behindDoc="0" locked="0" layoutInCell="1" hidden="0" allowOverlap="1">
                <wp:simplePos x="0" y="0"/>
                <wp:positionH relativeFrom="column">
                  <wp:posOffset>431800</wp:posOffset>
                </wp:positionH>
                <wp:positionV relativeFrom="paragraph">
                  <wp:posOffset>4114800</wp:posOffset>
                </wp:positionV>
                <wp:extent cx="5324475" cy="409575"/>
                <wp:effectExtent l="0" t="0" r="0" b="0"/>
                <wp:wrapNone/>
                <wp:docPr id="73" name="Rectángulo 73"/>
                <wp:cNvGraphicFramePr/>
                <a:graphic xmlns:a="http://schemas.openxmlformats.org/drawingml/2006/main">
                  <a:graphicData uri="http://schemas.microsoft.com/office/word/2010/wordprocessingShape">
                    <wps:wsp>
                      <wps:cNvSpPr/>
                      <wps:spPr>
                        <a:xfrm>
                          <a:off x="2698050" y="3589500"/>
                          <a:ext cx="5295900" cy="381000"/>
                        </a:xfrm>
                        <a:prstGeom prst="rect">
                          <a:avLst/>
                        </a:prstGeom>
                        <a:noFill/>
                        <a:ln w="28575" cap="flat" cmpd="sng">
                          <a:solidFill>
                            <a:srgbClr val="002060"/>
                          </a:solidFill>
                          <a:prstDash val="solid"/>
                          <a:round/>
                          <a:headEnd type="none" w="sm" len="sm"/>
                          <a:tailEnd type="none" w="sm" len="sm"/>
                        </a:ln>
                      </wps:spPr>
                      <wps:txbx>
                        <w:txbxContent>
                          <w:p w:rsidR="002B1905" w:rsidRDefault="002B1905">
                            <w:pPr>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cx="http://schemas.microsoft.com/office/drawing/2014/chartex">
            <w:pict>
              <v:rect id="_x0000_s1026" style="position:absolute;left:0;text-align:left;margin-left:34pt;margin-top:324pt;width:419.2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" filled="f" strokecolor="#002060" strokeweight="2.25pt">
                <v:stroke startarrowwidth="narrow" startarrowlength="short" endarrowwidth="narrow" endarrowlength="short" joinstyle="round"/>
                <v:textbox inset="2.53958mm,2.53958mm,2.53958mm,2.53958mm">
                  <w:txbxContent>
                    <w:p w:rsidR="002B1905" w:rsidRDefault="002B1905">
                      <w:pPr>
                        <w:textDirection w:val="btLr"/>
                      </w:pPr>
                    </w:p>
                  </w:txbxContent>
                </v:textbox>
              </v:rect>
            </w:pict>
          </mc:Fallback>
        </mc:AlternateContent>
      </w:r>
    </w:p>
    <w:p w:rsidR="002B1905" w:rsidRDefault="00D56886">
      <w:pPr>
        <w:spacing w:before="240" w:after="240" w:line="276" w:lineRule="auto"/>
        <w:ind w:left="567" w:right="567"/>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noProof/>
          <w:color w:val="222222"/>
          <w:sz w:val="22"/>
          <w:szCs w:val="22"/>
          <w:lang w:val="es-MX"/>
        </w:rPr>
        <w:lastRenderedPageBreak/>
        <w:drawing>
          <wp:inline distT="0" distB="0" distL="0" distR="0">
            <wp:extent cx="5400675" cy="5438775"/>
            <wp:effectExtent l="0" t="0" r="0" b="0"/>
            <wp:docPr id="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5400675" cy="5438775"/>
                    </a:xfrm>
                    <a:prstGeom prst="rect">
                      <a:avLst/>
                    </a:prstGeom>
                    <a:ln/>
                  </pic:spPr>
                </pic:pic>
              </a:graphicData>
            </a:graphic>
          </wp:inline>
        </w:drawing>
      </w:r>
      <w:r>
        <w:rPr>
          <w:noProof/>
          <w:lang w:val="es-MX"/>
        </w:rPr>
        <mc:AlternateContent>
          <mc:Choice Requires="wps">
            <w:drawing>
              <wp:anchor distT="0" distB="0" distL="114300" distR="114300" simplePos="0" relativeHeight="251661312" behindDoc="0" locked="0" layoutInCell="1" hidden="0" allowOverlap="1">
                <wp:simplePos x="0" y="0"/>
                <wp:positionH relativeFrom="column">
                  <wp:posOffset>482600</wp:posOffset>
                </wp:positionH>
                <wp:positionV relativeFrom="paragraph">
                  <wp:posOffset>2133600</wp:posOffset>
                </wp:positionV>
                <wp:extent cx="5181600" cy="409575"/>
                <wp:effectExtent l="0" t="0" r="0" b="0"/>
                <wp:wrapNone/>
                <wp:docPr id="72" name="Rectángulo 72"/>
                <wp:cNvGraphicFramePr/>
                <a:graphic xmlns:a="http://schemas.openxmlformats.org/drawingml/2006/main">
                  <a:graphicData uri="http://schemas.microsoft.com/office/word/2010/wordprocessingShape">
                    <wps:wsp>
                      <wps:cNvSpPr/>
                      <wps:spPr>
                        <a:xfrm>
                          <a:off x="2769488" y="3589500"/>
                          <a:ext cx="5153025" cy="381000"/>
                        </a:xfrm>
                        <a:prstGeom prst="rect">
                          <a:avLst/>
                        </a:prstGeom>
                        <a:noFill/>
                        <a:ln w="28575" cap="flat" cmpd="sng">
                          <a:solidFill>
                            <a:srgbClr val="002060"/>
                          </a:solidFill>
                          <a:prstDash val="solid"/>
                          <a:round/>
                          <a:headEnd type="none" w="sm" len="sm"/>
                          <a:tailEnd type="none" w="sm" len="sm"/>
                        </a:ln>
                      </wps:spPr>
                      <wps:txbx>
                        <w:txbxContent>
                          <w:p w:rsidR="002B1905" w:rsidRDefault="002B1905">
                            <w:pPr>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cx="http://schemas.microsoft.com/office/drawing/2014/chartex">
            <w:pict>
              <v:rect id="_x0000_s1027" style="position:absolute;left:0;text-align:left;margin-left:38pt;margin-top:168pt;width:408pt;height:32.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" filled="f" strokecolor="#002060" strokeweight="2.25pt">
                <v:stroke startarrowwidth="narrow" startarrowlength="short" endarrowwidth="narrow" endarrowlength="short" joinstyle="round"/>
                <v:textbox inset="2.53958mm,2.53958mm,2.53958mm,2.53958mm">
                  <w:txbxContent>
                    <w:p w:rsidR="002B1905" w:rsidRDefault="002B1905">
                      <w:pPr>
                        <w:textDirection w:val="btLr"/>
                      </w:pPr>
                    </w:p>
                  </w:txbxContent>
                </v:textbox>
              </v:rect>
            </w:pict>
          </mc:Fallback>
        </mc:AlternateContent>
      </w:r>
    </w:p>
    <w:p w:rsidR="002B1905" w:rsidRDefault="00D56886">
      <w:pPr>
        <w:spacing w:before="240" w:after="240"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color w:val="222222"/>
        </w:rPr>
        <w:t xml:space="preserve">Bajo esta línea de pensamiento, se tiene que la Coordinación General de Comunicación Social es la instancia encargada de la difusión de las actividades públicas realizadas por el gobierno municipal, en este caso mediante redes sociales y su página web, por lo que encuadra el supuesto de que </w:t>
      </w:r>
      <w:r>
        <w:rPr>
          <w:rFonts w:ascii="Palatino Linotype" w:eastAsia="Palatino Linotype" w:hAnsi="Palatino Linotype" w:cs="Palatino Linotype"/>
          <w:b/>
          <w:color w:val="222222"/>
        </w:rPr>
        <w:t>el Sujeto Obligado</w:t>
      </w:r>
      <w:r>
        <w:rPr>
          <w:rFonts w:ascii="Palatino Linotype" w:eastAsia="Palatino Linotype" w:hAnsi="Palatino Linotype" w:cs="Palatino Linotype"/>
          <w:color w:val="222222"/>
        </w:rPr>
        <w:t xml:space="preserve"> asumió contar con la información solicitada, acepta que la genera, posee y administra, en ejercicio de sus funciones de derecho público, motivo por el cual se actualiza el supuesto jurídico, previsto en el artículo 12 de la Ley de </w:t>
      </w:r>
      <w:r>
        <w:rPr>
          <w:rFonts w:ascii="Palatino Linotype" w:eastAsia="Palatino Linotype" w:hAnsi="Palatino Linotype" w:cs="Palatino Linotype"/>
          <w:color w:val="222222"/>
        </w:rPr>
        <w:lastRenderedPageBreak/>
        <w:t>Transparencia y Acceso a la Información Pública del Estado de México y Municipios.</w:t>
      </w:r>
    </w:p>
    <w:p w:rsidR="002B1905" w:rsidRDefault="00D56886">
      <w:pPr>
        <w:shd w:val="clear" w:color="auto" w:fill="FFFFFF"/>
        <w:spacing w:before="240" w:after="240" w:line="276" w:lineRule="auto"/>
        <w:ind w:left="851" w:right="902"/>
        <w:jc w:val="both"/>
        <w:rPr>
          <w:rFonts w:ascii="Palatino Linotype" w:eastAsia="Palatino Linotype" w:hAnsi="Palatino Linotype" w:cs="Palatino Linotype"/>
          <w:color w:val="222222"/>
        </w:rPr>
      </w:pPr>
      <w:r>
        <w:rPr>
          <w:rFonts w:ascii="Palatino Linotype" w:eastAsia="Palatino Linotype" w:hAnsi="Palatino Linotype" w:cs="Palatino Linotype"/>
          <w:i/>
          <w:color w:val="222222"/>
          <w:sz w:val="22"/>
          <w:szCs w:val="22"/>
        </w:rPr>
        <w:t>“</w:t>
      </w:r>
      <w:r>
        <w:rPr>
          <w:rFonts w:ascii="Palatino Linotype" w:eastAsia="Palatino Linotype" w:hAnsi="Palatino Linotype" w:cs="Palatino Linotype"/>
          <w:b/>
          <w:i/>
          <w:color w:val="222222"/>
          <w:sz w:val="22"/>
          <w:szCs w:val="22"/>
        </w:rPr>
        <w:t>Artículo 12.</w:t>
      </w:r>
      <w:r>
        <w:rPr>
          <w:rFonts w:ascii="Palatino Linotype" w:eastAsia="Palatino Linotype" w:hAnsi="Palatino Linotype" w:cs="Palatino Linotype"/>
          <w:i/>
          <w:color w:val="222222"/>
          <w:sz w:val="22"/>
          <w:szCs w:val="22"/>
        </w:rPr>
        <w:t> Quienes generen, recopilen, administren, manejen, procesen, archiven o conserven información pública serán responsables de la misma en los términos de las disposiciones jurídicas aplicables.</w:t>
      </w:r>
    </w:p>
    <w:p w:rsidR="002B1905" w:rsidRDefault="00D56886">
      <w:pPr>
        <w:shd w:val="clear" w:color="auto" w:fill="FFFFFF"/>
        <w:spacing w:before="240" w:after="240" w:line="276" w:lineRule="auto"/>
        <w:ind w:left="851" w:right="902"/>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Precisado lo anterior, conviene señalar, en primer lugar, que a través de la respuesta proporcionada por el Servidor Público Habilitado y Coordinador General de Comunicación Social del Ayuntamiento, se asumió la existencia de la información peticionada tan es así que proporcionó una dirección electrónica con la finalidad de que el particular realizara la consulta de la información que es de su interés, en consecuencia, se asume que cuenta con la información.</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tenor, toda vez que hubo un pronunciamiento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mediante el Servidor Público Habilitado, que es a su vez, Coordinador General de Comunicación Social del Ayuntamiento, este Instituto estima oportuno efectuar el análisis de la información proporcionada, a efecto de determinar si es suficiente para tener por colmado el derecho de acceso a la información de la </w:t>
      </w:r>
      <w:r>
        <w:rPr>
          <w:rFonts w:ascii="Palatino Linotype" w:eastAsia="Palatino Linotype" w:hAnsi="Palatino Linotype" w:cs="Palatino Linotype"/>
          <w:b/>
        </w:rPr>
        <w:t>parte Recurrente</w:t>
      </w:r>
      <w:r>
        <w:rPr>
          <w:rFonts w:ascii="Palatino Linotype" w:eastAsia="Palatino Linotype" w:hAnsi="Palatino Linotype" w:cs="Palatino Linotype"/>
        </w:rPr>
        <w:t>, y en su defecto, señalar aquellos documentos que, en el ejercicio de sus atribuciones, genera, administra o posee y que, de manera enunciativa más no limitativa, pudieran satisfacer la solicitud de información.</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tal contexto, en primer lugar, debemos traer a colación el artículo 161</w:t>
      </w:r>
      <w:r>
        <w:rPr>
          <w:rFonts w:ascii="Palatino Linotype" w:eastAsia="Palatino Linotype" w:hAnsi="Palatino Linotype" w:cs="Palatino Linotype"/>
          <w:vertAlign w:val="superscript"/>
        </w:rPr>
        <w:footnoteReference w:id="3"/>
      </w:r>
      <w:r>
        <w:rPr>
          <w:rFonts w:ascii="Palatino Linotype" w:eastAsia="Palatino Linotype" w:hAnsi="Palatino Linotype" w:cs="Palatino Linotype"/>
        </w:rPr>
        <w:t xml:space="preserve"> de la Ley de Transparencia y Acceso a la Información Pública del Estado de México y Municipios</w:t>
      </w:r>
      <w:r>
        <w:rPr>
          <w:rFonts w:ascii="Palatino Linotype" w:eastAsia="Palatino Linotype" w:hAnsi="Palatino Linotype" w:cs="Palatino Linotype"/>
          <w:i/>
        </w:rPr>
        <w:t xml:space="preserve">, </w:t>
      </w:r>
      <w:r>
        <w:rPr>
          <w:rFonts w:ascii="Palatino Linotype" w:eastAsia="Palatino Linotype" w:hAnsi="Palatino Linotype" w:cs="Palatino Linotype"/>
        </w:rPr>
        <w:t>el cual establece las características que debe tener la información desde el momento de su generación, publicación y entrega; de igual manera se contempla el procedimiento a seguir por el sujeto obligado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a) La fuente</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b) El lugar y</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c) La forma</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Asimismo, se establece que la fuente de la información deberá ser:</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a) Precisa</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b) Concreta</w:t>
      </w:r>
    </w:p>
    <w:p w:rsidR="002B1905" w:rsidRDefault="00D56886">
      <w:pPr>
        <w:spacing w:before="240" w:after="240" w:line="360" w:lineRule="auto"/>
        <w:ind w:left="284" w:right="49"/>
        <w:jc w:val="both"/>
        <w:rPr>
          <w:rFonts w:ascii="Palatino Linotype" w:eastAsia="Palatino Linotype" w:hAnsi="Palatino Linotype" w:cs="Palatino Linotype"/>
        </w:rPr>
      </w:pPr>
      <w:r>
        <w:rPr>
          <w:rFonts w:ascii="Palatino Linotype" w:eastAsia="Palatino Linotype" w:hAnsi="Palatino Linotype" w:cs="Palatino Linotype"/>
        </w:rPr>
        <w:t>c) Y no debe implicar que el solicitante realice una búsqueda en toda la información que se encuentre disponible.</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Imperativos legales que establecen el procedimiento que debe seguir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que pueda tomarse como válida su orientación sobre la forma en que puede consultar la información requerida.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contexto, este Organismo Garante procedió a consultar la liga electrónica remitida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efecto de determinar si su pronunciamiento colma el requerimiento del particular, para ello resulta conveniente traer a colación la siguiente captura de pantalla: </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extent cx="5391150" cy="4400550"/>
            <wp:effectExtent l="0" t="0" r="0" b="0"/>
            <wp:docPr id="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a:stretch>
                      <a:fillRect/>
                    </a:stretch>
                  </pic:blipFill>
                  <pic:spPr>
                    <a:xfrm>
                      <a:off x="0" y="0"/>
                      <a:ext cx="5391150" cy="4400550"/>
                    </a:xfrm>
                    <a:prstGeom prst="rect">
                      <a:avLst/>
                    </a:prstGeom>
                    <a:ln/>
                  </pic:spPr>
                </pic:pic>
              </a:graphicData>
            </a:graphic>
          </wp:inline>
        </w:drawing>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Como se advierte, de la liga electrónica proporcionada, se tiene que dirige a la página del Ayuntamiento de Toluca en la red social Facebook, por lo que no debe </w:t>
      </w:r>
      <w:r>
        <w:rPr>
          <w:rFonts w:ascii="Palatino Linotype" w:eastAsia="Palatino Linotype" w:hAnsi="Palatino Linotype" w:cs="Palatino Linotype"/>
        </w:rPr>
        <w:lastRenderedPageBreak/>
        <w:t xml:space="preserve">perderse de vista que, si bien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emite respuesta a la solicitud de información, también lo es que la información proporcionada no colma la información peticionada, ello es así, atendiendo a que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requiere le sean entregadas las evidencias fotográficas de las sesiones celebradas por las comisiones edilicias y los comités celebradas durante el mes de enero de 2022. </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en el supuesto de que las evidencias fotográficas requeridas se encontraran en esta plataforma, debe destacarse que al dar clic sobre el apartado de fotos, nos dirige a un sinfín de fotografías cargadas, toda vez que las mismas corresponden a actividades propias del Ayuntamiento y no únicamente de las sesiones de Comités y Comisiones, para ilustrar dicha circunstancia, conviene traer a colación la siguiente captura de pantalla: </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noProof/>
          <w:lang w:val="es-MX"/>
        </w:rPr>
        <w:drawing>
          <wp:inline distT="0" distB="0" distL="0" distR="0">
            <wp:extent cx="5400675" cy="2533650"/>
            <wp:effectExtent l="0" t="0" r="0" b="0"/>
            <wp:docPr id="7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0"/>
                    <a:srcRect/>
                    <a:stretch>
                      <a:fillRect/>
                    </a:stretch>
                  </pic:blipFill>
                  <pic:spPr>
                    <a:xfrm>
                      <a:off x="0" y="0"/>
                      <a:ext cx="5400675" cy="2533650"/>
                    </a:xfrm>
                    <a:prstGeom prst="rect">
                      <a:avLst/>
                    </a:prstGeom>
                    <a:ln/>
                  </pic:spPr>
                </pic:pic>
              </a:graphicData>
            </a:graphic>
          </wp:inline>
        </w:drawing>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consecuentemente, nos encontramos ante una búsqueda que el particular tendría que efectuar dentro del portal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efecto de localizar la información requerida, es por ello que no se tiene por satisfecho el </w:t>
      </w:r>
      <w:r>
        <w:rPr>
          <w:rFonts w:ascii="Palatino Linotype" w:eastAsia="Palatino Linotype" w:hAnsi="Palatino Linotype" w:cs="Palatino Linotype"/>
        </w:rPr>
        <w:lastRenderedPageBreak/>
        <w:t>derecho de acceso a la información, resultando dable ordenar haga entrega de la información.</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trasladando esta premisa al asunto que nos ocupa, se tiene que en la especie no se actualizó esta circunstancia, ello en virtud de que el plazo en que se dio respuesta tras ser turnada fue de </w:t>
      </w:r>
      <w:r>
        <w:rPr>
          <w:rFonts w:ascii="Palatino Linotype" w:eastAsia="Palatino Linotype" w:hAnsi="Palatino Linotype" w:cs="Palatino Linotype"/>
          <w:b/>
        </w:rPr>
        <w:t>quince días hábiles</w:t>
      </w:r>
      <w:r>
        <w:rPr>
          <w:rFonts w:ascii="Palatino Linotype" w:eastAsia="Palatino Linotype" w:hAnsi="Palatino Linotype" w:cs="Palatino Linotype"/>
        </w:rPr>
        <w:t>, además</w:t>
      </w:r>
      <w:r>
        <w:rPr>
          <w:rFonts w:ascii="Palatino Linotype" w:eastAsia="Palatino Linotype" w:hAnsi="Palatino Linotype" w:cs="Palatino Linotype"/>
          <w:b/>
        </w:rPr>
        <w:t xml:space="preserve"> </w:t>
      </w:r>
      <w:r>
        <w:rPr>
          <w:rFonts w:ascii="Palatino Linotype" w:eastAsia="Palatino Linotype" w:hAnsi="Palatino Linotype" w:cs="Palatino Linotype"/>
        </w:rPr>
        <w:t>implica que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parte solicitante realice una búsqueda dentro del portal. </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ese orden de ideas, se le exhorta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que en futuras ocasiones, se sirva en sujetarse a los términos y plazos legalmente establecidos, en los ordenamientos normativos que rigen su actuación. </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ese sentido, es toral señalar que el derecho de acceso a la información pública, implica que cualquier persona conozca la información contenida en los documentos que se encuentren en los archivos de los Sujetos Obligados, así que cuando la información requerida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siendo trascendental que la fuente sea precisa y concreta, por lo que no debe implicar que el solicitante realice una búsqueda en toda la información que se encuentre disponible.</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Es así que se colige que la Ley de Transparencia constriñe a los Sujetos Obligados a atender las solicitudes de información y los faculta para que en el caso de que la misma, ya se encuentre disponible a través de una determinada página de </w:t>
      </w:r>
      <w:r>
        <w:rPr>
          <w:rFonts w:ascii="Palatino Linotype" w:eastAsia="Palatino Linotype" w:hAnsi="Palatino Linotype" w:cs="Palatino Linotype"/>
        </w:rPr>
        <w:lastRenderedPageBreak/>
        <w:t xml:space="preserve">internet; a que dicho pronunciamiento se le deba hacer en los términos descritos, circunstancia que no se tiene por cumplida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atendiendo que si bien proporciona las ligas electrónicas para la consulta de la información; no señala de forma exacta el procedimiento para la consulta de la misma, implicando que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navegue en un sinfín de información.</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Es por todo lo expuesto que se concluye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no garantizó el derecho de acceso a la información del particular, toda vez que, en términos del marco normativo planteado, el Ayuntamiento genera, posee y administra las evidencias fotográficas faltantes de las sesiones celebradas por las comisiones edilicias y los comités celebradas durante el mes de enero de 2022. </w:t>
      </w:r>
    </w:p>
    <w:p w:rsidR="002B1905" w:rsidRDefault="00D56886">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Así, por lo expuesto con antelación se concluye que el Sujeto Obligado satisfizo parcialmente el derecho de acceso a la información del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por lo que, para este Pleno resulta dable </w:t>
      </w:r>
      <w:r>
        <w:rPr>
          <w:rFonts w:ascii="Palatino Linotype" w:eastAsia="Palatino Linotype" w:hAnsi="Palatino Linotype" w:cs="Palatino Linotype"/>
          <w:b/>
          <w:color w:val="000000"/>
        </w:rPr>
        <w:t>MODIFICAR</w:t>
      </w:r>
      <w:r>
        <w:rPr>
          <w:rFonts w:ascii="Palatino Linotype" w:eastAsia="Palatino Linotype" w:hAnsi="Palatino Linotype" w:cs="Palatino Linotype"/>
          <w:color w:val="000000"/>
        </w:rPr>
        <w:t xml:space="preserve"> la respuesta otorgada por el Sujeto Obligado a la solicitud de información </w:t>
      </w:r>
      <w:r>
        <w:rPr>
          <w:rFonts w:ascii="Palatino Linotype" w:eastAsia="Palatino Linotype" w:hAnsi="Palatino Linotype" w:cs="Palatino Linotype"/>
          <w:b/>
          <w:color w:val="000000"/>
        </w:rPr>
        <w:t xml:space="preserve">00327/TOLUCA/IP/2022, </w:t>
      </w:r>
      <w:r>
        <w:rPr>
          <w:rFonts w:ascii="Palatino Linotype" w:eastAsia="Palatino Linotype" w:hAnsi="Palatino Linotype" w:cs="Palatino Linotype"/>
          <w:color w:val="000000"/>
        </w:rPr>
        <w:t>materia del presente asunto, al resultar fundadas las razones o motivos de inconformidad aducidos por la parte que recurre.</w:t>
      </w:r>
    </w:p>
    <w:p w:rsidR="002B1905" w:rsidRDefault="00D56886">
      <w:pPr>
        <w:spacing w:before="240" w:after="240"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 xml:space="preserve">Debe apuntarse que para este Instituto, el derecho de acceso a la información solamente puede tenerse por satisfecho en el momento en que el particular tenga en su poder los soportes documentales con la información solicitada, por ello se determina ordenar al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 xml:space="preserve">la entrega de las evidencias fotográficas de las sesiones celebradas por las comisiones edilicias y los comités celebradas del 1 al 24 de enero de 2022, al </w:t>
      </w:r>
      <w:r>
        <w:rPr>
          <w:rFonts w:ascii="Palatino Linotype" w:eastAsia="Palatino Linotype" w:hAnsi="Palatino Linotype" w:cs="Palatino Linotype"/>
          <w:b/>
          <w:color w:val="000000"/>
        </w:rPr>
        <w:t>Recurrente.</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Quinto. Versión Pública. </w:t>
      </w:r>
      <w:r>
        <w:rPr>
          <w:rFonts w:ascii="Palatino Linotype" w:eastAsia="Palatino Linotype" w:hAnsi="Palatino Linotype" w:cs="Palatino Linotype"/>
        </w:rPr>
        <w:t>Finalmente para la entrega de los soportes documentales que deberá proporcionar el sujeto obligado para dar satisfacción de la derecho humano de acceso a la información del particular,  deberá considerar que ello no es absoluto, sino que encuentra como excepciones que la información sobre la cual se peticiona el acceso, contenga datos que deban ser clasificados en los términos que la misma Ley de la Materia señala, el Sujeto Obligado tendrá que elaborar la versión pública de los documentos que vaya entregar para dar cumplimiento a esta resolución, a fin de satisfacer el derecho de acceso a la información pública de la recurrente sin menoscabar el derecho a la protección de los datos personales de terceros.</w:t>
      </w:r>
    </w:p>
    <w:p w:rsidR="002B1905" w:rsidRDefault="00D56886">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Lo anterior, de conformidad a lo que señalan los artículos 3 fracciones IX, XX, XXI y XLV, 91, 132 fracciones II y III, y 143 fracción I de la Ley de Transparencia y Acceso a la Información Pública del Estado de México y Municipios que establecen:</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Para los efectos de la presente Ley se entenderá por:</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XLV. Versión pública:</w:t>
      </w:r>
      <w:r>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132. </w:t>
      </w:r>
      <w:r>
        <w:rPr>
          <w:rFonts w:ascii="Palatino Linotype" w:eastAsia="Palatino Linotype" w:hAnsi="Palatino Linotype" w:cs="Palatino Linotype"/>
          <w:i/>
          <w:sz w:val="22"/>
          <w:szCs w:val="22"/>
        </w:rPr>
        <w:t>La clasificación de la información se llevará a cabo en el momento en que:</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Se reciba una solicitud de acceso a la información;</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Se determine mediante resolución de autoridad competente; o</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Se generen versiones públicas para dar cumplimiento a las obligaciones de transparencia previstas en esta Ley.</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La que presenten los particulares a los sujetos obligados, de conformidad con lo dispuesto por las leyes o los tratados internacionales.</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Igualmente, los Lineamientos Generales en Materia de Clasificación y Desclasificación de la Información, así como para la elaboración de Versiones Públicas, emitidos por el Consejo Nacional del Sistema Nacional de </w:t>
      </w:r>
      <w:r>
        <w:rPr>
          <w:rFonts w:ascii="Palatino Linotype" w:eastAsia="Palatino Linotype" w:hAnsi="Palatino Linotype" w:cs="Palatino Linotype"/>
        </w:rPr>
        <w:lastRenderedPageBreak/>
        <w:t>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Entorno a lo que aquí nos interesa, los Lineamientos Quincuagésimo sexto, Quincuagésimo séptimo y Quincuagésimo octavo, establecen lo siguiente:</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Quincuagésimo sexto</w:t>
      </w:r>
      <w:r>
        <w:rPr>
          <w:rFonts w:ascii="Palatino Linotype" w:eastAsia="Palatino Linotype" w:hAnsi="Palatino Linotype" w:cs="Palatino Linotype"/>
          <w:i/>
          <w:sz w:val="22"/>
          <w:szCs w:val="22"/>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séptimo</w:t>
      </w:r>
      <w:r>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rsidR="002B1905" w:rsidRDefault="00D56886">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rsidR="002B1905" w:rsidRDefault="00D56886">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octavo</w:t>
      </w:r>
      <w:r>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relación directa con ello, los Lineamientos en estudio establecen los formatos para la clasificación parcial y total de los documentos, que atienden a lo siguiente:</w:t>
      </w:r>
    </w:p>
    <w:tbl>
      <w:tblPr>
        <w:tblStyle w:val="a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3119"/>
        <w:gridCol w:w="1129"/>
        <w:gridCol w:w="3446"/>
      </w:tblGrid>
      <w:tr w:rsidR="002B1905">
        <w:tc>
          <w:tcPr>
            <w:tcW w:w="4253" w:type="dxa"/>
            <w:gridSpan w:val="2"/>
            <w:tcBorders>
              <w:top w:val="nil"/>
              <w:left w:val="nil"/>
              <w:right w:val="nil"/>
            </w:tcBorders>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w:t>
            </w:r>
          </w:p>
        </w:tc>
        <w:tc>
          <w:tcPr>
            <w:tcW w:w="4575" w:type="dxa"/>
            <w:gridSpan w:val="2"/>
            <w:tcBorders>
              <w:top w:val="nil"/>
              <w:left w:val="nil"/>
              <w:right w:val="nil"/>
            </w:tcBorders>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Total</w:t>
            </w:r>
          </w:p>
        </w:tc>
      </w:tr>
      <w:tr w:rsidR="002B1905">
        <w:tc>
          <w:tcPr>
            <w:tcW w:w="1134" w:type="dxa"/>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119" w:type="dxa"/>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c>
          <w:tcPr>
            <w:tcW w:w="1129" w:type="dxa"/>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446" w:type="dxa"/>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r>
      <w:tr w:rsidR="002B1905">
        <w:tc>
          <w:tcPr>
            <w:tcW w:w="8828" w:type="dxa"/>
            <w:gridSpan w:val="4"/>
          </w:tcPr>
          <w:p w:rsidR="002B1905" w:rsidRDefault="00D56886">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Sello oficial o logotipo del sujeto obligado</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del cual es titular quien clasifica.</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 la cual es el titular quien clasifica.</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Información reservada</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Reservado</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RESERVADA.</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Periodo de reserva</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CONFIDENCIAL.</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lastRenderedPageBreak/>
              <w:t>Fecha de desclasificación</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 el documento.</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r>
      <w:tr w:rsidR="002B1905">
        <w:tc>
          <w:tcPr>
            <w:tcW w:w="1134"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119"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w:t>
            </w:r>
          </w:p>
        </w:tc>
      </w:tr>
      <w:tr w:rsidR="002B1905">
        <w:tc>
          <w:tcPr>
            <w:tcW w:w="1134" w:type="dxa"/>
          </w:tcPr>
          <w:p w:rsidR="002B1905" w:rsidRDefault="002B1905">
            <w:pPr>
              <w:jc w:val="both"/>
              <w:rPr>
                <w:rFonts w:ascii="Palatino Linotype" w:eastAsia="Palatino Linotype" w:hAnsi="Palatino Linotype" w:cs="Palatino Linotype"/>
                <w:b/>
                <w:sz w:val="12"/>
                <w:szCs w:val="12"/>
              </w:rPr>
            </w:pPr>
          </w:p>
        </w:tc>
        <w:tc>
          <w:tcPr>
            <w:tcW w:w="3119" w:type="dxa"/>
          </w:tcPr>
          <w:p w:rsidR="002B1905" w:rsidRDefault="002B1905">
            <w:pPr>
              <w:jc w:val="both"/>
              <w:rPr>
                <w:rFonts w:ascii="Palatino Linotype" w:eastAsia="Palatino Linotype" w:hAnsi="Palatino Linotype" w:cs="Palatino Linotype"/>
                <w:sz w:val="12"/>
                <w:szCs w:val="12"/>
              </w:rPr>
            </w:pP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Partes o secciones reservadas o confidenciales</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2B1905">
        <w:tc>
          <w:tcPr>
            <w:tcW w:w="1134" w:type="dxa"/>
          </w:tcPr>
          <w:p w:rsidR="002B1905" w:rsidRDefault="002B1905">
            <w:pPr>
              <w:jc w:val="both"/>
              <w:rPr>
                <w:rFonts w:ascii="Palatino Linotype" w:eastAsia="Palatino Linotype" w:hAnsi="Palatino Linotype" w:cs="Palatino Linotype"/>
                <w:b/>
                <w:sz w:val="12"/>
                <w:szCs w:val="12"/>
              </w:rPr>
            </w:pPr>
          </w:p>
        </w:tc>
        <w:tc>
          <w:tcPr>
            <w:tcW w:w="3119" w:type="dxa"/>
          </w:tcPr>
          <w:p w:rsidR="002B1905" w:rsidRDefault="002B1905">
            <w:pPr>
              <w:jc w:val="both"/>
              <w:rPr>
                <w:rFonts w:ascii="Palatino Linotype" w:eastAsia="Palatino Linotype" w:hAnsi="Palatino Linotype" w:cs="Palatino Linotype"/>
                <w:sz w:val="12"/>
                <w:szCs w:val="12"/>
              </w:rPr>
            </w:pPr>
          </w:p>
        </w:tc>
        <w:tc>
          <w:tcPr>
            <w:tcW w:w="1129" w:type="dxa"/>
          </w:tcPr>
          <w:p w:rsidR="002B1905" w:rsidRDefault="00D56886">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446" w:type="dxa"/>
          </w:tcPr>
          <w:p w:rsidR="002B1905" w:rsidRDefault="00D56886">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r>
    </w:tbl>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Por lo expuesto, con fundamento en el artículo 186 fracción III de la Ley de Transparencia y Acceso a la Información Pública del Estado de México y Municipios, este Órgano Garante considera procedente</w:t>
      </w:r>
      <w:r>
        <w:rPr>
          <w:rFonts w:ascii="Palatino Linotype" w:eastAsia="Palatino Linotype" w:hAnsi="Palatino Linotype" w:cs="Palatino Linotype"/>
          <w:b/>
        </w:rPr>
        <w:t xml:space="preserve"> ordenar </w:t>
      </w:r>
      <w:r>
        <w:rPr>
          <w:rFonts w:ascii="Palatino Linotype" w:eastAsia="Palatino Linotype" w:hAnsi="Palatino Linotype" w:cs="Palatino Linotype"/>
        </w:rPr>
        <w:t>la entrega de la información, en versión pública.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consecuencia, resulta procedente modificar la respuesta en términos de la fracción III del artículo 186 de la Ley de Transparencia y Acceso a la Información Pública del Estado de México y Municipios, a efectos de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entregue la información requerida.</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 artículos 5 párrafos trigésimo, trigésimo primero y trigésimo segundo, fracciones IV y V de la Constitución Política del Estado Libre y Soberano de México; 2, fracción II; 29, 36 fracciones I y II; 176, 178, 179, fracción I, 181, 185 de la Ley de Transparencia y Acceso a la Información Pública del Estado de México y Municipios, este Pleno:</w:t>
      </w:r>
    </w:p>
    <w:p w:rsidR="002B1905" w:rsidRDefault="00D56886">
      <w:pPr>
        <w:numPr>
          <w:ilvl w:val="0"/>
          <w:numId w:val="2"/>
        </w:numPr>
        <w:pBdr>
          <w:top w:val="nil"/>
          <w:left w:val="nil"/>
          <w:bottom w:val="nil"/>
          <w:right w:val="nil"/>
          <w:between w:val="nil"/>
        </w:pBdr>
        <w:spacing w:before="240" w:after="240" w:line="360" w:lineRule="auto"/>
        <w:ind w:left="426"/>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 E S U E L V E</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w:t>
      </w:r>
      <w:r>
        <w:rPr>
          <w:rFonts w:ascii="Palatino Linotype" w:eastAsia="Palatino Linotype" w:hAnsi="Palatino Linotype" w:cs="Palatino Linotype"/>
        </w:rPr>
        <w:t xml:space="preserve">. Resulta </w:t>
      </w:r>
      <w:r>
        <w:rPr>
          <w:rFonts w:ascii="Palatino Linotype" w:eastAsia="Palatino Linotype" w:hAnsi="Palatino Linotype" w:cs="Palatino Linotype"/>
          <w:b/>
        </w:rPr>
        <w:t>fundado</w:t>
      </w:r>
      <w:r>
        <w:rPr>
          <w:rFonts w:ascii="Palatino Linotype" w:eastAsia="Palatino Linotype" w:hAnsi="Palatino Linotype" w:cs="Palatino Linotype"/>
        </w:rPr>
        <w:t xml:space="preserve"> el motivo de inconformidad planteado por </w:t>
      </w:r>
      <w:r>
        <w:rPr>
          <w:rFonts w:ascii="Palatino Linotype" w:eastAsia="Palatino Linotype" w:hAnsi="Palatino Linotype" w:cs="Palatino Linotype"/>
          <w:b/>
        </w:rPr>
        <w:t>e</w:t>
      </w:r>
      <w:r w:rsidRPr="00D56886">
        <w:rPr>
          <w:rFonts w:ascii="Palatino Linotype" w:eastAsia="Palatino Linotype" w:hAnsi="Palatino Linotype" w:cs="Palatino Linotype"/>
          <w:b/>
        </w:rPr>
        <w:t>l Recurrente</w:t>
      </w:r>
      <w:r>
        <w:rPr>
          <w:rFonts w:ascii="Palatino Linotype" w:eastAsia="Palatino Linotype" w:hAnsi="Palatino Linotype" w:cs="Palatino Linotype"/>
          <w:b/>
          <w:i/>
        </w:rPr>
        <w:t xml:space="preserve"> </w:t>
      </w:r>
      <w:r>
        <w:rPr>
          <w:rFonts w:ascii="Palatino Linotype" w:eastAsia="Palatino Linotype" w:hAnsi="Palatino Linotype" w:cs="Palatino Linotype"/>
        </w:rPr>
        <w:t xml:space="preserve">en el recurso de revisión </w:t>
      </w:r>
      <w:r>
        <w:rPr>
          <w:rFonts w:ascii="Palatino Linotype" w:eastAsia="Palatino Linotype" w:hAnsi="Palatino Linotype" w:cs="Palatino Linotype"/>
          <w:b/>
        </w:rPr>
        <w:t>00904/INFOEM/IP/RR/2022</w:t>
      </w:r>
      <w:r>
        <w:rPr>
          <w:rFonts w:ascii="Palatino Linotype" w:eastAsia="Palatino Linotype" w:hAnsi="Palatino Linotype" w:cs="Palatino Linotype"/>
        </w:rPr>
        <w:t xml:space="preserve">, por lo que, en términos del </w:t>
      </w:r>
      <w:r>
        <w:rPr>
          <w:rFonts w:ascii="Palatino Linotype" w:eastAsia="Palatino Linotype" w:hAnsi="Palatino Linotype" w:cs="Palatino Linotype"/>
          <w:b/>
        </w:rPr>
        <w:t>Considerando Cuarto</w:t>
      </w:r>
      <w:r>
        <w:rPr>
          <w:rFonts w:ascii="Palatino Linotype" w:eastAsia="Palatino Linotype" w:hAnsi="Palatino Linotype" w:cs="Palatino Linotype"/>
        </w:rPr>
        <w:t xml:space="preserve"> de la presente resolución, se </w:t>
      </w:r>
      <w:r>
        <w:rPr>
          <w:rFonts w:ascii="Palatino Linotype" w:eastAsia="Palatino Linotype" w:hAnsi="Palatino Linotype" w:cs="Palatino Linotype"/>
          <w:b/>
        </w:rPr>
        <w:t>MODIFICA</w:t>
      </w:r>
      <w:r>
        <w:rPr>
          <w:rFonts w:ascii="Palatino Linotype" w:eastAsia="Palatino Linotype" w:hAnsi="Palatino Linotype" w:cs="Palatino Linotype"/>
        </w:rPr>
        <w:t xml:space="preserve"> la respuesta emitida por el </w:t>
      </w:r>
      <w:r>
        <w:rPr>
          <w:rFonts w:ascii="Palatino Linotype" w:eastAsia="Palatino Linotype" w:hAnsi="Palatino Linotype" w:cs="Palatino Linotype"/>
          <w:b/>
        </w:rPr>
        <w:t>Ayuntamiento de Toluca</w:t>
      </w:r>
      <w:r>
        <w:rPr>
          <w:rFonts w:ascii="Palatino Linotype" w:eastAsia="Palatino Linotype" w:hAnsi="Palatino Linotype" w:cs="Palatino Linotype"/>
        </w:rPr>
        <w:t>.</w:t>
      </w:r>
    </w:p>
    <w:p w:rsidR="002B1905" w:rsidRDefault="00D56886">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lastRenderedPageBreak/>
        <w:t>Segundo.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Se</w:t>
      </w:r>
      <w:r>
        <w:rPr>
          <w:rFonts w:ascii="Palatino Linotype" w:eastAsia="Palatino Linotype" w:hAnsi="Palatino Linotype" w:cs="Palatino Linotype"/>
          <w:b/>
        </w:rPr>
        <w:t xml:space="preserve"> ORDENA </w:t>
      </w:r>
      <w:r>
        <w:rPr>
          <w:rFonts w:ascii="Palatino Linotype" w:eastAsia="Palatino Linotype" w:hAnsi="Palatino Linotype" w:cs="Palatino Linotype"/>
        </w:rPr>
        <w:t xml:space="preserve">al </w:t>
      </w:r>
      <w:r w:rsidRPr="00D56886">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en términos de los </w:t>
      </w:r>
      <w:r>
        <w:rPr>
          <w:rFonts w:ascii="Palatino Linotype" w:eastAsia="Palatino Linotype" w:hAnsi="Palatino Linotype" w:cs="Palatino Linotype"/>
          <w:b/>
        </w:rPr>
        <w:t xml:space="preserve">Considerandos Cuarto y Quinto </w:t>
      </w:r>
      <w:r>
        <w:rPr>
          <w:rFonts w:ascii="Palatino Linotype" w:eastAsia="Palatino Linotype" w:hAnsi="Palatino Linotype" w:cs="Palatino Linotype"/>
        </w:rPr>
        <w:t xml:space="preserve">de esta resolución haga entrega, de ser procedente en versión pública, </w:t>
      </w:r>
      <w:r>
        <w:rPr>
          <w:rFonts w:ascii="Palatino Linotype" w:eastAsia="Palatino Linotype" w:hAnsi="Palatino Linotype" w:cs="Palatino Linotype"/>
          <w:b/>
        </w:rPr>
        <w:t>a</w:t>
      </w:r>
      <w:r w:rsidRPr="00D56886">
        <w:rPr>
          <w:rFonts w:ascii="Palatino Linotype" w:eastAsia="Palatino Linotype" w:hAnsi="Palatino Linotype" w:cs="Palatino Linotype"/>
          <w:b/>
        </w:rPr>
        <w:t>l Recurrente</w:t>
      </w:r>
      <w:r>
        <w:rPr>
          <w:rFonts w:ascii="Palatino Linotype" w:eastAsia="Palatino Linotype" w:hAnsi="Palatino Linotype" w:cs="Palatino Linotype"/>
        </w:rPr>
        <w:t xml:space="preserve"> a través del </w:t>
      </w:r>
      <w:r>
        <w:rPr>
          <w:rFonts w:ascii="Palatino Linotype" w:eastAsia="Palatino Linotype" w:hAnsi="Palatino Linotype" w:cs="Palatino Linotype"/>
          <w:b/>
        </w:rPr>
        <w:t xml:space="preserve">SAIMEX, </w:t>
      </w:r>
      <w:r>
        <w:rPr>
          <w:rFonts w:ascii="Palatino Linotype" w:eastAsia="Palatino Linotype" w:hAnsi="Palatino Linotype" w:cs="Palatino Linotype"/>
        </w:rPr>
        <w:t>de lo siguiente:</w:t>
      </w:r>
    </w:p>
    <w:p w:rsidR="00D56886" w:rsidRPr="00D56886" w:rsidRDefault="00A04E9F" w:rsidP="00D56886">
      <w:pPr>
        <w:autoSpaceDE w:val="0"/>
        <w:autoSpaceDN w:val="0"/>
        <w:adjustRightInd w:val="0"/>
        <w:spacing w:before="240" w:after="240" w:line="276" w:lineRule="auto"/>
        <w:ind w:left="567" w:right="567"/>
        <w:jc w:val="both"/>
        <w:rPr>
          <w:rFonts w:ascii="Palatino Linotype" w:eastAsia="Palatino Linotype" w:hAnsi="Palatino Linotype" w:cs="Palatino Linotype"/>
          <w:i/>
          <w:sz w:val="22"/>
          <w:lang w:eastAsia="es-ES"/>
        </w:rPr>
      </w:pPr>
      <w:r>
        <w:rPr>
          <w:rFonts w:ascii="Palatino Linotype" w:eastAsia="Palatino Linotype" w:hAnsi="Palatino Linotype" w:cs="Palatino Linotype"/>
          <w:i/>
          <w:sz w:val="22"/>
          <w:lang w:eastAsia="es-ES"/>
        </w:rPr>
        <w:t xml:space="preserve">Las </w:t>
      </w:r>
      <w:r w:rsidR="00D56886" w:rsidRPr="00D56886">
        <w:rPr>
          <w:rFonts w:ascii="Palatino Linotype" w:eastAsia="Palatino Linotype" w:hAnsi="Palatino Linotype" w:cs="Palatino Linotype"/>
          <w:i/>
          <w:sz w:val="22"/>
          <w:lang w:eastAsia="es-ES"/>
        </w:rPr>
        <w:t>evidencias fotográficas de las siguientes sesiones celebradas</w:t>
      </w:r>
      <w:r>
        <w:rPr>
          <w:rFonts w:ascii="Palatino Linotype" w:eastAsia="Palatino Linotype" w:hAnsi="Palatino Linotype" w:cs="Palatino Linotype"/>
          <w:i/>
          <w:sz w:val="22"/>
          <w:lang w:eastAsia="es-ES"/>
        </w:rPr>
        <w:t xml:space="preserve"> del 1 al 24 de enero de 2022</w:t>
      </w:r>
      <w:r w:rsidR="00D56886" w:rsidRPr="00D56886">
        <w:rPr>
          <w:rFonts w:ascii="Palatino Linotype" w:eastAsia="Palatino Linotype" w:hAnsi="Palatino Linotype" w:cs="Palatino Linotype"/>
          <w:i/>
          <w:sz w:val="22"/>
          <w:lang w:eastAsia="es-ES"/>
        </w:rPr>
        <w:t>:</w:t>
      </w:r>
    </w:p>
    <w:p w:rsidR="00D56886" w:rsidRPr="00D56886" w:rsidRDefault="00D56886" w:rsidP="00D56886">
      <w:pPr>
        <w:numPr>
          <w:ilvl w:val="0"/>
          <w:numId w:val="3"/>
        </w:numPr>
        <w:autoSpaceDE w:val="0"/>
        <w:autoSpaceDN w:val="0"/>
        <w:adjustRightInd w:val="0"/>
        <w:spacing w:before="240" w:after="240"/>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Instalación y Primera Sesión Ordinaria del Comité de Adquisiciones y Servicios</w:t>
      </w:r>
    </w:p>
    <w:p w:rsidR="00D56886" w:rsidRPr="00D56886" w:rsidRDefault="00D56886" w:rsidP="00D56886">
      <w:pPr>
        <w:numPr>
          <w:ilvl w:val="0"/>
          <w:numId w:val="3"/>
        </w:numPr>
        <w:autoSpaceDE w:val="0"/>
        <w:autoSpaceDN w:val="0"/>
        <w:adjustRightInd w:val="0"/>
        <w:spacing w:before="240" w:after="240"/>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Instalación y Primera Sesión Ordinaria del Comité de Arrendamientos, Adquisiciones de Inmuebles y Enajenaciones del H. Ayuntamiento de Toluca.</w:t>
      </w:r>
    </w:p>
    <w:p w:rsidR="00D56886" w:rsidRPr="00D56886" w:rsidRDefault="00D56886" w:rsidP="00D56886">
      <w:pPr>
        <w:numPr>
          <w:ilvl w:val="0"/>
          <w:numId w:val="3"/>
        </w:numPr>
        <w:autoSpaceDE w:val="0"/>
        <w:autoSpaceDN w:val="0"/>
        <w:adjustRightInd w:val="0"/>
        <w:spacing w:before="240" w:after="240"/>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Sesión de Instalación de la Comisión de Asuntos Internacionales y Atención al Migrante.</w:t>
      </w:r>
    </w:p>
    <w:p w:rsidR="00D56886" w:rsidRPr="00D56886" w:rsidRDefault="00D56886" w:rsidP="00D56886">
      <w:pPr>
        <w:numPr>
          <w:ilvl w:val="0"/>
          <w:numId w:val="3"/>
        </w:numPr>
        <w:autoSpaceDE w:val="0"/>
        <w:autoSpaceDN w:val="0"/>
        <w:adjustRightInd w:val="0"/>
        <w:spacing w:before="240" w:after="240"/>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Sesión de Instalación de la Comisión de Cultura y Educación.</w:t>
      </w:r>
    </w:p>
    <w:p w:rsidR="00D56886" w:rsidRPr="00D56886" w:rsidRDefault="00D56886" w:rsidP="00D56886">
      <w:pPr>
        <w:numPr>
          <w:ilvl w:val="0"/>
          <w:numId w:val="3"/>
        </w:numPr>
        <w:autoSpaceDE w:val="0"/>
        <w:autoSpaceDN w:val="0"/>
        <w:adjustRightInd w:val="0"/>
        <w:spacing w:before="240" w:after="240" w:line="276" w:lineRule="auto"/>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Sesión de Instalación de la Comisión de Ingresos (Hacienda)</w:t>
      </w:r>
    </w:p>
    <w:p w:rsidR="00D56886" w:rsidRPr="00D56886" w:rsidRDefault="00D56886" w:rsidP="00D56886">
      <w:pPr>
        <w:numPr>
          <w:ilvl w:val="0"/>
          <w:numId w:val="3"/>
        </w:numPr>
        <w:autoSpaceDE w:val="0"/>
        <w:autoSpaceDN w:val="0"/>
        <w:adjustRightInd w:val="0"/>
        <w:spacing w:before="240" w:after="240" w:line="276" w:lineRule="auto"/>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 xml:space="preserve"> Sesión de Instalación de la Comisión de Protección e Inclusión a personas con discapacidad.</w:t>
      </w:r>
    </w:p>
    <w:p w:rsidR="00D56886" w:rsidRPr="00D56886" w:rsidRDefault="00D56886" w:rsidP="00D56886">
      <w:pPr>
        <w:numPr>
          <w:ilvl w:val="0"/>
          <w:numId w:val="3"/>
        </w:numPr>
        <w:autoSpaceDE w:val="0"/>
        <w:autoSpaceDN w:val="0"/>
        <w:adjustRightInd w:val="0"/>
        <w:spacing w:before="240" w:after="240" w:line="276" w:lineRule="auto"/>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Primera, Segunda y Tercera Sesiones Ordinarias del Comité de Transparencia</w:t>
      </w:r>
    </w:p>
    <w:p w:rsidR="00D56886" w:rsidRPr="00D56886" w:rsidRDefault="00D56886" w:rsidP="00D56886">
      <w:pPr>
        <w:numPr>
          <w:ilvl w:val="0"/>
          <w:numId w:val="3"/>
        </w:numPr>
        <w:autoSpaceDE w:val="0"/>
        <w:autoSpaceDN w:val="0"/>
        <w:adjustRightInd w:val="0"/>
        <w:spacing w:before="240" w:after="240" w:line="276" w:lineRule="auto"/>
        <w:ind w:left="567" w:right="567" w:hanging="141"/>
        <w:jc w:val="both"/>
        <w:rPr>
          <w:rFonts w:ascii="Palatino Linotype" w:eastAsia="Palatino Linotype" w:hAnsi="Palatino Linotype" w:cs="Palatino Linotype"/>
          <w:i/>
          <w:sz w:val="22"/>
          <w:lang w:eastAsia="es-ES"/>
        </w:rPr>
      </w:pPr>
      <w:r w:rsidRPr="00D56886">
        <w:rPr>
          <w:rFonts w:ascii="Palatino Linotype" w:eastAsia="Palatino Linotype" w:hAnsi="Palatino Linotype" w:cs="Palatino Linotype"/>
          <w:i/>
          <w:sz w:val="22"/>
          <w:lang w:eastAsia="es-ES"/>
        </w:rPr>
        <w:t>De la instalación de las Comisiones Edilicias de Gobernación, Planeación para el Desarrollo así como de Seguridad Pública, Tránsito y Protección Civil.</w:t>
      </w:r>
    </w:p>
    <w:p w:rsidR="002B1905" w:rsidRDefault="00D56886">
      <w:pPr>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Para la entrega en versión pública, deberá emitir el Acuerdo del Comité de Transparencia en términos de la Ley de Transparencia y Acceso a la Información Pública del Estado de México y Municipios, en el que funde y motive las razones sobre los datos que se supriman o eliminen y se ponga a disposición del  </w:t>
      </w:r>
      <w:r>
        <w:rPr>
          <w:rFonts w:ascii="Palatino Linotype" w:eastAsia="Palatino Linotype" w:hAnsi="Palatino Linotype" w:cs="Palatino Linotype"/>
          <w:b/>
          <w:i/>
          <w:sz w:val="22"/>
          <w:szCs w:val="22"/>
        </w:rPr>
        <w:t>Recurrente</w:t>
      </w:r>
      <w:r>
        <w:rPr>
          <w:rFonts w:ascii="Palatino Linotype" w:eastAsia="Palatino Linotype" w:hAnsi="Palatino Linotype" w:cs="Palatino Linotype"/>
          <w:i/>
          <w:sz w:val="22"/>
          <w:szCs w:val="22"/>
        </w:rPr>
        <w:t>.</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Tercero.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b/>
        </w:rPr>
        <w:t>Notifíquese,</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 xml:space="preserve">al Responsable de la Unidad de Transparencia del Sujeto Obligado, para que conforme a los artículos 186, último párrafo y 189, párrafo segundo de la Ley de Transparencia y Acceso a la Información Pública del Estado </w:t>
      </w:r>
      <w:r>
        <w:rPr>
          <w:rFonts w:ascii="Palatino Linotype" w:eastAsia="Palatino Linotype" w:hAnsi="Palatino Linotype" w:cs="Palatino Linotype"/>
        </w:rPr>
        <w:lastRenderedPageBreak/>
        <w:t>de México y Municipios dé cumplimiento a lo ordenado dentro del plazo de diez días hábiles, debiendo informar a este Instituto en un plazo de tres días hábiles siguientes sobre el cumplimiento dado a la presente resolución.</w:t>
      </w:r>
    </w:p>
    <w:p w:rsidR="002B1905" w:rsidRDefault="00D5688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Cuarto.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rsidR="002B1905" w:rsidRDefault="00D56886">
      <w:pPr>
        <w:spacing w:before="240" w:after="240" w:line="360" w:lineRule="auto"/>
        <w:jc w:val="both"/>
        <w:rPr>
          <w:rFonts w:ascii="Palatino Linotype" w:eastAsia="Palatino Linotype" w:hAnsi="Palatino Linotype" w:cs="Palatino Linotype"/>
          <w:sz w:val="22"/>
          <w:szCs w:val="22"/>
        </w:rPr>
      </w:pPr>
      <w:r>
        <w:rPr>
          <w:rFonts w:ascii="Palatino Linotype" w:eastAsia="Palatino Linotype" w:hAnsi="Palatino Linotype" w:cs="Palatino Linotype"/>
          <w:b/>
        </w:rPr>
        <w:t xml:space="preserve">Quinto. Notifíquese, </w:t>
      </w:r>
      <w:r>
        <w:rPr>
          <w:rFonts w:ascii="Palatino Linotype" w:eastAsia="Palatino Linotype" w:hAnsi="Palatino Linotype" w:cs="Palatino Linotype"/>
        </w:rPr>
        <w:t xml:space="preserve">al recurrente </w:t>
      </w:r>
      <w:r>
        <w:rPr>
          <w:rFonts w:ascii="Palatino Linotype" w:eastAsia="Palatino Linotype" w:hAnsi="Palatino Linotype" w:cs="Palatino Linotype"/>
          <w:b/>
        </w:rPr>
        <w:t xml:space="preserve">vía SAIMEX </w:t>
      </w:r>
      <w:r>
        <w:rPr>
          <w:rFonts w:ascii="Palatino Linotype" w:eastAsia="Palatino Linotype" w:hAnsi="Palatino Linotype" w:cs="Palatino Linotype"/>
        </w:rPr>
        <w:t xml:space="preserve">la presente resolución, así como que podrá impugnarla vía </w:t>
      </w:r>
      <w:r>
        <w:rPr>
          <w:rFonts w:ascii="Palatino Linotype" w:eastAsia="Palatino Linotype" w:hAnsi="Palatino Linotype" w:cs="Palatino Linotype"/>
          <w:b/>
        </w:rPr>
        <w:t>Juicio de Amparo</w:t>
      </w:r>
      <w:r>
        <w:rPr>
          <w:rFonts w:ascii="Palatino Linotype" w:eastAsia="Palatino Linotype" w:hAnsi="Palatino Linotype" w:cs="Palatino Linotype"/>
        </w:rPr>
        <w:t xml:space="preserve"> en los términos de las leyes aplicables, de conformidad con lo establecido en el artículo 196 de la Ley de Transparencia y Acceso a la Información Pública del Estado de México y Municipios.</w:t>
      </w:r>
    </w:p>
    <w:p w:rsidR="002B1905" w:rsidRDefault="00D56886">
      <w:pPr>
        <w:spacing w:before="240" w:after="240" w:line="360" w:lineRule="auto"/>
        <w:jc w:val="both"/>
        <w:rPr>
          <w:rFonts w:ascii="Palatino Linotype" w:eastAsia="Palatino Linotype" w:hAnsi="Palatino Linotype" w:cs="Palatino Linotype"/>
        </w:rPr>
      </w:pPr>
      <w:bookmarkStart w:id="1" w:name="_heading=h.gjdgxs" w:colFirst="0" w:colLast="0"/>
      <w:bookmarkEnd w:id="1"/>
      <w:r>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w:t>
      </w:r>
      <w:r w:rsidR="00354422">
        <w:rPr>
          <w:rFonts w:ascii="Palatino Linotype" w:eastAsia="Palatino Linotype" w:hAnsi="Palatino Linotype" w:cs="Palatino Linotype"/>
        </w:rPr>
        <w:t>ALUPE RAMÍREZ PEÑA; EN LA DÉCIM</w:t>
      </w:r>
      <w:r w:rsidR="001F66D9">
        <w:rPr>
          <w:rFonts w:ascii="Palatino Linotype" w:eastAsia="Palatino Linotype" w:hAnsi="Palatino Linotype" w:cs="Palatino Linotype"/>
        </w:rPr>
        <w:t>A</w:t>
      </w:r>
      <w:r>
        <w:rPr>
          <w:rFonts w:ascii="Palatino Linotype" w:eastAsia="Palatino Linotype" w:hAnsi="Palatino Linotype" w:cs="Palatino Linotype"/>
        </w:rPr>
        <w:t xml:space="preserve"> TERCERA SESIÓN ORDINARIA CELEBRADA EL SIETE DE ABRIL DEL DOS MIL VEINTIDÓS, ANTE EL SECRETARIO TÉCNICO DEL PLENO, ALEXIS TAPIA RAMÍREZ.</w:t>
      </w:r>
    </w:p>
    <w:p w:rsidR="002B1905" w:rsidRDefault="002B1905">
      <w:pPr>
        <w:spacing w:before="240" w:after="240" w:line="360" w:lineRule="auto"/>
        <w:jc w:val="both"/>
        <w:rPr>
          <w:rFonts w:ascii="Palatino Linotype" w:eastAsia="Palatino Linotype" w:hAnsi="Palatino Linotype" w:cs="Palatino Linotype"/>
        </w:rPr>
        <w:sectPr w:rsidR="002B1905">
          <w:headerReference w:type="default" r:id="rId51"/>
          <w:footerReference w:type="default" r:id="rId52"/>
          <w:headerReference w:type="first" r:id="rId53"/>
          <w:footerReference w:type="first" r:id="rId54"/>
          <w:pgSz w:w="12240" w:h="15840"/>
          <w:pgMar w:top="1417" w:right="2034" w:bottom="1417" w:left="1701" w:header="709" w:footer="709" w:gutter="0"/>
          <w:pgNumType w:start="1"/>
          <w:cols w:space="720"/>
          <w:titlePg/>
        </w:sectPr>
      </w:pPr>
    </w:p>
    <w:p w:rsidR="002B1905" w:rsidRDefault="002B1905">
      <w:pPr>
        <w:spacing w:before="240" w:after="240" w:line="360" w:lineRule="auto"/>
        <w:jc w:val="both"/>
        <w:rPr>
          <w:rFonts w:ascii="Palatino Linotype" w:eastAsia="Palatino Linotype" w:hAnsi="Palatino Linotype" w:cs="Palatino Linotype"/>
        </w:rPr>
      </w:pPr>
    </w:p>
    <w:sectPr w:rsidR="002B1905">
      <w:headerReference w:type="first" r:id="rId55"/>
      <w:pgSz w:w="12240" w:h="15840"/>
      <w:pgMar w:top="1417" w:right="2034" w:bottom="1417"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6A87" w:rsidRDefault="003E6A87">
      <w:r>
        <w:separator/>
      </w:r>
    </w:p>
  </w:endnote>
  <w:endnote w:type="continuationSeparator" w:id="0">
    <w:p w:rsidR="003E6A87" w:rsidRDefault="003E6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905" w:rsidRDefault="00D56886">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4C1047">
      <w:rPr>
        <w:rFonts w:ascii="Arial" w:eastAsia="Arial" w:hAnsi="Arial" w:cs="Arial"/>
        <w:b/>
        <w:noProof/>
        <w:color w:val="000000"/>
        <w:sz w:val="20"/>
        <w:szCs w:val="20"/>
      </w:rPr>
      <w:t>58</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4C1047">
      <w:rPr>
        <w:rFonts w:ascii="Arial" w:eastAsia="Arial" w:hAnsi="Arial" w:cs="Arial"/>
        <w:b/>
        <w:noProof/>
        <w:color w:val="000000"/>
        <w:sz w:val="20"/>
        <w:szCs w:val="20"/>
      </w:rPr>
      <w:t>72</w:t>
    </w:r>
    <w:r>
      <w:rPr>
        <w:rFonts w:ascii="Arial" w:eastAsia="Arial" w:hAnsi="Arial" w:cs="Arial"/>
        <w:b/>
        <w:color w:val="000000"/>
        <w:sz w:val="20"/>
        <w:szCs w:val="20"/>
      </w:rPr>
      <w:fldChar w:fldCharType="end"/>
    </w:r>
  </w:p>
  <w:p w:rsidR="002B1905" w:rsidRDefault="002B1905">
    <w:pPr>
      <w:pBdr>
        <w:top w:val="nil"/>
        <w:left w:val="nil"/>
        <w:bottom w:val="nil"/>
        <w:right w:val="nil"/>
        <w:between w:val="nil"/>
      </w:pBdr>
      <w:tabs>
        <w:tab w:val="center" w:pos="4252"/>
        <w:tab w:val="right" w:pos="8504"/>
      </w:tabs>
      <w:rPr>
        <w:color w:val="000000"/>
      </w:rPr>
    </w:pPr>
  </w:p>
  <w:p w:rsidR="002B1905" w:rsidRDefault="002B1905">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905" w:rsidRDefault="00D56886">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4C1047">
      <w:rPr>
        <w:rFonts w:ascii="Arial" w:eastAsia="Arial" w:hAnsi="Arial" w:cs="Arial"/>
        <w:b/>
        <w:noProof/>
        <w:color w:val="000000"/>
        <w:sz w:val="20"/>
        <w:szCs w:val="20"/>
      </w:rPr>
      <w:t>72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4C1047">
      <w:rPr>
        <w:rFonts w:ascii="Arial" w:eastAsia="Arial" w:hAnsi="Arial" w:cs="Arial"/>
        <w:b/>
        <w:noProof/>
        <w:color w:val="000000"/>
        <w:sz w:val="20"/>
        <w:szCs w:val="20"/>
      </w:rPr>
      <w:t>72</w:t>
    </w:r>
    <w:r>
      <w:rPr>
        <w:rFonts w:ascii="Arial" w:eastAsia="Arial" w:hAnsi="Arial" w:cs="Arial"/>
        <w:b/>
        <w:color w:val="000000"/>
        <w:sz w:val="20"/>
        <w:szCs w:val="20"/>
      </w:rPr>
      <w:fldChar w:fldCharType="end"/>
    </w:r>
  </w:p>
  <w:p w:rsidR="002B1905" w:rsidRDefault="002B1905">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6A87" w:rsidRDefault="003E6A87">
      <w:r>
        <w:separator/>
      </w:r>
    </w:p>
  </w:footnote>
  <w:footnote w:type="continuationSeparator" w:id="0">
    <w:p w:rsidR="003E6A87" w:rsidRDefault="003E6A87">
      <w:r>
        <w:continuationSeparator/>
      </w:r>
    </w:p>
  </w:footnote>
  <w:footnote w:id="1">
    <w:p w:rsidR="002B1905" w:rsidRDefault="00D56886">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libri" w:eastAsia="Calibri" w:hAnsi="Calibri" w:cs="Calibri"/>
          <w:color w:val="000000"/>
          <w:sz w:val="20"/>
          <w:szCs w:val="20"/>
        </w:rPr>
        <w:t xml:space="preserve"> (…)</w:t>
      </w:r>
    </w:p>
  </w:footnote>
  <w:footnote w:id="2">
    <w:p w:rsidR="002B1905" w:rsidRDefault="00D5688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rsidR="002B1905" w:rsidRDefault="00D5688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161</w:t>
      </w:r>
      <w:r>
        <w:rPr>
          <w:rFonts w:ascii="Palatino Linotype" w:eastAsia="Palatino Linotype" w:hAnsi="Palatino Linotype" w:cs="Palatino Linotype"/>
          <w:color w:val="000000"/>
          <w:sz w:val="16"/>
          <w:szCs w:val="16"/>
        </w:rPr>
        <w:t>.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905" w:rsidRDefault="002B1905">
    <w:pPr>
      <w:widowControl w:val="0"/>
      <w:pBdr>
        <w:top w:val="nil"/>
        <w:left w:val="nil"/>
        <w:bottom w:val="nil"/>
        <w:right w:val="nil"/>
        <w:between w:val="nil"/>
      </w:pBdr>
      <w:spacing w:line="276" w:lineRule="auto"/>
      <w:rPr>
        <w:rFonts w:ascii="Cambria" w:eastAsia="Cambria" w:hAnsi="Cambria" w:cs="Cambria"/>
        <w:color w:val="000000"/>
      </w:rPr>
    </w:pPr>
  </w:p>
  <w:tbl>
    <w:tblPr>
      <w:tblStyle w:val="a2"/>
      <w:tblW w:w="6240" w:type="dxa"/>
      <w:tblInd w:w="3746" w:type="dxa"/>
      <w:tblLayout w:type="fixed"/>
      <w:tblLook w:val="0400" w:firstRow="0" w:lastRow="0" w:firstColumn="0" w:lastColumn="0" w:noHBand="0" w:noVBand="1"/>
    </w:tblPr>
    <w:tblGrid>
      <w:gridCol w:w="2553"/>
      <w:gridCol w:w="3687"/>
    </w:tblGrid>
    <w:tr w:rsidR="002B1905">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rsidR="002B1905" w:rsidRDefault="00D56886">
          <w:pPr>
            <w:ind w:right="666"/>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00904/INFOEM/IP/RR/2022</w:t>
          </w:r>
        </w:p>
      </w:tc>
    </w:tr>
    <w:tr w:rsidR="002B1905">
      <w:trPr>
        <w:trHeight w:val="228"/>
      </w:trPr>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rsidR="002B1905" w:rsidRDefault="00D56886">
          <w:pPr>
            <w:tabs>
              <w:tab w:val="left" w:pos="1531"/>
            </w:tabs>
            <w:ind w:right="80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2B1905">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rsidR="002B1905" w:rsidRDefault="00D56886">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2B1905" w:rsidRDefault="00D56886">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r>
      <w:rPr>
        <w:noProof/>
        <w:lang w:val="es-MX"/>
      </w:rPr>
      <w:drawing>
        <wp:anchor distT="0" distB="0" distL="0" distR="0" simplePos="0" relativeHeight="251658240" behindDoc="1" locked="0" layoutInCell="1" hidden="0" allowOverlap="1">
          <wp:simplePos x="0" y="0"/>
          <wp:positionH relativeFrom="column">
            <wp:posOffset>-944244</wp:posOffset>
          </wp:positionH>
          <wp:positionV relativeFrom="paragraph">
            <wp:posOffset>-1146174</wp:posOffset>
          </wp:positionV>
          <wp:extent cx="7635600" cy="9943200"/>
          <wp:effectExtent l="0" t="0" r="0" b="0"/>
          <wp:wrapNone/>
          <wp:docPr id="8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905" w:rsidRDefault="00D56886">
    <w:pPr>
      <w:pBdr>
        <w:top w:val="nil"/>
        <w:left w:val="nil"/>
        <w:bottom w:val="nil"/>
        <w:right w:val="nil"/>
        <w:between w:val="nil"/>
      </w:pBdr>
      <w:tabs>
        <w:tab w:val="center" w:pos="4252"/>
        <w:tab w:val="right" w:pos="8504"/>
      </w:tabs>
      <w:jc w:val="both"/>
      <w:rPr>
        <w:rFonts w:ascii="Cambria" w:eastAsia="Cambria" w:hAnsi="Cambria" w:cs="Cambria"/>
        <w:color w:val="000000"/>
      </w:rPr>
    </w:pPr>
    <w:r>
      <w:rPr>
        <w:rFonts w:ascii="Cambria" w:eastAsia="Cambria" w:hAnsi="Cambria" w:cs="Cambria"/>
        <w:color w:val="000000"/>
      </w:rPr>
      <w:t xml:space="preserve">                                  </w:t>
    </w:r>
    <w:r>
      <w:rPr>
        <w:noProof/>
        <w:lang w:val="es-MX"/>
      </w:rPr>
      <w:drawing>
        <wp:anchor distT="0" distB="0" distL="0" distR="0" simplePos="0" relativeHeight="251659264" behindDoc="1" locked="0" layoutInCell="1" hidden="0" allowOverlap="1">
          <wp:simplePos x="0" y="0"/>
          <wp:positionH relativeFrom="column">
            <wp:posOffset>-973454</wp:posOffset>
          </wp:positionH>
          <wp:positionV relativeFrom="paragraph">
            <wp:posOffset>-354964</wp:posOffset>
          </wp:positionV>
          <wp:extent cx="7635600" cy="9943200"/>
          <wp:effectExtent l="0" t="0" r="0" b="0"/>
          <wp:wrapNone/>
          <wp:docPr id="7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1"/>
      <w:tblW w:w="6240" w:type="dxa"/>
      <w:tblInd w:w="3685" w:type="dxa"/>
      <w:tblLayout w:type="fixed"/>
      <w:tblLook w:val="0400" w:firstRow="0" w:lastRow="0" w:firstColumn="0" w:lastColumn="0" w:noHBand="0" w:noVBand="1"/>
    </w:tblPr>
    <w:tblGrid>
      <w:gridCol w:w="2553"/>
      <w:gridCol w:w="3687"/>
    </w:tblGrid>
    <w:tr w:rsidR="002B1905">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00904/INFOEM/IP/RR/2022</w:t>
          </w:r>
        </w:p>
      </w:tc>
    </w:tr>
    <w:tr w:rsidR="002B1905">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687" w:type="dxa"/>
          <w:vAlign w:val="center"/>
        </w:tcPr>
        <w:p w:rsidR="002B1905" w:rsidRDefault="00B64EE7">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 XXXXXXX XXXXXXX</w:t>
          </w:r>
        </w:p>
      </w:tc>
    </w:tr>
    <w:tr w:rsidR="002B1905">
      <w:trPr>
        <w:trHeight w:val="228"/>
      </w:trPr>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rsidR="002B1905" w:rsidRDefault="00D56886">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2B1905">
      <w:tc>
        <w:tcPr>
          <w:tcW w:w="2553" w:type="dxa"/>
          <w:vAlign w:val="center"/>
        </w:tcPr>
        <w:p w:rsidR="002B1905" w:rsidRDefault="00D5688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rsidR="002B1905" w:rsidRDefault="00D56886">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2B1905" w:rsidRDefault="002B1905">
    <w:pPr>
      <w:pBdr>
        <w:top w:val="nil"/>
        <w:left w:val="nil"/>
        <w:bottom w:val="nil"/>
        <w:right w:val="nil"/>
        <w:between w:val="nil"/>
      </w:pBdr>
      <w:tabs>
        <w:tab w:val="center" w:pos="4252"/>
        <w:tab w:val="right" w:pos="8504"/>
      </w:tabs>
      <w:rPr>
        <w:rFonts w:ascii="Cambria" w:eastAsia="Cambria" w:hAnsi="Cambria" w:cs="Cambria"/>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905" w:rsidRDefault="00D56886">
    <w:pPr>
      <w:pBdr>
        <w:top w:val="nil"/>
        <w:left w:val="nil"/>
        <w:bottom w:val="nil"/>
        <w:right w:val="nil"/>
        <w:between w:val="nil"/>
      </w:pBdr>
      <w:tabs>
        <w:tab w:val="center" w:pos="4252"/>
        <w:tab w:val="right" w:pos="8504"/>
      </w:tabs>
      <w:jc w:val="both"/>
      <w:rPr>
        <w:rFonts w:ascii="Cambria" w:eastAsia="Cambria" w:hAnsi="Cambria" w:cs="Cambria"/>
        <w:color w:val="000000"/>
      </w:rPr>
    </w:pPr>
    <w:r>
      <w:rPr>
        <w:rFonts w:ascii="Cambria" w:eastAsia="Cambria" w:hAnsi="Cambria" w:cs="Cambria"/>
        <w:color w:val="000000"/>
      </w:rPr>
      <w:t xml:space="preserve">                                  </w:t>
    </w:r>
  </w:p>
  <w:p w:rsidR="002B1905" w:rsidRDefault="002B1905">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AF53DA"/>
    <w:multiLevelType w:val="multilevel"/>
    <w:tmpl w:val="4C8CE702"/>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64362FC4"/>
    <w:multiLevelType w:val="hybridMultilevel"/>
    <w:tmpl w:val="698ED108"/>
    <w:lvl w:ilvl="0" w:tplc="F5E858BA">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
    <w:nsid w:val="7F220D22"/>
    <w:multiLevelType w:val="multilevel"/>
    <w:tmpl w:val="EC2E373C"/>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905"/>
    <w:rsid w:val="0009063F"/>
    <w:rsid w:val="000D45F6"/>
    <w:rsid w:val="001F66D9"/>
    <w:rsid w:val="002B1905"/>
    <w:rsid w:val="00354422"/>
    <w:rsid w:val="003E6A87"/>
    <w:rsid w:val="004C1047"/>
    <w:rsid w:val="00591F80"/>
    <w:rsid w:val="00A04E9F"/>
    <w:rsid w:val="00AF40D6"/>
    <w:rsid w:val="00B64EE7"/>
    <w:rsid w:val="00D56886"/>
    <w:rsid w:val="00F554D6"/>
    <w:rsid w:val="00FA1A4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C2382850-620F-4EFE-B83E-BCCC91141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0F8C"/>
  </w:style>
  <w:style w:type="paragraph" w:styleId="Ttulo1">
    <w:name w:val="heading 1"/>
    <w:basedOn w:val="Normal"/>
    <w:next w:val="Normal"/>
    <w:link w:val="Ttulo1Car"/>
    <w:uiPriority w:val="9"/>
    <w:qFormat/>
    <w:rsid w:val="007F61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A6EF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link w:val="Ttulo5Car"/>
    <w:uiPriority w:val="9"/>
    <w:semiHidden/>
    <w:unhideWhenUsed/>
    <w:qFormat/>
    <w:rsid w:val="002237EF"/>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9D485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9D4854"/>
    <w:pPr>
      <w:ind w:left="708"/>
    </w:pPr>
  </w:style>
  <w:style w:type="table" w:styleId="Tablaconcuadrcula">
    <w:name w:val="Table Grid"/>
    <w:basedOn w:val="Tablanormal"/>
    <w:uiPriority w:val="59"/>
    <w:rsid w:val="00AB3F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AB3F5E"/>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AB3F5E"/>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B3F5E"/>
    <w:rPr>
      <w:vertAlign w:val="superscript"/>
    </w:rPr>
  </w:style>
  <w:style w:type="character" w:customStyle="1" w:styleId="Ttulo2Car">
    <w:name w:val="Título 2 Car"/>
    <w:basedOn w:val="Fuentedeprrafopredeter"/>
    <w:link w:val="Ttulo2"/>
    <w:uiPriority w:val="9"/>
    <w:rsid w:val="004A6EFE"/>
    <w:rPr>
      <w:rFonts w:asciiTheme="majorHAnsi" w:eastAsiaTheme="majorEastAsia" w:hAnsiTheme="majorHAnsi" w:cstheme="majorBidi"/>
      <w:color w:val="365F91" w:themeColor="accent1" w:themeShade="BF"/>
      <w:sz w:val="26"/>
      <w:szCs w:val="26"/>
      <w:lang w:val="es-ES"/>
    </w:rPr>
  </w:style>
  <w:style w:type="character" w:customStyle="1" w:styleId="apple-converted-space">
    <w:name w:val="apple-converted-space"/>
    <w:basedOn w:val="Fuentedeprrafopredeter"/>
    <w:rsid w:val="00A5404F"/>
  </w:style>
  <w:style w:type="character" w:customStyle="1" w:styleId="normaltextrun">
    <w:name w:val="normaltextrun"/>
    <w:basedOn w:val="Fuentedeprrafopredeter"/>
    <w:rsid w:val="00355B75"/>
  </w:style>
  <w:style w:type="paragraph" w:customStyle="1" w:styleId="paragraph">
    <w:name w:val="paragraph"/>
    <w:basedOn w:val="Normal"/>
    <w:rsid w:val="00355B75"/>
    <w:pPr>
      <w:spacing w:before="100" w:beforeAutospacing="1" w:after="100" w:afterAutospacing="1"/>
    </w:pPr>
    <w:rPr>
      <w:lang w:val="es-MX"/>
    </w:rPr>
  </w:style>
  <w:style w:type="character" w:customStyle="1" w:styleId="eop">
    <w:name w:val="eop"/>
    <w:basedOn w:val="Fuentedeprrafopredeter"/>
    <w:rsid w:val="00355B75"/>
  </w:style>
  <w:style w:type="character" w:styleId="Hipervnculo">
    <w:name w:val="Hyperlink"/>
    <w:basedOn w:val="Fuentedeprrafopredeter"/>
    <w:uiPriority w:val="99"/>
    <w:unhideWhenUsed/>
    <w:rsid w:val="00623EA3"/>
    <w:rPr>
      <w:color w:val="0000FF" w:themeColor="hyperlink"/>
      <w:u w:val="single"/>
    </w:rPr>
  </w:style>
  <w:style w:type="character" w:customStyle="1" w:styleId="nacep">
    <w:name w:val="n_acep"/>
    <w:basedOn w:val="Fuentedeprrafopredeter"/>
    <w:rsid w:val="00585C24"/>
  </w:style>
  <w:style w:type="paragraph" w:customStyle="1" w:styleId="Texto">
    <w:name w:val="Texto"/>
    <w:basedOn w:val="Normal"/>
    <w:link w:val="TextoCar"/>
    <w:qFormat/>
    <w:rsid w:val="009573BD"/>
    <w:pPr>
      <w:spacing w:after="101" w:line="216" w:lineRule="exact"/>
      <w:ind w:firstLine="288"/>
      <w:jc w:val="both"/>
    </w:pPr>
    <w:rPr>
      <w:rFonts w:ascii="Arial" w:hAnsi="Arial" w:cs="Arial"/>
      <w:sz w:val="18"/>
      <w:szCs w:val="20"/>
    </w:rPr>
  </w:style>
  <w:style w:type="character" w:customStyle="1" w:styleId="TextoCar">
    <w:name w:val="Texto Car"/>
    <w:link w:val="Texto"/>
    <w:locked/>
    <w:rsid w:val="009573BD"/>
    <w:rPr>
      <w:rFonts w:ascii="Arial" w:eastAsia="Times New Roman" w:hAnsi="Arial" w:cs="Arial"/>
      <w:sz w:val="18"/>
      <w:szCs w:val="20"/>
      <w:lang w:val="es-ES"/>
    </w:rPr>
  </w:style>
  <w:style w:type="character" w:customStyle="1" w:styleId="Ttulo1Car">
    <w:name w:val="Título 1 Car"/>
    <w:basedOn w:val="Fuentedeprrafopredeter"/>
    <w:link w:val="Ttulo1"/>
    <w:uiPriority w:val="9"/>
    <w:rsid w:val="007F61DA"/>
    <w:rPr>
      <w:rFonts w:asciiTheme="majorHAnsi" w:eastAsiaTheme="majorEastAsia" w:hAnsiTheme="majorHAnsi" w:cstheme="majorBidi"/>
      <w:color w:val="365F91" w:themeColor="accent1" w:themeShade="BF"/>
      <w:sz w:val="32"/>
      <w:szCs w:val="32"/>
      <w:lang w:val="es-ES"/>
    </w:rPr>
  </w:style>
  <w:style w:type="paragraph" w:customStyle="1" w:styleId="Default">
    <w:name w:val="Default"/>
    <w:rsid w:val="00DF0D44"/>
    <w:pPr>
      <w:autoSpaceDE w:val="0"/>
      <w:autoSpaceDN w:val="0"/>
      <w:adjustRightInd w:val="0"/>
    </w:pPr>
    <w:rPr>
      <w:rFonts w:ascii="Arial" w:hAnsi="Arial" w:cs="Arial"/>
      <w:color w:val="000000"/>
      <w:lang w:val="es-MX"/>
    </w:rPr>
  </w:style>
  <w:style w:type="paragraph" w:styleId="Sinespaciado">
    <w:name w:val="No Spacing"/>
    <w:aliases w:val="Francesa,INAI"/>
    <w:link w:val="SinespaciadoCar"/>
    <w:uiPriority w:val="1"/>
    <w:qFormat/>
    <w:rsid w:val="00932CFF"/>
    <w:rPr>
      <w:lang w:val="es-MX"/>
    </w:rPr>
  </w:style>
  <w:style w:type="character" w:styleId="Textoennegrita">
    <w:name w:val="Strong"/>
    <w:uiPriority w:val="22"/>
    <w:qFormat/>
    <w:rsid w:val="00932CFF"/>
    <w:rPr>
      <w:b/>
      <w:bCs/>
    </w:rPr>
  </w:style>
  <w:style w:type="character" w:customStyle="1" w:styleId="SinespaciadoCar">
    <w:name w:val="Sin espaciado Car"/>
    <w:aliases w:val="Francesa Car,INAI Car"/>
    <w:link w:val="Sinespaciado"/>
    <w:uiPriority w:val="1"/>
    <w:locked/>
    <w:rsid w:val="00932CFF"/>
    <w:rPr>
      <w:rFonts w:ascii="Times New Roman" w:eastAsia="Times New Roman" w:hAnsi="Times New Roman" w:cs="Times New Roman"/>
      <w:lang w:val="es-MX"/>
    </w:rPr>
  </w:style>
  <w:style w:type="paragraph" w:styleId="NormalWeb">
    <w:name w:val="Normal (Web)"/>
    <w:basedOn w:val="Normal"/>
    <w:uiPriority w:val="99"/>
    <w:semiHidden/>
    <w:unhideWhenUsed/>
    <w:rsid w:val="00444919"/>
    <w:pPr>
      <w:spacing w:before="100" w:beforeAutospacing="1" w:after="100" w:afterAutospacing="1"/>
    </w:pPr>
    <w:rPr>
      <w:lang w:val="es-MX"/>
    </w:rPr>
  </w:style>
  <w:style w:type="paragraph" w:styleId="Textoindependiente">
    <w:name w:val="Body Text"/>
    <w:basedOn w:val="Normal"/>
    <w:link w:val="TextoindependienteCar"/>
    <w:uiPriority w:val="1"/>
    <w:qFormat/>
    <w:rsid w:val="00446C36"/>
    <w:pPr>
      <w:widowControl w:val="0"/>
      <w:autoSpaceDE w:val="0"/>
      <w:autoSpaceDN w:val="0"/>
      <w:adjustRightInd w:val="0"/>
      <w:ind w:left="112"/>
    </w:pPr>
    <w:rPr>
      <w:rFonts w:eastAsiaTheme="minorEastAsia"/>
      <w:sz w:val="25"/>
      <w:szCs w:val="25"/>
      <w:lang w:val="es-MX"/>
    </w:rPr>
  </w:style>
  <w:style w:type="character" w:customStyle="1" w:styleId="TextoindependienteCar">
    <w:name w:val="Texto independiente Car"/>
    <w:basedOn w:val="Fuentedeprrafopredeter"/>
    <w:link w:val="Textoindependiente"/>
    <w:uiPriority w:val="1"/>
    <w:rsid w:val="00446C36"/>
    <w:rPr>
      <w:rFonts w:ascii="Times New Roman" w:hAnsi="Times New Roman" w:cs="Times New Roman"/>
      <w:sz w:val="25"/>
      <w:szCs w:val="25"/>
      <w:lang w:val="es-MX" w:eastAsia="es-MX"/>
    </w:rPr>
  </w:style>
  <w:style w:type="paragraph" w:styleId="Textosinformato">
    <w:name w:val="Plain Text"/>
    <w:basedOn w:val="Normal"/>
    <w:link w:val="TextosinformatoCar"/>
    <w:unhideWhenUsed/>
    <w:rsid w:val="006F1806"/>
    <w:rPr>
      <w:rFonts w:ascii="Courier New" w:hAnsi="Courier New"/>
      <w:sz w:val="20"/>
      <w:szCs w:val="20"/>
    </w:rPr>
  </w:style>
  <w:style w:type="character" w:customStyle="1" w:styleId="TextosinformatoCar">
    <w:name w:val="Texto sin formato Car"/>
    <w:basedOn w:val="Fuentedeprrafopredeter"/>
    <w:link w:val="Textosinformato"/>
    <w:rsid w:val="006F1806"/>
    <w:rPr>
      <w:rFonts w:ascii="Courier New" w:eastAsia="Times New Roman" w:hAnsi="Courier New" w:cs="Times New Roman"/>
      <w:sz w:val="20"/>
      <w:szCs w:val="20"/>
      <w:lang w:val="es-ES"/>
    </w:rPr>
  </w:style>
  <w:style w:type="table" w:styleId="Tabladelista1clara-nfasis1">
    <w:name w:val="List Table 1 Light Accent 1"/>
    <w:basedOn w:val="Tablanormal"/>
    <w:uiPriority w:val="46"/>
    <w:rsid w:val="007B70B3"/>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5Car">
    <w:name w:val="Título 5 Car"/>
    <w:basedOn w:val="Fuentedeprrafopredeter"/>
    <w:link w:val="Ttulo5"/>
    <w:uiPriority w:val="9"/>
    <w:semiHidden/>
    <w:rsid w:val="002237EF"/>
    <w:rPr>
      <w:rFonts w:asciiTheme="majorHAnsi" w:eastAsiaTheme="majorEastAsia" w:hAnsiTheme="majorHAnsi" w:cstheme="majorBidi"/>
      <w:color w:val="365F91" w:themeColor="accent1" w:themeShade="BF"/>
      <w:lang w:val="es-ES"/>
    </w:rPr>
  </w:style>
  <w:style w:type="paragraph" w:styleId="Textoindependiente2">
    <w:name w:val="Body Text 2"/>
    <w:basedOn w:val="Normal"/>
    <w:link w:val="Textoindependiente2Car"/>
    <w:uiPriority w:val="99"/>
    <w:semiHidden/>
    <w:unhideWhenUsed/>
    <w:rsid w:val="005F49B8"/>
    <w:pPr>
      <w:spacing w:after="120" w:line="480" w:lineRule="auto"/>
    </w:pPr>
  </w:style>
  <w:style w:type="character" w:customStyle="1" w:styleId="Textoindependiente2Car">
    <w:name w:val="Texto independiente 2 Car"/>
    <w:basedOn w:val="Fuentedeprrafopredeter"/>
    <w:link w:val="Textoindependiente2"/>
    <w:uiPriority w:val="99"/>
    <w:semiHidden/>
    <w:rsid w:val="005F49B8"/>
    <w:rPr>
      <w:rFonts w:ascii="Times New Roman" w:eastAsia="Times New Roman" w:hAnsi="Times New Roman" w:cs="Times New Roman"/>
      <w:lang w:val="es-E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 w:type="table" w:customStyle="1" w:styleId="a2">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oleObject" Target="embeddings/oleObject2.bin"/><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oleObject" Target="embeddings/oleObject1.bin"/><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2.jpg"/></Relationships>
</file>

<file path=word/_rels/header2.xml.rels><?xml version="1.0" encoding="UTF-8" standalone="yes"?>
<Relationships xmlns="http://schemas.openxmlformats.org/package/2006/relationships"><Relationship Id="rId1" Type="http://schemas.openxmlformats.org/officeDocument/2006/relationships/image" Target="media/image4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MioSTUVRdTEW1mMqc0DqFA6qixg==">AMUW2mXnuUJsz3+/taK+c1EkBz0tcDR7M8Mx4kr5ppM/PqXKffuiSYEd6nK0oy0kQaXCG3NMY8eNLsedWQKUtKLuJv9zezflBm4G4+GYUQj530lOZRT1MtZ1f8E5PabDXguvCAxmbMpm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72</Pages>
  <Words>9209</Words>
  <Characters>50650</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USUARIO</cp:lastModifiedBy>
  <cp:revision>4</cp:revision>
  <cp:lastPrinted>2022-04-08T15:21:00Z</cp:lastPrinted>
  <dcterms:created xsi:type="dcterms:W3CDTF">2022-05-06T17:08:00Z</dcterms:created>
  <dcterms:modified xsi:type="dcterms:W3CDTF">2022-06-03T00:30:00Z</dcterms:modified>
</cp:coreProperties>
</file>