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202" w:rsidRPr="00481C9B" w:rsidRDefault="0039799B">
      <w:pPr>
        <w:spacing w:line="360" w:lineRule="auto"/>
        <w:jc w:val="both"/>
        <w:rPr>
          <w:rFonts w:ascii="Palatino Linotype" w:eastAsia="Palatino Linotype" w:hAnsi="Palatino Linotype" w:cs="Palatino Linotype"/>
        </w:rPr>
      </w:pPr>
      <w:bookmarkStart w:id="0" w:name="_GoBack"/>
      <w:bookmarkEnd w:id="0"/>
      <w:r w:rsidRPr="00481C9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veintiocho de septiembre de dos mil veintidós. </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b/>
        </w:rPr>
        <w:t>VISTO</w:t>
      </w:r>
      <w:r w:rsidRPr="00481C9B">
        <w:rPr>
          <w:rFonts w:ascii="Palatino Linotype" w:eastAsia="Palatino Linotype" w:hAnsi="Palatino Linotype" w:cs="Palatino Linotype"/>
        </w:rPr>
        <w:t xml:space="preserve"> el expediente formado con motivo del recurso de revisión </w:t>
      </w:r>
      <w:r w:rsidRPr="00481C9B">
        <w:rPr>
          <w:rFonts w:ascii="Palatino Linotype" w:eastAsia="Palatino Linotype" w:hAnsi="Palatino Linotype" w:cs="Palatino Linotype"/>
          <w:b/>
        </w:rPr>
        <w:t>06929/INFOEM/IP/RR/2022</w:t>
      </w:r>
      <w:r w:rsidRPr="00481C9B">
        <w:rPr>
          <w:rFonts w:ascii="Palatino Linotype" w:eastAsia="Palatino Linotype" w:hAnsi="Palatino Linotype" w:cs="Palatino Linotype"/>
        </w:rPr>
        <w:t>, interpuesto por</w:t>
      </w:r>
      <w:r w:rsidRPr="00481C9B">
        <w:rPr>
          <w:rFonts w:ascii="Palatino Linotype" w:eastAsia="Palatino Linotype" w:hAnsi="Palatino Linotype" w:cs="Palatino Linotype"/>
          <w:b/>
        </w:rPr>
        <w:t xml:space="preserve"> una persona usuaria del Sistema de Acceso a la Información Pública Mexiquense</w:t>
      </w:r>
      <w:r w:rsidRPr="00481C9B">
        <w:rPr>
          <w:rFonts w:ascii="Palatino Linotype" w:eastAsia="Palatino Linotype" w:hAnsi="Palatino Linotype" w:cs="Palatino Linotype"/>
        </w:rPr>
        <w:t>,</w:t>
      </w:r>
      <w:r w:rsidRPr="00481C9B">
        <w:rPr>
          <w:rFonts w:ascii="Palatino Linotype" w:eastAsia="Palatino Linotype" w:hAnsi="Palatino Linotype" w:cs="Palatino Linotype"/>
          <w:b/>
        </w:rPr>
        <w:t xml:space="preserve"> </w:t>
      </w:r>
      <w:r w:rsidRPr="00481C9B">
        <w:rPr>
          <w:rFonts w:ascii="Palatino Linotype" w:eastAsia="Palatino Linotype" w:hAnsi="Palatino Linotype" w:cs="Palatino Linotype"/>
        </w:rPr>
        <w:t>quien en lo sucesivo</w:t>
      </w:r>
      <w:r w:rsidRPr="00481C9B">
        <w:rPr>
          <w:rFonts w:ascii="Palatino Linotype" w:eastAsia="Palatino Linotype" w:hAnsi="Palatino Linotype" w:cs="Palatino Linotype"/>
          <w:b/>
        </w:rPr>
        <w:t xml:space="preserve"> </w:t>
      </w:r>
      <w:r w:rsidRPr="00481C9B">
        <w:rPr>
          <w:rFonts w:ascii="Palatino Linotype" w:eastAsia="Palatino Linotype" w:hAnsi="Palatino Linotype" w:cs="Palatino Linotype"/>
        </w:rPr>
        <w:t xml:space="preserve">será identificado en su calidad de </w:t>
      </w:r>
      <w:r w:rsidRPr="00481C9B">
        <w:rPr>
          <w:rFonts w:ascii="Palatino Linotype" w:eastAsia="Palatino Linotype" w:hAnsi="Palatino Linotype" w:cs="Palatino Linotype"/>
          <w:b/>
        </w:rPr>
        <w:t>RECURRENTE</w:t>
      </w:r>
      <w:r w:rsidRPr="00481C9B">
        <w:rPr>
          <w:rFonts w:ascii="Palatino Linotype" w:eastAsia="Palatino Linotype" w:hAnsi="Palatino Linotype" w:cs="Palatino Linotype"/>
        </w:rPr>
        <w:t xml:space="preserve">, en contra de la falta de respuesta del </w:t>
      </w:r>
      <w:r w:rsidRPr="00481C9B">
        <w:rPr>
          <w:rFonts w:ascii="Palatino Linotype" w:eastAsia="Palatino Linotype" w:hAnsi="Palatino Linotype" w:cs="Palatino Linotype"/>
          <w:b/>
        </w:rPr>
        <w:t>Ayuntamiento de Texcoco</w:t>
      </w:r>
      <w:r w:rsidRPr="00481C9B">
        <w:rPr>
          <w:rFonts w:ascii="Palatino Linotype" w:eastAsia="Palatino Linotype" w:hAnsi="Palatino Linotype" w:cs="Palatino Linotype"/>
        </w:rPr>
        <w:t>,</w:t>
      </w:r>
      <w:r w:rsidRPr="00481C9B">
        <w:rPr>
          <w:rFonts w:ascii="Palatino Linotype" w:eastAsia="Palatino Linotype" w:hAnsi="Palatino Linotype" w:cs="Palatino Linotype"/>
          <w:b/>
        </w:rPr>
        <w:t xml:space="preserve"> </w:t>
      </w:r>
      <w:r w:rsidRPr="00481C9B">
        <w:rPr>
          <w:rFonts w:ascii="Palatino Linotype" w:eastAsia="Palatino Linotype" w:hAnsi="Palatino Linotype" w:cs="Palatino Linotype"/>
        </w:rPr>
        <w:t xml:space="preserve">en lo sucesivo el </w:t>
      </w:r>
      <w:r w:rsidRPr="00481C9B">
        <w:rPr>
          <w:rFonts w:ascii="Palatino Linotype" w:eastAsia="Palatino Linotype" w:hAnsi="Palatino Linotype" w:cs="Palatino Linotype"/>
          <w:b/>
        </w:rPr>
        <w:t>SUJETO OBLIGADO</w:t>
      </w:r>
      <w:r w:rsidRPr="00481C9B">
        <w:rPr>
          <w:rFonts w:ascii="Palatino Linotype" w:eastAsia="Palatino Linotype" w:hAnsi="Palatino Linotype" w:cs="Palatino Linotype"/>
        </w:rPr>
        <w:t xml:space="preserve">, se procede a dictar la presente resolución con base en los siguientes: </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center"/>
        <w:rPr>
          <w:rFonts w:ascii="Palatino Linotype" w:eastAsia="Palatino Linotype" w:hAnsi="Palatino Linotype" w:cs="Palatino Linotype"/>
          <w:b/>
        </w:rPr>
      </w:pPr>
      <w:r w:rsidRPr="00481C9B">
        <w:rPr>
          <w:rFonts w:ascii="Palatino Linotype" w:eastAsia="Palatino Linotype" w:hAnsi="Palatino Linotype" w:cs="Palatino Linotype"/>
          <w:b/>
        </w:rPr>
        <w:t>I. A N T E C E D E N T E S</w:t>
      </w:r>
    </w:p>
    <w:p w:rsidR="003D2202" w:rsidRPr="00481C9B" w:rsidRDefault="003D2202">
      <w:pPr>
        <w:rPr>
          <w:sz w:val="28"/>
          <w:szCs w:val="28"/>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b/>
        </w:rPr>
        <w:t>1. Solicitud de acceso a la información.</w:t>
      </w:r>
      <w:r w:rsidRPr="00481C9B">
        <w:rPr>
          <w:rFonts w:ascii="Palatino Linotype" w:eastAsia="Palatino Linotype" w:hAnsi="Palatino Linotype" w:cs="Palatino Linotype"/>
        </w:rPr>
        <w:t xml:space="preserve"> El </w:t>
      </w:r>
      <w:r w:rsidRPr="00481C9B">
        <w:rPr>
          <w:rFonts w:ascii="Palatino Linotype" w:eastAsia="Palatino Linotype" w:hAnsi="Palatino Linotype" w:cs="Palatino Linotype"/>
          <w:b/>
        </w:rPr>
        <w:t>veintinueve de marzo de dos mil veintidós</w:t>
      </w:r>
      <w:r w:rsidRPr="00481C9B">
        <w:rPr>
          <w:rFonts w:ascii="Palatino Linotype" w:eastAsia="Palatino Linotype" w:hAnsi="Palatino Linotype" w:cs="Palatino Linotype"/>
        </w:rPr>
        <w:t xml:space="preserve">, el </w:t>
      </w:r>
      <w:r w:rsidRPr="00481C9B">
        <w:rPr>
          <w:rFonts w:ascii="Palatino Linotype" w:eastAsia="Palatino Linotype" w:hAnsi="Palatino Linotype" w:cs="Palatino Linotype"/>
          <w:b/>
        </w:rPr>
        <w:t xml:space="preserve">RECURRENTE </w:t>
      </w:r>
      <w:r w:rsidRPr="00481C9B">
        <w:rPr>
          <w:rFonts w:ascii="Palatino Linotype" w:eastAsia="Palatino Linotype" w:hAnsi="Palatino Linotype" w:cs="Palatino Linotype"/>
        </w:rPr>
        <w:t>presentó a través del Sistema de Acceso a la Información Mexiquense (</w:t>
      </w:r>
      <w:r w:rsidRPr="00481C9B">
        <w:rPr>
          <w:rFonts w:ascii="Palatino Linotype" w:eastAsia="Palatino Linotype" w:hAnsi="Palatino Linotype" w:cs="Palatino Linotype"/>
          <w:b/>
        </w:rPr>
        <w:t>SAIMEX)</w:t>
      </w:r>
      <w:r w:rsidRPr="00481C9B">
        <w:rPr>
          <w:rFonts w:ascii="Palatino Linotype" w:eastAsia="Palatino Linotype" w:hAnsi="Palatino Linotype" w:cs="Palatino Linotype"/>
        </w:rPr>
        <w:t xml:space="preserve">, la solicitud de acceso a la información pública registrada con el número </w:t>
      </w:r>
      <w:r w:rsidRPr="00481C9B">
        <w:rPr>
          <w:rFonts w:ascii="Palatino Linotype" w:eastAsia="Palatino Linotype" w:hAnsi="Palatino Linotype" w:cs="Palatino Linotype"/>
          <w:b/>
        </w:rPr>
        <w:t xml:space="preserve">00180/TEXCOCO/IP/2022 </w:t>
      </w:r>
      <w:r w:rsidRPr="00481C9B">
        <w:rPr>
          <w:rFonts w:ascii="Palatino Linotype" w:eastAsia="Palatino Linotype" w:hAnsi="Palatino Linotype" w:cs="Palatino Linotype"/>
        </w:rPr>
        <w:t xml:space="preserve">mediante la cual requirió la información siguiente: </w:t>
      </w:r>
    </w:p>
    <w:p w:rsidR="003D2202" w:rsidRPr="00481C9B" w:rsidRDefault="003D2202">
      <w:pPr>
        <w:spacing w:line="360" w:lineRule="auto"/>
      </w:pP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bookmarkStart w:id="1" w:name="_heading=h.gjdgxs" w:colFirst="0" w:colLast="0"/>
      <w:bookmarkEnd w:id="1"/>
      <w:r w:rsidRPr="00481C9B">
        <w:rPr>
          <w:rFonts w:ascii="Palatino Linotype" w:eastAsia="Palatino Linotype" w:hAnsi="Palatino Linotype" w:cs="Palatino Linotype"/>
          <w:i/>
          <w:sz w:val="22"/>
          <w:szCs w:val="22"/>
        </w:rPr>
        <w:t xml:space="preserve">“1. ¿Cuál es el monto de la deuda con la con CFE del H. Ayuntamiento? 2. Solicitud de la copia de la factura de los gastos de la presidencia municipal desde enero de 2022 3. ¿Cuántos pagos se han realizado para publicidad gubernamental, inserciones pagadas u otros relativos a medios de comunicación? Solicito lista de las personas o empresas que recibieron el pago, motivo del mismo, fecha de contrato en caso de existir de cada uno, fecha de pago y modalidad del mismo y principalmente la cantidad de dinero del pago. 4. Solicitud de los expedientes de las licitaciones directas o con invitación a tres proveedores con todo y las actas de las empresas. Desde el inicio de la administración a </w:t>
      </w:r>
      <w:r w:rsidRPr="00481C9B">
        <w:rPr>
          <w:rFonts w:ascii="Palatino Linotype" w:eastAsia="Palatino Linotype" w:hAnsi="Palatino Linotype" w:cs="Palatino Linotype"/>
          <w:i/>
          <w:sz w:val="22"/>
          <w:szCs w:val="22"/>
        </w:rPr>
        <w:lastRenderedPageBreak/>
        <w:t>la fecha 5. ¿Cuál es la telefonía local y móvil que se utiliza para el H. Ayuntamiento y que costo mensual tiene? Servicio de conmutador, líneas telefónicas, aparatos celulares y de qué marca son. Especificar nombre de la compañía, representante legal y montos. 6. ¿Existe un sistema de auditoría, seguimiento y control financiero y cuál es?”. (Sic)</w:t>
      </w:r>
    </w:p>
    <w:p w:rsidR="003D2202" w:rsidRPr="00481C9B" w:rsidRDefault="003D2202">
      <w:pPr>
        <w:spacing w:line="276" w:lineRule="auto"/>
        <w:ind w:right="900"/>
        <w:jc w:val="both"/>
        <w:rPr>
          <w:rFonts w:ascii="Palatino Linotype" w:eastAsia="Palatino Linotype" w:hAnsi="Palatino Linotype" w:cs="Palatino Linotype"/>
          <w:sz w:val="22"/>
          <w:szCs w:val="22"/>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b/>
        </w:rPr>
        <w:t>Modalidad de Entrega:</w:t>
      </w:r>
      <w:r w:rsidRPr="00481C9B">
        <w:rPr>
          <w:rFonts w:ascii="Palatino Linotype" w:eastAsia="Palatino Linotype" w:hAnsi="Palatino Linotype" w:cs="Palatino Linotype"/>
        </w:rPr>
        <w:t xml:space="preserve"> A través del Sistema de Acceso a la Información Mexiquense (SAIMEX).</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bookmarkStart w:id="2" w:name="_heading=h.30j0zll" w:colFirst="0" w:colLast="0"/>
      <w:bookmarkEnd w:id="2"/>
      <w:r w:rsidRPr="00481C9B">
        <w:rPr>
          <w:rFonts w:ascii="Palatino Linotype" w:eastAsia="Palatino Linotype" w:hAnsi="Palatino Linotype" w:cs="Palatino Linotype"/>
          <w:b/>
        </w:rPr>
        <w:t>2.</w:t>
      </w:r>
      <w:r w:rsidRPr="00481C9B">
        <w:rPr>
          <w:rFonts w:ascii="Palatino Linotype" w:eastAsia="Palatino Linotype" w:hAnsi="Palatino Linotype" w:cs="Palatino Linotype"/>
        </w:rPr>
        <w:t xml:space="preserve"> </w:t>
      </w:r>
      <w:r w:rsidRPr="00481C9B">
        <w:rPr>
          <w:rFonts w:ascii="Palatino Linotype" w:eastAsia="Palatino Linotype" w:hAnsi="Palatino Linotype" w:cs="Palatino Linotype"/>
          <w:b/>
        </w:rPr>
        <w:t xml:space="preserve">Respuesta. </w:t>
      </w:r>
      <w:r w:rsidRPr="00481C9B">
        <w:rPr>
          <w:rFonts w:ascii="Palatino Linotype" w:eastAsia="Palatino Linotype" w:hAnsi="Palatino Linotype" w:cs="Palatino Linotype"/>
        </w:rPr>
        <w:t xml:space="preserve">De las constancias que obran en SAIMEX, se observa que el </w:t>
      </w:r>
      <w:r w:rsidRPr="00481C9B">
        <w:rPr>
          <w:rFonts w:ascii="Palatino Linotype" w:eastAsia="Palatino Linotype" w:hAnsi="Palatino Linotype" w:cs="Palatino Linotype"/>
          <w:b/>
        </w:rPr>
        <w:t>Sujeto Obligado</w:t>
      </w:r>
      <w:r w:rsidRPr="00481C9B">
        <w:rPr>
          <w:rFonts w:ascii="Palatino Linotype" w:eastAsia="Palatino Linotype" w:hAnsi="Palatino Linotype" w:cs="Palatino Linotype"/>
        </w:rPr>
        <w:t xml:space="preserve"> no emitió respuesta a la solicitud de información presentada por el Particular.</w:t>
      </w: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 </w:t>
      </w:r>
    </w:p>
    <w:p w:rsidR="003D2202" w:rsidRPr="00481C9B" w:rsidRDefault="0039799B">
      <w:pPr>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b/>
        </w:rPr>
        <w:t xml:space="preserve">3. Interposición del recurso de revisión.  </w:t>
      </w:r>
      <w:r w:rsidRPr="00481C9B">
        <w:rPr>
          <w:rFonts w:ascii="Palatino Linotype" w:eastAsia="Palatino Linotype" w:hAnsi="Palatino Linotype" w:cs="Palatino Linotype"/>
        </w:rPr>
        <w:t xml:space="preserve">El </w:t>
      </w:r>
      <w:r w:rsidRPr="00481C9B">
        <w:rPr>
          <w:rFonts w:ascii="Palatino Linotype" w:eastAsia="Palatino Linotype" w:hAnsi="Palatino Linotype" w:cs="Palatino Linotype"/>
          <w:b/>
        </w:rPr>
        <w:t>tres de mayo de dos mil veintidós</w:t>
      </w:r>
      <w:r w:rsidRPr="00481C9B">
        <w:rPr>
          <w:rFonts w:ascii="Palatino Linotype" w:eastAsia="Palatino Linotype" w:hAnsi="Palatino Linotype" w:cs="Palatino Linotype"/>
        </w:rPr>
        <w:t>,</w:t>
      </w:r>
      <w:r w:rsidRPr="00481C9B">
        <w:rPr>
          <w:rFonts w:ascii="Palatino Linotype" w:eastAsia="Palatino Linotype" w:hAnsi="Palatino Linotype" w:cs="Palatino Linotype"/>
          <w:b/>
        </w:rPr>
        <w:t xml:space="preserve"> </w:t>
      </w:r>
      <w:r w:rsidRPr="00481C9B">
        <w:rPr>
          <w:rFonts w:ascii="Palatino Linotype" w:eastAsia="Palatino Linotype" w:hAnsi="Palatino Linotype" w:cs="Palatino Linotype"/>
        </w:rPr>
        <w:t xml:space="preserve">el </w:t>
      </w:r>
      <w:r w:rsidRPr="00481C9B">
        <w:rPr>
          <w:rFonts w:ascii="Palatino Linotype" w:eastAsia="Palatino Linotype" w:hAnsi="Palatino Linotype" w:cs="Palatino Linotype"/>
          <w:b/>
        </w:rPr>
        <w:t>RECURRENTE</w:t>
      </w:r>
      <w:r w:rsidRPr="00481C9B">
        <w:rPr>
          <w:rFonts w:ascii="Palatino Linotype" w:eastAsia="Palatino Linotype" w:hAnsi="Palatino Linotype" w:cs="Palatino Linotype"/>
        </w:rPr>
        <w:t xml:space="preserve"> presentó el recurso de revisión en el que manifestó lo siguiente:</w:t>
      </w:r>
    </w:p>
    <w:p w:rsidR="003D2202" w:rsidRPr="00481C9B" w:rsidRDefault="003D2202">
      <w:pPr>
        <w:spacing w:line="360" w:lineRule="auto"/>
        <w:ind w:right="49"/>
        <w:jc w:val="both"/>
        <w:rPr>
          <w:rFonts w:ascii="Palatino Linotype" w:eastAsia="Palatino Linotype" w:hAnsi="Palatino Linotype" w:cs="Palatino Linotype"/>
        </w:rPr>
      </w:pPr>
    </w:p>
    <w:p w:rsidR="003D2202" w:rsidRPr="00481C9B" w:rsidRDefault="0039799B">
      <w:pPr>
        <w:spacing w:line="360" w:lineRule="auto"/>
        <w:ind w:left="567" w:right="616"/>
        <w:jc w:val="both"/>
        <w:rPr>
          <w:rFonts w:ascii="Palatino Linotype" w:eastAsia="Palatino Linotype" w:hAnsi="Palatino Linotype" w:cs="Palatino Linotype"/>
          <w:b/>
        </w:rPr>
      </w:pPr>
      <w:r w:rsidRPr="00481C9B">
        <w:rPr>
          <w:rFonts w:ascii="Palatino Linotype" w:eastAsia="Palatino Linotype" w:hAnsi="Palatino Linotype" w:cs="Palatino Linotype"/>
          <w:b/>
        </w:rPr>
        <w:t xml:space="preserve">Acto impugnado: </w:t>
      </w:r>
      <w:r w:rsidRPr="00481C9B">
        <w:rPr>
          <w:rFonts w:ascii="Palatino Linotype" w:eastAsia="Palatino Linotype" w:hAnsi="Palatino Linotype" w:cs="Palatino Linotype"/>
          <w:i/>
          <w:sz w:val="22"/>
          <w:szCs w:val="22"/>
        </w:rPr>
        <w:t xml:space="preserve">“1. ¿Cuál es el monto de la deuda con la con CFE del H. Ayuntamiento? 2. Solicitud de la copia de la factura de los gastos de la presidencia municipal desde enero de 2022 3. ¿Cuántos pagos se han realizado para publicidad gubernamental, inserciones pagadas u otros relativos a medios de comunicación? Solicito lista de las personas o empresas que recibieron el pago, motivo del mismo, fecha de contrato en caso de existir de cada uno, fecha de pago y modalidad del mismo y principalmente la cantidad de dinero del pago. 4. Solicitud de los expedientes de las licitaciones directas o con invitación a tres proveedores con todo y las actas de las empresas. Desde el inicio de la administración a la fecha 5. ¿Cuál es la telefonía local y móvil que se utiliza para el H. Ayuntamiento y que costo mensual tiene? Servicio de conmutador, líneas telefónicas, aparatos celulares y de qué marca son. Especificar </w:t>
      </w:r>
      <w:r w:rsidRPr="00481C9B">
        <w:rPr>
          <w:rFonts w:ascii="Palatino Linotype" w:eastAsia="Palatino Linotype" w:hAnsi="Palatino Linotype" w:cs="Palatino Linotype"/>
          <w:i/>
          <w:sz w:val="22"/>
          <w:szCs w:val="22"/>
        </w:rPr>
        <w:lastRenderedPageBreak/>
        <w:t xml:space="preserve">nombre de la compañía, representante legal y montos. 6. ¿Existe un sistema de auditoria, seguimiento y control financiero y cuál es?”. </w:t>
      </w:r>
    </w:p>
    <w:p w:rsidR="003D2202" w:rsidRPr="00481C9B" w:rsidRDefault="003D2202">
      <w:pPr>
        <w:spacing w:line="360" w:lineRule="auto"/>
        <w:ind w:left="567" w:right="616"/>
        <w:jc w:val="both"/>
        <w:rPr>
          <w:rFonts w:ascii="Palatino Linotype" w:eastAsia="Palatino Linotype" w:hAnsi="Palatino Linotype" w:cs="Palatino Linotype"/>
          <w:i/>
          <w:sz w:val="22"/>
          <w:szCs w:val="22"/>
        </w:rPr>
      </w:pPr>
    </w:p>
    <w:p w:rsidR="003D2202" w:rsidRPr="00481C9B" w:rsidRDefault="0039799B">
      <w:pPr>
        <w:spacing w:line="360" w:lineRule="auto"/>
        <w:ind w:left="567" w:right="616"/>
        <w:jc w:val="both"/>
        <w:rPr>
          <w:rFonts w:ascii="Palatino Linotype" w:eastAsia="Palatino Linotype" w:hAnsi="Palatino Linotype" w:cs="Palatino Linotype"/>
        </w:rPr>
      </w:pPr>
      <w:r w:rsidRPr="00481C9B">
        <w:rPr>
          <w:rFonts w:ascii="Palatino Linotype" w:eastAsia="Palatino Linotype" w:hAnsi="Palatino Linotype" w:cs="Palatino Linotype"/>
          <w:b/>
        </w:rPr>
        <w:t>Razones o motivos de inconformidad</w:t>
      </w:r>
      <w:r w:rsidRPr="00481C9B">
        <w:rPr>
          <w:rFonts w:ascii="Palatino Linotype" w:eastAsia="Palatino Linotype" w:hAnsi="Palatino Linotype" w:cs="Palatino Linotype"/>
        </w:rPr>
        <w:t>:</w:t>
      </w:r>
      <w:r w:rsidRPr="00481C9B">
        <w:rPr>
          <w:rFonts w:ascii="Palatino Linotype" w:eastAsia="Palatino Linotype" w:hAnsi="Palatino Linotype" w:cs="Palatino Linotype"/>
          <w:i/>
          <w:sz w:val="22"/>
          <w:szCs w:val="22"/>
        </w:rPr>
        <w:t>“No obtuve respuesta alguna a la solicitud de transparencia con el folio 00180/TEXCOCO/IP/2022, por lo que dicha acción señala el incumplimiento de las funciones de la Unidad de Transparencia contenidas en el artículo 53 de la Ley de Transparencia y Acceso a la Información Pública del Estado de México y Municipios, específicamente con lo señalado en las fracciones II respecto a: "Recibir, tramitar y dar respuesta a las solicitudes de acceso a la información"; y IV la cual señala dentro de sus funciones: "Entregar, en su caso, a los particulares la información solicitada”.</w:t>
      </w:r>
    </w:p>
    <w:p w:rsidR="003D2202" w:rsidRPr="00481C9B" w:rsidRDefault="003D2202">
      <w:pPr>
        <w:spacing w:line="360" w:lineRule="auto"/>
        <w:ind w:right="900"/>
        <w:jc w:val="both"/>
        <w:rPr>
          <w:rFonts w:ascii="Palatino Linotype" w:eastAsia="Palatino Linotype" w:hAnsi="Palatino Linotype" w:cs="Palatino Linotype"/>
          <w:i/>
          <w:sz w:val="22"/>
          <w:szCs w:val="22"/>
        </w:rPr>
      </w:pPr>
    </w:p>
    <w:p w:rsidR="003D2202" w:rsidRPr="00481C9B" w:rsidRDefault="003D2202">
      <w:pPr>
        <w:spacing w:line="360" w:lineRule="auto"/>
        <w:jc w:val="both"/>
        <w:rPr>
          <w:rFonts w:ascii="Palatino Linotype" w:eastAsia="Palatino Linotype" w:hAnsi="Palatino Linotype" w:cs="Palatino Linotype"/>
          <w:sz w:val="2"/>
          <w:szCs w:val="2"/>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b/>
        </w:rPr>
        <w:t>4. Turno.</w:t>
      </w:r>
      <w:r w:rsidRPr="00481C9B">
        <w:rPr>
          <w:rFonts w:ascii="Palatino Linotype" w:eastAsia="Palatino Linotype" w:hAnsi="Palatino Linotype" w:cs="Palatino Linotype"/>
          <w:b/>
          <w:sz w:val="28"/>
          <w:szCs w:val="28"/>
        </w:rPr>
        <w:t xml:space="preserve"> </w:t>
      </w:r>
      <w:r w:rsidRPr="00481C9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481C9B">
        <w:rPr>
          <w:rFonts w:ascii="Palatino Linotype" w:eastAsia="Palatino Linotype" w:hAnsi="Palatino Linotype" w:cs="Palatino Linotype"/>
          <w:b/>
        </w:rPr>
        <w:t xml:space="preserve">Comisionada Guadalupe Ramírez Peña, </w:t>
      </w:r>
      <w:r w:rsidRPr="00481C9B">
        <w:rPr>
          <w:rFonts w:ascii="Palatino Linotype" w:eastAsia="Palatino Linotype" w:hAnsi="Palatino Linotype" w:cs="Palatino Linotype"/>
        </w:rPr>
        <w:t>a efecto de que analizara sobre su admisión o su desechamiento.</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b/>
        </w:rPr>
        <w:t>5.</w:t>
      </w:r>
      <w:r w:rsidRPr="00481C9B">
        <w:rPr>
          <w:rFonts w:ascii="Palatino Linotype" w:eastAsia="Palatino Linotype" w:hAnsi="Palatino Linotype" w:cs="Palatino Linotype"/>
          <w:b/>
          <w:i/>
        </w:rPr>
        <w:t xml:space="preserve"> </w:t>
      </w:r>
      <w:r w:rsidRPr="00481C9B">
        <w:rPr>
          <w:rFonts w:ascii="Palatino Linotype" w:eastAsia="Palatino Linotype" w:hAnsi="Palatino Linotype" w:cs="Palatino Linotype"/>
          <w:b/>
        </w:rPr>
        <w:t>Admisión del Recurso de revisión.</w:t>
      </w:r>
      <w:r w:rsidRPr="00481C9B">
        <w:rPr>
          <w:rFonts w:ascii="Palatino Linotype" w:eastAsia="Palatino Linotype" w:hAnsi="Palatino Linotype" w:cs="Palatino Linotype"/>
          <w:sz w:val="28"/>
          <w:szCs w:val="28"/>
        </w:rPr>
        <w:t xml:space="preserve"> El</w:t>
      </w:r>
      <w:r w:rsidRPr="00481C9B">
        <w:rPr>
          <w:rFonts w:ascii="Palatino Linotype" w:eastAsia="Palatino Linotype" w:hAnsi="Palatino Linotype" w:cs="Palatino Linotype"/>
          <w:b/>
        </w:rPr>
        <w:t xml:space="preserve"> nueve de mayo de dos mil veintidós</w:t>
      </w:r>
      <w:r w:rsidRPr="00481C9B">
        <w:rPr>
          <w:rFonts w:ascii="Palatino Linotype" w:eastAsia="Palatino Linotype" w:hAnsi="Palatino Linotype" w:cs="Palatino Linotype"/>
        </w:rPr>
        <w:t>,</w:t>
      </w:r>
      <w:r w:rsidRPr="00481C9B">
        <w:rPr>
          <w:rFonts w:ascii="Palatino Linotype" w:eastAsia="Palatino Linotype" w:hAnsi="Palatino Linotype" w:cs="Palatino Linotype"/>
          <w:b/>
        </w:rPr>
        <w:t xml:space="preserve"> </w:t>
      </w:r>
      <w:r w:rsidRPr="00481C9B">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rsidR="003D2202" w:rsidRPr="00481C9B" w:rsidRDefault="0039799B">
      <w:pPr>
        <w:widowControl w:val="0"/>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b/>
        </w:rPr>
        <w:lastRenderedPageBreak/>
        <w:t>6. Manifestaciones</w:t>
      </w:r>
      <w:r w:rsidRPr="00481C9B">
        <w:rPr>
          <w:rFonts w:ascii="Palatino Linotype" w:eastAsia="Palatino Linotype" w:hAnsi="Palatino Linotype" w:cs="Palatino Linotype"/>
        </w:rPr>
        <w:t>.</w:t>
      </w:r>
      <w:r w:rsidRPr="00481C9B">
        <w:rPr>
          <w:rFonts w:ascii="Palatino Linotype" w:eastAsia="Palatino Linotype" w:hAnsi="Palatino Linotype" w:cs="Palatino Linotype"/>
          <w:sz w:val="28"/>
          <w:szCs w:val="28"/>
        </w:rPr>
        <w:t xml:space="preserve"> </w:t>
      </w:r>
      <w:r w:rsidRPr="00481C9B">
        <w:rPr>
          <w:rFonts w:ascii="Palatino Linotype" w:eastAsia="Palatino Linotype" w:hAnsi="Palatino Linotype" w:cs="Palatino Linotype"/>
        </w:rPr>
        <w:t xml:space="preserve">En cuanto hace al Particular, es de señalar que no realizó manifestaciones, por su parte, el Sujeto Obligado en fecha </w:t>
      </w:r>
      <w:r w:rsidRPr="00481C9B">
        <w:rPr>
          <w:rFonts w:ascii="Palatino Linotype" w:eastAsia="Palatino Linotype" w:hAnsi="Palatino Linotype" w:cs="Palatino Linotype"/>
          <w:b/>
        </w:rPr>
        <w:t>diecisiete de mayo de dos mil veintidós</w:t>
      </w:r>
      <w:r w:rsidRPr="00481C9B">
        <w:rPr>
          <w:rFonts w:ascii="Palatino Linotype" w:eastAsia="Palatino Linotype" w:hAnsi="Palatino Linotype" w:cs="Palatino Linotype"/>
        </w:rPr>
        <w:t>,</w:t>
      </w:r>
      <w:r w:rsidRPr="00481C9B">
        <w:rPr>
          <w:rFonts w:ascii="Palatino Linotype" w:eastAsia="Palatino Linotype" w:hAnsi="Palatino Linotype" w:cs="Palatino Linotype"/>
          <w:b/>
        </w:rPr>
        <w:t xml:space="preserve"> </w:t>
      </w:r>
      <w:r w:rsidRPr="00481C9B">
        <w:rPr>
          <w:rFonts w:ascii="Palatino Linotype" w:eastAsia="Palatino Linotype" w:hAnsi="Palatino Linotype" w:cs="Palatino Linotype"/>
        </w:rPr>
        <w:t xml:space="preserve">rindió su informe justificado a través de los siguientes archivos: </w:t>
      </w:r>
    </w:p>
    <w:p w:rsidR="003D2202" w:rsidRPr="00481C9B" w:rsidRDefault="003D2202">
      <w:pPr>
        <w:widowControl w:val="0"/>
        <w:spacing w:line="360" w:lineRule="auto"/>
        <w:jc w:val="both"/>
        <w:rPr>
          <w:rFonts w:ascii="Palatino Linotype" w:eastAsia="Palatino Linotype" w:hAnsi="Palatino Linotype" w:cs="Palatino Linotype"/>
        </w:rPr>
      </w:pPr>
    </w:p>
    <w:p w:rsidR="003D2202" w:rsidRPr="00481C9B" w:rsidRDefault="0039799B">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Acta de presentación, apertura y evaluación de propuestas Licitación Pública Número TEX/CAYS/LP/DGA/001/2022 celebrada para realizar el arrendamiento de parquímetros y equipo complementario destinados a la prestación del servicio del estacionamiento en la vía pública, instalación, puesta en marcha, operación, mantenimiento y administración de parquímetros y dictamen. </w:t>
      </w:r>
    </w:p>
    <w:p w:rsidR="003D2202" w:rsidRPr="00481C9B" w:rsidRDefault="003D2202">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rsidR="003D2202" w:rsidRPr="00481C9B" w:rsidRDefault="0039799B">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Oficio número 1.11.11/CIM/169/2022 de fecha veintidós de abril de dos mil veintidós, signado por la Contralora Interna Municipal, mediante el cual informa que respecto a los puntos uno y dos, el órgano competente para entregar la información es la Tesorería Municipal y, respecto a los numerales tres, cuatro y cinco, corresponde a la Dirección de Administración. Asimismo, señala que el Órgano de Control por medio de sus jefaturas cuenta con las facultades para realizar auditorías normadas por lo dispuesto en el artículo 112 fracciones V y XII de la Ley Orgánica Municipal del Estado de México, 44 y 47 fracciones III y IV del Bando de Gobierno del Municipio de Texcoco, así como artículos 10, fracciones I, III, IV, IX y X y 11 fracciones III, IV, VII del Reglamento Interno de la Contraloría Municipal. </w:t>
      </w:r>
    </w:p>
    <w:p w:rsidR="003D2202" w:rsidRPr="00481C9B" w:rsidRDefault="003D2202">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rsidR="003D2202" w:rsidRPr="00481C9B" w:rsidRDefault="0039799B">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Acta de la Junta de Declaraciones de la Licitación Pública número TEX/CAYS/LP/DGA/001/2022 relativa al arrendamiento de parquímetros y equipo complementario destinados a la prestación del servicio de estacionamiento en la vía pública, instalación, puesta en marcha, operación, </w:t>
      </w:r>
      <w:r w:rsidRPr="00481C9B">
        <w:rPr>
          <w:rFonts w:ascii="Palatino Linotype" w:eastAsia="Palatino Linotype" w:hAnsi="Palatino Linotype" w:cs="Palatino Linotype"/>
          <w:sz w:val="22"/>
          <w:szCs w:val="22"/>
        </w:rPr>
        <w:lastRenderedPageBreak/>
        <w:t xml:space="preserve">mantenimiento y administración de parquímetros. </w:t>
      </w:r>
    </w:p>
    <w:p w:rsidR="003D2202" w:rsidRPr="00481C9B" w:rsidRDefault="003D2202">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rsidR="003D2202" w:rsidRPr="00481C9B" w:rsidRDefault="0039799B">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Oficio de fecha diecisiete de mayo de dos mil veintidós, signado por el Titular de la Unidad de Transparencia, mediante el cual informa lo siguiente: </w:t>
      </w:r>
    </w:p>
    <w:p w:rsidR="003D2202" w:rsidRPr="00481C9B" w:rsidRDefault="003D2202">
      <w:pPr>
        <w:widowControl w:val="0"/>
        <w:pBdr>
          <w:top w:val="nil"/>
          <w:left w:val="nil"/>
          <w:bottom w:val="nil"/>
          <w:right w:val="nil"/>
          <w:between w:val="nil"/>
        </w:pBdr>
        <w:spacing w:line="360" w:lineRule="auto"/>
        <w:ind w:left="1134"/>
        <w:jc w:val="both"/>
        <w:rPr>
          <w:rFonts w:ascii="Palatino Linotype" w:eastAsia="Palatino Linotype" w:hAnsi="Palatino Linotype" w:cs="Palatino Linotype"/>
          <w:sz w:val="22"/>
          <w:szCs w:val="22"/>
        </w:rPr>
      </w:pPr>
    </w:p>
    <w:p w:rsidR="003D2202" w:rsidRPr="00481C9B" w:rsidRDefault="0039799B">
      <w:pPr>
        <w:widowControl w:val="0"/>
        <w:pBdr>
          <w:top w:val="nil"/>
          <w:left w:val="nil"/>
          <w:bottom w:val="nil"/>
          <w:right w:val="nil"/>
          <w:between w:val="nil"/>
        </w:pBdr>
        <w:spacing w:line="360" w:lineRule="auto"/>
        <w:ind w:left="1134"/>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1. ¿Cuál es el monto de la deuda con la con CFE del H. Ayuntamiento?</w:t>
      </w:r>
    </w:p>
    <w:p w:rsidR="003D2202" w:rsidRPr="00481C9B" w:rsidRDefault="0039799B">
      <w:pPr>
        <w:widowControl w:val="0"/>
        <w:pBdr>
          <w:top w:val="nil"/>
          <w:left w:val="nil"/>
          <w:bottom w:val="nil"/>
          <w:right w:val="nil"/>
          <w:between w:val="nil"/>
        </w:pBdr>
        <w:spacing w:line="360" w:lineRule="auto"/>
        <w:ind w:left="1134"/>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R. Que con la finalidad de que el recurrente merezca su conformidad, la Tesorería del H. Ayuntamiento de Texcoco le manifiesta la comprobación detallada al 31 de marzo del 2022.</w:t>
      </w:r>
    </w:p>
    <w:p w:rsidR="003D2202" w:rsidRPr="00481C9B" w:rsidRDefault="0039799B">
      <w:pPr>
        <w:widowControl w:val="0"/>
        <w:pBdr>
          <w:top w:val="nil"/>
          <w:left w:val="nil"/>
          <w:bottom w:val="nil"/>
          <w:right w:val="nil"/>
          <w:between w:val="nil"/>
        </w:pBdr>
        <w:spacing w:line="360" w:lineRule="auto"/>
        <w:ind w:left="1134" w:right="474"/>
        <w:jc w:val="center"/>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noProof/>
          <w:sz w:val="22"/>
          <w:szCs w:val="22"/>
          <w:lang w:val="es-MX"/>
        </w:rPr>
        <w:drawing>
          <wp:inline distT="0" distB="0" distL="0" distR="0">
            <wp:extent cx="4667901" cy="1247949"/>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667901" cy="1247949"/>
                    </a:xfrm>
                    <a:prstGeom prst="rect">
                      <a:avLst/>
                    </a:prstGeom>
                    <a:ln/>
                  </pic:spPr>
                </pic:pic>
              </a:graphicData>
            </a:graphic>
          </wp:inline>
        </w:drawing>
      </w:r>
    </w:p>
    <w:p w:rsidR="003D2202" w:rsidRPr="00481C9B" w:rsidRDefault="003D2202">
      <w:pPr>
        <w:widowControl w:val="0"/>
        <w:pBdr>
          <w:top w:val="nil"/>
          <w:left w:val="nil"/>
          <w:bottom w:val="nil"/>
          <w:right w:val="nil"/>
          <w:between w:val="nil"/>
        </w:pBdr>
        <w:spacing w:line="360" w:lineRule="auto"/>
        <w:ind w:left="1134"/>
        <w:jc w:val="both"/>
        <w:rPr>
          <w:rFonts w:ascii="Palatino Linotype" w:eastAsia="Palatino Linotype" w:hAnsi="Palatino Linotype" w:cs="Palatino Linotype"/>
        </w:rPr>
      </w:pPr>
    </w:p>
    <w:p w:rsidR="003D2202" w:rsidRPr="00481C9B" w:rsidRDefault="0039799B">
      <w:pPr>
        <w:widowControl w:val="0"/>
        <w:pBdr>
          <w:top w:val="nil"/>
          <w:left w:val="nil"/>
          <w:bottom w:val="nil"/>
          <w:right w:val="nil"/>
          <w:between w:val="nil"/>
        </w:pBdr>
        <w:tabs>
          <w:tab w:val="left" w:pos="567"/>
        </w:tabs>
        <w:spacing w:line="360" w:lineRule="auto"/>
        <w:ind w:left="1134"/>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2. ¿Que los gastos de la presidencia municipal desde enero de 2022; sc es por concepto de alimentos, al respecto se adjunta copia de facturas (ANEX 1/FACTURAS/DDA78)</w:t>
      </w:r>
    </w:p>
    <w:p w:rsidR="003D2202" w:rsidRPr="00481C9B" w:rsidRDefault="003D2202">
      <w:pPr>
        <w:widowControl w:val="0"/>
        <w:pBdr>
          <w:top w:val="nil"/>
          <w:left w:val="nil"/>
          <w:bottom w:val="nil"/>
          <w:right w:val="nil"/>
          <w:between w:val="nil"/>
        </w:pBdr>
        <w:tabs>
          <w:tab w:val="left" w:pos="567"/>
        </w:tabs>
        <w:spacing w:line="360" w:lineRule="auto"/>
        <w:ind w:left="1134"/>
        <w:jc w:val="both"/>
        <w:rPr>
          <w:rFonts w:ascii="Palatino Linotype" w:eastAsia="Palatino Linotype" w:hAnsi="Palatino Linotype" w:cs="Palatino Linotype"/>
          <w:i/>
          <w:sz w:val="22"/>
          <w:szCs w:val="22"/>
        </w:rPr>
      </w:pPr>
    </w:p>
    <w:p w:rsidR="003D2202" w:rsidRPr="00481C9B" w:rsidRDefault="0039799B">
      <w:pPr>
        <w:widowControl w:val="0"/>
        <w:pBdr>
          <w:top w:val="nil"/>
          <w:left w:val="nil"/>
          <w:bottom w:val="nil"/>
          <w:right w:val="nil"/>
          <w:between w:val="nil"/>
        </w:pBdr>
        <w:tabs>
          <w:tab w:val="left" w:pos="567"/>
        </w:tabs>
        <w:spacing w:line="360" w:lineRule="auto"/>
        <w:ind w:left="1134" w:right="333"/>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Respecto de los cuestionamientos 3 y 4 donde hacen referencia a ¿Cuántos pagos se han realizado para publicidad gubernamental, inserciones pagadas u otros relativos a medios de comunicación? y donde solicita lista de las personas o empresas que recibieron el pago, motivo del mismo, fecha de contrato en caso de existir de cada uno, fecha de pago y modalidad del mismo y principalmente la cantidad de dinero del pago, se le hace saber que, en el ANEXO II Y III hallará que la empresa participante es Impresos Puntual S. A. de RL de CV, con fecha de contrato del 17 de enero de 2022, la modalidad de pago no se ha establecido y en consecuencia no se ha realizado ningún pago por la cantidad de $8120.00 (ochomil ciento veinte pesos M.N. 00/100), </w:t>
      </w:r>
      <w:r w:rsidRPr="00481C9B">
        <w:rPr>
          <w:rFonts w:ascii="Palatino Linotype" w:eastAsia="Palatino Linotype" w:hAnsi="Palatino Linotype" w:cs="Palatino Linotype"/>
          <w:i/>
          <w:sz w:val="22"/>
          <w:szCs w:val="22"/>
        </w:rPr>
        <w:lastRenderedPageBreak/>
        <w:t>Se anexa información en versión PDF (ANEXO II y III).</w:t>
      </w:r>
    </w:p>
    <w:p w:rsidR="003D2202" w:rsidRPr="00481C9B" w:rsidRDefault="0039799B">
      <w:pPr>
        <w:widowControl w:val="0"/>
        <w:pBdr>
          <w:top w:val="nil"/>
          <w:left w:val="nil"/>
          <w:bottom w:val="nil"/>
          <w:right w:val="nil"/>
          <w:between w:val="nil"/>
        </w:pBdr>
        <w:tabs>
          <w:tab w:val="left" w:pos="567"/>
        </w:tabs>
        <w:spacing w:line="360" w:lineRule="auto"/>
        <w:ind w:left="1134" w:right="333"/>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4. Ahora entonces y en cuanto a la solicitud de los expedientes de las licitaciones directas o con invitación a tres proveedores con todo y las actas de las empresas. Desde el inicio de la administración a la fecha se adjuntan e el actual (ANEXO II, III y CONVOCATORIA). Y se le hace saber que en dicho: anexos encontrará el EXPEDINTE DE LICITACIÓN PÚBLICA NÚM/TEX/CAYS/LP/DGA/001/2022.</w:t>
      </w:r>
    </w:p>
    <w:p w:rsidR="003D2202" w:rsidRPr="00481C9B" w:rsidRDefault="0039799B">
      <w:pPr>
        <w:widowControl w:val="0"/>
        <w:pBdr>
          <w:top w:val="nil"/>
          <w:left w:val="nil"/>
          <w:bottom w:val="nil"/>
          <w:right w:val="nil"/>
          <w:between w:val="nil"/>
        </w:pBdr>
        <w:tabs>
          <w:tab w:val="left" w:pos="567"/>
        </w:tabs>
        <w:spacing w:line="360" w:lineRule="auto"/>
        <w:ind w:left="1134" w:right="333"/>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Luego entonces, ¿Cuál es la telefonía local y móvil que se utiliza para el H Ayuntamiento y que costo mensual tiene? Los servicios de telefonía corresponden a Teléfonos de México (TELMEX). Y el costo mensual asciende a $75,167.82 (Setenta y cinco mil ciento sesenta y siete mil pesos 82/100 M.N.). </w:t>
      </w:r>
    </w:p>
    <w:p w:rsidR="003D2202" w:rsidRPr="00481C9B" w:rsidRDefault="0039799B">
      <w:pPr>
        <w:widowControl w:val="0"/>
        <w:pBdr>
          <w:top w:val="nil"/>
          <w:left w:val="nil"/>
          <w:bottom w:val="nil"/>
          <w:right w:val="nil"/>
          <w:between w:val="nil"/>
        </w:pBdr>
        <w:tabs>
          <w:tab w:val="left" w:pos="567"/>
        </w:tabs>
        <w:spacing w:line="360" w:lineRule="auto"/>
        <w:ind w:left="1134" w:right="333"/>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Del servicio del conmutador, líneas telefónicas, aparatos celulares y de qué marca son; Le informo que, esta administración no cuenta con servicios ni teléfonos móviles, que la marca de teléfono base son equipos convencionales. Y se especificar nombre de la compañía es TELMEX y no se cuenta con un representante legal y se reitera que el monto es: $75,167.82 (Setenta y cinco mil ciento sesenta y siete mil pesos 82/100 M.N.).</w:t>
      </w:r>
    </w:p>
    <w:p w:rsidR="003D2202" w:rsidRPr="00481C9B" w:rsidRDefault="0039799B">
      <w:pPr>
        <w:widowControl w:val="0"/>
        <w:pBdr>
          <w:top w:val="nil"/>
          <w:left w:val="nil"/>
          <w:bottom w:val="nil"/>
          <w:right w:val="nil"/>
          <w:between w:val="nil"/>
        </w:pBdr>
        <w:tabs>
          <w:tab w:val="left" w:pos="567"/>
        </w:tabs>
        <w:spacing w:line="360" w:lineRule="auto"/>
        <w:ind w:left="1134" w:right="333"/>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Por otro lado, se le informa que, si existe un sistema de auditoría, ¿seguimiento y control financiero y cuál es? Así lo hace saber la Contraloría Interna en oficio con no. 1.11.11/CIM/169/2022(ANEXO IV) y que por medio de sus jefaturas cuenta con la facultad para realizar Auditorías normadas por lo dispuesto en la Ley en Materia.</w:t>
      </w:r>
    </w:p>
    <w:p w:rsidR="003D2202" w:rsidRPr="00481C9B" w:rsidRDefault="0039799B">
      <w:pPr>
        <w:widowControl w:val="0"/>
        <w:pBdr>
          <w:top w:val="nil"/>
          <w:left w:val="nil"/>
          <w:bottom w:val="nil"/>
          <w:right w:val="nil"/>
          <w:between w:val="nil"/>
        </w:pBdr>
        <w:tabs>
          <w:tab w:val="left" w:pos="567"/>
        </w:tabs>
        <w:spacing w:line="360" w:lineRule="auto"/>
        <w:ind w:left="1134" w:right="333"/>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Finalmente se adjunta Décima Sesión Ordinaria, con Número de Acuerdo ACUERDO/CT/TEX/10/DÉCIMA/2022, toda vez que se adjuntan contratos que contienen datos personales mismos que fueron revisados y analizados en Sesión de Comité.</w:t>
      </w:r>
    </w:p>
    <w:p w:rsidR="003D2202" w:rsidRPr="00481C9B" w:rsidRDefault="003D2202">
      <w:pPr>
        <w:widowControl w:val="0"/>
        <w:pBdr>
          <w:top w:val="nil"/>
          <w:left w:val="nil"/>
          <w:bottom w:val="nil"/>
          <w:right w:val="nil"/>
          <w:between w:val="nil"/>
        </w:pBdr>
        <w:tabs>
          <w:tab w:val="left" w:pos="567"/>
        </w:tabs>
        <w:spacing w:line="360" w:lineRule="auto"/>
        <w:ind w:left="567" w:right="333"/>
        <w:jc w:val="both"/>
        <w:rPr>
          <w:rFonts w:ascii="Palatino Linotype" w:eastAsia="Palatino Linotype" w:hAnsi="Palatino Linotype" w:cs="Palatino Linotype"/>
          <w:i/>
          <w:sz w:val="22"/>
          <w:szCs w:val="22"/>
        </w:rPr>
      </w:pPr>
    </w:p>
    <w:p w:rsidR="003D2202" w:rsidRPr="00481C9B" w:rsidRDefault="0039799B">
      <w:pPr>
        <w:widowControl w:val="0"/>
        <w:numPr>
          <w:ilvl w:val="0"/>
          <w:numId w:val="2"/>
        </w:numPr>
        <w:pBdr>
          <w:top w:val="nil"/>
          <w:left w:val="nil"/>
          <w:bottom w:val="nil"/>
          <w:right w:val="nil"/>
          <w:between w:val="nil"/>
        </w:pBdr>
        <w:tabs>
          <w:tab w:val="left" w:pos="567"/>
        </w:tabs>
        <w:spacing w:line="360" w:lineRule="auto"/>
        <w:ind w:right="333"/>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Acta de la Décima Sesión Ordinaria del Comité de Transparencia de fecha </w:t>
      </w:r>
      <w:r w:rsidRPr="00481C9B">
        <w:rPr>
          <w:rFonts w:ascii="Palatino Linotype" w:eastAsia="Palatino Linotype" w:hAnsi="Palatino Linotype" w:cs="Palatino Linotype"/>
          <w:sz w:val="22"/>
          <w:szCs w:val="22"/>
        </w:rPr>
        <w:lastRenderedPageBreak/>
        <w:t xml:space="preserve">nueve de mayo de dos mil veintidós, mediante el cual se aprueba la versión pública de la información requerido en la solicitud 00180/TEXCOCO/IP/2022. </w:t>
      </w:r>
    </w:p>
    <w:p w:rsidR="003D2202" w:rsidRPr="00481C9B" w:rsidRDefault="003D2202">
      <w:pPr>
        <w:widowControl w:val="0"/>
        <w:pBdr>
          <w:top w:val="nil"/>
          <w:left w:val="nil"/>
          <w:bottom w:val="nil"/>
          <w:right w:val="nil"/>
          <w:between w:val="nil"/>
        </w:pBdr>
        <w:tabs>
          <w:tab w:val="left" w:pos="567"/>
        </w:tabs>
        <w:spacing w:line="360" w:lineRule="auto"/>
        <w:ind w:left="567" w:right="333"/>
        <w:jc w:val="both"/>
        <w:rPr>
          <w:rFonts w:ascii="Palatino Linotype" w:eastAsia="Palatino Linotype" w:hAnsi="Palatino Linotype" w:cs="Palatino Linotype"/>
          <w:sz w:val="22"/>
          <w:szCs w:val="22"/>
        </w:rPr>
      </w:pPr>
    </w:p>
    <w:p w:rsidR="003D2202" w:rsidRPr="00481C9B" w:rsidRDefault="0039799B">
      <w:pPr>
        <w:widowControl w:val="0"/>
        <w:numPr>
          <w:ilvl w:val="0"/>
          <w:numId w:val="2"/>
        </w:numPr>
        <w:pBdr>
          <w:top w:val="nil"/>
          <w:left w:val="nil"/>
          <w:bottom w:val="nil"/>
          <w:right w:val="nil"/>
          <w:between w:val="nil"/>
        </w:pBdr>
        <w:tabs>
          <w:tab w:val="left" w:pos="567"/>
        </w:tabs>
        <w:spacing w:line="360" w:lineRule="auto"/>
        <w:ind w:right="333"/>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Facturas por consumo de alimentos de fechas trece de enero de dos mil veintidós y del uno de marzo de dos mil veintidós, en versión pública. </w:t>
      </w:r>
    </w:p>
    <w:p w:rsidR="003D2202" w:rsidRPr="00481C9B" w:rsidRDefault="003D2202">
      <w:pPr>
        <w:widowControl w:val="0"/>
        <w:pBdr>
          <w:top w:val="nil"/>
          <w:left w:val="nil"/>
          <w:bottom w:val="nil"/>
          <w:right w:val="nil"/>
          <w:between w:val="nil"/>
        </w:pBdr>
        <w:tabs>
          <w:tab w:val="left" w:pos="567"/>
        </w:tabs>
        <w:spacing w:line="360" w:lineRule="auto"/>
        <w:ind w:left="567" w:right="333"/>
        <w:jc w:val="both"/>
        <w:rPr>
          <w:rFonts w:ascii="Palatino Linotype" w:eastAsia="Palatino Linotype" w:hAnsi="Palatino Linotype" w:cs="Palatino Linotype"/>
          <w:sz w:val="22"/>
          <w:szCs w:val="22"/>
        </w:rPr>
      </w:pPr>
    </w:p>
    <w:p w:rsidR="003D2202" w:rsidRPr="00481C9B" w:rsidRDefault="0039799B">
      <w:pPr>
        <w:widowControl w:val="0"/>
        <w:numPr>
          <w:ilvl w:val="0"/>
          <w:numId w:val="2"/>
        </w:numPr>
        <w:pBdr>
          <w:top w:val="nil"/>
          <w:left w:val="nil"/>
          <w:bottom w:val="nil"/>
          <w:right w:val="nil"/>
          <w:between w:val="nil"/>
        </w:pBdr>
        <w:tabs>
          <w:tab w:val="left" w:pos="567"/>
        </w:tabs>
        <w:spacing w:line="360" w:lineRule="auto"/>
        <w:ind w:right="333"/>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Convocatoria de Licitación Pública Nacional Número TEX/CAYS/LP/DGA/001/2022. </w:t>
      </w:r>
    </w:p>
    <w:p w:rsidR="003D2202" w:rsidRPr="00481C9B" w:rsidRDefault="003D2202">
      <w:pPr>
        <w:widowControl w:val="0"/>
        <w:pBdr>
          <w:top w:val="nil"/>
          <w:left w:val="nil"/>
          <w:bottom w:val="nil"/>
          <w:right w:val="nil"/>
          <w:between w:val="nil"/>
        </w:pBdr>
        <w:tabs>
          <w:tab w:val="left" w:pos="567"/>
        </w:tabs>
        <w:spacing w:line="360" w:lineRule="auto"/>
        <w:ind w:left="567" w:right="333"/>
        <w:jc w:val="both"/>
        <w:rPr>
          <w:rFonts w:ascii="Palatino Linotype" w:eastAsia="Palatino Linotype" w:hAnsi="Palatino Linotype" w:cs="Palatino Linotype"/>
          <w:i/>
          <w:sz w:val="22"/>
          <w:szCs w:val="22"/>
        </w:rPr>
      </w:pPr>
    </w:p>
    <w:p w:rsidR="003D2202" w:rsidRPr="00481C9B" w:rsidRDefault="0039799B">
      <w:pPr>
        <w:widowControl w:val="0"/>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b/>
        </w:rPr>
        <w:t xml:space="preserve">7. Ampliación del plazo para emitir resolución. </w:t>
      </w:r>
      <w:r w:rsidRPr="00481C9B">
        <w:rPr>
          <w:rFonts w:ascii="Palatino Linotype" w:eastAsia="Palatino Linotype" w:hAnsi="Palatino Linotype" w:cs="Palatino Linotype"/>
        </w:rPr>
        <w:t xml:space="preserve">El </w:t>
      </w:r>
      <w:r w:rsidRPr="00481C9B">
        <w:rPr>
          <w:rFonts w:ascii="Palatino Linotype" w:eastAsia="Palatino Linotype" w:hAnsi="Palatino Linotype" w:cs="Palatino Linotype"/>
          <w:b/>
        </w:rPr>
        <w:t>once de agosto de dos mil veintidós</w:t>
      </w:r>
      <w:r w:rsidRPr="00481C9B">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3D2202" w:rsidRPr="00481C9B" w:rsidRDefault="003D2202">
      <w:pPr>
        <w:widowControl w:val="0"/>
        <w:tabs>
          <w:tab w:val="left" w:pos="709"/>
        </w:tabs>
        <w:spacing w:line="360" w:lineRule="auto"/>
        <w:jc w:val="both"/>
        <w:rPr>
          <w:rFonts w:ascii="Palatino Linotype" w:eastAsia="Palatino Linotype" w:hAnsi="Palatino Linotype" w:cs="Palatino Linotype"/>
        </w:rPr>
      </w:pPr>
    </w:p>
    <w:p w:rsidR="003D2202" w:rsidRPr="00481C9B" w:rsidRDefault="0039799B">
      <w:pPr>
        <w:widowControl w:val="0"/>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3D2202" w:rsidRPr="00481C9B" w:rsidRDefault="003D2202">
      <w:pPr>
        <w:widowControl w:val="0"/>
        <w:tabs>
          <w:tab w:val="left" w:pos="709"/>
        </w:tabs>
        <w:spacing w:line="360" w:lineRule="auto"/>
        <w:jc w:val="both"/>
        <w:rPr>
          <w:rFonts w:ascii="Palatino Linotype" w:eastAsia="Palatino Linotype" w:hAnsi="Palatino Linotype" w:cs="Palatino Linotype"/>
        </w:rPr>
      </w:pPr>
    </w:p>
    <w:p w:rsidR="003D2202" w:rsidRPr="00481C9B" w:rsidRDefault="0039799B">
      <w:pPr>
        <w:widowControl w:val="0"/>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w:t>
      </w:r>
      <w:r w:rsidRPr="00481C9B">
        <w:rPr>
          <w:rFonts w:ascii="Palatino Linotype" w:eastAsia="Palatino Linotype" w:hAnsi="Palatino Linotype" w:cs="Palatino Linotype"/>
        </w:rPr>
        <w:lastRenderedPageBreak/>
        <w:t>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3D2202" w:rsidRPr="00481C9B" w:rsidRDefault="0039799B">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 </w:t>
      </w:r>
    </w:p>
    <w:p w:rsidR="003D2202" w:rsidRPr="00481C9B" w:rsidRDefault="0039799B">
      <w:pPr>
        <w:widowControl w:val="0"/>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D2202" w:rsidRPr="00481C9B" w:rsidRDefault="0039799B">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 </w:t>
      </w:r>
    </w:p>
    <w:p w:rsidR="003D2202" w:rsidRPr="00481C9B" w:rsidRDefault="0039799B">
      <w:pPr>
        <w:widowControl w:val="0"/>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3D2202" w:rsidRPr="00481C9B" w:rsidRDefault="0039799B">
      <w:pPr>
        <w:widowControl w:val="0"/>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3D2202" w:rsidRPr="00481C9B" w:rsidRDefault="003D2202">
      <w:pPr>
        <w:widowControl w:val="0"/>
        <w:tabs>
          <w:tab w:val="left" w:pos="709"/>
        </w:tabs>
        <w:spacing w:line="360" w:lineRule="auto"/>
        <w:jc w:val="both"/>
        <w:rPr>
          <w:rFonts w:ascii="Palatino Linotype" w:eastAsia="Palatino Linotype" w:hAnsi="Palatino Linotype" w:cs="Palatino Linotype"/>
        </w:rPr>
      </w:pPr>
    </w:p>
    <w:p w:rsidR="003D2202" w:rsidRPr="00481C9B" w:rsidRDefault="0039799B">
      <w:pPr>
        <w:widowControl w:val="0"/>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b/>
          <w:sz w:val="22"/>
          <w:szCs w:val="22"/>
        </w:rPr>
        <w:t>a)      Complejidad del asunto:</w:t>
      </w:r>
      <w:r w:rsidRPr="00481C9B">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rsidR="003D2202" w:rsidRPr="00481C9B" w:rsidRDefault="0039799B">
      <w:pPr>
        <w:widowControl w:val="0"/>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b/>
          <w:sz w:val="22"/>
          <w:szCs w:val="22"/>
        </w:rPr>
        <w:t>b)     Actividad Procesal del interesado:</w:t>
      </w:r>
      <w:r w:rsidRPr="00481C9B">
        <w:rPr>
          <w:rFonts w:ascii="Palatino Linotype" w:eastAsia="Palatino Linotype" w:hAnsi="Palatino Linotype" w:cs="Palatino Linotype"/>
          <w:sz w:val="22"/>
          <w:szCs w:val="22"/>
        </w:rPr>
        <w:t xml:space="preserve"> Acciones u omisiones del interesado.</w:t>
      </w:r>
    </w:p>
    <w:p w:rsidR="003D2202" w:rsidRPr="00481C9B" w:rsidRDefault="0039799B">
      <w:pPr>
        <w:widowControl w:val="0"/>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b/>
          <w:sz w:val="22"/>
          <w:szCs w:val="22"/>
        </w:rPr>
        <w:t>c)      Conducta de la Autoridad</w:t>
      </w:r>
      <w:r w:rsidRPr="00481C9B">
        <w:rPr>
          <w:rFonts w:ascii="Palatino Linotype" w:eastAsia="Palatino Linotype" w:hAnsi="Palatino Linotype" w:cs="Palatino Linotype"/>
          <w:sz w:val="22"/>
          <w:szCs w:val="22"/>
        </w:rPr>
        <w:t>: Las Acciones u omisiones realizadas en el procedimiento. Así como si la autoridad actuó con la debida diligencia.</w:t>
      </w:r>
    </w:p>
    <w:p w:rsidR="003D2202" w:rsidRPr="00481C9B" w:rsidRDefault="0039799B">
      <w:pPr>
        <w:widowControl w:val="0"/>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b/>
          <w:sz w:val="22"/>
          <w:szCs w:val="22"/>
        </w:rPr>
        <w:t xml:space="preserve">d) La afectación generada en la situación jurídica de la persona involucrada </w:t>
      </w:r>
      <w:r w:rsidRPr="00481C9B">
        <w:rPr>
          <w:rFonts w:ascii="Palatino Linotype" w:eastAsia="Palatino Linotype" w:hAnsi="Palatino Linotype" w:cs="Palatino Linotype"/>
          <w:b/>
          <w:sz w:val="22"/>
          <w:szCs w:val="22"/>
        </w:rPr>
        <w:lastRenderedPageBreak/>
        <w:t>en el proceso</w:t>
      </w:r>
      <w:r w:rsidRPr="00481C9B">
        <w:rPr>
          <w:rFonts w:ascii="Palatino Linotype" w:eastAsia="Palatino Linotype" w:hAnsi="Palatino Linotype" w:cs="Palatino Linotype"/>
          <w:sz w:val="22"/>
          <w:szCs w:val="22"/>
        </w:rPr>
        <w:t>: Violación a sus derechos humanos.</w:t>
      </w:r>
    </w:p>
    <w:p w:rsidR="003D2202" w:rsidRPr="00481C9B" w:rsidRDefault="003D2202">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p>
    <w:p w:rsidR="003D2202" w:rsidRPr="00481C9B" w:rsidRDefault="0039799B">
      <w:pPr>
        <w:widowControl w:val="0"/>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D2202" w:rsidRPr="00481C9B" w:rsidRDefault="003D2202">
      <w:pPr>
        <w:widowControl w:val="0"/>
        <w:tabs>
          <w:tab w:val="left" w:pos="709"/>
        </w:tabs>
        <w:spacing w:line="360" w:lineRule="auto"/>
        <w:jc w:val="both"/>
        <w:rPr>
          <w:rFonts w:ascii="Palatino Linotype" w:eastAsia="Palatino Linotype" w:hAnsi="Palatino Linotype" w:cs="Palatino Linotype"/>
        </w:rPr>
      </w:pPr>
    </w:p>
    <w:p w:rsidR="003D2202" w:rsidRPr="00481C9B" w:rsidRDefault="0039799B">
      <w:pPr>
        <w:widowControl w:val="0"/>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81C9B">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481C9B">
        <w:rPr>
          <w:rFonts w:ascii="Palatino Linotype" w:eastAsia="Palatino Linotype" w:hAnsi="Palatino Linotype" w:cs="Palatino Linotype"/>
          <w:sz w:val="22"/>
          <w:szCs w:val="22"/>
        </w:rPr>
        <w:t xml:space="preserve"> </w:t>
      </w:r>
      <w:r w:rsidRPr="00481C9B">
        <w:rPr>
          <w:rFonts w:ascii="Palatino Linotype" w:eastAsia="Palatino Linotype" w:hAnsi="Palatino Linotype" w:cs="Palatino Linotype"/>
        </w:rPr>
        <w:t xml:space="preserve">visible en la Gaceta del Seminario Judicial de la Federación con el registro digital 205635. </w:t>
      </w:r>
    </w:p>
    <w:p w:rsidR="003D2202" w:rsidRPr="00481C9B" w:rsidRDefault="003D2202">
      <w:pPr>
        <w:widowControl w:val="0"/>
        <w:tabs>
          <w:tab w:val="left" w:pos="709"/>
        </w:tabs>
        <w:spacing w:line="360" w:lineRule="auto"/>
        <w:jc w:val="both"/>
        <w:rPr>
          <w:rFonts w:ascii="Palatino Linotype" w:eastAsia="Palatino Linotype" w:hAnsi="Palatino Linotype" w:cs="Palatino Linotype"/>
        </w:rPr>
      </w:pPr>
    </w:p>
    <w:p w:rsidR="003D2202" w:rsidRPr="00481C9B" w:rsidRDefault="0039799B">
      <w:pPr>
        <w:widowControl w:val="0"/>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481C9B">
        <w:rPr>
          <w:rFonts w:ascii="Palatino Linotype" w:eastAsia="Palatino Linotype" w:hAnsi="Palatino Linotype" w:cs="Palatino Linotype"/>
        </w:rPr>
        <w:lastRenderedPageBreak/>
        <w:t>los términos legales previamente establecidos por la Ley, por tratarse de causas de fuerza mayor.</w:t>
      </w:r>
    </w:p>
    <w:p w:rsidR="003D2202" w:rsidRPr="00481C9B" w:rsidRDefault="003D2202">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p>
    <w:p w:rsidR="003D2202" w:rsidRPr="00481C9B" w:rsidRDefault="0039799B">
      <w:pPr>
        <w:widowControl w:val="0"/>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3D2202" w:rsidRPr="00481C9B" w:rsidRDefault="0039799B">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 </w:t>
      </w:r>
    </w:p>
    <w:p w:rsidR="003D2202" w:rsidRPr="00481C9B" w:rsidRDefault="0039799B">
      <w:pPr>
        <w:widowControl w:val="0"/>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 “</w:t>
      </w:r>
      <w:r w:rsidRPr="00481C9B">
        <w:rPr>
          <w:rFonts w:ascii="Palatino Linotype" w:eastAsia="Palatino Linotype" w:hAnsi="Palatino Linotype" w:cs="Palatino Linotype"/>
          <w:b/>
          <w:sz w:val="22"/>
          <w:szCs w:val="22"/>
        </w:rPr>
        <w:t>PLAZO RAZONABLE PARA RESOLVER. DIMENSIÓN Y EFECTOS DE ESTE CONCEPTO CUANDO SE ADUCE EXCESIVA CARGA DE TRABAJO</w:t>
      </w:r>
      <w:r w:rsidRPr="00481C9B">
        <w:rPr>
          <w:rFonts w:ascii="Palatino Linotype" w:eastAsia="Palatino Linotype" w:hAnsi="Palatino Linotype" w:cs="Palatino Linotype"/>
          <w:sz w:val="22"/>
          <w:szCs w:val="22"/>
        </w:rPr>
        <w:t>.” consultable en el Seminario Judicial de la Federación y su gaceta, con el registro digital 2002351.</w:t>
      </w:r>
    </w:p>
    <w:p w:rsidR="003D2202" w:rsidRPr="00481C9B" w:rsidRDefault="0039799B">
      <w:pPr>
        <w:widowControl w:val="0"/>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 </w:t>
      </w:r>
    </w:p>
    <w:p w:rsidR="003D2202" w:rsidRPr="00481C9B" w:rsidRDefault="0039799B">
      <w:pPr>
        <w:widowControl w:val="0"/>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w:t>
      </w:r>
      <w:r w:rsidRPr="00481C9B">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481C9B">
        <w:rPr>
          <w:rFonts w:ascii="Palatino Linotype" w:eastAsia="Palatino Linotype" w:hAnsi="Palatino Linotype" w:cs="Palatino Linotype"/>
          <w:sz w:val="22"/>
          <w:szCs w:val="22"/>
        </w:rPr>
        <w:t xml:space="preserve"> visible en el Seminario Judicial de la Federación y su gaceta, con el registro digital 2002350.</w:t>
      </w:r>
    </w:p>
    <w:p w:rsidR="003D2202" w:rsidRPr="00481C9B" w:rsidRDefault="003D2202">
      <w:pPr>
        <w:widowControl w:val="0"/>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sz w:val="22"/>
          <w:szCs w:val="22"/>
        </w:rPr>
      </w:pPr>
    </w:p>
    <w:p w:rsidR="003D2202" w:rsidRPr="00481C9B" w:rsidRDefault="0039799B">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 </w:t>
      </w:r>
    </w:p>
    <w:p w:rsidR="003D2202" w:rsidRPr="00481C9B" w:rsidRDefault="0039799B">
      <w:pPr>
        <w:widowControl w:val="0"/>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b/>
        </w:rPr>
        <w:t xml:space="preserve">8. Cierre de instrucción. </w:t>
      </w:r>
      <w:r w:rsidRPr="00481C9B">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481C9B">
        <w:rPr>
          <w:rFonts w:ascii="Palatino Linotype" w:eastAsia="Palatino Linotype" w:hAnsi="Palatino Linotype" w:cs="Palatino Linotype"/>
          <w:b/>
        </w:rPr>
        <w:t>treinta de agosto de dos mil veintidós</w:t>
      </w:r>
      <w:r w:rsidRPr="00481C9B">
        <w:rPr>
          <w:rFonts w:ascii="Palatino Linotype" w:eastAsia="Palatino Linotype" w:hAnsi="Palatino Linotype" w:cs="Palatino Linotype"/>
        </w:rPr>
        <w:t xml:space="preserve">, la Comisionada Ponente determinó el cierre de instrucción en términos de la fracción VI del artículo 185 de la Ley de </w:t>
      </w:r>
      <w:r w:rsidRPr="00481C9B">
        <w:rPr>
          <w:rFonts w:ascii="Palatino Linotype" w:eastAsia="Palatino Linotype" w:hAnsi="Palatino Linotype" w:cs="Palatino Linotype"/>
        </w:rPr>
        <w:lastRenderedPageBreak/>
        <w:t>Transparencia y Acceso a la Información Pública del Estado de México y Municipios.</w:t>
      </w:r>
    </w:p>
    <w:p w:rsidR="003D2202" w:rsidRPr="00481C9B" w:rsidRDefault="003D2202">
      <w:pPr>
        <w:spacing w:line="360" w:lineRule="auto"/>
        <w:ind w:right="-234"/>
        <w:jc w:val="both"/>
        <w:rPr>
          <w:rFonts w:ascii="Palatino Linotype" w:eastAsia="Palatino Linotype" w:hAnsi="Palatino Linotype" w:cs="Palatino Linotype"/>
        </w:rPr>
      </w:pPr>
    </w:p>
    <w:p w:rsidR="003D2202" w:rsidRPr="00481C9B" w:rsidRDefault="0039799B">
      <w:pPr>
        <w:spacing w:line="360" w:lineRule="auto"/>
        <w:ind w:right="-234"/>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rsidR="003D2202" w:rsidRPr="00481C9B" w:rsidRDefault="003D2202">
      <w:pPr>
        <w:widowControl w:val="0"/>
        <w:spacing w:line="360" w:lineRule="auto"/>
        <w:jc w:val="both"/>
        <w:rPr>
          <w:rFonts w:ascii="Palatino Linotype" w:eastAsia="Palatino Linotype" w:hAnsi="Palatino Linotype" w:cs="Palatino Linotype"/>
        </w:rPr>
      </w:pPr>
    </w:p>
    <w:p w:rsidR="003D2202" w:rsidRPr="00481C9B" w:rsidRDefault="0039799B">
      <w:pPr>
        <w:widowControl w:val="0"/>
        <w:spacing w:line="360" w:lineRule="auto"/>
        <w:jc w:val="center"/>
        <w:rPr>
          <w:rFonts w:ascii="Palatino Linotype" w:eastAsia="Palatino Linotype" w:hAnsi="Palatino Linotype" w:cs="Palatino Linotype"/>
          <w:b/>
        </w:rPr>
      </w:pPr>
      <w:r w:rsidRPr="00481C9B">
        <w:rPr>
          <w:rFonts w:ascii="Palatino Linotype" w:eastAsia="Palatino Linotype" w:hAnsi="Palatino Linotype" w:cs="Palatino Linotype"/>
          <w:b/>
        </w:rPr>
        <w:t>II. C O N S I D E R A N D O</w:t>
      </w:r>
    </w:p>
    <w:p w:rsidR="003D2202" w:rsidRPr="00481C9B" w:rsidRDefault="003D2202">
      <w:pPr>
        <w:widowControl w:val="0"/>
        <w:spacing w:line="360" w:lineRule="auto"/>
        <w:jc w:val="center"/>
        <w:rPr>
          <w:rFonts w:ascii="Palatino Linotype" w:eastAsia="Palatino Linotype" w:hAnsi="Palatino Linotype" w:cs="Palatino Linotype"/>
          <w:b/>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b/>
        </w:rPr>
        <w:t>Primero. Competencia.</w:t>
      </w:r>
      <w:r w:rsidRPr="00481C9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bookmarkStart w:id="3" w:name="_heading=h.1fob9te" w:colFirst="0" w:colLast="0"/>
      <w:bookmarkEnd w:id="3"/>
      <w:r w:rsidRPr="00481C9B">
        <w:rPr>
          <w:rFonts w:ascii="Palatino Linotype" w:eastAsia="Palatino Linotype" w:hAnsi="Palatino Linotype" w:cs="Palatino Linotype"/>
          <w:b/>
        </w:rPr>
        <w:t>Segundo. Oportunidad y Procedibilidad del Recurso de Revisión</w:t>
      </w:r>
      <w:r w:rsidRPr="00481C9B">
        <w:rPr>
          <w:rFonts w:ascii="Palatino Linotype" w:eastAsia="Palatino Linotype" w:hAnsi="Palatino Linotype" w:cs="Palatino Linotype"/>
        </w:rPr>
        <w:t>. Es de precisar que la</w:t>
      </w:r>
      <w:r w:rsidRPr="00481C9B">
        <w:rPr>
          <w:rFonts w:ascii="Palatino Linotype" w:eastAsia="Palatino Linotype" w:hAnsi="Palatino Linotype" w:cs="Palatino Linotype"/>
          <w:b/>
        </w:rPr>
        <w:t xml:space="preserve"> </w:t>
      </w:r>
      <w:r w:rsidRPr="00481C9B">
        <w:rPr>
          <w:rFonts w:ascii="Palatino Linotype" w:eastAsia="Palatino Linotype" w:hAnsi="Palatino Linotype" w:cs="Palatino Linotype"/>
        </w:rPr>
        <w:t>Ley de Transparencia y Acceso a la Información Pública del Estado de México y Municipios, describe el mecanismo de procedencia de los recursos de revisión, como se dispone en los artículos 163 y 166, del tenor literal siguiente:</w:t>
      </w:r>
    </w:p>
    <w:p w:rsidR="003D2202" w:rsidRPr="00481C9B" w:rsidRDefault="0039799B">
      <w:pPr>
        <w:spacing w:line="276" w:lineRule="auto"/>
        <w:ind w:left="567" w:right="851"/>
        <w:jc w:val="both"/>
        <w:rPr>
          <w:rFonts w:ascii="Palatino Linotype" w:eastAsia="Palatino Linotype" w:hAnsi="Palatino Linotype" w:cs="Palatino Linotype"/>
          <w:i/>
        </w:rPr>
      </w:pPr>
      <w:r w:rsidRPr="00481C9B">
        <w:rPr>
          <w:rFonts w:ascii="Palatino Linotype" w:eastAsia="Palatino Linotype" w:hAnsi="Palatino Linotype" w:cs="Palatino Linotype"/>
          <w:i/>
          <w:sz w:val="22"/>
          <w:szCs w:val="22"/>
        </w:rPr>
        <w:lastRenderedPageBreak/>
        <w:t>“</w:t>
      </w:r>
      <w:r w:rsidRPr="00481C9B">
        <w:rPr>
          <w:rFonts w:ascii="Palatino Linotype" w:eastAsia="Palatino Linotype" w:hAnsi="Palatino Linotype" w:cs="Palatino Linotype"/>
          <w:b/>
          <w:i/>
          <w:sz w:val="22"/>
          <w:szCs w:val="22"/>
        </w:rPr>
        <w:t xml:space="preserve">Artículo 163. </w:t>
      </w:r>
      <w:r w:rsidRPr="00481C9B">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rsidR="003D2202" w:rsidRPr="00481C9B" w:rsidRDefault="0039799B">
      <w:pPr>
        <w:spacing w:line="276" w:lineRule="auto"/>
        <w:ind w:left="567" w:right="851"/>
        <w:jc w:val="both"/>
        <w:rPr>
          <w:rFonts w:ascii="Palatino Linotype" w:eastAsia="Palatino Linotype" w:hAnsi="Palatino Linotype" w:cs="Palatino Linotype"/>
          <w:i/>
        </w:rPr>
      </w:pPr>
      <w:r w:rsidRPr="00481C9B">
        <w:rPr>
          <w:rFonts w:ascii="Palatino Linotype" w:eastAsia="Palatino Linotype" w:hAnsi="Palatino Linotype" w:cs="Palatino Linotype"/>
          <w:i/>
          <w:sz w:val="22"/>
          <w:szCs w:val="22"/>
        </w:rPr>
        <w:t>…</w:t>
      </w:r>
    </w:p>
    <w:p w:rsidR="003D2202" w:rsidRPr="00481C9B" w:rsidRDefault="0039799B">
      <w:pPr>
        <w:spacing w:line="276" w:lineRule="auto"/>
        <w:ind w:left="567" w:right="851"/>
        <w:jc w:val="both"/>
        <w:rPr>
          <w:rFonts w:ascii="Palatino Linotype" w:eastAsia="Palatino Linotype" w:hAnsi="Palatino Linotype" w:cs="Palatino Linotype"/>
          <w:i/>
        </w:rPr>
      </w:pPr>
      <w:r w:rsidRPr="00481C9B">
        <w:rPr>
          <w:rFonts w:ascii="Palatino Linotype" w:eastAsia="Palatino Linotype" w:hAnsi="Palatino Linotype" w:cs="Palatino Linotype"/>
          <w:b/>
          <w:i/>
          <w:sz w:val="22"/>
          <w:szCs w:val="22"/>
        </w:rPr>
        <w:t>Artículo 166.</w:t>
      </w:r>
      <w:r w:rsidRPr="00481C9B">
        <w:rPr>
          <w:rFonts w:ascii="Palatino Linotype" w:eastAsia="Palatino Linotype" w:hAnsi="Palatino Linotype" w:cs="Palatino Linotype"/>
          <w:i/>
          <w:sz w:val="22"/>
          <w:szCs w:val="22"/>
        </w:rPr>
        <w:t xml:space="preserve"> […]</w:t>
      </w:r>
    </w:p>
    <w:p w:rsidR="003D2202" w:rsidRPr="00481C9B" w:rsidRDefault="0039799B">
      <w:pPr>
        <w:spacing w:line="276" w:lineRule="auto"/>
        <w:ind w:left="567" w:right="851"/>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rsidR="003D2202" w:rsidRPr="00481C9B" w:rsidRDefault="003D2202">
      <w:pPr>
        <w:spacing w:line="360" w:lineRule="auto"/>
        <w:ind w:right="851"/>
        <w:jc w:val="both"/>
        <w:rPr>
          <w:rFonts w:ascii="Palatino Linotype" w:eastAsia="Palatino Linotype" w:hAnsi="Palatino Linotype" w:cs="Palatino Linotype"/>
          <w:i/>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De la interpretación sistemática a los preceptos legales insertos, se obtiene que el plazo que les asiste a los sujetos obligados para entregar la respuesta a una solicitud de información pública es de quince días hábiles posteriores a la presentación de esta; sin embargo, en aquellos casos en que transcurre el referido plazo de quince días hábiles, sin que los Sujetos Obligados entreguen la respuesta a la solicitud de información, esta se considera negada; por lo que a la persona solicitante le asiste el derecho para presentar el recurso de revisión.</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En tal sentido, se constituye lo que en la doctrina se conoce como negativa ficta, figura jurídica cuya esencia consiste en atribuir un efecto negativo al silencio de la autoridad administrativa frente a las instancias y solicitudes que hagan los particulares.</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Por su parte, el artículo 178 del citado ordenamiento, establece:</w:t>
      </w:r>
    </w:p>
    <w:p w:rsidR="003D2202" w:rsidRPr="00481C9B" w:rsidRDefault="003D2202">
      <w:pPr>
        <w:spacing w:line="360" w:lineRule="auto"/>
        <w:jc w:val="both"/>
        <w:rPr>
          <w:rFonts w:ascii="Palatino Linotype" w:eastAsia="Palatino Linotype" w:hAnsi="Palatino Linotype" w:cs="Palatino Linotype"/>
          <w:i/>
        </w:rPr>
      </w:pPr>
    </w:p>
    <w:p w:rsidR="003D2202" w:rsidRPr="00481C9B" w:rsidRDefault="0039799B">
      <w:pPr>
        <w:tabs>
          <w:tab w:val="left" w:pos="1134"/>
        </w:tabs>
        <w:spacing w:line="276" w:lineRule="auto"/>
        <w:ind w:left="567" w:right="616"/>
        <w:jc w:val="both"/>
        <w:rPr>
          <w:rFonts w:ascii="Palatino Linotype" w:eastAsia="Palatino Linotype" w:hAnsi="Palatino Linotype" w:cs="Palatino Linotype"/>
          <w:b/>
          <w:i/>
          <w:sz w:val="22"/>
          <w:szCs w:val="22"/>
        </w:rPr>
      </w:pPr>
      <w:r w:rsidRPr="00481C9B">
        <w:rPr>
          <w:rFonts w:ascii="Palatino Linotype" w:eastAsia="Palatino Linotype" w:hAnsi="Palatino Linotype" w:cs="Palatino Linotype"/>
          <w:i/>
          <w:sz w:val="22"/>
          <w:szCs w:val="22"/>
        </w:rPr>
        <w:t>“</w:t>
      </w:r>
      <w:r w:rsidRPr="00481C9B">
        <w:rPr>
          <w:rFonts w:ascii="Palatino Linotype" w:eastAsia="Palatino Linotype" w:hAnsi="Palatino Linotype" w:cs="Palatino Linotype"/>
          <w:b/>
          <w:i/>
          <w:sz w:val="22"/>
          <w:szCs w:val="22"/>
        </w:rPr>
        <w:t xml:space="preserve">Artículo 178. </w:t>
      </w:r>
      <w:r w:rsidRPr="00481C9B">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481C9B">
        <w:rPr>
          <w:rFonts w:ascii="Palatino Linotype" w:eastAsia="Palatino Linotype" w:hAnsi="Palatino Linotype" w:cs="Palatino Linotype"/>
          <w:b/>
          <w:i/>
          <w:sz w:val="22"/>
          <w:szCs w:val="22"/>
        </w:rPr>
        <w:t>”.</w:t>
      </w: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lastRenderedPageBreak/>
        <w:t xml:space="preserve">De lo anterior, se advierte que el recurso de revisión se ha de interponer dentro del plazo de quince días hábiles, a partir de la fecha en que el </w:t>
      </w:r>
      <w:r w:rsidRPr="00481C9B">
        <w:rPr>
          <w:rFonts w:ascii="Palatino Linotype" w:eastAsia="Palatino Linotype" w:hAnsi="Palatino Linotype" w:cs="Palatino Linotype"/>
          <w:b/>
        </w:rPr>
        <w:t xml:space="preserve">SUJETO OBLIGADO </w:t>
      </w:r>
      <w:r w:rsidRPr="00481C9B">
        <w:rPr>
          <w:rFonts w:ascii="Palatino Linotype" w:eastAsia="Palatino Linotype" w:hAnsi="Palatino Linotype" w:cs="Palatino Linotype"/>
        </w:rPr>
        <w:t>da respuesta a la solicitud de información; sin embargo, tratándose de negativa ficta no existe resolución que se haga del conocimiento de la persona solicitante a partir de la cual pueda computarse dicho plazo, por lo que se concluye que la interposición del recurso de revisión puede ser en cualquier momento.</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La negativa ficta constituye una presunción legal, en el entendido de que donde no hubo respuesta por parte del Sujeto Obligado</w:t>
      </w:r>
      <w:r w:rsidRPr="00481C9B">
        <w:rPr>
          <w:rFonts w:ascii="Palatino Linotype" w:eastAsia="Palatino Linotype" w:hAnsi="Palatino Linotype" w:cs="Palatino Linotype"/>
          <w:b/>
        </w:rPr>
        <w:t xml:space="preserve"> </w:t>
      </w:r>
      <w:r w:rsidRPr="00481C9B">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w:t>
      </w:r>
      <w:r w:rsidRPr="00481C9B">
        <w:rPr>
          <w:rFonts w:ascii="Palatino Linotype" w:eastAsia="Palatino Linotype" w:hAnsi="Palatino Linotype" w:cs="Palatino Linotype"/>
        </w:rPr>
        <w:lastRenderedPageBreak/>
        <w:t>de máxima publicidad deberá dar entrada al estudio del fondo del recurso interpuesto en dichos casos y no optar por el desechamiento del mismo.</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Por lo tanto, con la finalidad de no reducir ni limitar el derecho de acceso a la información y concederle una protección más eficaz al solicitante para impugnar el silencio del sujeto obligado,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rsidR="003D2202" w:rsidRPr="00481C9B" w:rsidRDefault="003D2202">
      <w:pPr>
        <w:spacing w:line="360" w:lineRule="auto"/>
        <w:jc w:val="both"/>
        <w:rPr>
          <w:rFonts w:ascii="Palatino Linotype" w:eastAsia="Palatino Linotype" w:hAnsi="Palatino Linotype" w:cs="Palatino Linotype"/>
          <w:i/>
        </w:rPr>
      </w:pP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“CRITERIO 0001-15. NEGATIVA FICTA. PLAZO PARA INTERPONER EL RECURSO DE REVISIÓN TRATÁNDOSE DE</w:t>
      </w:r>
      <w:r w:rsidRPr="00481C9B">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3D2202" w:rsidRPr="00481C9B" w:rsidRDefault="0039799B">
      <w:pPr>
        <w:spacing w:line="360" w:lineRule="auto"/>
        <w:ind w:left="567" w:right="616"/>
        <w:jc w:val="both"/>
        <w:rPr>
          <w:rFonts w:ascii="Palatino Linotype" w:eastAsia="Palatino Linotype" w:hAnsi="Palatino Linotype" w:cs="Palatino Linotype"/>
          <w:i/>
        </w:rPr>
      </w:pPr>
      <w:r w:rsidRPr="00481C9B">
        <w:rPr>
          <w:rFonts w:ascii="Palatino Linotype" w:eastAsia="Palatino Linotype" w:hAnsi="Palatino Linotype" w:cs="Palatino Linotype"/>
          <w:i/>
        </w:rPr>
        <w:t xml:space="preserve"> </w:t>
      </w:r>
    </w:p>
    <w:p w:rsidR="003D2202" w:rsidRPr="00481C9B" w:rsidRDefault="0039799B">
      <w:pPr>
        <w:spacing w:line="360" w:lineRule="auto"/>
        <w:ind w:right="-141"/>
        <w:jc w:val="both"/>
        <w:rPr>
          <w:rFonts w:ascii="Palatino Linotype" w:eastAsia="Palatino Linotype" w:hAnsi="Palatino Linotype" w:cs="Palatino Linotype"/>
        </w:rPr>
      </w:pPr>
      <w:r w:rsidRPr="00481C9B">
        <w:rPr>
          <w:rFonts w:ascii="Palatino Linotype" w:eastAsia="Palatino Linotype" w:hAnsi="Palatino Linotype" w:cs="Palatino Linotype"/>
        </w:rPr>
        <w:lastRenderedPageBreak/>
        <w:t xml:space="preserve">Por otro es de suma importancia mencionar que, si bien el </w:t>
      </w:r>
      <w:r w:rsidRPr="00481C9B">
        <w:rPr>
          <w:rFonts w:ascii="Palatino Linotype" w:eastAsia="Palatino Linotype" w:hAnsi="Palatino Linotype" w:cs="Palatino Linotype"/>
          <w:b/>
        </w:rPr>
        <w:t>RECURRENTE</w:t>
      </w:r>
      <w:r w:rsidRPr="00481C9B">
        <w:rPr>
          <w:rFonts w:ascii="Palatino Linotype" w:eastAsia="Palatino Linotype" w:hAnsi="Palatino Linotype" w:cs="Palatino Linotype"/>
        </w:rPr>
        <w:t xml:space="preserv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3D2202" w:rsidRPr="00481C9B" w:rsidRDefault="003D2202">
      <w:pPr>
        <w:spacing w:line="360" w:lineRule="auto"/>
        <w:ind w:right="-141"/>
        <w:jc w:val="both"/>
        <w:rPr>
          <w:rFonts w:ascii="Palatino Linotype" w:eastAsia="Palatino Linotype" w:hAnsi="Palatino Linotype" w:cs="Palatino Linotype"/>
        </w:rPr>
      </w:pPr>
    </w:p>
    <w:p w:rsidR="003D2202" w:rsidRPr="00481C9B" w:rsidRDefault="0039799B">
      <w:pPr>
        <w:spacing w:line="276" w:lineRule="auto"/>
        <w:ind w:left="851" w:righ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i/>
          <w:sz w:val="22"/>
          <w:szCs w:val="22"/>
        </w:rPr>
        <w:t>"</w:t>
      </w:r>
      <w:r w:rsidRPr="00481C9B">
        <w:rPr>
          <w:rFonts w:ascii="Palatino Linotype" w:eastAsia="Palatino Linotype" w:hAnsi="Palatino Linotype" w:cs="Palatino Linotype"/>
          <w:b/>
          <w:i/>
          <w:sz w:val="22"/>
          <w:szCs w:val="22"/>
        </w:rPr>
        <w:t>Las solicitudes anónimas</w:t>
      </w:r>
      <w:r w:rsidRPr="00481C9B">
        <w:rPr>
          <w:rFonts w:ascii="Palatino Linotype" w:eastAsia="Palatino Linotype" w:hAnsi="Palatino Linotype" w:cs="Palatino Linotype"/>
          <w:i/>
          <w:sz w:val="22"/>
          <w:szCs w:val="22"/>
        </w:rPr>
        <w:t>, con nombre incompleto o seudónimo </w:t>
      </w:r>
      <w:r w:rsidRPr="00481C9B">
        <w:rPr>
          <w:rFonts w:ascii="Palatino Linotype" w:eastAsia="Palatino Linotype" w:hAnsi="Palatino Linotype" w:cs="Palatino Linotype"/>
          <w:b/>
          <w:i/>
          <w:sz w:val="22"/>
          <w:szCs w:val="22"/>
        </w:rPr>
        <w:t>serán procedentes para su trámite por parte del sujeto obligado ante quien se presente</w:t>
      </w:r>
      <w:r w:rsidRPr="00481C9B">
        <w:rPr>
          <w:rFonts w:ascii="Palatino Linotype" w:eastAsia="Palatino Linotype" w:hAnsi="Palatino Linotype" w:cs="Palatino Linotype"/>
          <w:i/>
          <w:sz w:val="22"/>
          <w:szCs w:val="22"/>
        </w:rPr>
        <w:t>. No podrá requerirse información adicional con motivo del nombre proporcionado por el solicitante."</w:t>
      </w:r>
    </w:p>
    <w:p w:rsidR="003D2202" w:rsidRPr="00481C9B" w:rsidRDefault="003D2202">
      <w:pPr>
        <w:spacing w:line="360" w:lineRule="auto"/>
        <w:ind w:right="-141"/>
        <w:jc w:val="both"/>
        <w:rPr>
          <w:rFonts w:ascii="Palatino Linotype" w:eastAsia="Palatino Linotype" w:hAnsi="Palatino Linotype" w:cs="Palatino Linotype"/>
        </w:rPr>
      </w:pPr>
    </w:p>
    <w:p w:rsidR="003D2202" w:rsidRPr="00481C9B" w:rsidRDefault="0039799B">
      <w:pPr>
        <w:spacing w:line="360" w:lineRule="auto"/>
        <w:ind w:right="-141"/>
        <w:jc w:val="both"/>
        <w:rPr>
          <w:rFonts w:ascii="Palatino Linotype" w:eastAsia="Palatino Linotype" w:hAnsi="Palatino Linotype" w:cs="Palatino Linotype"/>
          <w:b/>
        </w:rPr>
      </w:pPr>
      <w:r w:rsidRPr="00481C9B">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481C9B">
        <w:rPr>
          <w:rFonts w:ascii="Palatino Linotype" w:eastAsia="Palatino Linotype" w:hAnsi="Palatino Linotype" w:cs="Palatino Linotype"/>
          <w:b/>
        </w:rPr>
        <w:t xml:space="preserve"> SAIMEX. </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Finalmente, antes de entrar al estudio de la presente resolución es preciso determinar si resulta procedente la interposición del recurso de revisión, toda vez que se actualiza la hipótesis prevista en el artículo 179, fracción VII de la ley de la materia, que a la letra dice:</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r w:rsidRPr="00481C9B">
        <w:rPr>
          <w:rFonts w:ascii="Palatino Linotype" w:eastAsia="Palatino Linotype" w:hAnsi="Palatino Linotype" w:cs="Palatino Linotype"/>
          <w:b/>
          <w:i/>
          <w:sz w:val="22"/>
          <w:szCs w:val="22"/>
        </w:rPr>
        <w:t xml:space="preserve">Artículo 179. </w:t>
      </w:r>
      <w:r w:rsidRPr="00481C9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 xml:space="preserve">VII. </w:t>
      </w:r>
      <w:r w:rsidRPr="00481C9B">
        <w:rPr>
          <w:rFonts w:ascii="Palatino Linotype" w:eastAsia="Palatino Linotype" w:hAnsi="Palatino Linotype" w:cs="Palatino Linotype"/>
          <w:i/>
          <w:sz w:val="22"/>
          <w:szCs w:val="22"/>
        </w:rPr>
        <w:t>La falta de respuesta a una solicitud de acceso a la información;</w:t>
      </w:r>
    </w:p>
    <w:p w:rsidR="003D2202" w:rsidRPr="00481C9B" w:rsidRDefault="0039799B" w:rsidP="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lastRenderedPageBreak/>
        <w:t>…”</w:t>
      </w: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El precepto legal citado, establece como supuesto de procedencia del recurso de revisión, en aquellos casos en que la parte </w:t>
      </w:r>
      <w:r w:rsidRPr="00481C9B">
        <w:rPr>
          <w:rFonts w:ascii="Palatino Linotype" w:eastAsia="Palatino Linotype" w:hAnsi="Palatino Linotype" w:cs="Palatino Linotype"/>
          <w:b/>
        </w:rPr>
        <w:t xml:space="preserve">Recurrente </w:t>
      </w:r>
      <w:r w:rsidRPr="00481C9B">
        <w:rPr>
          <w:rFonts w:ascii="Palatino Linotype" w:eastAsia="Palatino Linotype" w:hAnsi="Palatino Linotype" w:cs="Palatino Linotype"/>
        </w:rPr>
        <w:t xml:space="preserve">estime negado el acceso a la información por la falta de respuesta por el sujeto obligado, en este asunto se actualiza la hipótesis jurídica citada, en atención a que la parte </w:t>
      </w:r>
      <w:r w:rsidRPr="00481C9B">
        <w:rPr>
          <w:rFonts w:ascii="Palatino Linotype" w:eastAsia="Palatino Linotype" w:hAnsi="Palatino Linotype" w:cs="Palatino Linotype"/>
          <w:b/>
        </w:rPr>
        <w:t>Recurrente</w:t>
      </w:r>
      <w:r w:rsidRPr="00481C9B">
        <w:rPr>
          <w:rFonts w:ascii="Palatino Linotype" w:eastAsia="Palatino Linotype" w:hAnsi="Palatino Linotype" w:cs="Palatino Linotype"/>
        </w:rPr>
        <w:t xml:space="preserve"> combate falta de trámite por parte del sujeto obligado, y expresa motivos de inconformidad en contra de dicha circunstancia.</w:t>
      </w:r>
    </w:p>
    <w:p w:rsidR="003D2202" w:rsidRPr="00481C9B" w:rsidRDefault="003D2202">
      <w:pPr>
        <w:spacing w:line="360" w:lineRule="auto"/>
        <w:jc w:val="both"/>
        <w:rPr>
          <w:rFonts w:ascii="Palatino Linotype" w:eastAsia="Palatino Linotype" w:hAnsi="Palatino Linotype" w:cs="Palatino Linotype"/>
          <w:b/>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b/>
        </w:rPr>
        <w:t xml:space="preserve">Tercero. Materia de la revisión. </w:t>
      </w:r>
      <w:r w:rsidRPr="00481C9B">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sidRPr="00481C9B">
        <w:rPr>
          <w:rFonts w:ascii="Palatino Linotype" w:eastAsia="Palatino Linotype" w:hAnsi="Palatino Linotype" w:cs="Palatino Linotype"/>
          <w:b/>
        </w:rPr>
        <w:t xml:space="preserve">verificar si la información remitida en informe justificado por el Sujeto Obligado es adecuada y suficiente para satisfacer el derecho de acceso a la información pública </w:t>
      </w:r>
      <w:r w:rsidRPr="00481C9B">
        <w:rPr>
          <w:rFonts w:ascii="Palatino Linotype" w:eastAsia="Palatino Linotype" w:hAnsi="Palatino Linotype" w:cs="Palatino Linotype"/>
        </w:rPr>
        <w:t xml:space="preserve">del </w:t>
      </w:r>
      <w:r w:rsidRPr="00481C9B">
        <w:rPr>
          <w:rFonts w:ascii="Palatino Linotype" w:eastAsia="Palatino Linotype" w:hAnsi="Palatino Linotype" w:cs="Palatino Linotype"/>
          <w:b/>
        </w:rPr>
        <w:t>RECURRENTE</w:t>
      </w:r>
      <w:r w:rsidRPr="00481C9B">
        <w:rPr>
          <w:rFonts w:ascii="Palatino Linotype" w:eastAsia="Palatino Linotype" w:hAnsi="Palatino Linotype" w:cs="Palatino Linotype"/>
        </w:rPr>
        <w:t>, o en su defecto, en caso de ser procedente, ordenar la entrega de información.</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b/>
        </w:rPr>
      </w:pPr>
      <w:r w:rsidRPr="00481C9B">
        <w:rPr>
          <w:rFonts w:ascii="Palatino Linotype" w:eastAsia="Palatino Linotype" w:hAnsi="Palatino Linotype" w:cs="Palatino Linotype"/>
          <w:b/>
        </w:rPr>
        <w:t xml:space="preserve">Cuarto. Estudio de fondo del asunto. </w:t>
      </w:r>
      <w:r w:rsidRPr="00481C9B">
        <w:rPr>
          <w:rFonts w:ascii="Palatino Linotype" w:eastAsia="Palatino Linotype" w:hAnsi="Palatino Linotype" w:cs="Palatino Linotype"/>
        </w:rPr>
        <w:t>Antes de entrar al análisis de los pronunciamientos del Sujeto Obligado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3D2202" w:rsidRPr="00481C9B" w:rsidRDefault="0039799B">
      <w:pPr>
        <w:tabs>
          <w:tab w:val="left" w:pos="709"/>
        </w:tabs>
        <w:spacing w:line="276" w:lineRule="auto"/>
        <w:ind w:left="851" w:right="850"/>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481C9B">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3D2202" w:rsidRPr="00481C9B" w:rsidRDefault="0039799B">
      <w:pPr>
        <w:tabs>
          <w:tab w:val="left" w:pos="709"/>
        </w:tabs>
        <w:spacing w:line="276" w:lineRule="auto"/>
        <w:ind w:left="851" w:right="850"/>
        <w:jc w:val="both"/>
        <w:rPr>
          <w:rFonts w:ascii="Palatino Linotype" w:eastAsia="Palatino Linotype" w:hAnsi="Palatino Linotype" w:cs="Palatino Linotype"/>
          <w:b/>
          <w:i/>
          <w:sz w:val="22"/>
          <w:szCs w:val="22"/>
        </w:rPr>
      </w:pPr>
      <w:r w:rsidRPr="00481C9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3D2202" w:rsidRPr="00481C9B" w:rsidRDefault="0039799B">
      <w:pPr>
        <w:tabs>
          <w:tab w:val="left" w:pos="709"/>
        </w:tabs>
        <w:spacing w:line="276" w:lineRule="auto"/>
        <w:ind w:left="851" w:right="850"/>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81C9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3D2202" w:rsidRPr="00481C9B" w:rsidRDefault="0039799B">
      <w:pPr>
        <w:tabs>
          <w:tab w:val="left" w:pos="709"/>
        </w:tabs>
        <w:spacing w:line="276" w:lineRule="auto"/>
        <w:ind w:left="851" w:right="850"/>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spacing w:line="276" w:lineRule="auto"/>
        <w:ind w:left="851" w:right="901"/>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“Artículo 6o.</w:t>
      </w:r>
    </w:p>
    <w:p w:rsidR="003D2202" w:rsidRPr="00481C9B" w:rsidRDefault="0039799B">
      <w:pPr>
        <w:spacing w:line="276" w:lineRule="auto"/>
        <w:ind w:left="851" w:right="901"/>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spacing w:line="276" w:lineRule="auto"/>
        <w:ind w:left="851" w:right="851"/>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 xml:space="preserve">A. Para el ejercicio del derecho de acceso a la información, la Federación y </w:t>
      </w:r>
      <w:r w:rsidRPr="00481C9B">
        <w:rPr>
          <w:rFonts w:ascii="Palatino Linotype" w:eastAsia="Palatino Linotype" w:hAnsi="Palatino Linotype" w:cs="Palatino Linotype"/>
          <w:b/>
          <w:i/>
          <w:sz w:val="22"/>
          <w:szCs w:val="22"/>
          <w:u w:val="single"/>
        </w:rPr>
        <w:t>las entidades federativas</w:t>
      </w:r>
      <w:r w:rsidRPr="00481C9B">
        <w:rPr>
          <w:rFonts w:ascii="Palatino Linotype" w:eastAsia="Palatino Linotype" w:hAnsi="Palatino Linotype" w:cs="Palatino Linotype"/>
          <w:b/>
          <w:i/>
          <w:sz w:val="22"/>
          <w:szCs w:val="22"/>
        </w:rPr>
        <w:t>,</w:t>
      </w:r>
      <w:r w:rsidRPr="00481C9B">
        <w:rPr>
          <w:rFonts w:ascii="Palatino Linotype" w:eastAsia="Palatino Linotype" w:hAnsi="Palatino Linotype" w:cs="Palatino Linotype"/>
          <w:i/>
          <w:sz w:val="22"/>
          <w:szCs w:val="22"/>
        </w:rPr>
        <w:t xml:space="preserve"> en el ámbito de sus respectivas competencias, se regirán por los siguientes principios y bases:</w:t>
      </w:r>
    </w:p>
    <w:p w:rsidR="003D2202" w:rsidRPr="00481C9B" w:rsidRDefault="0039799B">
      <w:pPr>
        <w:spacing w:line="276" w:lineRule="auto"/>
        <w:ind w:left="851" w:right="851"/>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w:t>
      </w:r>
      <w:r w:rsidRPr="00481C9B">
        <w:rPr>
          <w:rFonts w:ascii="Palatino Linotype" w:eastAsia="Palatino Linotype" w:hAnsi="Palatino Linotype" w:cs="Palatino Linotype"/>
          <w:b/>
          <w:i/>
          <w:sz w:val="22"/>
          <w:szCs w:val="22"/>
        </w:rPr>
        <w:t xml:space="preserve">I. </w:t>
      </w:r>
      <w:r w:rsidRPr="00481C9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481C9B">
        <w:rPr>
          <w:rFonts w:ascii="Palatino Linotype" w:eastAsia="Palatino Linotype" w:hAnsi="Palatino Linotype" w:cs="Palatino Linotype"/>
          <w:i/>
          <w:sz w:val="22"/>
          <w:szCs w:val="22"/>
        </w:rPr>
        <w:t xml:space="preserve"> Ejecutivo, Legislativo </w:t>
      </w:r>
      <w:r w:rsidRPr="00481C9B">
        <w:rPr>
          <w:rFonts w:ascii="Palatino Linotype" w:eastAsia="Palatino Linotype" w:hAnsi="Palatino Linotype" w:cs="Palatino Linotype"/>
          <w:b/>
          <w:i/>
          <w:sz w:val="22"/>
          <w:szCs w:val="22"/>
          <w:u w:val="single"/>
        </w:rPr>
        <w:t>y Judicial</w:t>
      </w:r>
      <w:r w:rsidRPr="00481C9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81C9B">
        <w:rPr>
          <w:rFonts w:ascii="Palatino Linotype" w:eastAsia="Palatino Linotype" w:hAnsi="Palatino Linotype" w:cs="Palatino Linotype"/>
          <w:b/>
          <w:i/>
          <w:sz w:val="22"/>
          <w:szCs w:val="22"/>
        </w:rPr>
        <w:t>es pública y sólo podrá ser reservada temporalmente por razones de interés público y seguridad nacional,</w:t>
      </w:r>
      <w:r w:rsidRPr="00481C9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D2202" w:rsidRPr="00481C9B" w:rsidRDefault="0039799B">
      <w:pPr>
        <w:spacing w:line="276" w:lineRule="auto"/>
        <w:ind w:left="851" w:right="851"/>
        <w:jc w:val="both"/>
        <w:rPr>
          <w:rFonts w:ascii="Palatino Linotype" w:eastAsia="Palatino Linotype" w:hAnsi="Palatino Linotype" w:cs="Palatino Linotype"/>
          <w:b/>
          <w:i/>
          <w:sz w:val="22"/>
          <w:szCs w:val="22"/>
        </w:rPr>
      </w:pPr>
      <w:r w:rsidRPr="00481C9B">
        <w:rPr>
          <w:rFonts w:ascii="Palatino Linotype" w:eastAsia="Palatino Linotype" w:hAnsi="Palatino Linotype" w:cs="Palatino Linotype"/>
          <w:i/>
          <w:sz w:val="22"/>
          <w:szCs w:val="22"/>
        </w:rPr>
        <w:t> </w:t>
      </w:r>
      <w:r w:rsidRPr="00481C9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3D2202" w:rsidRPr="00481C9B" w:rsidRDefault="0039799B">
      <w:pPr>
        <w:spacing w:line="276" w:lineRule="auto"/>
        <w:ind w:left="851" w:right="851"/>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lastRenderedPageBreak/>
        <w:t> </w:t>
      </w:r>
      <w:r w:rsidRPr="00481C9B">
        <w:rPr>
          <w:rFonts w:ascii="Palatino Linotype" w:eastAsia="Palatino Linotype" w:hAnsi="Palatino Linotype" w:cs="Palatino Linotype"/>
          <w:b/>
          <w:i/>
          <w:sz w:val="22"/>
          <w:szCs w:val="22"/>
        </w:rPr>
        <w:t xml:space="preserve">III. </w:t>
      </w:r>
      <w:r w:rsidRPr="00481C9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481C9B">
        <w:rPr>
          <w:rFonts w:ascii="Palatino Linotype" w:eastAsia="Palatino Linotype" w:hAnsi="Palatino Linotype" w:cs="Palatino Linotype"/>
          <w:i/>
          <w:sz w:val="22"/>
          <w:szCs w:val="22"/>
        </w:rPr>
        <w:t xml:space="preserve"> a sus datos personales o a la rectificación de éstos.</w:t>
      </w:r>
    </w:p>
    <w:p w:rsidR="003D2202" w:rsidRPr="00481C9B" w:rsidRDefault="0039799B">
      <w:pPr>
        <w:spacing w:line="276" w:lineRule="auto"/>
        <w:ind w:left="851" w:right="851"/>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w:t>
      </w:r>
      <w:r w:rsidRPr="00481C9B">
        <w:rPr>
          <w:rFonts w:ascii="Palatino Linotype" w:eastAsia="Palatino Linotype" w:hAnsi="Palatino Linotype" w:cs="Palatino Linotype"/>
          <w:b/>
          <w:i/>
          <w:sz w:val="22"/>
          <w:szCs w:val="22"/>
        </w:rPr>
        <w:t xml:space="preserve">IV. </w:t>
      </w:r>
      <w:r w:rsidRPr="00481C9B">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3D2202" w:rsidRPr="00481C9B" w:rsidRDefault="0039799B">
      <w:pPr>
        <w:spacing w:line="276" w:lineRule="auto"/>
        <w:ind w:left="851" w:right="851"/>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 xml:space="preserve">V. </w:t>
      </w:r>
      <w:r w:rsidRPr="00481C9B">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D2202" w:rsidRPr="00481C9B" w:rsidRDefault="0039799B">
      <w:pPr>
        <w:spacing w:line="276" w:lineRule="auto"/>
        <w:ind w:left="851" w:right="851"/>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w:t>
      </w:r>
      <w:r w:rsidRPr="00481C9B">
        <w:rPr>
          <w:rFonts w:ascii="Palatino Linotype" w:eastAsia="Palatino Linotype" w:hAnsi="Palatino Linotype" w:cs="Palatino Linotype"/>
          <w:b/>
          <w:i/>
          <w:sz w:val="22"/>
          <w:szCs w:val="22"/>
        </w:rPr>
        <w:t xml:space="preserve">VI. </w:t>
      </w:r>
      <w:r w:rsidRPr="00481C9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3D2202" w:rsidRPr="00481C9B" w:rsidRDefault="0039799B">
      <w:pPr>
        <w:spacing w:line="276" w:lineRule="auto"/>
        <w:ind w:left="851" w:right="851"/>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w:t>
      </w:r>
      <w:r w:rsidRPr="00481C9B">
        <w:rPr>
          <w:rFonts w:ascii="Palatino Linotype" w:eastAsia="Palatino Linotype" w:hAnsi="Palatino Linotype" w:cs="Palatino Linotype"/>
          <w:b/>
          <w:i/>
          <w:sz w:val="22"/>
          <w:szCs w:val="22"/>
        </w:rPr>
        <w:t xml:space="preserve">VII. </w:t>
      </w:r>
      <w:r w:rsidRPr="00481C9B">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3D2202" w:rsidRPr="00481C9B" w:rsidRDefault="003D2202">
      <w:pPr>
        <w:spacing w:line="360" w:lineRule="auto"/>
        <w:ind w:left="851" w:right="851"/>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276" w:lineRule="auto"/>
        <w:ind w:left="709" w:right="760"/>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r w:rsidRPr="00481C9B">
        <w:rPr>
          <w:rFonts w:ascii="Palatino Linotype" w:eastAsia="Palatino Linotype" w:hAnsi="Palatino Linotype" w:cs="Palatino Linotype"/>
          <w:b/>
          <w:i/>
          <w:sz w:val="22"/>
          <w:szCs w:val="22"/>
        </w:rPr>
        <w:t>Artículo 4</w:t>
      </w:r>
      <w:r w:rsidRPr="00481C9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3D2202" w:rsidRPr="00481C9B" w:rsidRDefault="0039799B">
      <w:pPr>
        <w:spacing w:line="276" w:lineRule="auto"/>
        <w:ind w:left="709" w:right="760"/>
        <w:jc w:val="both"/>
        <w:rPr>
          <w:rFonts w:ascii="Palatino Linotype" w:eastAsia="Palatino Linotype" w:hAnsi="Palatino Linotype" w:cs="Palatino Linotype"/>
          <w:b/>
          <w:i/>
          <w:sz w:val="22"/>
          <w:szCs w:val="22"/>
        </w:rPr>
      </w:pPr>
      <w:r w:rsidRPr="00481C9B">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3D2202" w:rsidRPr="00481C9B" w:rsidRDefault="0039799B">
      <w:pPr>
        <w:spacing w:line="276" w:lineRule="auto"/>
        <w:ind w:left="709" w:right="760"/>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 (Sic)</w:t>
      </w:r>
    </w:p>
    <w:p w:rsidR="003D2202" w:rsidRPr="00481C9B" w:rsidRDefault="003D2202">
      <w:pPr>
        <w:spacing w:line="360" w:lineRule="auto"/>
        <w:ind w:left="709" w:right="760"/>
        <w:jc w:val="both"/>
        <w:rPr>
          <w:rFonts w:ascii="Palatino Linotype" w:eastAsia="Palatino Linotype" w:hAnsi="Palatino Linotype" w:cs="Palatino Linotype"/>
          <w:i/>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276" w:lineRule="auto"/>
        <w:ind w:left="567" w:right="758"/>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rPr>
        <w:t>“</w:t>
      </w:r>
      <w:r w:rsidRPr="00481C9B">
        <w:rPr>
          <w:rFonts w:ascii="Palatino Linotype" w:eastAsia="Palatino Linotype" w:hAnsi="Palatino Linotype" w:cs="Palatino Linotype"/>
          <w:b/>
          <w:i/>
          <w:sz w:val="22"/>
          <w:szCs w:val="22"/>
        </w:rPr>
        <w:t>Artículo 12</w:t>
      </w:r>
      <w:r w:rsidRPr="00481C9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3D2202" w:rsidRPr="00481C9B" w:rsidRDefault="0039799B">
      <w:pPr>
        <w:spacing w:line="276" w:lineRule="auto"/>
        <w:ind w:left="567" w:right="758"/>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3D2202" w:rsidRPr="00481C9B" w:rsidRDefault="003D2202">
      <w:pPr>
        <w:spacing w:line="360" w:lineRule="auto"/>
        <w:ind w:left="567" w:right="758"/>
        <w:jc w:val="both"/>
        <w:rPr>
          <w:rFonts w:ascii="Palatino Linotype" w:eastAsia="Palatino Linotype" w:hAnsi="Palatino Linotype" w:cs="Palatino Linotype"/>
          <w:i/>
          <w:sz w:val="22"/>
          <w:szCs w:val="22"/>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lastRenderedPageBreak/>
        <w:t>Es decir, que el derecho de acceso a la información pública se satisface en aquellos casos en que se entregue documento en que conste la información requerida, toda vez que, los Sujetos Obligados</w:t>
      </w:r>
      <w:r w:rsidRPr="00481C9B">
        <w:rPr>
          <w:rFonts w:ascii="Palatino Linotype" w:eastAsia="Palatino Linotype" w:hAnsi="Palatino Linotype" w:cs="Palatino Linotype"/>
          <w:b/>
        </w:rPr>
        <w:t xml:space="preserve"> </w:t>
      </w:r>
      <w:r w:rsidRPr="00481C9B">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481C9B">
        <w:rPr>
          <w:rFonts w:ascii="Palatino Linotype" w:eastAsia="Palatino Linotype" w:hAnsi="Palatino Linotype" w:cs="Palatino Linotype"/>
          <w:i/>
        </w:rPr>
        <w:t>ad hoc</w:t>
      </w:r>
      <w:r w:rsidRPr="00481C9B">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276" w:lineRule="auto"/>
        <w:ind w:left="567" w:right="567"/>
        <w:jc w:val="both"/>
        <w:rPr>
          <w:rFonts w:ascii="Palatino Linotype" w:eastAsia="Palatino Linotype" w:hAnsi="Palatino Linotype" w:cs="Palatino Linotype"/>
          <w:b/>
          <w:i/>
          <w:sz w:val="22"/>
          <w:szCs w:val="22"/>
        </w:rPr>
      </w:pPr>
      <w:r w:rsidRPr="00481C9B">
        <w:rPr>
          <w:rFonts w:ascii="Palatino Linotype" w:eastAsia="Palatino Linotype" w:hAnsi="Palatino Linotype" w:cs="Palatino Linotype"/>
          <w:b/>
          <w:i/>
          <w:sz w:val="22"/>
          <w:szCs w:val="22"/>
        </w:rPr>
        <w:t>03/17</w:t>
      </w:r>
    </w:p>
    <w:p w:rsidR="003D2202" w:rsidRPr="00481C9B" w:rsidRDefault="0039799B">
      <w:pPr>
        <w:spacing w:line="276" w:lineRule="auto"/>
        <w:ind w:left="567" w:right="567"/>
        <w:jc w:val="both"/>
        <w:rPr>
          <w:rFonts w:ascii="Palatino Linotype" w:eastAsia="Palatino Linotype" w:hAnsi="Palatino Linotype" w:cs="Palatino Linotype"/>
          <w:b/>
          <w:i/>
          <w:sz w:val="22"/>
          <w:szCs w:val="22"/>
        </w:rPr>
      </w:pPr>
      <w:r w:rsidRPr="00481C9B">
        <w:rPr>
          <w:rFonts w:ascii="Palatino Linotype" w:eastAsia="Palatino Linotype" w:hAnsi="Palatino Linotype" w:cs="Palatino Linotype"/>
          <w:b/>
          <w:i/>
          <w:sz w:val="22"/>
          <w:szCs w:val="22"/>
        </w:rPr>
        <w:t>“NO EXISTE OBLIGACIÓN DE ELABORAR DOCUMENTOS AD HOC PARA ATENDER LAS SOLICITUDES DE ACCESO A LA INFORMACIÓN.</w:t>
      </w:r>
    </w:p>
    <w:p w:rsidR="003D2202" w:rsidRPr="00481C9B" w:rsidRDefault="0039799B">
      <w:pPr>
        <w:spacing w:line="276" w:lineRule="auto"/>
        <w:ind w:left="567" w:right="567"/>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481C9B">
        <w:rPr>
          <w:rFonts w:ascii="Palatino Linotype" w:eastAsia="Palatino Linotype" w:hAnsi="Palatino Linotype" w:cs="Palatino Linotype"/>
        </w:rPr>
        <w:lastRenderedPageBreak/>
        <w:t>persona, lo que implica que es deber de los Sujetos Obligados, garantizar el Derecho de Acceso a la Información Pública.</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3D2202" w:rsidRPr="00481C9B" w:rsidRDefault="003D2202">
      <w:pPr>
        <w:spacing w:line="360" w:lineRule="auto"/>
        <w:ind w:right="49"/>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276" w:lineRule="auto"/>
        <w:ind w:left="567" w:right="567"/>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r w:rsidRPr="00481C9B">
        <w:rPr>
          <w:rFonts w:ascii="Palatino Linotype" w:eastAsia="Palatino Linotype" w:hAnsi="Palatino Linotype" w:cs="Palatino Linotype"/>
          <w:b/>
          <w:i/>
          <w:sz w:val="22"/>
          <w:szCs w:val="22"/>
        </w:rPr>
        <w:t xml:space="preserve">Artículo 3. </w:t>
      </w:r>
      <w:r w:rsidRPr="00481C9B">
        <w:rPr>
          <w:rFonts w:ascii="Palatino Linotype" w:eastAsia="Palatino Linotype" w:hAnsi="Palatino Linotype" w:cs="Palatino Linotype"/>
          <w:i/>
          <w:sz w:val="22"/>
          <w:szCs w:val="22"/>
        </w:rPr>
        <w:t>Para los efectos de la presente Ley se entenderá por:</w:t>
      </w:r>
    </w:p>
    <w:p w:rsidR="003D2202" w:rsidRPr="00481C9B" w:rsidRDefault="0039799B">
      <w:pPr>
        <w:spacing w:line="276" w:lineRule="auto"/>
        <w:ind w:left="567" w:right="567"/>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spacing w:line="276" w:lineRule="auto"/>
        <w:ind w:left="567" w:right="567"/>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XI. Documento:</w:t>
      </w:r>
      <w:r w:rsidRPr="00481C9B">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w:t>
      </w:r>
      <w:r w:rsidRPr="00481C9B">
        <w:rPr>
          <w:rFonts w:ascii="Palatino Linotype" w:eastAsia="Palatino Linotype" w:hAnsi="Palatino Linotype" w:cs="Palatino Linotype"/>
          <w:i/>
          <w:sz w:val="22"/>
          <w:szCs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481C9B">
        <w:rPr>
          <w:rFonts w:ascii="Palatino Linotype" w:eastAsia="Palatino Linotype" w:hAnsi="Palatino Linotype" w:cs="Palatino Linotype"/>
          <w:b/>
          <w:i/>
          <w:sz w:val="22"/>
          <w:szCs w:val="22"/>
        </w:rPr>
        <w:t>…</w:t>
      </w:r>
      <w:r w:rsidRPr="00481C9B">
        <w:rPr>
          <w:rFonts w:ascii="Palatino Linotype" w:eastAsia="Palatino Linotype" w:hAnsi="Palatino Linotype" w:cs="Palatino Linotype"/>
          <w:i/>
          <w:sz w:val="22"/>
          <w:szCs w:val="22"/>
        </w:rPr>
        <w:t>” (Sic)</w:t>
      </w:r>
    </w:p>
    <w:p w:rsidR="003D2202" w:rsidRPr="00481C9B" w:rsidRDefault="003D2202">
      <w:pPr>
        <w:spacing w:line="360" w:lineRule="auto"/>
        <w:ind w:left="567" w:right="567"/>
        <w:jc w:val="both"/>
        <w:rPr>
          <w:rFonts w:ascii="Palatino Linotype" w:eastAsia="Palatino Linotype" w:hAnsi="Palatino Linotype" w:cs="Palatino Linotype"/>
          <w:i/>
          <w:sz w:val="22"/>
          <w:szCs w:val="22"/>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276" w:lineRule="auto"/>
        <w:ind w:left="567" w:right="567"/>
        <w:jc w:val="both"/>
        <w:rPr>
          <w:rFonts w:ascii="Palatino Linotype" w:eastAsia="Palatino Linotype" w:hAnsi="Palatino Linotype" w:cs="Palatino Linotype"/>
          <w:b/>
          <w:i/>
          <w:sz w:val="22"/>
          <w:szCs w:val="22"/>
        </w:rPr>
      </w:pPr>
      <w:r w:rsidRPr="00481C9B">
        <w:rPr>
          <w:rFonts w:ascii="Palatino Linotype" w:eastAsia="Palatino Linotype" w:hAnsi="Palatino Linotype" w:cs="Palatino Linotype"/>
          <w:b/>
          <w:sz w:val="22"/>
          <w:szCs w:val="22"/>
        </w:rPr>
        <w:t>“</w:t>
      </w:r>
      <w:r w:rsidRPr="00481C9B">
        <w:rPr>
          <w:rFonts w:ascii="Palatino Linotype" w:eastAsia="Palatino Linotype" w:hAnsi="Palatino Linotype" w:cs="Palatino Linotype"/>
          <w:b/>
          <w:i/>
          <w:sz w:val="22"/>
          <w:szCs w:val="22"/>
        </w:rPr>
        <w:t>CRITERIO 0002-11</w:t>
      </w:r>
    </w:p>
    <w:p w:rsidR="003D2202" w:rsidRPr="00481C9B" w:rsidRDefault="0039799B">
      <w:pPr>
        <w:spacing w:line="276" w:lineRule="auto"/>
        <w:ind w:left="567" w:right="567"/>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81C9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D2202" w:rsidRPr="00481C9B" w:rsidRDefault="0039799B">
      <w:pPr>
        <w:spacing w:line="276" w:lineRule="auto"/>
        <w:ind w:left="567" w:right="567"/>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En consecuencia el acceso a la información se refiere a que se cumplan cualquiera de los siguientes tres supuestos:</w:t>
      </w:r>
    </w:p>
    <w:p w:rsidR="003D2202" w:rsidRPr="00481C9B" w:rsidRDefault="0039799B">
      <w:pPr>
        <w:numPr>
          <w:ilvl w:val="0"/>
          <w:numId w:val="4"/>
        </w:num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3D2202" w:rsidRPr="00481C9B" w:rsidRDefault="0039799B">
      <w:pPr>
        <w:numPr>
          <w:ilvl w:val="0"/>
          <w:numId w:val="4"/>
        </w:num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3D2202" w:rsidRPr="00481C9B" w:rsidRDefault="0039799B">
      <w:pPr>
        <w:spacing w:line="276" w:lineRule="auto"/>
        <w:ind w:left="567" w:right="567" w:hanging="284"/>
        <w:jc w:val="both"/>
        <w:rPr>
          <w:rFonts w:ascii="Palatino Linotype" w:eastAsia="Palatino Linotype" w:hAnsi="Palatino Linotype" w:cs="Palatino Linotype"/>
          <w:b/>
          <w:i/>
        </w:rPr>
      </w:pPr>
      <w:r w:rsidRPr="00481C9B">
        <w:rPr>
          <w:rFonts w:ascii="Palatino Linotype" w:eastAsia="Palatino Linotype" w:hAnsi="Palatino Linotype" w:cs="Palatino Linotype"/>
          <w:b/>
          <w:i/>
          <w:sz w:val="22"/>
          <w:szCs w:val="22"/>
        </w:rPr>
        <w:t>3)</w:t>
      </w:r>
      <w:r w:rsidRPr="00481C9B">
        <w:rPr>
          <w:rFonts w:ascii="Palatino Linotype" w:eastAsia="Palatino Linotype" w:hAnsi="Palatino Linotype" w:cs="Palatino Linotype"/>
          <w:b/>
          <w:i/>
        </w:rPr>
        <w:t xml:space="preserve"> </w:t>
      </w:r>
      <w:r w:rsidRPr="00481C9B">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3D2202" w:rsidRPr="00481C9B" w:rsidRDefault="003D2202">
      <w:pPr>
        <w:spacing w:line="360" w:lineRule="auto"/>
        <w:ind w:left="567" w:hanging="284"/>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lastRenderedPageBreak/>
        <w:t xml:space="preserve">De ahí que el </w:t>
      </w:r>
      <w:r w:rsidRPr="00481C9B">
        <w:rPr>
          <w:rFonts w:ascii="Palatino Linotype" w:eastAsia="Palatino Linotype" w:hAnsi="Palatino Linotype" w:cs="Palatino Linotype"/>
          <w:b/>
        </w:rPr>
        <w:t>SUJETO OBLIGADO</w:t>
      </w:r>
      <w:r w:rsidRPr="00481C9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481C9B">
        <w:rPr>
          <w:rFonts w:ascii="Palatino Linotype" w:eastAsia="Palatino Linotype" w:hAnsi="Palatino Linotype" w:cs="Palatino Linotype"/>
          <w:vertAlign w:val="superscript"/>
        </w:rPr>
        <w:footnoteReference w:id="1"/>
      </w:r>
      <w:r w:rsidRPr="00481C9B">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481C9B">
        <w:rPr>
          <w:rFonts w:ascii="Palatino Linotype" w:eastAsia="Palatino Linotype" w:hAnsi="Palatino Linotype" w:cs="Palatino Linotype"/>
          <w:vertAlign w:val="superscript"/>
        </w:rPr>
        <w:footnoteReference w:id="2"/>
      </w:r>
      <w:r w:rsidRPr="00481C9B">
        <w:rPr>
          <w:rFonts w:ascii="Palatino Linotype" w:eastAsia="Palatino Linotype" w:hAnsi="Palatino Linotype" w:cs="Palatino Linotype"/>
        </w:rPr>
        <w:t>.</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De las actuaciones que integran el expediente electrónico, se procede al análisis del agravio hecho valer por el Recurrente, relativo a la falta de respuesta, que actualiza la fracción VII del artículo 179 de la Ley de Transparencia y Acceso a la Información Pública del Estado de México y Municipios. </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Para ello, en principio resulta necesario recordar los requerimientos de información del Particular, así como lo que proporcionó el Sujeto Obligado mediante su informe justificado, por lo que, por cuestiones de técnica jurídica lo anterior se verterá en la siguiente tabla analítica para mayor comprensión: </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D2202">
      <w:pPr>
        <w:spacing w:line="360" w:lineRule="auto"/>
        <w:jc w:val="both"/>
        <w:rPr>
          <w:rFonts w:ascii="Palatino Linotype" w:eastAsia="Palatino Linotype" w:hAnsi="Palatino Linotype" w:cs="Palatino Linotype"/>
        </w:rPr>
      </w:pPr>
    </w:p>
    <w:tbl>
      <w:tblPr>
        <w:tblStyle w:val="a"/>
        <w:tblW w:w="8642"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97"/>
        <w:gridCol w:w="2693"/>
        <w:gridCol w:w="3001"/>
        <w:gridCol w:w="2551"/>
      </w:tblGrid>
      <w:tr w:rsidR="00481C9B" w:rsidRPr="00481C9B">
        <w:tc>
          <w:tcPr>
            <w:tcW w:w="397" w:type="dxa"/>
            <w:tcBorders>
              <w:top w:val="nil"/>
              <w:left w:val="nil"/>
            </w:tcBorders>
          </w:tcPr>
          <w:p w:rsidR="003D2202" w:rsidRPr="00481C9B" w:rsidRDefault="003D2202">
            <w:pPr>
              <w:rPr>
                <w:rFonts w:ascii="Palatino Linotype" w:eastAsia="Palatino Linotype" w:hAnsi="Palatino Linotype" w:cs="Palatino Linotype"/>
                <w:sz w:val="20"/>
                <w:szCs w:val="20"/>
              </w:rPr>
            </w:pPr>
          </w:p>
        </w:tc>
        <w:tc>
          <w:tcPr>
            <w:tcW w:w="2693" w:type="dxa"/>
            <w:shd w:val="clear" w:color="auto" w:fill="D9D9D9"/>
          </w:tcPr>
          <w:p w:rsidR="003D2202" w:rsidRPr="00481C9B" w:rsidRDefault="0039799B">
            <w:pPr>
              <w:jc w:val="center"/>
              <w:rPr>
                <w:rFonts w:ascii="Palatino Linotype" w:eastAsia="Palatino Linotype" w:hAnsi="Palatino Linotype" w:cs="Palatino Linotype"/>
                <w:b/>
              </w:rPr>
            </w:pPr>
            <w:r w:rsidRPr="00481C9B">
              <w:rPr>
                <w:rFonts w:ascii="Palatino Linotype" w:eastAsia="Palatino Linotype" w:hAnsi="Palatino Linotype" w:cs="Palatino Linotype"/>
                <w:b/>
              </w:rPr>
              <w:t>Requerimientos</w:t>
            </w:r>
          </w:p>
        </w:tc>
        <w:tc>
          <w:tcPr>
            <w:tcW w:w="3001" w:type="dxa"/>
            <w:shd w:val="clear" w:color="auto" w:fill="D9D9D9"/>
          </w:tcPr>
          <w:p w:rsidR="003D2202" w:rsidRPr="00481C9B" w:rsidRDefault="0039799B">
            <w:pPr>
              <w:jc w:val="center"/>
              <w:rPr>
                <w:rFonts w:ascii="Palatino Linotype" w:eastAsia="Palatino Linotype" w:hAnsi="Palatino Linotype" w:cs="Palatino Linotype"/>
                <w:b/>
              </w:rPr>
            </w:pPr>
            <w:r w:rsidRPr="00481C9B">
              <w:rPr>
                <w:rFonts w:ascii="Palatino Linotype" w:eastAsia="Palatino Linotype" w:hAnsi="Palatino Linotype" w:cs="Palatino Linotype"/>
                <w:b/>
              </w:rPr>
              <w:t>Informe Justificado</w:t>
            </w:r>
          </w:p>
        </w:tc>
        <w:tc>
          <w:tcPr>
            <w:tcW w:w="2551" w:type="dxa"/>
            <w:shd w:val="clear" w:color="auto" w:fill="D9D9D9"/>
          </w:tcPr>
          <w:p w:rsidR="003D2202" w:rsidRPr="00481C9B" w:rsidRDefault="0039799B">
            <w:pPr>
              <w:jc w:val="center"/>
              <w:rPr>
                <w:rFonts w:ascii="Palatino Linotype" w:eastAsia="Palatino Linotype" w:hAnsi="Palatino Linotype" w:cs="Palatino Linotype"/>
                <w:b/>
              </w:rPr>
            </w:pPr>
            <w:r w:rsidRPr="00481C9B">
              <w:rPr>
                <w:rFonts w:ascii="Palatino Linotype" w:eastAsia="Palatino Linotype" w:hAnsi="Palatino Linotype" w:cs="Palatino Linotype"/>
                <w:b/>
              </w:rPr>
              <w:t>Observaciones</w:t>
            </w:r>
          </w:p>
        </w:tc>
      </w:tr>
      <w:tr w:rsidR="00481C9B" w:rsidRPr="00481C9B">
        <w:tc>
          <w:tcPr>
            <w:tcW w:w="397" w:type="dxa"/>
            <w:shd w:val="clear" w:color="auto" w:fill="D9D9D9"/>
          </w:tcPr>
          <w:p w:rsidR="003D2202" w:rsidRPr="00481C9B" w:rsidRDefault="0039799B">
            <w:pPr>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lastRenderedPageBreak/>
              <w:t>1</w:t>
            </w:r>
          </w:p>
        </w:tc>
        <w:tc>
          <w:tcPr>
            <w:tcW w:w="2693" w:type="dxa"/>
          </w:tcPr>
          <w:p w:rsidR="003D2202" w:rsidRPr="00481C9B" w:rsidRDefault="0039799B">
            <w:pPr>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¿Cuál es el monto de la deuda con la con CFE del H. Ayuntamiento?</w:t>
            </w:r>
          </w:p>
        </w:tc>
        <w:tc>
          <w:tcPr>
            <w:tcW w:w="3001" w:type="dxa"/>
          </w:tcPr>
          <w:p w:rsidR="003D2202" w:rsidRPr="00481C9B" w:rsidRDefault="0039799B">
            <w:pPr>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Tesorería Municipal. Al treinta y uno de marzo de dos mil veintidós se cuenta con la siguiente información:</w:t>
            </w:r>
          </w:p>
          <w:p w:rsidR="003D2202" w:rsidRPr="00481C9B" w:rsidRDefault="003D2202">
            <w:pPr>
              <w:jc w:val="both"/>
              <w:rPr>
                <w:rFonts w:ascii="Palatino Linotype" w:eastAsia="Palatino Linotype" w:hAnsi="Palatino Linotype" w:cs="Palatino Linotype"/>
                <w:sz w:val="20"/>
                <w:szCs w:val="20"/>
              </w:rPr>
            </w:pPr>
          </w:p>
          <w:p w:rsidR="003D2202" w:rsidRPr="00481C9B" w:rsidRDefault="0039799B">
            <w:pPr>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noProof/>
                <w:sz w:val="20"/>
                <w:szCs w:val="20"/>
                <w:lang w:val="es-MX"/>
              </w:rPr>
              <w:drawing>
                <wp:inline distT="0" distB="0" distL="0" distR="0">
                  <wp:extent cx="1768475" cy="685800"/>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768475" cy="685800"/>
                          </a:xfrm>
                          <a:prstGeom prst="rect">
                            <a:avLst/>
                          </a:prstGeom>
                          <a:ln/>
                        </pic:spPr>
                      </pic:pic>
                    </a:graphicData>
                  </a:graphic>
                </wp:inline>
              </w:drawing>
            </w:r>
          </w:p>
          <w:p w:rsidR="003D2202" w:rsidRPr="00481C9B" w:rsidRDefault="003D2202">
            <w:pPr>
              <w:jc w:val="both"/>
              <w:rPr>
                <w:rFonts w:ascii="Palatino Linotype" w:eastAsia="Palatino Linotype" w:hAnsi="Palatino Linotype" w:cs="Palatino Linotype"/>
                <w:sz w:val="20"/>
                <w:szCs w:val="20"/>
                <w:u w:val="single"/>
              </w:rPr>
            </w:pPr>
          </w:p>
          <w:p w:rsidR="003D2202" w:rsidRPr="00481C9B" w:rsidRDefault="0039799B">
            <w:pPr>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 xml:space="preserve">Contraloría Interna Municipal. Refirió que respecto a los numerales uno y dos, la unidad administrativa competente es Tesorería Municipal. </w:t>
            </w:r>
          </w:p>
        </w:tc>
        <w:tc>
          <w:tcPr>
            <w:tcW w:w="2551" w:type="dxa"/>
          </w:tcPr>
          <w:p w:rsidR="003D2202" w:rsidRPr="00481C9B" w:rsidRDefault="003D2202">
            <w:pPr>
              <w:jc w:val="center"/>
              <w:rPr>
                <w:rFonts w:ascii="Palatino Linotype" w:eastAsia="Palatino Linotype" w:hAnsi="Palatino Linotype" w:cs="Palatino Linotype"/>
                <w:sz w:val="20"/>
                <w:szCs w:val="20"/>
              </w:rPr>
            </w:pPr>
          </w:p>
          <w:p w:rsidR="003D2202" w:rsidRPr="00481C9B" w:rsidRDefault="003D2202">
            <w:pPr>
              <w:jc w:val="center"/>
              <w:rPr>
                <w:rFonts w:ascii="Palatino Linotype" w:eastAsia="Palatino Linotype" w:hAnsi="Palatino Linotype" w:cs="Palatino Linotype"/>
                <w:sz w:val="20"/>
                <w:szCs w:val="20"/>
              </w:rPr>
            </w:pPr>
          </w:p>
          <w:p w:rsidR="003D2202" w:rsidRPr="00481C9B" w:rsidRDefault="003D2202">
            <w:pPr>
              <w:jc w:val="center"/>
              <w:rPr>
                <w:rFonts w:ascii="Palatino Linotype" w:eastAsia="Palatino Linotype" w:hAnsi="Palatino Linotype" w:cs="Palatino Linotype"/>
                <w:sz w:val="20"/>
                <w:szCs w:val="20"/>
              </w:rPr>
            </w:pPr>
          </w:p>
          <w:p w:rsidR="003D2202" w:rsidRPr="00481C9B" w:rsidRDefault="0039799B">
            <w:pPr>
              <w:jc w:val="center"/>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Se atendió.</w:t>
            </w:r>
          </w:p>
          <w:p w:rsidR="003D2202" w:rsidRPr="00481C9B" w:rsidRDefault="0039799B">
            <w:pPr>
              <w:jc w:val="center"/>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 xml:space="preserve">Proporcionó la información solicitada al treinta y uno de marzo de dos mil veintidós. </w:t>
            </w:r>
          </w:p>
        </w:tc>
      </w:tr>
      <w:tr w:rsidR="00481C9B" w:rsidRPr="00481C9B">
        <w:tc>
          <w:tcPr>
            <w:tcW w:w="397" w:type="dxa"/>
            <w:shd w:val="clear" w:color="auto" w:fill="D9D9D9"/>
          </w:tcPr>
          <w:p w:rsidR="003D2202" w:rsidRPr="00481C9B" w:rsidRDefault="0039799B">
            <w:pPr>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2</w:t>
            </w:r>
          </w:p>
        </w:tc>
        <w:tc>
          <w:tcPr>
            <w:tcW w:w="2693" w:type="dxa"/>
          </w:tcPr>
          <w:p w:rsidR="003D2202" w:rsidRPr="00481C9B" w:rsidRDefault="0039799B">
            <w:pPr>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Copia de la factura de los gastos de la presidencia municipal desde enero de 2022</w:t>
            </w:r>
          </w:p>
        </w:tc>
        <w:tc>
          <w:tcPr>
            <w:tcW w:w="3001" w:type="dxa"/>
          </w:tcPr>
          <w:p w:rsidR="003D2202" w:rsidRPr="00481C9B" w:rsidRDefault="0039799B">
            <w:pPr>
              <w:jc w:val="both"/>
              <w:rPr>
                <w:rFonts w:ascii="Palatino Linotype" w:eastAsia="Palatino Linotype" w:hAnsi="Palatino Linotype" w:cs="Palatino Linotype"/>
                <w:i/>
                <w:sz w:val="20"/>
                <w:szCs w:val="20"/>
              </w:rPr>
            </w:pPr>
            <w:r w:rsidRPr="00481C9B">
              <w:rPr>
                <w:rFonts w:ascii="Palatino Linotype" w:eastAsia="Palatino Linotype" w:hAnsi="Palatino Linotype" w:cs="Palatino Linotype"/>
                <w:sz w:val="20"/>
                <w:szCs w:val="20"/>
              </w:rPr>
              <w:t xml:space="preserve">Tesorería Municipal precisó que </w:t>
            </w:r>
            <w:r w:rsidRPr="00481C9B">
              <w:rPr>
                <w:rFonts w:ascii="Palatino Linotype" w:eastAsia="Palatino Linotype" w:hAnsi="Palatino Linotype" w:cs="Palatino Linotype"/>
                <w:i/>
                <w:sz w:val="20"/>
                <w:szCs w:val="20"/>
              </w:rPr>
              <w:t xml:space="preserve">“sólo es por concepto de alimentos, al respecto se adjunta copia de facturas </w:t>
            </w:r>
            <w:r w:rsidRPr="00481C9B">
              <w:rPr>
                <w:rFonts w:ascii="Palatino Linotype" w:eastAsia="Palatino Linotype" w:hAnsi="Palatino Linotype" w:cs="Palatino Linotype"/>
                <w:i/>
                <w:sz w:val="18"/>
                <w:szCs w:val="18"/>
              </w:rPr>
              <w:t>(ANEXO1/FACTURAS/DDA78)</w:t>
            </w:r>
          </w:p>
        </w:tc>
        <w:tc>
          <w:tcPr>
            <w:tcW w:w="2551" w:type="dxa"/>
          </w:tcPr>
          <w:p w:rsidR="003D2202" w:rsidRPr="00481C9B" w:rsidRDefault="0039799B">
            <w:pPr>
              <w:jc w:val="center"/>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Se atendió parcialmente.</w:t>
            </w:r>
          </w:p>
          <w:p w:rsidR="003D2202" w:rsidRPr="00481C9B" w:rsidRDefault="003D2202">
            <w:pPr>
              <w:jc w:val="center"/>
              <w:rPr>
                <w:rFonts w:ascii="Palatino Linotype" w:eastAsia="Palatino Linotype" w:hAnsi="Palatino Linotype" w:cs="Palatino Linotype"/>
                <w:sz w:val="20"/>
                <w:szCs w:val="20"/>
              </w:rPr>
            </w:pPr>
          </w:p>
          <w:p w:rsidR="003D2202" w:rsidRPr="00481C9B" w:rsidRDefault="0039799B">
            <w:pPr>
              <w:jc w:val="center"/>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Proporcionó dos facturas de los meses enero y marzo, en versión pública, donde clasificó datos de naturaleza pública.</w:t>
            </w:r>
          </w:p>
          <w:p w:rsidR="003D2202" w:rsidRPr="00481C9B" w:rsidRDefault="003D2202">
            <w:pPr>
              <w:jc w:val="center"/>
              <w:rPr>
                <w:rFonts w:ascii="Palatino Linotype" w:eastAsia="Palatino Linotype" w:hAnsi="Palatino Linotype" w:cs="Palatino Linotype"/>
                <w:sz w:val="20"/>
                <w:szCs w:val="20"/>
              </w:rPr>
            </w:pPr>
          </w:p>
        </w:tc>
      </w:tr>
      <w:tr w:rsidR="00481C9B" w:rsidRPr="00481C9B">
        <w:tc>
          <w:tcPr>
            <w:tcW w:w="397" w:type="dxa"/>
            <w:shd w:val="clear" w:color="auto" w:fill="D9D9D9"/>
          </w:tcPr>
          <w:p w:rsidR="003D2202" w:rsidRPr="00481C9B" w:rsidRDefault="0039799B">
            <w:pPr>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3</w:t>
            </w:r>
          </w:p>
        </w:tc>
        <w:tc>
          <w:tcPr>
            <w:tcW w:w="2693" w:type="dxa"/>
          </w:tcPr>
          <w:p w:rsidR="003D2202" w:rsidRPr="00481C9B" w:rsidRDefault="0039799B">
            <w:pPr>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¿Cuántos pagos se han realizado para publicidad gubernamental, inserciones pagadas u otros relativos a medios de comunicación?</w:t>
            </w:r>
          </w:p>
          <w:p w:rsidR="003D2202" w:rsidRPr="00481C9B" w:rsidRDefault="003D2202">
            <w:pPr>
              <w:jc w:val="both"/>
              <w:rPr>
                <w:rFonts w:ascii="Palatino Linotype" w:eastAsia="Palatino Linotype" w:hAnsi="Palatino Linotype" w:cs="Palatino Linotype"/>
                <w:sz w:val="20"/>
                <w:szCs w:val="20"/>
              </w:rPr>
            </w:pPr>
          </w:p>
          <w:p w:rsidR="003D2202" w:rsidRPr="00481C9B" w:rsidRDefault="0039799B">
            <w:pPr>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 xml:space="preserve">Solicito lista de las personas o empresas que recibieron el pago, </w:t>
            </w:r>
            <w:r w:rsidRPr="00481C9B">
              <w:rPr>
                <w:rFonts w:ascii="Palatino Linotype" w:eastAsia="Palatino Linotype" w:hAnsi="Palatino Linotype" w:cs="Palatino Linotype"/>
                <w:sz w:val="20"/>
                <w:szCs w:val="20"/>
                <w:u w:val="single"/>
              </w:rPr>
              <w:t>motivo de este</w:t>
            </w:r>
            <w:r w:rsidRPr="00481C9B">
              <w:rPr>
                <w:rFonts w:ascii="Palatino Linotype" w:eastAsia="Palatino Linotype" w:hAnsi="Palatino Linotype" w:cs="Palatino Linotype"/>
                <w:sz w:val="20"/>
                <w:szCs w:val="20"/>
              </w:rPr>
              <w:t>, fecha de contrato en caso de existir de cada uno, fecha de pago y modalidad de este y principalmente la cantidad de dinero del pago.</w:t>
            </w:r>
          </w:p>
        </w:tc>
        <w:tc>
          <w:tcPr>
            <w:tcW w:w="3001" w:type="dxa"/>
          </w:tcPr>
          <w:p w:rsidR="003D2202" w:rsidRPr="00481C9B" w:rsidRDefault="0039799B">
            <w:pPr>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 xml:space="preserve">Precisó que en el Anexo II y III hallará que la empresa participante es Impresos Puntual S.A. de RL de C.V. con fecha de contrato del diecisiete de enero de dos mil veintidós; la modalidad de pago no se ha establecido y, en consecuencia, no se ha realizado algún pago por la cantidad de $8120.00 (se anexa información PDF; anexo II y III) </w:t>
            </w:r>
          </w:p>
          <w:p w:rsidR="003D2202" w:rsidRPr="00481C9B" w:rsidRDefault="003D2202">
            <w:pPr>
              <w:jc w:val="both"/>
              <w:rPr>
                <w:rFonts w:ascii="Palatino Linotype" w:eastAsia="Palatino Linotype" w:hAnsi="Palatino Linotype" w:cs="Palatino Linotype"/>
                <w:sz w:val="20"/>
                <w:szCs w:val="20"/>
              </w:rPr>
            </w:pPr>
          </w:p>
          <w:p w:rsidR="003D2202" w:rsidRPr="00481C9B" w:rsidRDefault="0039799B">
            <w:pPr>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 xml:space="preserve">Contraloría Interna Municipal. Refirió que respecto a los numerales tres, cuatro y cinco, la unidad administrativa competente es la Dirección de Administración. </w:t>
            </w:r>
          </w:p>
        </w:tc>
        <w:tc>
          <w:tcPr>
            <w:tcW w:w="2551" w:type="dxa"/>
          </w:tcPr>
          <w:p w:rsidR="003D2202" w:rsidRPr="00481C9B" w:rsidRDefault="003D2202">
            <w:pPr>
              <w:jc w:val="center"/>
              <w:rPr>
                <w:rFonts w:ascii="Palatino Linotype" w:eastAsia="Palatino Linotype" w:hAnsi="Palatino Linotype" w:cs="Palatino Linotype"/>
                <w:sz w:val="20"/>
                <w:szCs w:val="20"/>
              </w:rPr>
            </w:pPr>
          </w:p>
          <w:p w:rsidR="003D2202" w:rsidRPr="00481C9B" w:rsidRDefault="0039799B">
            <w:pPr>
              <w:jc w:val="center"/>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Se atendió parcialmente.</w:t>
            </w:r>
          </w:p>
          <w:p w:rsidR="003D2202" w:rsidRPr="00481C9B" w:rsidRDefault="003D2202">
            <w:pPr>
              <w:jc w:val="both"/>
              <w:rPr>
                <w:rFonts w:ascii="Palatino Linotype" w:eastAsia="Palatino Linotype" w:hAnsi="Palatino Linotype" w:cs="Palatino Linotype"/>
                <w:sz w:val="20"/>
                <w:szCs w:val="20"/>
              </w:rPr>
            </w:pPr>
          </w:p>
          <w:p w:rsidR="003D2202" w:rsidRPr="00481C9B" w:rsidRDefault="0039799B">
            <w:pPr>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 xml:space="preserve">El Sujeto Obligado: </w:t>
            </w:r>
          </w:p>
          <w:p w:rsidR="003D2202" w:rsidRPr="00481C9B" w:rsidRDefault="003D2202">
            <w:pPr>
              <w:jc w:val="both"/>
              <w:rPr>
                <w:rFonts w:ascii="Palatino Linotype" w:eastAsia="Palatino Linotype" w:hAnsi="Palatino Linotype" w:cs="Palatino Linotype"/>
                <w:sz w:val="20"/>
                <w:szCs w:val="20"/>
              </w:rPr>
            </w:pPr>
          </w:p>
          <w:p w:rsidR="003D2202" w:rsidRPr="00481C9B" w:rsidRDefault="0039799B">
            <w:pPr>
              <w:numPr>
                <w:ilvl w:val="0"/>
                <w:numId w:val="7"/>
              </w:numPr>
              <w:pBdr>
                <w:top w:val="nil"/>
                <w:left w:val="nil"/>
                <w:bottom w:val="nil"/>
                <w:right w:val="nil"/>
                <w:between w:val="nil"/>
              </w:pBdr>
              <w:tabs>
                <w:tab w:val="left" w:pos="317"/>
              </w:tabs>
              <w:ind w:left="0" w:firstLine="33"/>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Señaló que no se ha realizado algún pago porque no se ha establecido la modalidad de pago correspondiente.</w:t>
            </w:r>
          </w:p>
          <w:p w:rsidR="003D2202" w:rsidRPr="00481C9B" w:rsidRDefault="0039799B">
            <w:pPr>
              <w:numPr>
                <w:ilvl w:val="0"/>
                <w:numId w:val="7"/>
              </w:numPr>
              <w:pBdr>
                <w:top w:val="nil"/>
                <w:left w:val="nil"/>
                <w:bottom w:val="nil"/>
                <w:right w:val="nil"/>
                <w:between w:val="nil"/>
              </w:pBdr>
              <w:tabs>
                <w:tab w:val="left" w:pos="317"/>
              </w:tabs>
              <w:ind w:left="0" w:firstLine="33"/>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Señaló que la empresa es Impresos Puntual S.A. de RL de C.V.</w:t>
            </w:r>
          </w:p>
          <w:p w:rsidR="003D2202" w:rsidRPr="00481C9B" w:rsidRDefault="0039799B">
            <w:pPr>
              <w:numPr>
                <w:ilvl w:val="0"/>
                <w:numId w:val="7"/>
              </w:numPr>
              <w:pBdr>
                <w:top w:val="nil"/>
                <w:left w:val="nil"/>
                <w:bottom w:val="nil"/>
                <w:right w:val="nil"/>
                <w:between w:val="nil"/>
              </w:pBdr>
              <w:tabs>
                <w:tab w:val="left" w:pos="317"/>
              </w:tabs>
              <w:ind w:left="0" w:firstLine="33"/>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 xml:space="preserve">Fecha de contrato 17 de enero de 2022. </w:t>
            </w:r>
          </w:p>
          <w:p w:rsidR="003D2202" w:rsidRPr="00481C9B" w:rsidRDefault="0039799B">
            <w:pPr>
              <w:numPr>
                <w:ilvl w:val="0"/>
                <w:numId w:val="7"/>
              </w:numPr>
              <w:pBdr>
                <w:top w:val="nil"/>
                <w:left w:val="nil"/>
                <w:bottom w:val="nil"/>
                <w:right w:val="nil"/>
                <w:between w:val="nil"/>
              </w:pBdr>
              <w:tabs>
                <w:tab w:val="left" w:pos="317"/>
              </w:tabs>
              <w:ind w:left="0" w:firstLine="33"/>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Cantidad de pago $8120.00.</w:t>
            </w:r>
          </w:p>
          <w:p w:rsidR="003D2202" w:rsidRPr="00481C9B" w:rsidRDefault="003D2202">
            <w:pPr>
              <w:tabs>
                <w:tab w:val="left" w:pos="317"/>
              </w:tabs>
              <w:jc w:val="both"/>
              <w:rPr>
                <w:rFonts w:ascii="Palatino Linotype" w:eastAsia="Palatino Linotype" w:hAnsi="Palatino Linotype" w:cs="Palatino Linotype"/>
                <w:sz w:val="20"/>
                <w:szCs w:val="20"/>
              </w:rPr>
            </w:pPr>
          </w:p>
          <w:p w:rsidR="003D2202" w:rsidRPr="00481C9B" w:rsidRDefault="0039799B">
            <w:pPr>
              <w:tabs>
                <w:tab w:val="left" w:pos="317"/>
              </w:tabs>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 xml:space="preserve">Sin embargo, </w:t>
            </w:r>
            <w:r w:rsidRPr="00481C9B">
              <w:rPr>
                <w:rFonts w:ascii="Palatino Linotype" w:eastAsia="Palatino Linotype" w:hAnsi="Palatino Linotype" w:cs="Palatino Linotype"/>
                <w:b/>
                <w:sz w:val="20"/>
                <w:szCs w:val="20"/>
                <w:u w:val="single"/>
              </w:rPr>
              <w:t>no refirió el motivo del pago.</w:t>
            </w:r>
            <w:r w:rsidRPr="00481C9B">
              <w:rPr>
                <w:rFonts w:ascii="Palatino Linotype" w:eastAsia="Palatino Linotype" w:hAnsi="Palatino Linotype" w:cs="Palatino Linotype"/>
                <w:sz w:val="20"/>
                <w:szCs w:val="20"/>
              </w:rPr>
              <w:t xml:space="preserve"> </w:t>
            </w:r>
          </w:p>
        </w:tc>
      </w:tr>
      <w:tr w:rsidR="00481C9B" w:rsidRPr="00481C9B">
        <w:tc>
          <w:tcPr>
            <w:tcW w:w="397" w:type="dxa"/>
            <w:shd w:val="clear" w:color="auto" w:fill="D9D9D9"/>
          </w:tcPr>
          <w:p w:rsidR="003D2202" w:rsidRPr="00481C9B" w:rsidRDefault="0039799B">
            <w:pPr>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lastRenderedPageBreak/>
              <w:t>4</w:t>
            </w:r>
          </w:p>
        </w:tc>
        <w:tc>
          <w:tcPr>
            <w:tcW w:w="2693" w:type="dxa"/>
          </w:tcPr>
          <w:p w:rsidR="003D2202" w:rsidRPr="00481C9B" w:rsidRDefault="0039799B">
            <w:pPr>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Expedientes de las licitaciones directas o con invitación a tres proveedores con todo y las actas de las empresas. Desde el inicio de la administración a la fecha</w:t>
            </w:r>
          </w:p>
        </w:tc>
        <w:tc>
          <w:tcPr>
            <w:tcW w:w="3001" w:type="dxa"/>
          </w:tcPr>
          <w:p w:rsidR="003D2202" w:rsidRPr="00481C9B" w:rsidRDefault="0039799B">
            <w:pPr>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 xml:space="preserve">Precisa que, se adjuntan en el Anexo II, III y Convocatoria, y se hace saber que en dichos anexos encontrará el Expediente de Licitación Pública número TEX/CAYS/LP/DGA/001/2022. </w:t>
            </w:r>
          </w:p>
        </w:tc>
        <w:tc>
          <w:tcPr>
            <w:tcW w:w="2551" w:type="dxa"/>
          </w:tcPr>
          <w:p w:rsidR="003D2202" w:rsidRPr="00481C9B" w:rsidRDefault="0039799B">
            <w:pPr>
              <w:jc w:val="center"/>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No se atendió.</w:t>
            </w:r>
          </w:p>
          <w:p w:rsidR="003D2202" w:rsidRPr="00481C9B" w:rsidRDefault="003D2202">
            <w:pPr>
              <w:jc w:val="center"/>
              <w:rPr>
                <w:rFonts w:ascii="Palatino Linotype" w:eastAsia="Palatino Linotype" w:hAnsi="Palatino Linotype" w:cs="Palatino Linotype"/>
                <w:sz w:val="20"/>
                <w:szCs w:val="20"/>
              </w:rPr>
            </w:pPr>
          </w:p>
          <w:p w:rsidR="003D2202" w:rsidRPr="00481C9B" w:rsidRDefault="0039799B">
            <w:pPr>
              <w:jc w:val="center"/>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 xml:space="preserve">El Sujeto Obligado no proporcionó información de procedimientos de adjudicación directa o invitación restringida y, no se pronunció al respecto   </w:t>
            </w:r>
          </w:p>
          <w:p w:rsidR="003D2202" w:rsidRPr="00481C9B" w:rsidRDefault="003D2202">
            <w:pPr>
              <w:jc w:val="center"/>
              <w:rPr>
                <w:rFonts w:ascii="Palatino Linotype" w:eastAsia="Palatino Linotype" w:hAnsi="Palatino Linotype" w:cs="Palatino Linotype"/>
                <w:sz w:val="20"/>
                <w:szCs w:val="20"/>
              </w:rPr>
            </w:pPr>
          </w:p>
        </w:tc>
      </w:tr>
      <w:tr w:rsidR="00481C9B" w:rsidRPr="00481C9B">
        <w:tc>
          <w:tcPr>
            <w:tcW w:w="397" w:type="dxa"/>
            <w:shd w:val="clear" w:color="auto" w:fill="D9D9D9"/>
          </w:tcPr>
          <w:p w:rsidR="003D2202" w:rsidRPr="00481C9B" w:rsidRDefault="0039799B">
            <w:pPr>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5</w:t>
            </w:r>
          </w:p>
        </w:tc>
        <w:tc>
          <w:tcPr>
            <w:tcW w:w="2693" w:type="dxa"/>
          </w:tcPr>
          <w:p w:rsidR="003D2202" w:rsidRPr="00481C9B" w:rsidRDefault="0039799B">
            <w:pPr>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¿Cuál es la telefonía local y móvil que se utiliza para el H. Ayuntamiento y que costo mensual tiene? Servicio de conmutador, líneas telefónicas, aparatos celulares y de qué marca son. Especificar nombre de la compañía, representante legal y montos.</w:t>
            </w:r>
          </w:p>
        </w:tc>
        <w:tc>
          <w:tcPr>
            <w:tcW w:w="3001" w:type="dxa"/>
          </w:tcPr>
          <w:p w:rsidR="003D2202" w:rsidRPr="00481C9B" w:rsidRDefault="0039799B">
            <w:pPr>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Precisó que los servicios de telefonía corresponden a Teléfonos de México (TELMEX) y, el costo mensual asciende a $75,167.82 pesos.</w:t>
            </w:r>
          </w:p>
          <w:p w:rsidR="003D2202" w:rsidRPr="00481C9B" w:rsidRDefault="003D2202">
            <w:pPr>
              <w:jc w:val="both"/>
              <w:rPr>
                <w:rFonts w:ascii="Palatino Linotype" w:eastAsia="Palatino Linotype" w:hAnsi="Palatino Linotype" w:cs="Palatino Linotype"/>
                <w:sz w:val="20"/>
                <w:szCs w:val="20"/>
              </w:rPr>
            </w:pPr>
          </w:p>
          <w:p w:rsidR="003D2202" w:rsidRPr="00481C9B" w:rsidRDefault="0039799B">
            <w:pPr>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Asimismo, refiere que no se cuenta con servicios de conmutador, ni con teléfonos móviles, que la marca de teléfono base son equipos convencionales, el nombre de la compañía es TELMEX, no se cuenta con representante legal y el monto es de $75,167.82 pesos.</w:t>
            </w:r>
          </w:p>
        </w:tc>
        <w:tc>
          <w:tcPr>
            <w:tcW w:w="2551" w:type="dxa"/>
          </w:tcPr>
          <w:p w:rsidR="003D2202" w:rsidRPr="00481C9B" w:rsidRDefault="003D2202">
            <w:pPr>
              <w:jc w:val="both"/>
              <w:rPr>
                <w:rFonts w:ascii="Palatino Linotype" w:eastAsia="Palatino Linotype" w:hAnsi="Palatino Linotype" w:cs="Palatino Linotype"/>
                <w:sz w:val="20"/>
                <w:szCs w:val="20"/>
              </w:rPr>
            </w:pPr>
          </w:p>
          <w:p w:rsidR="003D2202" w:rsidRPr="00481C9B" w:rsidRDefault="003D2202">
            <w:pPr>
              <w:jc w:val="both"/>
              <w:rPr>
                <w:rFonts w:ascii="Palatino Linotype" w:eastAsia="Palatino Linotype" w:hAnsi="Palatino Linotype" w:cs="Palatino Linotype"/>
                <w:sz w:val="20"/>
                <w:szCs w:val="20"/>
              </w:rPr>
            </w:pPr>
          </w:p>
          <w:p w:rsidR="003D2202" w:rsidRPr="00481C9B" w:rsidRDefault="0039799B">
            <w:pPr>
              <w:jc w:val="center"/>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Se atendió</w:t>
            </w:r>
          </w:p>
          <w:p w:rsidR="003D2202" w:rsidRPr="00481C9B" w:rsidRDefault="003D2202">
            <w:pPr>
              <w:jc w:val="center"/>
              <w:rPr>
                <w:rFonts w:ascii="Palatino Linotype" w:eastAsia="Palatino Linotype" w:hAnsi="Palatino Linotype" w:cs="Palatino Linotype"/>
                <w:sz w:val="20"/>
                <w:szCs w:val="20"/>
              </w:rPr>
            </w:pPr>
          </w:p>
          <w:p w:rsidR="003D2202" w:rsidRPr="00481C9B" w:rsidRDefault="0039799B">
            <w:pPr>
              <w:jc w:val="center"/>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 xml:space="preserve">El Sujeto Obligado precisó que: </w:t>
            </w:r>
          </w:p>
          <w:p w:rsidR="003D2202" w:rsidRPr="00481C9B" w:rsidRDefault="003D2202">
            <w:pPr>
              <w:jc w:val="center"/>
              <w:rPr>
                <w:rFonts w:ascii="Palatino Linotype" w:eastAsia="Palatino Linotype" w:hAnsi="Palatino Linotype" w:cs="Palatino Linotype"/>
                <w:sz w:val="20"/>
                <w:szCs w:val="20"/>
              </w:rPr>
            </w:pPr>
          </w:p>
          <w:p w:rsidR="003D2202" w:rsidRPr="00481C9B" w:rsidRDefault="0039799B">
            <w:pPr>
              <w:numPr>
                <w:ilvl w:val="0"/>
                <w:numId w:val="7"/>
              </w:numPr>
              <w:pBdr>
                <w:top w:val="nil"/>
                <w:left w:val="nil"/>
                <w:bottom w:val="nil"/>
                <w:right w:val="nil"/>
                <w:between w:val="nil"/>
              </w:pBdr>
              <w:tabs>
                <w:tab w:val="left" w:pos="231"/>
              </w:tabs>
              <w:ind w:left="33" w:firstLine="0"/>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La telefonía que se utiliza es de la empresa Telmex en equipos convencionales.</w:t>
            </w:r>
          </w:p>
          <w:p w:rsidR="003D2202" w:rsidRPr="00481C9B" w:rsidRDefault="0039799B">
            <w:pPr>
              <w:numPr>
                <w:ilvl w:val="0"/>
                <w:numId w:val="7"/>
              </w:numPr>
              <w:pBdr>
                <w:top w:val="nil"/>
                <w:left w:val="nil"/>
                <w:bottom w:val="nil"/>
                <w:right w:val="nil"/>
                <w:between w:val="nil"/>
              </w:pBdr>
              <w:ind w:left="175" w:hanging="142"/>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 xml:space="preserve">Monto mensual $75,167.82 pesos. </w:t>
            </w:r>
          </w:p>
          <w:p w:rsidR="003D2202" w:rsidRPr="00481C9B" w:rsidRDefault="0039799B">
            <w:pPr>
              <w:numPr>
                <w:ilvl w:val="0"/>
                <w:numId w:val="7"/>
              </w:numPr>
              <w:pBdr>
                <w:top w:val="nil"/>
                <w:left w:val="nil"/>
                <w:bottom w:val="nil"/>
                <w:right w:val="nil"/>
                <w:between w:val="nil"/>
              </w:pBdr>
              <w:tabs>
                <w:tab w:val="left" w:pos="231"/>
              </w:tabs>
              <w:ind w:left="33" w:firstLine="0"/>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 xml:space="preserve">No se cuentan con servicios de conmutador. </w:t>
            </w:r>
          </w:p>
          <w:p w:rsidR="003D2202" w:rsidRPr="00481C9B" w:rsidRDefault="0039799B">
            <w:pPr>
              <w:numPr>
                <w:ilvl w:val="0"/>
                <w:numId w:val="7"/>
              </w:numPr>
              <w:pBdr>
                <w:top w:val="nil"/>
                <w:left w:val="nil"/>
                <w:bottom w:val="nil"/>
                <w:right w:val="nil"/>
                <w:between w:val="nil"/>
              </w:pBdr>
              <w:tabs>
                <w:tab w:val="left" w:pos="231"/>
              </w:tabs>
              <w:ind w:left="33" w:firstLine="0"/>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 xml:space="preserve">No se cuentan con teléfonos móviles. </w:t>
            </w:r>
          </w:p>
          <w:p w:rsidR="003D2202" w:rsidRPr="00481C9B" w:rsidRDefault="0039799B">
            <w:pPr>
              <w:numPr>
                <w:ilvl w:val="0"/>
                <w:numId w:val="7"/>
              </w:numPr>
              <w:pBdr>
                <w:top w:val="nil"/>
                <w:left w:val="nil"/>
                <w:bottom w:val="nil"/>
                <w:right w:val="nil"/>
                <w:between w:val="nil"/>
              </w:pBdr>
              <w:tabs>
                <w:tab w:val="left" w:pos="231"/>
              </w:tabs>
              <w:ind w:left="33" w:firstLine="0"/>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 xml:space="preserve">No se cuenta con representante legal. </w:t>
            </w:r>
          </w:p>
        </w:tc>
      </w:tr>
      <w:tr w:rsidR="00481C9B" w:rsidRPr="00481C9B">
        <w:tc>
          <w:tcPr>
            <w:tcW w:w="397" w:type="dxa"/>
            <w:shd w:val="clear" w:color="auto" w:fill="D9D9D9"/>
          </w:tcPr>
          <w:p w:rsidR="003D2202" w:rsidRPr="00481C9B" w:rsidRDefault="0039799B">
            <w:pPr>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6</w:t>
            </w:r>
          </w:p>
        </w:tc>
        <w:tc>
          <w:tcPr>
            <w:tcW w:w="2693" w:type="dxa"/>
          </w:tcPr>
          <w:p w:rsidR="003D2202" w:rsidRPr="00481C9B" w:rsidRDefault="0039799B">
            <w:pPr>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¿Existe un sistema de auditoría, seguimiento y control financiero y cuál es?</w:t>
            </w:r>
          </w:p>
          <w:p w:rsidR="003D2202" w:rsidRPr="00481C9B" w:rsidRDefault="003D2202">
            <w:pPr>
              <w:rPr>
                <w:rFonts w:ascii="Palatino Linotype" w:eastAsia="Palatino Linotype" w:hAnsi="Palatino Linotype" w:cs="Palatino Linotype"/>
                <w:sz w:val="20"/>
                <w:szCs w:val="20"/>
              </w:rPr>
            </w:pPr>
          </w:p>
        </w:tc>
        <w:tc>
          <w:tcPr>
            <w:tcW w:w="3001" w:type="dxa"/>
          </w:tcPr>
          <w:p w:rsidR="003D2202" w:rsidRPr="00481C9B" w:rsidRDefault="0039799B">
            <w:pPr>
              <w:jc w:val="both"/>
              <w:rPr>
                <w:rFonts w:ascii="Palatino Linotype" w:eastAsia="Palatino Linotype" w:hAnsi="Palatino Linotype" w:cs="Palatino Linotype"/>
                <w:i/>
                <w:sz w:val="20"/>
                <w:szCs w:val="20"/>
              </w:rPr>
            </w:pPr>
            <w:r w:rsidRPr="00481C9B">
              <w:rPr>
                <w:rFonts w:ascii="Palatino Linotype" w:eastAsia="Palatino Linotype" w:hAnsi="Palatino Linotype" w:cs="Palatino Linotype"/>
                <w:sz w:val="20"/>
                <w:szCs w:val="20"/>
              </w:rPr>
              <w:t xml:space="preserve">Contraloría Interna Municipal. Refirió que </w:t>
            </w:r>
            <w:r w:rsidRPr="00481C9B">
              <w:rPr>
                <w:rFonts w:ascii="Palatino Linotype" w:eastAsia="Palatino Linotype" w:hAnsi="Palatino Linotype" w:cs="Palatino Linotype"/>
                <w:i/>
                <w:sz w:val="20"/>
                <w:szCs w:val="20"/>
              </w:rPr>
              <w:t xml:space="preserve">“este órgano de control por medio de sus jefaturas cuenta con las facultades para realizar auditorías normadas por lo dispuesto en el artículo 112 fracciones V y XII de la Ley Orgánica Municipal del Estado de México, 44 y 47 fracciones III y IV del Bando de Gobierno del Municipio de Texcoco, así como artículos 10 fracciones I, III, IV, V, IX y X y 11 fracciones III, IV, VII del Reglamento Interno de la Contraloría Municipal”. </w:t>
            </w:r>
          </w:p>
        </w:tc>
        <w:tc>
          <w:tcPr>
            <w:tcW w:w="2551" w:type="dxa"/>
          </w:tcPr>
          <w:p w:rsidR="003D2202" w:rsidRPr="00481C9B" w:rsidRDefault="003D2202">
            <w:pPr>
              <w:jc w:val="center"/>
              <w:rPr>
                <w:rFonts w:ascii="Palatino Linotype" w:eastAsia="Palatino Linotype" w:hAnsi="Palatino Linotype" w:cs="Palatino Linotype"/>
                <w:sz w:val="20"/>
                <w:szCs w:val="20"/>
              </w:rPr>
            </w:pPr>
          </w:p>
          <w:p w:rsidR="003D2202" w:rsidRPr="00481C9B" w:rsidRDefault="0039799B">
            <w:pPr>
              <w:jc w:val="center"/>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No se atendió.</w:t>
            </w:r>
          </w:p>
          <w:p w:rsidR="003D2202" w:rsidRPr="00481C9B" w:rsidRDefault="003D2202">
            <w:pPr>
              <w:jc w:val="center"/>
              <w:rPr>
                <w:rFonts w:ascii="Palatino Linotype" w:eastAsia="Palatino Linotype" w:hAnsi="Palatino Linotype" w:cs="Palatino Linotype"/>
                <w:sz w:val="20"/>
                <w:szCs w:val="20"/>
              </w:rPr>
            </w:pPr>
          </w:p>
          <w:p w:rsidR="003D2202" w:rsidRPr="00481C9B" w:rsidRDefault="0039799B">
            <w:pPr>
              <w:jc w:val="center"/>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 xml:space="preserve">Precisó que cuenta con atribuciones para realizar auditorías, sin embargo, no se pronunció concretamente a lo requerido por el Solicitante. </w:t>
            </w:r>
          </w:p>
        </w:tc>
      </w:tr>
    </w:tbl>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Por ello, en principio resulta conveniente traer a colación lo que establece el Bando de Gobierno del Municipio de Texcoco, de la presente administración, el cual en su artículo 28 precisa que:</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Artículo 28.</w:t>
      </w:r>
      <w:r w:rsidRPr="00481C9B">
        <w:rPr>
          <w:rFonts w:ascii="Palatino Linotype" w:eastAsia="Palatino Linotype" w:hAnsi="Palatino Linotype" w:cs="Palatino Linotype"/>
          <w:i/>
          <w:sz w:val="22"/>
          <w:szCs w:val="22"/>
        </w:rPr>
        <w:t xml:space="preserve"> Para el despacho, estudio y planeación de los diversos asuntos municipales, la Administración Pública Municipal está integrada por las siguientes Dependencias Administrativas:</w:t>
      </w: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II. Tesorería Municipal; </w:t>
      </w: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III. Contraloría Interna Municipal;</w:t>
      </w: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VI. Dirección General de Administración;</w:t>
      </w: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XVIII. Consejería Jurídica;</w:t>
      </w:r>
    </w:p>
    <w:p w:rsidR="003D2202" w:rsidRPr="00481C9B" w:rsidRDefault="0039799B">
      <w:pPr>
        <w:spacing w:line="276" w:lineRule="auto"/>
        <w:ind w:left="567"/>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En ese sentido, los artículos 32, 44, 82 y 151 del dispositivo legal de referencia, mencionan que: </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Artículo 32.</w:t>
      </w:r>
      <w:r w:rsidRPr="00481C9B">
        <w:rPr>
          <w:rFonts w:ascii="Palatino Linotype" w:eastAsia="Palatino Linotype" w:hAnsi="Palatino Linotype" w:cs="Palatino Linotype"/>
          <w:i/>
          <w:sz w:val="22"/>
          <w:szCs w:val="22"/>
        </w:rPr>
        <w:t xml:space="preserve"> La Tesorería Municipal es la dependencia administrativa facultada para gestionar, recaudar y administrar la Hacienda Pública Municipal por medio de las Direcciones de Ingresos y Egresos, apoyadas por las áreas de Contabilidad, Cuenta Pública y la subdirección de Verificación Administrativa. Esta dependencia administrativa es la autorizada para recaudar los créditos fiscales a que tenga derecho de percibir, derivados de contribuciones, aprovechamientos y los accesorios legales causados por éstos, de igual forma de los originados por responsabilidades administrativas y multas que, como sanciones impongan las autoridades administrativas competentes a los particulares por infracciones cometidas al presente Bando, reglamentos y demás disposiciones de carácter general emitidas por el Ayuntamiento. Así, como aquellos ingresos que provengan del Sistema Nacional de </w:t>
      </w:r>
      <w:r w:rsidRPr="00481C9B">
        <w:rPr>
          <w:rFonts w:ascii="Palatino Linotype" w:eastAsia="Palatino Linotype" w:hAnsi="Palatino Linotype" w:cs="Palatino Linotype"/>
          <w:i/>
          <w:sz w:val="22"/>
          <w:szCs w:val="22"/>
        </w:rPr>
        <w:lastRenderedPageBreak/>
        <w:t>Coordinación Fiscal, del Sistema Estatal de Coordinación Hacendaria y demás convenios o acuerdos que al efecto celebre el Ayuntamiento, en términos de los ordenamientos legales administrativos y fiscales aplicables al caso. De igual manera, como el resguardo de mercancía de la que no se acredite su autorización para la venta. La mercancía perecedera deberá ser donada a hospicios, al Sistema Municipal DIF Texcoco y Grupos de la Tercera Edad; restringir la venta de bebidas alcohólicas en tianguis y vías públicas del Municipio, además, prohibir la colocación de propaganda en postes y zonas públicas de la cabecera municipal y localidades del Municipio. Para hacer efectivo el cobro de los Créditos Fiscales, la Tesorería Municipal podrá instaurar el Procedimiento Administrativo de Ejecución, conforme a las normas vigentes previstas en los Códigos Financiero y de Procedimientos Administrativos del Estado de México.</w:t>
      </w: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Artículo 44.</w:t>
      </w:r>
      <w:r w:rsidRPr="00481C9B">
        <w:rPr>
          <w:rFonts w:ascii="Palatino Linotype" w:eastAsia="Palatino Linotype" w:hAnsi="Palatino Linotype" w:cs="Palatino Linotype"/>
          <w:i/>
          <w:sz w:val="22"/>
          <w:szCs w:val="22"/>
        </w:rPr>
        <w:t xml:space="preserve"> La Contraloría Interna Municipal tiene las funciones de planear, supervisar, vigilar, inspeccionar, auditar, verificar y aplicar diversas medidas de control interno para la evaluación de acciones de gobierno y funciones administrativas de los servidores públicos municipales, esto conforme a lo que señala la Ley Orgánica, la Ley de Responsabilidades Administrativas y demás leyes aplicables. Además, de operar las políticas para la prevención, investigación y sanción de hechos de corrupción, en coordinación con los Sistemas: Estatal y Municipal Anticorrupción, y el Comité de Participación Ciudadana, en términos de la Ley del Sistema Anticorrupción.</w:t>
      </w: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Artículo 82</w:t>
      </w:r>
      <w:r w:rsidRPr="00481C9B">
        <w:rPr>
          <w:rFonts w:ascii="Palatino Linotype" w:eastAsia="Palatino Linotype" w:hAnsi="Palatino Linotype" w:cs="Palatino Linotype"/>
          <w:i/>
          <w:sz w:val="22"/>
          <w:szCs w:val="22"/>
        </w:rPr>
        <w:t>. La Dirección General de Administración es la dependencia encargada de planificar, coordinar, establecer y difundir entre las dependencias de la Administración Pública Municipal, las políticas y procedimientos en apego a los ordenamientos legales en la materia, para el control eficiente de los recursos humanos, materiales, tecnológicos y de servicios, para el cumplimiento de los programas y proyectos del Gobierno Municipal.</w:t>
      </w: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Así como también deberá brindar el soporte material, técnico, humano, administrativo, organizacional e informático a las dependencias de la Administración Pública Municipal. Las demás que le instruya el Ayuntamiento y la Presidenta Municipal en el ejercicio de sus facultades. Así, como las que expresamente le otorguen otros ordenamientos jurídicos o administrativos.</w:t>
      </w: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lastRenderedPageBreak/>
        <w:t>Artículo 151</w:t>
      </w:r>
      <w:r w:rsidRPr="00481C9B">
        <w:rPr>
          <w:rFonts w:ascii="Palatino Linotype" w:eastAsia="Palatino Linotype" w:hAnsi="Palatino Linotype" w:cs="Palatino Linotype"/>
          <w:i/>
          <w:sz w:val="22"/>
          <w:szCs w:val="22"/>
        </w:rPr>
        <w:t>. La Consejería Jurídica dará su opinión, cuando así lo requieran las diferentes dependencias administrativas, sobre los proyectos de convenios, acuerdos, reglamentos y demás documentos jurídicos que se sometan a consideración del Cabildo o de la Presidenta Municipal.</w:t>
      </w:r>
    </w:p>
    <w:p w:rsidR="003D2202" w:rsidRPr="00481C9B" w:rsidRDefault="003D2202">
      <w:pPr>
        <w:spacing w:line="276"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De lo anterior, se advierte que el Sujeto Obligado se integra por unidades administrativas que cuentan con facultades, atribuciones y competencias para administrar y generar la información solicitada. </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Dicho esto, se procede a realizar el análisis de la información solicitada en el </w:t>
      </w:r>
      <w:r w:rsidRPr="00481C9B">
        <w:rPr>
          <w:rFonts w:ascii="Palatino Linotype" w:eastAsia="Palatino Linotype" w:hAnsi="Palatino Linotype" w:cs="Palatino Linotype"/>
          <w:b/>
        </w:rPr>
        <w:t xml:space="preserve">numeral 1) relativo al monto de la deuda que guarda el Ayuntamiento de Texcoco con la Comisión Federal de Electricidad. </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En atención a ello, el Sujeto Obligado mediante informe justificado refirió que al treinta y uno de marzo de dos mil veintidós, se contaba con la siguiente información: </w:t>
      </w:r>
    </w:p>
    <w:p w:rsidR="003D2202" w:rsidRPr="00481C9B" w:rsidRDefault="003D2202">
      <w:pPr>
        <w:spacing w:line="360" w:lineRule="auto"/>
        <w:jc w:val="center"/>
        <w:rPr>
          <w:rFonts w:ascii="Palatino Linotype" w:eastAsia="Palatino Linotype" w:hAnsi="Palatino Linotype" w:cs="Palatino Linotype"/>
        </w:rPr>
      </w:pPr>
    </w:p>
    <w:p w:rsidR="003D2202" w:rsidRPr="00481C9B" w:rsidRDefault="0039799B">
      <w:pPr>
        <w:spacing w:line="360" w:lineRule="auto"/>
        <w:jc w:val="center"/>
        <w:rPr>
          <w:rFonts w:ascii="Palatino Linotype" w:eastAsia="Palatino Linotype" w:hAnsi="Palatino Linotype" w:cs="Palatino Linotype"/>
        </w:rPr>
      </w:pPr>
      <w:r w:rsidRPr="00481C9B">
        <w:rPr>
          <w:rFonts w:ascii="Palatino Linotype" w:eastAsia="Palatino Linotype" w:hAnsi="Palatino Linotype" w:cs="Palatino Linotype"/>
          <w:noProof/>
          <w:lang w:val="es-MX"/>
        </w:rPr>
        <w:drawing>
          <wp:inline distT="0" distB="0" distL="0" distR="0">
            <wp:extent cx="4605126" cy="2404376"/>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605126" cy="2404376"/>
                    </a:xfrm>
                    <a:prstGeom prst="rect">
                      <a:avLst/>
                    </a:prstGeom>
                    <a:ln/>
                  </pic:spPr>
                </pic:pic>
              </a:graphicData>
            </a:graphic>
          </wp:inline>
        </w:drawing>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lastRenderedPageBreak/>
        <w:t xml:space="preserve">Por lo anterior, es necesario traer a colación lo que establece el Diccionario de Contabilidad y Sistemas de Información, el cual precisa que en términos financieros y contables, el </w:t>
      </w:r>
      <w:r w:rsidRPr="00481C9B">
        <w:rPr>
          <w:rFonts w:ascii="Palatino Linotype" w:eastAsia="Palatino Linotype" w:hAnsi="Palatino Linotype" w:cs="Palatino Linotype"/>
          <w:i/>
        </w:rPr>
        <w:t xml:space="preserve">“Debe” </w:t>
      </w:r>
      <w:r w:rsidRPr="00481C9B">
        <w:rPr>
          <w:rFonts w:ascii="Palatino Linotype" w:eastAsia="Palatino Linotype" w:hAnsi="Palatino Linotype" w:cs="Palatino Linotype"/>
        </w:rPr>
        <w:t xml:space="preserve">es entendido como una salida que se carga al titular de la cuenta como una deuda, se asienta a la izquierda del haber, en él se anotan las entradas, si la cuenta es de activo; </w:t>
      </w:r>
      <w:r w:rsidRPr="00481C9B">
        <w:rPr>
          <w:rFonts w:ascii="Palatino Linotype" w:eastAsia="Palatino Linotype" w:hAnsi="Palatino Linotype" w:cs="Palatino Linotype"/>
          <w:u w:val="single"/>
        </w:rPr>
        <w:t>las disminuciones, si es de pasivo</w:t>
      </w:r>
      <w:r w:rsidRPr="00481C9B">
        <w:rPr>
          <w:rFonts w:ascii="Palatino Linotype" w:eastAsia="Palatino Linotype" w:hAnsi="Palatino Linotype" w:cs="Palatino Linotype"/>
        </w:rPr>
        <w:t xml:space="preserve">; y los gastos y pérdidas, si es de pérdidas y ganancias, por su parte, </w:t>
      </w:r>
      <w:r w:rsidRPr="00481C9B">
        <w:rPr>
          <w:rFonts w:ascii="Palatino Linotype" w:eastAsia="Palatino Linotype" w:hAnsi="Palatino Linotype" w:cs="Palatino Linotype"/>
          <w:i/>
        </w:rPr>
        <w:t>“Haber”</w:t>
      </w:r>
      <w:r w:rsidRPr="00481C9B">
        <w:rPr>
          <w:rFonts w:ascii="Palatino Linotype" w:eastAsia="Palatino Linotype" w:hAnsi="Palatino Linotype" w:cs="Palatino Linotype"/>
        </w:rPr>
        <w:t xml:space="preserve"> es entendido como el término que se refiere a lado derecho de una cuenta o registro. (Cutiño, 2004) </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En ese sentido, se puede colegir que el Sujeto Obligado debía $57, 667, 745.70 pero abonó $1, 000,000.00, de tal manera que al treinta y uno de marzo de dos mil veintidós, este tenía una deuda que ascendía a $56, 667, 745.70. De tal manera que, es necesario traer a colación lo que establece el Criterio 31/10 emitido por el Instituto Nacional de Transparencia, Acceso a la Información y Protección de Datos Personales, el cual precisa lo siguiente: </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481C9B">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w:t>
      </w:r>
      <w:r w:rsidRPr="00481C9B">
        <w:rPr>
          <w:rFonts w:ascii="Palatino Linotype" w:eastAsia="Palatino Linotype" w:hAnsi="Palatino Linotype" w:cs="Palatino Linotype"/>
          <w:b/>
          <w:i/>
          <w:sz w:val="22"/>
          <w:szCs w:val="22"/>
          <w:u w:val="single"/>
        </w:rPr>
        <w:t>Sin embargo, no está facultado para pronunciarse sobre la veracidad de la información proporcionada por las autoridades en respuesta a las solicitudes de información que les presentan los particulares</w:t>
      </w:r>
      <w:r w:rsidRPr="00481C9B">
        <w:rPr>
          <w:rFonts w:ascii="Palatino Linotype" w:eastAsia="Palatino Linotype" w:hAnsi="Palatino Linotype" w:cs="Palatino Linotype"/>
          <w:i/>
          <w:sz w:val="22"/>
          <w:szCs w:val="22"/>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lastRenderedPageBreak/>
        <w:t xml:space="preserve">Por lo anterior, se advierte que este Organismo Garante no se encuentra facultado para pronunciarse sobre el dato que ha proporcionado el Sujeto Obligado respecto a la deuda que guarda con la Comisión Federal de Electricidad, aunado a que el Titular de la Unidad de Transparencia refirió que la información había sido proporcionada por la Tesorería Municipal, la cual de conformidad con el artículo 32 del Bando Municipal del Ayuntamiento de Texcoco, cuenta con las atribuciones y competencias para conocer, generar y administrar la información solicitada. </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b/>
        </w:rPr>
      </w:pPr>
      <w:r w:rsidRPr="00481C9B">
        <w:rPr>
          <w:rFonts w:ascii="Palatino Linotype" w:eastAsia="Palatino Linotype" w:hAnsi="Palatino Linotype" w:cs="Palatino Linotype"/>
        </w:rPr>
        <w:t xml:space="preserve">Por lo que, este requerimiento, se tiene por </w:t>
      </w:r>
      <w:r w:rsidRPr="00481C9B">
        <w:rPr>
          <w:rFonts w:ascii="Palatino Linotype" w:eastAsia="Palatino Linotype" w:hAnsi="Palatino Linotype" w:cs="Palatino Linotype"/>
          <w:b/>
        </w:rPr>
        <w:t xml:space="preserve">atendido. </w:t>
      </w:r>
    </w:p>
    <w:p w:rsidR="003D2202" w:rsidRPr="00481C9B" w:rsidRDefault="003D2202">
      <w:pPr>
        <w:spacing w:line="360" w:lineRule="auto"/>
        <w:jc w:val="both"/>
        <w:rPr>
          <w:rFonts w:ascii="Palatino Linotype" w:eastAsia="Palatino Linotype" w:hAnsi="Palatino Linotype" w:cs="Palatino Linotype"/>
          <w:b/>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En cuanto hace al requerimiento referido con el </w:t>
      </w:r>
      <w:r w:rsidRPr="00481C9B">
        <w:rPr>
          <w:rFonts w:ascii="Palatino Linotype" w:eastAsia="Palatino Linotype" w:hAnsi="Palatino Linotype" w:cs="Palatino Linotype"/>
          <w:b/>
        </w:rPr>
        <w:t>numeral 2) factura de los gastos de la presidenta municipal del uno de enero al veintinueve de marzo de dos mil veintidós.</w:t>
      </w:r>
      <w:r w:rsidRPr="00481C9B">
        <w:rPr>
          <w:rFonts w:ascii="Palatino Linotype" w:eastAsia="Palatino Linotype" w:hAnsi="Palatino Linotype" w:cs="Palatino Linotype"/>
        </w:rPr>
        <w:t xml:space="preserve"> </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Para dar atención a lo anterior, mediante informe justificado, el Sujeto Obligado precisó que los gastos de la presidenta únicamente son por concepto de alimentos y anexó dos facturas de los meses de enero y marzo del presente año, es por lo que, cabe nuevamente recordar que este Organismo Garante no se encuentra facultado para pronunciarse sobre la veracidad de la información que el sujeto obligado pone a disposición de los particulares, en términos del Criterio 31/10 emitido por el Organismo Garante Nacional. </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lastRenderedPageBreak/>
        <w:t xml:space="preserve">Asimismo, del estudio realizado a las facturas que fueron remitidas, se advierte que en estas se clasificaron diversos datos, por lo que se realizará el siguiente análisis para determinar la naturaleza de estos: </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numPr>
          <w:ilvl w:val="0"/>
          <w:numId w:val="8"/>
        </w:num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b/>
          <w:sz w:val="22"/>
          <w:szCs w:val="22"/>
        </w:rPr>
        <w:t>Registro Federal de Contribuyentes de proveedor o persona moral:</w:t>
      </w:r>
      <w:r w:rsidRPr="00481C9B">
        <w:rPr>
          <w:rFonts w:ascii="Palatino Linotype" w:eastAsia="Palatino Linotype" w:hAnsi="Palatino Linotype" w:cs="Palatino Linotype"/>
          <w:sz w:val="22"/>
          <w:szCs w:val="22"/>
        </w:rPr>
        <w:t xml:space="preserve"> Cabe mencionar que las personas morales que deban presentar declaraciones periódicas o que están obligadas a expedir comprobantes fiscales, tienen que solicitar su inscripción en el Registro Federal de Contribuyentes, proceso que inicia con una preinscripción por Internet y concluye en cualquier Administración Desconcentrada de Servicios al Contribuyente, adscrita al Servicio de Administración Tributaria,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w:t>
      </w:r>
    </w:p>
    <w:p w:rsidR="003D2202" w:rsidRPr="00481C9B" w:rsidRDefault="0039799B">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En ese sentido, el Servicio de Administración Tributaria, concluido el trámite entrega la cédula de identificación fiscal o constancia de registro, en donde consta la clave que asigna este órgano desconcentrado de la Secretaría de Hacienda y Crédito Público, de acuerdo con el artículo 27 del Código Fiscal de la Federación. </w:t>
      </w:r>
    </w:p>
    <w:p w:rsidR="003D2202" w:rsidRPr="00481C9B" w:rsidRDefault="0039799B">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Por ende, la información correspondiente al Registro Federal de Contribuyentes de una persona moral da cuenta del cumplimiento o no de sus obligaciones fiscales; por tanto, no se actualiza su clasificación como confidencial. </w:t>
      </w:r>
    </w:p>
    <w:p w:rsidR="003D2202" w:rsidRPr="00481C9B" w:rsidRDefault="0039799B">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lastRenderedPageBreak/>
        <w:t xml:space="preserve">Además, resulta aplicable por analogía el Criterio 08/19, emitido por el Instituto Nacional de Transparencia, Acceso a la Información y Protección de Datos Personales que establece lo siguiente: </w:t>
      </w:r>
    </w:p>
    <w:p w:rsidR="003D2202" w:rsidRPr="00481C9B" w:rsidRDefault="003D2202">
      <w:pPr>
        <w:pBdr>
          <w:top w:val="nil"/>
          <w:left w:val="nil"/>
          <w:bottom w:val="nil"/>
          <w:right w:val="nil"/>
          <w:between w:val="nil"/>
        </w:pBdr>
        <w:spacing w:line="276" w:lineRule="auto"/>
        <w:ind w:left="567"/>
        <w:jc w:val="both"/>
        <w:rPr>
          <w:rFonts w:ascii="Palatino Linotype" w:eastAsia="Palatino Linotype" w:hAnsi="Palatino Linotype" w:cs="Palatino Linotype"/>
          <w:sz w:val="22"/>
          <w:szCs w:val="22"/>
        </w:rPr>
      </w:pPr>
    </w:p>
    <w:p w:rsidR="003D2202" w:rsidRPr="00481C9B" w:rsidRDefault="0039799B">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“Razón social y RFC de personas morales. 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rsidR="003D2202" w:rsidRPr="00481C9B" w:rsidRDefault="003D2202">
      <w:pPr>
        <w:pBdr>
          <w:top w:val="nil"/>
          <w:left w:val="nil"/>
          <w:bottom w:val="nil"/>
          <w:right w:val="nil"/>
          <w:between w:val="nil"/>
        </w:pBdr>
        <w:spacing w:line="360" w:lineRule="auto"/>
        <w:ind w:left="1134" w:right="616"/>
        <w:jc w:val="both"/>
        <w:rPr>
          <w:rFonts w:ascii="Palatino Linotype" w:eastAsia="Palatino Linotype" w:hAnsi="Palatino Linotype" w:cs="Palatino Linotype"/>
          <w:i/>
          <w:sz w:val="22"/>
          <w:szCs w:val="22"/>
        </w:rPr>
      </w:pPr>
    </w:p>
    <w:p w:rsidR="003D2202" w:rsidRPr="00481C9B" w:rsidRDefault="0039799B">
      <w:pPr>
        <w:spacing w:line="360" w:lineRule="auto"/>
        <w:ind w:left="567" w:right="49"/>
        <w:jc w:val="both"/>
        <w:rPr>
          <w:rFonts w:ascii="Palatino Linotype" w:eastAsia="Palatino Linotype" w:hAnsi="Palatino Linotype" w:cs="Palatino Linotype"/>
          <w:b/>
          <w:i/>
          <w:sz w:val="20"/>
          <w:szCs w:val="20"/>
          <w:u w:val="single"/>
        </w:rPr>
      </w:pPr>
      <w:r w:rsidRPr="00481C9B">
        <w:rPr>
          <w:rFonts w:ascii="Palatino Linotype" w:eastAsia="Palatino Linotype" w:hAnsi="Palatino Linotype" w:cs="Palatino Linotype"/>
          <w:sz w:val="22"/>
          <w:szCs w:val="22"/>
        </w:rPr>
        <w:t xml:space="preserve">Conforme al criterio citado, el Registro Federal de Contribuyentes de personas morales, es público, al no referir a hechos o actos de carácter económico, contable, jurídico o administrativo que sean útiles o representen una ventaja a sus competidores. De tales circunstancias, el Registro Federal de Contribuyentes del proveedor persona moral, </w:t>
      </w:r>
      <w:r w:rsidRPr="00481C9B">
        <w:rPr>
          <w:rFonts w:ascii="Palatino Linotype" w:eastAsia="Palatino Linotype" w:hAnsi="Palatino Linotype" w:cs="Palatino Linotype"/>
          <w:b/>
          <w:sz w:val="22"/>
          <w:szCs w:val="22"/>
          <w:u w:val="single"/>
        </w:rPr>
        <w:t>no actualiza la causal de clasificación, prevista en el artículo 143, fracción I de la Ley de Transparencia y Acceso a la Información Pública del Estado de México y Municipios, al ser de naturaleza pública.</w:t>
      </w:r>
    </w:p>
    <w:p w:rsidR="003D2202" w:rsidRPr="00481C9B" w:rsidRDefault="0039799B">
      <w:pPr>
        <w:numPr>
          <w:ilvl w:val="0"/>
          <w:numId w:val="8"/>
        </w:num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b/>
          <w:sz w:val="22"/>
          <w:szCs w:val="22"/>
        </w:rPr>
        <w:t xml:space="preserve">Registro Federal de Contribuyentes del Sujeto Obligado. </w:t>
      </w:r>
      <w:r w:rsidRPr="00481C9B">
        <w:rPr>
          <w:rFonts w:ascii="Palatino Linotype" w:eastAsia="Palatino Linotype" w:hAnsi="Palatino Linotype" w:cs="Palatino Linotype"/>
          <w:sz w:val="22"/>
          <w:szCs w:val="22"/>
        </w:rPr>
        <w:t xml:space="preserve">En principio, se debe considerar que el Ayuntamiento de Texcoco es una institución pública que opera con recursos de dicha naturaleza; por lo que, su Registro Federal de Contribuyentes no es susceptible de ser clasificado, pues constituye la clave con la que efectúa operaciones fiscales para el buen desempeño de las funciones normativas que tiene encomendadas, aunado a que estas no se realizan en el ámbito de lo privado, sino que deben someterse al escrutinio público, con la finalidad de que la ciudadanía en general pueda ejercer su derecho fiscalizados sobre dichas instituciones. </w:t>
      </w:r>
    </w:p>
    <w:p w:rsidR="003D2202" w:rsidRPr="00481C9B" w:rsidRDefault="0039799B">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Además, dicha situación se robustece, con el Criterio 11/17 del Instituto Nacional de Transparencia, Acceso a la Información y Protección de Datos Personales que </w:t>
      </w:r>
      <w:r w:rsidRPr="00481C9B">
        <w:rPr>
          <w:rFonts w:ascii="Palatino Linotype" w:eastAsia="Palatino Linotype" w:hAnsi="Palatino Linotype" w:cs="Palatino Linotype"/>
          <w:sz w:val="22"/>
          <w:szCs w:val="22"/>
        </w:rPr>
        <w:lastRenderedPageBreak/>
        <w:t xml:space="preserve">establece que la información que dé cuenta de la forma en que se administran los recursos públicos de los sujetos obligados, favorece a la rendición de cuentas de dichas instituciones; por lo que, toda vez que el Ente Recurrido utiliza el dato en análisis, para acreditar ante el Servicio de Administración Tributaria, la utilización de recursos públicos, se concluye que </w:t>
      </w:r>
      <w:r w:rsidRPr="00481C9B">
        <w:rPr>
          <w:rFonts w:ascii="Palatino Linotype" w:eastAsia="Palatino Linotype" w:hAnsi="Palatino Linotype" w:cs="Palatino Linotype"/>
          <w:b/>
          <w:sz w:val="22"/>
          <w:szCs w:val="22"/>
          <w:u w:val="single"/>
        </w:rPr>
        <w:t xml:space="preserve">no procede su clasificación, en términos del artículo 143, fracción I de la Ley en la materia. </w:t>
      </w:r>
    </w:p>
    <w:p w:rsidR="003D2202" w:rsidRPr="00481C9B" w:rsidRDefault="0039799B">
      <w:pPr>
        <w:numPr>
          <w:ilvl w:val="0"/>
          <w:numId w:val="8"/>
        </w:num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b/>
          <w:sz w:val="22"/>
          <w:szCs w:val="22"/>
        </w:rPr>
        <w:t xml:space="preserve">Sellos digitales del emisor y del Servicio de Administración Tributaria y cadena original del complemento de certificación digital del órgano previamente señalados; así como sus respectivos números de serie de los certificados de sellos digitales y folio fiscal. </w:t>
      </w:r>
      <w:r w:rsidRPr="00481C9B">
        <w:rPr>
          <w:rFonts w:ascii="Palatino Linotype" w:eastAsia="Palatino Linotype" w:hAnsi="Palatino Linotype" w:cs="Palatino Linotype"/>
          <w:sz w:val="22"/>
          <w:szCs w:val="22"/>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permita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si derivan de la información personal de los contribuyentes, esta se encuentra encriptada.</w:t>
      </w:r>
    </w:p>
    <w:p w:rsidR="003D2202" w:rsidRPr="00481C9B" w:rsidRDefault="0039799B">
      <w:pPr>
        <w:pBdr>
          <w:top w:val="nil"/>
          <w:left w:val="nil"/>
          <w:bottom w:val="nil"/>
          <w:right w:val="nil"/>
          <w:between w:val="nil"/>
        </w:pBdr>
        <w:spacing w:line="360" w:lineRule="auto"/>
        <w:ind w:left="567"/>
        <w:jc w:val="both"/>
        <w:rPr>
          <w:rFonts w:ascii="Palatino Linotype" w:eastAsia="Palatino Linotype" w:hAnsi="Palatino Linotype" w:cs="Palatino Linotype"/>
          <w:b/>
          <w:sz w:val="22"/>
          <w:szCs w:val="22"/>
        </w:rPr>
      </w:pPr>
      <w:r w:rsidRPr="00481C9B">
        <w:rPr>
          <w:rFonts w:ascii="Palatino Linotype" w:eastAsia="Palatino Linotype" w:hAnsi="Palatino Linotype" w:cs="Palatino Linotype"/>
          <w:sz w:val="22"/>
          <w:szCs w:val="22"/>
        </w:rPr>
        <w:t xml:space="preserve">Es decir, por sí solos las cadenas y los sellos originales no contienen datos personales confidenciales, por lo que se considera que no actualizan el supuesto de confidencialidad previsto en el artículo 143, fracción I de la Ley de Transparencia y Acceso a la Información Pública del Estado de México y Municipios y, por el contrario, es información que permite corroborar la legitimidad de la factura, de ser el caso, por lo que guardan el </w:t>
      </w:r>
      <w:r w:rsidRPr="00481C9B">
        <w:rPr>
          <w:rFonts w:ascii="Palatino Linotype" w:eastAsia="Palatino Linotype" w:hAnsi="Palatino Linotype" w:cs="Palatino Linotype"/>
          <w:b/>
          <w:sz w:val="22"/>
          <w:szCs w:val="22"/>
        </w:rPr>
        <w:t xml:space="preserve">carácter de público. </w:t>
      </w:r>
    </w:p>
    <w:p w:rsidR="003D2202" w:rsidRPr="00481C9B" w:rsidRDefault="0039799B">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lastRenderedPageBreak/>
        <w:t xml:space="preserve">Respecto al </w:t>
      </w:r>
      <w:r w:rsidRPr="00481C9B">
        <w:rPr>
          <w:rFonts w:ascii="Palatino Linotype" w:eastAsia="Palatino Linotype" w:hAnsi="Palatino Linotype" w:cs="Palatino Linotype"/>
          <w:b/>
          <w:sz w:val="22"/>
          <w:szCs w:val="22"/>
        </w:rPr>
        <w:t>número de serie de los certificados de Sello Digitales del emisor y del Servicio de Administración Tributaria</w:t>
      </w:r>
      <w:r w:rsidRPr="00481C9B">
        <w:rPr>
          <w:rFonts w:ascii="Palatino Linotype" w:eastAsia="Palatino Linotype" w:hAnsi="Palatino Linotype" w:cs="Palatino Linotype"/>
          <w:sz w:val="22"/>
          <w:szCs w:val="22"/>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en el cual se advierte que únicamente se encuentra conformado por números. </w:t>
      </w:r>
    </w:p>
    <w:p w:rsidR="003D2202" w:rsidRPr="00481C9B" w:rsidRDefault="0039799B">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Es así que, los números de serie del certificado de sello digital no contiene datos personales y con dichos dígitos tampoco se puede obtener información de carácter confidencial, por lo que, </w:t>
      </w:r>
      <w:r w:rsidRPr="00481C9B">
        <w:rPr>
          <w:rFonts w:ascii="Palatino Linotype" w:eastAsia="Palatino Linotype" w:hAnsi="Palatino Linotype" w:cs="Palatino Linotype"/>
          <w:b/>
          <w:sz w:val="22"/>
          <w:szCs w:val="22"/>
          <w:u w:val="single"/>
        </w:rPr>
        <w:t>tampoco actualizan la causal de clasificación, establecida en el artículo 143, fracción I de la Ley de Transparencia y Acceso a la Información Pública del Estado de México y Municipios</w:t>
      </w:r>
      <w:r w:rsidRPr="00481C9B">
        <w:rPr>
          <w:rFonts w:ascii="Palatino Linotype" w:eastAsia="Palatino Linotype" w:hAnsi="Palatino Linotype" w:cs="Palatino Linotype"/>
          <w:sz w:val="22"/>
          <w:szCs w:val="22"/>
        </w:rPr>
        <w:t xml:space="preserve">, máxime que permite corroborar la legitimidad de la factura, pues ampara la utilización de los certificados de sellos digitales válidos. </w:t>
      </w:r>
    </w:p>
    <w:p w:rsidR="003D2202" w:rsidRPr="00481C9B" w:rsidRDefault="0039799B">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En cuanto hace al </w:t>
      </w:r>
      <w:r w:rsidRPr="00481C9B">
        <w:rPr>
          <w:rFonts w:ascii="Palatino Linotype" w:eastAsia="Palatino Linotype" w:hAnsi="Palatino Linotype" w:cs="Palatino Linotype"/>
          <w:b/>
          <w:sz w:val="22"/>
          <w:szCs w:val="22"/>
        </w:rPr>
        <w:t xml:space="preserve">folio fiscal </w:t>
      </w:r>
      <w:r w:rsidRPr="00481C9B">
        <w:rPr>
          <w:rFonts w:ascii="Palatino Linotype" w:eastAsia="Palatino Linotype" w:hAnsi="Palatino Linotype" w:cs="Palatino Linotype"/>
          <w:sz w:val="22"/>
          <w:szCs w:val="22"/>
        </w:rPr>
        <w:t xml:space="preserve">cabe precisar que conforme al ANEXO 20 de la Segunda Resolución de modificaciones a la Resolución Miscelánea Fiscal para dos mil diecisiete, el folio fiscal se conforma de treinta y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cinco grupos de números y letras separados por guiones. </w:t>
      </w:r>
    </w:p>
    <w:p w:rsidR="003D2202" w:rsidRPr="00481C9B" w:rsidRDefault="0039799B">
      <w:pPr>
        <w:pBdr>
          <w:top w:val="nil"/>
          <w:left w:val="nil"/>
          <w:bottom w:val="nil"/>
          <w:right w:val="nil"/>
          <w:between w:val="nil"/>
        </w:pBdr>
        <w:spacing w:line="360" w:lineRule="auto"/>
        <w:ind w:left="567"/>
        <w:jc w:val="both"/>
        <w:rPr>
          <w:rFonts w:ascii="Palatino Linotype" w:eastAsia="Palatino Linotype" w:hAnsi="Palatino Linotype" w:cs="Palatino Linotype"/>
          <w:b/>
          <w:sz w:val="22"/>
          <w:szCs w:val="22"/>
        </w:rPr>
      </w:pPr>
      <w:r w:rsidRPr="00481C9B">
        <w:rPr>
          <w:rFonts w:ascii="Palatino Linotype" w:eastAsia="Palatino Linotype" w:hAnsi="Palatino Linotype" w:cs="Palatino Linotype"/>
          <w:sz w:val="22"/>
          <w:szCs w:val="22"/>
        </w:rPr>
        <w:t xml:space="preserve">En ese contexto, de la misma manera que en los casos previamente analizados, el folio fiscal </w:t>
      </w:r>
      <w:r w:rsidRPr="00481C9B">
        <w:rPr>
          <w:rFonts w:ascii="Palatino Linotype" w:eastAsia="Palatino Linotype" w:hAnsi="Palatino Linotype" w:cs="Palatino Linotype"/>
          <w:b/>
          <w:sz w:val="22"/>
          <w:szCs w:val="22"/>
        </w:rPr>
        <w:t>no contiene datos del emisor y tampoco se puede obtener información confidencial con el mismo</w:t>
      </w:r>
      <w:r w:rsidRPr="00481C9B">
        <w:rPr>
          <w:rFonts w:ascii="Palatino Linotype" w:eastAsia="Palatino Linotype" w:hAnsi="Palatino Linotype" w:cs="Palatino Linotype"/>
          <w:sz w:val="22"/>
          <w:szCs w:val="22"/>
        </w:rPr>
        <w:t xml:space="preserve">, pues solamente es un identificador del emisor, del cual su transparencia ayuda a legitimar que el documento cumple con todos los requisitos establecidos en la normatividad aplicable, sin necesidad algún dato personal, por lo </w:t>
      </w:r>
      <w:r w:rsidRPr="00481C9B">
        <w:rPr>
          <w:rFonts w:ascii="Palatino Linotype" w:eastAsia="Palatino Linotype" w:hAnsi="Palatino Linotype" w:cs="Palatino Linotype"/>
          <w:sz w:val="22"/>
          <w:szCs w:val="22"/>
        </w:rPr>
        <w:lastRenderedPageBreak/>
        <w:t xml:space="preserve">que, </w:t>
      </w:r>
      <w:r w:rsidRPr="00481C9B">
        <w:rPr>
          <w:rFonts w:ascii="Palatino Linotype" w:eastAsia="Palatino Linotype" w:hAnsi="Palatino Linotype" w:cs="Palatino Linotype"/>
          <w:b/>
          <w:sz w:val="22"/>
          <w:szCs w:val="22"/>
        </w:rPr>
        <w:t xml:space="preserve">tampoco actualiza la clasificación, en términos del artículo 143, fracción I de la Ley de la materia. </w:t>
      </w:r>
    </w:p>
    <w:p w:rsidR="003D2202" w:rsidRPr="00481C9B" w:rsidRDefault="0039799B">
      <w:pPr>
        <w:numPr>
          <w:ilvl w:val="0"/>
          <w:numId w:val="8"/>
        </w:num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b/>
          <w:sz w:val="22"/>
          <w:szCs w:val="22"/>
        </w:rPr>
        <w:t xml:space="preserve">Código de barras bidimensional o QR. </w:t>
      </w:r>
      <w:r w:rsidRPr="00481C9B">
        <w:rPr>
          <w:rFonts w:ascii="Palatino Linotype" w:eastAsia="Palatino Linotype" w:hAnsi="Palatino Linotype" w:cs="Palatino Linotype"/>
          <w:sz w:val="22"/>
          <w:szCs w:val="22"/>
        </w:rPr>
        <w:t xml:space="preserve">En principio, resulta necesario señalar que los Comprobantes Fiscales Digitales por Internet, deben incluir un código bidimensional conforme al formato QR </w:t>
      </w:r>
      <w:r w:rsidRPr="00481C9B">
        <w:rPr>
          <w:rFonts w:ascii="Palatino Linotype" w:eastAsia="Palatino Linotype" w:hAnsi="Palatino Linotype" w:cs="Palatino Linotype"/>
          <w:i/>
          <w:sz w:val="22"/>
          <w:szCs w:val="22"/>
        </w:rPr>
        <w:t>Code (Quick Response Code)</w:t>
      </w:r>
      <w:r w:rsidRPr="00481C9B">
        <w:rPr>
          <w:rFonts w:ascii="Palatino Linotype" w:eastAsia="Palatino Linotype" w:hAnsi="Palatino Linotype" w:cs="Palatino Linotype"/>
          <w:sz w:val="22"/>
          <w:szCs w:val="22"/>
        </w:rPr>
        <w:t xml:space="preserve">, el cual contiene el Registro Federal de Contribuyentes del receptor, del emisor, o de ambos; lo anterior, conforme al Anexo 20 de la Segunda Resolución de modificación a la Resolución Miscelánea Fiscal para el 2017. </w:t>
      </w:r>
    </w:p>
    <w:p w:rsidR="003D2202" w:rsidRPr="00481C9B" w:rsidRDefault="0039799B">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Además, con la captura de dicho código, a través de la aplicación móvil del Servicio de Administración Tributaria, permite el acceso al Registro Federal de Contribuyentes como del Sujeto Obligado como del proveedor, en el presente caso, de una persona moral. </w:t>
      </w:r>
    </w:p>
    <w:p w:rsidR="003D2202" w:rsidRPr="00481C9B" w:rsidRDefault="0039799B">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En ese orden de ideas, toda vez que el código bidimensional sólo permite el acceso al Registro Federal de Contribuyentes del proveedor y del sujeto obligado, los cuales son de naturaleza pública, se considera que </w:t>
      </w:r>
      <w:r w:rsidRPr="00481C9B">
        <w:rPr>
          <w:rFonts w:ascii="Palatino Linotype" w:eastAsia="Palatino Linotype" w:hAnsi="Palatino Linotype" w:cs="Palatino Linotype"/>
          <w:b/>
          <w:sz w:val="22"/>
          <w:szCs w:val="22"/>
        </w:rPr>
        <w:t>no actualiza la causal de clasificación prevista en el artículo 143, fracción I de la Ley en la materia</w:t>
      </w:r>
      <w:r w:rsidRPr="00481C9B">
        <w:rPr>
          <w:rFonts w:ascii="Palatino Linotype" w:eastAsia="Palatino Linotype" w:hAnsi="Palatino Linotype" w:cs="Palatino Linotype"/>
          <w:sz w:val="22"/>
          <w:szCs w:val="22"/>
        </w:rPr>
        <w:t xml:space="preserve">, toda vez que únicamente da cuenta de datos que no son susceptibles a ser testados. </w:t>
      </w:r>
    </w:p>
    <w:p w:rsidR="003D2202" w:rsidRPr="00481C9B" w:rsidRDefault="0039799B">
      <w:pPr>
        <w:numPr>
          <w:ilvl w:val="0"/>
          <w:numId w:val="8"/>
        </w:num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b/>
          <w:sz w:val="22"/>
          <w:szCs w:val="22"/>
        </w:rPr>
        <w:t xml:space="preserve">Domicilio Fiscal y de expedición de la Factura. </w:t>
      </w:r>
      <w:r w:rsidRPr="00481C9B">
        <w:rPr>
          <w:rFonts w:ascii="Palatino Linotype" w:eastAsia="Palatino Linotype" w:hAnsi="Palatino Linotype" w:cs="Palatino Linotype"/>
          <w:sz w:val="22"/>
          <w:szCs w:val="22"/>
        </w:rPr>
        <w:t xml:space="preserve">El domicilio de personas jurídicas colectivas corresponde a aquel donde halle establecida su administración o ejerza sus actividades. En ese sentido, respecto al domicilio fiscal, resulta necesario traer a colación el artículo 10 del Código Fiscal de la Federación, que establece que, tratándose de personas morales, el domicilio fiscal, corresponderá al local donde se encuentra la administración principal del negocio. </w:t>
      </w:r>
    </w:p>
    <w:p w:rsidR="003D2202" w:rsidRPr="00481C9B" w:rsidRDefault="0039799B">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Ahora bien, en el caso de que el domicilio corresponda al lugar donde realiza sus actividades empresariales, como es el caso de las personas morales, se considera necesario traer a colación, los formatos de los Lineamientos Técnicos Generales para la Publicación, Homologación y Estandarización de la Información de las </w:t>
      </w:r>
      <w:r w:rsidRPr="00481C9B">
        <w:rPr>
          <w:rFonts w:ascii="Palatino Linotype" w:eastAsia="Palatino Linotype" w:hAnsi="Palatino Linotype" w:cs="Palatino Linotype"/>
          <w:sz w:val="22"/>
          <w:szCs w:val="22"/>
        </w:rPr>
        <w:lastRenderedPageBreak/>
        <w:t xml:space="preserve">Obligaciones establecidas en el Título Quinto y en la fracción IV del artículo 31 de la Ley General de Transparencia y Acceso a la Información Pública, que deben difundir los sujetos obligados en los portales de Internet y en la Plataforma Nacional de Transparencia. </w:t>
      </w:r>
    </w:p>
    <w:p w:rsidR="003D2202" w:rsidRPr="00481C9B" w:rsidRDefault="0039799B">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Por lo que, al ser considerada una obligación de transparencia, el proporcional el domicilio fiscal, se considera que dicho dato es de </w:t>
      </w:r>
      <w:r w:rsidRPr="00481C9B">
        <w:rPr>
          <w:rFonts w:ascii="Palatino Linotype" w:eastAsia="Palatino Linotype" w:hAnsi="Palatino Linotype" w:cs="Palatino Linotype"/>
          <w:b/>
          <w:sz w:val="22"/>
          <w:szCs w:val="22"/>
        </w:rPr>
        <w:t>naturaleza pública</w:t>
      </w:r>
      <w:r w:rsidRPr="00481C9B">
        <w:rPr>
          <w:rFonts w:ascii="Palatino Linotype" w:eastAsia="Palatino Linotype" w:hAnsi="Palatino Linotype" w:cs="Palatino Linotype"/>
          <w:sz w:val="22"/>
          <w:szCs w:val="22"/>
        </w:rPr>
        <w:t xml:space="preserve">, por lo que no actualiza la causal de clasificación, establecida en el artículo 143 fracción I de la Ley de Transparencia y Acceso a la Información Pública del Estado de México y Municipios. </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Como se logró observar, no se actualizó la clasificación de los datos testados por el Sujeto Obligado, a saber, el Registro Federal de Contribuyentes del proveedor y del Sujeto Obligado, el domicilio fiscal, el folio fiscal, número de serie de certificados de sellos digitales, código bidimensional o QR, sellos digitales y cadenas originales; por lo que, se considera procedente ordenar las facturas proporcionadas, </w:t>
      </w:r>
      <w:r w:rsidRPr="00481C9B">
        <w:rPr>
          <w:rFonts w:ascii="Palatino Linotype" w:eastAsia="Palatino Linotype" w:hAnsi="Palatino Linotype" w:cs="Palatino Linotype"/>
          <w:b/>
        </w:rPr>
        <w:t>en versión íntegra.</w:t>
      </w:r>
      <w:r w:rsidRPr="00481C9B">
        <w:rPr>
          <w:rFonts w:ascii="Palatino Linotype" w:eastAsia="Palatino Linotype" w:hAnsi="Palatino Linotype" w:cs="Palatino Linotype"/>
        </w:rPr>
        <w:t xml:space="preserve"> </w:t>
      </w:r>
    </w:p>
    <w:p w:rsidR="003D2202" w:rsidRPr="00481C9B" w:rsidRDefault="003D2202">
      <w:pPr>
        <w:tabs>
          <w:tab w:val="left" w:pos="709"/>
        </w:tabs>
        <w:spacing w:line="360" w:lineRule="auto"/>
        <w:jc w:val="both"/>
        <w:rPr>
          <w:rFonts w:ascii="Palatino Linotype" w:eastAsia="Palatino Linotype" w:hAnsi="Palatino Linotype" w:cs="Palatino Linotype"/>
          <w:b/>
          <w:sz w:val="22"/>
          <w:szCs w:val="22"/>
        </w:rPr>
      </w:pPr>
    </w:p>
    <w:p w:rsidR="003D2202" w:rsidRPr="00481C9B" w:rsidRDefault="0039799B">
      <w:pPr>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Aunado a lo anterior, es de mencionar que el Ayuntamiento de Texcoco proporcionó el acuerdo de clasificación emitido por su Comité de Transparencia, sin embargo, de su análisis, se determina que no se encuentra debidamente fundado ni motivado, asimismo, como se refirió con anterioridad, las facturas enviadas mediante informe justificado deberán ser proporcionadas sin testar dato alguno, toda vez que su contenido es de naturaleza pública. </w:t>
      </w:r>
    </w:p>
    <w:p w:rsidR="003D2202" w:rsidRPr="00481C9B" w:rsidRDefault="003D2202">
      <w:pPr>
        <w:tabs>
          <w:tab w:val="left" w:pos="709"/>
        </w:tabs>
        <w:spacing w:line="360" w:lineRule="auto"/>
        <w:jc w:val="both"/>
        <w:rPr>
          <w:rFonts w:ascii="Palatino Linotype" w:eastAsia="Palatino Linotype" w:hAnsi="Palatino Linotype" w:cs="Palatino Linotype"/>
        </w:rPr>
      </w:pPr>
    </w:p>
    <w:p w:rsidR="003D2202" w:rsidRPr="00481C9B" w:rsidRDefault="0039799B">
      <w:pPr>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lastRenderedPageBreak/>
        <w:t xml:space="preserve">Respecto al requerimiento señalado con el numeral </w:t>
      </w:r>
      <w:r w:rsidRPr="00481C9B">
        <w:rPr>
          <w:rFonts w:ascii="Palatino Linotype" w:eastAsia="Palatino Linotype" w:hAnsi="Palatino Linotype" w:cs="Palatino Linotype"/>
          <w:b/>
        </w:rPr>
        <w:t>3) relativo a los pagos que se han realizado para publicidad gubernamental, inserciones pagadas u otros relativos a medios de comunicación</w:t>
      </w:r>
      <w:r w:rsidRPr="00481C9B">
        <w:rPr>
          <w:rFonts w:ascii="Palatino Linotype" w:eastAsia="Palatino Linotype" w:hAnsi="Palatino Linotype" w:cs="Palatino Linotype"/>
        </w:rPr>
        <w:t xml:space="preserve">, específicamente: </w:t>
      </w:r>
    </w:p>
    <w:p w:rsidR="003D2202" w:rsidRPr="00481C9B" w:rsidRDefault="003D2202">
      <w:pPr>
        <w:tabs>
          <w:tab w:val="left" w:pos="709"/>
        </w:tabs>
        <w:spacing w:line="360" w:lineRule="auto"/>
        <w:jc w:val="both"/>
        <w:rPr>
          <w:rFonts w:ascii="Palatino Linotype" w:eastAsia="Palatino Linotype" w:hAnsi="Palatino Linotype" w:cs="Palatino Linotype"/>
          <w:sz w:val="22"/>
          <w:szCs w:val="22"/>
        </w:rPr>
      </w:pPr>
    </w:p>
    <w:p w:rsidR="003D2202" w:rsidRPr="00481C9B" w:rsidRDefault="0039799B">
      <w:pPr>
        <w:numPr>
          <w:ilvl w:val="0"/>
          <w:numId w:val="8"/>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Lista de personas o empresas que recibieron el pago. </w:t>
      </w:r>
    </w:p>
    <w:p w:rsidR="003D2202" w:rsidRPr="00481C9B" w:rsidRDefault="0039799B">
      <w:pPr>
        <w:numPr>
          <w:ilvl w:val="0"/>
          <w:numId w:val="8"/>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Motivo del pago. </w:t>
      </w:r>
    </w:p>
    <w:p w:rsidR="003D2202" w:rsidRPr="00481C9B" w:rsidRDefault="0039799B">
      <w:pPr>
        <w:numPr>
          <w:ilvl w:val="0"/>
          <w:numId w:val="8"/>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Fecha de contrato, en caso de existir. </w:t>
      </w:r>
    </w:p>
    <w:p w:rsidR="003D2202" w:rsidRPr="00481C9B" w:rsidRDefault="0039799B">
      <w:pPr>
        <w:numPr>
          <w:ilvl w:val="0"/>
          <w:numId w:val="8"/>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Fecha de pago y modalidad de este. </w:t>
      </w:r>
    </w:p>
    <w:p w:rsidR="003D2202" w:rsidRPr="00481C9B" w:rsidRDefault="0039799B">
      <w:pPr>
        <w:numPr>
          <w:ilvl w:val="0"/>
          <w:numId w:val="8"/>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sz w:val="22"/>
          <w:szCs w:val="22"/>
        </w:rPr>
        <w:t xml:space="preserve">Cantidad de dinero de pago. </w:t>
      </w:r>
    </w:p>
    <w:p w:rsidR="003D2202" w:rsidRPr="00481C9B" w:rsidRDefault="003D2202">
      <w:pPr>
        <w:tabs>
          <w:tab w:val="left" w:pos="709"/>
        </w:tabs>
        <w:spacing w:line="360" w:lineRule="auto"/>
        <w:jc w:val="both"/>
        <w:rPr>
          <w:rFonts w:ascii="Palatino Linotype" w:eastAsia="Palatino Linotype" w:hAnsi="Palatino Linotype" w:cs="Palatino Linotype"/>
          <w:sz w:val="22"/>
          <w:szCs w:val="22"/>
        </w:rPr>
      </w:pPr>
    </w:p>
    <w:p w:rsidR="003D2202" w:rsidRPr="00481C9B" w:rsidRDefault="0039799B">
      <w:pPr>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El Sujeto Obligado, mediante informe justificado medularmente refirió que la empresa participante era Impresos Puntual S.A. de RL de C.V., con fecha de contrato del diecisiete de enero de dos mil veintidós, cuya modalidad de pago no se ha establecido y, en consecuencia, no se ha realizado ningún pago por la cantidad de $8120.00 (ocho mil ciento veinte pesos M.N 00/100), tal como se observa a continuación:</w:t>
      </w:r>
    </w:p>
    <w:p w:rsidR="003D2202" w:rsidRPr="00481C9B" w:rsidRDefault="0039799B">
      <w:pPr>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 </w:t>
      </w:r>
    </w:p>
    <w:p w:rsidR="003D2202" w:rsidRPr="00481C9B" w:rsidRDefault="0039799B">
      <w:pPr>
        <w:tabs>
          <w:tab w:val="left" w:pos="709"/>
        </w:tabs>
        <w:spacing w:line="360" w:lineRule="auto"/>
        <w:jc w:val="center"/>
        <w:rPr>
          <w:rFonts w:ascii="Palatino Linotype" w:eastAsia="Palatino Linotype" w:hAnsi="Palatino Linotype" w:cs="Palatino Linotype"/>
        </w:rPr>
      </w:pPr>
      <w:r w:rsidRPr="00481C9B">
        <w:rPr>
          <w:noProof/>
          <w:lang w:val="es-MX"/>
        </w:rPr>
        <mc:AlternateContent>
          <mc:Choice Requires="wps">
            <w:drawing>
              <wp:anchor distT="0" distB="0" distL="114300" distR="114300" simplePos="0" relativeHeight="251658240" behindDoc="0" locked="0" layoutInCell="1" hidden="0" allowOverlap="1">
                <wp:simplePos x="0" y="0"/>
                <wp:positionH relativeFrom="margin">
                  <wp:align>center</wp:align>
                </wp:positionH>
                <wp:positionV relativeFrom="paragraph">
                  <wp:posOffset>1146175</wp:posOffset>
                </wp:positionV>
                <wp:extent cx="4972050" cy="771525"/>
                <wp:effectExtent l="19050" t="19050" r="19050" b="28575"/>
                <wp:wrapNone/>
                <wp:docPr id="36" name="Rectángulo 36"/>
                <wp:cNvGraphicFramePr/>
                <a:graphic xmlns:a="http://schemas.openxmlformats.org/drawingml/2006/main">
                  <a:graphicData uri="http://schemas.microsoft.com/office/word/2010/wordprocessingShape">
                    <wps:wsp>
                      <wps:cNvSpPr/>
                      <wps:spPr>
                        <a:xfrm>
                          <a:off x="0" y="0"/>
                          <a:ext cx="4972050" cy="771525"/>
                        </a:xfrm>
                        <a:prstGeom prst="rect">
                          <a:avLst/>
                        </a:prstGeom>
                        <a:noFill/>
                        <a:ln w="38100" cap="flat" cmpd="sng">
                          <a:solidFill>
                            <a:srgbClr val="FF0000"/>
                          </a:solidFill>
                          <a:prstDash val="solid"/>
                          <a:round/>
                          <a:headEnd type="none" w="sm" len="sm"/>
                          <a:tailEnd type="none" w="sm" len="sm"/>
                        </a:ln>
                      </wps:spPr>
                      <wps:txbx>
                        <w:txbxContent>
                          <w:p w:rsidR="00481C9B" w:rsidRDefault="00481C9B">
                            <w:pPr>
                              <w:textDirection w:val="btLr"/>
                            </w:pPr>
                          </w:p>
                        </w:txbxContent>
                      </wps:txbx>
                      <wps:bodyPr spcFirstLastPara="1" wrap="square" lIns="91425" tIns="91425" rIns="91425" bIns="91425" anchor="ctr" anchorCtr="0">
                        <a:noAutofit/>
                      </wps:bodyPr>
                    </wps:wsp>
                  </a:graphicData>
                </a:graphic>
              </wp:anchor>
            </w:drawing>
          </mc:Choice>
          <mc:Fallback>
            <w:pict>
              <v:rect id="Rectángulo 36" o:spid="_x0000_s1026" style="position:absolute;left:0;text-align:left;margin-left:0;margin-top:90.25pt;width:391.5pt;height:60.75pt;z-index:2516582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" filled="f" strokecolor="red" strokeweight="3pt">
                <v:stroke startarrowwidth="narrow" startarrowlength="short" endarrowwidth="narrow" endarrowlength="short" joinstyle="round"/>
                <v:textbox inset="2.53958mm,2.53958mm,2.53958mm,2.53958mm">
                  <w:txbxContent>
                    <w:p w:rsidR="00481C9B" w:rsidRDefault="00481C9B">
                      <w:pPr>
                        <w:textDirection w:val="btLr"/>
                      </w:pPr>
                    </w:p>
                  </w:txbxContent>
                </v:textbox>
                <w10:wrap anchorx="margin"/>
              </v:rect>
            </w:pict>
          </mc:Fallback>
        </mc:AlternateContent>
      </w:r>
      <w:r w:rsidRPr="00481C9B">
        <w:rPr>
          <w:rFonts w:ascii="Palatino Linotype" w:eastAsia="Palatino Linotype" w:hAnsi="Palatino Linotype" w:cs="Palatino Linotype"/>
          <w:noProof/>
          <w:lang w:val="es-MX"/>
        </w:rPr>
        <w:drawing>
          <wp:inline distT="0" distB="0" distL="0" distR="0">
            <wp:extent cx="4994234" cy="2343150"/>
            <wp:effectExtent l="0" t="0" r="0" b="0"/>
            <wp:docPr id="44"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pic:cNvPicPr preferRelativeResize="0"/>
                  </pic:nvPicPr>
                  <pic:blipFill>
                    <a:blip r:embed="rId11"/>
                    <a:srcRect/>
                    <a:stretch>
                      <a:fillRect/>
                    </a:stretch>
                  </pic:blipFill>
                  <pic:spPr>
                    <a:xfrm>
                      <a:off x="0" y="0"/>
                      <a:ext cx="4995824" cy="2343896"/>
                    </a:xfrm>
                    <a:prstGeom prst="rect">
                      <a:avLst/>
                    </a:prstGeom>
                    <a:ln/>
                  </pic:spPr>
                </pic:pic>
              </a:graphicData>
            </a:graphic>
          </wp:inline>
        </w:drawing>
      </w:r>
    </w:p>
    <w:p w:rsidR="003D2202" w:rsidRPr="00481C9B" w:rsidRDefault="0039799B">
      <w:pPr>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lastRenderedPageBreak/>
        <w:t xml:space="preserve">En ese sentido, se advierte que si bien, el Sujeto Obligado precisó el nombre de la empresa, la fecha de contrato, la cantidad de dinero, además de referir que no se ha realizado algún pago porque no se ha establecido la modalidad de pago, también lo es que no precisó con exactitud el motivo de este, por lo que, el Ayuntamiento de Texcoco deberá entregar el </w:t>
      </w:r>
      <w:r w:rsidRPr="00481C9B">
        <w:rPr>
          <w:rFonts w:ascii="Palatino Linotype" w:eastAsia="Palatino Linotype" w:hAnsi="Palatino Linotype" w:cs="Palatino Linotype"/>
          <w:b/>
        </w:rPr>
        <w:t>documento donde conste el motivo por el cual se realizará el pago a la empresa “Impresos Puntual S.A. de RL de C.V.”.</w:t>
      </w:r>
    </w:p>
    <w:p w:rsidR="003D2202" w:rsidRPr="00481C9B" w:rsidRDefault="003D2202">
      <w:pPr>
        <w:tabs>
          <w:tab w:val="left" w:pos="709"/>
        </w:tabs>
        <w:spacing w:line="360" w:lineRule="auto"/>
        <w:jc w:val="both"/>
        <w:rPr>
          <w:rFonts w:ascii="Palatino Linotype" w:eastAsia="Palatino Linotype" w:hAnsi="Palatino Linotype" w:cs="Palatino Linotype"/>
        </w:rPr>
      </w:pPr>
    </w:p>
    <w:p w:rsidR="003D2202" w:rsidRPr="00481C9B" w:rsidRDefault="0039799B">
      <w:pPr>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En cuanto hace al </w:t>
      </w:r>
      <w:r w:rsidRPr="00481C9B">
        <w:rPr>
          <w:rFonts w:ascii="Palatino Linotype" w:eastAsia="Palatino Linotype" w:hAnsi="Palatino Linotype" w:cs="Palatino Linotype"/>
          <w:b/>
        </w:rPr>
        <w:t>requerimiento referido con el numeral 4) expedientes de las licitaciones directas o con invitación a tres proveedores con todo y las actas de las empresas</w:t>
      </w:r>
      <w:r w:rsidRPr="00481C9B">
        <w:rPr>
          <w:rFonts w:ascii="Palatino Linotype" w:eastAsia="Palatino Linotype" w:hAnsi="Palatino Linotype" w:cs="Palatino Linotype"/>
        </w:rPr>
        <w:t xml:space="preserve">, desde el inicio de la administración al veintinueve de marzo de dos mil veintidós. </w:t>
      </w:r>
    </w:p>
    <w:p w:rsidR="003D2202" w:rsidRPr="00481C9B" w:rsidRDefault="003D2202">
      <w:pPr>
        <w:tabs>
          <w:tab w:val="left" w:pos="709"/>
        </w:tabs>
        <w:spacing w:line="360" w:lineRule="auto"/>
        <w:jc w:val="both"/>
        <w:rPr>
          <w:rFonts w:ascii="Palatino Linotype" w:eastAsia="Palatino Linotype" w:hAnsi="Palatino Linotype" w:cs="Palatino Linotype"/>
        </w:rPr>
      </w:pPr>
    </w:p>
    <w:p w:rsidR="003D2202" w:rsidRPr="00481C9B" w:rsidRDefault="0039799B">
      <w:pPr>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En principio es de referir que la Ley de Contratación Pública del Estado de México y Municipios precisa en sus artículos 26 y 27 que las adquisiciones, arrendamientos y servicios se adjudicarán a través de licitaciones públicas mediante convocatoria pública, no obstante, la Secretaría, las entidades, los tribunales administrativos y los ayuntamientos podrán adjudicar adquisiciones, arrendamiento y servicios mediante invitación restringida y adjudicación directa, tal como se observa a continuación: </w:t>
      </w:r>
    </w:p>
    <w:p w:rsidR="003D2202" w:rsidRPr="00481C9B" w:rsidRDefault="003D2202">
      <w:pPr>
        <w:tabs>
          <w:tab w:val="left" w:pos="709"/>
        </w:tabs>
        <w:spacing w:line="276" w:lineRule="auto"/>
        <w:jc w:val="both"/>
        <w:rPr>
          <w:rFonts w:ascii="Palatino Linotype" w:eastAsia="Palatino Linotype" w:hAnsi="Palatino Linotype" w:cs="Palatino Linotype"/>
          <w:i/>
        </w:rPr>
      </w:pPr>
    </w:p>
    <w:p w:rsidR="003D2202" w:rsidRPr="00481C9B" w:rsidRDefault="0039799B">
      <w:pPr>
        <w:tabs>
          <w:tab w:val="left" w:pos="709"/>
        </w:tabs>
        <w:spacing w:line="276" w:lineRule="auto"/>
        <w:ind w:left="567" w:right="616"/>
        <w:jc w:val="center"/>
        <w:rPr>
          <w:rFonts w:ascii="Palatino Linotype" w:eastAsia="Palatino Linotype" w:hAnsi="Palatino Linotype" w:cs="Palatino Linotype"/>
          <w:b/>
          <w:i/>
          <w:sz w:val="22"/>
          <w:szCs w:val="22"/>
        </w:rPr>
      </w:pPr>
      <w:r w:rsidRPr="00481C9B">
        <w:rPr>
          <w:rFonts w:ascii="Palatino Linotype" w:eastAsia="Palatino Linotype" w:hAnsi="Palatino Linotype" w:cs="Palatino Linotype"/>
          <w:b/>
          <w:i/>
          <w:sz w:val="22"/>
          <w:szCs w:val="22"/>
        </w:rPr>
        <w:t>Ley de Contratación Pública del Estado de México y Municipios</w:t>
      </w:r>
    </w:p>
    <w:p w:rsidR="003D2202" w:rsidRPr="00481C9B" w:rsidRDefault="003D2202">
      <w:pPr>
        <w:tabs>
          <w:tab w:val="left" w:pos="709"/>
        </w:tabs>
        <w:spacing w:line="276" w:lineRule="auto"/>
        <w:ind w:left="567" w:right="616"/>
        <w:jc w:val="center"/>
        <w:rPr>
          <w:rFonts w:ascii="Palatino Linotype" w:eastAsia="Palatino Linotype" w:hAnsi="Palatino Linotype" w:cs="Palatino Linotype"/>
          <w:i/>
          <w:sz w:val="22"/>
          <w:szCs w:val="22"/>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Artículo 26.-</w:t>
      </w:r>
      <w:r w:rsidRPr="00481C9B">
        <w:rPr>
          <w:rFonts w:ascii="Palatino Linotype" w:eastAsia="Palatino Linotype" w:hAnsi="Palatino Linotype" w:cs="Palatino Linotype"/>
          <w:i/>
          <w:sz w:val="22"/>
          <w:szCs w:val="22"/>
        </w:rPr>
        <w:t xml:space="preserve"> Las adquisiciones, arrendamientos y servicios se adjudicarán a través de licitaciones públicas, mediante convocatoria pública. </w:t>
      </w:r>
    </w:p>
    <w:p w:rsidR="003D2202" w:rsidRPr="00481C9B" w:rsidRDefault="003D2202">
      <w:pPr>
        <w:tabs>
          <w:tab w:val="left" w:pos="709"/>
        </w:tabs>
        <w:spacing w:line="276" w:lineRule="auto"/>
        <w:ind w:left="567" w:right="616"/>
        <w:jc w:val="both"/>
        <w:rPr>
          <w:rFonts w:ascii="Palatino Linotype" w:eastAsia="Palatino Linotype" w:hAnsi="Palatino Linotype" w:cs="Palatino Linotype"/>
          <w:i/>
          <w:sz w:val="22"/>
          <w:szCs w:val="22"/>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Artículo 27.-</w:t>
      </w:r>
      <w:r w:rsidRPr="00481C9B">
        <w:rPr>
          <w:rFonts w:ascii="Palatino Linotype" w:eastAsia="Palatino Linotype" w:hAnsi="Palatino Linotype" w:cs="Palatino Linotype"/>
          <w:i/>
          <w:sz w:val="22"/>
          <w:szCs w:val="22"/>
        </w:rPr>
        <w:t xml:space="preserve"> La Secretaría, las entidades, los tribunales administrativos y los ayuntamientos podrán adjudicar adquisiciones, arrendamientos y servicios, mediante las excepciones al procedimiento de licitación que a continuación se señalan: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lastRenderedPageBreak/>
        <w:t xml:space="preserve">I. Invitación restringida.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II. Adjudicación directa</w:t>
      </w:r>
    </w:p>
    <w:p w:rsidR="003D2202" w:rsidRPr="00481C9B" w:rsidRDefault="003D2202">
      <w:pPr>
        <w:tabs>
          <w:tab w:val="left" w:pos="709"/>
        </w:tabs>
        <w:spacing w:line="360" w:lineRule="auto"/>
        <w:ind w:left="567" w:right="616"/>
        <w:jc w:val="both"/>
        <w:rPr>
          <w:rFonts w:ascii="Palatino Linotype" w:eastAsia="Palatino Linotype" w:hAnsi="Palatino Linotype" w:cs="Palatino Linotype"/>
          <w:sz w:val="22"/>
          <w:szCs w:val="22"/>
        </w:rPr>
      </w:pPr>
    </w:p>
    <w:p w:rsidR="003D2202" w:rsidRPr="00481C9B" w:rsidRDefault="0039799B">
      <w:pPr>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Ahora bien, en relación con lo solicitado resulta necesario mencionar que el Particular requirió información relativa a “licitaciones directas”, sin embargo, de conformidad con la Ley de Contrataciones Estatal, está modalidad </w:t>
      </w:r>
      <w:r w:rsidRPr="00481C9B">
        <w:rPr>
          <w:rFonts w:ascii="Palatino Linotype" w:eastAsia="Palatino Linotype" w:hAnsi="Palatino Linotype" w:cs="Palatino Linotype"/>
          <w:b/>
        </w:rPr>
        <w:t>no existe</w:t>
      </w:r>
      <w:r w:rsidRPr="00481C9B">
        <w:rPr>
          <w:rFonts w:ascii="Palatino Linotype" w:eastAsia="Palatino Linotype" w:hAnsi="Palatino Linotype" w:cs="Palatino Linotype"/>
        </w:rPr>
        <w:t xml:space="preserve">, ya que como se señaló, las entidades públicas únicamente pueden adjudicar adquisiciones, arrendamientos y servicios a través de: Licitación Pública, Invitación Restringida y Adjudicación Directa. </w:t>
      </w:r>
    </w:p>
    <w:p w:rsidR="003D2202" w:rsidRPr="00481C9B" w:rsidRDefault="003D2202">
      <w:pPr>
        <w:tabs>
          <w:tab w:val="left" w:pos="709"/>
        </w:tabs>
        <w:spacing w:line="360" w:lineRule="auto"/>
        <w:jc w:val="both"/>
        <w:rPr>
          <w:rFonts w:ascii="Palatino Linotype" w:eastAsia="Palatino Linotype" w:hAnsi="Palatino Linotype" w:cs="Palatino Linotype"/>
        </w:rPr>
      </w:pPr>
    </w:p>
    <w:p w:rsidR="003D2202" w:rsidRPr="00481C9B" w:rsidRDefault="0039799B">
      <w:pPr>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En ese sentido, es de señalar que los particulares no son expertos en la materia, por lo que, de conformidad con el artículo 13 de la Ley de Transparencia del Estado de México y Municipios, este Instituto en el ámbito de sus atribuciones, deberá suplir cualquier deficiencia para garantizar el ejercicio del derecho de acceso a la información, de tal manera, que se colige que la pretensión del ahora Recurrente es </w:t>
      </w:r>
      <w:r w:rsidRPr="00481C9B">
        <w:rPr>
          <w:rFonts w:ascii="Palatino Linotype" w:eastAsia="Palatino Linotype" w:hAnsi="Palatino Linotype" w:cs="Palatino Linotype"/>
          <w:b/>
        </w:rPr>
        <w:t>obtener información relacionada con los expedientes de procesos de adjudicación directa e invitación restringida</w:t>
      </w:r>
      <w:r w:rsidRPr="00481C9B">
        <w:rPr>
          <w:rFonts w:ascii="Palatino Linotype" w:eastAsia="Palatino Linotype" w:hAnsi="Palatino Linotype" w:cs="Palatino Linotype"/>
        </w:rPr>
        <w:t xml:space="preserve">, </w:t>
      </w:r>
      <w:r w:rsidRPr="00481C9B">
        <w:rPr>
          <w:rFonts w:ascii="Palatino Linotype" w:eastAsia="Palatino Linotype" w:hAnsi="Palatino Linotype" w:cs="Palatino Linotype"/>
          <w:b/>
        </w:rPr>
        <w:t>así como las actas de las empresas, esto desde el inicio de actual administración municipal a la fecha de la solicitud de información</w:t>
      </w:r>
      <w:r w:rsidRPr="00481C9B">
        <w:rPr>
          <w:rFonts w:ascii="Palatino Linotype" w:eastAsia="Palatino Linotype" w:hAnsi="Palatino Linotype" w:cs="Palatino Linotype"/>
        </w:rPr>
        <w:t xml:space="preserve">. </w:t>
      </w:r>
    </w:p>
    <w:p w:rsidR="003D2202" w:rsidRPr="00481C9B" w:rsidRDefault="003D2202">
      <w:pPr>
        <w:tabs>
          <w:tab w:val="left" w:pos="709"/>
        </w:tabs>
        <w:spacing w:line="360" w:lineRule="auto"/>
        <w:jc w:val="both"/>
        <w:rPr>
          <w:rFonts w:ascii="Palatino Linotype" w:eastAsia="Palatino Linotype" w:hAnsi="Palatino Linotype" w:cs="Palatino Linotype"/>
        </w:rPr>
      </w:pPr>
    </w:p>
    <w:p w:rsidR="003D2202" w:rsidRPr="00481C9B" w:rsidRDefault="0039799B">
      <w:pPr>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Por ello, de acuerdo con el artículo 44 de la Ley de Contratación Pública del Estado de México y Municipios, las entidades públicas, entre ellas los Ayuntamientos podrán adquirir y contratar servicios mediante invitación restringida en los siguientes casos: </w:t>
      </w:r>
    </w:p>
    <w:p w:rsidR="003D2202" w:rsidRPr="00481C9B" w:rsidRDefault="003D2202">
      <w:pPr>
        <w:tabs>
          <w:tab w:val="left" w:pos="709"/>
        </w:tabs>
        <w:spacing w:line="360" w:lineRule="auto"/>
        <w:jc w:val="both"/>
        <w:rPr>
          <w:rFonts w:ascii="Palatino Linotype" w:eastAsia="Palatino Linotype" w:hAnsi="Palatino Linotype" w:cs="Palatino Linotype"/>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lastRenderedPageBreak/>
        <w:t>Artículo 44.-</w:t>
      </w:r>
      <w:r w:rsidRPr="00481C9B">
        <w:rPr>
          <w:rFonts w:ascii="Palatino Linotype" w:eastAsia="Palatino Linotype" w:hAnsi="Palatino Linotype" w:cs="Palatino Linotype"/>
          <w:i/>
          <w:sz w:val="22"/>
          <w:szCs w:val="22"/>
        </w:rPr>
        <w:t xml:space="preserve"> La Secretaría, las entidades, los tribunales administrativos y los ayuntamientos podrán adquirir y contratar servicios mediante invitación restringida, cuando: </w:t>
      </w:r>
    </w:p>
    <w:p w:rsidR="003D2202" w:rsidRPr="00481C9B" w:rsidRDefault="003D2202">
      <w:pPr>
        <w:tabs>
          <w:tab w:val="left" w:pos="709"/>
        </w:tabs>
        <w:spacing w:line="276" w:lineRule="auto"/>
        <w:ind w:left="567" w:right="616"/>
        <w:jc w:val="both"/>
        <w:rPr>
          <w:rFonts w:ascii="Palatino Linotype" w:eastAsia="Palatino Linotype" w:hAnsi="Palatino Linotype" w:cs="Palatino Linotype"/>
          <w:i/>
          <w:sz w:val="22"/>
          <w:szCs w:val="22"/>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I. Se hubiere declarado desierto un procedimiento de licitación, o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II. El importe de la operación no exceda de los montos establecidos por el Presupuesto de Egresos del Gobierno del Estado de México del ejercicio correspondiente. </w:t>
      </w:r>
    </w:p>
    <w:p w:rsidR="003D2202" w:rsidRPr="00481C9B" w:rsidRDefault="003D2202">
      <w:pPr>
        <w:tabs>
          <w:tab w:val="left" w:pos="709"/>
        </w:tabs>
        <w:spacing w:line="276" w:lineRule="auto"/>
        <w:ind w:left="567" w:right="616"/>
        <w:jc w:val="both"/>
        <w:rPr>
          <w:rFonts w:ascii="Palatino Linotype" w:eastAsia="Palatino Linotype" w:hAnsi="Palatino Linotype" w:cs="Palatino Linotype"/>
          <w:i/>
          <w:sz w:val="22"/>
          <w:szCs w:val="22"/>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rsidR="003D2202" w:rsidRPr="00481C9B" w:rsidRDefault="003D2202">
      <w:pPr>
        <w:tabs>
          <w:tab w:val="left" w:pos="709"/>
        </w:tabs>
        <w:spacing w:line="276" w:lineRule="auto"/>
        <w:ind w:left="567" w:right="616"/>
        <w:jc w:val="both"/>
        <w:rPr>
          <w:rFonts w:ascii="Palatino Linotype" w:eastAsia="Palatino Linotype" w:hAnsi="Palatino Linotype" w:cs="Palatino Linotype"/>
          <w:i/>
          <w:sz w:val="22"/>
          <w:szCs w:val="22"/>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En la invitación deberá especificarse si en el proceso de asignación aplicará la modalidad de subasta inversa.</w:t>
      </w:r>
    </w:p>
    <w:p w:rsidR="003D2202" w:rsidRPr="00481C9B" w:rsidRDefault="003D2202">
      <w:pPr>
        <w:tabs>
          <w:tab w:val="left" w:pos="709"/>
        </w:tabs>
        <w:spacing w:line="276" w:lineRule="auto"/>
        <w:ind w:left="567" w:right="616"/>
        <w:jc w:val="both"/>
        <w:rPr>
          <w:rFonts w:ascii="Palatino Linotype" w:eastAsia="Palatino Linotype" w:hAnsi="Palatino Linotype" w:cs="Palatino Linotype"/>
          <w:i/>
          <w:sz w:val="22"/>
          <w:szCs w:val="22"/>
        </w:rPr>
      </w:pPr>
    </w:p>
    <w:p w:rsidR="003D2202" w:rsidRPr="00481C9B" w:rsidRDefault="0039799B">
      <w:pPr>
        <w:tabs>
          <w:tab w:val="left" w:pos="709"/>
        </w:tabs>
        <w:spacing w:line="360" w:lineRule="auto"/>
        <w:ind w:right="616"/>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Asimismo, el artículo 46 de la Ley referida, menciona que: </w:t>
      </w:r>
    </w:p>
    <w:p w:rsidR="003D2202" w:rsidRPr="00481C9B" w:rsidRDefault="003D2202">
      <w:pPr>
        <w:tabs>
          <w:tab w:val="left" w:pos="709"/>
        </w:tabs>
        <w:spacing w:line="360" w:lineRule="auto"/>
        <w:ind w:right="616"/>
        <w:jc w:val="both"/>
        <w:rPr>
          <w:rFonts w:ascii="Palatino Linotype" w:eastAsia="Palatino Linotype" w:hAnsi="Palatino Linotype" w:cs="Palatino Linotype"/>
        </w:rPr>
      </w:pPr>
    </w:p>
    <w:p w:rsidR="003D2202" w:rsidRPr="00481C9B" w:rsidRDefault="0039799B">
      <w:pPr>
        <w:tabs>
          <w:tab w:val="left" w:pos="709"/>
        </w:tabs>
        <w:spacing w:line="276" w:lineRule="auto"/>
        <w:ind w:left="426"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Artículo 46.-</w:t>
      </w:r>
      <w:r w:rsidRPr="00481C9B">
        <w:rPr>
          <w:rFonts w:ascii="Palatino Linotype" w:eastAsia="Palatino Linotype" w:hAnsi="Palatino Linotype" w:cs="Palatino Linotype"/>
          <w:i/>
          <w:sz w:val="22"/>
          <w:szCs w:val="22"/>
        </w:rPr>
        <w:t xml:space="preserve"> El procedimiento de invitación restringida se desarrollará en los términos de la licitación pública, a excepción de la publicación de la convocatoria.</w:t>
      </w:r>
    </w:p>
    <w:p w:rsidR="003D2202" w:rsidRPr="00481C9B" w:rsidRDefault="003D2202">
      <w:pPr>
        <w:tabs>
          <w:tab w:val="left" w:pos="709"/>
        </w:tabs>
        <w:spacing w:line="276" w:lineRule="auto"/>
        <w:ind w:left="426" w:right="616"/>
        <w:jc w:val="both"/>
        <w:rPr>
          <w:rFonts w:ascii="Palatino Linotype" w:eastAsia="Palatino Linotype" w:hAnsi="Palatino Linotype" w:cs="Palatino Linotype"/>
          <w:i/>
          <w:sz w:val="20"/>
          <w:szCs w:val="20"/>
        </w:rPr>
      </w:pP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Por otra parte, el artículo 48 de la Ley en cita precisa que, respecto a los procedimientos de Adjudicación Directa, las entidades públicas podrán adquirir bienes, arrendar bienes muebles e inmuebles y contratar servicios mediante adjudicación directa cuando: </w:t>
      </w:r>
    </w:p>
    <w:p w:rsidR="003D2202" w:rsidRPr="00481C9B" w:rsidRDefault="003D2202">
      <w:pPr>
        <w:tabs>
          <w:tab w:val="left" w:pos="709"/>
        </w:tabs>
        <w:spacing w:line="360" w:lineRule="auto"/>
        <w:ind w:right="49"/>
        <w:jc w:val="both"/>
        <w:rPr>
          <w:rFonts w:ascii="Palatino Linotype" w:eastAsia="Palatino Linotype" w:hAnsi="Palatino Linotype" w:cs="Palatino Linotype"/>
          <w:sz w:val="22"/>
          <w:szCs w:val="22"/>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Artículo 48.-</w:t>
      </w:r>
      <w:r w:rsidRPr="00481C9B">
        <w:rPr>
          <w:rFonts w:ascii="Palatino Linotype" w:eastAsia="Palatino Linotype" w:hAnsi="Palatino Linotype" w:cs="Palatino Linotype"/>
          <w:i/>
          <w:sz w:val="22"/>
          <w:szCs w:val="22"/>
        </w:rPr>
        <w:t xml:space="preserve"> La Secretaría, las entidades, los tribunales administrativos y los ayuntamientos podrán adquirir bienes, arrendar bienes muebles e inmuebles y contratar servicios, mediante adjudicación directa, cuando: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lastRenderedPageBreak/>
        <w:t xml:space="preserve">I. La adquisición o el servicio sólo puedan realizarse con una determinada persona, por tratarse de obras de arte, titularidad de patentes, registros, marcas específicas, derechos de autor u otros derechos exclusivos.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III. Se trate de servicios que requieran de experiencia, técnicas o equipos especiales, o se trate de la adquisición de bienes usados o de características especiales que solamente puedan ser prestados o suministrados por una sola persona.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 V. Existan circunstancias que puedan provocar pérdidas o costos adicionales importantes al erario.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VI. Pueda comprometerse información de naturaleza confidencial para el Estado o municipios, por razones de seguridad pública.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VII. Existan circunstancias extraordinarias o imprevisibles derivadas de riesgo o desastre. En este supuesto, la adquisición, arrendamiento y servicio deberá limitarse a lo estrictamente necesario para enfrentar tal eventualidad.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VIII. Se hubiere rescindido un contrato, por causas imputables al proveedor o que la persona que habiendo resultado ganadora en una licitación, no concurra a la suscripción del contrato dentro del plazo establecido en esta Ley. 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IX. Se hubiere declarado desierto un procedimiento de invitación restringida.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X. Cuando se aseguren condiciones financieras que permitan al Estado o a los municipios cumplir con la obligación de pago de manera diferida, sin que ello implique un costo financiero adicional o que habiéndolo, sea inferior al del mercado, o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lastRenderedPageBreak/>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w:t>
      </w:r>
    </w:p>
    <w:p w:rsidR="003D2202" w:rsidRPr="00481C9B" w:rsidRDefault="003D2202">
      <w:pPr>
        <w:tabs>
          <w:tab w:val="left" w:pos="709"/>
        </w:tabs>
        <w:spacing w:line="276" w:lineRule="auto"/>
        <w:ind w:left="567" w:right="616"/>
        <w:jc w:val="both"/>
        <w:rPr>
          <w:rFonts w:ascii="Palatino Linotype" w:eastAsia="Palatino Linotype" w:hAnsi="Palatino Linotype" w:cs="Palatino Linotype"/>
          <w:i/>
          <w:sz w:val="22"/>
          <w:szCs w:val="22"/>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0"/>
          <w:szCs w:val="20"/>
        </w:rPr>
      </w:pPr>
      <w:r w:rsidRPr="00481C9B">
        <w:rPr>
          <w:rFonts w:ascii="Palatino Linotype" w:eastAsia="Palatino Linotype" w:hAnsi="Palatino Linotype" w:cs="Palatino Linotype"/>
          <w:b/>
          <w:i/>
          <w:sz w:val="22"/>
          <w:szCs w:val="22"/>
        </w:rPr>
        <w:t>Artículo 49.-</w:t>
      </w:r>
      <w:r w:rsidRPr="00481C9B">
        <w:rPr>
          <w:rFonts w:ascii="Palatino Linotype" w:eastAsia="Palatino Linotype" w:hAnsi="Palatino Linotype" w:cs="Palatino Linotype"/>
          <w:i/>
          <w:sz w:val="22"/>
          <w:szCs w:val="22"/>
        </w:rPr>
        <w:t xml:space="preserve"> El procedimiento de adjudicación directa se substanciará con arreglo a el reglamento de esta Ley.</w:t>
      </w:r>
    </w:p>
    <w:p w:rsidR="003D2202" w:rsidRPr="00481C9B" w:rsidRDefault="003D2202">
      <w:pPr>
        <w:tabs>
          <w:tab w:val="left" w:pos="709"/>
        </w:tabs>
        <w:spacing w:line="360" w:lineRule="auto"/>
        <w:ind w:right="49"/>
        <w:jc w:val="both"/>
        <w:rPr>
          <w:rFonts w:ascii="Palatino Linotype" w:eastAsia="Palatino Linotype" w:hAnsi="Palatino Linotype" w:cs="Palatino Linotype"/>
          <w:sz w:val="22"/>
          <w:szCs w:val="22"/>
        </w:rPr>
      </w:pP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Dicho lo anterior, en lo que compete a nuestra materia, el artículo 92 de la Ley de Transparencia y Acceso a la Información Pública del Estado de México y Municipios precisa en su fracción XXIX que la información sobre los procesos y resultados sobre procedimientos de adjudicación directa, invitación restringida y licitación de cualquier naturaleza, incluyendo la versión pública del expediente respectivo y de los contratos celebrados, que deberán contener la siguiente información: </w:t>
      </w:r>
    </w:p>
    <w:p w:rsidR="003D2202" w:rsidRPr="00481C9B" w:rsidRDefault="003D2202">
      <w:pPr>
        <w:tabs>
          <w:tab w:val="left" w:pos="709"/>
        </w:tabs>
        <w:spacing w:line="360" w:lineRule="auto"/>
        <w:ind w:right="49"/>
        <w:jc w:val="both"/>
        <w:rPr>
          <w:rFonts w:ascii="Palatino Linotype" w:eastAsia="Palatino Linotype" w:hAnsi="Palatino Linotype" w:cs="Palatino Linotype"/>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Artículo 92.</w:t>
      </w:r>
      <w:r w:rsidRPr="00481C9B">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XXIX. La información sobre los procesos y resultados sobre procedimientos de adjudicación directa, invitación restringida y licitación de cualquier naturaleza, </w:t>
      </w:r>
      <w:r w:rsidRPr="00481C9B">
        <w:rPr>
          <w:rFonts w:ascii="Palatino Linotype" w:eastAsia="Palatino Linotype" w:hAnsi="Palatino Linotype" w:cs="Palatino Linotype"/>
          <w:i/>
          <w:sz w:val="22"/>
          <w:szCs w:val="22"/>
        </w:rPr>
        <w:lastRenderedPageBreak/>
        <w:t>incluyendo la versión pública del expediente respectivo y de los contratos celebrados, que deberán contener, por los menos, lo siguiente:</w:t>
      </w:r>
    </w:p>
    <w:p w:rsidR="003D2202" w:rsidRPr="00481C9B" w:rsidRDefault="003D2202">
      <w:pPr>
        <w:tabs>
          <w:tab w:val="left" w:pos="709"/>
        </w:tabs>
        <w:spacing w:line="276" w:lineRule="auto"/>
        <w:ind w:left="567" w:right="616"/>
        <w:jc w:val="both"/>
        <w:rPr>
          <w:rFonts w:ascii="Palatino Linotype" w:eastAsia="Palatino Linotype" w:hAnsi="Palatino Linotype" w:cs="Palatino Linotype"/>
          <w:i/>
          <w:sz w:val="22"/>
          <w:szCs w:val="22"/>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b/>
          <w:i/>
          <w:sz w:val="22"/>
          <w:szCs w:val="22"/>
        </w:rPr>
      </w:pPr>
      <w:r w:rsidRPr="00481C9B">
        <w:rPr>
          <w:rFonts w:ascii="Palatino Linotype" w:eastAsia="Palatino Linotype" w:hAnsi="Palatino Linotype" w:cs="Palatino Linotype"/>
          <w:b/>
          <w:i/>
          <w:sz w:val="22"/>
          <w:szCs w:val="22"/>
        </w:rPr>
        <w:t xml:space="preserve">a) De licitaciones públicas o procedimientos de invitación restringida: </w:t>
      </w:r>
    </w:p>
    <w:p w:rsidR="003D2202" w:rsidRPr="00481C9B" w:rsidRDefault="003D2202">
      <w:pPr>
        <w:tabs>
          <w:tab w:val="left" w:pos="709"/>
        </w:tabs>
        <w:spacing w:line="276" w:lineRule="auto"/>
        <w:ind w:left="567" w:right="616"/>
        <w:jc w:val="both"/>
        <w:rPr>
          <w:rFonts w:ascii="Palatino Linotype" w:eastAsia="Palatino Linotype" w:hAnsi="Palatino Linotype" w:cs="Palatino Linotype"/>
          <w:i/>
          <w:sz w:val="22"/>
          <w:szCs w:val="22"/>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1) La convocatoria o invitación emitida, así como los fundamentos legales aplicados para llevarla a cabo;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2) Los nombres de los participantes o invitados;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3) El nombre del ganador y las razones que lo justifican;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4) El área solicitante y la responsable de su ejecución;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5) Las convocatorias e invitaciones emitidas;</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6) Los dictámenes y fallo de adjudicación;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7) El contrato y, en su caso, sus anexos;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12) Los informes de avance físico y financiero sobre las obras o servicios contratados;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13) El convenio de terminación; y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14) El finiquito. </w:t>
      </w:r>
    </w:p>
    <w:p w:rsidR="003D2202" w:rsidRPr="00481C9B" w:rsidRDefault="003D2202">
      <w:pPr>
        <w:tabs>
          <w:tab w:val="left" w:pos="709"/>
        </w:tabs>
        <w:spacing w:line="276" w:lineRule="auto"/>
        <w:ind w:right="616"/>
        <w:jc w:val="both"/>
        <w:rPr>
          <w:rFonts w:ascii="Palatino Linotype" w:eastAsia="Palatino Linotype" w:hAnsi="Palatino Linotype" w:cs="Palatino Linotype"/>
          <w:i/>
          <w:sz w:val="22"/>
          <w:szCs w:val="22"/>
        </w:rPr>
      </w:pPr>
    </w:p>
    <w:p w:rsidR="003D2202" w:rsidRPr="00481C9B" w:rsidRDefault="003D2202">
      <w:pPr>
        <w:tabs>
          <w:tab w:val="left" w:pos="709"/>
        </w:tabs>
        <w:spacing w:line="276" w:lineRule="auto"/>
        <w:ind w:left="567" w:right="616"/>
        <w:jc w:val="both"/>
        <w:rPr>
          <w:rFonts w:ascii="Palatino Linotype" w:eastAsia="Palatino Linotype" w:hAnsi="Palatino Linotype" w:cs="Palatino Linotype"/>
          <w:i/>
          <w:sz w:val="22"/>
          <w:szCs w:val="22"/>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b/>
          <w:i/>
          <w:sz w:val="22"/>
          <w:szCs w:val="22"/>
        </w:rPr>
      </w:pPr>
      <w:r w:rsidRPr="00481C9B">
        <w:rPr>
          <w:rFonts w:ascii="Palatino Linotype" w:eastAsia="Palatino Linotype" w:hAnsi="Palatino Linotype" w:cs="Palatino Linotype"/>
          <w:b/>
          <w:i/>
          <w:sz w:val="22"/>
          <w:szCs w:val="22"/>
        </w:rPr>
        <w:t xml:space="preserve">b) De las adjudicaciones directas: </w:t>
      </w:r>
    </w:p>
    <w:p w:rsidR="003D2202" w:rsidRPr="00481C9B" w:rsidRDefault="003D2202">
      <w:pPr>
        <w:tabs>
          <w:tab w:val="left" w:pos="709"/>
        </w:tabs>
        <w:spacing w:line="276" w:lineRule="auto"/>
        <w:ind w:left="567" w:right="616"/>
        <w:jc w:val="both"/>
        <w:rPr>
          <w:rFonts w:ascii="Palatino Linotype" w:eastAsia="Palatino Linotype" w:hAnsi="Palatino Linotype" w:cs="Palatino Linotype"/>
          <w:i/>
          <w:sz w:val="22"/>
          <w:szCs w:val="22"/>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1) La propuesta enviada por el participante;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2) Los motivos y fundamentos legales aplicados para llevarla a cabo;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3) La autorización del ejercicio de la opción;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4) En su caso, las cotizaciones consideradas, especificando los nombres de los proveedores y sus montos;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5) El nombre de la persona física o jurídica colectiva adjudicada;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6) La unidad administrativa solicitante y la responsable de su ejecución;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lastRenderedPageBreak/>
        <w:t xml:space="preserve">7) El número, fecha, el monto del contrato y el plazo de entrega o de ejecución de los servicios u obra;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9) Los informes de avance sobre las obras o servicios contratados;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10) El convenio de terminación; y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11) El finiquito.</w:t>
      </w:r>
    </w:p>
    <w:p w:rsidR="003D2202" w:rsidRPr="00481C9B" w:rsidRDefault="003D2202">
      <w:pPr>
        <w:tabs>
          <w:tab w:val="left" w:pos="709"/>
        </w:tabs>
        <w:spacing w:line="276" w:lineRule="auto"/>
        <w:ind w:left="567" w:right="616"/>
        <w:jc w:val="both"/>
        <w:rPr>
          <w:rFonts w:ascii="Palatino Linotype" w:eastAsia="Palatino Linotype" w:hAnsi="Palatino Linotype" w:cs="Palatino Linotype"/>
          <w:i/>
          <w:sz w:val="22"/>
          <w:szCs w:val="22"/>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De esto, se advierte que, los sujetos obligados deberán poner a disposición del público la información relativa a procesos y resultados sobre procedimientos de adjudicación directa, invitación restringida y licitación de cualquier naturaleza, donde se incluya el expediente respectivo y de los contratos celebrados que, para el caso en particular, los expedientes deberán contener:</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b/>
          <w:sz w:val="22"/>
          <w:szCs w:val="22"/>
        </w:rPr>
        <w:t xml:space="preserve">Invitación restringida: </w:t>
      </w:r>
      <w:r w:rsidRPr="00481C9B">
        <w:rPr>
          <w:rFonts w:ascii="Palatino Linotype" w:eastAsia="Palatino Linotype" w:hAnsi="Palatino Linotype" w:cs="Palatino Linotype"/>
          <w:sz w:val="22"/>
          <w:szCs w:val="22"/>
        </w:rPr>
        <w:t xml:space="preserve">invitación emitida y fundamentos legales aplicables para llevarla a cabo, nombre de los participantes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 </w:t>
      </w:r>
    </w:p>
    <w:p w:rsidR="003D2202" w:rsidRPr="00481C9B" w:rsidRDefault="0039799B">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b/>
          <w:sz w:val="22"/>
          <w:szCs w:val="22"/>
        </w:rPr>
        <w:t xml:space="preserve">Adjudicaciones directas: </w:t>
      </w:r>
      <w:r w:rsidRPr="00481C9B">
        <w:rPr>
          <w:rFonts w:ascii="Palatino Linotype" w:eastAsia="Palatino Linotype" w:hAnsi="Palatino Linotype" w:cs="Palatino Linotype"/>
          <w:sz w:val="22"/>
          <w:szCs w:val="22"/>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lastRenderedPageBreak/>
        <w:t xml:space="preserve">En ese sentido, se puede colegir que los expedientes tanto de invitación restringida como de adjudicación directa se conforman por diversos documentos, y que, en materia de transparencia y acceso a la información, por lo menos, se deben poner a disposición del público los antes referidos, por constituir una obligación de transparencia común. </w:t>
      </w:r>
    </w:p>
    <w:p w:rsidR="003D2202" w:rsidRPr="00481C9B" w:rsidRDefault="003D2202">
      <w:pPr>
        <w:tabs>
          <w:tab w:val="left" w:pos="709"/>
        </w:tabs>
        <w:spacing w:line="360" w:lineRule="auto"/>
        <w:ind w:right="49"/>
        <w:jc w:val="both"/>
        <w:rPr>
          <w:rFonts w:ascii="Palatino Linotype" w:eastAsia="Palatino Linotype" w:hAnsi="Palatino Linotype" w:cs="Palatino Linotype"/>
        </w:rPr>
      </w:pP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Dicho esto, es de recordar que el Ayuntamiento de Texcoco remitió el acta de presentación, apertura y evaluación de propuestas, el acta de la junta de aclaraciones y una convocatoria, todos relacionados con la Licitación Pública número TEX/CAYS/LP/DGA/2022; documentos que no se hicieron del conocimiento del Particular porque si bien, estos se encuentran relacionados con los procedimientos de adquisición que prevé la Ley de Contratación Pública de la Entidad, también lo es que el Particular no solicitó información relacionada con licitaciones públicas, sino con adjudicación directa e invitación restringida. </w:t>
      </w:r>
    </w:p>
    <w:p w:rsidR="003D2202" w:rsidRPr="00481C9B" w:rsidRDefault="003D2202">
      <w:pPr>
        <w:tabs>
          <w:tab w:val="left" w:pos="709"/>
        </w:tabs>
        <w:spacing w:line="360" w:lineRule="auto"/>
        <w:ind w:right="49"/>
        <w:jc w:val="both"/>
        <w:rPr>
          <w:rFonts w:ascii="Palatino Linotype" w:eastAsia="Palatino Linotype" w:hAnsi="Palatino Linotype" w:cs="Palatino Linotype"/>
        </w:rPr>
      </w:pP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Por ello, se procedió a indagar en la Plataforma de Información Pública de Oficio Mexiquense del Ayuntamiento de Texcoco y se encontró que, para el caso de procedimientos de adjudicación directa, en el ejercicio fiscal dos mil veintidós, se encontraron cuarenta y ocho registros </w:t>
      </w:r>
      <w:r w:rsidRPr="00481C9B">
        <w:rPr>
          <w:rFonts w:ascii="Palatino Linotype" w:eastAsia="Palatino Linotype" w:hAnsi="Palatino Linotype" w:cs="Palatino Linotype"/>
          <w:sz w:val="18"/>
          <w:szCs w:val="18"/>
        </w:rPr>
        <w:t xml:space="preserve">(consultado en </w:t>
      </w:r>
      <w:hyperlink r:id="rId12">
        <w:r w:rsidRPr="00481C9B">
          <w:rPr>
            <w:rFonts w:ascii="Palatino Linotype" w:eastAsia="Palatino Linotype" w:hAnsi="Palatino Linotype" w:cs="Palatino Linotype"/>
            <w:sz w:val="18"/>
            <w:szCs w:val="18"/>
            <w:u w:val="single"/>
          </w:rPr>
          <w:t>https://www.ipomex.org.mx/ipo3/lgt/indice/TEXCOCO/art_92_xxix_b.web?token=03AIIukziikckEdQ0DEce3voWAR3pizpLYI4_kSa8vfgfzwWHyyZNS8r0g-Ur8KhF_QNNN2v7JLQ5VUJ4LkvxqaMCrTEd05ti51rrYRUFrHkgAE5ZTgWC3_f7fQnUzT5rTiEmQcUop6XRmlAHyYV5pq0cyyKoLJmwhAidEPPy0-6tpL4DKwF1LAFF7f_w1pbWEtii4BEQ6Pmq5gLvhOR56qQRUjDbO4II5T9tcQeUcmTpai3nD3B6YPfwSDSAZaqbJFq3_wQraiNHLuRpPlfLGVOLUdGcgUOzmzgL9MKScP5VI2Mv18W8ZJhBD10hBNjT0EhgJsyksRXAWjk9Soz8N1MHmquTd9uftoqRmoWl35RK2Bcw7J9fK-bcbB0pQsYmIkMOdu9jQ0AHziCu-</w:t>
        </w:r>
        <w:r w:rsidRPr="00481C9B">
          <w:rPr>
            <w:rFonts w:ascii="Palatino Linotype" w:eastAsia="Palatino Linotype" w:hAnsi="Palatino Linotype" w:cs="Palatino Linotype"/>
            <w:sz w:val="18"/>
            <w:szCs w:val="18"/>
            <w:u w:val="single"/>
          </w:rPr>
          <w:lastRenderedPageBreak/>
          <w:t>Z9_zvq0DyMzd0OszxML6POOHpD4kOVvyCC7n0KHDUrPtsRUCbrxq2rD5GdAu60JNLAX-jiG3FpwGZvd-gqrKyk3x4xAeRyBiHbr58vR7mlP6USx-80QO7yVR70uFoNPGmkP8U2LybKncff9KLg#</w:t>
        </w:r>
      </w:hyperlink>
      <w:r w:rsidRPr="00481C9B">
        <w:rPr>
          <w:rFonts w:ascii="Palatino Linotype" w:eastAsia="Palatino Linotype" w:hAnsi="Palatino Linotype" w:cs="Palatino Linotype"/>
          <w:sz w:val="18"/>
          <w:szCs w:val="18"/>
        </w:rPr>
        <w:t>)</w:t>
      </w:r>
      <w:r w:rsidRPr="00481C9B">
        <w:rPr>
          <w:rFonts w:ascii="Palatino Linotype" w:eastAsia="Palatino Linotype" w:hAnsi="Palatino Linotype" w:cs="Palatino Linotype"/>
        </w:rPr>
        <w:t xml:space="preserve">, tal como se observa a continuación: </w:t>
      </w:r>
    </w:p>
    <w:p w:rsidR="003D2202" w:rsidRPr="00481C9B" w:rsidRDefault="003D2202">
      <w:pPr>
        <w:tabs>
          <w:tab w:val="left" w:pos="709"/>
        </w:tabs>
        <w:spacing w:line="360" w:lineRule="auto"/>
        <w:ind w:right="49"/>
        <w:jc w:val="both"/>
        <w:rPr>
          <w:rFonts w:ascii="Palatino Linotype" w:eastAsia="Palatino Linotype" w:hAnsi="Palatino Linotype" w:cs="Palatino Linotype"/>
        </w:rPr>
      </w:pPr>
    </w:p>
    <w:p w:rsidR="003D2202" w:rsidRPr="00481C9B" w:rsidRDefault="0039799B">
      <w:pPr>
        <w:tabs>
          <w:tab w:val="left" w:pos="709"/>
        </w:tabs>
        <w:spacing w:line="360" w:lineRule="auto"/>
        <w:ind w:right="49"/>
        <w:jc w:val="center"/>
        <w:rPr>
          <w:rFonts w:ascii="Palatino Linotype" w:eastAsia="Palatino Linotype" w:hAnsi="Palatino Linotype" w:cs="Palatino Linotype"/>
        </w:rPr>
      </w:pPr>
      <w:r w:rsidRPr="00481C9B">
        <w:rPr>
          <w:noProof/>
          <w:lang w:val="es-MX"/>
        </w:rPr>
        <w:drawing>
          <wp:inline distT="0" distB="0" distL="0" distR="0">
            <wp:extent cx="3992422" cy="2315050"/>
            <wp:effectExtent l="0" t="0" r="0" b="0"/>
            <wp:docPr id="43" name="image6.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Texto&#10;&#10;Descripción generada automáticamente"/>
                    <pic:cNvPicPr preferRelativeResize="0"/>
                  </pic:nvPicPr>
                  <pic:blipFill>
                    <a:blip r:embed="rId13"/>
                    <a:srcRect l="14255" t="35621" r="36864" b="13967"/>
                    <a:stretch>
                      <a:fillRect/>
                    </a:stretch>
                  </pic:blipFill>
                  <pic:spPr>
                    <a:xfrm>
                      <a:off x="0" y="0"/>
                      <a:ext cx="3992422" cy="2315050"/>
                    </a:xfrm>
                    <a:prstGeom prst="rect">
                      <a:avLst/>
                    </a:prstGeom>
                    <a:ln/>
                  </pic:spPr>
                </pic:pic>
              </a:graphicData>
            </a:graphic>
          </wp:inline>
        </w:drawing>
      </w:r>
      <w:r w:rsidRPr="00481C9B">
        <w:rPr>
          <w:noProof/>
          <w:lang w:val="es-MX"/>
        </w:rPr>
        <mc:AlternateContent>
          <mc:Choice Requires="wps">
            <w:drawing>
              <wp:anchor distT="0" distB="0" distL="114300" distR="114300" simplePos="0" relativeHeight="251659264" behindDoc="0" locked="0" layoutInCell="1" hidden="0" allowOverlap="1">
                <wp:simplePos x="0" y="0"/>
                <wp:positionH relativeFrom="column">
                  <wp:posOffset>1612900</wp:posOffset>
                </wp:positionH>
                <wp:positionV relativeFrom="paragraph">
                  <wp:posOffset>1193800</wp:posOffset>
                </wp:positionV>
                <wp:extent cx="2514600" cy="228600"/>
                <wp:effectExtent l="0" t="0" r="0" b="0"/>
                <wp:wrapNone/>
                <wp:docPr id="38" name="Rectángulo 38"/>
                <wp:cNvGraphicFramePr/>
                <a:graphic xmlns:a="http://schemas.openxmlformats.org/drawingml/2006/main">
                  <a:graphicData uri="http://schemas.microsoft.com/office/word/2010/wordprocessingShape">
                    <wps:wsp>
                      <wps:cNvSpPr/>
                      <wps:spPr>
                        <a:xfrm>
                          <a:off x="4107750" y="3684750"/>
                          <a:ext cx="2476500" cy="190500"/>
                        </a:xfrm>
                        <a:prstGeom prst="rect">
                          <a:avLst/>
                        </a:prstGeom>
                        <a:noFill/>
                        <a:ln w="38100" cap="flat" cmpd="sng">
                          <a:solidFill>
                            <a:srgbClr val="FF0000"/>
                          </a:solidFill>
                          <a:prstDash val="solid"/>
                          <a:round/>
                          <a:headEnd type="none" w="sm" len="sm"/>
                          <a:tailEnd type="none" w="sm" len="sm"/>
                        </a:ln>
                      </wps:spPr>
                      <wps:txbx>
                        <w:txbxContent>
                          <w:p w:rsidR="00481C9B" w:rsidRDefault="00481C9B">
                            <w:pPr>
                              <w:textDirection w:val="btLr"/>
                            </w:pPr>
                          </w:p>
                        </w:txbxContent>
                      </wps:txbx>
                      <wps:bodyPr spcFirstLastPara="1" wrap="square" lIns="91425" tIns="91425" rIns="91425" bIns="91425" anchor="ctr" anchorCtr="0">
                        <a:noAutofit/>
                      </wps:bodyPr>
                    </wps:wsp>
                  </a:graphicData>
                </a:graphic>
              </wp:anchor>
            </w:drawing>
          </mc:Choice>
          <mc:Fallback>
            <w:pict>
              <v:rect id="Rectángulo 38" o:spid="_x0000_s1027" style="position:absolute;left:0;text-align:left;margin-left:127pt;margin-top:94pt;width:198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" filled="f" strokecolor="red" strokeweight="3pt">
                <v:stroke startarrowwidth="narrow" startarrowlength="short" endarrowwidth="narrow" endarrowlength="short" joinstyle="round"/>
                <v:textbox inset="2.53958mm,2.53958mm,2.53958mm,2.53958mm">
                  <w:txbxContent>
                    <w:p w:rsidR="00481C9B" w:rsidRDefault="00481C9B">
                      <w:pPr>
                        <w:textDirection w:val="btLr"/>
                      </w:pPr>
                    </w:p>
                  </w:txbxContent>
                </v:textbox>
              </v:rect>
            </w:pict>
          </mc:Fallback>
        </mc:AlternateContent>
      </w:r>
    </w:p>
    <w:p w:rsidR="003D2202" w:rsidRPr="00481C9B" w:rsidRDefault="0039799B">
      <w:pPr>
        <w:tabs>
          <w:tab w:val="left" w:pos="709"/>
        </w:tabs>
        <w:ind w:left="1276" w:right="1183"/>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[Imagen extraída de Ipomex, Ayuntamiento de Texcoco, adjudicación directa, dos mil veintidós]</w:t>
      </w:r>
    </w:p>
    <w:p w:rsidR="003D2202" w:rsidRPr="00481C9B" w:rsidRDefault="003D2202">
      <w:pPr>
        <w:tabs>
          <w:tab w:val="left" w:pos="709"/>
        </w:tabs>
        <w:spacing w:line="360" w:lineRule="auto"/>
        <w:ind w:right="49"/>
        <w:jc w:val="both"/>
        <w:rPr>
          <w:rFonts w:ascii="Palatino Linotype" w:eastAsia="Palatino Linotype" w:hAnsi="Palatino Linotype" w:cs="Palatino Linotype"/>
        </w:rPr>
      </w:pP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Dentro de los cuales, en relación con la temporalidad solicitada por el Recurrente, se obtuvo que, por lo menos, </w:t>
      </w:r>
      <w:r w:rsidRPr="00481C9B">
        <w:rPr>
          <w:rFonts w:ascii="Palatino Linotype" w:eastAsia="Palatino Linotype" w:hAnsi="Palatino Linotype" w:cs="Palatino Linotype"/>
          <w:b/>
          <w:u w:val="single"/>
        </w:rPr>
        <w:t>se llevaron a cabo del uno de enero al treinta y uno de marzo de dos mil veintidós; diecinueve procedimientos de adjudicación directa</w:t>
      </w:r>
      <w:r w:rsidRPr="00481C9B">
        <w:rPr>
          <w:rFonts w:ascii="Palatino Linotype" w:eastAsia="Palatino Linotype" w:hAnsi="Palatino Linotype" w:cs="Palatino Linotype"/>
          <w:u w:val="single"/>
        </w:rPr>
        <w:t>,</w:t>
      </w:r>
      <w:r w:rsidRPr="00481C9B">
        <w:rPr>
          <w:rFonts w:ascii="Palatino Linotype" w:eastAsia="Palatino Linotype" w:hAnsi="Palatino Linotype" w:cs="Palatino Linotype"/>
        </w:rPr>
        <w:t xml:space="preserve"> por lo que, el Sujeto Obligado deberá efectuar una búsqueda exhaustiva y razonable, en las unidades administrativas que de acuerdo con sus facultades, atribuciones y competencias deban administrar la información solicitada, a efecto de que sea proporcionada de ser el caso, en versión pública. </w:t>
      </w:r>
    </w:p>
    <w:p w:rsidR="003D2202" w:rsidRPr="00481C9B" w:rsidRDefault="003D2202">
      <w:pPr>
        <w:tabs>
          <w:tab w:val="left" w:pos="709"/>
        </w:tabs>
        <w:spacing w:line="360" w:lineRule="auto"/>
        <w:ind w:right="49"/>
        <w:jc w:val="both"/>
        <w:rPr>
          <w:rFonts w:ascii="Palatino Linotype" w:eastAsia="Palatino Linotype" w:hAnsi="Palatino Linotype" w:cs="Palatino Linotype"/>
        </w:rPr>
      </w:pP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Por otro lado, respecto a los procedimientos de invitación a cuando menos tres personas, de la búsqueda efectuada en la Plataforma de Información Pública de Oficio Mexiquense </w:t>
      </w:r>
      <w:r w:rsidRPr="00481C9B">
        <w:rPr>
          <w:rFonts w:ascii="Palatino Linotype" w:eastAsia="Palatino Linotype" w:hAnsi="Palatino Linotype" w:cs="Palatino Linotype"/>
          <w:sz w:val="18"/>
          <w:szCs w:val="18"/>
        </w:rPr>
        <w:t xml:space="preserve">(consultada en </w:t>
      </w:r>
      <w:hyperlink r:id="rId14">
        <w:r w:rsidRPr="00481C9B">
          <w:rPr>
            <w:rFonts w:ascii="Palatino Linotype" w:eastAsia="Palatino Linotype" w:hAnsi="Palatino Linotype" w:cs="Palatino Linotype"/>
            <w:sz w:val="18"/>
            <w:szCs w:val="18"/>
            <w:u w:val="single"/>
          </w:rPr>
          <w:t>https://www.ipomex.org.mx/ipo3/lgt/indice/TEXCOCO/art_92_xxix_a.web?token=03AIIukzgqL6O6q_7BzE2SmNETFWSGxdkCQJxy9kfCxEB_8joL39uq1UN_X-_v3I3YqIMghJny4UrZGy63rFxmjxwHI538wwiV9wE1DHw4HvOpTTVzXoYASHYWwBvi11g83w-ztory-mEqv1T0LvI3I05xiZxpRtwzWDITnzuhU2ghR4-7nMVSIUZpNLCXdgXruHkMgMiILzqbvkWBVJ6Gkuc0lD6kIyzW57xmUF-E7mDz_7lYFjhVH_cbQslA0rZyn61C_biv3TkY3PFgwXz4scm8FY_ks0uFMeFySqiD2AFwgAKvWPRrz9jWYGO-O85Pkwa6_z2An2AZHC8YmBbCJK2WT557T7ojmBehvmGvKOphQIHvjPxhOMf9vAtHvMz_JcZs88gIqA6mqMsZqxenzycZdXW6iQ8hUpd0LDB84-SHxGe_sNx1CnpOcmEZcXGOQcz7xbAM0wmr8UWtBURbOSiZwUhtrtHPnDsJpbhI_SlhCR2BeWIZHBKLWkL7Z2qqRB1xxaBjKmxzqVnSqzWOAJ6GRedVVIUL7g#</w:t>
        </w:r>
      </w:hyperlink>
      <w:r w:rsidRPr="00481C9B">
        <w:rPr>
          <w:rFonts w:ascii="Palatino Linotype" w:eastAsia="Palatino Linotype" w:hAnsi="Palatino Linotype" w:cs="Palatino Linotype"/>
          <w:sz w:val="18"/>
          <w:szCs w:val="18"/>
        </w:rPr>
        <w:t>)</w:t>
      </w:r>
      <w:r w:rsidRPr="00481C9B">
        <w:rPr>
          <w:rFonts w:ascii="Palatino Linotype" w:eastAsia="Palatino Linotype" w:hAnsi="Palatino Linotype" w:cs="Palatino Linotype"/>
        </w:rPr>
        <w:t>, para el ejercicio fiscal dos mil veintidós, se encontraron dos registros, tal como se observa a continuación:</w:t>
      </w:r>
    </w:p>
    <w:p w:rsidR="003D2202" w:rsidRPr="00481C9B" w:rsidRDefault="003D2202">
      <w:pPr>
        <w:tabs>
          <w:tab w:val="left" w:pos="709"/>
        </w:tabs>
        <w:spacing w:line="360" w:lineRule="auto"/>
        <w:ind w:right="49"/>
        <w:jc w:val="both"/>
        <w:rPr>
          <w:rFonts w:ascii="Palatino Linotype" w:eastAsia="Palatino Linotype" w:hAnsi="Palatino Linotype" w:cs="Palatino Linotype"/>
        </w:rPr>
      </w:pPr>
    </w:p>
    <w:p w:rsidR="003D2202" w:rsidRPr="00481C9B" w:rsidRDefault="0039799B">
      <w:pPr>
        <w:tabs>
          <w:tab w:val="left" w:pos="709"/>
        </w:tabs>
        <w:spacing w:line="360" w:lineRule="auto"/>
        <w:ind w:right="49"/>
        <w:jc w:val="center"/>
        <w:rPr>
          <w:rFonts w:ascii="Palatino Linotype" w:eastAsia="Palatino Linotype" w:hAnsi="Palatino Linotype" w:cs="Palatino Linotype"/>
        </w:rPr>
      </w:pPr>
      <w:r w:rsidRPr="00481C9B">
        <w:rPr>
          <w:noProof/>
          <w:lang w:val="es-MX"/>
        </w:rPr>
        <w:drawing>
          <wp:inline distT="0" distB="0" distL="0" distR="0">
            <wp:extent cx="3933825" cy="2047875"/>
            <wp:effectExtent l="0" t="0" r="0" b="0"/>
            <wp:docPr id="45" name="image7.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Texto, Aplicación&#10;&#10;Descripción generada automáticamente"/>
                    <pic:cNvPicPr preferRelativeResize="0"/>
                  </pic:nvPicPr>
                  <pic:blipFill>
                    <a:blip r:embed="rId15"/>
                    <a:srcRect l="7297" t="30489" r="35846" b="11552"/>
                    <a:stretch>
                      <a:fillRect/>
                    </a:stretch>
                  </pic:blipFill>
                  <pic:spPr>
                    <a:xfrm>
                      <a:off x="0" y="0"/>
                      <a:ext cx="3933825" cy="2047875"/>
                    </a:xfrm>
                    <a:prstGeom prst="rect">
                      <a:avLst/>
                    </a:prstGeom>
                    <a:ln/>
                  </pic:spPr>
                </pic:pic>
              </a:graphicData>
            </a:graphic>
          </wp:inline>
        </w:drawing>
      </w:r>
      <w:r w:rsidRPr="00481C9B">
        <w:rPr>
          <w:noProof/>
          <w:lang w:val="es-MX"/>
        </w:rPr>
        <mc:AlternateContent>
          <mc:Choice Requires="wps">
            <w:drawing>
              <wp:anchor distT="0" distB="0" distL="114300" distR="114300" simplePos="0" relativeHeight="251660288" behindDoc="0" locked="0" layoutInCell="1" hidden="0" allowOverlap="1">
                <wp:simplePos x="0" y="0"/>
                <wp:positionH relativeFrom="column">
                  <wp:posOffset>1600200</wp:posOffset>
                </wp:positionH>
                <wp:positionV relativeFrom="paragraph">
                  <wp:posOffset>1168400</wp:posOffset>
                </wp:positionV>
                <wp:extent cx="2514600" cy="190500"/>
                <wp:effectExtent l="0" t="0" r="0" b="0"/>
                <wp:wrapNone/>
                <wp:docPr id="37" name="Rectángulo 37"/>
                <wp:cNvGraphicFramePr/>
                <a:graphic xmlns:a="http://schemas.openxmlformats.org/drawingml/2006/main">
                  <a:graphicData uri="http://schemas.microsoft.com/office/word/2010/wordprocessingShape">
                    <wps:wsp>
                      <wps:cNvSpPr/>
                      <wps:spPr>
                        <a:xfrm>
                          <a:off x="4107750" y="3703800"/>
                          <a:ext cx="2476500" cy="152400"/>
                        </a:xfrm>
                        <a:prstGeom prst="rect">
                          <a:avLst/>
                        </a:prstGeom>
                        <a:noFill/>
                        <a:ln w="38100" cap="flat" cmpd="sng">
                          <a:solidFill>
                            <a:srgbClr val="FF0000"/>
                          </a:solidFill>
                          <a:prstDash val="solid"/>
                          <a:round/>
                          <a:headEnd type="none" w="sm" len="sm"/>
                          <a:tailEnd type="none" w="sm" len="sm"/>
                        </a:ln>
                      </wps:spPr>
                      <wps:txbx>
                        <w:txbxContent>
                          <w:p w:rsidR="00481C9B" w:rsidRDefault="00481C9B">
                            <w:pPr>
                              <w:textDirection w:val="btLr"/>
                            </w:pPr>
                          </w:p>
                        </w:txbxContent>
                      </wps:txbx>
                      <wps:bodyPr spcFirstLastPara="1" wrap="square" lIns="91425" tIns="91425" rIns="91425" bIns="91425" anchor="ctr" anchorCtr="0">
                        <a:noAutofit/>
                      </wps:bodyPr>
                    </wps:wsp>
                  </a:graphicData>
                </a:graphic>
              </wp:anchor>
            </w:drawing>
          </mc:Choice>
          <mc:Fallback>
            <w:pict>
              <v:rect id="Rectángulo 37" o:spid="_x0000_s1028" style="position:absolute;left:0;text-align:left;margin-left:126pt;margin-top:92pt;width:198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" filled="f" strokecolor="red" strokeweight="3pt">
                <v:stroke startarrowwidth="narrow" startarrowlength="short" endarrowwidth="narrow" endarrowlength="short" joinstyle="round"/>
                <v:textbox inset="2.53958mm,2.53958mm,2.53958mm,2.53958mm">
                  <w:txbxContent>
                    <w:p w:rsidR="00481C9B" w:rsidRDefault="00481C9B">
                      <w:pPr>
                        <w:textDirection w:val="btLr"/>
                      </w:pPr>
                    </w:p>
                  </w:txbxContent>
                </v:textbox>
              </v:rect>
            </w:pict>
          </mc:Fallback>
        </mc:AlternateContent>
      </w:r>
    </w:p>
    <w:p w:rsidR="003D2202" w:rsidRPr="00481C9B" w:rsidRDefault="0039799B">
      <w:pPr>
        <w:tabs>
          <w:tab w:val="left" w:pos="709"/>
        </w:tabs>
        <w:ind w:left="1276" w:right="1183"/>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sz w:val="20"/>
          <w:szCs w:val="20"/>
        </w:rPr>
        <w:t>[Imagen extraída de Ipomex, Ayuntamiento de Texcoco, invitación a cuando menos tres personas, dos mil veintidós]</w:t>
      </w:r>
    </w:p>
    <w:p w:rsidR="003D2202" w:rsidRPr="00481C9B" w:rsidRDefault="003D2202">
      <w:pPr>
        <w:tabs>
          <w:tab w:val="left" w:pos="709"/>
        </w:tabs>
        <w:spacing w:line="360" w:lineRule="auto"/>
        <w:ind w:right="49"/>
        <w:jc w:val="both"/>
        <w:rPr>
          <w:rFonts w:ascii="Palatino Linotype" w:eastAsia="Palatino Linotype" w:hAnsi="Palatino Linotype" w:cs="Palatino Linotype"/>
        </w:rPr>
      </w:pP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Dentro de los cuales, si bien, no se encontró alguno relacionado con procedimientos efectuados bajo esta modalidad, ya que uno es relativo a un procedimiento de Licitación Pública y en el otro se precisa que no se cuenta con información para el periodo, también lo es que el Sujeto Obligado fue omiso en pronunciarse sobre la existencia de estos, por lo que, resulta dable ordenar al Ayuntamiento de Texcoco, </w:t>
      </w:r>
      <w:r w:rsidRPr="00481C9B">
        <w:rPr>
          <w:rFonts w:ascii="Palatino Linotype" w:eastAsia="Palatino Linotype" w:hAnsi="Palatino Linotype" w:cs="Palatino Linotype"/>
        </w:rPr>
        <w:lastRenderedPageBreak/>
        <w:t xml:space="preserve">previa búsqueda exhaustiva y razonable de la información en los archivos que integran sus unidades administrativas, de ser el caso en versión pública, los expedientes conformados con motivo de la celebración de procedimientos de invitación restringida. </w:t>
      </w:r>
    </w:p>
    <w:p w:rsidR="003D2202" w:rsidRPr="00481C9B" w:rsidRDefault="003D2202">
      <w:pPr>
        <w:tabs>
          <w:tab w:val="left" w:pos="709"/>
        </w:tabs>
        <w:spacing w:line="360" w:lineRule="auto"/>
        <w:ind w:right="49"/>
        <w:jc w:val="both"/>
        <w:rPr>
          <w:rFonts w:ascii="Palatino Linotype" w:eastAsia="Palatino Linotype" w:hAnsi="Palatino Linotype" w:cs="Palatino Linotype"/>
        </w:rPr>
      </w:pP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Por último, no está por demás señalar que el Particular solicitó las actas de las empresas, de tal forma que es de referir que la Ley en la materia, no prevé que los expedientes deban conformarse por las documentales referidas, por lo que, no resulta dable ordenar información de la que se advierte que no cuenta el Sujeto Obligado. </w:t>
      </w:r>
    </w:p>
    <w:p w:rsidR="003D2202" w:rsidRPr="00481C9B" w:rsidRDefault="003D2202">
      <w:pPr>
        <w:tabs>
          <w:tab w:val="left" w:pos="709"/>
        </w:tabs>
        <w:spacing w:line="360" w:lineRule="auto"/>
        <w:ind w:right="49"/>
        <w:jc w:val="both"/>
        <w:rPr>
          <w:rFonts w:ascii="Palatino Linotype" w:eastAsia="Palatino Linotype" w:hAnsi="Palatino Linotype" w:cs="Palatino Linotype"/>
        </w:rPr>
      </w:pP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Relativo al requerimiento referido con el </w:t>
      </w:r>
      <w:r w:rsidRPr="00481C9B">
        <w:rPr>
          <w:rFonts w:ascii="Palatino Linotype" w:eastAsia="Palatino Linotype" w:hAnsi="Palatino Linotype" w:cs="Palatino Linotype"/>
          <w:b/>
        </w:rPr>
        <w:t>numeral 5) concerniente a la telefonía local y móvil que se utiliza para el Ayuntamiento</w:t>
      </w:r>
      <w:r w:rsidRPr="00481C9B">
        <w:rPr>
          <w:rFonts w:ascii="Palatino Linotype" w:eastAsia="Palatino Linotype" w:hAnsi="Palatino Linotype" w:cs="Palatino Linotype"/>
        </w:rPr>
        <w:t xml:space="preserve">, específicamente la información relativa a lo siguiente: </w:t>
      </w:r>
    </w:p>
    <w:p w:rsidR="003D2202" w:rsidRPr="00481C9B" w:rsidRDefault="003D2202">
      <w:pPr>
        <w:tabs>
          <w:tab w:val="left" w:pos="709"/>
        </w:tabs>
        <w:spacing w:line="360" w:lineRule="auto"/>
        <w:ind w:right="49"/>
        <w:jc w:val="both"/>
        <w:rPr>
          <w:rFonts w:ascii="Palatino Linotype" w:eastAsia="Palatino Linotype" w:hAnsi="Palatino Linotype" w:cs="Palatino Linotype"/>
        </w:rPr>
      </w:pPr>
    </w:p>
    <w:p w:rsidR="003D2202" w:rsidRPr="00481C9B" w:rsidRDefault="0039799B">
      <w:pPr>
        <w:numPr>
          <w:ilvl w:val="0"/>
          <w:numId w:val="10"/>
        </w:numPr>
        <w:pBdr>
          <w:top w:val="nil"/>
          <w:left w:val="nil"/>
          <w:bottom w:val="nil"/>
          <w:right w:val="nil"/>
          <w:between w:val="nil"/>
        </w:pBd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Nombre de la compañía telefónica local y móvil utilizada. </w:t>
      </w:r>
    </w:p>
    <w:p w:rsidR="003D2202" w:rsidRPr="00481C9B" w:rsidRDefault="0039799B">
      <w:pPr>
        <w:numPr>
          <w:ilvl w:val="0"/>
          <w:numId w:val="10"/>
        </w:numPr>
        <w:pBdr>
          <w:top w:val="nil"/>
          <w:left w:val="nil"/>
          <w:bottom w:val="nil"/>
          <w:right w:val="nil"/>
          <w:between w:val="nil"/>
        </w:pBd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Costo mensual. </w:t>
      </w:r>
    </w:p>
    <w:p w:rsidR="003D2202" w:rsidRPr="00481C9B" w:rsidRDefault="0039799B">
      <w:pPr>
        <w:numPr>
          <w:ilvl w:val="0"/>
          <w:numId w:val="10"/>
        </w:numPr>
        <w:pBdr>
          <w:top w:val="nil"/>
          <w:left w:val="nil"/>
          <w:bottom w:val="nil"/>
          <w:right w:val="nil"/>
          <w:between w:val="nil"/>
        </w:pBd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Servicio de conmutador.</w:t>
      </w:r>
    </w:p>
    <w:p w:rsidR="003D2202" w:rsidRPr="00481C9B" w:rsidRDefault="0039799B">
      <w:pPr>
        <w:numPr>
          <w:ilvl w:val="0"/>
          <w:numId w:val="10"/>
        </w:numPr>
        <w:pBdr>
          <w:top w:val="nil"/>
          <w:left w:val="nil"/>
          <w:bottom w:val="nil"/>
          <w:right w:val="nil"/>
          <w:between w:val="nil"/>
        </w:pBd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Aparatos celulares y marca. </w:t>
      </w:r>
    </w:p>
    <w:p w:rsidR="003D2202" w:rsidRPr="00481C9B" w:rsidRDefault="0039799B">
      <w:pPr>
        <w:numPr>
          <w:ilvl w:val="0"/>
          <w:numId w:val="10"/>
        </w:numPr>
        <w:pBdr>
          <w:top w:val="nil"/>
          <w:left w:val="nil"/>
          <w:bottom w:val="nil"/>
          <w:right w:val="nil"/>
          <w:between w:val="nil"/>
        </w:pBd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Nombre del representante legal. </w:t>
      </w:r>
    </w:p>
    <w:p w:rsidR="003D2202" w:rsidRPr="00481C9B" w:rsidRDefault="003D2202">
      <w:pPr>
        <w:tabs>
          <w:tab w:val="left" w:pos="709"/>
        </w:tabs>
        <w:spacing w:line="360" w:lineRule="auto"/>
        <w:jc w:val="both"/>
        <w:rPr>
          <w:rFonts w:ascii="Palatino Linotype" w:eastAsia="Palatino Linotype" w:hAnsi="Palatino Linotype" w:cs="Palatino Linotype"/>
        </w:rPr>
      </w:pPr>
    </w:p>
    <w:p w:rsidR="003D2202" w:rsidRPr="00481C9B" w:rsidRDefault="0039799B">
      <w:pPr>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Para ello, mediante informe justificado, el Ayuntamiento de Texcoco refirió que la compañía que prestaba servicios para el Sujeto Obligado era Teléfonos de México (TELMEX) para equipos convencionales, el costo mensual por la prestación de sus </w:t>
      </w:r>
      <w:r w:rsidRPr="00481C9B">
        <w:rPr>
          <w:rFonts w:ascii="Palatino Linotype" w:eastAsia="Palatino Linotype" w:hAnsi="Palatino Linotype" w:cs="Palatino Linotype"/>
        </w:rPr>
        <w:lastRenderedPageBreak/>
        <w:t xml:space="preserve">servicios era de $75,167.82 pesos, que no contaba con servicios de conmutador, ni teléfonos móviles, así como que no contaba con representante legal. </w:t>
      </w:r>
    </w:p>
    <w:p w:rsidR="003D2202" w:rsidRPr="00481C9B" w:rsidRDefault="003D2202">
      <w:pPr>
        <w:tabs>
          <w:tab w:val="left" w:pos="709"/>
        </w:tabs>
        <w:spacing w:line="360" w:lineRule="auto"/>
        <w:jc w:val="both"/>
        <w:rPr>
          <w:rFonts w:ascii="Palatino Linotype" w:eastAsia="Palatino Linotype" w:hAnsi="Palatino Linotype" w:cs="Palatino Linotype"/>
        </w:rPr>
      </w:pPr>
    </w:p>
    <w:p w:rsidR="003D2202" w:rsidRPr="00481C9B" w:rsidRDefault="0039799B">
      <w:pPr>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En ese sentido, se tiene que, respecto a los servicios de conmutador, teléfonos móviles y representante legal, toda vez que no posee, administra ni genera tal información; se colige que esta no puede fácticamente obrar en los archivos del Sujeto Obligado, ya que no puede probarse por ser lógica y materialmente imposible y, por ende, no puede ordenarse su entrega. </w:t>
      </w:r>
    </w:p>
    <w:p w:rsidR="003D2202" w:rsidRPr="00481C9B" w:rsidRDefault="003D2202">
      <w:pPr>
        <w:tabs>
          <w:tab w:val="left" w:pos="709"/>
        </w:tabs>
        <w:spacing w:line="360" w:lineRule="auto"/>
        <w:jc w:val="both"/>
        <w:rPr>
          <w:rFonts w:ascii="Palatino Linotype" w:eastAsia="Palatino Linotype" w:hAnsi="Palatino Linotype" w:cs="Palatino Linotype"/>
        </w:rPr>
      </w:pPr>
    </w:p>
    <w:p w:rsidR="003D2202" w:rsidRPr="00481C9B" w:rsidRDefault="0039799B">
      <w:pPr>
        <w:tabs>
          <w:tab w:val="left" w:pos="709"/>
        </w:tabs>
        <w:spacing w:line="360" w:lineRule="auto"/>
        <w:jc w:val="both"/>
        <w:rPr>
          <w:rFonts w:ascii="Palatino Linotype" w:eastAsia="Palatino Linotype" w:hAnsi="Palatino Linotype" w:cs="Palatino Linotype"/>
          <w:b/>
        </w:rPr>
      </w:pPr>
      <w:r w:rsidRPr="00481C9B">
        <w:rPr>
          <w:rFonts w:ascii="Palatino Linotype" w:eastAsia="Palatino Linotype" w:hAnsi="Palatino Linotype" w:cs="Palatino Linotype"/>
        </w:rPr>
        <w:t xml:space="preserve">Ahora bien, respecto al nombre de la telefonía utilizada, marca de teléfonos y el costo mensual, toda vez que el Sujeto Obligado proporcionó dicha información, se determina que este </w:t>
      </w:r>
      <w:r w:rsidRPr="00481C9B">
        <w:rPr>
          <w:rFonts w:ascii="Palatino Linotype" w:eastAsia="Palatino Linotype" w:hAnsi="Palatino Linotype" w:cs="Palatino Linotype"/>
          <w:b/>
        </w:rPr>
        <w:t xml:space="preserve">atendió </w:t>
      </w:r>
      <w:r w:rsidRPr="00481C9B">
        <w:rPr>
          <w:rFonts w:ascii="Palatino Linotype" w:eastAsia="Palatino Linotype" w:hAnsi="Palatino Linotype" w:cs="Palatino Linotype"/>
        </w:rPr>
        <w:t xml:space="preserve">dichos requerimientos y, en consecuencia, se tienen por </w:t>
      </w:r>
      <w:r w:rsidRPr="00481C9B">
        <w:rPr>
          <w:rFonts w:ascii="Palatino Linotype" w:eastAsia="Palatino Linotype" w:hAnsi="Palatino Linotype" w:cs="Palatino Linotype"/>
          <w:b/>
        </w:rPr>
        <w:t xml:space="preserve">colmados. </w:t>
      </w:r>
    </w:p>
    <w:p w:rsidR="003D2202" w:rsidRPr="00481C9B" w:rsidRDefault="003D2202">
      <w:pPr>
        <w:tabs>
          <w:tab w:val="left" w:pos="709"/>
        </w:tabs>
        <w:spacing w:line="360" w:lineRule="auto"/>
        <w:jc w:val="both"/>
        <w:rPr>
          <w:rFonts w:ascii="Palatino Linotype" w:eastAsia="Palatino Linotype" w:hAnsi="Palatino Linotype" w:cs="Palatino Linotype"/>
        </w:rPr>
      </w:pPr>
    </w:p>
    <w:p w:rsidR="003D2202" w:rsidRPr="00481C9B" w:rsidRDefault="0039799B">
      <w:pPr>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Finalmente, en lo que concierne al </w:t>
      </w:r>
      <w:r w:rsidRPr="00481C9B">
        <w:rPr>
          <w:rFonts w:ascii="Palatino Linotype" w:eastAsia="Palatino Linotype" w:hAnsi="Palatino Linotype" w:cs="Palatino Linotype"/>
          <w:b/>
        </w:rPr>
        <w:t>requerimiento referido con el numeral 6) relativo al sistema de auditoría, seguimiento y control financiero que lleve a cabo el Sujeto Obligado</w:t>
      </w:r>
      <w:r w:rsidRPr="00481C9B">
        <w:rPr>
          <w:rFonts w:ascii="Palatino Linotype" w:eastAsia="Palatino Linotype" w:hAnsi="Palatino Linotype" w:cs="Palatino Linotype"/>
        </w:rPr>
        <w:t xml:space="preserve">, la Contraloría Interna Municipal mencionó que contaba con facultades para realizar auditorías, de conformidad con el artículo 112 fracciones V y XII de la Ley Orgánica Municipal del Estado de México, 44 y 47 fracciones III y IV del Bando de Gobierno del Municipio de Texcoco, así como artículo 10, fracciones I, III, IV, V, IX y X y, 11 fracciones III, IV y VII del Reglamento Interno de la Contraloría Municipal. </w:t>
      </w:r>
    </w:p>
    <w:p w:rsidR="003D2202" w:rsidRPr="00481C9B" w:rsidRDefault="003D2202">
      <w:pPr>
        <w:tabs>
          <w:tab w:val="left" w:pos="709"/>
        </w:tabs>
        <w:spacing w:line="360" w:lineRule="auto"/>
        <w:jc w:val="both"/>
        <w:rPr>
          <w:rFonts w:ascii="Palatino Linotype" w:eastAsia="Palatino Linotype" w:hAnsi="Palatino Linotype" w:cs="Palatino Linotype"/>
        </w:rPr>
      </w:pPr>
    </w:p>
    <w:p w:rsidR="003D2202" w:rsidRPr="00481C9B" w:rsidRDefault="0039799B">
      <w:pPr>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lastRenderedPageBreak/>
        <w:t xml:space="preserve">De tal manera que, se procedió a conocer el contenido de los referidos artículos y fracciones, los cuales tratan de lo siguiente: </w:t>
      </w:r>
    </w:p>
    <w:p w:rsidR="003D2202" w:rsidRPr="00481C9B" w:rsidRDefault="003D2202">
      <w:pPr>
        <w:tabs>
          <w:tab w:val="left" w:pos="709"/>
        </w:tabs>
        <w:spacing w:line="360" w:lineRule="auto"/>
        <w:jc w:val="both"/>
        <w:rPr>
          <w:rFonts w:ascii="Palatino Linotype" w:eastAsia="Palatino Linotype" w:hAnsi="Palatino Linotype" w:cs="Palatino Linotype"/>
        </w:rPr>
      </w:pPr>
    </w:p>
    <w:p w:rsidR="003D2202" w:rsidRPr="00481C9B" w:rsidRDefault="0039799B">
      <w:pPr>
        <w:tabs>
          <w:tab w:val="left" w:pos="709"/>
        </w:tabs>
        <w:spacing w:line="276" w:lineRule="auto"/>
        <w:ind w:left="567" w:right="616"/>
        <w:jc w:val="center"/>
        <w:rPr>
          <w:rFonts w:ascii="Palatino Linotype" w:eastAsia="Palatino Linotype" w:hAnsi="Palatino Linotype" w:cs="Palatino Linotype"/>
          <w:b/>
          <w:i/>
          <w:sz w:val="22"/>
          <w:szCs w:val="22"/>
        </w:rPr>
      </w:pPr>
      <w:r w:rsidRPr="00481C9B">
        <w:rPr>
          <w:rFonts w:ascii="Palatino Linotype" w:eastAsia="Palatino Linotype" w:hAnsi="Palatino Linotype" w:cs="Palatino Linotype"/>
          <w:b/>
          <w:i/>
          <w:sz w:val="22"/>
          <w:szCs w:val="22"/>
        </w:rPr>
        <w:t>Ley Orgánica Municipal del Estado de México.</w:t>
      </w:r>
    </w:p>
    <w:p w:rsidR="003D2202" w:rsidRPr="00481C9B" w:rsidRDefault="003D2202">
      <w:pPr>
        <w:tabs>
          <w:tab w:val="left" w:pos="709"/>
        </w:tabs>
        <w:spacing w:line="276" w:lineRule="auto"/>
        <w:ind w:left="567" w:right="616"/>
        <w:jc w:val="both"/>
        <w:rPr>
          <w:rFonts w:ascii="Palatino Linotype" w:eastAsia="Palatino Linotype" w:hAnsi="Palatino Linotype" w:cs="Palatino Linotype"/>
          <w:i/>
          <w:sz w:val="22"/>
          <w:szCs w:val="22"/>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Artículo 112</w:t>
      </w:r>
      <w:r w:rsidRPr="00481C9B">
        <w:rPr>
          <w:rFonts w:ascii="Palatino Linotype" w:eastAsia="Palatino Linotype" w:hAnsi="Palatino Linotype" w:cs="Palatino Linotype"/>
          <w:i/>
          <w:sz w:val="22"/>
          <w:szCs w:val="22"/>
        </w:rPr>
        <w:t>. El órgano interno de control municipal, tendrá a su cargo las funciones siguientes:</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V. Establecer las bases generales para la realización de auditorías e inspecciones;</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XII. Participar en la entrega-recepción de las unidades administrativas de las dependencias, organismos auxiliares y fideicomisos del municipio;</w:t>
      </w:r>
    </w:p>
    <w:p w:rsidR="003D2202" w:rsidRPr="00481C9B" w:rsidRDefault="003D2202">
      <w:pPr>
        <w:tabs>
          <w:tab w:val="left" w:pos="709"/>
        </w:tabs>
        <w:spacing w:line="276" w:lineRule="auto"/>
        <w:ind w:right="616"/>
        <w:jc w:val="both"/>
        <w:rPr>
          <w:rFonts w:ascii="Palatino Linotype" w:eastAsia="Palatino Linotype" w:hAnsi="Palatino Linotype" w:cs="Palatino Linotype"/>
          <w:i/>
          <w:sz w:val="22"/>
          <w:szCs w:val="22"/>
        </w:rPr>
      </w:pPr>
    </w:p>
    <w:p w:rsidR="003D2202" w:rsidRPr="00481C9B" w:rsidRDefault="0039799B">
      <w:pPr>
        <w:tabs>
          <w:tab w:val="left" w:pos="709"/>
        </w:tabs>
        <w:spacing w:line="276" w:lineRule="auto"/>
        <w:ind w:left="567" w:right="616"/>
        <w:jc w:val="center"/>
        <w:rPr>
          <w:rFonts w:ascii="Palatino Linotype" w:eastAsia="Palatino Linotype" w:hAnsi="Palatino Linotype" w:cs="Palatino Linotype"/>
          <w:b/>
          <w:i/>
          <w:sz w:val="22"/>
          <w:szCs w:val="22"/>
        </w:rPr>
      </w:pPr>
      <w:r w:rsidRPr="00481C9B">
        <w:rPr>
          <w:rFonts w:ascii="Palatino Linotype" w:eastAsia="Palatino Linotype" w:hAnsi="Palatino Linotype" w:cs="Palatino Linotype"/>
          <w:b/>
          <w:i/>
          <w:sz w:val="22"/>
          <w:szCs w:val="22"/>
        </w:rPr>
        <w:t>Bando de Gobierno del Municipio de Texcoco 2022</w:t>
      </w:r>
    </w:p>
    <w:p w:rsidR="003D2202" w:rsidRPr="00481C9B" w:rsidRDefault="003D2202">
      <w:pPr>
        <w:tabs>
          <w:tab w:val="left" w:pos="709"/>
        </w:tabs>
        <w:spacing w:line="276" w:lineRule="auto"/>
        <w:ind w:left="567" w:right="616"/>
        <w:jc w:val="both"/>
        <w:rPr>
          <w:rFonts w:ascii="Palatino Linotype" w:eastAsia="Palatino Linotype" w:hAnsi="Palatino Linotype" w:cs="Palatino Linotype"/>
          <w:i/>
          <w:sz w:val="22"/>
          <w:szCs w:val="22"/>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Artículo 44.</w:t>
      </w:r>
      <w:r w:rsidRPr="00481C9B">
        <w:rPr>
          <w:rFonts w:ascii="Palatino Linotype" w:eastAsia="Palatino Linotype" w:hAnsi="Palatino Linotype" w:cs="Palatino Linotype"/>
          <w:i/>
          <w:sz w:val="22"/>
          <w:szCs w:val="22"/>
        </w:rPr>
        <w:t xml:space="preserve"> La Contraloría Interna Municipal tiene las funciones de planear, supervisar, vigilar, inspeccionar, auditar, verificar y aplicar diversas medidas de control interno para la evaluación de acciones de gobierno y funciones administrativas de los servidores públicos municipales, esto conforme a lo que señala la Ley Orgánica, la Ley de Responsabilidades Administrativas y demás leyes aplicables. Además, de operar las políticas para la prevención, investigación y sanción de hechos de corrupción, en coordinación con los Sistemas: Estatal y Municipal Anticorrupción, y el Comité de Participación Ciudadana, en términos de la Ley del Sistema Anticorrupción.</w:t>
      </w:r>
    </w:p>
    <w:p w:rsidR="003D2202" w:rsidRPr="00481C9B" w:rsidRDefault="003D2202">
      <w:pPr>
        <w:tabs>
          <w:tab w:val="left" w:pos="709"/>
        </w:tabs>
        <w:spacing w:line="276" w:lineRule="auto"/>
        <w:ind w:left="567" w:right="616"/>
        <w:jc w:val="both"/>
        <w:rPr>
          <w:rFonts w:ascii="Palatino Linotype" w:eastAsia="Palatino Linotype" w:hAnsi="Palatino Linotype" w:cs="Palatino Linotype"/>
          <w:i/>
          <w:sz w:val="22"/>
          <w:szCs w:val="22"/>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Artículo 47</w:t>
      </w:r>
      <w:r w:rsidRPr="00481C9B">
        <w:rPr>
          <w:rFonts w:ascii="Palatino Linotype" w:eastAsia="Palatino Linotype" w:hAnsi="Palatino Linotype" w:cs="Palatino Linotype"/>
          <w:i/>
          <w:sz w:val="22"/>
          <w:szCs w:val="22"/>
        </w:rPr>
        <w:t>. Además de las funciones que le confiere la Ley Orgánica al Órgano Interno de Control Municipal, el Contralor ejercerá de igual forma las atribuciones siguientes:</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III. Vigilar el cumplimiento del Código de Ética de los servidores públicos de la Administración Pública Municipal;</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IV. Informar a la Presidenta Municipal sobre los resultados de las acciones de control y evaluación de las dependencias de la Administración Pública Municipal. Así, como de los avances cualitativos y cuantitativos de las actividades de la Contraloría;</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lastRenderedPageBreak/>
        <w:t>…</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 xml:space="preserve">  </w:t>
      </w:r>
    </w:p>
    <w:p w:rsidR="003D2202" w:rsidRPr="00481C9B" w:rsidRDefault="0039799B">
      <w:pPr>
        <w:tabs>
          <w:tab w:val="left" w:pos="709"/>
        </w:tabs>
        <w:spacing w:line="276" w:lineRule="auto"/>
        <w:ind w:left="567" w:right="616"/>
        <w:jc w:val="center"/>
        <w:rPr>
          <w:rFonts w:ascii="Palatino Linotype" w:eastAsia="Palatino Linotype" w:hAnsi="Palatino Linotype" w:cs="Palatino Linotype"/>
          <w:b/>
          <w:i/>
          <w:sz w:val="22"/>
          <w:szCs w:val="22"/>
        </w:rPr>
      </w:pPr>
      <w:r w:rsidRPr="00481C9B">
        <w:rPr>
          <w:rFonts w:ascii="Palatino Linotype" w:eastAsia="Palatino Linotype" w:hAnsi="Palatino Linotype" w:cs="Palatino Linotype"/>
          <w:b/>
          <w:i/>
          <w:sz w:val="22"/>
          <w:szCs w:val="22"/>
        </w:rPr>
        <w:t>Reglamento de la Contraloría Municipal</w:t>
      </w:r>
    </w:p>
    <w:p w:rsidR="003D2202" w:rsidRPr="00481C9B" w:rsidRDefault="003D2202">
      <w:pPr>
        <w:tabs>
          <w:tab w:val="left" w:pos="709"/>
        </w:tabs>
        <w:spacing w:line="276" w:lineRule="auto"/>
        <w:ind w:left="567" w:right="616"/>
        <w:jc w:val="both"/>
        <w:rPr>
          <w:rFonts w:ascii="Palatino Linotype" w:eastAsia="Palatino Linotype" w:hAnsi="Palatino Linotype" w:cs="Palatino Linotype"/>
          <w:i/>
          <w:sz w:val="22"/>
          <w:szCs w:val="22"/>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Artículo 10.</w:t>
      </w:r>
      <w:r w:rsidRPr="00481C9B">
        <w:rPr>
          <w:rFonts w:ascii="Palatino Linotype" w:eastAsia="Palatino Linotype" w:hAnsi="Palatino Linotype" w:cs="Palatino Linotype"/>
          <w:i/>
          <w:sz w:val="22"/>
          <w:szCs w:val="22"/>
        </w:rPr>
        <w:t xml:space="preserve"> Corresponde a la Contraloría el despacho de los siguientes asuntos, además de los que le confiere el Artículo 112 de la Ley Orgánica:</w:t>
      </w:r>
    </w:p>
    <w:p w:rsidR="003D2202" w:rsidRPr="00481C9B" w:rsidRDefault="003D2202">
      <w:pPr>
        <w:tabs>
          <w:tab w:val="left" w:pos="709"/>
        </w:tabs>
        <w:spacing w:line="276" w:lineRule="auto"/>
        <w:ind w:left="567" w:right="616"/>
        <w:jc w:val="both"/>
        <w:rPr>
          <w:rFonts w:ascii="Palatino Linotype" w:eastAsia="Palatino Linotype" w:hAnsi="Palatino Linotype" w:cs="Palatino Linotype"/>
          <w:i/>
          <w:sz w:val="22"/>
          <w:szCs w:val="22"/>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I. Proponer al Ayuntamiento, la designación de auditores externos para la realización de auditorías en cualquiera de sus modalidades;</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III. Vigilar que los ingresos municipales se integren a la Tesorería Municipal, conforme a los procedimientos contables y disposiciones legales aplicables;</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IV. Verificar, supervisar y revisar el cumplimiento de obligaciones de los servidores públicos;</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V. Programar de manera aleatoria inspecciones y supervisiones a las diferentes Unidades Administrativas que conforman el Ayuntamiento para verificar parámetros de puntualidad, eficacia, calidad y eficiencia en el desempeño de los que integran y en caso de incumplimiento informar a la Autoridad Investigadora correspondiente;</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IX. Vigilar que los recursos Federales y Estatales asignados al Ayuntamiento se apliquen en los términos estipulados en las leyes, reglamentos y/o convenios respectivos; X. Vigilar los procedimientos de recisión administrativa de convenios y contratos en materia de adquisiciones, arrendamientos, prestación de servicios, enajenaciones, obra pública y servicios relacionados con la misma en términos de la normatividad aplicable;</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D2202">
      <w:pPr>
        <w:tabs>
          <w:tab w:val="left" w:pos="709"/>
        </w:tabs>
        <w:spacing w:line="276" w:lineRule="auto"/>
        <w:ind w:left="567" w:right="616"/>
        <w:jc w:val="both"/>
        <w:rPr>
          <w:rFonts w:ascii="Palatino Linotype" w:eastAsia="Palatino Linotype" w:hAnsi="Palatino Linotype" w:cs="Palatino Linotype"/>
          <w:i/>
          <w:sz w:val="22"/>
          <w:szCs w:val="22"/>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Artículo 11.</w:t>
      </w:r>
      <w:r w:rsidRPr="00481C9B">
        <w:rPr>
          <w:rFonts w:ascii="Palatino Linotype" w:eastAsia="Palatino Linotype" w:hAnsi="Palatino Linotype" w:cs="Palatino Linotype"/>
          <w:i/>
          <w:sz w:val="22"/>
          <w:szCs w:val="22"/>
        </w:rPr>
        <w:t xml:space="preserve"> EL Contralor Interno Municipal tendrá las siguientes atribuciones:</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III. La realización de auditorías, inspecciones y otras intervenciones a las dependencias de la administración municipal y autoridades auxiliares;</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IV. Solicitar y proponer al Ayuntamiento servicios de consultoría de auditoría externa;</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VII. Coordinar la realización de evaluaciones e informar del resultado de las mismas a la Presidente Municipal;</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lastRenderedPageBreak/>
        <w:t xml:space="preserve">De los preceptos normativos descritos anteriormente, se colige que, en efecto, la Contraloría Interna Municipal, cuenta con facultades y atribuciones para llevar a cabo auditorias en la administración pública del municipio, así como en sus autoridades auxiliares, no obstante, no se logra apreciar información relacionada con algún sistema de auditoría, seguimiento y control financiero, ni tampoco el Sujeto Obligado tuvo a bien pronunciarse al respecto, por lo que, resulta indispensable traer a colación lo que establece el Criterio orientador 002/2017 del INAI, y la tesis 1a. CCCCXXVII/2014 (10a.) emitida por la Primera Sala de la Suprema Corte de Justicia de la Nación, cuyo tenor es el siguiente: </w:t>
      </w:r>
    </w:p>
    <w:p w:rsidR="003D2202" w:rsidRPr="00481C9B" w:rsidRDefault="003D2202">
      <w:pPr>
        <w:tabs>
          <w:tab w:val="left" w:pos="709"/>
        </w:tabs>
        <w:spacing w:line="360" w:lineRule="auto"/>
        <w:ind w:right="49"/>
        <w:jc w:val="both"/>
        <w:rPr>
          <w:rFonts w:ascii="Palatino Linotype" w:eastAsia="Palatino Linotype" w:hAnsi="Palatino Linotype" w:cs="Palatino Linotype"/>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r w:rsidRPr="00481C9B">
        <w:rPr>
          <w:rFonts w:ascii="Palatino Linotype" w:eastAsia="Palatino Linotype" w:hAnsi="Palatino Linotype" w:cs="Palatino Linotype"/>
          <w:b/>
          <w:i/>
          <w:sz w:val="22"/>
          <w:szCs w:val="22"/>
        </w:rPr>
        <w:t>Congruencia y exhaustividad. Sus alcances para garantizar el derecho de acceso a la información.</w:t>
      </w:r>
      <w:r w:rsidRPr="00481C9B">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 </w:t>
      </w: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Del criterio citado se desprende que las respuestas de los sujetos obligados deberán contar con dos elementos; la congruencia y la exhaustividad. Entendiendo el primero como una relación entre el requerimiento formulado y la respuesta propiciada y el segundo como atender de manera puntual a cada uno de los pronunciamientos en la solicitud. </w:t>
      </w: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lastRenderedPageBreak/>
        <w:t xml:space="preserve">Es así que, se entiende que no es suficiente con que exista una respuesta por parte del sujeto obligado para dar por colmado el derecho de acceso a la información, sino que esta debe atender a lo solicitado de forma clara y específica, situación que no ocurrió, ya que el Sujeto Obligado no se pronunció claramente sobre la existencia de un sistema de auditoría, seguimiento y control financiero. </w:t>
      </w:r>
    </w:p>
    <w:p w:rsidR="003D2202" w:rsidRPr="00481C9B" w:rsidRDefault="003D2202">
      <w:pPr>
        <w:tabs>
          <w:tab w:val="left" w:pos="709"/>
        </w:tabs>
        <w:spacing w:line="360" w:lineRule="auto"/>
        <w:ind w:right="49"/>
        <w:jc w:val="both"/>
        <w:rPr>
          <w:rFonts w:ascii="Palatino Linotype" w:eastAsia="Palatino Linotype" w:hAnsi="Palatino Linotype" w:cs="Palatino Linotype"/>
        </w:rPr>
      </w:pP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Del mismo modo, es de mencionar que de conformidad con el Criterio 16/17 emitido por el Instituto Nacional de Transparencia, Acceso a la Información y Protección de Datos Personales, los sujetos obligados deberán dar a las solicitudes una expresión documental, tal como se advierte a continuación:</w:t>
      </w:r>
    </w:p>
    <w:p w:rsidR="003D2202" w:rsidRPr="00481C9B" w:rsidRDefault="003D2202">
      <w:pPr>
        <w:tabs>
          <w:tab w:val="left" w:pos="709"/>
        </w:tabs>
        <w:spacing w:line="360" w:lineRule="auto"/>
        <w:ind w:right="49"/>
        <w:jc w:val="both"/>
        <w:rPr>
          <w:rFonts w:ascii="Palatino Linotype" w:eastAsia="Palatino Linotype" w:hAnsi="Palatino Linotype" w:cs="Palatino Linotype"/>
        </w:rPr>
      </w:pPr>
    </w:p>
    <w:p w:rsidR="003D2202" w:rsidRPr="00481C9B" w:rsidRDefault="0039799B">
      <w:pPr>
        <w:pBdr>
          <w:top w:val="nil"/>
          <w:left w:val="nil"/>
          <w:bottom w:val="nil"/>
          <w:right w:val="nil"/>
          <w:between w:val="nil"/>
        </w:pBdr>
        <w:spacing w:after="120" w:line="276" w:lineRule="auto"/>
        <w:ind w:left="851" w:right="902"/>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sz w:val="22"/>
          <w:szCs w:val="22"/>
        </w:rPr>
        <w:t>“</w:t>
      </w:r>
      <w:r w:rsidRPr="00481C9B">
        <w:rPr>
          <w:rFonts w:ascii="Palatino Linotype" w:eastAsia="Palatino Linotype" w:hAnsi="Palatino Linotype" w:cs="Palatino Linotype"/>
          <w:b/>
          <w:i/>
          <w:sz w:val="22"/>
          <w:szCs w:val="22"/>
        </w:rPr>
        <w:t xml:space="preserve">Expresión documental. </w:t>
      </w:r>
      <w:r w:rsidRPr="00481C9B">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3D2202" w:rsidRPr="00481C9B" w:rsidRDefault="003D2202">
      <w:pPr>
        <w:pBdr>
          <w:top w:val="nil"/>
          <w:left w:val="nil"/>
          <w:bottom w:val="nil"/>
          <w:right w:val="nil"/>
          <w:between w:val="nil"/>
        </w:pBdr>
        <w:spacing w:after="120" w:line="276" w:lineRule="auto"/>
        <w:ind w:left="851" w:right="902"/>
        <w:jc w:val="both"/>
        <w:rPr>
          <w:rFonts w:ascii="Palatino Linotype" w:eastAsia="Palatino Linotype" w:hAnsi="Palatino Linotype" w:cs="Palatino Linotype"/>
        </w:rPr>
      </w:pPr>
    </w:p>
    <w:p w:rsidR="003D2202" w:rsidRPr="00481C9B" w:rsidRDefault="0039799B">
      <w:pPr>
        <w:pBdr>
          <w:top w:val="nil"/>
          <w:left w:val="nil"/>
          <w:bottom w:val="nil"/>
          <w:right w:val="nil"/>
          <w:between w:val="nil"/>
        </w:pBd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Asimismo, es pertinente referir que,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rsidR="003D2202" w:rsidRPr="00481C9B" w:rsidRDefault="003D2202">
      <w:pPr>
        <w:tabs>
          <w:tab w:val="left" w:pos="709"/>
        </w:tabs>
        <w:spacing w:line="360" w:lineRule="auto"/>
        <w:ind w:right="49"/>
        <w:jc w:val="both"/>
        <w:rPr>
          <w:rFonts w:ascii="Palatino Linotype" w:eastAsia="Palatino Linotype" w:hAnsi="Palatino Linotype" w:cs="Palatino Linotype"/>
        </w:rPr>
      </w:pPr>
    </w:p>
    <w:p w:rsidR="003D2202" w:rsidRPr="00481C9B" w:rsidRDefault="0039799B">
      <w:pPr>
        <w:pBdr>
          <w:top w:val="nil"/>
          <w:left w:val="nil"/>
          <w:bottom w:val="nil"/>
          <w:right w:val="nil"/>
          <w:between w:val="nil"/>
        </w:pBdr>
        <w:spacing w:line="276" w:lineRule="auto"/>
        <w:ind w:left="567" w:right="630"/>
        <w:jc w:val="both"/>
      </w:pPr>
      <w:r w:rsidRPr="00481C9B">
        <w:rPr>
          <w:rFonts w:ascii="Palatino Linotype" w:eastAsia="Palatino Linotype" w:hAnsi="Palatino Linotype" w:cs="Palatino Linotype"/>
          <w:b/>
          <w:i/>
          <w:sz w:val="22"/>
          <w:szCs w:val="22"/>
        </w:rPr>
        <w:t>Artículo 18.</w:t>
      </w:r>
      <w:r w:rsidRPr="00481C9B">
        <w:rPr>
          <w:rFonts w:ascii="Palatino Linotype" w:eastAsia="Palatino Linotype" w:hAnsi="Palatino Linotype" w:cs="Palatino Linotype"/>
          <w:i/>
          <w:sz w:val="22"/>
          <w:szCs w:val="22"/>
        </w:rPr>
        <w:t xml:space="preserve"> Los sujetos obligados deberán documentar todo acto que derive del ejercicio de sus facultades, competencias o funciones, considerando desde su origen la eventual publicidad y reutilización de la información que generen.</w:t>
      </w: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lastRenderedPageBreak/>
        <w:t xml:space="preserve">Por lo anterior, resulta dable ordenar al Ayuntamiento de Texcoco, tenga a bien proporcionar los documentos que den cuenta de la existencia del sistema de auditorías, seguimiento y control financiero utilizado por sus unidades administrativas. </w:t>
      </w:r>
    </w:p>
    <w:p w:rsidR="003D2202" w:rsidRPr="00481C9B" w:rsidRDefault="003D2202">
      <w:pPr>
        <w:tabs>
          <w:tab w:val="left" w:pos="709"/>
        </w:tabs>
        <w:spacing w:line="360" w:lineRule="auto"/>
        <w:ind w:right="49"/>
        <w:jc w:val="both"/>
        <w:rPr>
          <w:rFonts w:ascii="Palatino Linotype" w:eastAsia="Palatino Linotype" w:hAnsi="Palatino Linotype" w:cs="Palatino Linotype"/>
        </w:rPr>
      </w:pP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Derivado del presente estudio, este Organismo Garante estima que los agravios hechos valer por el ahora Recurrente, devienen </w:t>
      </w:r>
      <w:r w:rsidRPr="00481C9B">
        <w:rPr>
          <w:rFonts w:ascii="Palatino Linotype" w:eastAsia="Palatino Linotype" w:hAnsi="Palatino Linotype" w:cs="Palatino Linotype"/>
          <w:b/>
        </w:rPr>
        <w:t xml:space="preserve">FUNDADOS </w:t>
      </w:r>
      <w:r w:rsidRPr="00481C9B">
        <w:rPr>
          <w:rFonts w:ascii="Palatino Linotype" w:eastAsia="Palatino Linotype" w:hAnsi="Palatino Linotype" w:cs="Palatino Linotype"/>
        </w:rPr>
        <w:t xml:space="preserve">y determina </w:t>
      </w:r>
      <w:r w:rsidRPr="00481C9B">
        <w:rPr>
          <w:rFonts w:ascii="Palatino Linotype" w:eastAsia="Palatino Linotype" w:hAnsi="Palatino Linotype" w:cs="Palatino Linotype"/>
          <w:b/>
        </w:rPr>
        <w:t xml:space="preserve">ORDENAR </w:t>
      </w:r>
      <w:r w:rsidRPr="00481C9B">
        <w:rPr>
          <w:rFonts w:ascii="Palatino Linotype" w:eastAsia="Palatino Linotype" w:hAnsi="Palatino Linotype" w:cs="Palatino Linotype"/>
        </w:rPr>
        <w:t>la entrega, previa búsqueda exhaustiva y razonable, de ser el caso en versión pública, vía Sistema de Acceso a la Información Mexiquense, de la siguiente información:</w:t>
      </w:r>
    </w:p>
    <w:p w:rsidR="003D2202" w:rsidRPr="00481C9B" w:rsidRDefault="003D2202">
      <w:pPr>
        <w:tabs>
          <w:tab w:val="left" w:pos="709"/>
        </w:tabs>
        <w:spacing w:line="360" w:lineRule="auto"/>
        <w:ind w:right="49"/>
        <w:jc w:val="both"/>
        <w:rPr>
          <w:rFonts w:ascii="Palatino Linotype" w:eastAsia="Palatino Linotype" w:hAnsi="Palatino Linotype" w:cs="Palatino Linotype"/>
        </w:rPr>
      </w:pPr>
    </w:p>
    <w:p w:rsidR="003D2202" w:rsidRPr="00481C9B" w:rsidRDefault="0039799B">
      <w:pPr>
        <w:numPr>
          <w:ilvl w:val="0"/>
          <w:numId w:val="11"/>
        </w:numPr>
        <w:pBdr>
          <w:top w:val="nil"/>
          <w:left w:val="nil"/>
          <w:bottom w:val="nil"/>
          <w:right w:val="nil"/>
          <w:between w:val="nil"/>
        </w:pBd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Facturas enviadas mediante informe justificado, en versión íntegra. </w:t>
      </w:r>
    </w:p>
    <w:p w:rsidR="003D2202" w:rsidRPr="00481C9B" w:rsidRDefault="0039799B">
      <w:pPr>
        <w:numPr>
          <w:ilvl w:val="0"/>
          <w:numId w:val="11"/>
        </w:numPr>
        <w:pBdr>
          <w:top w:val="nil"/>
          <w:left w:val="nil"/>
          <w:bottom w:val="nil"/>
          <w:right w:val="nil"/>
          <w:between w:val="nil"/>
        </w:pBd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Documento donde conste el concepto por el cual se pagará a la empresa Impresos Puntual S.A. de RL de C.V. </w:t>
      </w:r>
    </w:p>
    <w:p w:rsidR="003D2202" w:rsidRPr="00481C9B" w:rsidRDefault="0039799B">
      <w:pPr>
        <w:numPr>
          <w:ilvl w:val="0"/>
          <w:numId w:val="11"/>
        </w:numPr>
        <w:pBdr>
          <w:top w:val="nil"/>
          <w:left w:val="nil"/>
          <w:bottom w:val="nil"/>
          <w:right w:val="nil"/>
          <w:between w:val="nil"/>
        </w:pBd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Del uno de enero al veintinueve de marzo de dos mil veintidós, los documentos que integren los expedientes de los procedimientos de: </w:t>
      </w:r>
    </w:p>
    <w:p w:rsidR="003D2202" w:rsidRPr="00481C9B" w:rsidRDefault="0039799B">
      <w:pPr>
        <w:numPr>
          <w:ilvl w:val="0"/>
          <w:numId w:val="3"/>
        </w:numPr>
        <w:pBdr>
          <w:top w:val="nil"/>
          <w:left w:val="nil"/>
          <w:bottom w:val="nil"/>
          <w:right w:val="nil"/>
          <w:between w:val="nil"/>
        </w:pBd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Adjudicación directa e,</w:t>
      </w:r>
    </w:p>
    <w:p w:rsidR="003D2202" w:rsidRPr="00481C9B" w:rsidRDefault="0039799B">
      <w:pPr>
        <w:numPr>
          <w:ilvl w:val="0"/>
          <w:numId w:val="3"/>
        </w:numPr>
        <w:pBdr>
          <w:top w:val="nil"/>
          <w:left w:val="nil"/>
          <w:bottom w:val="nil"/>
          <w:right w:val="nil"/>
          <w:between w:val="nil"/>
        </w:pBd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Invitación de cuando menos tres personas y;</w:t>
      </w:r>
    </w:p>
    <w:p w:rsidR="003D2202" w:rsidRPr="00481C9B" w:rsidRDefault="0039799B">
      <w:pPr>
        <w:numPr>
          <w:ilvl w:val="0"/>
          <w:numId w:val="11"/>
        </w:numPr>
        <w:pBdr>
          <w:top w:val="nil"/>
          <w:left w:val="nil"/>
          <w:bottom w:val="nil"/>
          <w:right w:val="nil"/>
          <w:between w:val="nil"/>
        </w:pBd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Documento donde conste la existencia y nombre del sistema de auditoría, seguimiento y control financiero que realiza el Sujeto Obligado. </w:t>
      </w: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 </w:t>
      </w: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De ser procedente, el Sujeto Obligado debe emitir el Acuerdo del Comité de Transparencia de conformidad con la Ley de Transparencia y Acceso a la Información Pública del Estado de México y Municipios, en el que funde y motive </w:t>
      </w:r>
      <w:r w:rsidRPr="00481C9B">
        <w:rPr>
          <w:rFonts w:ascii="Palatino Linotype" w:eastAsia="Palatino Linotype" w:hAnsi="Palatino Linotype" w:cs="Palatino Linotype"/>
        </w:rPr>
        <w:lastRenderedPageBreak/>
        <w:t>las razones sobre los datos que se supriman, eliminen o testen de los soportes documentales objeto de las versiones públicas que se formulen y se pongan a disposición de la parte recurrente, mismo que igualmente hará de su conocimiento.</w:t>
      </w: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Para el caso de que el Sujeto Obligado no cuente con la información referida en el numeral 4), por no contar con un sistema de auditoría, seguimiento y control financiero, así como con expedientes relacionados con procedimientos de cuando  menos tres personas, por no haber realizado alguno bajo esta modalidad, deberá hacerlo del conocimiento del Particular de manera clara y precisa, en términos del artículo 19, fracción segunda de la Ley de Transparencia y Acceso a la Información Pública del Estado de México y Municipios. </w:t>
      </w:r>
    </w:p>
    <w:p w:rsidR="003D2202" w:rsidRPr="00481C9B" w:rsidRDefault="003D2202">
      <w:pPr>
        <w:tabs>
          <w:tab w:val="left" w:pos="709"/>
        </w:tabs>
        <w:spacing w:line="360" w:lineRule="auto"/>
        <w:ind w:right="49"/>
        <w:jc w:val="both"/>
        <w:rPr>
          <w:rFonts w:ascii="Palatino Linotype" w:eastAsia="Palatino Linotype" w:hAnsi="Palatino Linotype" w:cs="Palatino Linotype"/>
          <w:sz w:val="22"/>
          <w:szCs w:val="22"/>
        </w:rPr>
      </w:pPr>
    </w:p>
    <w:p w:rsidR="003D2202" w:rsidRPr="00481C9B" w:rsidRDefault="0039799B">
      <w:pPr>
        <w:numPr>
          <w:ilvl w:val="0"/>
          <w:numId w:val="5"/>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sz w:val="22"/>
          <w:szCs w:val="22"/>
        </w:rPr>
      </w:pPr>
      <w:r w:rsidRPr="00481C9B">
        <w:rPr>
          <w:rFonts w:ascii="Palatino Linotype" w:eastAsia="Palatino Linotype" w:hAnsi="Palatino Linotype" w:cs="Palatino Linotype"/>
          <w:b/>
          <w:sz w:val="22"/>
          <w:szCs w:val="22"/>
        </w:rPr>
        <w:t>Vista al Órgano Interno de Control.</w:t>
      </w:r>
    </w:p>
    <w:p w:rsidR="003D2202" w:rsidRPr="00481C9B" w:rsidRDefault="003D2202">
      <w:pPr>
        <w:tabs>
          <w:tab w:val="left" w:pos="709"/>
        </w:tabs>
        <w:spacing w:line="360" w:lineRule="auto"/>
        <w:jc w:val="both"/>
        <w:rPr>
          <w:rFonts w:ascii="Palatino Linotype" w:eastAsia="Palatino Linotype" w:hAnsi="Palatino Linotype" w:cs="Palatino Linotype"/>
          <w:b/>
        </w:rPr>
      </w:pPr>
    </w:p>
    <w:p w:rsidR="003D2202" w:rsidRPr="00481C9B" w:rsidRDefault="0039799B">
      <w:pPr>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Por último, toda vez que el Ayuntamiento de Texcoco omitió dar respuesta en el plazo señalado en el artículo 163 de la Ley de Transparencia y Acceso a la Información del Estado de México y Municipios y, de conformidad con lo que establecen los artículos 36, fracción X, 222 y 223 del ordenamiento jurídico en cita, los cuales establecen que: </w:t>
      </w:r>
    </w:p>
    <w:p w:rsidR="003D2202" w:rsidRPr="00481C9B" w:rsidRDefault="003D2202">
      <w:pPr>
        <w:tabs>
          <w:tab w:val="left" w:pos="709"/>
        </w:tabs>
        <w:spacing w:line="360" w:lineRule="auto"/>
        <w:jc w:val="both"/>
        <w:rPr>
          <w:rFonts w:ascii="Palatino Linotype" w:eastAsia="Palatino Linotype" w:hAnsi="Palatino Linotype" w:cs="Palatino Linotype"/>
          <w:sz w:val="22"/>
          <w:szCs w:val="22"/>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Artículo 36.</w:t>
      </w:r>
      <w:r w:rsidRPr="00481C9B">
        <w:rPr>
          <w:rFonts w:ascii="Palatino Linotype" w:eastAsia="Palatino Linotype" w:hAnsi="Palatino Linotype" w:cs="Palatino Linotype"/>
          <w:i/>
          <w:sz w:val="22"/>
          <w:szCs w:val="22"/>
        </w:rPr>
        <w:t xml:space="preserve"> El Instituto tendrá, en el ámbito de su competencia, las atribuciones siguientes: … X. Hacer del conocimiento del órgano interno de control o equivalente de cada sujeto obligado las infracciones a esta Ley… </w:t>
      </w:r>
    </w:p>
    <w:p w:rsidR="003D2202" w:rsidRPr="00481C9B" w:rsidRDefault="003D2202">
      <w:pPr>
        <w:tabs>
          <w:tab w:val="left" w:pos="709"/>
        </w:tabs>
        <w:spacing w:line="276" w:lineRule="auto"/>
        <w:ind w:left="567" w:right="616"/>
        <w:jc w:val="both"/>
        <w:rPr>
          <w:rFonts w:ascii="Palatino Linotype" w:eastAsia="Palatino Linotype" w:hAnsi="Palatino Linotype" w:cs="Palatino Linotype"/>
          <w:i/>
          <w:sz w:val="22"/>
          <w:szCs w:val="22"/>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Artículo 222.</w:t>
      </w:r>
      <w:r w:rsidRPr="00481C9B">
        <w:rPr>
          <w:rFonts w:ascii="Palatino Linotype" w:eastAsia="Palatino Linotype" w:hAnsi="Palatino Linotype" w:cs="Palatino Linotype"/>
          <w:i/>
          <w:sz w:val="22"/>
          <w:szCs w:val="22"/>
        </w:rPr>
        <w:t xml:space="preserve"> Son causas de responsabilidad administrativa de los servidores públicos de los sujetos obligados, por incumplimiento de las obligaciones establecidas en la materia de la presente Ley, las siguientes: … </w:t>
      </w: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lastRenderedPageBreak/>
        <w:t xml:space="preserve">II. La falta de respuesta a las solicitudes de información en los plazos señalados en la normatividad aplicable; … </w:t>
      </w:r>
    </w:p>
    <w:p w:rsidR="003D2202" w:rsidRPr="00481C9B" w:rsidRDefault="003D2202">
      <w:pPr>
        <w:tabs>
          <w:tab w:val="left" w:pos="709"/>
        </w:tabs>
        <w:spacing w:line="276" w:lineRule="auto"/>
        <w:ind w:left="567" w:right="616"/>
        <w:jc w:val="both"/>
        <w:rPr>
          <w:rFonts w:ascii="Palatino Linotype" w:eastAsia="Palatino Linotype" w:hAnsi="Palatino Linotype" w:cs="Palatino Linotype"/>
          <w:i/>
          <w:sz w:val="22"/>
          <w:szCs w:val="22"/>
        </w:rPr>
      </w:pPr>
    </w:p>
    <w:p w:rsidR="003D2202" w:rsidRPr="00481C9B" w:rsidRDefault="0039799B">
      <w:pPr>
        <w:tabs>
          <w:tab w:val="left" w:pos="709"/>
        </w:tabs>
        <w:spacing w:line="276" w:lineRule="auto"/>
        <w:ind w:left="567" w:right="616"/>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Artículo 223.</w:t>
      </w:r>
      <w:r w:rsidRPr="00481C9B">
        <w:rPr>
          <w:rFonts w:ascii="Palatino Linotype" w:eastAsia="Palatino Linotype" w:hAnsi="Palatino Linotype" w:cs="Palatino Linotype"/>
          <w:i/>
          <w:sz w:val="22"/>
          <w:szCs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 …</w:t>
      </w:r>
    </w:p>
    <w:p w:rsidR="003D2202" w:rsidRPr="00481C9B" w:rsidRDefault="003D2202">
      <w:pPr>
        <w:tabs>
          <w:tab w:val="left" w:pos="709"/>
        </w:tabs>
        <w:spacing w:line="360" w:lineRule="auto"/>
        <w:jc w:val="both"/>
        <w:rPr>
          <w:rFonts w:ascii="Palatino Linotype" w:eastAsia="Palatino Linotype" w:hAnsi="Palatino Linotype" w:cs="Palatino Linotype"/>
          <w:b/>
        </w:rPr>
      </w:pPr>
    </w:p>
    <w:p w:rsidR="003D2202" w:rsidRPr="00481C9B" w:rsidRDefault="0039799B">
      <w:pPr>
        <w:tabs>
          <w:tab w:val="left" w:pos="709"/>
        </w:tabs>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Este Instituto determina que, si bien, la presente resolución no tiene por objeto investigar y determinar posibles violaciones al derecho de acceso a la información, toda vez que se advirtió la omisión por parte del Sujeto Obligado para dar atención a la solicitud de información en el plazo establecido por la Ley en la materia, se considera procedente dar vista al Contralor Interno y Titular del Órgano de Control y Vigilancia de este Instituto. </w:t>
      </w:r>
    </w:p>
    <w:p w:rsidR="003D2202" w:rsidRPr="00481C9B" w:rsidRDefault="003D2202">
      <w:pPr>
        <w:tabs>
          <w:tab w:val="left" w:pos="709"/>
        </w:tabs>
        <w:spacing w:line="360" w:lineRule="auto"/>
        <w:jc w:val="both"/>
        <w:rPr>
          <w:rFonts w:ascii="Palatino Linotype" w:eastAsia="Palatino Linotype" w:hAnsi="Palatino Linotype" w:cs="Palatino Linotype"/>
        </w:rPr>
      </w:pPr>
    </w:p>
    <w:p w:rsidR="003D2202" w:rsidRPr="00481C9B" w:rsidRDefault="0039799B">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b/>
        </w:rPr>
        <w:t>Quinto. De la versión pública. </w:t>
      </w:r>
      <w:r w:rsidRPr="00481C9B">
        <w:rPr>
          <w:rFonts w:ascii="Palatino Linotype" w:eastAsia="Palatino Linotype" w:hAnsi="Palatino Linotype" w:cs="Palatino Linotype"/>
        </w:rPr>
        <w:t>En atención a las documentales que se determinan ordenar, existe la posibilidad de que en estos obre información que puede ser considerada confidencial o reservada, cuyo acceso debe ser restringido al momento de elaborar la versión pública correspondiente, en atención a ello, es conveniente referir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3D2202" w:rsidRPr="00481C9B" w:rsidRDefault="003D2202">
      <w:pPr>
        <w:shd w:val="clear" w:color="auto" w:fill="FFFFFF"/>
        <w:spacing w:line="360" w:lineRule="auto"/>
        <w:ind w:right="30"/>
        <w:jc w:val="both"/>
        <w:rPr>
          <w:rFonts w:ascii="Palatino Linotype" w:eastAsia="Palatino Linotype" w:hAnsi="Palatino Linotype" w:cs="Palatino Linotype"/>
        </w:rPr>
      </w:pPr>
    </w:p>
    <w:p w:rsidR="003D2202" w:rsidRPr="00481C9B" w:rsidRDefault="0039799B">
      <w:pPr>
        <w:shd w:val="clear" w:color="auto" w:fill="FFFFFF"/>
        <w:spacing w:line="360" w:lineRule="auto"/>
        <w:ind w:right="30"/>
        <w:jc w:val="both"/>
        <w:rPr>
          <w:rFonts w:ascii="Palatino Linotype" w:eastAsia="Palatino Linotype" w:hAnsi="Palatino Linotype" w:cs="Palatino Linotype"/>
        </w:rPr>
      </w:pPr>
      <w:r w:rsidRPr="00481C9B">
        <w:rPr>
          <w:rFonts w:ascii="Palatino Linotype" w:eastAsia="Palatino Linotype" w:hAnsi="Palatino Linotype" w:cs="Palatino Linotype"/>
        </w:rPr>
        <w:lastRenderedPageBreak/>
        <w:t>De este modo, en armonía entre los principios constitucionales de máxima publicidad y de protección de datos personales, la Ley de Transparencia y Acceso a la Información Pública, permite la elaboración de versiones públicas en las que se suprima aquella información relacionada con la vida privada de las personas, tal como se prevé a continuación:</w:t>
      </w:r>
    </w:p>
    <w:p w:rsidR="003D2202" w:rsidRPr="00481C9B" w:rsidRDefault="003D2202">
      <w:pPr>
        <w:shd w:val="clear" w:color="auto" w:fill="FFFFFF"/>
        <w:spacing w:line="276" w:lineRule="auto"/>
        <w:ind w:left="567" w:right="567"/>
        <w:jc w:val="both"/>
        <w:rPr>
          <w:rFonts w:ascii="Palatino Linotype" w:eastAsia="Palatino Linotype" w:hAnsi="Palatino Linotype" w:cs="Palatino Linotype"/>
        </w:rPr>
      </w:pPr>
    </w:p>
    <w:p w:rsidR="003D2202" w:rsidRPr="00481C9B" w:rsidRDefault="0039799B">
      <w:pPr>
        <w:shd w:val="clear" w:color="auto" w:fill="FFFFFF"/>
        <w:spacing w:line="276" w:lineRule="auto"/>
        <w:ind w:left="567" w:right="567"/>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 Artículo 143.</w:t>
      </w:r>
      <w:r w:rsidRPr="00481C9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3D2202" w:rsidRPr="00481C9B" w:rsidRDefault="0039799B">
      <w:pPr>
        <w:numPr>
          <w:ilvl w:val="0"/>
          <w:numId w:val="1"/>
        </w:numPr>
        <w:pBdr>
          <w:top w:val="nil"/>
          <w:left w:val="nil"/>
          <w:bottom w:val="nil"/>
          <w:right w:val="nil"/>
          <w:between w:val="nil"/>
        </w:pBdr>
        <w:shd w:val="clear" w:color="auto" w:fill="FFFFFF"/>
        <w:spacing w:line="276" w:lineRule="auto"/>
        <w:ind w:left="567" w:right="567" w:firstLine="0"/>
        <w:jc w:val="both"/>
        <w:rPr>
          <w:rFonts w:ascii="Palatino Linotype" w:eastAsia="Palatino Linotype" w:hAnsi="Palatino Linotype" w:cs="Palatino Linotype"/>
          <w:i/>
        </w:rPr>
      </w:pPr>
      <w:r w:rsidRPr="00481C9B">
        <w:rPr>
          <w:rFonts w:ascii="Palatino Linotype" w:eastAsia="Palatino Linotype" w:hAnsi="Palatino Linotype" w:cs="Palatino Linotype"/>
          <w:i/>
        </w:rPr>
        <w:t>Se refiera a la información privada y los datos personales concernientes a una persona física o jurídico colectiva identificada o identificable…</w:t>
      </w:r>
    </w:p>
    <w:p w:rsidR="003D2202" w:rsidRPr="00481C9B" w:rsidRDefault="003D2202">
      <w:pPr>
        <w:pBdr>
          <w:top w:val="nil"/>
          <w:left w:val="nil"/>
          <w:bottom w:val="nil"/>
          <w:right w:val="nil"/>
          <w:between w:val="nil"/>
        </w:pBdr>
        <w:shd w:val="clear" w:color="auto" w:fill="FFFFFF"/>
        <w:spacing w:line="276" w:lineRule="auto"/>
        <w:ind w:left="567" w:right="567"/>
        <w:jc w:val="both"/>
        <w:rPr>
          <w:rFonts w:ascii="Palatino Linotype" w:eastAsia="Palatino Linotype" w:hAnsi="Palatino Linotype" w:cs="Palatino Linotype"/>
          <w:i/>
        </w:rPr>
      </w:pPr>
    </w:p>
    <w:p w:rsidR="003D2202" w:rsidRPr="00481C9B" w:rsidRDefault="0039799B">
      <w:pPr>
        <w:shd w:val="clear" w:color="auto" w:fill="FFFFFF"/>
        <w:spacing w:line="360" w:lineRule="auto"/>
        <w:ind w:right="30"/>
        <w:jc w:val="both"/>
        <w:rPr>
          <w:rFonts w:ascii="Palatino Linotype" w:eastAsia="Palatino Linotype" w:hAnsi="Palatino Linotype" w:cs="Palatino Linotype"/>
        </w:rPr>
      </w:pPr>
      <w:r w:rsidRPr="00481C9B">
        <w:rPr>
          <w:rFonts w:ascii="Palatino Linotype" w:eastAsia="Palatino Linotype" w:hAnsi="Palatino Linotype" w:cs="Palatino Linotype"/>
        </w:rPr>
        <w:t>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rsidR="003D2202" w:rsidRPr="00481C9B" w:rsidRDefault="0039799B">
      <w:pPr>
        <w:shd w:val="clear" w:color="auto" w:fill="FFFFFF"/>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Ahora bien, es de señalar que la clasificación de la información no opera con la simple supresión de datos que se haga en los documentos de que se trate, sino que deberá seguirse el proceso que disponen los artículos 49 fracción VIII, 53, fracción X y 59, fracción V, de la Ley en consulta, que refieren lo siguiente:</w:t>
      </w:r>
    </w:p>
    <w:p w:rsidR="003D2202" w:rsidRPr="00481C9B" w:rsidRDefault="003D2202">
      <w:pPr>
        <w:shd w:val="clear" w:color="auto" w:fill="FFFFFF"/>
        <w:spacing w:line="360" w:lineRule="auto"/>
        <w:jc w:val="both"/>
        <w:rPr>
          <w:rFonts w:ascii="Palatino Linotype" w:eastAsia="Palatino Linotype" w:hAnsi="Palatino Linotype" w:cs="Palatino Linotype"/>
        </w:rPr>
      </w:pPr>
    </w:p>
    <w:p w:rsidR="003D2202" w:rsidRPr="00481C9B" w:rsidRDefault="0039799B">
      <w:pPr>
        <w:shd w:val="clear" w:color="auto" w:fill="FFFFFF"/>
        <w:spacing w:line="276" w:lineRule="auto"/>
        <w:ind w:left="630" w:right="850" w:hanging="62"/>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Artículo 49. </w:t>
      </w:r>
      <w:r w:rsidRPr="00481C9B">
        <w:rPr>
          <w:rFonts w:ascii="Palatino Linotype" w:eastAsia="Palatino Linotype" w:hAnsi="Palatino Linotype" w:cs="Palatino Linotype"/>
          <w:i/>
          <w:sz w:val="22"/>
          <w:szCs w:val="22"/>
        </w:rPr>
        <w:t>Los Comités de Transparencia tendrán las siguientes atribuciones:</w:t>
      </w:r>
    </w:p>
    <w:p w:rsidR="003D2202" w:rsidRPr="00481C9B" w:rsidRDefault="0039799B">
      <w:pPr>
        <w:shd w:val="clear" w:color="auto" w:fill="FFFFFF"/>
        <w:spacing w:line="276" w:lineRule="auto"/>
        <w:ind w:left="630" w:right="850" w:hanging="62"/>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shd w:val="clear" w:color="auto" w:fill="FFFFFF"/>
        <w:spacing w:line="276" w:lineRule="auto"/>
        <w:ind w:left="630" w:right="850" w:hanging="62"/>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VIII. Aprobar, modificar o revocar la clasificación de la información</w:t>
      </w:r>
    </w:p>
    <w:p w:rsidR="003D2202" w:rsidRPr="00481C9B" w:rsidRDefault="0039799B">
      <w:pPr>
        <w:shd w:val="clear" w:color="auto" w:fill="FFFFFF"/>
        <w:spacing w:line="276" w:lineRule="auto"/>
        <w:ind w:left="630" w:right="850" w:hanging="62"/>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D2202">
      <w:pPr>
        <w:shd w:val="clear" w:color="auto" w:fill="FFFFFF"/>
        <w:spacing w:line="276" w:lineRule="auto"/>
        <w:ind w:left="630" w:right="850" w:hanging="62"/>
        <w:jc w:val="both"/>
        <w:rPr>
          <w:rFonts w:ascii="Palatino Linotype" w:eastAsia="Palatino Linotype" w:hAnsi="Palatino Linotype" w:cs="Palatino Linotype"/>
          <w:i/>
          <w:sz w:val="22"/>
          <w:szCs w:val="22"/>
        </w:rPr>
      </w:pPr>
    </w:p>
    <w:p w:rsidR="003D2202" w:rsidRPr="00481C9B" w:rsidRDefault="0039799B">
      <w:pPr>
        <w:shd w:val="clear" w:color="auto" w:fill="FFFFFF"/>
        <w:spacing w:line="276" w:lineRule="auto"/>
        <w:ind w:left="630" w:right="850" w:hanging="62"/>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Artículo 53.</w:t>
      </w:r>
      <w:r w:rsidRPr="00481C9B">
        <w:rPr>
          <w:rFonts w:ascii="Palatino Linotype" w:eastAsia="Palatino Linotype" w:hAnsi="Palatino Linotype" w:cs="Palatino Linotype"/>
          <w:i/>
          <w:sz w:val="22"/>
          <w:szCs w:val="22"/>
        </w:rPr>
        <w:t> Las Unidades de Transparencia tendrán las siguientes funciones:</w:t>
      </w:r>
    </w:p>
    <w:p w:rsidR="003D2202" w:rsidRPr="00481C9B" w:rsidRDefault="0039799B">
      <w:pPr>
        <w:shd w:val="clear" w:color="auto" w:fill="FFFFFF"/>
        <w:spacing w:line="276" w:lineRule="auto"/>
        <w:ind w:left="630" w:right="850" w:hanging="62"/>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shd w:val="clear" w:color="auto" w:fill="FFFFFF"/>
        <w:spacing w:line="276" w:lineRule="auto"/>
        <w:ind w:left="630" w:right="850" w:hanging="62"/>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X. Presentar ante el Comité, el proyecto de clasificación de información…” </w:t>
      </w:r>
    </w:p>
    <w:p w:rsidR="003D2202" w:rsidRPr="00481C9B" w:rsidRDefault="0039799B">
      <w:pPr>
        <w:shd w:val="clear" w:color="auto" w:fill="FFFFFF"/>
        <w:spacing w:line="276" w:lineRule="auto"/>
        <w:ind w:left="630" w:right="850" w:hanging="62"/>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lastRenderedPageBreak/>
        <w:t>…</w:t>
      </w:r>
    </w:p>
    <w:p w:rsidR="003D2202" w:rsidRPr="00481C9B" w:rsidRDefault="003D2202">
      <w:pPr>
        <w:shd w:val="clear" w:color="auto" w:fill="FFFFFF"/>
        <w:spacing w:line="276" w:lineRule="auto"/>
        <w:ind w:left="630" w:right="850" w:hanging="62"/>
        <w:jc w:val="both"/>
        <w:rPr>
          <w:rFonts w:ascii="Palatino Linotype" w:eastAsia="Palatino Linotype" w:hAnsi="Palatino Linotype" w:cs="Palatino Linotype"/>
          <w:i/>
          <w:sz w:val="22"/>
          <w:szCs w:val="22"/>
        </w:rPr>
      </w:pPr>
    </w:p>
    <w:p w:rsidR="003D2202" w:rsidRPr="00481C9B" w:rsidRDefault="0039799B">
      <w:pPr>
        <w:shd w:val="clear" w:color="auto" w:fill="FFFFFF"/>
        <w:spacing w:line="276" w:lineRule="auto"/>
        <w:ind w:left="567" w:right="850" w:hanging="62"/>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b/>
          <w:i/>
          <w:sz w:val="22"/>
          <w:szCs w:val="22"/>
        </w:rPr>
        <w:t>Artículo 59.</w:t>
      </w:r>
      <w:r w:rsidRPr="00481C9B">
        <w:rPr>
          <w:rFonts w:ascii="Palatino Linotype" w:eastAsia="Palatino Linotype" w:hAnsi="Palatino Linotype" w:cs="Palatino Linotype"/>
          <w:i/>
          <w:sz w:val="22"/>
          <w:szCs w:val="22"/>
        </w:rPr>
        <w:t> Los servidores públicos habilitados tendrán las funciones siguientes:</w:t>
      </w:r>
    </w:p>
    <w:p w:rsidR="003D2202" w:rsidRPr="00481C9B" w:rsidRDefault="0039799B">
      <w:pPr>
        <w:shd w:val="clear" w:color="auto" w:fill="FFFFFF"/>
        <w:spacing w:line="276" w:lineRule="auto"/>
        <w:ind w:left="630" w:right="850" w:hanging="62"/>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shd w:val="clear" w:color="auto" w:fill="FFFFFF"/>
        <w:spacing w:line="276" w:lineRule="auto"/>
        <w:ind w:left="567" w:right="850"/>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rsidR="003D2202" w:rsidRPr="00481C9B" w:rsidRDefault="0039799B">
      <w:pPr>
        <w:shd w:val="clear" w:color="auto" w:fill="FFFFFF"/>
        <w:spacing w:line="276" w:lineRule="auto"/>
        <w:ind w:left="630" w:right="850" w:hanging="62"/>
        <w:jc w:val="both"/>
        <w:rPr>
          <w:rFonts w:ascii="Palatino Linotype" w:eastAsia="Palatino Linotype" w:hAnsi="Palatino Linotype" w:cs="Palatino Linotype"/>
          <w:i/>
          <w:sz w:val="22"/>
          <w:szCs w:val="22"/>
        </w:rPr>
      </w:pPr>
      <w:r w:rsidRPr="00481C9B">
        <w:rPr>
          <w:rFonts w:ascii="Palatino Linotype" w:eastAsia="Palatino Linotype" w:hAnsi="Palatino Linotype" w:cs="Palatino Linotype"/>
          <w:i/>
          <w:sz w:val="22"/>
          <w:szCs w:val="22"/>
        </w:rPr>
        <w:t>…</w:t>
      </w:r>
    </w:p>
    <w:p w:rsidR="003D2202" w:rsidRPr="00481C9B" w:rsidRDefault="0039799B">
      <w:pPr>
        <w:shd w:val="clear" w:color="auto" w:fill="FFFFFF"/>
        <w:spacing w:line="360" w:lineRule="auto"/>
        <w:ind w:left="735" w:right="780"/>
        <w:jc w:val="both"/>
        <w:rPr>
          <w:rFonts w:ascii="Palatino Linotype" w:eastAsia="Palatino Linotype" w:hAnsi="Palatino Linotype" w:cs="Palatino Linotype"/>
          <w:i/>
        </w:rPr>
      </w:pPr>
      <w:r w:rsidRPr="00481C9B">
        <w:rPr>
          <w:rFonts w:ascii="Palatino Linotype" w:eastAsia="Palatino Linotype" w:hAnsi="Palatino Linotype" w:cs="Palatino Linotype"/>
          <w:i/>
        </w:rPr>
        <w:t> </w:t>
      </w:r>
    </w:p>
    <w:p w:rsidR="003D2202" w:rsidRPr="00481C9B" w:rsidRDefault="0039799B">
      <w:pPr>
        <w:shd w:val="clear" w:color="auto" w:fill="FFFFFF"/>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rsidR="003D2202" w:rsidRPr="00481C9B" w:rsidRDefault="003D2202">
      <w:pPr>
        <w:shd w:val="clear" w:color="auto" w:fill="FFFFFF"/>
        <w:spacing w:line="360" w:lineRule="auto"/>
        <w:jc w:val="both"/>
        <w:rPr>
          <w:rFonts w:ascii="Palatino Linotype" w:eastAsia="Palatino Linotype" w:hAnsi="Palatino Linotype" w:cs="Palatino Linotype"/>
        </w:rPr>
      </w:pPr>
    </w:p>
    <w:p w:rsidR="003D2202" w:rsidRPr="00481C9B" w:rsidRDefault="0039799B">
      <w:pPr>
        <w:shd w:val="clear" w:color="auto" w:fill="FFFFFF"/>
        <w:spacing w:line="276" w:lineRule="auto"/>
        <w:ind w:left="567" w:right="567"/>
        <w:jc w:val="both"/>
        <w:rPr>
          <w:rFonts w:ascii="Palatino Linotype" w:eastAsia="Palatino Linotype" w:hAnsi="Palatino Linotype" w:cs="Palatino Linotype"/>
          <w:sz w:val="22"/>
          <w:szCs w:val="22"/>
        </w:rPr>
      </w:pPr>
      <w:r w:rsidRPr="00481C9B">
        <w:rPr>
          <w:rFonts w:ascii="Palatino Linotype" w:eastAsia="Palatino Linotype" w:hAnsi="Palatino Linotype" w:cs="Palatino Linotype"/>
          <w:b/>
          <w:i/>
          <w:sz w:val="22"/>
          <w:szCs w:val="22"/>
        </w:rPr>
        <w:t>Artículo 149</w:t>
      </w:r>
      <w:r w:rsidRPr="00481C9B">
        <w:rPr>
          <w:rFonts w:ascii="Palatino Linotype" w:eastAsia="Palatino Linotype" w:hAnsi="Palatino Linotype" w:cs="Palatino Linotype"/>
          <w:i/>
          <w:sz w:val="22"/>
          <w:szCs w:val="22"/>
        </w:rPr>
        <w:t>. El acuerdo que clasifique la información como confidencial deberá contener un razonamiento lógico en el que demuestre que la información se encuentra en alguna o algunas de las hipótesis previstas en la presente Ley.</w:t>
      </w:r>
      <w:r w:rsidRPr="00481C9B">
        <w:rPr>
          <w:rFonts w:ascii="Palatino Linotype" w:eastAsia="Palatino Linotype" w:hAnsi="Palatino Linotype" w:cs="Palatino Linotype"/>
          <w:sz w:val="22"/>
          <w:szCs w:val="22"/>
        </w:rPr>
        <w:t> </w:t>
      </w:r>
    </w:p>
    <w:p w:rsidR="003D2202" w:rsidRPr="00481C9B" w:rsidRDefault="003D2202">
      <w:pPr>
        <w:shd w:val="clear" w:color="auto" w:fill="FFFFFF"/>
        <w:spacing w:line="276" w:lineRule="auto"/>
        <w:ind w:left="567" w:right="567"/>
        <w:jc w:val="both"/>
        <w:rPr>
          <w:rFonts w:ascii="Palatino Linotype" w:eastAsia="Palatino Linotype" w:hAnsi="Palatino Linotype" w:cs="Palatino Linotype"/>
        </w:rPr>
      </w:pPr>
    </w:p>
    <w:p w:rsidR="003D2202" w:rsidRPr="00481C9B" w:rsidRDefault="0039799B">
      <w:pPr>
        <w:shd w:val="clear" w:color="auto" w:fill="FFFFFF"/>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 </w:t>
      </w:r>
    </w:p>
    <w:tbl>
      <w:tblPr>
        <w:tblStyle w:val="a0"/>
        <w:tblW w:w="8822" w:type="dxa"/>
        <w:tblInd w:w="0" w:type="dxa"/>
        <w:tblBorders>
          <w:top w:val="single" w:sz="6" w:space="0" w:color="BFBFBF"/>
          <w:left w:val="single" w:sz="6" w:space="0" w:color="BFBFBF"/>
          <w:bottom w:val="single" w:sz="6" w:space="0" w:color="BFBFBF"/>
          <w:right w:val="single" w:sz="6" w:space="0" w:color="BFBFBF"/>
        </w:tblBorders>
        <w:tblLayout w:type="fixed"/>
        <w:tblLook w:val="0400" w:firstRow="0" w:lastRow="0" w:firstColumn="0" w:lastColumn="0" w:noHBand="0" w:noVBand="1"/>
      </w:tblPr>
      <w:tblGrid>
        <w:gridCol w:w="1377"/>
        <w:gridCol w:w="2726"/>
        <w:gridCol w:w="1486"/>
        <w:gridCol w:w="3233"/>
      </w:tblGrid>
      <w:tr w:rsidR="00481C9B" w:rsidRPr="00481C9B">
        <w:tc>
          <w:tcPr>
            <w:tcW w:w="4103" w:type="dxa"/>
            <w:gridSpan w:val="2"/>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Parcial</w:t>
            </w:r>
          </w:p>
        </w:tc>
        <w:tc>
          <w:tcPr>
            <w:tcW w:w="4719" w:type="dxa"/>
            <w:gridSpan w:val="2"/>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Total</w:t>
            </w:r>
          </w:p>
        </w:tc>
      </w:tr>
      <w:tr w:rsidR="00481C9B" w:rsidRPr="00481C9B">
        <w:tc>
          <w:tcPr>
            <w:tcW w:w="1377"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Concepto</w:t>
            </w:r>
          </w:p>
        </w:tc>
        <w:tc>
          <w:tcPr>
            <w:tcW w:w="272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b/>
                <w:sz w:val="18"/>
                <w:szCs w:val="18"/>
              </w:rPr>
              <w:t>Dónde</w:t>
            </w:r>
          </w:p>
        </w:tc>
        <w:tc>
          <w:tcPr>
            <w:tcW w:w="148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b/>
                <w:sz w:val="18"/>
                <w:szCs w:val="18"/>
              </w:rPr>
              <w:t>Concepto</w:t>
            </w:r>
          </w:p>
        </w:tc>
        <w:tc>
          <w:tcPr>
            <w:tcW w:w="3233"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b/>
                <w:sz w:val="18"/>
                <w:szCs w:val="18"/>
              </w:rPr>
              <w:t>Dónde</w:t>
            </w:r>
          </w:p>
        </w:tc>
      </w:tr>
      <w:tr w:rsidR="00481C9B" w:rsidRPr="00481C9B">
        <w:tc>
          <w:tcPr>
            <w:tcW w:w="8822" w:type="dxa"/>
            <w:gridSpan w:val="4"/>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Sello oficial o logotipo del sujeto obligado</w:t>
            </w:r>
          </w:p>
        </w:tc>
      </w:tr>
      <w:tr w:rsidR="00481C9B" w:rsidRPr="00481C9B">
        <w:tc>
          <w:tcPr>
            <w:tcW w:w="1377"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Fecha de clasificación</w:t>
            </w:r>
          </w:p>
        </w:tc>
        <w:tc>
          <w:tcPr>
            <w:tcW w:w="272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Se anotará la fecha en la que el Comité de Transparencia confirmó la clasificación del documento, en su caso.</w:t>
            </w:r>
          </w:p>
        </w:tc>
        <w:tc>
          <w:tcPr>
            <w:tcW w:w="148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b/>
                <w:sz w:val="18"/>
                <w:szCs w:val="18"/>
              </w:rPr>
              <w:t>Fecha de clasificación</w:t>
            </w:r>
          </w:p>
        </w:tc>
        <w:tc>
          <w:tcPr>
            <w:tcW w:w="3233"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Se anotará la fecha en la que el Comité de Transparencia confirmó la clasificación del documento, en su caso.</w:t>
            </w:r>
          </w:p>
        </w:tc>
      </w:tr>
      <w:tr w:rsidR="00481C9B" w:rsidRPr="00481C9B">
        <w:tc>
          <w:tcPr>
            <w:tcW w:w="1377"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lastRenderedPageBreak/>
              <w:t>Área</w:t>
            </w:r>
          </w:p>
        </w:tc>
        <w:tc>
          <w:tcPr>
            <w:tcW w:w="272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Se señalará el nombre del área del cual es titular quien clasifica.</w:t>
            </w:r>
          </w:p>
        </w:tc>
        <w:tc>
          <w:tcPr>
            <w:tcW w:w="148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b/>
                <w:sz w:val="18"/>
                <w:szCs w:val="18"/>
              </w:rPr>
              <w:t>Área</w:t>
            </w:r>
          </w:p>
        </w:tc>
        <w:tc>
          <w:tcPr>
            <w:tcW w:w="3233"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Se señalará el nombre del área de la cual es el titular quien clasifica.</w:t>
            </w:r>
          </w:p>
        </w:tc>
      </w:tr>
      <w:tr w:rsidR="00481C9B" w:rsidRPr="00481C9B">
        <w:tc>
          <w:tcPr>
            <w:tcW w:w="1377"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Información reservada</w:t>
            </w:r>
          </w:p>
        </w:tc>
        <w:tc>
          <w:tcPr>
            <w:tcW w:w="272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48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b/>
                <w:sz w:val="18"/>
                <w:szCs w:val="18"/>
              </w:rPr>
              <w:t>Reservado</w:t>
            </w:r>
          </w:p>
        </w:tc>
        <w:tc>
          <w:tcPr>
            <w:tcW w:w="3233"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Leyenda de información RESERVADA.</w:t>
            </w:r>
          </w:p>
        </w:tc>
      </w:tr>
      <w:tr w:rsidR="00481C9B" w:rsidRPr="00481C9B">
        <w:tc>
          <w:tcPr>
            <w:tcW w:w="1377"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Fundamento legal</w:t>
            </w:r>
          </w:p>
        </w:tc>
        <w:tc>
          <w:tcPr>
            <w:tcW w:w="272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Se señalará el nombre del ordenamiento, el o los artículos, fracción(es), párrafo(s) con base en los cuales se sustente la reserva.</w:t>
            </w:r>
          </w:p>
        </w:tc>
        <w:tc>
          <w:tcPr>
            <w:tcW w:w="148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b/>
                <w:sz w:val="18"/>
                <w:szCs w:val="18"/>
              </w:rPr>
              <w:t>Periodo de reserva</w:t>
            </w:r>
          </w:p>
        </w:tc>
        <w:tc>
          <w:tcPr>
            <w:tcW w:w="3233"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Se anotará el número de años o meses por los que se mantendrá el documento o las partes del mismo como reservado. Si el expediente no es reservado, sino confidencial, deberá tacharse este apartado.</w:t>
            </w:r>
          </w:p>
        </w:tc>
      </w:tr>
      <w:tr w:rsidR="00481C9B" w:rsidRPr="00481C9B">
        <w:tc>
          <w:tcPr>
            <w:tcW w:w="1377"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Ampliación del periodo de reserva</w:t>
            </w:r>
          </w:p>
        </w:tc>
        <w:tc>
          <w:tcPr>
            <w:tcW w:w="272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c>
          <w:tcPr>
            <w:tcW w:w="148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b/>
                <w:sz w:val="18"/>
                <w:szCs w:val="18"/>
              </w:rPr>
              <w:t>Fundamento legal</w:t>
            </w:r>
          </w:p>
        </w:tc>
        <w:tc>
          <w:tcPr>
            <w:tcW w:w="3233"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Se señalará el nombre del o de los ordenamientos jurídicos, el o los artículos, fracción(es), párrafo(s) con base en los cuales se sustenta la reserva.</w:t>
            </w:r>
          </w:p>
        </w:tc>
      </w:tr>
      <w:tr w:rsidR="00481C9B" w:rsidRPr="00481C9B">
        <w:tc>
          <w:tcPr>
            <w:tcW w:w="1377"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Confidencial</w:t>
            </w:r>
          </w:p>
        </w:tc>
        <w:tc>
          <w:tcPr>
            <w:tcW w:w="272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48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b/>
                <w:sz w:val="18"/>
                <w:szCs w:val="18"/>
              </w:rPr>
              <w:t>Ampliación del periodo de reserva</w:t>
            </w:r>
          </w:p>
        </w:tc>
        <w:tc>
          <w:tcPr>
            <w:tcW w:w="3233"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r>
      <w:tr w:rsidR="00481C9B" w:rsidRPr="00481C9B">
        <w:tc>
          <w:tcPr>
            <w:tcW w:w="1377"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lastRenderedPageBreak/>
              <w:t>Fundamento legal</w:t>
            </w:r>
          </w:p>
        </w:tc>
        <w:tc>
          <w:tcPr>
            <w:tcW w:w="272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Se señalará el nombre del ordenamiento, el o los artículos, fracción(es), párrafo(s) con base en los cuales se sustente la confidencialidad.</w:t>
            </w:r>
          </w:p>
        </w:tc>
        <w:tc>
          <w:tcPr>
            <w:tcW w:w="148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b/>
                <w:sz w:val="18"/>
                <w:szCs w:val="18"/>
              </w:rPr>
              <w:t>Confidencial</w:t>
            </w:r>
          </w:p>
        </w:tc>
        <w:tc>
          <w:tcPr>
            <w:tcW w:w="3233"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Leyenda de información CONFIDENCIAL.</w:t>
            </w:r>
          </w:p>
        </w:tc>
      </w:tr>
      <w:tr w:rsidR="00481C9B" w:rsidRPr="00481C9B">
        <w:tc>
          <w:tcPr>
            <w:tcW w:w="1377"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Rúbrica del titular del área</w:t>
            </w:r>
          </w:p>
        </w:tc>
        <w:tc>
          <w:tcPr>
            <w:tcW w:w="272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Rúbrica autógrafa de quien clasifica.</w:t>
            </w:r>
          </w:p>
        </w:tc>
        <w:tc>
          <w:tcPr>
            <w:tcW w:w="148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b/>
                <w:sz w:val="18"/>
                <w:szCs w:val="18"/>
              </w:rPr>
              <w:t>Fundamento legal</w:t>
            </w:r>
          </w:p>
        </w:tc>
        <w:tc>
          <w:tcPr>
            <w:tcW w:w="3233"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Se señalará el nombre del o de los ordenamientos jurídicos, el o los artículos, fracción(es), párrafo(s) con base en los cuales se sustente la confidencialidad.</w:t>
            </w:r>
          </w:p>
        </w:tc>
      </w:tr>
      <w:tr w:rsidR="00481C9B" w:rsidRPr="00481C9B">
        <w:tc>
          <w:tcPr>
            <w:tcW w:w="1377"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Fecha de desclasificación</w:t>
            </w:r>
          </w:p>
        </w:tc>
        <w:tc>
          <w:tcPr>
            <w:tcW w:w="272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Se anotará la fecha en que se desclasifica el documento.</w:t>
            </w:r>
          </w:p>
        </w:tc>
        <w:tc>
          <w:tcPr>
            <w:tcW w:w="148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b/>
                <w:sz w:val="18"/>
                <w:szCs w:val="18"/>
              </w:rPr>
              <w:t>Rúbrica del titular del área</w:t>
            </w:r>
          </w:p>
        </w:tc>
        <w:tc>
          <w:tcPr>
            <w:tcW w:w="3233"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Rúbrica autógrafa de quien clasifica.</w:t>
            </w:r>
          </w:p>
        </w:tc>
      </w:tr>
      <w:tr w:rsidR="00481C9B" w:rsidRPr="00481C9B">
        <w:tc>
          <w:tcPr>
            <w:tcW w:w="1377"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Rúbrica y cargo del servidor público</w:t>
            </w:r>
          </w:p>
        </w:tc>
        <w:tc>
          <w:tcPr>
            <w:tcW w:w="272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Rúbrica autógrafa de quien desclasifica.</w:t>
            </w:r>
          </w:p>
        </w:tc>
        <w:tc>
          <w:tcPr>
            <w:tcW w:w="148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b/>
                <w:sz w:val="18"/>
                <w:szCs w:val="18"/>
              </w:rPr>
              <w:t>Fecha de desclasificación</w:t>
            </w:r>
          </w:p>
        </w:tc>
        <w:tc>
          <w:tcPr>
            <w:tcW w:w="3233"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Se anotará la fecha en que se desclasifica.</w:t>
            </w:r>
          </w:p>
        </w:tc>
      </w:tr>
      <w:tr w:rsidR="00481C9B" w:rsidRPr="00481C9B">
        <w:tc>
          <w:tcPr>
            <w:tcW w:w="1377"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 </w:t>
            </w:r>
          </w:p>
        </w:tc>
        <w:tc>
          <w:tcPr>
            <w:tcW w:w="272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 </w:t>
            </w:r>
          </w:p>
        </w:tc>
        <w:tc>
          <w:tcPr>
            <w:tcW w:w="148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b/>
                <w:sz w:val="18"/>
                <w:szCs w:val="18"/>
              </w:rPr>
              <w:t>Partes o secciones reservadas o confidenciales</w:t>
            </w:r>
          </w:p>
        </w:tc>
        <w:tc>
          <w:tcPr>
            <w:tcW w:w="3233"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En caso que una vez desclasificado el expediente, subsistanpartes o secciones del mismo reservadas o confidenciales, se señalará este hecho.</w:t>
            </w:r>
          </w:p>
        </w:tc>
      </w:tr>
      <w:tr w:rsidR="00481C9B" w:rsidRPr="00481C9B">
        <w:tc>
          <w:tcPr>
            <w:tcW w:w="1377"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 </w:t>
            </w:r>
          </w:p>
        </w:tc>
        <w:tc>
          <w:tcPr>
            <w:tcW w:w="272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 </w:t>
            </w:r>
          </w:p>
        </w:tc>
        <w:tc>
          <w:tcPr>
            <w:tcW w:w="1486"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b/>
                <w:sz w:val="18"/>
                <w:szCs w:val="18"/>
              </w:rPr>
              <w:t>Rúbrica y cargo del servidor público</w:t>
            </w:r>
          </w:p>
        </w:tc>
        <w:tc>
          <w:tcPr>
            <w:tcW w:w="3233" w:type="dxa"/>
            <w:tcBorders>
              <w:top w:val="single" w:sz="6" w:space="0" w:color="BFBFBF"/>
              <w:left w:val="single" w:sz="6" w:space="0" w:color="BFBFBF"/>
              <w:bottom w:val="single" w:sz="6" w:space="0" w:color="BFBFBF"/>
              <w:right w:val="single" w:sz="6" w:space="0" w:color="BFBFBF"/>
            </w:tcBorders>
          </w:tcPr>
          <w:p w:rsidR="003D2202" w:rsidRPr="00481C9B" w:rsidRDefault="0039799B">
            <w:pPr>
              <w:spacing w:line="360" w:lineRule="auto"/>
              <w:jc w:val="both"/>
              <w:rPr>
                <w:rFonts w:ascii="Palatino Linotype" w:eastAsia="Palatino Linotype" w:hAnsi="Palatino Linotype" w:cs="Palatino Linotype"/>
                <w:sz w:val="18"/>
                <w:szCs w:val="18"/>
              </w:rPr>
            </w:pPr>
            <w:r w:rsidRPr="00481C9B">
              <w:rPr>
                <w:rFonts w:ascii="Palatino Linotype" w:eastAsia="Palatino Linotype" w:hAnsi="Palatino Linotype" w:cs="Palatino Linotype"/>
                <w:sz w:val="18"/>
                <w:szCs w:val="18"/>
              </w:rPr>
              <w:t>Rúbrica autógrafa de quien desclasifica.</w:t>
            </w:r>
          </w:p>
        </w:tc>
      </w:tr>
    </w:tbl>
    <w:p w:rsidR="003D2202" w:rsidRPr="00481C9B" w:rsidRDefault="0039799B">
      <w:pPr>
        <w:shd w:val="clear" w:color="auto" w:fill="FFFFFF"/>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 </w:t>
      </w:r>
    </w:p>
    <w:p w:rsidR="003D2202" w:rsidRPr="00481C9B" w:rsidRDefault="0039799B">
      <w:pPr>
        <w:shd w:val="clear" w:color="auto" w:fill="FFFFFF"/>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Es así como, en mérito de lo expuesto en líneas anteriores, resultan fundadas las razones o motivos de inconformidad hechos valer por el </w:t>
      </w:r>
      <w:r w:rsidRPr="00481C9B">
        <w:rPr>
          <w:rFonts w:ascii="Palatino Linotype" w:eastAsia="Palatino Linotype" w:hAnsi="Palatino Linotype" w:cs="Palatino Linotype"/>
          <w:b/>
        </w:rPr>
        <w:t>RECURRENTE</w:t>
      </w:r>
      <w:r w:rsidRPr="00481C9B">
        <w:rPr>
          <w:rFonts w:ascii="Palatino Linotype" w:eastAsia="Palatino Linotype" w:hAnsi="Palatino Linotype" w:cs="Palatino Linotype"/>
        </w:rPr>
        <w:t> dentro del recurso de revisión </w:t>
      </w:r>
      <w:r w:rsidRPr="00481C9B">
        <w:rPr>
          <w:rFonts w:ascii="Palatino Linotype" w:eastAsia="Palatino Linotype" w:hAnsi="Palatino Linotype" w:cs="Palatino Linotype"/>
          <w:b/>
        </w:rPr>
        <w:t>06929/INFOEM/IP/RR/2022</w:t>
      </w:r>
      <w:r w:rsidRPr="00481C9B">
        <w:rPr>
          <w:rFonts w:ascii="Palatino Linotype" w:eastAsia="Palatino Linotype" w:hAnsi="Palatino Linotype" w:cs="Palatino Linotype"/>
        </w:rPr>
        <w:t>; por ello, y con fundamento en la fracción IV del numeral 186 de la Ley de Transparencia y Acceso a la Información Pública del Estado de México y Municipios, se </w:t>
      </w:r>
      <w:r w:rsidRPr="00481C9B">
        <w:rPr>
          <w:rFonts w:ascii="Palatino Linotype" w:eastAsia="Palatino Linotype" w:hAnsi="Palatino Linotype" w:cs="Palatino Linotype"/>
          <w:b/>
        </w:rPr>
        <w:t xml:space="preserve">ORDENA </w:t>
      </w:r>
      <w:r w:rsidRPr="00481C9B">
        <w:rPr>
          <w:rFonts w:ascii="Palatino Linotype" w:eastAsia="Palatino Linotype" w:hAnsi="Palatino Linotype" w:cs="Palatino Linotype"/>
        </w:rPr>
        <w:t xml:space="preserve">al Sujeto Obligado </w:t>
      </w:r>
      <w:r w:rsidRPr="00481C9B">
        <w:rPr>
          <w:rFonts w:ascii="Palatino Linotype" w:eastAsia="Palatino Linotype" w:hAnsi="Palatino Linotype" w:cs="Palatino Linotype"/>
        </w:rPr>
        <w:lastRenderedPageBreak/>
        <w:t>proporcione la información requerida en la solicitud de información número </w:t>
      </w:r>
      <w:r w:rsidRPr="00481C9B">
        <w:rPr>
          <w:rFonts w:ascii="Palatino Linotype" w:eastAsia="Palatino Linotype" w:hAnsi="Palatino Linotype" w:cs="Palatino Linotype"/>
          <w:b/>
        </w:rPr>
        <w:t>00180/TEXCOCO/IP/2022</w:t>
      </w:r>
      <w:r w:rsidRPr="00481C9B">
        <w:rPr>
          <w:rFonts w:ascii="Palatino Linotype" w:eastAsia="Palatino Linotype" w:hAnsi="Palatino Linotype" w:cs="Palatino Linotype"/>
        </w:rPr>
        <w:t>.</w:t>
      </w:r>
    </w:p>
    <w:p w:rsidR="003D2202" w:rsidRPr="00481C9B" w:rsidRDefault="003D2202">
      <w:pPr>
        <w:shd w:val="clear" w:color="auto" w:fill="FFFFFF"/>
        <w:spacing w:line="360" w:lineRule="auto"/>
        <w:jc w:val="both"/>
        <w:rPr>
          <w:rFonts w:ascii="Palatino Linotype" w:eastAsia="Palatino Linotype" w:hAnsi="Palatino Linotype" w:cs="Palatino Linotype"/>
        </w:rPr>
      </w:pPr>
    </w:p>
    <w:p w:rsidR="003D2202" w:rsidRPr="00481C9B" w:rsidRDefault="0039799B">
      <w:pPr>
        <w:shd w:val="clear" w:color="auto" w:fill="FFFFFF"/>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3D2202" w:rsidRPr="00481C9B" w:rsidRDefault="003D2202">
      <w:pPr>
        <w:tabs>
          <w:tab w:val="left" w:pos="709"/>
        </w:tabs>
        <w:spacing w:line="360" w:lineRule="auto"/>
        <w:jc w:val="both"/>
        <w:rPr>
          <w:rFonts w:ascii="Palatino Linotype" w:eastAsia="Palatino Linotype" w:hAnsi="Palatino Linotype" w:cs="Palatino Linotype"/>
        </w:rPr>
      </w:pPr>
    </w:p>
    <w:p w:rsidR="003D2202" w:rsidRPr="00481C9B" w:rsidRDefault="0039799B">
      <w:pPr>
        <w:numPr>
          <w:ilvl w:val="0"/>
          <w:numId w:val="12"/>
        </w:numPr>
        <w:pBdr>
          <w:top w:val="nil"/>
          <w:left w:val="nil"/>
          <w:bottom w:val="nil"/>
          <w:right w:val="nil"/>
          <w:between w:val="nil"/>
        </w:pBdr>
        <w:spacing w:line="360" w:lineRule="auto"/>
        <w:ind w:left="284"/>
        <w:jc w:val="center"/>
        <w:rPr>
          <w:rFonts w:ascii="Palatino Linotype" w:eastAsia="Palatino Linotype" w:hAnsi="Palatino Linotype" w:cs="Palatino Linotype"/>
          <w:b/>
        </w:rPr>
      </w:pPr>
      <w:r w:rsidRPr="00481C9B">
        <w:rPr>
          <w:rFonts w:ascii="Palatino Linotype" w:eastAsia="Palatino Linotype" w:hAnsi="Palatino Linotype" w:cs="Palatino Linotype"/>
          <w:b/>
        </w:rPr>
        <w:t>R E S U E L V E</w:t>
      </w:r>
    </w:p>
    <w:p w:rsidR="003D2202" w:rsidRPr="00481C9B" w:rsidRDefault="003D2202">
      <w:pPr>
        <w:pBdr>
          <w:top w:val="nil"/>
          <w:left w:val="nil"/>
          <w:bottom w:val="nil"/>
          <w:right w:val="nil"/>
          <w:between w:val="nil"/>
        </w:pBdr>
        <w:spacing w:line="360" w:lineRule="auto"/>
        <w:ind w:left="1080"/>
        <w:rPr>
          <w:rFonts w:ascii="Palatino Linotype" w:eastAsia="Palatino Linotype" w:hAnsi="Palatino Linotype" w:cs="Palatino Linotype"/>
          <w:b/>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b/>
        </w:rPr>
        <w:t>Primero.</w:t>
      </w:r>
      <w:r w:rsidRPr="00481C9B">
        <w:rPr>
          <w:rFonts w:ascii="Palatino Linotype" w:eastAsia="Palatino Linotype" w:hAnsi="Palatino Linotype" w:cs="Palatino Linotype"/>
        </w:rPr>
        <w:t xml:space="preserve"> Resultan </w:t>
      </w:r>
      <w:r w:rsidRPr="00481C9B">
        <w:rPr>
          <w:rFonts w:ascii="Palatino Linotype" w:eastAsia="Palatino Linotype" w:hAnsi="Palatino Linotype" w:cs="Palatino Linotype"/>
          <w:b/>
        </w:rPr>
        <w:t>FUNDADAS</w:t>
      </w:r>
      <w:r w:rsidRPr="00481C9B">
        <w:rPr>
          <w:rFonts w:ascii="Palatino Linotype" w:eastAsia="Palatino Linotype" w:hAnsi="Palatino Linotype" w:cs="Palatino Linotype"/>
        </w:rPr>
        <w:t xml:space="preserve"> las razones o motivos de la inconformidad planteados por el </w:t>
      </w:r>
      <w:r w:rsidRPr="00481C9B">
        <w:rPr>
          <w:rFonts w:ascii="Palatino Linotype" w:eastAsia="Palatino Linotype" w:hAnsi="Palatino Linotype" w:cs="Palatino Linotype"/>
          <w:b/>
        </w:rPr>
        <w:t xml:space="preserve">RECURRENTE </w:t>
      </w:r>
      <w:r w:rsidRPr="00481C9B">
        <w:rPr>
          <w:rFonts w:ascii="Palatino Linotype" w:eastAsia="Palatino Linotype" w:hAnsi="Palatino Linotype" w:cs="Palatino Linotype"/>
        </w:rPr>
        <w:t xml:space="preserve">en el Recurso de Revisión </w:t>
      </w:r>
      <w:r w:rsidRPr="00481C9B">
        <w:rPr>
          <w:rFonts w:ascii="Palatino Linotype" w:eastAsia="Palatino Linotype" w:hAnsi="Palatino Linotype" w:cs="Palatino Linotype"/>
          <w:b/>
        </w:rPr>
        <w:t>06929/INFOEM/IP/RR/2022</w:t>
      </w:r>
      <w:r w:rsidRPr="00481C9B">
        <w:rPr>
          <w:rFonts w:ascii="Palatino Linotype" w:eastAsia="Palatino Linotype" w:hAnsi="Palatino Linotype" w:cs="Palatino Linotype"/>
        </w:rPr>
        <w:t xml:space="preserve"> en términos del </w:t>
      </w:r>
      <w:r w:rsidRPr="00481C9B">
        <w:rPr>
          <w:rFonts w:ascii="Palatino Linotype" w:eastAsia="Palatino Linotype" w:hAnsi="Palatino Linotype" w:cs="Palatino Linotype"/>
          <w:b/>
        </w:rPr>
        <w:t>Considerando</w:t>
      </w:r>
      <w:r w:rsidRPr="00481C9B">
        <w:rPr>
          <w:rFonts w:ascii="Palatino Linotype" w:eastAsia="Palatino Linotype" w:hAnsi="Palatino Linotype" w:cs="Palatino Linotype"/>
        </w:rPr>
        <w:t xml:space="preserve"> </w:t>
      </w:r>
      <w:r w:rsidRPr="00481C9B">
        <w:rPr>
          <w:rFonts w:ascii="Palatino Linotype" w:eastAsia="Palatino Linotype" w:hAnsi="Palatino Linotype" w:cs="Palatino Linotype"/>
          <w:b/>
        </w:rPr>
        <w:t>Cuarto</w:t>
      </w:r>
      <w:r w:rsidRPr="00481C9B">
        <w:rPr>
          <w:rFonts w:ascii="Palatino Linotype" w:eastAsia="Palatino Linotype" w:hAnsi="Palatino Linotype" w:cs="Palatino Linotype"/>
        </w:rPr>
        <w:t xml:space="preserve"> de esta Resolución.</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b/>
        </w:rPr>
        <w:t>Segundo.</w:t>
      </w:r>
      <w:r w:rsidRPr="00481C9B">
        <w:rPr>
          <w:rFonts w:ascii="Palatino Linotype" w:eastAsia="Palatino Linotype" w:hAnsi="Palatino Linotype" w:cs="Palatino Linotype"/>
        </w:rPr>
        <w:t xml:space="preserve"> Se </w:t>
      </w:r>
      <w:r w:rsidRPr="00481C9B">
        <w:rPr>
          <w:rFonts w:ascii="Palatino Linotype" w:eastAsia="Palatino Linotype" w:hAnsi="Palatino Linotype" w:cs="Palatino Linotype"/>
          <w:b/>
        </w:rPr>
        <w:t xml:space="preserve">ORDENA </w:t>
      </w:r>
      <w:r w:rsidRPr="00481C9B">
        <w:rPr>
          <w:rFonts w:ascii="Palatino Linotype" w:eastAsia="Palatino Linotype" w:hAnsi="Palatino Linotype" w:cs="Palatino Linotype"/>
        </w:rPr>
        <w:t xml:space="preserve">al </w:t>
      </w:r>
      <w:r w:rsidRPr="00481C9B">
        <w:rPr>
          <w:rFonts w:ascii="Palatino Linotype" w:eastAsia="Palatino Linotype" w:hAnsi="Palatino Linotype" w:cs="Palatino Linotype"/>
          <w:b/>
        </w:rPr>
        <w:t xml:space="preserve">SUJETO OBLIGADO </w:t>
      </w:r>
      <w:r w:rsidRPr="00481C9B">
        <w:rPr>
          <w:rFonts w:ascii="Palatino Linotype" w:eastAsia="Palatino Linotype" w:hAnsi="Palatino Linotype" w:cs="Palatino Linotype"/>
        </w:rPr>
        <w:t xml:space="preserve">en términos del </w:t>
      </w:r>
      <w:r w:rsidRPr="00481C9B">
        <w:rPr>
          <w:rFonts w:ascii="Palatino Linotype" w:eastAsia="Palatino Linotype" w:hAnsi="Palatino Linotype" w:cs="Palatino Linotype"/>
          <w:b/>
        </w:rPr>
        <w:t xml:space="preserve">Considerando Cuarto y Quinto </w:t>
      </w:r>
      <w:r w:rsidRPr="00481C9B">
        <w:rPr>
          <w:rFonts w:ascii="Palatino Linotype" w:eastAsia="Palatino Linotype" w:hAnsi="Palatino Linotype" w:cs="Palatino Linotype"/>
        </w:rPr>
        <w:t>de esta resolución, entregue, previa búsqueda exhaustiva y razonable, en sus unidades administrativas, vía Sistema de Acceso a la Información Mexiquense, de ser el caso, en versión pública, la siguiente información:</w:t>
      </w:r>
    </w:p>
    <w:p w:rsidR="003D2202" w:rsidRPr="00481C9B" w:rsidRDefault="003D2202">
      <w:pPr>
        <w:tabs>
          <w:tab w:val="left" w:pos="709"/>
        </w:tabs>
        <w:spacing w:line="360" w:lineRule="auto"/>
        <w:ind w:right="49"/>
        <w:jc w:val="both"/>
        <w:rPr>
          <w:rFonts w:ascii="Palatino Linotype" w:eastAsia="Palatino Linotype" w:hAnsi="Palatino Linotype" w:cs="Palatino Linotype"/>
        </w:rPr>
      </w:pPr>
    </w:p>
    <w:p w:rsidR="003D2202" w:rsidRPr="00481C9B" w:rsidRDefault="0039799B">
      <w:pPr>
        <w:numPr>
          <w:ilvl w:val="3"/>
          <w:numId w:val="4"/>
        </w:numPr>
        <w:pBdr>
          <w:top w:val="nil"/>
          <w:left w:val="nil"/>
          <w:bottom w:val="nil"/>
          <w:right w:val="nil"/>
          <w:between w:val="nil"/>
        </w:pBdr>
        <w:tabs>
          <w:tab w:val="left" w:pos="709"/>
        </w:tabs>
        <w:spacing w:line="360" w:lineRule="auto"/>
        <w:ind w:left="709"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Facturas enviadas mediante informe justificado, en versión íntegra. </w:t>
      </w:r>
    </w:p>
    <w:p w:rsidR="003D2202" w:rsidRPr="00481C9B" w:rsidRDefault="0039799B">
      <w:pPr>
        <w:numPr>
          <w:ilvl w:val="3"/>
          <w:numId w:val="4"/>
        </w:numPr>
        <w:pBdr>
          <w:top w:val="nil"/>
          <w:left w:val="nil"/>
          <w:bottom w:val="nil"/>
          <w:right w:val="nil"/>
          <w:between w:val="nil"/>
        </w:pBdr>
        <w:tabs>
          <w:tab w:val="left" w:pos="709"/>
        </w:tabs>
        <w:spacing w:line="360" w:lineRule="auto"/>
        <w:ind w:left="709"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Documento donde conste el concepto por el cual se pagará a la empresa Impresos Puntual S.A. de RL de C.V. </w:t>
      </w:r>
    </w:p>
    <w:p w:rsidR="003D2202" w:rsidRPr="00481C9B" w:rsidRDefault="0039799B">
      <w:pPr>
        <w:numPr>
          <w:ilvl w:val="3"/>
          <w:numId w:val="4"/>
        </w:numPr>
        <w:pBdr>
          <w:top w:val="nil"/>
          <w:left w:val="nil"/>
          <w:bottom w:val="nil"/>
          <w:right w:val="nil"/>
          <w:between w:val="nil"/>
        </w:pBdr>
        <w:tabs>
          <w:tab w:val="left" w:pos="709"/>
        </w:tabs>
        <w:spacing w:line="360" w:lineRule="auto"/>
        <w:ind w:left="709" w:right="49"/>
        <w:jc w:val="both"/>
        <w:rPr>
          <w:rFonts w:ascii="Palatino Linotype" w:eastAsia="Palatino Linotype" w:hAnsi="Palatino Linotype" w:cs="Palatino Linotype"/>
        </w:rPr>
      </w:pPr>
      <w:r w:rsidRPr="00481C9B">
        <w:rPr>
          <w:rFonts w:ascii="Palatino Linotype" w:eastAsia="Palatino Linotype" w:hAnsi="Palatino Linotype" w:cs="Palatino Linotype"/>
        </w:rPr>
        <w:lastRenderedPageBreak/>
        <w:t xml:space="preserve">Del uno de enero al veintinueve de marzo de dos mil veintidós, los documentos que integren los expedientes de los procedimientos de: </w:t>
      </w:r>
    </w:p>
    <w:p w:rsidR="003D2202" w:rsidRPr="00481C9B" w:rsidRDefault="0039799B">
      <w:pPr>
        <w:numPr>
          <w:ilvl w:val="0"/>
          <w:numId w:val="6"/>
        </w:numPr>
        <w:pBdr>
          <w:top w:val="nil"/>
          <w:left w:val="nil"/>
          <w:bottom w:val="nil"/>
          <w:right w:val="nil"/>
          <w:between w:val="nil"/>
        </w:pBdr>
        <w:spacing w:line="360" w:lineRule="auto"/>
        <w:ind w:left="1418" w:right="49"/>
        <w:jc w:val="both"/>
        <w:rPr>
          <w:rFonts w:ascii="Palatino Linotype" w:eastAsia="Palatino Linotype" w:hAnsi="Palatino Linotype" w:cs="Palatino Linotype"/>
        </w:rPr>
      </w:pPr>
      <w:r w:rsidRPr="00481C9B">
        <w:rPr>
          <w:rFonts w:ascii="Palatino Linotype" w:eastAsia="Palatino Linotype" w:hAnsi="Palatino Linotype" w:cs="Palatino Linotype"/>
        </w:rPr>
        <w:t>Adjudicación directa e,</w:t>
      </w:r>
    </w:p>
    <w:p w:rsidR="003D2202" w:rsidRPr="00481C9B" w:rsidRDefault="0039799B">
      <w:pPr>
        <w:numPr>
          <w:ilvl w:val="0"/>
          <w:numId w:val="6"/>
        </w:numPr>
        <w:pBdr>
          <w:top w:val="nil"/>
          <w:left w:val="nil"/>
          <w:bottom w:val="nil"/>
          <w:right w:val="nil"/>
          <w:between w:val="nil"/>
        </w:pBdr>
        <w:spacing w:line="360" w:lineRule="auto"/>
        <w:ind w:left="1418" w:right="49"/>
        <w:jc w:val="both"/>
        <w:rPr>
          <w:rFonts w:ascii="Palatino Linotype" w:eastAsia="Palatino Linotype" w:hAnsi="Palatino Linotype" w:cs="Palatino Linotype"/>
        </w:rPr>
      </w:pPr>
      <w:r w:rsidRPr="00481C9B">
        <w:rPr>
          <w:rFonts w:ascii="Palatino Linotype" w:eastAsia="Palatino Linotype" w:hAnsi="Palatino Linotype" w:cs="Palatino Linotype"/>
        </w:rPr>
        <w:t>Invitación de cuando menos tres personas y;</w:t>
      </w:r>
    </w:p>
    <w:p w:rsidR="003D2202" w:rsidRPr="00481C9B" w:rsidRDefault="0039799B">
      <w:pPr>
        <w:numPr>
          <w:ilvl w:val="3"/>
          <w:numId w:val="4"/>
        </w:numPr>
        <w:pBdr>
          <w:top w:val="nil"/>
          <w:left w:val="nil"/>
          <w:bottom w:val="nil"/>
          <w:right w:val="nil"/>
          <w:between w:val="nil"/>
        </w:pBdr>
        <w:tabs>
          <w:tab w:val="left" w:pos="709"/>
        </w:tabs>
        <w:spacing w:line="360" w:lineRule="auto"/>
        <w:ind w:left="709"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Documento donde conste la existencia y nombre del sistema de auditoría, seguimiento y control financiero que realiza el Sujeto Obligado. </w:t>
      </w: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 </w:t>
      </w: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De ser procedente, el Sujeto Obligado debe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3D2202" w:rsidRPr="00481C9B" w:rsidRDefault="0039799B">
      <w:pPr>
        <w:tabs>
          <w:tab w:val="left" w:pos="709"/>
        </w:tabs>
        <w:spacing w:line="360" w:lineRule="auto"/>
        <w:ind w:right="49"/>
        <w:jc w:val="both"/>
        <w:rPr>
          <w:rFonts w:ascii="Palatino Linotype" w:eastAsia="Palatino Linotype" w:hAnsi="Palatino Linotype" w:cs="Palatino Linotype"/>
        </w:rPr>
      </w:pPr>
      <w:r w:rsidRPr="00481C9B">
        <w:rPr>
          <w:rFonts w:ascii="Palatino Linotype" w:eastAsia="Palatino Linotype" w:hAnsi="Palatino Linotype" w:cs="Palatino Linotype"/>
        </w:rPr>
        <w:t xml:space="preserve">Para el caso de que el Sujeto Obligado no cuente con la información referida en el numeral 4), por no contar con un sistema de auditoría, seguimiento y control financiero, así como con expedientes relativos a procedimientos de invitación de cuando menos tres personas, por no haber realizado alguno bajo esta modalidad, deberá hacerlo del conocimiento del Particular de manera clara y precisa, en términos del artículo 19, fracción segunda de la Ley de Transparencia y Acceso a la Información Pública del Estado de México y Municipios. </w:t>
      </w:r>
    </w:p>
    <w:p w:rsidR="003D2202" w:rsidRPr="00481C9B" w:rsidRDefault="003D2202">
      <w:pPr>
        <w:tabs>
          <w:tab w:val="left" w:pos="709"/>
        </w:tabs>
        <w:spacing w:line="360" w:lineRule="auto"/>
        <w:ind w:right="49"/>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b/>
        </w:rPr>
        <w:t>Tercero. Notifíquese</w:t>
      </w:r>
      <w:r w:rsidRPr="00481C9B">
        <w:rPr>
          <w:rFonts w:ascii="Palatino Linotype" w:eastAsia="Palatino Linotype" w:hAnsi="Palatino Linotype" w:cs="Palatino Linotype"/>
        </w:rPr>
        <w:t xml:space="preserve"> vía Sistema de Acceso a la Información Mexiquense (SAIMEX), al Responsable de la Unidad de Transparencia del </w:t>
      </w:r>
      <w:r w:rsidRPr="00481C9B">
        <w:rPr>
          <w:rFonts w:ascii="Palatino Linotype" w:eastAsia="Palatino Linotype" w:hAnsi="Palatino Linotype" w:cs="Palatino Linotype"/>
          <w:b/>
        </w:rPr>
        <w:t>SUJETO OBLIGADO</w:t>
      </w:r>
      <w:r w:rsidRPr="00481C9B">
        <w:rPr>
          <w:rFonts w:ascii="Palatino Linotype" w:eastAsia="Palatino Linotype" w:hAnsi="Palatino Linotype" w:cs="Palatino Linotype"/>
        </w:rPr>
        <w:t xml:space="preserve">, para que conforme al artículo 186, último párrafo y 189, párrafo </w:t>
      </w:r>
      <w:r w:rsidRPr="00481C9B">
        <w:rPr>
          <w:rFonts w:ascii="Palatino Linotype" w:eastAsia="Palatino Linotype" w:hAnsi="Palatino Linotype" w:cs="Palatino Linotype"/>
        </w:rPr>
        <w:lastRenderedPageBreak/>
        <w:t>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b/>
        </w:rPr>
        <w:t>Cuarto.</w:t>
      </w:r>
      <w:r w:rsidRPr="00481C9B">
        <w:rPr>
          <w:rFonts w:ascii="Palatino Linotype" w:eastAsia="Palatino Linotype" w:hAnsi="Palatino Linotype" w:cs="Palatino Linotype"/>
        </w:rPr>
        <w:t xml:space="preserve"> </w:t>
      </w:r>
      <w:r w:rsidRPr="00481C9B">
        <w:rPr>
          <w:rFonts w:ascii="Palatino Linotype" w:eastAsia="Palatino Linotype" w:hAnsi="Palatino Linotype" w:cs="Palatino Linotype"/>
          <w:b/>
        </w:rPr>
        <w:t>NOTIFÍQUESE</w:t>
      </w:r>
      <w:r w:rsidRPr="00481C9B">
        <w:rPr>
          <w:rFonts w:ascii="Palatino Linotype" w:eastAsia="Palatino Linotype" w:hAnsi="Palatino Linotype" w:cs="Palatino Linotype"/>
        </w:rPr>
        <w:t xml:space="preserve"> al Recurrente la presente Resolución por la misma vía, asimismo, se hace de su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rPr>
      </w:pPr>
      <w:r w:rsidRPr="00481C9B">
        <w:rPr>
          <w:rFonts w:ascii="Palatino Linotype" w:eastAsia="Palatino Linotype" w:hAnsi="Palatino Linotype" w:cs="Palatino Linotype"/>
          <w:b/>
        </w:rPr>
        <w:t>Quinto.</w:t>
      </w:r>
      <w:r w:rsidRPr="00481C9B">
        <w:rPr>
          <w:rFonts w:ascii="Palatino Linotype" w:eastAsia="Palatino Linotype" w:hAnsi="Palatino Linotype" w:cs="Palatino Linotype"/>
        </w:rPr>
        <w:t xml:space="preserve"> Notifíquese vía Sistema de Acceso a la Información Mexiquense (SAIMEX), al </w:t>
      </w:r>
      <w:r w:rsidRPr="00481C9B">
        <w:rPr>
          <w:rFonts w:ascii="Palatino Linotype" w:eastAsia="Palatino Linotype" w:hAnsi="Palatino Linotype" w:cs="Palatino Linotype"/>
          <w:b/>
        </w:rPr>
        <w:t xml:space="preserve">RECURRENTE </w:t>
      </w:r>
      <w:r w:rsidRPr="00481C9B">
        <w:rPr>
          <w:rFonts w:ascii="Palatino Linotype" w:eastAsia="Palatino Linotype" w:hAnsi="Palatino Linotype" w:cs="Palatino Linotype"/>
        </w:rPr>
        <w:t xml:space="preserve">que la respuesta que dé el </w:t>
      </w:r>
      <w:r w:rsidRPr="00481C9B">
        <w:rPr>
          <w:rFonts w:ascii="Palatino Linotype" w:eastAsia="Palatino Linotype" w:hAnsi="Palatino Linotype" w:cs="Palatino Linotype"/>
          <w:b/>
        </w:rPr>
        <w:t>SUJETO OBLIGADO</w:t>
      </w:r>
      <w:r w:rsidRPr="00481C9B">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3D2202" w:rsidRPr="00481C9B" w:rsidRDefault="003D2202">
      <w:pPr>
        <w:spacing w:line="360" w:lineRule="auto"/>
        <w:jc w:val="both"/>
        <w:rPr>
          <w:rFonts w:ascii="Palatino Linotype" w:eastAsia="Palatino Linotype" w:hAnsi="Palatino Linotype" w:cs="Palatino Linotype"/>
        </w:rPr>
      </w:pPr>
    </w:p>
    <w:p w:rsidR="003D2202" w:rsidRPr="00481C9B" w:rsidRDefault="0039799B">
      <w:pPr>
        <w:spacing w:line="360" w:lineRule="auto"/>
        <w:jc w:val="both"/>
        <w:rPr>
          <w:rFonts w:ascii="Palatino Linotype" w:eastAsia="Palatino Linotype" w:hAnsi="Palatino Linotype" w:cs="Palatino Linotype"/>
          <w:b/>
        </w:rPr>
      </w:pPr>
      <w:r w:rsidRPr="00481C9B">
        <w:rPr>
          <w:rFonts w:ascii="Palatino Linotype" w:eastAsia="Palatino Linotype" w:hAnsi="Palatino Linotype" w:cs="Palatino Linotype"/>
          <w:b/>
        </w:rPr>
        <w:t xml:space="preserve">Sexto. Gírese </w:t>
      </w:r>
      <w:r w:rsidRPr="00481C9B">
        <w:rPr>
          <w:rFonts w:ascii="Palatino Linotype" w:eastAsia="Palatino Linotype" w:hAnsi="Palatino Linotype" w:cs="Palatino Linotype"/>
        </w:rPr>
        <w:t xml:space="preserve">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w:t>
      </w:r>
      <w:r w:rsidRPr="00481C9B">
        <w:rPr>
          <w:rFonts w:ascii="Palatino Linotype" w:eastAsia="Palatino Linotype" w:hAnsi="Palatino Linotype" w:cs="Palatino Linotype"/>
        </w:rPr>
        <w:lastRenderedPageBreak/>
        <w:t>determine lo conducente, en términos de lo señalado en el considerando</w:t>
      </w:r>
      <w:r w:rsidRPr="00481C9B">
        <w:rPr>
          <w:rFonts w:ascii="Palatino Linotype" w:eastAsia="Palatino Linotype" w:hAnsi="Palatino Linotype" w:cs="Palatino Linotype"/>
          <w:b/>
        </w:rPr>
        <w:t xml:space="preserve"> Cuarto </w:t>
      </w:r>
      <w:r w:rsidRPr="00481C9B">
        <w:rPr>
          <w:rFonts w:ascii="Palatino Linotype" w:eastAsia="Palatino Linotype" w:hAnsi="Palatino Linotype" w:cs="Palatino Linotype"/>
        </w:rPr>
        <w:t>de la presente resolución.</w:t>
      </w:r>
      <w:r w:rsidRPr="00481C9B">
        <w:rPr>
          <w:rFonts w:ascii="Palatino Linotype" w:eastAsia="Palatino Linotype" w:hAnsi="Palatino Linotype" w:cs="Palatino Linotype"/>
          <w:b/>
        </w:rPr>
        <w:t xml:space="preserve"> </w:t>
      </w:r>
    </w:p>
    <w:p w:rsidR="003D2202" w:rsidRPr="00481C9B" w:rsidRDefault="003D2202">
      <w:pPr>
        <w:spacing w:line="360" w:lineRule="auto"/>
        <w:jc w:val="both"/>
        <w:rPr>
          <w:rFonts w:ascii="Palatino Linotype" w:eastAsia="Palatino Linotype" w:hAnsi="Palatino Linotype" w:cs="Palatino Linotype"/>
          <w:b/>
        </w:rPr>
      </w:pPr>
    </w:p>
    <w:p w:rsidR="003D2202" w:rsidRPr="00481C9B" w:rsidRDefault="0039799B">
      <w:pPr>
        <w:spacing w:line="360" w:lineRule="auto"/>
        <w:jc w:val="both"/>
        <w:rPr>
          <w:rFonts w:ascii="Palatino Linotype" w:eastAsia="Palatino Linotype" w:hAnsi="Palatino Linotype" w:cs="Palatino Linotype"/>
          <w:b/>
        </w:rPr>
      </w:pPr>
      <w:bookmarkStart w:id="4" w:name="_heading=h.17dp8vu" w:colFirst="0" w:colLast="0"/>
      <w:bookmarkEnd w:id="4"/>
      <w:r w:rsidRPr="00481C9B">
        <w:rPr>
          <w:rFonts w:ascii="Palatino Linotype" w:eastAsia="Palatino Linotype" w:hAnsi="Palatino Linotype" w:cs="Palatino Linotype"/>
          <w:b/>
        </w:rPr>
        <w:t xml:space="preserve">Séptimo. </w:t>
      </w:r>
      <w:r w:rsidRPr="00481C9B">
        <w:rPr>
          <w:rFonts w:ascii="Palatino Linotype" w:eastAsia="Palatino Linotype" w:hAnsi="Palatino Linotype" w:cs="Palatino Linotype"/>
        </w:rPr>
        <w:t>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sidRPr="00481C9B">
        <w:rPr>
          <w:rFonts w:ascii="Palatino Linotype" w:eastAsia="Palatino Linotype" w:hAnsi="Palatino Linotype" w:cs="Palatino Linotype"/>
          <w:b/>
        </w:rPr>
        <w:t xml:space="preserve">  </w:t>
      </w:r>
    </w:p>
    <w:p w:rsidR="003D2202" w:rsidRPr="00481C9B" w:rsidRDefault="003D2202">
      <w:pPr>
        <w:spacing w:line="360" w:lineRule="auto"/>
        <w:jc w:val="both"/>
        <w:rPr>
          <w:rFonts w:ascii="Palatino Linotype" w:eastAsia="Palatino Linotype" w:hAnsi="Palatino Linotype" w:cs="Palatino Linotype"/>
          <w:b/>
        </w:rPr>
      </w:pPr>
    </w:p>
    <w:p w:rsidR="003D2202" w:rsidRPr="00481C9B" w:rsidRDefault="0039799B">
      <w:pPr>
        <w:spacing w:line="360" w:lineRule="auto"/>
        <w:jc w:val="both"/>
        <w:rPr>
          <w:rFonts w:ascii="Palatino Linotype" w:eastAsia="Palatino Linotype" w:hAnsi="Palatino Linotype" w:cs="Palatino Linotype"/>
          <w:sz w:val="20"/>
          <w:szCs w:val="20"/>
        </w:rPr>
      </w:pPr>
      <w:r w:rsidRPr="00481C9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SHARON CRISTINA MORALES MARTÍNEZ; MARÍA DEL ROSARIO MEJÍA AYALA; GUADALUPE RAMÍREZ PEÑA Y LUIS GUSTAVO PARRA NORIEGA; EN LA TRIGÉSIMA QUINTA SESIÓN ORDINARIA CELEBRADA EL VEINTIOCHO DE SEPTIEMBRE DE DOS MIL VEINTIDÓS, ANTE EL SECRETARIO TÉCNICO DEL PLENO, ALEXIS TAPIA RAMÍREZ.</w:t>
      </w:r>
    </w:p>
    <w:p w:rsidR="003D2202" w:rsidRPr="00481C9B" w:rsidRDefault="003D2202">
      <w:pPr>
        <w:spacing w:line="360" w:lineRule="auto"/>
        <w:jc w:val="both"/>
        <w:rPr>
          <w:rFonts w:ascii="Palatino Linotype" w:eastAsia="Palatino Linotype" w:hAnsi="Palatino Linotype" w:cs="Palatino Linotype"/>
          <w:sz w:val="20"/>
          <w:szCs w:val="20"/>
        </w:rPr>
      </w:pPr>
    </w:p>
    <w:p w:rsidR="003D2202" w:rsidRPr="00481C9B" w:rsidRDefault="003D2202">
      <w:pPr>
        <w:spacing w:line="360" w:lineRule="auto"/>
        <w:jc w:val="both"/>
        <w:rPr>
          <w:rFonts w:ascii="Palatino Linotype" w:eastAsia="Palatino Linotype" w:hAnsi="Palatino Linotype" w:cs="Palatino Linotype"/>
          <w:sz w:val="20"/>
          <w:szCs w:val="20"/>
        </w:rPr>
      </w:pPr>
    </w:p>
    <w:p w:rsidR="003D2202" w:rsidRPr="00481C9B" w:rsidRDefault="003D2202">
      <w:pPr>
        <w:spacing w:line="360" w:lineRule="auto"/>
        <w:jc w:val="both"/>
        <w:rPr>
          <w:rFonts w:ascii="Palatino Linotype" w:eastAsia="Palatino Linotype" w:hAnsi="Palatino Linotype" w:cs="Palatino Linotype"/>
          <w:sz w:val="20"/>
          <w:szCs w:val="20"/>
        </w:rPr>
      </w:pPr>
    </w:p>
    <w:sectPr w:rsidR="003D2202" w:rsidRPr="00481C9B">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D1A" w:rsidRDefault="003C7D1A">
      <w:r>
        <w:separator/>
      </w:r>
    </w:p>
  </w:endnote>
  <w:endnote w:type="continuationSeparator" w:id="0">
    <w:p w:rsidR="003C7D1A" w:rsidRDefault="003C7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C9B" w:rsidRDefault="00481C9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04C64">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04C64">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p>
  <w:p w:rsidR="00481C9B" w:rsidRDefault="00481C9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C9B" w:rsidRDefault="00481C9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04C6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04C64">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p>
  <w:p w:rsidR="00481C9B" w:rsidRDefault="00481C9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D1A" w:rsidRDefault="003C7D1A">
      <w:r>
        <w:separator/>
      </w:r>
    </w:p>
  </w:footnote>
  <w:footnote w:type="continuationSeparator" w:id="0">
    <w:p w:rsidR="003C7D1A" w:rsidRDefault="003C7D1A">
      <w:r>
        <w:continuationSeparator/>
      </w:r>
    </w:p>
  </w:footnote>
  <w:footnote w:id="1">
    <w:p w:rsidR="00481C9B" w:rsidRDefault="00481C9B">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481C9B" w:rsidRDefault="00481C9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C9B" w:rsidRDefault="00481C9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-784859</wp:posOffset>
          </wp:positionH>
          <wp:positionV relativeFrom="paragraph">
            <wp:posOffset>-577214</wp:posOffset>
          </wp:positionV>
          <wp:extent cx="7809865" cy="10165715"/>
          <wp:effectExtent l="0" t="0" r="0" b="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481C9B">
      <w:tc>
        <w:tcPr>
          <w:tcW w:w="2489" w:type="dxa"/>
          <w:shd w:val="clear" w:color="auto" w:fill="auto"/>
        </w:tcPr>
        <w:p w:rsidR="00481C9B" w:rsidRDefault="00481C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481C9B" w:rsidRDefault="00481C9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06929/INFOEM/IP/RR/2022</w:t>
          </w:r>
        </w:p>
      </w:tc>
    </w:tr>
    <w:tr w:rsidR="00481C9B">
      <w:trPr>
        <w:trHeight w:val="228"/>
      </w:trPr>
      <w:tc>
        <w:tcPr>
          <w:tcW w:w="2489" w:type="dxa"/>
          <w:shd w:val="clear" w:color="auto" w:fill="auto"/>
          <w:vAlign w:val="center"/>
        </w:tcPr>
        <w:p w:rsidR="00481C9B" w:rsidRDefault="00481C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481C9B" w:rsidRDefault="00481C9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Texcoco</w:t>
          </w:r>
        </w:p>
      </w:tc>
    </w:tr>
    <w:tr w:rsidR="00481C9B">
      <w:tc>
        <w:tcPr>
          <w:tcW w:w="2489" w:type="dxa"/>
          <w:shd w:val="clear" w:color="auto" w:fill="auto"/>
          <w:vAlign w:val="center"/>
        </w:tcPr>
        <w:p w:rsidR="00481C9B" w:rsidRDefault="00481C9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481C9B" w:rsidRDefault="00481C9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81C9B" w:rsidRDefault="00481C9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C9B" w:rsidRDefault="00481C9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2"/>
      <w:tblW w:w="5953" w:type="dxa"/>
      <w:tblInd w:w="3261" w:type="dxa"/>
      <w:tblLayout w:type="fixed"/>
      <w:tblLook w:val="0400" w:firstRow="0" w:lastRow="0" w:firstColumn="0" w:lastColumn="0" w:noHBand="0" w:noVBand="1"/>
    </w:tblPr>
    <w:tblGrid>
      <w:gridCol w:w="2551"/>
      <w:gridCol w:w="3402"/>
    </w:tblGrid>
    <w:tr w:rsidR="00481C9B">
      <w:tc>
        <w:tcPr>
          <w:tcW w:w="2551" w:type="dxa"/>
          <w:shd w:val="clear" w:color="auto" w:fill="auto"/>
          <w:vAlign w:val="center"/>
        </w:tcPr>
        <w:p w:rsidR="00481C9B" w:rsidRDefault="00481C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rsidR="00481C9B" w:rsidRDefault="00481C9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06929/INFOEM/IP/RR/2022</w:t>
          </w:r>
        </w:p>
      </w:tc>
    </w:tr>
    <w:tr w:rsidR="00481C9B">
      <w:trPr>
        <w:trHeight w:val="130"/>
      </w:trPr>
      <w:tc>
        <w:tcPr>
          <w:tcW w:w="2551" w:type="dxa"/>
          <w:shd w:val="clear" w:color="auto" w:fill="auto"/>
          <w:vAlign w:val="center"/>
        </w:tcPr>
        <w:p w:rsidR="00481C9B" w:rsidRDefault="00481C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rsidR="00481C9B" w:rsidRDefault="00481C9B">
          <w:pPr>
            <w:ind w:left="-45"/>
            <w:jc w:val="both"/>
            <w:rPr>
              <w:rFonts w:ascii="Palatino Linotype" w:eastAsia="Palatino Linotype" w:hAnsi="Palatino Linotype" w:cs="Palatino Linotype"/>
              <w:b/>
              <w:sz w:val="22"/>
              <w:szCs w:val="22"/>
            </w:rPr>
          </w:pPr>
        </w:p>
      </w:tc>
    </w:tr>
    <w:tr w:rsidR="00481C9B">
      <w:trPr>
        <w:trHeight w:val="228"/>
      </w:trPr>
      <w:tc>
        <w:tcPr>
          <w:tcW w:w="2551" w:type="dxa"/>
          <w:shd w:val="clear" w:color="auto" w:fill="auto"/>
          <w:vAlign w:val="center"/>
        </w:tcPr>
        <w:p w:rsidR="00481C9B" w:rsidRDefault="00481C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rsidR="00481C9B" w:rsidRDefault="00481C9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Texcoco</w:t>
          </w:r>
        </w:p>
      </w:tc>
    </w:tr>
    <w:tr w:rsidR="00481C9B">
      <w:tc>
        <w:tcPr>
          <w:tcW w:w="2551" w:type="dxa"/>
          <w:shd w:val="clear" w:color="auto" w:fill="auto"/>
          <w:vAlign w:val="center"/>
        </w:tcPr>
        <w:p w:rsidR="00481C9B" w:rsidRDefault="00481C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rsidR="00481C9B" w:rsidRDefault="00481C9B">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81C9B" w:rsidRDefault="00481C9B">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0</wp:posOffset>
          </wp:positionH>
          <wp:positionV relativeFrom="paragraph">
            <wp:posOffset>-1170939</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27315"/>
    <w:multiLevelType w:val="multilevel"/>
    <w:tmpl w:val="91D2CA5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EB018F"/>
    <w:multiLevelType w:val="multilevel"/>
    <w:tmpl w:val="0D90C7C0"/>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2EA10E6B"/>
    <w:multiLevelType w:val="multilevel"/>
    <w:tmpl w:val="A066D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C877CD"/>
    <w:multiLevelType w:val="multilevel"/>
    <w:tmpl w:val="660A1C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ED65852"/>
    <w:multiLevelType w:val="multilevel"/>
    <w:tmpl w:val="31145224"/>
    <w:lvl w:ilvl="0">
      <w:start w:val="1"/>
      <w:numFmt w:val="upperRoman"/>
      <w:lvlText w:val="%1."/>
      <w:lvlJc w:val="left"/>
      <w:pPr>
        <w:ind w:left="1560" w:hanging="720"/>
      </w:pPr>
      <w:rPr>
        <w:b/>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5" w15:restartNumberingAfterBreak="0">
    <w:nsid w:val="432D4A3D"/>
    <w:multiLevelType w:val="multilevel"/>
    <w:tmpl w:val="87925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A9161D1"/>
    <w:multiLevelType w:val="multilevel"/>
    <w:tmpl w:val="A1828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1171F83"/>
    <w:multiLevelType w:val="multilevel"/>
    <w:tmpl w:val="5EAC5B28"/>
    <w:lvl w:ilvl="0">
      <w:start w:val="1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1894C84"/>
    <w:multiLevelType w:val="multilevel"/>
    <w:tmpl w:val="31923F40"/>
    <w:lvl w:ilvl="0">
      <w:numFmt w:val="bullet"/>
      <w:pStyle w:val="Listaconvietas3"/>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62A219EF"/>
    <w:multiLevelType w:val="multilevel"/>
    <w:tmpl w:val="57944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013EA9"/>
    <w:multiLevelType w:val="multilevel"/>
    <w:tmpl w:val="58F05A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9836D4F"/>
    <w:multiLevelType w:val="multilevel"/>
    <w:tmpl w:val="5B40399A"/>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num w:numId="1">
    <w:abstractNumId w:val="4"/>
  </w:num>
  <w:num w:numId="2">
    <w:abstractNumId w:val="8"/>
  </w:num>
  <w:num w:numId="3">
    <w:abstractNumId w:val="11"/>
  </w:num>
  <w:num w:numId="4">
    <w:abstractNumId w:val="1"/>
  </w:num>
  <w:num w:numId="5">
    <w:abstractNumId w:val="9"/>
  </w:num>
  <w:num w:numId="6">
    <w:abstractNumId w:val="3"/>
  </w:num>
  <w:num w:numId="7">
    <w:abstractNumId w:val="7"/>
  </w:num>
  <w:num w:numId="8">
    <w:abstractNumId w:val="6"/>
  </w:num>
  <w:num w:numId="9">
    <w:abstractNumId w:val="2"/>
  </w:num>
  <w:num w:numId="10">
    <w:abstractNumId w:val="5"/>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202"/>
    <w:rsid w:val="00151DBA"/>
    <w:rsid w:val="0039799B"/>
    <w:rsid w:val="003C7D1A"/>
    <w:rsid w:val="003D2202"/>
    <w:rsid w:val="003D7234"/>
    <w:rsid w:val="00481C9B"/>
    <w:rsid w:val="00484A46"/>
    <w:rsid w:val="00573288"/>
    <w:rsid w:val="00F04C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C83376-4FFF-4AE6-8CAC-A48B2481A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character" w:customStyle="1" w:styleId="Mencinsinresolver3">
    <w:name w:val="Mención sin resolver3"/>
    <w:basedOn w:val="Fuentedeprrafopredeter"/>
    <w:uiPriority w:val="99"/>
    <w:semiHidden/>
    <w:unhideWhenUsed/>
    <w:rsid w:val="001B2F04"/>
    <w:rPr>
      <w:color w:val="605E5C"/>
      <w:shd w:val="clear" w:color="auto" w:fill="E1DFDD"/>
    </w:rPr>
  </w:style>
  <w:style w:type="character" w:customStyle="1" w:styleId="Mencinsinresolver4">
    <w:name w:val="Mención sin resolver4"/>
    <w:basedOn w:val="Fuentedeprrafopredeter"/>
    <w:uiPriority w:val="99"/>
    <w:semiHidden/>
    <w:unhideWhenUsed/>
    <w:rsid w:val="00BA69FC"/>
    <w:rPr>
      <w:color w:val="605E5C"/>
      <w:shd w:val="clear" w:color="auto" w:fill="E1DFDD"/>
    </w:rPr>
  </w:style>
  <w:style w:type="table" w:customStyle="1" w:styleId="a">
    <w:basedOn w:val="TableNormal"/>
    <w:rPr>
      <w:sz w:val="22"/>
      <w:szCs w:val="22"/>
    </w:r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pomex.org.mx/ipo3/lgt/indice/TEXCOCO/art_92_xxix_b.web?token=03AIIukziikckEdQ0DEce3voWAR3pizpLYI4_kSa8vfgfzwWHyyZNS8r0g-Ur8KhF_QNNN2v7JLQ5VUJ4LkvxqaMCrTEd05ti51rrYRUFrHkgAE5ZTgWC3_f7fQnUzT5rTiEmQcUop6XRmlAHyYV5pq0cyyKoLJmwhAidEPPy0-6tpL4DKwF1LAFF7f_w1pbWEtii4BEQ6Pmq5gLvhOR56qQRUjDbO4II5T9tcQeUcmTpai3nD3B6YPfwSDSAZaqbJFq3_wQraiNHLuRpPlfLGVOLUdGcgUOzmzgL9MKScP5VI2Mv18W8ZJhBD10hBNjT0EhgJsyksRXAWjk9Soz8N1MHmquTd9uftoqRmoWl35RK2Bcw7J9fK-bcbB0pQsYmIkMOdu9jQ0AHziCu-Z9_zvq0DyMzd0OszxML6POOHpD4kOVvyCC7n0KHDUrPtsRUCbrxq2rD5GdAu60JNLAX-jiG3FpwGZvd-gqrKyk3x4xAeRyBiHbr58vR7mlP6USx-80QO7yVR70uFoNPGmkP8U2LybKncff9KL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omex.org.mx/ipo3/lgt/indice/TEXCOCO/art_92_xxix_a.web?token=03AIIukzgqL6O6q_7BzE2SmNETFWSGxdkCQJxy9kfCxEB_8joL39uq1UN_X-_v3I3YqIMghJny4UrZGy63rFxmjxwHI538wwiV9wE1DHw4HvOpTTVzXoYASHYWwBvi11g83w-ztory-mEqv1T0LvI3I05xiZxpRtwzWDITnzuhU2ghR4-7nMVSIUZpNLCXdgXruHkMgMiILzqbvkWBVJ6Gkuc0lD6kIyzW57xmUF-E7mDz_7lYFjhVH_cbQslA0rZyn61C_biv3TkY3PFgwXz4scm8FY_ks0uFMeFySqiD2AFwgAKvWPRrz9jWYGO-O85Pkwa6_z2An2AZHC8YmBbCJK2WT557T7ojmBehvmGvKOphQIHvjPxhOMf9vAtHvMz_JcZs88gIqA6mqMsZqxenzycZdXW6iQ8hUpd0LDB84-SHxGe_sNx1CnpOcmEZcXGOQcz7xbAM0wmr8UWtBURbOSiZwUhtrtHPnDsJpbhI_SlhCR2BeWIZHBKLWkL7Z2qqRB1xxaBjKmxzqVnSqzWOAJ6GRedVVIUL7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Y2F3/omIIRk4Qltulem0FL3Fjw==">AMUW2mWQ0lcXfswTtHuJ+iOUIC7sXIE2T3vUxR1TXA0mUZw3+nhFaFDxu1EgBmEhrkb6zn4gitSbHRkMpFYBwGGJf3Tau5ZXgDMJUJquv//nhZYR716Bm0wKp0XJkzo6TcU3WdFj7ZPGLf8rckbn37Y5CeG3mGx8CdpVXLft+5epQqogG8HuRic=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16540</Words>
  <Characters>90972</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dcterms:created xsi:type="dcterms:W3CDTF">2022-10-04T22:54:00Z</dcterms:created>
  <dcterms:modified xsi:type="dcterms:W3CDTF">2022-10-04T22:54:00Z</dcterms:modified>
</cp:coreProperties>
</file>