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veintiuno de junio del dos mil veintidós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03634/INFOEM/IP/RR/2022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de manera anónima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lo sucesivo</w:t>
      </w:r>
      <w:r w:rsidDel="00000000" w:rsidR="00000000" w:rsidRPr="00000000">
        <w:rPr>
          <w:rFonts w:ascii="Palatino Linotype" w:cs="Palatino Linotype" w:eastAsia="Palatino Linotype" w:hAnsi="Palatino Linotype"/>
          <w:b w:val="1"/>
          <w:rtl w:val="0"/>
        </w:rPr>
        <w:t xml:space="preserve"> la 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Sistema Municipal Para el Desarrollo Integral de la Familia de Huehuetoca,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4">
      <w:pPr>
        <w:spacing w:after="240" w:before="240" w:line="360" w:lineRule="auto"/>
        <w:ind w:right="49"/>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A N T E C E D E N T E S</w:t>
      </w:r>
      <w:r w:rsidDel="00000000" w:rsidR="00000000" w:rsidRPr="00000000">
        <w:rPr>
          <w:rtl w:val="0"/>
        </w:rPr>
      </w:r>
    </w:p>
    <w:p w:rsidR="00000000" w:rsidDel="00000000" w:rsidP="00000000" w:rsidRDefault="00000000" w:rsidRPr="00000000" w14:paraId="0000000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veintidós de febrero de dos mil veintidós, la Recurrente</w:t>
      </w:r>
      <w:r w:rsidDel="00000000" w:rsidR="00000000" w:rsidRPr="00000000">
        <w:rPr>
          <w:rFonts w:ascii="Palatino Linotype" w:cs="Palatino Linotype" w:eastAsia="Palatino Linotype" w:hAnsi="Palatino Linotype"/>
          <w:rtl w:val="0"/>
        </w:rPr>
        <w:t xml:space="preserve"> 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00001/DIFHUEHUET/IP/2022,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6">
      <w:pPr>
        <w:spacing w:after="240" w:before="240"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“Solicito </w:t>
      </w:r>
      <w:r w:rsidDel="00000000" w:rsidR="00000000" w:rsidRPr="00000000">
        <w:rPr>
          <w:rFonts w:ascii="Palatino Linotype" w:cs="Palatino Linotype" w:eastAsia="Palatino Linotype" w:hAnsi="Palatino Linotype"/>
          <w:b w:val="1"/>
          <w:i w:val="1"/>
          <w:sz w:val="22"/>
          <w:szCs w:val="22"/>
          <w:rtl w:val="0"/>
        </w:rPr>
        <w:t xml:space="preserve">nómina ordinaria y extraordinaria de igual manera solicito si es que tienen bajo contrato, por tiempo indeterminado, obra determinado, así como por periodicidad del pago ya sea semanal, decenal, cartorcenal, quincenal y mensual de igual manera si manejan nómina de raya nombre cargo o puesto y sueldo de cada uno.</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0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 de la información:</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8">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a la solicitud de información. </w:t>
      </w:r>
      <w:r w:rsidDel="00000000" w:rsidR="00000000" w:rsidRPr="00000000">
        <w:rPr>
          <w:rFonts w:ascii="Palatino Linotype" w:cs="Palatino Linotype" w:eastAsia="Palatino Linotype" w:hAnsi="Palatino Linotype"/>
          <w:rtl w:val="0"/>
        </w:rPr>
        <w:t xml:space="preserve">En fecha</w:t>
      </w:r>
      <w:r w:rsidDel="00000000" w:rsidR="00000000" w:rsidRPr="00000000">
        <w:rPr>
          <w:rFonts w:ascii="Palatino Linotype" w:cs="Palatino Linotype" w:eastAsia="Palatino Linotype" w:hAnsi="Palatino Linotype"/>
          <w:b w:val="1"/>
          <w:rtl w:val="0"/>
        </w:rPr>
        <w:t xml:space="preserve"> ocho de marzo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del SAIMEX notificó la respuesta a la solicitud de información sustancialmente en los siguientes términos: </w:t>
      </w:r>
      <w:r w:rsidDel="00000000" w:rsidR="00000000" w:rsidRPr="00000000">
        <w:rPr>
          <w:rtl w:val="0"/>
        </w:rPr>
      </w:r>
    </w:p>
    <w:p w:rsidR="00000000" w:rsidDel="00000000" w:rsidP="00000000" w:rsidRDefault="00000000" w:rsidRPr="00000000" w14:paraId="00000009">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A">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entrega respuesta a su solicitud de transparencia</w:t>
      </w:r>
    </w:p>
    <w:p w:rsidR="00000000" w:rsidDel="00000000" w:rsidP="00000000" w:rsidRDefault="00000000" w:rsidRPr="00000000" w14:paraId="0000000B">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DIFHUEHUET . .” (Sic) </w:t>
      </w:r>
    </w:p>
    <w:p w:rsidR="00000000" w:rsidDel="00000000" w:rsidP="00000000" w:rsidRDefault="00000000" w:rsidRPr="00000000" w14:paraId="0000000D">
      <w:pPr>
        <w:spacing w:after="240" w:before="240" w:line="360" w:lineRule="auto"/>
        <w:ind w:left="567" w:right="900"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Archivos adjuntos: Ninguno</w:t>
      </w:r>
    </w:p>
    <w:p w:rsidR="00000000" w:rsidDel="00000000" w:rsidP="00000000" w:rsidRDefault="00000000" w:rsidRPr="00000000" w14:paraId="0000000E">
      <w:pPr>
        <w:spacing w:after="240" w:before="240" w:line="360" w:lineRule="auto"/>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la respuesta,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interpuso el recurso de revisión materia del presente estudio el día </w:t>
      </w:r>
      <w:r w:rsidDel="00000000" w:rsidR="00000000" w:rsidRPr="00000000">
        <w:rPr>
          <w:rFonts w:ascii="Palatino Linotype" w:cs="Palatino Linotype" w:eastAsia="Palatino Linotype" w:hAnsi="Palatino Linotype"/>
          <w:b w:val="1"/>
          <w:rtl w:val="0"/>
        </w:rPr>
        <w:t xml:space="preserve">nueve de marzo de dos mil veintidós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el que expresó lo siguiente: </w:t>
      </w:r>
      <w:r w:rsidDel="00000000" w:rsidR="00000000" w:rsidRPr="00000000">
        <w:rPr>
          <w:rtl w:val="0"/>
        </w:rPr>
      </w:r>
    </w:p>
    <w:p w:rsidR="00000000" w:rsidDel="00000000" w:rsidP="00000000" w:rsidRDefault="00000000" w:rsidRPr="00000000" w14:paraId="0000000F">
      <w:pPr>
        <w:spacing w:after="240" w:before="240" w:line="360"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Acto impugnado: </w:t>
      </w:r>
      <w:r w:rsidDel="00000000" w:rsidR="00000000" w:rsidRPr="00000000">
        <w:rPr>
          <w:rtl w:val="0"/>
        </w:rPr>
      </w:r>
    </w:p>
    <w:p w:rsidR="00000000" w:rsidDel="00000000" w:rsidP="00000000" w:rsidRDefault="00000000" w:rsidRPr="00000000" w14:paraId="00000010">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presenta ninguna respuesta.” (Sic)</w:t>
      </w:r>
    </w:p>
    <w:p w:rsidR="00000000" w:rsidDel="00000000" w:rsidP="00000000" w:rsidRDefault="00000000" w:rsidRPr="00000000" w14:paraId="00000011">
      <w:pPr>
        <w:spacing w:after="240" w:before="240" w:line="360" w:lineRule="auto"/>
        <w:ind w:left="567"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2">
      <w:pPr>
        <w:spacing w:after="240" w:before="240" w:line="360" w:lineRule="auto"/>
        <w:ind w:left="567"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“El titular de transparencia no proporciona ninguna respuesta a la solicitud.” (Sic)</w:t>
      </w:r>
      <w:r w:rsidDel="00000000" w:rsidR="00000000" w:rsidRPr="00000000">
        <w:rPr>
          <w:rtl w:val="0"/>
        </w:rPr>
      </w:r>
    </w:p>
    <w:p w:rsidR="00000000" w:rsidDel="00000000" w:rsidP="00000000" w:rsidRDefault="00000000" w:rsidRPr="00000000" w14:paraId="00000013">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4">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del Recurso.</w:t>
      </w:r>
      <w:r w:rsidDel="00000000" w:rsidR="00000000" w:rsidRPr="00000000">
        <w:rPr>
          <w:rFonts w:ascii="Palatino Linotype" w:cs="Palatino Linotype" w:eastAsia="Palatino Linotype" w:hAnsi="Palatino Linotype"/>
          <w:rtl w:val="0"/>
        </w:rPr>
        <w:t xml:space="preserve"> El día</w:t>
      </w:r>
      <w:r w:rsidDel="00000000" w:rsidR="00000000" w:rsidRPr="00000000">
        <w:rPr>
          <w:rFonts w:ascii="Palatino Linotype" w:cs="Palatino Linotype" w:eastAsia="Palatino Linotype" w:hAnsi="Palatino Linotype"/>
          <w:b w:val="1"/>
          <w:rtl w:val="0"/>
        </w:rPr>
        <w:t xml:space="preserve"> catorce de marzo de dos mil veintidós </w:t>
      </w:r>
      <w:r w:rsidDel="00000000" w:rsidR="00000000" w:rsidRPr="00000000">
        <w:rPr>
          <w:rFonts w:ascii="Palatino Linotype" w:cs="Palatino Linotype" w:eastAsia="Palatino Linotype" w:hAnsi="Palatino Linotype"/>
          <w:rtl w:val="0"/>
        </w:rPr>
        <w:t xml:space="preserve">se admitió a trámite el presente recurso de revisión a efecto de integrar el expediente respectivo; fue puesto a disposición de las partes por siete días hábiles para que ofrecieran pruebas y manifestaran lo que a su derecho convenga.</w:t>
      </w:r>
    </w:p>
    <w:p w:rsidR="00000000" w:rsidDel="00000000" w:rsidP="00000000" w:rsidRDefault="00000000" w:rsidRPr="00000000" w14:paraId="00000015">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constancias del expediente electrónico del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 informe justificado el </w:t>
      </w:r>
      <w:r w:rsidDel="00000000" w:rsidR="00000000" w:rsidRPr="00000000">
        <w:rPr>
          <w:rFonts w:ascii="Palatino Linotype" w:cs="Palatino Linotype" w:eastAsia="Palatino Linotype" w:hAnsi="Palatino Linotype"/>
          <w:b w:val="1"/>
          <w:rtl w:val="0"/>
        </w:rPr>
        <w:t xml:space="preserve">dieciocho de marzo de dos mil veintidós </w:t>
      </w:r>
      <w:r w:rsidDel="00000000" w:rsidR="00000000" w:rsidRPr="00000000">
        <w:rPr>
          <w:rFonts w:ascii="Palatino Linotype" w:cs="Palatino Linotype" w:eastAsia="Palatino Linotype" w:hAnsi="Palatino Linotype"/>
          <w:rtl w:val="0"/>
        </w:rPr>
        <w:t xml:space="preserve">mediante los documentos electrónicos </w:t>
      </w:r>
      <w:r w:rsidDel="00000000" w:rsidR="00000000" w:rsidRPr="00000000">
        <w:rPr>
          <w:rFonts w:ascii="Palatino Linotype" w:cs="Palatino Linotype" w:eastAsia="Palatino Linotype" w:hAnsi="Palatino Linotype"/>
          <w:b w:val="1"/>
          <w:i w:val="1"/>
          <w:rtl w:val="0"/>
        </w:rPr>
        <w:t xml:space="preserve">“SUELDO BRUTOS FEBRERO 2022 (1).xlsx” y “acta de #2.pdf”</w:t>
      </w:r>
      <w:r w:rsidDel="00000000" w:rsidR="00000000" w:rsidRPr="00000000">
        <w:rPr>
          <w:rFonts w:ascii="Palatino Linotype" w:cs="Palatino Linotype" w:eastAsia="Palatino Linotype" w:hAnsi="Palatino Linotype"/>
          <w:rtl w:val="0"/>
        </w:rPr>
        <w:t xml:space="preserve">, mismos que se describen a continuación: </w:t>
      </w:r>
    </w:p>
    <w:p w:rsidR="00000000" w:rsidDel="00000000" w:rsidP="00000000" w:rsidRDefault="00000000" w:rsidRPr="00000000" w14:paraId="00000016">
      <w:pPr>
        <w:widowControl w:val="0"/>
        <w:spacing w:after="240" w:before="240" w:line="360" w:lineRule="auto"/>
        <w:ind w:left="567"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“acta de #2.pdf”: </w:t>
      </w:r>
      <w:r w:rsidDel="00000000" w:rsidR="00000000" w:rsidRPr="00000000">
        <w:rPr>
          <w:rFonts w:ascii="Palatino Linotype" w:cs="Palatino Linotype" w:eastAsia="Palatino Linotype" w:hAnsi="Palatino Linotype"/>
          <w:rtl w:val="0"/>
        </w:rPr>
        <w:t xml:space="preserve">Acta de la Segunda Sesión Ordinaria del Comité de Transparencia del SMDIF Huehuetoca, mediante la cual se aprueba la creación de la versión pública de la nómina ordinaria y extraordinaria del SMDIF. </w:t>
      </w:r>
    </w:p>
    <w:p w:rsidR="00000000" w:rsidDel="00000000" w:rsidP="00000000" w:rsidRDefault="00000000" w:rsidRPr="00000000" w14:paraId="00000017">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29250" cy="6924675"/>
            <wp:effectExtent b="0" l="0" r="0" t="0"/>
            <wp:docPr id="13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429250" cy="69246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tabs>
          <w:tab w:val="left" w:pos="8505"/>
        </w:tabs>
        <w:spacing w:after="240" w:before="240" w:line="360"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“SUELDO BRUTOS FEBRERO 2022 (1).xlsx”: </w:t>
      </w:r>
      <w:r w:rsidDel="00000000" w:rsidR="00000000" w:rsidRPr="00000000">
        <w:rPr>
          <w:rFonts w:ascii="Palatino Linotype" w:cs="Palatino Linotype" w:eastAsia="Palatino Linotype" w:hAnsi="Palatino Linotype"/>
          <w:rtl w:val="0"/>
        </w:rPr>
        <w:t xml:space="preserve">Contiene la nómina de la primera quincena del mes de febrero de 2022.</w:t>
      </w:r>
    </w:p>
    <w:p w:rsidR="00000000" w:rsidDel="00000000" w:rsidP="00000000" w:rsidRDefault="00000000" w:rsidRPr="00000000" w14:paraId="00000019">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81650" cy="2543175"/>
            <wp:effectExtent b="0" l="0" r="0" t="0"/>
            <wp:docPr id="142"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58165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360" w:lineRule="auto"/>
        <w:ind w:right="49"/>
        <w:jc w:val="both"/>
        <w:rPr>
          <w:rFonts w:ascii="Palatino Linotype" w:cs="Palatino Linotype" w:eastAsia="Palatino Linotype" w:hAnsi="Palatino Linotype"/>
        </w:rPr>
      </w:pPr>
      <w:bookmarkStart w:colFirst="0" w:colLast="0" w:name="_heading=h.1fob9te" w:id="0"/>
      <w:bookmarkEnd w:id="0"/>
      <w:r w:rsidDel="00000000" w:rsidR="00000000" w:rsidRPr="00000000">
        <w:rPr>
          <w:rFonts w:ascii="Palatino Linotype" w:cs="Palatino Linotype" w:eastAsia="Palatino Linotype" w:hAnsi="Palatino Linotype"/>
          <w:rtl w:val="0"/>
        </w:rPr>
        <w:t xml:space="preserve">Es de señalar que esta documentación se puso a la vista de la particular mediante acuerdo emitido por la Comisionada Ponente, en fecha </w:t>
      </w:r>
      <w:r w:rsidDel="00000000" w:rsidR="00000000" w:rsidRPr="00000000">
        <w:rPr>
          <w:rFonts w:ascii="Palatino Linotype" w:cs="Palatino Linotype" w:eastAsia="Palatino Linotype" w:hAnsi="Palatino Linotype"/>
          <w:b w:val="1"/>
          <w:rtl w:val="0"/>
        </w:rPr>
        <w:t xml:space="preserve">trece de junio de dos mil veintidós</w:t>
      </w:r>
      <w:r w:rsidDel="00000000" w:rsidR="00000000" w:rsidRPr="00000000">
        <w:rPr>
          <w:rFonts w:ascii="Palatino Linotype" w:cs="Palatino Linotype" w:eastAsia="Palatino Linotype" w:hAnsi="Palatino Linotype"/>
          <w:rtl w:val="0"/>
        </w:rPr>
        <w:t xml:space="preserve">, asimismo por cuanto hace a la parte Recurrente, se tiene que fue omiso en presentar manifestaciones, pruebas y/o alegatos en la etapa procedimental previamente reconocida en nuestra Ley de Transparencia, por lo cual se tiene por precluido su derecho.</w:t>
      </w:r>
    </w:p>
    <w:p w:rsidR="00000000" w:rsidDel="00000000" w:rsidP="00000000" w:rsidRDefault="00000000" w:rsidRPr="00000000" w14:paraId="0000001B">
      <w:pPr>
        <w:widowControl w:val="0"/>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72125" cy="1562100"/>
            <wp:effectExtent b="0" l="0" r="0" t="0"/>
            <wp:docPr id="14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57212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diez de junio de dos mil veintidós</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Del="00000000" w:rsidR="00000000" w:rsidRPr="00000000">
        <w:rPr>
          <w:rFonts w:ascii="Palatino Linotype" w:cs="Palatino Linotype" w:eastAsia="Palatino Linotype" w:hAnsi="Palatino Linotype"/>
          <w:b w:val="1"/>
          <w:rtl w:val="0"/>
        </w:rPr>
        <w:t xml:space="preserve">veintiuno</w:t>
      </w:r>
      <w:r w:rsidDel="00000000" w:rsidR="00000000" w:rsidRPr="00000000">
        <w:rPr>
          <w:rFonts w:ascii="Palatino Linotype" w:cs="Palatino Linotype" w:eastAsia="Palatino Linotype" w:hAnsi="Palatino Linotype"/>
          <w:b w:val="1"/>
          <w:color w:val="000000"/>
          <w:rtl w:val="0"/>
        </w:rPr>
        <w:t xml:space="preserve"> de junio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se procedió a decretar el cierre de instrucción respectivo y no existiendo diligencia pendiente de desahogo, se ordenó emitir la resolución que conforme a derecho proceda.</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F">
      <w:pPr>
        <w:spacing w:after="240" w:before="24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CONSIDERANDO</w:t>
      </w:r>
    </w:p>
    <w:p w:rsidR="00000000" w:rsidDel="00000000" w:rsidP="00000000" w:rsidRDefault="00000000" w:rsidRPr="00000000" w14:paraId="00000020">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Competencia.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highlight w:val="white"/>
          <w:rtl w:val="0"/>
        </w:rPr>
        <w:t xml:space="preserve">la parte 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en fecha </w:t>
      </w:r>
      <w:r w:rsidDel="00000000" w:rsidR="00000000" w:rsidRPr="00000000">
        <w:rPr>
          <w:rFonts w:ascii="Palatino Linotype" w:cs="Palatino Linotype" w:eastAsia="Palatino Linotype" w:hAnsi="Palatino Linotype"/>
          <w:b w:val="1"/>
          <w:rtl w:val="0"/>
        </w:rPr>
        <w:t xml:space="preserve">ocho de marzo del año dos mil veintidós</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presentó su recurso de revisión el </w:t>
      </w:r>
      <w:r w:rsidDel="00000000" w:rsidR="00000000" w:rsidRPr="00000000">
        <w:rPr>
          <w:rFonts w:ascii="Palatino Linotype" w:cs="Palatino Linotype" w:eastAsia="Palatino Linotype" w:hAnsi="Palatino Linotype"/>
          <w:b w:val="1"/>
          <w:rtl w:val="0"/>
        </w:rPr>
        <w:t xml:space="preserve">nueve de marzo de dos mil veintidós</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primer día hábil</w:t>
      </w:r>
      <w:r w:rsidDel="00000000" w:rsidR="00000000" w:rsidRPr="00000000">
        <w:rPr>
          <w:rFonts w:ascii="Palatino Linotype" w:cs="Palatino Linotype" w:eastAsia="Palatino Linotype" w:hAnsi="Palatino Linotype"/>
          <w:rtl w:val="0"/>
        </w:rPr>
        <w:t xml:space="preserve"> en el que tuvo conocimiento de la respuesta. </w:t>
      </w:r>
    </w:p>
    <w:p w:rsidR="00000000" w:rsidDel="00000000" w:rsidP="00000000" w:rsidRDefault="00000000" w:rsidRPr="00000000" w14:paraId="00000022">
      <w:pPr>
        <w:spacing w:after="240" w:before="240"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24">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 </w:t>
      </w:r>
    </w:p>
    <w:p w:rsidR="00000000" w:rsidDel="00000000" w:rsidP="00000000" w:rsidRDefault="00000000" w:rsidRPr="00000000" w14:paraId="00000025">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negativa a la información solicitada;</w:t>
      </w:r>
    </w:p>
    <w:p w:rsidR="00000000" w:rsidDel="00000000" w:rsidP="00000000" w:rsidRDefault="00000000" w:rsidRPr="00000000" w14:paraId="00000026">
      <w:pPr>
        <w:spacing w:after="240" w:before="240" w:line="276" w:lineRule="auto"/>
        <w:ind w:right="615"/>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Recurrente, o en su defecto, en caso de ser procedente, ordenar la entrega de información oportuna.</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29">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2A">
      <w:pPr>
        <w:tabs>
          <w:tab w:val="left" w:pos="709"/>
        </w:tabs>
        <w:spacing w:after="240" w:before="240" w:line="276"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2B">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2C">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D">
      <w:pPr>
        <w:spacing w:after="240" w:before="240"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2E">
      <w:pPr>
        <w:spacing w:after="240" w:before="240"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F">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30">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31">
      <w:pPr>
        <w:spacing w:after="240" w:before="240"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32">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33">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34">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35">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36">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8">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9">
      <w:pPr>
        <w:spacing w:after="240" w:before="240" w:line="276"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A">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3C">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D">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w:t>
      </w:r>
      <w:r w:rsidDel="00000000" w:rsidR="00000000" w:rsidRPr="00000000">
        <w:rPr>
          <w:rFonts w:ascii="Palatino Linotype" w:cs="Palatino Linotype" w:eastAsia="Palatino Linotype" w:hAnsi="Palatino Linotype"/>
          <w:rtl w:val="0"/>
        </w:rPr>
        <w:t xml:space="preserve">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3F">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40">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041">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5">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6">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7">
      <w:pPr>
        <w:spacing w:after="240" w:before="240" w:line="276"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9">
      <w:pPr>
        <w:spacing w:after="240" w:before="240"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4A">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B">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pacing w:after="240" w:before="240" w:line="276"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after="240" w:before="240" w:line="276" w:lineRule="auto"/>
        <w:ind w:left="567" w:right="567"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4E">
      <w:pPr>
        <w:spacing w:after="240" w:before="240" w:line="276" w:lineRule="auto"/>
        <w:ind w:left="567" w:right="567"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(Sic)</w:t>
      </w:r>
      <w:r w:rsidDel="00000000" w:rsidR="00000000" w:rsidRPr="00000000">
        <w:rPr>
          <w:rtl w:val="0"/>
        </w:rPr>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profundizar en el estudio del presente asunto, es conveniente recordar que la parte solicitante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240" w:before="240" w:line="360" w:lineRule="auto"/>
        <w:ind w:left="567" w:right="851" w:hanging="141"/>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Nómina ordinaria y extraordinaria de igual manera solicito si es que tienen bajo contrato, por tiempo indeterminado, obra determinado, así como por periodicidad del pago ya sea semanal, decenal, </w:t>
      </w:r>
      <w:r w:rsidDel="00000000" w:rsidR="00000000" w:rsidRPr="00000000">
        <w:rPr>
          <w:rFonts w:ascii="Palatino Linotype" w:cs="Palatino Linotype" w:eastAsia="Palatino Linotype" w:hAnsi="Palatino Linotype"/>
          <w:b w:val="1"/>
          <w:rtl w:val="0"/>
        </w:rPr>
        <w:t xml:space="preserve">catorcenal</w:t>
      </w:r>
      <w:r w:rsidDel="00000000" w:rsidR="00000000" w:rsidRPr="00000000">
        <w:rPr>
          <w:rFonts w:ascii="Palatino Linotype" w:cs="Palatino Linotype" w:eastAsia="Palatino Linotype" w:hAnsi="Palatino Linotype"/>
          <w:b w:val="1"/>
          <w:color w:val="000000"/>
          <w:rtl w:val="0"/>
        </w:rPr>
        <w:t xml:space="preserve">, quincenal y mensual de igual manera si manejan nómina de raya nombre cargo o puesto y sueldo de cada uno.</w:t>
      </w:r>
    </w:p>
    <w:p w:rsidR="00000000" w:rsidDel="00000000" w:rsidP="00000000" w:rsidRDefault="00000000" w:rsidRPr="00000000" w14:paraId="00000052">
      <w:pPr>
        <w:tabs>
          <w:tab w:val="left" w:pos="7513"/>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 </w:t>
      </w:r>
      <w:r w:rsidDel="00000000" w:rsidR="00000000" w:rsidRPr="00000000">
        <w:rPr>
          <w:rFonts w:ascii="Palatino Linotype" w:cs="Palatino Linotype" w:eastAsia="Palatino Linotype" w:hAnsi="Palatino Linotype"/>
          <w:i w:val="1"/>
          <w:rtl w:val="0"/>
        </w:rPr>
        <w:t xml:space="preserve">“Se entrega respuesta a su solicitud de transparencia”, </w:t>
      </w:r>
      <w:r w:rsidDel="00000000" w:rsidR="00000000" w:rsidRPr="00000000">
        <w:rPr>
          <w:rFonts w:ascii="Palatino Linotype" w:cs="Palatino Linotype" w:eastAsia="Palatino Linotype" w:hAnsi="Palatino Linotype"/>
          <w:rtl w:val="0"/>
        </w:rPr>
        <w:t xml:space="preserve">sin que obrara algún archivo en respuesta.</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Conocida la respuesta a la solicitud de información, el particular, al no estar conforme con los términos de la misma, interpuso el recurso de revisión que nos ocupa, donde señaló como motivos de inconformidad: </w:t>
      </w:r>
      <w:r w:rsidDel="00000000" w:rsidR="00000000" w:rsidRPr="00000000">
        <w:rPr>
          <w:rFonts w:ascii="Palatino Linotype" w:cs="Palatino Linotype" w:eastAsia="Palatino Linotype" w:hAnsi="Palatino Linotype"/>
          <w:b w:val="1"/>
          <w:i w:val="1"/>
          <w:u w:val="single"/>
          <w:rtl w:val="0"/>
        </w:rPr>
        <w:t xml:space="preserve">“El titular de transparencia no proporciona ninguna respuesta a la solicitud.”</w:t>
      </w:r>
      <w:r w:rsidDel="00000000" w:rsidR="00000000" w:rsidRPr="00000000">
        <w:rPr>
          <w:rFonts w:ascii="Palatino Linotype" w:cs="Palatino Linotype" w:eastAsia="Palatino Linotype" w:hAnsi="Palatino Linotype"/>
          <w:i w:val="1"/>
          <w:rtl w:val="0"/>
        </w:rPr>
        <w:t xml:space="preserve"> (Sic)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durante la etapa de manifestaciones,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 informe justificado mediante el cual remitió los siguientes archivos electrónicos: </w:t>
      </w:r>
    </w:p>
    <w:p w:rsidR="00000000" w:rsidDel="00000000" w:rsidP="00000000" w:rsidRDefault="00000000" w:rsidRPr="00000000" w14:paraId="00000055">
      <w:pPr>
        <w:spacing w:after="240" w:before="240" w:line="360" w:lineRule="auto"/>
        <w:ind w:left="567"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“acta de #2.pdf”: </w:t>
      </w:r>
      <w:r w:rsidDel="00000000" w:rsidR="00000000" w:rsidRPr="00000000">
        <w:rPr>
          <w:rFonts w:ascii="Palatino Linotype" w:cs="Palatino Linotype" w:eastAsia="Palatino Linotype" w:hAnsi="Palatino Linotype"/>
          <w:rtl w:val="0"/>
        </w:rPr>
        <w:t xml:space="preserve">Acta de la Segunda Sesión Ordinaria del Comité de Transparencia del SMDIF Huehuetoca, mediante la cual se aprueba </w:t>
      </w:r>
      <w:r w:rsidDel="00000000" w:rsidR="00000000" w:rsidRPr="00000000">
        <w:rPr>
          <w:rFonts w:ascii="Palatino Linotype" w:cs="Palatino Linotype" w:eastAsia="Palatino Linotype" w:hAnsi="Palatino Linotype"/>
          <w:b w:val="1"/>
          <w:u w:val="single"/>
          <w:rtl w:val="0"/>
        </w:rPr>
        <w:t xml:space="preserve">la creación</w:t>
      </w:r>
      <w:r w:rsidDel="00000000" w:rsidR="00000000" w:rsidRPr="00000000">
        <w:rPr>
          <w:rFonts w:ascii="Palatino Linotype" w:cs="Palatino Linotype" w:eastAsia="Palatino Linotype" w:hAnsi="Palatino Linotype"/>
          <w:rtl w:val="0"/>
        </w:rPr>
        <w:t xml:space="preserve"> de la versión pública de la nómina ordinaria y extraordinaria del SMDIF. </w:t>
      </w:r>
    </w:p>
    <w:p w:rsidR="00000000" w:rsidDel="00000000" w:rsidP="00000000" w:rsidRDefault="00000000" w:rsidRPr="00000000" w14:paraId="00000056">
      <w:pPr>
        <w:spacing w:after="240" w:before="240" w:line="360" w:lineRule="auto"/>
        <w:ind w:left="567"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“SUELDO BRUTOS FEBRERO 2022 (1).xlsx”: </w:t>
      </w:r>
      <w:r w:rsidDel="00000000" w:rsidR="00000000" w:rsidRPr="00000000">
        <w:rPr>
          <w:rFonts w:ascii="Palatino Linotype" w:cs="Palatino Linotype" w:eastAsia="Palatino Linotype" w:hAnsi="Palatino Linotype"/>
          <w:rtl w:val="0"/>
        </w:rPr>
        <w:t xml:space="preserve">Contiene la nómina de la primera quincena del mes de febrero de 2022.</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cuanto hace a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se tiene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no emitió alegatos, manifestaciones o pronunciamiento alguno que a su derecho conviniera, luego entonces, se tiene por precluido su derecho para tal efecto.</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a efecto de garantizar el efectivo ejercicio del derecho de acceso a la información pública que asiste al particular, resulta conveniente entrar al estudio de las siguientes consideraciones de hecho y derecho: </w:t>
      </w:r>
    </w:p>
    <w:p w:rsidR="00000000" w:rsidDel="00000000" w:rsidP="00000000" w:rsidRDefault="00000000" w:rsidRPr="00000000" w14:paraId="0000005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primera instancia, resulta importante señalar que del análisis a las aportaciones novedosas remitidas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informe justificado, se advierte que en el Acta de la Segunda Sesión Ordinaria del Comité de Transparencia, se aprobó </w:t>
      </w:r>
      <w:r w:rsidDel="00000000" w:rsidR="00000000" w:rsidRPr="00000000">
        <w:rPr>
          <w:rFonts w:ascii="Palatino Linotype" w:cs="Palatino Linotype" w:eastAsia="Palatino Linotype" w:hAnsi="Palatino Linotype"/>
          <w:b w:val="1"/>
          <w:u w:val="single"/>
          <w:rtl w:val="0"/>
        </w:rPr>
        <w:t xml:space="preserve">la creación</w:t>
      </w:r>
      <w:r w:rsidDel="00000000" w:rsidR="00000000" w:rsidRPr="00000000">
        <w:rPr>
          <w:rFonts w:ascii="Palatino Linotype" w:cs="Palatino Linotype" w:eastAsia="Palatino Linotype" w:hAnsi="Palatino Linotype"/>
          <w:rtl w:val="0"/>
        </w:rPr>
        <w:t xml:space="preserve"> de la versión pública de información reservada o confidencial de la nómina ordinaria y extraordinaria del Sistema Municipal DIF, que obra en los archivos de la Tesorería del Sujeto Obligado, quien es la unidad administrativa competente para contar con la información, ello encuentra sustento en el artículo 15 de la Ley Que Crea Los Organismos Públicos Descentralizados de Asistencia Social, de Carácter Municipal, Denominados "Sistemas Municipales Para el Desarrollo Integral de la Familia”, la Tesorería contará con las siguientes atribuciones: </w:t>
      </w:r>
    </w:p>
    <w:p w:rsidR="00000000" w:rsidDel="00000000" w:rsidP="00000000" w:rsidRDefault="00000000" w:rsidRPr="00000000" w14:paraId="0000005A">
      <w:pPr>
        <w:spacing w:after="280" w:before="280"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15.- </w:t>
      </w:r>
      <w:r w:rsidDel="00000000" w:rsidR="00000000" w:rsidRPr="00000000">
        <w:rPr>
          <w:rFonts w:ascii="Palatino Linotype" w:cs="Palatino Linotype" w:eastAsia="Palatino Linotype" w:hAnsi="Palatino Linotype"/>
          <w:b w:val="1"/>
          <w:i w:val="1"/>
          <w:sz w:val="22"/>
          <w:szCs w:val="22"/>
          <w:rtl w:val="0"/>
        </w:rPr>
        <w:t xml:space="preserve">El Tesorero será el responsable del manejo del presupuesto del Sistema Municipal, y de la administración de los recursos que conforman el patrimonio del organismo</w:t>
      </w:r>
      <w:r w:rsidDel="00000000" w:rsidR="00000000" w:rsidRPr="00000000">
        <w:rPr>
          <w:rFonts w:ascii="Palatino Linotype" w:cs="Palatino Linotype" w:eastAsia="Palatino Linotype" w:hAnsi="Palatino Linotype"/>
          <w:i w:val="1"/>
          <w:sz w:val="22"/>
          <w:szCs w:val="22"/>
          <w:rtl w:val="0"/>
        </w:rPr>
        <w:t xml:space="preserve">, lo cual hará en coordinación con el Director, </w:t>
      </w:r>
      <w:r w:rsidDel="00000000" w:rsidR="00000000" w:rsidRPr="00000000">
        <w:rPr>
          <w:rFonts w:ascii="Palatino Linotype" w:cs="Palatino Linotype" w:eastAsia="Palatino Linotype" w:hAnsi="Palatino Linotype"/>
          <w:b w:val="1"/>
          <w:i w:val="1"/>
          <w:sz w:val="22"/>
          <w:szCs w:val="22"/>
          <w:rtl w:val="0"/>
        </w:rPr>
        <w:t xml:space="preserve">debiendo informar los estados financieros mensualmente a la Junta de Gobierno o cuando ésta y la presidencia lo soliciten, además tendrá las siguientes atribuciones: </w:t>
      </w:r>
    </w:p>
    <w:p w:rsidR="00000000" w:rsidDel="00000000" w:rsidP="00000000" w:rsidRDefault="00000000" w:rsidRPr="00000000" w14:paraId="0000005B">
      <w:pPr>
        <w:numPr>
          <w:ilvl w:val="0"/>
          <w:numId w:val="3"/>
        </w:numPr>
        <w:pBdr>
          <w:top w:space="0" w:sz="0" w:val="nil"/>
          <w:left w:space="0" w:sz="0" w:val="nil"/>
          <w:bottom w:space="0" w:sz="0" w:val="nil"/>
          <w:right w:space="0" w:sz="0" w:val="nil"/>
          <w:between w:space="0" w:sz="0" w:val="nil"/>
        </w:pBdr>
        <w:spacing w:after="280" w:before="280" w:line="276" w:lineRule="auto"/>
        <w:ind w:left="567" w:right="851" w:hanging="141"/>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Administrar los recursos que conforman el patrimonio del organismo de conformidad con lo establecido en las disposiciones legales aplicables; </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after="280" w:before="280" w:line="276" w:lineRule="auto"/>
        <w:ind w:left="567" w:right="851" w:hanging="283"/>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Llevar los libros y registros contables, financieros y administrativos de los ingresos, egresos e inventarios;</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after="280" w:before="280" w:line="276" w:lineRule="auto"/>
        <w:ind w:left="567" w:right="851"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Proporcionar oportunamente a la Junta de Gobierno todos los datos e informes que sean necesarios para la formulación del Presupuesto de Egresos del organismo, vigilando que se ajuste a las disposiciones legales aplicables; </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pacing w:after="280" w:before="280" w:line="276" w:lineRule="auto"/>
        <w:ind w:left="567" w:right="851" w:hanging="283"/>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Presentar anualmente a la Junta de Gobierno un informe de la situación contable financiera de la Tesorería del Organismo; </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pacing w:after="280" w:before="280" w:line="276" w:lineRule="auto"/>
        <w:ind w:left="567" w:right="851" w:hanging="425"/>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Contestar oportunamente los pliegos de observaciones y responsabilidades que haga el Órgano Superior de Fiscalización del Estado de México, así como atender en tiempo y forma las solicitudes de información que éste requiera, informando al Consejo Directivo. </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pacing w:after="280" w:before="280" w:line="276" w:lineRule="auto"/>
        <w:ind w:left="567" w:right="851" w:hanging="425"/>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Certificar los documentos a su cuidado, por acuerdo expreso de la Junta de Gobierno y cuando se trate de documentación presentada ante el Órgano Superior de Fiscalización del Estado de México; </w:t>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spacing w:after="280" w:before="280" w:line="276" w:lineRule="auto"/>
        <w:ind w:left="567" w:right="851" w:hanging="425"/>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Integrar y autorizar con su firma, la documentación que deba presentarse al Órgano Superior de Fiscalización del Estado de México; y </w:t>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after="280" w:before="280" w:line="276" w:lineRule="auto"/>
        <w:ind w:left="567" w:right="851" w:hanging="425"/>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demás que le confieran los ordenamientos legales y la Junta de Gobierno.” (Sic) (Énfasis añadido)</w:t>
      </w:r>
    </w:p>
    <w:p w:rsidR="00000000" w:rsidDel="00000000" w:rsidP="00000000" w:rsidRDefault="00000000" w:rsidRPr="00000000" w14:paraId="00000063">
      <w:pPr>
        <w:spacing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resulta importante destacar que del Acta en referencia, se vislumbra que no se precisan los datos testados ni la debida fundamentación y motivación que llevó a su clasificación, por lo que, es necesario que en el acuerdo del Comité de Transparencia en donde se apruebe la versión pública de la nómina alusiva, se señalen de manera clara y precisa los razonamientos lógico jurídicos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determinados datos personales que obran en su poder y son susceptibles de clasificación.</w:t>
      </w:r>
    </w:p>
    <w:p w:rsidR="00000000" w:rsidDel="00000000" w:rsidP="00000000" w:rsidRDefault="00000000" w:rsidRPr="00000000" w14:paraId="00000065">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el artículo 168, señala que para el caso de la clasificación de la información, los sujetos obligados deberán sujetarse a un procedimiento en el cual se fundamentará y motivará la necesidad de clasificar la información, se cita el contenido del referido precepto legal para mayor referencia:</w:t>
      </w:r>
    </w:p>
    <w:p w:rsidR="00000000" w:rsidDel="00000000" w:rsidP="00000000" w:rsidRDefault="00000000" w:rsidRPr="00000000" w14:paraId="0000006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06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069">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06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06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06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w:t>
      </w:r>
    </w:p>
    <w:p w:rsidR="00000000" w:rsidDel="00000000" w:rsidP="00000000" w:rsidRDefault="00000000" w:rsidRPr="00000000" w14:paraId="0000006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Hechas estas precisiones,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cumplió con lo señalado en lo procedente, al remitir un acuerdo emitido por  su Comité de Transparencia que carece de la debida fundamentación y motivación de los datos que se están clasificando, así como los motivos que condujeron a la misma, siendo incongruente y creando con ello una incertidumbre jurídica, por no sustentar la versión pública de los datos señalados, contraviniendo lo establecido por el artículo 9, fracción I</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VI, VIII y 11 párrafo primero</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la Materia.</w:t>
      </w:r>
    </w:p>
    <w:p w:rsidR="00000000" w:rsidDel="00000000" w:rsidP="00000000" w:rsidRDefault="00000000" w:rsidRPr="00000000" w14:paraId="0000006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no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hubiese expresado el artículo, fracción, inciso o subinciso de la legislación aplicable a la materia, que establece de manera expresa la naturaleza jurídica de todos y cada uno de los datos contenidos en la nómina que entregó en informe justificado, lo anterior, con la finalidad de justificar la procedencia de omitirlos, en consecuencia, el actuar del Sujeto Obligado </w:t>
      </w:r>
      <w:r w:rsidDel="00000000" w:rsidR="00000000" w:rsidRPr="00000000">
        <w:rPr>
          <w:rFonts w:ascii="Palatino Linotype" w:cs="Palatino Linotype" w:eastAsia="Palatino Linotype" w:hAnsi="Palatino Linotype"/>
          <w:color w:val="222222"/>
          <w:rtl w:val="0"/>
        </w:rPr>
        <w:t xml:space="preserve">carece de fundamentación y motivación, consistentes en la </w:t>
      </w:r>
      <w:r w:rsidDel="00000000" w:rsidR="00000000" w:rsidRPr="00000000">
        <w:rPr>
          <w:rFonts w:ascii="Palatino Linotype" w:cs="Palatino Linotype" w:eastAsia="Palatino Linotype" w:hAnsi="Palatino Linotype"/>
          <w:rtl w:val="0"/>
        </w:rPr>
        <w:t xml:space="preserve">obligación que tiene todo ente público de expresar los preceptos jurídicos aplicables al asunto motivo del acto y las razones o argumentos de su actuar.</w:t>
      </w:r>
    </w:p>
    <w:p w:rsidR="00000000" w:rsidDel="00000000" w:rsidP="00000000" w:rsidRDefault="00000000" w:rsidRPr="00000000" w14:paraId="0000007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072">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u w:val="single"/>
          <w:rtl w:val="0"/>
        </w:rPr>
        <w:t xml:space="preserve">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4">
      <w:pPr>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…”(Sic)</w:t>
      </w:r>
    </w:p>
    <w:p w:rsidR="00000000" w:rsidDel="00000000" w:rsidP="00000000" w:rsidRDefault="00000000" w:rsidRPr="00000000" w14:paraId="00000075">
      <w:pPr>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un acto de autoridad se surte la debida fundamentación cuando se cita el precepto legal aplicable al caso concreto y la debida motivación cuando se </w:t>
      </w:r>
      <w:r w:rsidDel="00000000" w:rsidR="00000000" w:rsidRPr="00000000">
        <w:rPr>
          <w:rFonts w:ascii="Palatino Linotype" w:cs="Palatino Linotype" w:eastAsia="Palatino Linotype" w:hAnsi="Palatino Linotype"/>
          <w:color w:val="222222"/>
          <w:rtl w:val="0"/>
        </w:rPr>
        <w:t xml:space="preserve">expresan</w:t>
      </w:r>
      <w:r w:rsidDel="00000000" w:rsidR="00000000" w:rsidRPr="00000000">
        <w:rPr>
          <w:rFonts w:ascii="Palatino Linotype" w:cs="Palatino Linotype" w:eastAsia="Palatino Linotype" w:hAnsi="Palatino Linotype"/>
          <w:rtl w:val="0"/>
        </w:rPr>
        <w:t xml:space="preserve"> las razones, motivos o circunstancias que tomó en cuenta la autoridad para adecuar el hecho a los fundamentos de derecho.</w:t>
      </w:r>
    </w:p>
    <w:p w:rsidR="00000000" w:rsidDel="00000000" w:rsidP="00000000" w:rsidRDefault="00000000" w:rsidRPr="00000000" w14:paraId="00000077">
      <w:pPr>
        <w:spacing w:line="360" w:lineRule="auto"/>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Más aún, a través de diversa jurisprudencia dictada por el </w:t>
      </w:r>
      <w:r w:rsidDel="00000000" w:rsidR="00000000" w:rsidRPr="00000000">
        <w:rPr>
          <w:rFonts w:ascii="Palatino Linotype" w:cs="Palatino Linotype" w:eastAsia="Palatino Linotype" w:hAnsi="Palatino Linotype"/>
          <w:color w:val="222222"/>
          <w:rtl w:val="0"/>
        </w:rPr>
        <w:t xml:space="preserve">Poder</w:t>
      </w:r>
      <w:r w:rsidDel="00000000" w:rsidR="00000000" w:rsidRPr="00000000">
        <w:rPr>
          <w:rFonts w:ascii="Palatino Linotype" w:cs="Palatino Linotype" w:eastAsia="Palatino Linotype" w:hAnsi="Palatino Linotype"/>
          <w:rtl w:val="0"/>
        </w:rPr>
        <w:t xml:space="preserve"> Judicial de la Federación se sostiene que la finalidad de la fundamentación o motivación es la de explicar, justificar, posibilitar la defensa y comunicar la decisión de la autoridad:</w:t>
      </w:r>
    </w:p>
    <w:p w:rsidR="00000000" w:rsidDel="00000000" w:rsidP="00000000" w:rsidRDefault="00000000" w:rsidRPr="00000000" w14:paraId="00000079">
      <w:pPr>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sz w:val="22"/>
          <w:szCs w:val="22"/>
          <w:rtl w:val="0"/>
        </w:rPr>
        <w:t xml:space="preserve">. El contenido formal de la garantía de legalidad prevista en el artículo 16 constitucional relativa a la fundamentación</w:t>
      </w:r>
      <w:r w:rsidDel="00000000" w:rsidR="00000000" w:rsidRPr="00000000">
        <w:rPr>
          <w:rFonts w:ascii="Palatino Linotype" w:cs="Palatino Linotype" w:eastAsia="Palatino Linotype" w:hAnsi="Palatino Linotype"/>
          <w:b w:val="1"/>
          <w:i w:val="1"/>
          <w:sz w:val="22"/>
          <w:szCs w:val="22"/>
          <w:rtl w:val="0"/>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w:t>
      </w:r>
      <w:r w:rsidDel="00000000" w:rsidR="00000000" w:rsidRPr="00000000">
        <w:rPr>
          <w:rFonts w:ascii="Palatino Linotype" w:cs="Palatino Linotype" w:eastAsia="Palatino Linotype" w:hAnsi="Palatino Linotype"/>
          <w:b w:val="1"/>
          <w:i w:val="1"/>
          <w:sz w:val="22"/>
          <w:szCs w:val="22"/>
          <w:u w:val="single"/>
          <w:rtl w:val="0"/>
        </w:rPr>
        <w:t xml:space="preserve">no basta que el acto de autoridad apenas observe una motivación pro forma pero de una manera incongruente, insuficiente o imprecisa</w:t>
      </w:r>
      <w:r w:rsidDel="00000000" w:rsidR="00000000" w:rsidRPr="00000000">
        <w:rPr>
          <w:rFonts w:ascii="Palatino Linotype" w:cs="Palatino Linotype" w:eastAsia="Palatino Linotype" w:hAnsi="Palatino Linotype"/>
          <w:i w:val="1"/>
          <w:sz w:val="22"/>
          <w:szCs w:val="22"/>
          <w:rtl w:val="0"/>
        </w:rPr>
        <w:t xml:space="preserve">, que impida la finalidad del conocimiento, comprobación y defensa pertinente</w:t>
      </w:r>
      <w:r w:rsidDel="00000000" w:rsidR="00000000" w:rsidRPr="00000000">
        <w:rPr>
          <w:rFonts w:ascii="Palatino Linotype" w:cs="Palatino Linotype" w:eastAsia="Palatino Linotype" w:hAnsi="Palatino Linotype"/>
          <w:b w:val="1"/>
          <w:i w:val="1"/>
          <w:sz w:val="22"/>
          <w:szCs w:val="22"/>
          <w:u w:val="single"/>
          <w:rtl w:val="0"/>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7B">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7D">
      <w:pPr>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rsidR="00000000" w:rsidDel="00000000" w:rsidP="00000000" w:rsidRDefault="00000000" w:rsidRPr="00000000" w14:paraId="0000007F">
      <w:pPr>
        <w:shd w:fill="ffffff" w:val="clea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no se debe perder de vista que la clasificación es el proceso mediante el cual el sujeto obligado determina que la información en su poder actualiza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rsidR="00000000" w:rsidDel="00000000" w:rsidP="00000000" w:rsidRDefault="00000000" w:rsidRPr="00000000" w14:paraId="00000080">
      <w:pPr>
        <w:shd w:fill="ffffff" w:val="clear"/>
        <w:spacing w:line="360" w:lineRule="auto"/>
        <w:jc w:val="both"/>
        <w:rPr>
          <w:b w:val="1"/>
        </w:rPr>
      </w:pPr>
      <w:r w:rsidDel="00000000" w:rsidR="00000000" w:rsidRPr="00000000">
        <w:rPr>
          <w:rtl w:val="0"/>
        </w:rPr>
      </w:r>
    </w:p>
    <w:p w:rsidR="00000000" w:rsidDel="00000000" w:rsidP="00000000" w:rsidRDefault="00000000" w:rsidRPr="00000000" w14:paraId="00000081">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carga de la prueba para justificar toda negativa de acceso a la información, por actualizarse cualquiera de los supuestos de clasificación</w:t>
      </w:r>
      <w:r w:rsidDel="00000000" w:rsidR="00000000" w:rsidRPr="00000000">
        <w:rPr>
          <w:rFonts w:ascii="Palatino Linotype" w:cs="Palatino Linotype" w:eastAsia="Palatino Linotype" w:hAnsi="Palatino Linotype"/>
          <w:i w:val="1"/>
          <w:sz w:val="22"/>
          <w:szCs w:val="22"/>
          <w:rtl w:val="0"/>
        </w:rPr>
        <w:t xml:space="preserve"> previstos en esta Ley </w:t>
      </w:r>
      <w:r w:rsidDel="00000000" w:rsidR="00000000" w:rsidRPr="00000000">
        <w:rPr>
          <w:rFonts w:ascii="Palatino Linotype" w:cs="Palatino Linotype" w:eastAsia="Palatino Linotype" w:hAnsi="Palatino Linotype"/>
          <w:b w:val="1"/>
          <w:i w:val="1"/>
          <w:sz w:val="22"/>
          <w:szCs w:val="22"/>
          <w:u w:val="single"/>
          <w:rtl w:val="0"/>
        </w:rPr>
        <w:t xml:space="preserve">corresponderá a los sujetos obligados; en tal caso deberá fundar y motivar debidamente la clasificación de la información</w:t>
      </w:r>
      <w:r w:rsidDel="00000000" w:rsidR="00000000" w:rsidRPr="00000000">
        <w:rPr>
          <w:rFonts w:ascii="Palatino Linotype" w:cs="Palatino Linotype" w:eastAsia="Palatino Linotype" w:hAnsi="Palatino Linotype"/>
          <w:i w:val="1"/>
          <w:sz w:val="22"/>
          <w:szCs w:val="22"/>
          <w:rtl w:val="0"/>
        </w:rPr>
        <w:t xml:space="preserve">, de conformidad con lo previsto en la presente Ley.</w:t>
      </w:r>
    </w:p>
    <w:p w:rsidR="00000000" w:rsidDel="00000000" w:rsidP="00000000" w:rsidRDefault="00000000" w:rsidRPr="00000000" w14:paraId="00000082">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3">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clasificación de la información se llevará a cabo</w:t>
      </w:r>
      <w:r w:rsidDel="00000000" w:rsidR="00000000" w:rsidRPr="00000000">
        <w:rPr>
          <w:rFonts w:ascii="Palatino Linotype" w:cs="Palatino Linotype" w:eastAsia="Palatino Linotype" w:hAnsi="Palatino Linotype"/>
          <w:i w:val="1"/>
          <w:sz w:val="22"/>
          <w:szCs w:val="22"/>
          <w:rtl w:val="0"/>
        </w:rPr>
        <w:t xml:space="preserve"> en el momento en que:</w:t>
      </w:r>
    </w:p>
    <w:p w:rsidR="00000000" w:rsidDel="00000000" w:rsidP="00000000" w:rsidRDefault="00000000" w:rsidRPr="00000000" w14:paraId="00000084">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reciba una solicitud de acceso a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5">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86">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87">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reservada, los titulares de las áreas deberán revisar la clasificación al momento de la recepción de una solicitud, para verificar si subsisten las causas que le dieron origen.</w:t>
      </w:r>
    </w:p>
    <w:p w:rsidR="00000000" w:rsidDel="00000000" w:rsidP="00000000" w:rsidRDefault="00000000" w:rsidRPr="00000000" w14:paraId="00000089">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no podrán emitir acuerdos de carácter general</w:t>
      </w:r>
      <w:r w:rsidDel="00000000" w:rsidR="00000000" w:rsidRPr="00000000">
        <w:rPr>
          <w:rFonts w:ascii="Palatino Linotype" w:cs="Palatino Linotype" w:eastAsia="Palatino Linotype" w:hAnsi="Palatino Linotype"/>
          <w:i w:val="1"/>
          <w:sz w:val="22"/>
          <w:szCs w:val="22"/>
          <w:rtl w:val="0"/>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000000" w:rsidDel="00000000" w:rsidP="00000000" w:rsidRDefault="00000000" w:rsidRPr="00000000" w14:paraId="0000008B">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ningún caso se podrán clasificar documentos antes de que se genere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D">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w:t>
      </w:r>
    </w:p>
    <w:p w:rsidR="00000000" w:rsidDel="00000000" w:rsidP="00000000" w:rsidRDefault="00000000" w:rsidRPr="00000000" w14:paraId="0000008F">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091">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se aprecia que l</w:t>
      </w: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Del="00000000" w:rsidR="00000000" w:rsidRPr="00000000">
        <w:rPr>
          <w:rFonts w:ascii="Palatino Linotype" w:cs="Palatino Linotype" w:eastAsia="Palatino Linotype" w:hAnsi="Palatino Linotype"/>
          <w:i w:val="1"/>
          <w:rtl w:val="0"/>
        </w:rPr>
        <w:t xml:space="preserve">se reciba una solicitud de acceso a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determine mediante resolución de autoridad competente; 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generen versiones públicas para dar cumplimiento a las obligaciones de transparencia,</w:t>
      </w:r>
      <w:r w:rsidDel="00000000" w:rsidR="00000000" w:rsidRPr="00000000">
        <w:rPr>
          <w:rFonts w:ascii="Palatino Linotype" w:cs="Palatino Linotype" w:eastAsia="Palatino Linotype" w:hAnsi="Palatino Linotype"/>
          <w:rtl w:val="0"/>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escapa de la óptica de este organismo garante que si bien es cierto,  </w:t>
      </w:r>
      <w:r w:rsidDel="00000000" w:rsidR="00000000" w:rsidRPr="00000000">
        <w:rPr>
          <w:rFonts w:ascii="Palatino Linotype" w:cs="Palatino Linotype" w:eastAsia="Palatino Linotype" w:hAnsi="Palatino Linotype"/>
          <w:b w:val="1"/>
          <w:rtl w:val="0"/>
        </w:rPr>
        <w:t xml:space="preserve">el Sujeto Obligado remitió en informe justificado una hoja de cálculo en la que se aprecia la nómina de la primera quincena de febrero del 2022</w:t>
      </w:r>
      <w:r w:rsidDel="00000000" w:rsidR="00000000" w:rsidRPr="00000000">
        <w:rPr>
          <w:rFonts w:ascii="Palatino Linotype" w:cs="Palatino Linotype" w:eastAsia="Palatino Linotype" w:hAnsi="Palatino Linotype"/>
          <w:rtl w:val="0"/>
        </w:rPr>
        <w:t xml:space="preserve">, no menos cierto es que este documento no colma lo solicitado, toda vez que de acuerdo a lo manifestado por el Sujeto Obligado fue remitido de manera incompleta ya que se eliminaron datos que a consideración del Sujeto Obligado encuadran en el supuesto de información clasificada, si que se pueda advertir con claridad a cuáles datos se refiere. </w:t>
      </w:r>
    </w:p>
    <w:p w:rsidR="00000000" w:rsidDel="00000000" w:rsidP="00000000" w:rsidRDefault="00000000" w:rsidRPr="00000000" w14:paraId="0000009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la versión pública de la nómina remitida en respuesta no cumple con los requisitos señalados por la Ley de Transparencia vigente en la entidad; razón por la cual es dable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realice una búsqueda exhaustiva y razonable para efecto de que localice los documentos que de manera enunciativa más no limitativa contengan la información requerida y se acompañe con el acuerdo de clasificación de la información a través del cual se apruebe la versión pública de la nómina del Sujeto Obligado, correspondiente a la segunda quincena de enero y primera quincena de febrero de la presente anualidad, debidamente fundado y motivado, precisando los motivos o razones por los cuales llevaron a testar cada apartado, así como la naturaleza de los datos testados.</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b w:val="1"/>
        </w:rPr>
      </w:pPr>
      <w:bookmarkStart w:colFirst="0" w:colLast="0" w:name="_heading=h.uvtf06unqlgs" w:id="1"/>
      <w:bookmarkEnd w:id="1"/>
      <w:r w:rsidDel="00000000" w:rsidR="00000000" w:rsidRPr="00000000">
        <w:rPr>
          <w:rFonts w:ascii="Palatino Linotype" w:cs="Palatino Linotype" w:eastAsia="Palatino Linotype" w:hAnsi="Palatino Linotype"/>
          <w:rtl w:val="0"/>
        </w:rPr>
        <w:t xml:space="preserve">Ahora bien, para el caso de la nómina,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Del="00000000" w:rsidR="00000000" w:rsidRPr="00000000">
        <w:rPr>
          <w:rFonts w:ascii="Palatino Linotype" w:cs="Palatino Linotype" w:eastAsia="Palatino Linotype" w:hAnsi="Palatino Linotype"/>
          <w:b w:val="1"/>
          <w:rtl w:val="0"/>
        </w:rPr>
        <w:t xml:space="preserve">las remuneraciones brutas y netas de todos los servidores públicos, que incluya todas las percepciones, entre las cuales, se encuentran los sueldos, prestaciones, gratificaciones, primas, comisiones, dietas, bonos, estímulos, ingresos, entre otros.</w:t>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w:t>
      </w:r>
      <w:r w:rsidDel="00000000" w:rsidR="00000000" w:rsidRPr="00000000">
        <w:rPr>
          <w:rFonts w:ascii="Palatino Linotype" w:cs="Palatino Linotype" w:eastAsia="Palatino Linotype" w:hAnsi="Palatino Linotype"/>
          <w:b w:val="1"/>
          <w:rtl w:val="0"/>
        </w:rPr>
        <w:t xml:space="preserve">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Del="00000000" w:rsidR="00000000" w:rsidRPr="00000000">
        <w:rPr>
          <w:rFonts w:ascii="Palatino Linotype" w:cs="Palatino Linotype" w:eastAsia="Palatino Linotype" w:hAnsi="Palatino Linotype"/>
          <w:rtl w:val="0"/>
        </w:rPr>
        <w:t xml:space="preserve"> De la misma manera, el Glosario de términos más usuales en la Administración Pública Federal, emitido por la Secretaría de Hacienda y Crédito Público (http://www.apartados.hacienda.gob.mx/contabilidad/documentos/informe_cuenta/1998/cuenta_publica/Glosario/n.htm, consultada dieciocho de mayo de dos mil veintidós, a las doce horas), establece que la nómina es un listado general de los trabajadores de una institución, en el cual se asientan las percepciones brutas, deducciones y alcance neto de las mismas. </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puede advertir que la nómina se puede referir a lo siguiente: </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Relación de trabajadores con las percepciones monetarias de cada uno. </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Listado general de los servidores públicos de una institución o dependencia, en el cual se asientan las percepciones brutas, deducciones y alcance neto de las mismas.</w:t>
      </w:r>
    </w:p>
    <w:p w:rsidR="00000000" w:rsidDel="00000000" w:rsidP="00000000" w:rsidRDefault="00000000" w:rsidRPr="00000000" w14:paraId="0000009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rsidR="00000000" w:rsidDel="00000000" w:rsidP="00000000" w:rsidRDefault="00000000" w:rsidRPr="00000000" w14:paraId="0000009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entendido,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 </w:t>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rsidR="00000000" w:rsidDel="00000000" w:rsidP="00000000" w:rsidRDefault="00000000" w:rsidRPr="00000000" w14:paraId="000000A0">
      <w:pPr>
        <w:spacing w:after="240" w:before="24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350.-</w:t>
      </w:r>
      <w:r w:rsidDel="00000000" w:rsidR="00000000" w:rsidRPr="00000000">
        <w:rPr>
          <w:rFonts w:ascii="Palatino Linotype" w:cs="Palatino Linotype" w:eastAsia="Palatino Linotype" w:hAnsi="Palatino Linotype"/>
          <w:i w:val="1"/>
          <w:sz w:val="22"/>
          <w:szCs w:val="22"/>
          <w:rtl w:val="0"/>
        </w:rPr>
        <w:t xml:space="preserve"> Mensualmente dentro de los primeros veinte días hábiles, la Secretaría y </w:t>
      </w:r>
      <w:r w:rsidDel="00000000" w:rsidR="00000000" w:rsidRPr="00000000">
        <w:rPr>
          <w:rFonts w:ascii="Palatino Linotype" w:cs="Palatino Linotype" w:eastAsia="Palatino Linotype" w:hAnsi="Palatino Linotype"/>
          <w:b w:val="1"/>
          <w:i w:val="1"/>
          <w:sz w:val="22"/>
          <w:szCs w:val="22"/>
          <w:rtl w:val="0"/>
        </w:rPr>
        <w:t xml:space="preserve">las Tesorerías, enviarán para su análisis y evaluación</w:t>
      </w:r>
      <w:r w:rsidDel="00000000" w:rsidR="00000000" w:rsidRPr="00000000">
        <w:rPr>
          <w:rFonts w:ascii="Palatino Linotype" w:cs="Palatino Linotype" w:eastAsia="Palatino Linotype" w:hAnsi="Palatino Linotype"/>
          <w:i w:val="1"/>
          <w:sz w:val="22"/>
          <w:szCs w:val="22"/>
          <w:rtl w:val="0"/>
        </w:rPr>
        <w:t xml:space="preserve"> al Órgano Superior de Fiscalización del Estado de México, la siguiente información:</w:t>
      </w:r>
    </w:p>
    <w:p w:rsidR="00000000" w:rsidDel="00000000" w:rsidP="00000000" w:rsidRDefault="00000000" w:rsidRPr="00000000" w14:paraId="000000A1">
      <w:pPr>
        <w:spacing w:after="240" w:before="24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Información patrimonial.</w:t>
      </w:r>
    </w:p>
    <w:p w:rsidR="00000000" w:rsidDel="00000000" w:rsidP="00000000" w:rsidRDefault="00000000" w:rsidRPr="00000000" w14:paraId="000000A2">
      <w:pPr>
        <w:spacing w:after="240" w:before="240" w:line="276"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Información presupuestal.</w:t>
      </w:r>
    </w:p>
    <w:p w:rsidR="00000000" w:rsidDel="00000000" w:rsidP="00000000" w:rsidRDefault="00000000" w:rsidRPr="00000000" w14:paraId="000000A3">
      <w:pPr>
        <w:spacing w:after="240" w:before="240"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III. Información de la obra pública.</w:t>
      </w:r>
      <w:r w:rsidDel="00000000" w:rsidR="00000000" w:rsidRPr="00000000">
        <w:rPr>
          <w:rtl w:val="0"/>
        </w:rPr>
      </w:r>
    </w:p>
    <w:p w:rsidR="00000000" w:rsidDel="00000000" w:rsidP="00000000" w:rsidRDefault="00000000" w:rsidRPr="00000000" w14:paraId="000000A4">
      <w:pPr>
        <w:spacing w:after="240" w:before="240" w:line="276"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Información de nómina.”</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las Políticas para la Integración del Informe Trimestral de los Sujetos de Fiscalización Estatales para el ejercicio fiscal dos mil veintiuno, entre los formatos que maneja en el Módulo 4, se advierte que se encuentra la Conciliación de Nómina Mensual, mismo que será integrado de manera mensual, tal como se muestra a continuación:</w:t>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81650" cy="5210175"/>
            <wp:effectExtent b="0" l="0" r="0" t="0"/>
            <wp:docPr id="14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581650" cy="52101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4673600</wp:posOffset>
                </wp:positionV>
                <wp:extent cx="3819525" cy="552450"/>
                <wp:effectExtent b="0" l="0" r="0" t="0"/>
                <wp:wrapNone/>
                <wp:docPr id="136" name=""/>
                <a:graphic>
                  <a:graphicData uri="http://schemas.microsoft.com/office/word/2010/wordprocessingShape">
                    <wps:wsp>
                      <wps:cNvSpPr/>
                      <wps:cNvPr id="3" name="Shape 3"/>
                      <wps:spPr>
                        <a:xfrm>
                          <a:off x="3493388" y="3560925"/>
                          <a:ext cx="3705225" cy="438150"/>
                        </a:xfrm>
                        <a:prstGeom prst="rect">
                          <a:avLst/>
                        </a:prstGeom>
                        <a:noFill/>
                        <a:ln cap="flat" cmpd="sng" w="28575">
                          <a:solidFill>
                            <a:srgbClr val="00206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4673600</wp:posOffset>
                </wp:positionV>
                <wp:extent cx="3819525" cy="552450"/>
                <wp:effectExtent b="0" l="0" r="0" t="0"/>
                <wp:wrapNone/>
                <wp:docPr id="136"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3819525" cy="552450"/>
                        </a:xfrm>
                        <a:prstGeom prst="rect"/>
                        <a:ln/>
                      </pic:spPr>
                    </pic:pic>
                  </a:graphicData>
                </a:graphic>
              </wp:anchor>
            </w:drawing>
          </mc:Fallback>
        </mc:AlternateContent>
      </w:r>
    </w:p>
    <w:p w:rsidR="00000000" w:rsidDel="00000000" w:rsidP="00000000" w:rsidRDefault="00000000" w:rsidRPr="00000000" w14:paraId="000000A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pict>
          <v:shape id="_x0000_i1025" style="width:439.45pt;height:64.55pt" o:ole="" type="#_x0000_t75">
            <v:imagedata r:id="rId1" o:title=""/>
          </v:shape>
          <o:OLEObject DrawAspect="Content" r:id="rId2" ObjectID="_1717404363" ProgID="Paint.Picture" ShapeID="_x0000_i1025" Type="Embed"/>
        </w:pict>
      </w:r>
      <w:r w:rsidDel="00000000" w:rsidR="00000000" w:rsidRPr="00000000">
        <w:rPr>
          <w:rtl w:val="0"/>
        </w:rPr>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81650" cy="6534150"/>
            <wp:effectExtent b="0" l="0" r="0" t="0"/>
            <wp:docPr id="14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581650" cy="65341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0700" cy="7286625"/>
            <wp:effectExtent b="0" l="0" r="0" t="0"/>
            <wp:docPr id="14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600700" cy="728662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lo que para colmar este punto, resulta pertinente expresar que de manera enunciativa más no limitativa, la conciliación de nómina pudiera dar cuenta de los requerimientos concernientes a </w:t>
      </w:r>
      <w:r w:rsidDel="00000000" w:rsidR="00000000" w:rsidRPr="00000000">
        <w:rPr>
          <w:rFonts w:ascii="Palatino Linotype" w:cs="Palatino Linotype" w:eastAsia="Palatino Linotype" w:hAnsi="Palatino Linotype"/>
          <w:b w:val="1"/>
          <w:rtl w:val="0"/>
        </w:rPr>
        <w:t xml:space="preserve">nómina ordinaria y extraordinaria, su categoría, es decir, si se encuentra bajo contrato, por tiempo determinado, por obra determinado y periodicidad del pago. </w:t>
      </w:r>
    </w:p>
    <w:p w:rsidR="00000000" w:rsidDel="00000000" w:rsidP="00000000" w:rsidRDefault="00000000" w:rsidRPr="00000000" w14:paraId="000000AD">
      <w:pPr>
        <w:spacing w:before="240" w:line="36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Bajo otro orden de ideas, cabe hacer mención que si bien es cierto que en el formato mediante el cual se interpuso su solicitud de información expresó que: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si manejan nómina de raya nombre cargo o puesto y sueldo de cada uno</w:t>
      </w:r>
      <w:r w:rsidDel="00000000" w:rsidR="00000000" w:rsidRPr="00000000">
        <w:rPr>
          <w:rFonts w:ascii="Palatino Linotype" w:cs="Palatino Linotype" w:eastAsia="Palatino Linotype" w:hAnsi="Palatino Linotype"/>
          <w:i w:val="1"/>
          <w:rtl w:val="0"/>
        </w:rPr>
        <w:t xml:space="preserve">” (sic) (Énfasis añadido), </w:t>
      </w:r>
      <w:r w:rsidDel="00000000" w:rsidR="00000000" w:rsidRPr="00000000">
        <w:rPr>
          <w:rFonts w:ascii="Palatino Linotype" w:cs="Palatino Linotype" w:eastAsia="Palatino Linotype" w:hAnsi="Palatino Linotype"/>
          <w:rtl w:val="0"/>
        </w:rPr>
        <w:t xml:space="preserve">también lo 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que resulta procedente suplir la deficiencia de la queja en términos de la </w:t>
      </w:r>
      <w:r w:rsidDel="00000000" w:rsidR="00000000" w:rsidRPr="00000000">
        <w:rPr>
          <w:rFonts w:ascii="Palatino Linotype" w:cs="Palatino Linotype" w:eastAsia="Palatino Linotype" w:hAnsi="Palatino Linotype"/>
          <w:b w:val="1"/>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rtl w:val="0"/>
        </w:rPr>
        <w:t xml:space="preserve">,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r w:rsidDel="00000000" w:rsidR="00000000" w:rsidRPr="00000000">
        <w:rPr>
          <w:rtl w:val="0"/>
        </w:rPr>
      </w:r>
    </w:p>
    <w:p w:rsidR="00000000" w:rsidDel="00000000" w:rsidP="00000000" w:rsidRDefault="00000000" w:rsidRPr="00000000" w14:paraId="000000AE">
      <w:pPr>
        <w:shd w:fill="ffffff" w:val="clea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AF">
      <w:pPr>
        <w:shd w:fill="ffffff" w:val="clear"/>
        <w:spacing w:after="240" w:before="240"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Artículo 13</w:t>
      </w:r>
      <w:r w:rsidDel="00000000" w:rsidR="00000000" w:rsidRPr="00000000">
        <w:rPr>
          <w:rFonts w:ascii="Palatino Linotype" w:cs="Palatino Linotype" w:eastAsia="Palatino Linotype" w:hAnsi="Palatino Linotype"/>
          <w:i w:val="1"/>
          <w:sz w:val="22"/>
          <w:szCs w:val="22"/>
          <w:rtl w:val="0"/>
        </w:rPr>
        <w:t xml:space="preserve">. El Instituto, en el ámbito de sus atribuciones, deberá suplir cualquier deficiencia para garantizar el ejercicio del derecho de acceso a la información.</w:t>
      </w:r>
      <w:r w:rsidDel="00000000" w:rsidR="00000000" w:rsidRPr="00000000">
        <w:rPr>
          <w:rtl w:val="0"/>
        </w:rPr>
      </w:r>
    </w:p>
    <w:p w:rsidR="00000000" w:rsidDel="00000000" w:rsidP="00000000" w:rsidRDefault="00000000" w:rsidRPr="00000000" w14:paraId="000000B0">
      <w:pPr>
        <w:shd w:fill="ffffff" w:val="clea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181.</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1">
      <w:pPr>
        <w:shd w:fill="ffffff" w:val="clear"/>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B2">
      <w:pPr>
        <w:shd w:fill="ffffff" w:val="clea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Durante el procedimiento deberá aplicarse la suplencia de la queja a favor del recurrente, sin cambiar los hechos expuestos, asegurándose de que las partes puedan presentar, de manera oral o escrita, los argumentos que funden y motiven sus pretensiones.</w:t>
      </w:r>
    </w:p>
    <w:p w:rsidR="00000000" w:rsidDel="00000000" w:rsidP="00000000" w:rsidRDefault="00000000" w:rsidRPr="00000000" w14:paraId="000000B3">
      <w:pPr>
        <w:shd w:fill="ffffff" w:val="clear"/>
        <w:ind w:right="567"/>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4">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en armonía con lo señalado en la jurisprudencia y en la tesis aislada, emitida por la Suprema Corte de Justicia de la Nación, que llevan por rubro respectivamente; “</w:t>
      </w:r>
      <w:r w:rsidDel="00000000" w:rsidR="00000000" w:rsidRPr="00000000">
        <w:rPr>
          <w:rFonts w:ascii="Palatino Linotype" w:cs="Palatino Linotype" w:eastAsia="Palatino Linotype" w:hAnsi="Palatino Linotype"/>
          <w:i w:val="1"/>
          <w:rtl w:val="0"/>
        </w:rPr>
        <w:t xml:space="preserve">SUPLENCIA DE LA QUEJA DEFICIENTE SU PROCEDENCIA EN OTRAS MATERIAS, AUN A FALTA DE CONCEPTO DE VIOLACIÓN O AGRAVIO, CUANDO SE ADVIERTA VIOLACIÓN GRAVE Y MANIFIESTA DE LA LEY”</w:t>
      </w:r>
      <w:r w:rsidDel="00000000" w:rsidR="00000000" w:rsidRPr="00000000">
        <w:rPr>
          <w:rFonts w:ascii="Palatino Linotype" w:cs="Palatino Linotype" w:eastAsia="Palatino Linotype" w:hAnsi="Palatino Linotype"/>
          <w:i w:val="1"/>
          <w:vertAlign w:val="superscript"/>
        </w:rPr>
        <w:footnoteReference w:customMarkFollows="0" w:id="4"/>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i w:val="1"/>
          <w:rtl w:val="0"/>
        </w:rPr>
        <w:t xml:space="preserve">“SUPLENCIA DE LA QUEJA DEFICIENTE EN MATERIAS CIVIL Y ADMINISTRATIVA (INTERPRETACIÓN DEL ARTÍCULO 79, FRACCIÓN VI, DE LA LEY DE AMPARO).”</w:t>
      </w:r>
      <w:r w:rsidDel="00000000" w:rsidR="00000000" w:rsidRPr="00000000">
        <w:rPr>
          <w:rFonts w:ascii="Palatino Linotype" w:cs="Palatino Linotype" w:eastAsia="Palatino Linotype" w:hAnsi="Palatino Linotype"/>
          <w:i w:val="1"/>
          <w:vertAlign w:val="superscript"/>
        </w:rPr>
        <w:footnoteReference w:customMarkFollows="0" w:id="5"/>
      </w:r>
      <w:r w:rsidDel="00000000" w:rsidR="00000000" w:rsidRPr="00000000">
        <w:rPr>
          <w:rFonts w:ascii="Palatino Linotype" w:cs="Palatino Linotype" w:eastAsia="Palatino Linotype" w:hAnsi="Palatino Linotype"/>
          <w:rtl w:val="0"/>
        </w:rPr>
        <w:t xml:space="preserve">, que indican esencialmente que es obligación del juzgador suplir la queja deficiente ante una violación evidente de la ley que haya dejado sin defensa al particular, aún ante la ausencia de concepto de violación con el fin de evitar el beneficio de una de las partes a costa de la indefensión de la otra.</w:t>
      </w:r>
    </w:p>
    <w:p w:rsidR="00000000" w:rsidDel="00000000" w:rsidP="00000000" w:rsidRDefault="00000000" w:rsidRPr="00000000" w14:paraId="000000B5">
      <w:pPr>
        <w:shd w:fill="ffffff" w:val="clea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Lo anterior, se estima resulta aplicable en el caso concreto, derivado de que si bien es cierto la petición del particular consistió en acceder a la</w:t>
      </w:r>
      <w:r w:rsidDel="00000000" w:rsidR="00000000" w:rsidRPr="00000000">
        <w:rPr>
          <w:rFonts w:ascii="Palatino Linotype" w:cs="Palatino Linotype" w:eastAsia="Palatino Linotype" w:hAnsi="Palatino Linotype"/>
          <w:rtl w:val="0"/>
        </w:rPr>
        <w:t xml:space="preserve"> nómina de raya, bajo la óptica de esta autoridad se precisa que el particular requiere la lista de raya de los servidores públicos. </w:t>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por cuanto hace a la lista de raya,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del término en referencia:</w:t>
      </w:r>
    </w:p>
    <w:p w:rsidR="00000000" w:rsidDel="00000000" w:rsidP="00000000" w:rsidRDefault="00000000" w:rsidRPr="00000000" w14:paraId="000000B9">
      <w:pPr>
        <w:spacing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PERSONAL DE LISTA DE RAYA. </w:t>
      </w:r>
      <w:r w:rsidDel="00000000" w:rsidR="00000000" w:rsidRPr="00000000">
        <w:rPr>
          <w:rFonts w:ascii="Palatino Linotype" w:cs="Palatino Linotype" w:eastAsia="Palatino Linotype" w:hAnsi="Palatino Linotype"/>
          <w:i w:val="1"/>
          <w:sz w:val="22"/>
          <w:szCs w:val="22"/>
          <w:rtl w:val="0"/>
        </w:rPr>
        <w:t xml:space="preserve">Lo integran los trabajadores temporales cuya relación laboral se formaliza por su inclusión en nómina o documentos denominados “Lista de Raya” y que, por lo tanto, carecen de nombramiento.” (Sic)</w:t>
      </w: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base a lo anterior, conviene a traer lo establecido por el artículo 804, fracción II, de la Ley Federal de Trabajo, el cual a la letra establece: </w:t>
      </w:r>
    </w:p>
    <w:p w:rsidR="00000000" w:rsidDel="00000000" w:rsidP="00000000" w:rsidRDefault="00000000" w:rsidRPr="00000000" w14:paraId="000000BB">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804.-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patrón tiene obligación de conservar y exhibir en juicio los documentos que a continuación se precisan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D">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Listas de raya o nómina de personal</w:t>
      </w:r>
      <w:r w:rsidDel="00000000" w:rsidR="00000000" w:rsidRPr="00000000">
        <w:rPr>
          <w:rFonts w:ascii="Palatino Linotype" w:cs="Palatino Linotype" w:eastAsia="Palatino Linotype" w:hAnsi="Palatino Linotype"/>
          <w:i w:val="1"/>
          <w:sz w:val="22"/>
          <w:szCs w:val="22"/>
          <w:rtl w:val="0"/>
        </w:rPr>
        <w:t xml:space="preserve">, cuando se lleven en el centro de trabajo; o recibos de pagos de salarios; </w:t>
      </w:r>
    </w:p>
    <w:p w:rsidR="00000000" w:rsidDel="00000000" w:rsidP="00000000" w:rsidRDefault="00000000" w:rsidRPr="00000000" w14:paraId="000000B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deberán conservarse mientras dure la relación laboral y hasta un año después; </w:t>
      </w:r>
      <w:r w:rsidDel="00000000" w:rsidR="00000000" w:rsidRPr="00000000">
        <w:rPr>
          <w:rFonts w:ascii="Palatino Linotype" w:cs="Palatino Linotype" w:eastAsia="Palatino Linotype" w:hAnsi="Palatino Linotype"/>
          <w:b w:val="1"/>
          <w:i w:val="1"/>
          <w:sz w:val="22"/>
          <w:szCs w:val="22"/>
          <w:rtl w:val="0"/>
        </w:rPr>
        <w:t xml:space="preserve">los señalados en las fracciones II, III y IV, durante el último año y un año después de que se extinga la relación laboral</w:t>
      </w:r>
      <w:r w:rsidDel="00000000" w:rsidR="00000000" w:rsidRPr="00000000">
        <w:rPr>
          <w:rFonts w:ascii="Palatino Linotype" w:cs="Palatino Linotype" w:eastAsia="Palatino Linotype" w:hAnsi="Palatino Linotype"/>
          <w:i w:val="1"/>
          <w:sz w:val="22"/>
          <w:szCs w:val="22"/>
          <w:rtl w:val="0"/>
        </w:rPr>
        <w:t xml:space="preserve">; y los mencionados en la fracción V, conforme lo señalen las Leyes que los rijan.” (Sic)</w:t>
      </w:r>
    </w:p>
    <w:p w:rsidR="00000000" w:rsidDel="00000000" w:rsidP="00000000" w:rsidRDefault="00000000" w:rsidRPr="00000000" w14:paraId="000000C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concluye que el personal de lista de raya y por honorarios se integra por los trabajadores temporales que no forman parte de la nómina, al respecto el máximo tribunal jurisdiccional del país ha precisado que </w:t>
      </w:r>
      <w:r w:rsidDel="00000000" w:rsidR="00000000" w:rsidRPr="00000000">
        <w:rPr>
          <w:rFonts w:ascii="Palatino Linotype" w:cs="Palatino Linotype" w:eastAsia="Palatino Linotype" w:hAnsi="Palatino Linotype"/>
          <w:color w:val="000000"/>
          <w:rtl w:val="0"/>
        </w:rPr>
        <w:t xml:space="preserve">la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Del="00000000" w:rsidR="00000000" w:rsidRPr="00000000">
        <w:rPr>
          <w:rFonts w:ascii="Palatino Linotype" w:cs="Palatino Linotype" w:eastAsia="Palatino Linotype" w:hAnsi="Palatino Linotype"/>
          <w:vertAlign w:val="superscript"/>
        </w:rPr>
        <w:footnoteReference w:customMarkFollows="0" w:id="6"/>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tl w:val="0"/>
        </w:rPr>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consiguiente, los servidores públicos de confianza, sindicalizados, por honorarios, generales y de lista raya, constituyen el número de trabajadores que perciben una remuneración por los servicios que éstos le prestan al patrón, con las percepciones brutas, deducciones y el neto a recibir, delimitándose su diferencia por las funciones que realizan o bien por que la prestación del trabajo personal y/o subordinado cuando es por tiempo determinado o indeterminado como acontece con el personal de lista de raya y por honorarios.</w:t>
      </w:r>
    </w:p>
    <w:p w:rsidR="00000000" w:rsidDel="00000000" w:rsidP="00000000" w:rsidRDefault="00000000" w:rsidRPr="00000000" w14:paraId="000000C3">
      <w:pPr>
        <w:spacing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artículo 50 de la Ley del Trabajo de los Servidores Públicos del Estado y Municipios, dispone literalmente lo siguiente:</w:t>
      </w:r>
    </w:p>
    <w:p w:rsidR="00000000" w:rsidDel="00000000" w:rsidP="00000000" w:rsidRDefault="00000000" w:rsidRPr="00000000" w14:paraId="000000C4">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50</w:t>
      </w:r>
      <w:r w:rsidDel="00000000" w:rsidR="00000000" w:rsidRPr="00000000">
        <w:rPr>
          <w:rFonts w:ascii="Palatino Linotype" w:cs="Palatino Linotype" w:eastAsia="Palatino Linotype" w:hAnsi="Palatino Linotype"/>
          <w:i w:val="1"/>
          <w:sz w:val="22"/>
          <w:szCs w:val="22"/>
          <w:rtl w:val="0"/>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000000" w:rsidDel="00000000" w:rsidP="00000000" w:rsidRDefault="00000000" w:rsidRPr="00000000" w14:paraId="000000C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Iguales consecuencias se generarán para todos los servidores públicos, cuando la relación de trabajo se formalice mediante un contrato </w:t>
      </w:r>
      <w:r w:rsidDel="00000000" w:rsidR="00000000" w:rsidRPr="00000000">
        <w:rPr>
          <w:rFonts w:ascii="Palatino Linotype" w:cs="Palatino Linotype" w:eastAsia="Palatino Linotype" w:hAnsi="Palatino Linotype"/>
          <w:b w:val="1"/>
          <w:i w:val="1"/>
          <w:sz w:val="22"/>
          <w:szCs w:val="22"/>
          <w:rtl w:val="0"/>
        </w:rPr>
        <w:t xml:space="preserve">o por encontrarse en lista de raya.</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C7">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la relación laboral entre un servidor público y el Estado se formaliza mediante nombramiento, contrato, formato único de movimientos de personal o por encontrarse en lista de raya.</w:t>
      </w:r>
    </w:p>
    <w:p w:rsidR="00000000" w:rsidDel="00000000" w:rsidP="00000000" w:rsidRDefault="00000000" w:rsidRPr="00000000" w14:paraId="000000C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tratándose de servidores públicos de los Municipios la Ley del Trabajo de los Servidores Públicos del Estado y Municipios, en su artículo 220-K, establece lo siguiente:</w:t>
      </w:r>
    </w:p>
    <w:p w:rsidR="00000000" w:rsidDel="00000000" w:rsidP="00000000" w:rsidRDefault="00000000" w:rsidRPr="00000000" w14:paraId="000000CA">
      <w:pPr>
        <w:tabs>
          <w:tab w:val="left" w:pos="9072"/>
        </w:tabs>
        <w:spacing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institución o dependencia pública tiene la obligación de conservar y exhibir en el proceso los documentos que a continuación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 precisan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B">
      <w:pPr>
        <w:tabs>
          <w:tab w:val="left" w:pos="9072"/>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C">
      <w:pPr>
        <w:tabs>
          <w:tab w:val="left" w:pos="9072"/>
        </w:tabs>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Recibos de pagos de salarios 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constancias documentales del pago de salario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sea por depósito o mediante información electrónica;</w:t>
      </w:r>
    </w:p>
    <w:p w:rsidR="00000000" w:rsidDel="00000000" w:rsidP="00000000" w:rsidRDefault="00000000" w:rsidRPr="00000000" w14:paraId="000000CD">
      <w:pPr>
        <w:tabs>
          <w:tab w:val="left" w:pos="9072"/>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E">
      <w:pPr>
        <w:tabs>
          <w:tab w:val="left" w:pos="9072"/>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00000" w:rsidDel="00000000" w:rsidP="00000000" w:rsidRDefault="00000000" w:rsidRPr="00000000" w14:paraId="000000CF">
      <w:pPr>
        <w:tabs>
          <w:tab w:val="left" w:pos="9072"/>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000000" w:rsidDel="00000000" w:rsidP="00000000" w:rsidRDefault="00000000" w:rsidRPr="00000000" w14:paraId="000000D0">
      <w:pPr>
        <w:tabs>
          <w:tab w:val="left" w:pos="9072"/>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1">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000000" w:rsidDel="00000000" w:rsidP="00000000" w:rsidRDefault="00000000" w:rsidRPr="00000000" w14:paraId="000000D2">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tabs>
          <w:tab w:val="right" w:pos="8505"/>
        </w:tabs>
        <w:spacing w:after="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Una vez precisado lo que antecede, es necesario analizar la Ley de Fiscalización Superior del Estado de México, toda vez que señala </w:t>
      </w:r>
      <w:r w:rsidDel="00000000" w:rsidR="00000000" w:rsidRPr="00000000">
        <w:rPr>
          <w:rFonts w:ascii="Palatino Linotype" w:cs="Palatino Linotype" w:eastAsia="Palatino Linotype" w:hAnsi="Palatino Linotype"/>
          <w:color w:val="000000"/>
          <w:rtl w:val="0"/>
        </w:rPr>
        <w:t xml:space="preserve">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es considerado como ente fiscalizable, como así lo señala el artículo 4 fracción IV de la Ley de Fiscalización Superior del Estado de México.</w:t>
      </w:r>
      <w:r w:rsidDel="00000000" w:rsidR="00000000" w:rsidRPr="00000000">
        <w:rPr>
          <w:rtl w:val="0"/>
        </w:rPr>
      </w:r>
    </w:p>
    <w:p w:rsidR="00000000" w:rsidDel="00000000" w:rsidP="00000000" w:rsidRDefault="00000000" w:rsidRPr="00000000" w14:paraId="000000D4">
      <w:pPr>
        <w:spacing w:before="240" w:lineRule="auto"/>
        <w:ind w:left="851" w:right="851" w:firstLine="0"/>
        <w:jc w:val="both"/>
        <w:rPr>
          <w:b w:val="1"/>
          <w:color w:val="000000"/>
          <w:sz w:val="22"/>
          <w:szCs w:val="22"/>
        </w:rPr>
      </w:pPr>
      <w:r w:rsidDel="00000000" w:rsidR="00000000" w:rsidRPr="00000000">
        <w:rPr>
          <w:rtl w:val="0"/>
        </w:rPr>
      </w:r>
    </w:p>
    <w:p w:rsidR="00000000" w:rsidDel="00000000" w:rsidP="00000000" w:rsidRDefault="00000000" w:rsidRPr="00000000" w14:paraId="000000D5">
      <w:pPr>
        <w:spacing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mismo, el ordenamiento legal referido señala en su artículo 8, fracción XI, que el Órgano Superior de Fiscalización del Estado de México, tiene como una de sus atribuciones el de emitir los Lineamientos </w:t>
      </w:r>
      <w:r w:rsidDel="00000000" w:rsidR="00000000" w:rsidRPr="00000000">
        <w:rPr>
          <w:rFonts w:ascii="Palatino Linotype" w:cs="Palatino Linotype" w:eastAsia="Palatino Linotype" w:hAnsi="Palatino Linotype"/>
          <w:rtl w:val="0"/>
        </w:rPr>
        <w:t xml:space="preserve">Integración del Informe Trimestral de los Sujetos de Fiscalización Municipales para el Ejercicio 2021</w:t>
      </w:r>
      <w:r w:rsidDel="00000000" w:rsidR="00000000" w:rsidRPr="00000000">
        <w:rPr>
          <w:rFonts w:ascii="Palatino Linotype" w:cs="Palatino Linotype" w:eastAsia="Palatino Linotype" w:hAnsi="Palatino Linotype"/>
          <w:color w:val="000000"/>
          <w:rtl w:val="0"/>
        </w:rPr>
        <w:t xml:space="preserve">, como así se advierte a continuación:</w:t>
      </w:r>
    </w:p>
    <w:p w:rsidR="00000000" w:rsidDel="00000000" w:rsidP="00000000" w:rsidRDefault="00000000" w:rsidRPr="00000000" w14:paraId="000000D6">
      <w:pPr>
        <w:spacing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7">
      <w:pPr>
        <w:ind w:left="851" w:right="851" w:firstLine="0"/>
        <w:jc w:val="both"/>
        <w:rPr>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 </w:t>
      </w:r>
      <w:r w:rsidDel="00000000" w:rsidR="00000000" w:rsidRPr="00000000">
        <w:rPr>
          <w:rFonts w:ascii="Palatino Linotype" w:cs="Palatino Linotype" w:eastAsia="Palatino Linotype" w:hAnsi="Palatino Linotype"/>
          <w:i w:val="1"/>
          <w:sz w:val="22"/>
          <w:szCs w:val="22"/>
          <w:rtl w:val="0"/>
        </w:rPr>
        <w:t xml:space="preserve">El Órgano Superior tendrá las siguientes atribuciones:</w:t>
      </w:r>
      <w:r w:rsidDel="00000000" w:rsidR="00000000" w:rsidRPr="00000000">
        <w:rPr>
          <w:rtl w:val="0"/>
        </w:rPr>
      </w:r>
    </w:p>
    <w:p w:rsidR="00000000" w:rsidDel="00000000" w:rsidP="00000000" w:rsidRDefault="00000000" w:rsidRPr="00000000" w14:paraId="000000D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9">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Establecer los lineamientos</w:t>
      </w:r>
      <w:r w:rsidDel="00000000" w:rsidR="00000000" w:rsidRPr="00000000">
        <w:rPr>
          <w:rFonts w:ascii="Palatino Linotype" w:cs="Palatino Linotype" w:eastAsia="Palatino Linotype" w:hAnsi="Palatino Linotype"/>
          <w:i w:val="1"/>
          <w:sz w:val="22"/>
          <w:szCs w:val="22"/>
          <w:rtl w:val="0"/>
        </w:rPr>
        <w:t xml:space="preserve">, criterios, procedimientos, métodos y sistemas </w:t>
      </w:r>
      <w:r w:rsidDel="00000000" w:rsidR="00000000" w:rsidRPr="00000000">
        <w:rPr>
          <w:rFonts w:ascii="Palatino Linotype" w:cs="Palatino Linotype" w:eastAsia="Palatino Linotype" w:hAnsi="Palatino Linotype"/>
          <w:b w:val="1"/>
          <w:i w:val="1"/>
          <w:sz w:val="22"/>
          <w:szCs w:val="22"/>
          <w:rtl w:val="0"/>
        </w:rPr>
        <w:t xml:space="preserve">para las acciones de control y evaluación, necesarios para la fiscalización de las cuentas públicas y los informes trimestrales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Sic)</w:t>
      </w:r>
      <w:r w:rsidDel="00000000" w:rsidR="00000000" w:rsidRPr="00000000">
        <w:rPr>
          <w:rtl w:val="0"/>
        </w:rPr>
      </w:r>
    </w:p>
    <w:p w:rsidR="00000000" w:rsidDel="00000000" w:rsidP="00000000" w:rsidRDefault="00000000" w:rsidRPr="00000000" w14:paraId="000000DA">
      <w:pPr>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Dentro de los cuales ubicamos en su módulo cuatro la información de la nómina, honorarios y lista de raya, como se advierte en las siguientes imágenes sustraída de dichos lineamientos:</w:t>
      </w:r>
    </w:p>
    <w:p w:rsidR="00000000" w:rsidDel="00000000" w:rsidP="00000000" w:rsidRDefault="00000000" w:rsidRPr="00000000" w14:paraId="000000DC">
      <w:pPr>
        <w:spacing w:line="360" w:lineRule="auto"/>
        <w:jc w:val="both"/>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417279" cy="3712250"/>
            <wp:effectExtent b="0" l="0" r="0" t="0"/>
            <wp:docPr id="148" name="image9.png"/>
            <a:graphic>
              <a:graphicData uri="http://schemas.openxmlformats.org/drawingml/2006/picture">
                <pic:pic>
                  <pic:nvPicPr>
                    <pic:cNvPr id="0" name="image9.png"/>
                    <pic:cNvPicPr preferRelativeResize="0"/>
                  </pic:nvPicPr>
                  <pic:blipFill>
                    <a:blip r:embed="rId17"/>
                    <a:srcRect b="2999" l="35982" r="21361" t="17911"/>
                    <a:stretch>
                      <a:fillRect/>
                    </a:stretch>
                  </pic:blipFill>
                  <pic:spPr>
                    <a:xfrm>
                      <a:off x="0" y="0"/>
                      <a:ext cx="5417279" cy="37122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1968500</wp:posOffset>
                </wp:positionV>
                <wp:extent cx="571500" cy="844549"/>
                <wp:effectExtent b="0" l="0" r="0" t="0"/>
                <wp:wrapNone/>
                <wp:docPr id="135" name=""/>
                <a:graphic>
                  <a:graphicData uri="http://schemas.microsoft.com/office/word/2010/wordprocessingShape">
                    <wps:wsp>
                      <wps:cNvSpPr/>
                      <wps:cNvPr id="2" name="Shape 2"/>
                      <wps:spPr>
                        <a:xfrm rot="10800000">
                          <a:off x="5072950" y="3370425"/>
                          <a:ext cx="546100" cy="819150"/>
                        </a:xfrm>
                        <a:prstGeom prst="stripedRight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1968500</wp:posOffset>
                </wp:positionV>
                <wp:extent cx="571500" cy="844549"/>
                <wp:effectExtent b="0" l="0" r="0" t="0"/>
                <wp:wrapNone/>
                <wp:docPr id="135"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71500" cy="844549"/>
                        </a:xfrm>
                        <a:prstGeom prst="rect"/>
                        <a:ln/>
                      </pic:spPr>
                    </pic:pic>
                  </a:graphicData>
                </a:graphic>
              </wp:anchor>
            </w:drawing>
          </mc:Fallback>
        </mc:AlternateContent>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629275" cy="6153150"/>
            <wp:effectExtent b="0" l="0" r="0" t="0"/>
            <wp:docPr id="147" name="image5.png"/>
            <a:graphic>
              <a:graphicData uri="http://schemas.openxmlformats.org/drawingml/2006/picture">
                <pic:pic>
                  <pic:nvPicPr>
                    <pic:cNvPr id="0" name="image5.png"/>
                    <pic:cNvPicPr preferRelativeResize="0"/>
                  </pic:nvPicPr>
                  <pic:blipFill>
                    <a:blip r:embed="rId19"/>
                    <a:srcRect b="4206" l="32361" r="2653" t="29913"/>
                    <a:stretch>
                      <a:fillRect/>
                    </a:stretch>
                  </pic:blipFill>
                  <pic:spPr>
                    <a:xfrm>
                      <a:off x="0" y="0"/>
                      <a:ext cx="5629275" cy="61531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3136900</wp:posOffset>
                </wp:positionV>
                <wp:extent cx="730250" cy="812800"/>
                <wp:effectExtent b="0" l="0" r="0" t="0"/>
                <wp:wrapNone/>
                <wp:docPr id="138" name=""/>
                <a:graphic>
                  <a:graphicData uri="http://schemas.microsoft.com/office/word/2010/wordprocessingShape">
                    <wps:wsp>
                      <wps:cNvSpPr/>
                      <wps:cNvPr id="5" name="Shape 5"/>
                      <wps:spPr>
                        <a:xfrm>
                          <a:off x="4993575" y="3386300"/>
                          <a:ext cx="704850" cy="787400"/>
                        </a:xfrm>
                        <a:prstGeom prst="left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3136900</wp:posOffset>
                </wp:positionV>
                <wp:extent cx="730250" cy="812800"/>
                <wp:effectExtent b="0" l="0" r="0" t="0"/>
                <wp:wrapNone/>
                <wp:docPr id="138"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730250" cy="812800"/>
                        </a:xfrm>
                        <a:prstGeom prst="rect"/>
                        <a:ln/>
                      </pic:spPr>
                    </pic:pic>
                  </a:graphicData>
                </a:graphic>
              </wp:anchor>
            </w:drawing>
          </mc:Fallback>
        </mc:AlternateContent>
      </w:r>
    </w:p>
    <w:p w:rsidR="00000000" w:rsidDel="00000000" w:rsidP="00000000" w:rsidRDefault="00000000" w:rsidRPr="00000000" w14:paraId="000000E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441950" cy="3568700"/>
            <wp:effectExtent b="0" l="0" r="0" t="0"/>
            <wp:docPr id="151" name="image8.png"/>
            <a:graphic>
              <a:graphicData uri="http://schemas.openxmlformats.org/drawingml/2006/picture">
                <pic:pic>
                  <pic:nvPicPr>
                    <pic:cNvPr id="0" name="image8.png"/>
                    <pic:cNvPicPr preferRelativeResize="0"/>
                  </pic:nvPicPr>
                  <pic:blipFill>
                    <a:blip r:embed="rId21"/>
                    <a:srcRect b="13260" l="23987" r="3144" t="26966"/>
                    <a:stretch>
                      <a:fillRect/>
                    </a:stretch>
                  </pic:blipFill>
                  <pic:spPr>
                    <a:xfrm>
                      <a:off x="0" y="0"/>
                      <a:ext cx="544195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jc w:val="both"/>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353050" cy="3035300"/>
            <wp:effectExtent b="0" l="0" r="0" t="0"/>
            <wp:docPr id="149" name="image19.png"/>
            <a:graphic>
              <a:graphicData uri="http://schemas.openxmlformats.org/drawingml/2006/picture">
                <pic:pic>
                  <pic:nvPicPr>
                    <pic:cNvPr id="0" name="image19.png"/>
                    <pic:cNvPicPr preferRelativeResize="0"/>
                  </pic:nvPicPr>
                  <pic:blipFill>
                    <a:blip r:embed="rId22"/>
                    <a:srcRect b="21511" l="22516" r="4391" t="21936"/>
                    <a:stretch>
                      <a:fillRect/>
                    </a:stretch>
                  </pic:blipFill>
                  <pic:spPr>
                    <a:xfrm>
                      <a:off x="0" y="0"/>
                      <a:ext cx="535305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492750" cy="7270750"/>
            <wp:effectExtent b="0" l="0" r="0" t="0"/>
            <wp:docPr id="150" name="image17.png"/>
            <a:graphic>
              <a:graphicData uri="http://schemas.openxmlformats.org/drawingml/2006/picture">
                <pic:pic>
                  <pic:nvPicPr>
                    <pic:cNvPr id="0" name="image17.png"/>
                    <pic:cNvPicPr preferRelativeResize="0"/>
                  </pic:nvPicPr>
                  <pic:blipFill>
                    <a:blip r:embed="rId23"/>
                    <a:srcRect b="0" l="36206" r="18081" t="14489"/>
                    <a:stretch>
                      <a:fillRect/>
                    </a:stretch>
                  </pic:blipFill>
                  <pic:spPr>
                    <a:xfrm>
                      <a:off x="0" y="0"/>
                      <a:ext cx="5492750" cy="72707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4292600</wp:posOffset>
                </wp:positionV>
                <wp:extent cx="730250" cy="812800"/>
                <wp:effectExtent b="0" l="0" r="0" t="0"/>
                <wp:wrapNone/>
                <wp:docPr id="137" name=""/>
                <a:graphic>
                  <a:graphicData uri="http://schemas.microsoft.com/office/word/2010/wordprocessingShape">
                    <wps:wsp>
                      <wps:cNvSpPr/>
                      <wps:cNvPr id="4" name="Shape 4"/>
                      <wps:spPr>
                        <a:xfrm>
                          <a:off x="4993575" y="3386300"/>
                          <a:ext cx="704850" cy="787400"/>
                        </a:xfrm>
                        <a:prstGeom prst="left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4292600</wp:posOffset>
                </wp:positionV>
                <wp:extent cx="730250" cy="812800"/>
                <wp:effectExtent b="0" l="0" r="0" t="0"/>
                <wp:wrapNone/>
                <wp:docPr id="137"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730250" cy="812800"/>
                        </a:xfrm>
                        <a:prstGeom prst="rect"/>
                        <a:ln/>
                      </pic:spPr>
                    </pic:pic>
                  </a:graphicData>
                </a:graphic>
              </wp:anchor>
            </w:drawing>
          </mc:Fallback>
        </mc:AlternateContent>
      </w:r>
    </w:p>
    <w:p w:rsidR="00000000" w:rsidDel="00000000" w:rsidP="00000000" w:rsidRDefault="00000000" w:rsidRPr="00000000" w14:paraId="000000E6">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435600" cy="4070350"/>
            <wp:effectExtent b="0" l="0" r="0" t="0"/>
            <wp:docPr id="152" name="image2.png"/>
            <a:graphic>
              <a:graphicData uri="http://schemas.openxmlformats.org/drawingml/2006/picture">
                <pic:pic>
                  <pic:nvPicPr>
                    <pic:cNvPr id="0" name="image2.png"/>
                    <pic:cNvPicPr preferRelativeResize="0"/>
                  </pic:nvPicPr>
                  <pic:blipFill>
                    <a:blip r:embed="rId25"/>
                    <a:srcRect b="2191" l="37792" r="16949" t="16704"/>
                    <a:stretch>
                      <a:fillRect/>
                    </a:stretch>
                  </pic:blipFill>
                  <pic:spPr>
                    <a:xfrm>
                      <a:off x="0" y="0"/>
                      <a:ext cx="5435600" cy="407035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435600" cy="3073400"/>
            <wp:effectExtent b="0" l="0" r="0" t="0"/>
            <wp:docPr id="153" name="image16.png"/>
            <a:graphic>
              <a:graphicData uri="http://schemas.openxmlformats.org/drawingml/2006/picture">
                <pic:pic>
                  <pic:nvPicPr>
                    <pic:cNvPr id="0" name="image16.png"/>
                    <pic:cNvPicPr preferRelativeResize="0"/>
                  </pic:nvPicPr>
                  <pic:blipFill>
                    <a:blip r:embed="rId26"/>
                    <a:srcRect b="9437" l="43222" r="22606" t="23949"/>
                    <a:stretch>
                      <a:fillRect/>
                    </a:stretch>
                  </pic:blipFill>
                  <pic:spPr>
                    <a:xfrm>
                      <a:off x="0" y="0"/>
                      <a:ext cx="5435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observancia a las imágenes anteriores, se acredita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generar la información de la nómina y comprobantes digitales de todos sus Servidores Públicos, incluidos los de honorarios y lista de raya; de manera mensual y remitirla al Órgano Superior de Fiscalización del Estado de México, para su respectiva revisión y fiscalización.</w:t>
      </w:r>
    </w:p>
    <w:p w:rsidR="00000000" w:rsidDel="00000000" w:rsidP="00000000" w:rsidRDefault="00000000" w:rsidRPr="00000000" w14:paraId="000000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“lista de raya” y por “honorarios” los cuales ya fueron definidos en el presente considerando, se concreta que la lista de raya consiste en registros conformados por el conjunto de trabajadores a los cuales se les va a remunerar por los </w:t>
      </w:r>
      <w:hyperlink r:id="rId27">
        <w:r w:rsidDel="00000000" w:rsidR="00000000" w:rsidRPr="00000000">
          <w:rPr>
            <w:rtl w:val="0"/>
          </w:rPr>
          <w:t xml:space="preserve">servicios</w:t>
        </w:r>
      </w:hyperlink>
      <w:r w:rsidDel="00000000" w:rsidR="00000000" w:rsidRPr="00000000">
        <w:rPr>
          <w:rFonts w:ascii="Palatino Linotype" w:cs="Palatino Linotype" w:eastAsia="Palatino Linotype" w:hAnsi="Palatino Linotype"/>
          <w:rtl w:val="0"/>
        </w:rPr>
        <w:t xml:space="preserve"> que éstos le prestan al patrón, en el cual se asientan las percepciones brutas, deducciones y el neto a recibir de dichos trabajadores, con el único detalle de que la lista de raya refiere únicamente a los trabajadores temporales y el personal por honorarios es el registro de la modalidad de pago o remuneración que recibe un profesionista o trabajador independiente mediante un contrato temporal, sin que se genere las prestaciones de ley que recibe el personal de confianza, sindicalizados o los de nómina, siendo similar al anterior toda vez que se refiere también a un trabajador temporal.</w:t>
      </w:r>
    </w:p>
    <w:p w:rsidR="00000000" w:rsidDel="00000000" w:rsidP="00000000" w:rsidRDefault="00000000" w:rsidRPr="00000000" w14:paraId="000000E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resumen, la nómina (confianza y sindicalizados) por honorarios y lista de raya es información que el </w:t>
      </w:r>
      <w:r w:rsidDel="00000000" w:rsidR="00000000" w:rsidRPr="00000000">
        <w:rPr>
          <w:rFonts w:ascii="Palatino Linotype" w:cs="Palatino Linotype" w:eastAsia="Palatino Linotype" w:hAnsi="Palatino Linotype"/>
          <w:b w:val="1"/>
          <w:rtl w:val="0"/>
        </w:rPr>
        <w:t xml:space="preserve">Sistema Municipal Para el Desarrollo Integral de la Familia de Huehuetoca</w:t>
      </w:r>
      <w:r w:rsidDel="00000000" w:rsidR="00000000" w:rsidRPr="00000000">
        <w:rPr>
          <w:rFonts w:ascii="Palatino Linotype" w:cs="Palatino Linotype" w:eastAsia="Palatino Linotype" w:hAnsi="Palatino Linotype"/>
          <w:rtl w:val="0"/>
        </w:rPr>
        <w:t xml:space="preserve"> debió haber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generado, administrado o poseído, de acuerdo a lo establecido en el presente considerando; por lo que resulta procedente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su entrega salvaguardando los datos personales que contenga, de conformidad con el considerando quinto. Sin soslayar, que para el caso de que no obre en los archivos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información relativa a la lista de raya en el periodo solicitado, bastará con el sólo pronunciamiento de éste para tener por colmado el requerimiento de información por tratarse de trabajadores temporales que no está obligado a contratar, ello en términos del segundo párrafo del artículo 19 de la Ley de Transparencia vigente en nuestra entidad.</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after="16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lo anterior que resulta dable revocar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ordenarle haga entrega del o de los documentos en donde conste la nómina de la segunda quincena de enero y la primera quincena de febrero de dos mil veintidós, en versión pública de ser procedente, conforme al Considerando siguiente.</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color w:val="000000"/>
          <w:rtl w:val="0"/>
        </w:rPr>
        <w:t xml:space="preserve">Como fue debidamente apuntado, el</w:t>
      </w:r>
      <w:r w:rsidDel="00000000" w:rsidR="00000000" w:rsidRPr="00000000">
        <w:rPr>
          <w:rFonts w:ascii="Palatino Linotype" w:cs="Palatino Linotype" w:eastAsia="Palatino Linotype" w:hAnsi="Palatino Linotype"/>
          <w:b w:val="1"/>
          <w:color w:val="000000"/>
          <w:rtl w:val="0"/>
        </w:rPr>
        <w:t xml:space="preserve"> Sujeto Obligado</w:t>
      </w:r>
      <w:r w:rsidDel="00000000" w:rsidR="00000000" w:rsidRPr="00000000">
        <w:rPr>
          <w:rFonts w:ascii="Palatino Linotype" w:cs="Palatino Linotype" w:eastAsia="Palatino Linotype" w:hAnsi="Palatino Linotype"/>
          <w:color w:val="000000"/>
          <w:rtl w:val="0"/>
        </w:rPr>
        <w:t xml:space="preserve">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r w:rsidDel="00000000" w:rsidR="00000000" w:rsidRPr="00000000">
        <w:rPr>
          <w:rtl w:val="0"/>
        </w:rPr>
      </w:r>
    </w:p>
    <w:p w:rsidR="00000000" w:rsidDel="00000000" w:rsidP="00000000" w:rsidRDefault="00000000" w:rsidRPr="00000000" w14:paraId="000000F1">
      <w:pPr>
        <w:shd w:fill="ffffff" w:val="clea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00000" w:rsidDel="00000000" w:rsidP="00000000" w:rsidRDefault="00000000" w:rsidRPr="00000000" w14:paraId="000000F2">
      <w:pPr>
        <w:shd w:fill="ffffff" w:val="clea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0F3">
      <w:pPr>
        <w:shd w:fill="ffffff" w:val="clea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000000" w:rsidDel="00000000" w:rsidP="00000000" w:rsidRDefault="00000000" w:rsidRPr="00000000" w14:paraId="000000F4">
      <w:pPr>
        <w:shd w:fill="ffffff" w:val="clear"/>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 “Artículo 3. Para los efectos de la presente Ley se entenderá por:</w:t>
      </w:r>
      <w:r w:rsidDel="00000000" w:rsidR="00000000" w:rsidRPr="00000000">
        <w:rPr>
          <w:rtl w:val="0"/>
        </w:rPr>
      </w:r>
    </w:p>
    <w:p w:rsidR="00000000" w:rsidDel="00000000" w:rsidP="00000000" w:rsidRDefault="00000000" w:rsidRPr="00000000" w14:paraId="000000F5">
      <w:pPr>
        <w:shd w:fill="ffffff" w:val="clear"/>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F6">
      <w:pPr>
        <w:shd w:fill="ffffff" w:val="clear"/>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La información concerniente a una persona, identificada o identificable según lo dispuesto por la Ley de Protección de Datos Personales del Estado de México;</w:t>
      </w:r>
      <w:r w:rsidDel="00000000" w:rsidR="00000000" w:rsidRPr="00000000">
        <w:rPr>
          <w:rtl w:val="0"/>
        </w:rPr>
      </w:r>
    </w:p>
    <w:p w:rsidR="00000000" w:rsidDel="00000000" w:rsidP="00000000" w:rsidRDefault="00000000" w:rsidRPr="00000000" w14:paraId="000000F7">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8">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0F9">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 Información confidencial:</w:t>
      </w:r>
      <w:r w:rsidDel="00000000" w:rsidR="00000000" w:rsidRPr="00000000">
        <w:rPr>
          <w:rFonts w:ascii="Palatino Linotype" w:cs="Palatino Linotype" w:eastAsia="Palatino Linotype" w:hAnsi="Palatino Linotype"/>
          <w:i w:val="1"/>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A">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B">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p>
    <w:p w:rsidR="00000000" w:rsidDel="00000000" w:rsidP="00000000" w:rsidRDefault="00000000" w:rsidRPr="00000000" w14:paraId="000000FC">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D">
      <w:pPr>
        <w:shd w:fill="ffffff" w:val="clear"/>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0FE">
      <w:pPr>
        <w:shd w:fill="ffffff" w:val="clear"/>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 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0FF">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Los Comités de Transparencia tendrán las siguientes atribuciones:</w:t>
      </w:r>
    </w:p>
    <w:p w:rsidR="00000000" w:rsidDel="00000000" w:rsidP="00000000" w:rsidRDefault="00000000" w:rsidRPr="00000000" w14:paraId="00000100">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1">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Aprobar, modificar o revocar la clasificación de la información;</w:t>
      </w:r>
    </w:p>
    <w:p w:rsidR="00000000" w:rsidDel="00000000" w:rsidP="00000000" w:rsidRDefault="00000000" w:rsidRPr="00000000" w14:paraId="00000102">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3">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ésta sea clasificada como reservada o confidencial.</w:t>
      </w:r>
    </w:p>
    <w:p w:rsidR="00000000" w:rsidDel="00000000" w:rsidP="00000000" w:rsidRDefault="00000000" w:rsidRPr="00000000" w14:paraId="00000104">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5">
      <w:pPr>
        <w:shd w:fill="ffffff" w:val="clear"/>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06">
      <w:pPr>
        <w:shd w:fill="ffffff" w:val="clear"/>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07">
      <w:pPr>
        <w:shd w:fill="ffffff" w:val="clear"/>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108">
      <w:pPr>
        <w:shd w:fill="ffffff" w:val="clea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09">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proceder a testar los datos personales que se encuentre contenidos en los documentos a entregar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satisfacer el derecho de acceso a la información pública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rsidR="00000000" w:rsidDel="00000000" w:rsidP="00000000" w:rsidRDefault="00000000" w:rsidRPr="00000000" w14:paraId="0000010A">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0B">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0C">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10D">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E">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F">
      <w:pPr>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10">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1">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2">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13">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4">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115">
      <w:pPr>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16">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w:t>
      </w:r>
    </w:p>
    <w:p w:rsidR="00000000" w:rsidDel="00000000" w:rsidP="00000000" w:rsidRDefault="00000000" w:rsidRPr="00000000" w14:paraId="00000117">
      <w:pPr>
        <w:spacing w:after="8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8">
      <w:pPr>
        <w:spacing w:after="240" w:before="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cuyo contenido es de la literalidad siguiente:</w:t>
      </w:r>
    </w:p>
    <w:p w:rsidR="00000000" w:rsidDel="00000000" w:rsidP="00000000" w:rsidRDefault="00000000" w:rsidRPr="00000000" w14:paraId="0000011A">
      <w:pPr>
        <w:spacing w:after="240" w:before="24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1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000000" w:rsidDel="00000000" w:rsidP="00000000" w:rsidRDefault="00000000" w:rsidRPr="00000000" w14:paraId="0000011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w:t>
      </w:r>
      <w:r w:rsidDel="00000000" w:rsidR="00000000" w:rsidRPr="00000000">
        <w:rPr>
          <w:rFonts w:ascii="Palatino Linotype" w:cs="Palatino Linotype" w:eastAsia="Palatino Linotype" w:hAnsi="Palatino Linotype"/>
          <w:b w:val="1"/>
          <w:rtl w:val="0"/>
        </w:rPr>
        <w:t xml:space="preserve">Registro Federal de Contribuyentes (RFC),</w:t>
      </w:r>
      <w:r w:rsidDel="00000000" w:rsidR="00000000" w:rsidRPr="00000000">
        <w:rPr>
          <w:rFonts w:ascii="Palatino Linotype" w:cs="Palatino Linotype" w:eastAsia="Palatino Linotype" w:hAnsi="Palatino Linotype"/>
          <w:rtl w:val="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1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entonces Instituto Federal de Acceso a la Información Pública y Protección de Datos Personales (IFAI) a través del Criterio </w:t>
      </w:r>
      <w:r w:rsidDel="00000000" w:rsidR="00000000" w:rsidRPr="00000000">
        <w:rPr>
          <w:rFonts w:ascii="Palatino Linotype" w:cs="Palatino Linotype" w:eastAsia="Palatino Linotype" w:hAnsi="Palatino Linotype"/>
          <w:highlight w:val="white"/>
          <w:rtl w:val="0"/>
        </w:rPr>
        <w:t xml:space="preserve">19/17, </w:t>
      </w:r>
      <w:r w:rsidDel="00000000" w:rsidR="00000000" w:rsidRPr="00000000">
        <w:rPr>
          <w:rFonts w:ascii="Palatino Linotype" w:cs="Palatino Linotype" w:eastAsia="Palatino Linotype" w:hAnsi="Palatino Linotype"/>
          <w:rtl w:val="0"/>
        </w:rPr>
        <w:t xml:space="preserve">el cual es del tenor literal siguiente:</w:t>
      </w:r>
    </w:p>
    <w:p w:rsidR="00000000" w:rsidDel="00000000" w:rsidP="00000000" w:rsidRDefault="00000000" w:rsidRPr="00000000" w14:paraId="00000120">
      <w:pPr>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Federal de Contribuyentes (RFC) de personas físicas</w:t>
      </w:r>
      <w:r w:rsidDel="00000000" w:rsidR="00000000" w:rsidRPr="00000000">
        <w:rPr>
          <w:rFonts w:ascii="Palatino Linotype" w:cs="Palatino Linotype" w:eastAsia="Palatino Linotype" w:hAnsi="Palatino Linotype"/>
          <w:i w:val="1"/>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igual manera la </w:t>
      </w:r>
      <w:r w:rsidDel="00000000" w:rsidR="00000000" w:rsidRPr="00000000">
        <w:rPr>
          <w:rFonts w:ascii="Palatino Linotype" w:cs="Palatino Linotype" w:eastAsia="Palatino Linotype" w:hAnsi="Palatino Linotype"/>
          <w:b w:val="1"/>
          <w:color w:val="000000"/>
          <w:rtl w:val="0"/>
        </w:rPr>
        <w:t xml:space="preserve">Clave Única de Registro de Población (CURP)</w:t>
      </w:r>
      <w:r w:rsidDel="00000000" w:rsidR="00000000" w:rsidRPr="00000000">
        <w:rPr>
          <w:rFonts w:ascii="Palatino Linotype" w:cs="Palatino Linotype" w:eastAsia="Palatino Linotype" w:hAnsi="Palatino Linotype"/>
          <w:color w:val="000000"/>
          <w:rtl w:val="0"/>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w:t>
      </w:r>
      <w:r w:rsidDel="00000000" w:rsidR="00000000" w:rsidRPr="00000000">
        <w:rPr>
          <w:rFonts w:ascii="Palatino Linotype" w:cs="Palatino Linotype" w:eastAsia="Palatino Linotype" w:hAnsi="Palatino Linotype"/>
          <w:highlight w:val="white"/>
          <w:rtl w:val="0"/>
        </w:rPr>
        <w:t xml:space="preserve">Nacional de Transparencia, Acceso a la Información y Protección de Datos Personales,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18/17, el cual refiere: </w:t>
      </w:r>
    </w:p>
    <w:p w:rsidR="00000000" w:rsidDel="00000000" w:rsidP="00000000" w:rsidRDefault="00000000" w:rsidRPr="00000000" w14:paraId="00000124">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“Clave Única de Registro de Población (CURP). </w:t>
      </w:r>
      <w:r w:rsidDel="00000000" w:rsidR="00000000" w:rsidRPr="00000000">
        <w:rPr>
          <w:rFonts w:ascii="Palatino Linotype" w:cs="Palatino Linotype" w:eastAsia="Palatino Linotype" w:hAnsi="Palatino Linotype"/>
          <w:i w:val="1"/>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25">
      <w:pP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cuanto hace a la </w:t>
      </w:r>
      <w:r w:rsidDel="00000000" w:rsidR="00000000" w:rsidRPr="00000000">
        <w:rPr>
          <w:rFonts w:ascii="Palatino Linotype" w:cs="Palatino Linotype" w:eastAsia="Palatino Linotype" w:hAnsi="Palatino Linotype"/>
          <w:b w:val="1"/>
          <w:color w:val="000000"/>
          <w:rtl w:val="0"/>
        </w:rPr>
        <w:t xml:space="preserve">Clave de cualquier tipo de seguridad social (ISSEMyM, u otros), </w:t>
      </w:r>
      <w:r w:rsidDel="00000000" w:rsidR="00000000" w:rsidRPr="00000000">
        <w:rPr>
          <w:rFonts w:ascii="Palatino Linotype" w:cs="Palatino Linotype" w:eastAsia="Palatino Linotype" w:hAnsi="Palatino Linotype"/>
          <w:color w:val="000000"/>
          <w:rtl w:val="0"/>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26">
      <w:pPr>
        <w:spacing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Del="00000000" w:rsidR="00000000" w:rsidRPr="00000000">
        <w:rPr>
          <w:rFonts w:ascii="Palatino Linotype" w:cs="Palatino Linotype" w:eastAsia="Palatino Linotype" w:hAnsi="Palatino Linotype"/>
          <w:u w:val="single"/>
          <w:rtl w:val="0"/>
        </w:rPr>
        <w:t xml:space="preserve">se le asigna una clave para hacer identificable al trabajador con el objetivo de poder proporcionar los servicios que brinda el ISSEMYM.</w:t>
      </w:r>
    </w:p>
    <w:p w:rsidR="00000000" w:rsidDel="00000000" w:rsidP="00000000" w:rsidRDefault="00000000" w:rsidRPr="00000000" w14:paraId="000001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000000" w:rsidDel="00000000" w:rsidP="00000000" w:rsidRDefault="00000000" w:rsidRPr="00000000" w14:paraId="000001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80" w:before="28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Respecto de los </w:t>
      </w:r>
      <w:r w:rsidDel="00000000" w:rsidR="00000000" w:rsidRPr="00000000">
        <w:rPr>
          <w:rFonts w:ascii="Palatino Linotype" w:cs="Palatino Linotype" w:eastAsia="Palatino Linotype" w:hAnsi="Palatino Linotype"/>
          <w:b w:val="1"/>
          <w:color w:val="000000"/>
          <w:rtl w:val="0"/>
        </w:rPr>
        <w:t xml:space="preserve">préstamos o descuentos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de carácter personal</w:t>
      </w:r>
      <w:r w:rsidDel="00000000" w:rsidR="00000000" w:rsidRPr="00000000">
        <w:rPr>
          <w:rFonts w:ascii="Palatino Linotype" w:cs="Palatino Linotype" w:eastAsia="Palatino Linotype" w:hAnsi="Palatino Linotype"/>
          <w:color w:val="000000"/>
          <w:rtl w:val="0"/>
        </w:rPr>
        <w:t xml:space="preserve">,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80" w:before="28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su parte, el artículo 84 de la Ley del Trabajo de los Servidores Públicos del Estado y Municipios, señala:</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rtl w:val="0"/>
        </w:rPr>
        <w:t xml:space="preserve">ARTÍCULO</w:t>
      </w:r>
      <w:r w:rsidDel="00000000" w:rsidR="00000000" w:rsidRPr="00000000">
        <w:rPr>
          <w:rFonts w:ascii="Palatino Linotype" w:cs="Palatino Linotype" w:eastAsia="Palatino Linotype" w:hAnsi="Palatino Linotype"/>
          <w:b w:val="1"/>
          <w:i w:val="1"/>
          <w:color w:val="000000"/>
          <w:rtl w:val="0"/>
        </w:rPr>
        <w:t xml:space="preserve"> 84. 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I. Gravámenes fiscales relacionados con el sueldo;</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II. Deudas contraídas con las instituciones públicas o dependencias</w:t>
      </w:r>
      <w:r w:rsidDel="00000000" w:rsidR="00000000" w:rsidRPr="00000000">
        <w:rPr>
          <w:rFonts w:ascii="Palatino Linotype" w:cs="Palatino Linotype" w:eastAsia="Palatino Linotype" w:hAnsi="Palatino Linotype"/>
          <w:i w:val="1"/>
          <w:color w:val="000000"/>
          <w:rtl w:val="0"/>
        </w:rPr>
        <w:t xml:space="preserve"> por concepto de anticipos de sueldo, pagos hechos con exceso, errores o pérdidas debidamente comprobados;</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III. Cuotas sindicales</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IV. Cuotas de aportación a fondos para la constitución de cooperativas y de cajas de ahorro, siempre que el servidor público hubiese manifestado previamente, de manera expresa, su conformidad;</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V. Descuentos ordenados por el Instituto de Seguridad Social del Estado de México y Municipios, con motivo de cuotas y obligaciones contraídas con éste por los servidores públicos;</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VI. Obligaciones a cargo del servidor público con las que haya consentido</w:t>
      </w:r>
      <w:r w:rsidDel="00000000" w:rsidR="00000000" w:rsidRPr="00000000">
        <w:rPr>
          <w:rFonts w:ascii="Palatino Linotype" w:cs="Palatino Linotype" w:eastAsia="Palatino Linotype" w:hAnsi="Palatino Linotype"/>
          <w:i w:val="1"/>
          <w:color w:val="000000"/>
          <w:rtl w:val="0"/>
        </w:rPr>
        <w:t xml:space="preserve">, derivadas de la adquisición o del uso de habitaciones consideradas como de interés social;</w:t>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VII. Faltas de puntualidad o de asistencia injustificadas;</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VIII. Pensiones alimenticias ordenadas por la autoridad judicial;</w:t>
      </w:r>
      <w:r w:rsidDel="00000000" w:rsidR="00000000" w:rsidRPr="00000000">
        <w:rPr>
          <w:rFonts w:ascii="Palatino Linotype" w:cs="Palatino Linotype" w:eastAsia="Palatino Linotype" w:hAnsi="Palatino Linotype"/>
          <w:i w:val="1"/>
          <w:color w:val="000000"/>
          <w:rtl w:val="0"/>
        </w:rPr>
        <w:t xml:space="preserve"> o</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rtl w:val="0"/>
        </w:rPr>
        <w:t xml:space="preserve">IX. Cualquier otro </w:t>
      </w:r>
      <w:r w:rsidDel="00000000" w:rsidR="00000000" w:rsidRPr="00000000">
        <w:rPr>
          <w:rFonts w:ascii="Palatino Linotype" w:cs="Palatino Linotype" w:eastAsia="Palatino Linotype" w:hAnsi="Palatino Linotype"/>
          <w:b w:val="1"/>
          <w:i w:val="1"/>
          <w:rtl w:val="0"/>
        </w:rPr>
        <w:t xml:space="preserve">convenio</w:t>
      </w:r>
      <w:r w:rsidDel="00000000" w:rsidR="00000000" w:rsidRPr="00000000">
        <w:rPr>
          <w:rFonts w:ascii="Palatino Linotype" w:cs="Palatino Linotype" w:eastAsia="Palatino Linotype" w:hAnsi="Palatino Linotype"/>
          <w:b w:val="1"/>
          <w:i w:val="1"/>
          <w:color w:val="000000"/>
          <w:rtl w:val="0"/>
        </w:rPr>
        <w:t xml:space="preserve"> con instituciones de servicios y aceptado por el servidor público.</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851" w:right="902" w:firstLine="0"/>
        <w:jc w:val="both"/>
        <w:rPr>
          <w:color w:val="000000"/>
        </w:rPr>
      </w:pPr>
      <w:r w:rsidDel="00000000" w:rsidR="00000000" w:rsidRPr="00000000">
        <w:rPr>
          <w:rFonts w:ascii="Palatino Linotype" w:cs="Palatino Linotype" w:eastAsia="Palatino Linotype" w:hAnsi="Palatino Linotype"/>
          <w:color w:val="000000"/>
          <w:rtl w:val="0"/>
        </w:rPr>
        <w:t xml:space="preserve">(Énfasis añadido)</w:t>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280" w:before="28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Derivado de lo anterior, la ley establece claramente cuáles son esos descuentos o gravámenes que directamente se relacionan con las obligaciones adquiridas como servidores públicos y aquéllos que </w:t>
      </w:r>
      <w:r w:rsidDel="00000000" w:rsidR="00000000" w:rsidRPr="00000000">
        <w:rPr>
          <w:rFonts w:ascii="Palatino Linotype" w:cs="Palatino Linotype" w:eastAsia="Palatino Linotype" w:hAnsi="Palatino Linotype"/>
          <w:b w:val="1"/>
          <w:color w:val="000000"/>
          <w:rtl w:val="0"/>
        </w:rPr>
        <w:t xml:space="preserve">únicamente inciden en su vida privada</w:t>
      </w:r>
      <w:r w:rsidDel="00000000" w:rsidR="00000000" w:rsidRPr="00000000">
        <w:rPr>
          <w:rFonts w:ascii="Palatino Linotype" w:cs="Palatino Linotype" w:eastAsia="Palatino Linotype" w:hAnsi="Palatino Linotype"/>
          <w:color w:val="000000"/>
          <w:rtl w:val="0"/>
        </w:rPr>
        <w:t xml:space="preserve">. De este modo, descuentos por pensiones alimenticias o créditos adquiridos con instituciones privadas o públicas pero que fueron contraídas en forma individual, son información que debe clasificarse como confidencial.</w:t>
      </w:r>
      <w:r w:rsidDel="00000000" w:rsidR="00000000" w:rsidRPr="00000000">
        <w:rPr>
          <w:rtl w:val="0"/>
        </w:rPr>
      </w:r>
    </w:p>
    <w:p w:rsidR="00000000" w:rsidDel="00000000" w:rsidP="00000000" w:rsidRDefault="00000000" w:rsidRPr="00000000" w14:paraId="000001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000000" w:rsidDel="00000000" w:rsidP="00000000" w:rsidRDefault="00000000" w:rsidRPr="00000000" w14:paraId="000001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sustento a lo anterior, las tesis jurisprudenciales </w:t>
      </w:r>
      <w:r w:rsidDel="00000000" w:rsidR="00000000" w:rsidRPr="00000000">
        <w:rPr>
          <w:rFonts w:ascii="Palatino Linotype" w:cs="Palatino Linotype" w:eastAsia="Palatino Linotype" w:hAnsi="Palatino Linotype"/>
          <w:i w:val="1"/>
          <w:rtl w:val="0"/>
        </w:rPr>
        <w:t xml:space="preserve">P. LX/2000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i w:val="1"/>
          <w:rtl w:val="0"/>
        </w:rPr>
        <w:t xml:space="preserve">2a. XLIII/2008</w:t>
      </w:r>
      <w:r w:rsidDel="00000000" w:rsidR="00000000" w:rsidRPr="00000000">
        <w:rPr>
          <w:rFonts w:ascii="Tahoma" w:cs="Tahoma" w:eastAsia="Tahoma" w:hAnsi="Tahoma"/>
          <w:b w:val="1"/>
          <w:rtl w:val="0"/>
        </w:rPr>
        <w:t xml:space="preserve"> </w:t>
      </w:r>
      <w:r w:rsidDel="00000000" w:rsidR="00000000" w:rsidRPr="00000000">
        <w:rPr>
          <w:rFonts w:ascii="Palatino Linotype" w:cs="Palatino Linotype" w:eastAsia="Palatino Linotype" w:hAnsi="Palatino Linotype"/>
          <w:rtl w:val="0"/>
        </w:rPr>
        <w:t xml:space="preserve">emitidas por el Peno y la Segunda Sala de la Suprema Corte de Justicia de la Nación, respectivamente, que son del tenor literal siguiente:</w:t>
      </w:r>
    </w:p>
    <w:p w:rsidR="00000000" w:rsidDel="00000000" w:rsidP="00000000" w:rsidRDefault="00000000" w:rsidRPr="00000000" w14:paraId="0000013B">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rtl w:val="0"/>
        </w:rPr>
        <w:t xml:space="preserve">mientras que por lo que respecta a la protección de la persona existen normas que protegen el derecho a la vida o a la privacidad de los gobernados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C">
      <w:pPr>
        <w:spacing w:line="276"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D">
      <w:pPr>
        <w:spacing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“TRANSPARENCIA Y ACCESO A LA INFORMACIÓN PÚBLICA GUBERNAMENTAL. EL ARTÍCULO 14, FRACCIÓN I, DE LA LEY FEDERAL RELATIVA, NO VIOLA LA GARANTÍA DE ACCESO A LA INFORMACIÓN. </w:t>
      </w:r>
      <w:r w:rsidDel="00000000" w:rsidR="00000000" w:rsidRPr="00000000">
        <w:rPr>
          <w:rFonts w:ascii="Palatino Linotype" w:cs="Palatino Linotype" w:eastAsia="Palatino Linotype" w:hAnsi="Palatino Linotype"/>
          <w:i w:val="1"/>
          <w:rtl w:val="0"/>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00000" w:rsidDel="00000000" w:rsidP="00000000" w:rsidRDefault="00000000" w:rsidRPr="00000000" w14:paraId="0000013E">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F">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También,</w:t>
      </w:r>
      <w:r w:rsidDel="00000000" w:rsidR="00000000" w:rsidRPr="00000000">
        <w:rPr>
          <w:rFonts w:ascii="Palatino Linotype" w:cs="Palatino Linotype" w:eastAsia="Palatino Linotype" w:hAnsi="Palatino Linotype"/>
          <w:b w:val="1"/>
          <w:rtl w:val="0"/>
        </w:rPr>
        <w:t xml:space="preserve"> el número de cuenta bancario</w:t>
      </w:r>
      <w:r w:rsidDel="00000000" w:rsidR="00000000" w:rsidRPr="00000000">
        <w:rPr>
          <w:rFonts w:ascii="Palatino Linotype" w:cs="Palatino Linotype" w:eastAsia="Palatino Linotype" w:hAnsi="Palatino Linotype"/>
          <w:rtl w:val="0"/>
        </w:rPr>
        <w:t xml:space="preserve">, en el Criterio 10/17 emitido por el Pleno del Instituto Nacional de Transparencia, Acceso a la Información y Protección de Datos Personales  se establece lo siguiente:</w:t>
      </w:r>
    </w:p>
    <w:p w:rsidR="00000000" w:rsidDel="00000000" w:rsidP="00000000" w:rsidRDefault="00000000" w:rsidRPr="00000000" w14:paraId="00000140">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1">
      <w:pPr>
        <w:shd w:fill="ffffff" w:val="clear"/>
        <w:spacing w:line="276"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42">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000000" w:rsidDel="00000000" w:rsidP="00000000" w:rsidRDefault="00000000" w:rsidRPr="00000000" w14:paraId="00000143">
      <w:pPr>
        <w:shd w:fill="ffffff" w:val="clear"/>
        <w:spacing w:after="240" w:before="240" w:line="360" w:lineRule="auto"/>
        <w:jc w:val="both"/>
        <w:rPr>
          <w:color w:val="222222"/>
        </w:rPr>
      </w:pPr>
      <w:r w:rsidDel="00000000" w:rsidR="00000000" w:rsidRPr="00000000">
        <w:rPr>
          <w:rFonts w:ascii="Palatino Linotype" w:cs="Palatino Linotype" w:eastAsia="Palatino Linotype" w:hAnsi="Palatino Linotype"/>
          <w:color w:val="222222"/>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r w:rsidDel="00000000" w:rsidR="00000000" w:rsidRPr="00000000">
        <w:rPr>
          <w:rtl w:val="0"/>
        </w:rPr>
      </w:r>
    </w:p>
    <w:p w:rsidR="00000000" w:rsidDel="00000000" w:rsidP="00000000" w:rsidRDefault="00000000" w:rsidRPr="00000000" w14:paraId="00000144">
      <w:pPr>
        <w:shd w:fill="ffffff" w:val="clear"/>
        <w:spacing w:after="240" w:before="240" w:line="276" w:lineRule="auto"/>
        <w:ind w:left="567" w:right="900" w:firstLine="0"/>
        <w:jc w:val="both"/>
        <w:rPr>
          <w:color w:val="222222"/>
        </w:rPr>
      </w:pPr>
      <w:r w:rsidDel="00000000" w:rsidR="00000000" w:rsidRPr="00000000">
        <w:rPr>
          <w:rFonts w:ascii="Palatino Linotype" w:cs="Palatino Linotype" w:eastAsia="Palatino Linotype" w:hAnsi="Palatino Linotype"/>
          <w:b w:val="1"/>
          <w:i w:val="1"/>
          <w:color w:val="2222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Fonts w:ascii="Palatino Linotype" w:cs="Palatino Linotype" w:eastAsia="Palatino Linotype" w:hAnsi="Palatino Linotype"/>
          <w:i w:val="1"/>
          <w:color w:val="2222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Fonts w:ascii="Palatino Linotype" w:cs="Palatino Linotype" w:eastAsia="Palatino Linotype" w:hAnsi="Palatino Linotype"/>
          <w:i w:val="1"/>
          <w:color w:val="2222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color w:val="2222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r w:rsidDel="00000000" w:rsidR="00000000" w:rsidRPr="00000000">
        <w:rPr>
          <w:rtl w:val="0"/>
        </w:rPr>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rtl w:val="0"/>
        </w:rPr>
        <w:t xml:space="preserve">Al respecto,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sustentará la clasificación de datos y con ello la "versión pública" de los documentos materia de las solicitudes</w:t>
      </w:r>
      <w:r w:rsidDel="00000000" w:rsidR="00000000" w:rsidRPr="00000000">
        <w:rPr>
          <w:rFonts w:ascii="Palatino Linotype" w:cs="Palatino Linotype" w:eastAsia="Palatino Linotype" w:hAnsi="Palatino Linotype"/>
          <w:highlight w:val="white"/>
          <w:rtl w:val="0"/>
        </w:rPr>
        <w:t xml:space="preserve">.</w:t>
      </w:r>
    </w:p>
    <w:p w:rsidR="00000000" w:rsidDel="00000000" w:rsidP="00000000" w:rsidRDefault="00000000" w:rsidRPr="00000000" w14:paraId="000001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o reservada es importante someterlo al Comité de Transparencia, quien debe confirmar, modificar o revocar la clasificación.</w:t>
      </w:r>
    </w:p>
    <w:p w:rsidR="00000000" w:rsidDel="00000000" w:rsidP="00000000" w:rsidRDefault="00000000" w:rsidRPr="00000000" w14:paraId="00000147">
      <w:pPr>
        <w:shd w:fill="ffffff" w:val="clea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tl w:val="0"/>
        </w:rPr>
      </w:r>
    </w:p>
    <w:p w:rsidR="00000000" w:rsidDel="00000000" w:rsidP="00000000" w:rsidRDefault="00000000" w:rsidRPr="00000000" w14:paraId="000001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000000" w:rsidDel="00000000" w:rsidP="00000000" w:rsidRDefault="00000000" w:rsidRPr="00000000" w14:paraId="000001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4B">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sexto</w:t>
      </w:r>
      <w:r w:rsidDel="00000000" w:rsidR="00000000" w:rsidRPr="00000000">
        <w:rPr>
          <w:rFonts w:ascii="Palatino Linotype" w:cs="Palatino Linotype" w:eastAsia="Palatino Linotype" w:hAnsi="Palatino Linotype"/>
          <w:b w:val="1"/>
          <w:i w:val="1"/>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r w:rsidDel="00000000" w:rsidR="00000000" w:rsidRPr="00000000">
        <w:rPr>
          <w:rtl w:val="0"/>
        </w:rPr>
      </w:r>
    </w:p>
    <w:p w:rsidR="00000000" w:rsidDel="00000000" w:rsidP="00000000" w:rsidRDefault="00000000" w:rsidRPr="00000000" w14:paraId="0000014C">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séptimo. Se considera, en principio, como información pública y no podrá omitirse de las versiones públicas la siguiente: </w:t>
      </w:r>
    </w:p>
    <w:p w:rsidR="00000000" w:rsidDel="00000000" w:rsidP="00000000" w:rsidRDefault="00000000" w:rsidRPr="00000000" w14:paraId="0000014D">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4E">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4F">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50">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51">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w:t>
      </w:r>
      <w:r w:rsidDel="00000000" w:rsidR="00000000" w:rsidRPr="00000000">
        <w:rPr>
          <w:rFonts w:ascii="Palatino Linotype" w:cs="Palatino Linotype" w:eastAsia="Palatino Linotype" w:hAnsi="Palatino Linotype"/>
          <w:b w:val="1"/>
          <w:rtl w:val="0"/>
        </w:rPr>
        <w:t xml:space="preserve">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Del="00000000" w:rsidR="00000000" w:rsidRPr="00000000">
        <w:rPr>
          <w:rFonts w:ascii="Palatino Linotype" w:cs="Palatino Linotype" w:eastAsia="Palatino Linotype" w:hAnsi="Palatino Linotype"/>
          <w:rtl w:val="0"/>
        </w:rPr>
        <w:t xml:space="preserve">,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3568"/>
        <w:gridCol w:w="968"/>
        <w:gridCol w:w="3446"/>
        <w:tblGridChange w:id="0">
          <w:tblGrid>
            <w:gridCol w:w="846"/>
            <w:gridCol w:w="3568"/>
            <w:gridCol w:w="968"/>
            <w:gridCol w:w="3446"/>
          </w:tblGrid>
        </w:tblGridChange>
      </w:tblGrid>
      <w:tr>
        <w:trPr>
          <w:cantSplit w:val="0"/>
          <w:tblHeader w:val="0"/>
        </w:trPr>
        <w:tc>
          <w:tcPr>
            <w:gridSpan w:val="2"/>
          </w:tcPr>
          <w:p w:rsidR="00000000" w:rsidDel="00000000" w:rsidP="00000000" w:rsidRDefault="00000000" w:rsidRPr="00000000" w14:paraId="00000154">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56">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58">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59">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5A">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5B">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5C">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6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6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6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6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6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6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6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6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6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6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6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6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6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6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6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6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7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7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7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7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7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7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7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7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7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7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7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7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7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7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7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7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8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8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8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8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8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8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8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8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8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89">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8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8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 partes o secciones del mismo reservadas o confidenciales, se señalará este hecho.</w:t>
            </w:r>
          </w:p>
        </w:tc>
      </w:tr>
      <w:tr>
        <w:trPr>
          <w:cantSplit w:val="0"/>
          <w:tblHeader w:val="0"/>
        </w:trPr>
        <w:tc>
          <w:tcPr/>
          <w:p w:rsidR="00000000" w:rsidDel="00000000" w:rsidP="00000000" w:rsidRDefault="00000000" w:rsidRPr="00000000" w14:paraId="0000018C">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8D">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8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8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90">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000000" w:rsidDel="00000000" w:rsidP="00000000" w:rsidRDefault="00000000" w:rsidRPr="00000000" w14:paraId="00000191">
      <w:pPr>
        <w:numPr>
          <w:ilvl w:val="0"/>
          <w:numId w:val="1"/>
        </w:numPr>
        <w:spacing w:after="240" w:before="240" w:line="360" w:lineRule="auto"/>
        <w:ind w:left="284" w:hanging="426"/>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192">
      <w:pPr>
        <w:spacing w:after="240" w:before="240" w:line="360" w:lineRule="auto"/>
        <w:jc w:val="both"/>
        <w:rPr>
          <w:rFonts w:ascii="Palatino Linotype" w:cs="Palatino Linotype" w:eastAsia="Palatino Linotype" w:hAnsi="Palatino Linotype"/>
          <w:b w:val="1"/>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 </w:t>
      </w:r>
      <w:r w:rsidDel="00000000" w:rsidR="00000000" w:rsidRPr="00000000">
        <w:rPr>
          <w:rFonts w:ascii="Palatino Linotype" w:cs="Palatino Linotype" w:eastAsia="Palatino Linotype" w:hAnsi="Palatino Linotype"/>
          <w:rtl w:val="0"/>
        </w:rPr>
        <w:t xml:space="preserve">los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w:t>
      </w:r>
      <w:r w:rsidDel="00000000" w:rsidR="00000000" w:rsidRPr="00000000">
        <w:rPr>
          <w:rFonts w:ascii="Palatino Linotype" w:cs="Palatino Linotype" w:eastAsia="Palatino Linotype" w:hAnsi="Palatino Linotype"/>
          <w:b w:val="1"/>
          <w:rtl w:val="0"/>
        </w:rPr>
        <w:t xml:space="preserve"> 03634/INFOEM/IP/RR/2022, </w:t>
      </w:r>
      <w:r w:rsidDel="00000000" w:rsidR="00000000" w:rsidRPr="00000000">
        <w:rPr>
          <w:rFonts w:ascii="Palatino Linotype" w:cs="Palatino Linotype" w:eastAsia="Palatino Linotype" w:hAnsi="Palatino Linotype"/>
          <w:rtl w:val="0"/>
        </w:rPr>
        <w:t xml:space="preserve">por lo que, en términos del</w:t>
      </w:r>
      <w:r w:rsidDel="00000000" w:rsidR="00000000" w:rsidRPr="00000000">
        <w:rPr>
          <w:rFonts w:ascii="Palatino Linotype" w:cs="Palatino Linotype" w:eastAsia="Palatino Linotype" w:hAnsi="Palatino Linotype"/>
          <w:b w:val="1"/>
          <w:rtl w:val="0"/>
        </w:rPr>
        <w:t xml:space="preserve"> Considerando Cuarto </w:t>
      </w:r>
      <w:r w:rsidDel="00000000" w:rsidR="00000000" w:rsidRPr="00000000">
        <w:rPr>
          <w:rFonts w:ascii="Palatino Linotype" w:cs="Palatino Linotype" w:eastAsia="Palatino Linotype" w:hAnsi="Palatino Linotype"/>
          <w:rtl w:val="0"/>
        </w:rPr>
        <w:t xml:space="preserve">de la presente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emitida por el</w:t>
      </w:r>
      <w:r w:rsidDel="00000000" w:rsidR="00000000" w:rsidRPr="00000000">
        <w:rPr>
          <w:rFonts w:ascii="Palatino Linotype" w:cs="Palatino Linotype" w:eastAsia="Palatino Linotype" w:hAnsi="Palatino Linotype"/>
          <w:b w:val="1"/>
          <w:rtl w:val="0"/>
        </w:rPr>
        <w:t xml:space="preserve"> Sujeto Obligado.</w:t>
      </w:r>
    </w:p>
    <w:p w:rsidR="00000000" w:rsidDel="00000000" w:rsidP="00000000" w:rsidRDefault="00000000" w:rsidRPr="00000000" w14:paraId="00000193">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Ordena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haga entrega</w:t>
      </w:r>
      <w:r w:rsidDel="00000000" w:rsidR="00000000" w:rsidRPr="00000000">
        <w:rPr>
          <w:rFonts w:ascii="Palatino Linotype" w:cs="Palatino Linotype" w:eastAsia="Palatino Linotype" w:hAnsi="Palatino Linotype"/>
          <w:b w:val="1"/>
          <w:rtl w:val="0"/>
        </w:rPr>
        <w:t xml:space="preserve"> vía SAIMEX, </w:t>
      </w:r>
      <w:r w:rsidDel="00000000" w:rsidR="00000000" w:rsidRPr="00000000">
        <w:rPr>
          <w:rFonts w:ascii="Palatino Linotype" w:cs="Palatino Linotype" w:eastAsia="Palatino Linotype" w:hAnsi="Palatino Linotype"/>
          <w:rtl w:val="0"/>
        </w:rPr>
        <w:t xml:space="preserve">en términos de los </w:t>
      </w:r>
      <w:r w:rsidDel="00000000" w:rsidR="00000000" w:rsidRPr="00000000">
        <w:rPr>
          <w:rFonts w:ascii="Palatino Linotype" w:cs="Palatino Linotype" w:eastAsia="Palatino Linotype" w:hAnsi="Palatino Linotype"/>
          <w:b w:val="1"/>
          <w:rtl w:val="0"/>
        </w:rPr>
        <w:t xml:space="preserve">Considerandos Cuarto y Quinto </w:t>
      </w:r>
      <w:r w:rsidDel="00000000" w:rsidR="00000000" w:rsidRPr="00000000">
        <w:rPr>
          <w:rFonts w:ascii="Palatino Linotype" w:cs="Palatino Linotype" w:eastAsia="Palatino Linotype" w:hAnsi="Palatino Linotype"/>
          <w:rtl w:val="0"/>
        </w:rPr>
        <w:t xml:space="preserve">de esta resolución, </w:t>
      </w:r>
      <w:r w:rsidDel="00000000" w:rsidR="00000000" w:rsidRPr="00000000">
        <w:rPr>
          <w:rFonts w:ascii="Palatino Linotype" w:cs="Palatino Linotype" w:eastAsia="Palatino Linotype" w:hAnsi="Palatino Linotype"/>
          <w:b w:val="1"/>
          <w:rtl w:val="0"/>
        </w:rPr>
        <w:t xml:space="preserve">en versión pública de ser procedente</w:t>
      </w:r>
      <w:r w:rsidDel="00000000" w:rsidR="00000000" w:rsidRPr="00000000">
        <w:rPr>
          <w:rFonts w:ascii="Palatino Linotype" w:cs="Palatino Linotype" w:eastAsia="Palatino Linotype" w:hAnsi="Palatino Linotype"/>
          <w:rtl w:val="0"/>
        </w:rPr>
        <w:t xml:space="preserve">, lo siguiente: </w:t>
      </w:r>
    </w:p>
    <w:p w:rsidR="00000000" w:rsidDel="00000000" w:rsidP="00000000" w:rsidRDefault="00000000" w:rsidRPr="00000000" w14:paraId="00000194">
      <w:pPr>
        <w:spacing w:line="360" w:lineRule="auto"/>
        <w:ind w:right="-93"/>
        <w:jc w:val="both"/>
        <w:rPr>
          <w:b w:val="1"/>
        </w:rPr>
      </w:pPr>
      <w:r w:rsidDel="00000000" w:rsidR="00000000" w:rsidRPr="00000000">
        <w:rPr>
          <w:rtl w:val="0"/>
        </w:rPr>
      </w:r>
    </w:p>
    <w:p w:rsidR="00000000" w:rsidDel="00000000" w:rsidP="00000000" w:rsidRDefault="00000000" w:rsidRPr="00000000" w14:paraId="00000195">
      <w:pPr>
        <w:numPr>
          <w:ilvl w:val="0"/>
          <w:numId w:val="4"/>
        </w:numPr>
        <w:spacing w:line="276" w:lineRule="auto"/>
        <w:ind w:left="567" w:right="851" w:hanging="141"/>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Documento o documentos donde conste la nómina ordinaria y extraordinaria, así como la lista de raya, de los servidores públicos adscritos al Sujeto Obligado, generada en la segunda quincena de enero y primera quincena de febrero de dos mil veintidós.</w:t>
      </w:r>
    </w:p>
    <w:p w:rsidR="00000000" w:rsidDel="00000000" w:rsidP="00000000" w:rsidRDefault="00000000" w:rsidRPr="00000000" w14:paraId="00000196">
      <w:pPr>
        <w:spacing w:after="240" w:before="240" w:lineRule="auto"/>
        <w:ind w:left="567" w:right="851" w:firstLine="0"/>
        <w:jc w:val="both"/>
        <w:rPr>
          <w:rFonts w:ascii="Palatino Linotype" w:cs="Palatino Linotype" w:eastAsia="Palatino Linotype" w:hAnsi="Palatino Linotype"/>
          <w:i w:val="1"/>
          <w:sz w:val="22"/>
          <w:szCs w:val="22"/>
        </w:rPr>
      </w:pPr>
      <w:bookmarkStart w:colFirst="0" w:colLast="0" w:name="_heading=h.gjdgxs" w:id="3"/>
      <w:bookmarkEnd w:id="3"/>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7">
      <w:pPr>
        <w:spacing w:after="240" w:before="240" w:lineRule="auto"/>
        <w:ind w:left="567" w:right="851" w:firstLine="0"/>
        <w:jc w:val="both"/>
        <w:rPr>
          <w:rFonts w:ascii="Palatino Linotype" w:cs="Palatino Linotype" w:eastAsia="Palatino Linotype" w:hAnsi="Palatino Linotype"/>
          <w:b w:val="1"/>
          <w:i w:val="1"/>
          <w:sz w:val="22"/>
          <w:szCs w:val="22"/>
        </w:rPr>
      </w:pPr>
      <w:bookmarkStart w:colFirst="0" w:colLast="0" w:name="_heading=h.2et92p0" w:id="4"/>
      <w:bookmarkEnd w:id="4"/>
      <w:r w:rsidDel="00000000" w:rsidR="00000000" w:rsidRPr="00000000">
        <w:rPr>
          <w:rFonts w:ascii="Palatino Linotype" w:cs="Palatino Linotype" w:eastAsia="Palatino Linotype" w:hAnsi="Palatino Linotype"/>
          <w:i w:val="1"/>
          <w:sz w:val="22"/>
          <w:szCs w:val="22"/>
          <w:rtl w:val="0"/>
        </w:rPr>
        <w:t xml:space="preserve">En el supuesto de que no se haya generado la información relativa a la Lista de Raya, bastará con el sólo pronunciamiento del </w:t>
      </w:r>
      <w:r w:rsidDel="00000000" w:rsidR="00000000" w:rsidRPr="00000000">
        <w:rPr>
          <w:rFonts w:ascii="Palatino Linotype" w:cs="Palatino Linotype" w:eastAsia="Palatino Linotype" w:hAnsi="Palatino Linotype"/>
          <w:b w:val="1"/>
          <w:i w:val="1"/>
          <w:sz w:val="22"/>
          <w:szCs w:val="22"/>
          <w:rtl w:val="0"/>
        </w:rPr>
        <w:t xml:space="preserve">Sujeto Obligado </w:t>
      </w:r>
      <w:r w:rsidDel="00000000" w:rsidR="00000000" w:rsidRPr="00000000">
        <w:rPr>
          <w:rFonts w:ascii="Palatino Linotype" w:cs="Palatino Linotype" w:eastAsia="Palatino Linotype" w:hAnsi="Palatino Linotype"/>
          <w:i w:val="1"/>
          <w:sz w:val="22"/>
          <w:szCs w:val="22"/>
          <w:rtl w:val="0"/>
        </w:rPr>
        <w:t xml:space="preserve">de manera fundada y motivada en términos del segundo párrafo del  artículo 19 de la Ley de Transparencia local, para dar por satisfecho el derecho de acceso a la información</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9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w:t>
      </w:r>
      <w:r w:rsidDel="00000000" w:rsidR="00000000" w:rsidRPr="00000000">
        <w:rPr>
          <w:rFonts w:ascii="Palatino Linotype" w:cs="Palatino Linotype" w:eastAsia="Palatino Linotype" w:hAnsi="Palatino Linotype"/>
          <w:rtl w:val="0"/>
        </w:rPr>
        <w:t xml:space="preserve">Notifíquese vía</w:t>
      </w:r>
      <w:r w:rsidDel="00000000" w:rsidR="00000000" w:rsidRPr="00000000">
        <w:rPr>
          <w:rFonts w:ascii="Palatino Linotype" w:cs="Palatino Linotype" w:eastAsia="Palatino Linotype" w:hAnsi="Palatino Linotype"/>
          <w:b w:val="1"/>
          <w:rtl w:val="0"/>
        </w:rPr>
        <w:t xml:space="preserve"> Sistema de Acceso a la Información Mexiquense (SAIMEX), </w:t>
      </w:r>
      <w:r w:rsidDel="00000000" w:rsidR="00000000" w:rsidRPr="00000000">
        <w:rPr>
          <w:rFonts w:ascii="Palatino Linotype" w:cs="Palatino Linotype" w:eastAsia="Palatino Linotype" w:hAnsi="Palatino Linotype"/>
          <w:rtl w:val="0"/>
        </w:rPr>
        <w:t xml:space="preserve">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rsidR="00000000" w:rsidDel="00000000" w:rsidP="00000000" w:rsidRDefault="00000000" w:rsidRPr="00000000" w14:paraId="000001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9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  Notifíquese, al recurrente vía Sistema de Acceso a la Información Mexiquense (SAIMEX),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9B">
      <w:pPr>
        <w:spacing w:after="240" w:before="240" w:line="360" w:lineRule="auto"/>
        <w:jc w:val="both"/>
        <w:rPr>
          <w:rFonts w:ascii="Palatino Linotype" w:cs="Palatino Linotype" w:eastAsia="Palatino Linotype" w:hAnsi="Palatino Linotype"/>
        </w:rPr>
        <w:sectPr>
          <w:headerReference r:id="rId28" w:type="default"/>
          <w:headerReference r:id="rId29" w:type="first"/>
          <w:footerReference r:id="rId30" w:type="default"/>
          <w:footerReference r:id="rId31" w:type="first"/>
          <w:pgSz w:h="15840" w:w="12240" w:orient="portrait"/>
          <w:pgMar w:bottom="1417" w:top="1417" w:left="1701" w:right="1750" w:header="708" w:footer="708"/>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DEL DOS MIL VEINTIDÓS, ANTE EL SECRETARIO TÉCNICO DEL PLENO, ALEXIS TAPIA RAMÍREZ. </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tl w:val="0"/>
        </w:rPr>
      </w:r>
    </w:p>
    <w:sectPr>
      <w:headerReference r:id="rId32" w:type="first"/>
      <w:type w:val="nextPage"/>
      <w:pgSz w:h="15840" w:w="12240" w:orient="portrait"/>
      <w:pgMar w:bottom="1417" w:top="1417" w:left="1701" w:right="1701"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A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A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 El Instituto deberá regir su funcionamiento de acuerdo a los siguientes principios:</w:t>
      </w:r>
    </w:p>
    <w:p w:rsidR="00000000" w:rsidDel="00000000" w:rsidP="00000000" w:rsidRDefault="00000000" w:rsidRPr="00000000" w14:paraId="000001A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 Certeza: Principio que otorga seguridad y certidumbre jurídica a los particulares, en virtud de que permite conocer si las acciones del Instituto son apegadas a derecho y garantiza que los procedimientos sean completamente verificables, fidedignos y confiable…</w:t>
      </w:r>
    </w:p>
    <w:p w:rsidR="00000000" w:rsidDel="00000000" w:rsidP="00000000" w:rsidRDefault="00000000" w:rsidRPr="00000000" w14:paraId="000001A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 Legalidad: Obligación del Instituto de ajustar su actuación, que funde y motive sus resoluciones y actos en las normas aplicables…</w:t>
      </w:r>
    </w:p>
    <w:p w:rsidR="00000000" w:rsidDel="00000000" w:rsidP="00000000" w:rsidRDefault="00000000" w:rsidRPr="00000000" w14:paraId="000001A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Objetividad: Obligación del Instituto de ajustar su actuación a los presupuestos de ley que deben ser aplicados al analizar el caso en concreto y resolver todos los hechos, prescindiendo de las consideraciones y criterios personales…” (Sic)</w:t>
      </w:r>
    </w:p>
  </w:footnote>
  <w:footnote w:id="3">
    <w:p w:rsidR="00000000" w:rsidDel="00000000" w:rsidP="00000000" w:rsidRDefault="00000000" w:rsidRPr="00000000" w14:paraId="000001A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11. En la generación, publicación y entrega de información se deberá garantizar que ésta sea accesible, actualizada, completa, </w:t>
      </w:r>
      <w:r w:rsidDel="00000000" w:rsidR="00000000" w:rsidRPr="00000000">
        <w:rPr>
          <w:rFonts w:ascii="Palatino Linotype" w:cs="Palatino Linotype" w:eastAsia="Palatino Linotype" w:hAnsi="Palatino Linotype"/>
          <w:b w:val="1"/>
          <w:color w:val="000000"/>
          <w:sz w:val="16"/>
          <w:szCs w:val="16"/>
          <w:rtl w:val="0"/>
        </w:rPr>
        <w:t xml:space="preserve">congruente</w:t>
      </w:r>
      <w:r w:rsidDel="00000000" w:rsidR="00000000" w:rsidRPr="00000000">
        <w:rPr>
          <w:rFonts w:ascii="Palatino Linotype" w:cs="Palatino Linotype" w:eastAsia="Palatino Linotype" w:hAnsi="Palatino Linotype"/>
          <w:color w:val="000000"/>
          <w:sz w:val="16"/>
          <w:szCs w:val="16"/>
          <w:rtl w:val="0"/>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 w:id="4">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Cambria" w:cs="Cambria" w:eastAsia="Cambria" w:hAnsi="Cambria"/>
          <w:color w:val="000000"/>
          <w:sz w:val="20"/>
          <w:szCs w:val="20"/>
          <w:highlight w:val="white"/>
          <w:rtl w:val="0"/>
        </w:rPr>
        <w:t xml:space="preserve">Jurisprudencia publicada en el Semanario Judicial de la Federación número 2a./J.120/2015, de la Décima Época, Tomo I, Libro 22, Septiembre 2015, cuyo texto es el siguiente: “La regulación establecida en el artículo </w:t>
      </w:r>
      <w:r w:rsidDel="00000000" w:rsidR="00000000" w:rsidRPr="00000000">
        <w:rPr>
          <w:rFonts w:ascii="Cambria" w:cs="Cambria" w:eastAsia="Cambria" w:hAnsi="Cambria"/>
          <w:color w:val="000000"/>
          <w:sz w:val="20"/>
          <w:szCs w:val="20"/>
          <w:rtl w:val="0"/>
        </w:rPr>
        <w:t xml:space="preserve">79, fracción VI, de la Ley de Amparo</w:t>
      </w:r>
      <w:r w:rsidDel="00000000" w:rsidR="00000000" w:rsidRPr="00000000">
        <w:rPr>
          <w:rFonts w:ascii="Cambria" w:cs="Cambria" w:eastAsia="Cambria" w:hAnsi="Cambria"/>
          <w:color w:val="000000"/>
          <w:sz w:val="20"/>
          <w:szCs w:val="20"/>
          <w:highlight w:val="white"/>
          <w:rtl w:val="0"/>
        </w:rPr>
        <w:t xml:space="preserve">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sidDel="00000000" w:rsidR="00000000" w:rsidRPr="00000000">
        <w:rPr>
          <w:rFonts w:ascii="Cambria" w:cs="Cambria" w:eastAsia="Cambria" w:hAnsi="Cambria"/>
          <w:color w:val="000000"/>
          <w:sz w:val="20"/>
          <w:szCs w:val="20"/>
          <w:rtl w:val="0"/>
        </w:rPr>
        <w:t xml:space="preserve">107, fracción II, antepenúltimo párrafo, de la Constitución Política de los Estados Unidos Mexicanos</w:t>
      </w:r>
      <w:r w:rsidDel="00000000" w:rsidR="00000000" w:rsidRPr="00000000">
        <w:rPr>
          <w:rFonts w:ascii="Cambria" w:cs="Cambria" w:eastAsia="Cambria" w:hAnsi="Cambria"/>
          <w:color w:val="000000"/>
          <w:sz w:val="20"/>
          <w:szCs w:val="20"/>
          <w:highlight w:val="white"/>
          <w:rtl w:val="0"/>
        </w:rPr>
        <w:t xml:space="preserve">.”</w:t>
      </w:r>
      <w:r w:rsidDel="00000000" w:rsidR="00000000" w:rsidRPr="00000000">
        <w:rPr>
          <w:rtl w:val="0"/>
        </w:rPr>
      </w:r>
    </w:p>
  </w:footnote>
  <w:footnote w:id="5">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Cambria" w:cs="Cambria" w:eastAsia="Cambria" w:hAnsi="Cambria"/>
          <w:color w:val="000000"/>
          <w:sz w:val="20"/>
          <w:szCs w:val="20"/>
          <w:highlight w:val="white"/>
          <w:rtl w:val="0"/>
        </w:rPr>
        <w:t xml:space="preserve">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sidDel="00000000" w:rsidR="00000000" w:rsidRPr="00000000">
        <w:rPr>
          <w:rFonts w:ascii="Palatino Linotype" w:cs="Palatino Linotype" w:eastAsia="Palatino Linotype" w:hAnsi="Palatino Linotype"/>
          <w:color w:val="000000"/>
          <w:sz w:val="16"/>
          <w:szCs w:val="16"/>
          <w:highlight w:val="white"/>
          <w:rtl w:val="0"/>
        </w:rPr>
        <w:t xml:space="preserve"> </w:t>
      </w:r>
      <w:r w:rsidDel="00000000" w:rsidR="00000000" w:rsidRPr="00000000">
        <w:rPr>
          <w:rFonts w:ascii="Cambria" w:cs="Cambria" w:eastAsia="Cambria" w:hAnsi="Cambria"/>
          <w:color w:val="000000"/>
          <w:sz w:val="20"/>
          <w:szCs w:val="20"/>
          <w:highlight w:val="white"/>
          <w:rtl w:val="0"/>
        </w:rPr>
        <w:t xml:space="preserve">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r w:rsidDel="00000000" w:rsidR="00000000" w:rsidRPr="00000000">
        <w:rPr>
          <w:rtl w:val="0"/>
        </w:rPr>
      </w:r>
    </w:p>
  </w:footnote>
  <w:footnote w:id="6">
    <w:p w:rsidR="00000000" w:rsidDel="00000000" w:rsidP="00000000" w:rsidRDefault="00000000" w:rsidRPr="00000000" w14:paraId="000001A8">
      <w:pPr>
        <w:pBdr>
          <w:top w:space="0" w:sz="0" w:val="nil"/>
          <w:left w:space="0" w:sz="0" w:val="nil"/>
          <w:bottom w:space="0" w:sz="0" w:val="nil"/>
          <w:right w:space="0" w:sz="0" w:val="nil"/>
          <w:between w:space="0" w:sz="0" w:val="nil"/>
        </w:pBdr>
        <w:jc w:val="both"/>
        <w:rPr>
          <w:rFonts w:ascii="Cambria" w:cs="Cambria" w:eastAsia="Cambria" w:hAnsi="Cambria"/>
          <w:color w:val="000000"/>
          <w:sz w:val="16"/>
          <w:szCs w:val="16"/>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8"/>
          <w:szCs w:val="18"/>
          <w:rtl w:val="0"/>
        </w:rPr>
        <w:t xml:space="preserve">“L</w:t>
      </w:r>
      <w:r w:rsidDel="00000000" w:rsidR="00000000" w:rsidRPr="00000000">
        <w:rPr>
          <w:rFonts w:ascii="Palatino Linotype" w:cs="Palatino Linotype" w:eastAsia="Palatino Linotype" w:hAnsi="Palatino Linotype"/>
          <w:b w:val="1"/>
          <w:color w:val="000000"/>
          <w:sz w:val="16"/>
          <w:szCs w:val="16"/>
          <w:rtl w:val="0"/>
        </w:rPr>
        <w:t xml:space="preserve">a incorporación de un trabajador a las listas de raya implica una temporalidad en la relación laboral, ya sea por obra o tiempo determinado, lapso en el cual, si bien está amparado por los beneficios que le conceda la ley, una vez concluido dicho periodo termina la relación de trabajo sin responsabilidad para el patrón</w:t>
      </w:r>
      <w:r w:rsidDel="00000000" w:rsidR="00000000" w:rsidRPr="00000000">
        <w:rPr>
          <w:rFonts w:ascii="Palatino Linotype" w:cs="Palatino Linotype" w:eastAsia="Palatino Linotype" w:hAnsi="Palatino Linotype"/>
          <w:color w:val="000000"/>
          <w:sz w:val="16"/>
          <w:szCs w:val="16"/>
          <w:rtl w:val="0"/>
        </w:rPr>
        <w:t xml:space="preserve">; sin embargo, como en todo caso, es la situación específica la que orienta la naturaleza de los servicios prestados si un trabajador incluido en una lista de raya demanda su recategorización y acredita la realización de labores distintas a las contratadas, con mejor remuneración, mientras que la demandada, quien alegó la improcedencia respectiva por la incorporación del trabajador en las listas de raya, no demuestra que la relación laboral fue por obra o tiempo determinado, ello genera, por consecuencia, estimar que aquélla es permanente y, por tanto, la procedencia de la acción de recategorización.”</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pos="4252"/>
        <w:tab w:val="right" w:pos="8504"/>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-1080126</wp:posOffset>
          </wp:positionH>
          <wp:positionV relativeFrom="paragraph">
            <wp:posOffset>-343526</wp:posOffset>
          </wp:positionV>
          <wp:extent cx="7635600" cy="9943200"/>
          <wp:effectExtent b="0" l="0" r="0" t="0"/>
          <wp:wrapNone/>
          <wp:docPr id="140" name="image4.jpg"/>
          <a:graphic>
            <a:graphicData uri="http://schemas.openxmlformats.org/drawingml/2006/picture">
              <pic:pic>
                <pic:nvPicPr>
                  <pic:cNvPr id="0" name="image4.jpg"/>
                  <pic:cNvPicPr preferRelativeResize="0"/>
                </pic:nvPicPr>
                <pic:blipFill>
                  <a:blip r:embed="rId3"/>
                  <a:srcRect b="0" l="0" r="0" t="0"/>
                  <a:stretch>
                    <a:fillRect/>
                  </a:stretch>
                </pic:blipFill>
                <pic:spPr>
                  <a:xfrm>
                    <a:off x="0" y="0"/>
                    <a:ext cx="7635600" cy="9943200"/>
                  </a:xfrm>
                  <a:prstGeom prst="rect"/>
                  <a:ln/>
                </pic:spPr>
              </pic:pic>
            </a:graphicData>
          </a:graphic>
        </wp:anchor>
      </w:drawing>
    </w:r>
  </w:p>
  <w:tbl>
    <w:tblPr>
      <w:tblStyle w:val="Table2"/>
      <w:tblW w:w="6240.0" w:type="dxa"/>
      <w:jc w:val="left"/>
      <w:tblInd w:w="3685.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A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vAlign w:val="center"/>
        </w:tcPr>
        <w:p w:rsidR="00000000" w:rsidDel="00000000" w:rsidP="00000000" w:rsidRDefault="00000000" w:rsidRPr="00000000" w14:paraId="000001A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03634/INFOEM/IP/RR/2022</w:t>
          </w:r>
        </w:p>
      </w:tc>
    </w:tr>
    <w:tr>
      <w:trPr>
        <w:cantSplit w:val="0"/>
        <w:tblHeader w:val="0"/>
      </w:trPr>
      <w:tc>
        <w:tcPr>
          <w:vAlign w:val="center"/>
        </w:tcPr>
        <w:p w:rsidR="00000000" w:rsidDel="00000000" w:rsidP="00000000" w:rsidRDefault="00000000" w:rsidRPr="00000000" w14:paraId="000001A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1AD">
          <w:pPr>
            <w:rPr>
              <w:rFonts w:ascii="Palatino Linotype" w:cs="Palatino Linotype" w:eastAsia="Palatino Linotype" w:hAnsi="Palatino Linotype"/>
              <w:b w:val="1"/>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AE">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vAlign w:val="center"/>
        </w:tcPr>
        <w:p w:rsidR="00000000" w:rsidDel="00000000" w:rsidP="00000000" w:rsidRDefault="00000000" w:rsidRPr="00000000" w14:paraId="000001AF">
          <w:pPr>
            <w:ind w:right="596"/>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Sistema Municipal Para el Desarrollo Integral de la Familia de Huehuetoca</w:t>
          </w:r>
        </w:p>
      </w:tc>
    </w:tr>
    <w:tr>
      <w:trPr>
        <w:cantSplit w:val="0"/>
        <w:tblHeader w:val="0"/>
      </w:trPr>
      <w:tc>
        <w:tcPr>
          <w:vAlign w:val="center"/>
        </w:tcPr>
        <w:p w:rsidR="00000000" w:rsidDel="00000000" w:rsidP="00000000" w:rsidRDefault="00000000" w:rsidRPr="00000000" w14:paraId="000001B0">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vAlign w:val="center"/>
        </w:tcPr>
        <w:p w:rsidR="00000000" w:rsidDel="00000000" w:rsidP="00000000" w:rsidRDefault="00000000" w:rsidRPr="00000000" w14:paraId="000001B1">
          <w:pPr>
            <w:ind w:right="-533"/>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-1080127</wp:posOffset>
          </wp:positionH>
          <wp:positionV relativeFrom="paragraph">
            <wp:posOffset>-345432</wp:posOffset>
          </wp:positionV>
          <wp:extent cx="7635600" cy="9943200"/>
          <wp:effectExtent b="0" l="0" r="0" t="0"/>
          <wp:wrapNone/>
          <wp:docPr id="143" name="image4.jpg"/>
          <a:graphic>
            <a:graphicData uri="http://schemas.openxmlformats.org/drawingml/2006/picture">
              <pic:pic>
                <pic:nvPicPr>
                  <pic:cNvPr id="0" name="image4.jpg"/>
                  <pic:cNvPicPr preferRelativeResize="0"/>
                </pic:nvPicPr>
                <pic:blipFill>
                  <a:blip r:embed="rId3"/>
                  <a:srcRect b="0" l="0" r="0" t="0"/>
                  <a:stretch>
                    <a:fillRect/>
                  </a:stretch>
                </pic:blipFill>
                <pic:spPr>
                  <a:xfrm>
                    <a:off x="0" y="0"/>
                    <a:ext cx="7635600" cy="9943200"/>
                  </a:xfrm>
                  <a:prstGeom prst="rect"/>
                  <a:ln/>
                </pic:spPr>
              </pic:pic>
            </a:graphicData>
          </a:graphic>
        </wp:anchor>
      </w:drawing>
    </w:r>
  </w:p>
  <w:tbl>
    <w:tblPr>
      <w:tblStyle w:val="Table3"/>
      <w:tblW w:w="6240.0" w:type="dxa"/>
      <w:jc w:val="left"/>
      <w:tblInd w:w="3746.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B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vAlign w:val="center"/>
        </w:tcPr>
        <w:p w:rsidR="00000000" w:rsidDel="00000000" w:rsidP="00000000" w:rsidRDefault="00000000" w:rsidRPr="00000000" w14:paraId="000001B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03634/INFOEM/IP/RR/2022</w:t>
          </w:r>
        </w:p>
      </w:tc>
    </w:tr>
    <w:tr>
      <w:trPr>
        <w:cantSplit w:val="0"/>
        <w:trHeight w:val="228" w:hRule="atLeast"/>
        <w:tblHeader w:val="0"/>
      </w:trPr>
      <w:tc>
        <w:tcPr>
          <w:vAlign w:val="center"/>
        </w:tcPr>
        <w:p w:rsidR="00000000" w:rsidDel="00000000" w:rsidP="00000000" w:rsidRDefault="00000000" w:rsidRPr="00000000" w14:paraId="000001B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vAlign w:val="center"/>
        </w:tcPr>
        <w:p w:rsidR="00000000" w:rsidDel="00000000" w:rsidP="00000000" w:rsidRDefault="00000000" w:rsidRPr="00000000" w14:paraId="000001B7">
          <w:pPr>
            <w:ind w:right="37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Sistema Municipal Para el Desarrollo Integral de la Familia de Huehuetoca</w:t>
          </w:r>
        </w:p>
      </w:tc>
    </w:tr>
    <w:tr>
      <w:trPr>
        <w:cantSplit w:val="0"/>
        <w:tblHeader w:val="0"/>
      </w:trPr>
      <w:tc>
        <w:tcPr>
          <w:vAlign w:val="center"/>
        </w:tcPr>
        <w:p w:rsidR="00000000" w:rsidDel="00000000" w:rsidP="00000000" w:rsidRDefault="00000000" w:rsidRPr="00000000" w14:paraId="000001B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vAlign w:val="center"/>
        </w:tcPr>
        <w:p w:rsidR="00000000" w:rsidDel="00000000" w:rsidP="00000000" w:rsidRDefault="00000000" w:rsidRPr="00000000" w14:paraId="000001B9">
          <w:pPr>
            <w:ind w:right="-533"/>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center" w:pos="4252"/>
        <w:tab w:val="right" w:pos="8504"/>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857C9"/>
  </w:style>
  <w:style w:type="paragraph" w:styleId="Ttulo1">
    <w:name w:val="heading 1"/>
    <w:basedOn w:val="Normal"/>
    <w:next w:val="Normal"/>
    <w:link w:val="Ttulo1Car"/>
    <w:uiPriority w:val="9"/>
    <w:qFormat w:val="1"/>
    <w:rsid w:val="007F61D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4A6EF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unhideWhenUsed w:val="1"/>
    <w:qFormat w:val="1"/>
    <w:rsid w:val="00A776B4"/>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9D4854"/>
    <w:pPr>
      <w:ind w:left="708"/>
    </w:pPr>
  </w:style>
  <w:style w:type="table" w:styleId="Tablaconcuadrcula">
    <w:name w:val="Table Grid"/>
    <w:basedOn w:val="Tablanormal"/>
    <w:uiPriority w:val="59"/>
    <w:rsid w:val="00AB3F5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B3F5E"/>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B3F5E"/>
    <w:rPr>
      <w:vertAlign w:val="superscript"/>
    </w:rPr>
  </w:style>
  <w:style w:type="character" w:styleId="Ttulo2Car" w:customStyle="1">
    <w:name w:val="Título 2 Car"/>
    <w:basedOn w:val="Fuentedeprrafopredeter"/>
    <w:link w:val="Ttulo2"/>
    <w:uiPriority w:val="9"/>
    <w:rsid w:val="004A6EFE"/>
    <w:rPr>
      <w:rFonts w:asciiTheme="majorHAnsi" w:cstheme="majorBidi" w:eastAsiaTheme="majorEastAsia" w:hAnsiTheme="majorHAnsi"/>
      <w:color w:val="365f91" w:themeColor="accent1" w:themeShade="0000BF"/>
      <w:sz w:val="26"/>
      <w:szCs w:val="26"/>
      <w:lang w:val="es-ES"/>
    </w:rPr>
  </w:style>
  <w:style w:type="character" w:styleId="apple-converted-space" w:customStyle="1">
    <w:name w:val="apple-converted-space"/>
    <w:basedOn w:val="Fuentedeprrafopredeter"/>
    <w:rsid w:val="00A5404F"/>
  </w:style>
  <w:style w:type="character" w:styleId="normaltextrun" w:customStyle="1">
    <w:name w:val="normaltextrun"/>
    <w:basedOn w:val="Fuentedeprrafopredeter"/>
    <w:rsid w:val="00355B75"/>
  </w:style>
  <w:style w:type="paragraph" w:styleId="paragraph" w:customStyle="1">
    <w:name w:val="paragraph"/>
    <w:basedOn w:val="Normal"/>
    <w:rsid w:val="00355B75"/>
    <w:pPr>
      <w:spacing w:after="100" w:afterAutospacing="1" w:before="100" w:beforeAutospacing="1"/>
    </w:pPr>
    <w:rPr>
      <w:lang w:val="es-MX"/>
    </w:rPr>
  </w:style>
  <w:style w:type="character" w:styleId="eop" w:customStyle="1">
    <w:name w:val="eop"/>
    <w:basedOn w:val="Fuentedeprrafopredeter"/>
    <w:rsid w:val="00355B75"/>
  </w:style>
  <w:style w:type="character" w:styleId="Hipervnculo">
    <w:name w:val="Hyperlink"/>
    <w:basedOn w:val="Fuentedeprrafopredeter"/>
    <w:uiPriority w:val="99"/>
    <w:unhideWhenUsed w:val="1"/>
    <w:rsid w:val="00623EA3"/>
    <w:rPr>
      <w:color w:val="0000ff" w:themeColor="hyperlink"/>
      <w:u w:val="single"/>
    </w:rPr>
  </w:style>
  <w:style w:type="character" w:styleId="nacep" w:customStyle="1">
    <w:name w:val="n_acep"/>
    <w:basedOn w:val="Fuentedeprrafopredeter"/>
    <w:rsid w:val="00585C24"/>
  </w:style>
  <w:style w:type="paragraph" w:styleId="Texto" w:customStyle="1">
    <w:name w:val="Texto"/>
    <w:basedOn w:val="Normal"/>
    <w:link w:val="TextoCar"/>
    <w:qFormat w:val="1"/>
    <w:rsid w:val="009573BD"/>
    <w:pPr>
      <w:spacing w:after="101" w:line="216" w:lineRule="exact"/>
      <w:ind w:firstLine="288"/>
      <w:jc w:val="both"/>
    </w:pPr>
    <w:rPr>
      <w:rFonts w:ascii="Arial" w:cs="Arial" w:hAnsi="Arial"/>
      <w:sz w:val="18"/>
      <w:szCs w:val="20"/>
    </w:rPr>
  </w:style>
  <w:style w:type="character" w:styleId="TextoCar" w:customStyle="1">
    <w:name w:val="Texto Car"/>
    <w:link w:val="Texto"/>
    <w:locked w:val="1"/>
    <w:rsid w:val="009573BD"/>
    <w:rPr>
      <w:rFonts w:ascii="Arial" w:cs="Arial" w:eastAsia="Times New Roman" w:hAnsi="Arial"/>
      <w:sz w:val="18"/>
      <w:szCs w:val="20"/>
      <w:lang w:val="es-ES"/>
    </w:rPr>
  </w:style>
  <w:style w:type="character" w:styleId="Ttulo1Car" w:customStyle="1">
    <w:name w:val="Título 1 Car"/>
    <w:basedOn w:val="Fuentedeprrafopredeter"/>
    <w:link w:val="Ttulo1"/>
    <w:uiPriority w:val="9"/>
    <w:rsid w:val="007F61DA"/>
    <w:rPr>
      <w:rFonts w:asciiTheme="majorHAnsi" w:cstheme="majorBidi" w:eastAsiaTheme="majorEastAsia" w:hAnsiTheme="majorHAnsi"/>
      <w:color w:val="365f91" w:themeColor="accent1" w:themeShade="0000BF"/>
      <w:sz w:val="32"/>
      <w:szCs w:val="32"/>
      <w:lang w:val="es-ES"/>
    </w:rPr>
  </w:style>
  <w:style w:type="paragraph" w:styleId="Default" w:customStyle="1">
    <w:name w:val="Default"/>
    <w:rsid w:val="00DF0D44"/>
    <w:pPr>
      <w:autoSpaceDE w:val="0"/>
      <w:autoSpaceDN w:val="0"/>
      <w:adjustRightInd w:val="0"/>
    </w:pPr>
    <w:rPr>
      <w:rFonts w:ascii="Arial" w:cs="Arial" w:hAnsi="Arial"/>
      <w:color w:val="000000"/>
      <w:lang w:val="es-MX"/>
    </w:rPr>
  </w:style>
  <w:style w:type="paragraph" w:styleId="Sinespaciado">
    <w:name w:val="No Spacing"/>
    <w:aliases w:val="Francesa,INAI"/>
    <w:link w:val="SinespaciadoCar"/>
    <w:uiPriority w:val="1"/>
    <w:qFormat w:val="1"/>
    <w:rsid w:val="00932CFF"/>
    <w:rPr>
      <w:lang w:val="es-MX"/>
    </w:rPr>
  </w:style>
  <w:style w:type="character" w:styleId="Textoennegrita">
    <w:name w:val="Strong"/>
    <w:uiPriority w:val="22"/>
    <w:qFormat w:val="1"/>
    <w:rsid w:val="00932CFF"/>
    <w:rPr>
      <w:b w:val="1"/>
      <w:bCs w:val="1"/>
    </w:rPr>
  </w:style>
  <w:style w:type="character" w:styleId="SinespaciadoCar" w:customStyle="1">
    <w:name w:val="Sin espaciado Car"/>
    <w:aliases w:val="Francesa Car,INAI Car"/>
    <w:link w:val="Sinespaciado"/>
    <w:uiPriority w:val="1"/>
    <w:locked w:val="1"/>
    <w:rsid w:val="00932CFF"/>
    <w:rPr>
      <w:rFonts w:ascii="Times New Roman" w:cs="Times New Roman" w:eastAsia="Times New Roman" w:hAnsi="Times New Roman"/>
      <w:lang w:val="es-MX"/>
    </w:rPr>
  </w:style>
  <w:style w:type="paragraph" w:styleId="NormalWeb">
    <w:name w:val="Normal (Web)"/>
    <w:basedOn w:val="Normal"/>
    <w:uiPriority w:val="99"/>
    <w:unhideWhenUsed w:val="1"/>
    <w:rsid w:val="00444919"/>
    <w:pPr>
      <w:spacing w:after="100" w:afterAutospacing="1" w:before="100" w:beforeAutospacing="1"/>
    </w:pPr>
    <w:rPr>
      <w:lang w:val="es-MX"/>
    </w:rPr>
  </w:style>
  <w:style w:type="character" w:styleId="Ttulo3Car" w:customStyle="1">
    <w:name w:val="Título 3 Car"/>
    <w:basedOn w:val="Fuentedeprrafopredeter"/>
    <w:link w:val="Ttulo3"/>
    <w:uiPriority w:val="9"/>
    <w:rsid w:val="00A776B4"/>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A776B4"/>
    <w:pPr>
      <w:ind w:left="283" w:hanging="283"/>
      <w:contextualSpacing w:val="1"/>
    </w:pPr>
  </w:style>
  <w:style w:type="paragraph" w:styleId="Lista2">
    <w:name w:val="List 2"/>
    <w:basedOn w:val="Normal"/>
    <w:uiPriority w:val="99"/>
    <w:unhideWhenUsed w:val="1"/>
    <w:rsid w:val="00A776B4"/>
    <w:pPr>
      <w:ind w:left="566" w:hanging="283"/>
      <w:contextualSpacing w:val="1"/>
    </w:pPr>
  </w:style>
  <w:style w:type="paragraph" w:styleId="Lista3">
    <w:name w:val="List 3"/>
    <w:basedOn w:val="Normal"/>
    <w:uiPriority w:val="99"/>
    <w:unhideWhenUsed w:val="1"/>
    <w:rsid w:val="00A776B4"/>
    <w:pPr>
      <w:ind w:left="849" w:hanging="283"/>
      <w:contextualSpacing w:val="1"/>
    </w:pPr>
  </w:style>
  <w:style w:type="paragraph" w:styleId="Textoindependiente">
    <w:name w:val="Body Text"/>
    <w:basedOn w:val="Normal"/>
    <w:link w:val="TextoindependienteCar"/>
    <w:uiPriority w:val="99"/>
    <w:unhideWhenUsed w:val="1"/>
    <w:rsid w:val="00A776B4"/>
    <w:pPr>
      <w:spacing w:after="120"/>
    </w:pPr>
  </w:style>
  <w:style w:type="character" w:styleId="TextoindependienteCar" w:customStyle="1">
    <w:name w:val="Texto independiente Car"/>
    <w:basedOn w:val="Fuentedeprrafopredeter"/>
    <w:link w:val="Textoindependiente"/>
    <w:uiPriority w:val="99"/>
    <w:rsid w:val="00A776B4"/>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A776B4"/>
    <w:pPr>
      <w:spacing w:after="120"/>
      <w:ind w:left="283"/>
    </w:pPr>
  </w:style>
  <w:style w:type="character" w:styleId="SangradetextonormalCar" w:customStyle="1">
    <w:name w:val="Sangría de texto normal Car"/>
    <w:basedOn w:val="Fuentedeprrafopredeter"/>
    <w:link w:val="Sangradetextonormal"/>
    <w:uiPriority w:val="99"/>
    <w:rsid w:val="00A776B4"/>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A776B4"/>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A776B4"/>
    <w:rPr>
      <w:rFonts w:ascii="Times New Roman" w:cs="Times New Roman" w:eastAsia="Times New Roman" w:hAnsi="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styleId="TextosinformatoCar" w:customStyle="1">
    <w:name w:val="Texto sin formato Car"/>
    <w:basedOn w:val="Fuentedeprrafopredeter"/>
    <w:link w:val="Textosinformato"/>
    <w:rsid w:val="00B67939"/>
    <w:rPr>
      <w:rFonts w:ascii="Courier New" w:cs="Times New Roman" w:eastAsia="Times New Roman" w:hAnsi="Courier New"/>
      <w:sz w:val="20"/>
      <w:szCs w:val="20"/>
      <w:lang w:val="es-ES"/>
    </w:rPr>
  </w:style>
  <w:style w:type="paragraph" w:styleId="j" w:customStyle="1">
    <w:name w:val="j"/>
    <w:basedOn w:val="Normal"/>
    <w:rsid w:val="00226723"/>
    <w:pPr>
      <w:spacing w:after="100" w:afterAutospacing="1" w:before="100" w:before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2871584667633129156gmail-msofootnotereference" w:customStyle="1">
    <w:name w:val="m_2871584667633129156gmail-msofootnotereference"/>
    <w:basedOn w:val="Fuentedeprrafopredeter"/>
    <w:rsid w:val="00C12849"/>
  </w:style>
  <w:style w:type="character" w:styleId="h" w:customStyle="1">
    <w:name w:val="h"/>
    <w:basedOn w:val="Fuentedeprrafopredeter"/>
    <w:rsid w:val="007F685F"/>
  </w:style>
  <w:style w:type="table" w:styleId="Tabladelista1clara-nfasis12" w:customStyle="1">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Hipervnculovisitado">
    <w:name w:val="FollowedHyperlink"/>
    <w:basedOn w:val="Fuentedeprrafopredeter"/>
    <w:uiPriority w:val="99"/>
    <w:semiHidden w:val="1"/>
    <w:unhideWhenUsed w:val="1"/>
    <w:rsid w:val="002C16E8"/>
    <w:rPr>
      <w:color w:val="800080" w:themeColor="followedHyperlink"/>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left w:w="108.0" w:type="dxa"/>
        <w:right w:w="108.0" w:type="dxa"/>
      </w:tblCellMar>
    </w:tblPr>
  </w:style>
  <w:style w:type="table" w:styleId="a0" w:customStyle="1">
    <w:basedOn w:val="TableNormal6"/>
    <w:tblPr>
      <w:tblStyleRowBandSize w:val="1"/>
      <w:tblStyleColBandSize w:val="1"/>
      <w:tblCellMar>
        <w:left w:w="115.0" w:type="dxa"/>
        <w:right w:w="115.0" w:type="dxa"/>
      </w:tblCellMar>
    </w:tblPr>
  </w:style>
  <w:style w:type="table" w:styleId="a1" w:customStyle="1">
    <w:basedOn w:val="TableNormal6"/>
    <w:tblPr>
      <w:tblStyleRowBandSize w:val="1"/>
      <w:tblStyleColBandSize w:val="1"/>
      <w:tblCellMar>
        <w:left w:w="115.0" w:type="dxa"/>
        <w:right w:w="115.0" w:type="dxa"/>
      </w:tblCellMar>
    </w:tblPr>
  </w:style>
  <w:style w:type="table" w:styleId="a2" w:customStyle="1">
    <w:basedOn w:val="TableNormal6"/>
    <w:tblPr>
      <w:tblStyleRowBandSize w:val="1"/>
      <w:tblStyleColBandSize w:val="1"/>
      <w:tblCellMar>
        <w:left w:w="115.0" w:type="dxa"/>
        <w:right w:w="115.0" w:type="dxa"/>
      </w:tblCellMar>
    </w:tblPr>
  </w:style>
  <w:style w:type="table" w:styleId="a3" w:customStyle="1">
    <w:basedOn w:val="TableNormal6"/>
    <w:tblPr>
      <w:tblStyleRowBandSize w:val="1"/>
      <w:tblStyleColBandSize w:val="1"/>
      <w:tblCellMar>
        <w:left w:w="115.0" w:type="dxa"/>
        <w:right w:w="115.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Tablaconcuadrcula1" w:customStyle="1">
    <w:name w:val="Tabla con cuadrícula1"/>
    <w:basedOn w:val="Tablanormal"/>
    <w:next w:val="Tablaconcuadrcula"/>
    <w:uiPriority w:val="59"/>
    <w:rsid w:val="00B001C4"/>
    <w:rPr>
      <w:rFonts w:ascii="Calibri" w:eastAsia="Calibri" w:hAnsi="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6" w:customStyle="1">
    <w:basedOn w:val="TableNormal4"/>
    <w:tblPr>
      <w:tblStyleRowBandSize w:val="1"/>
      <w:tblStyleColBandSize w:val="1"/>
      <w:tblCellMar>
        <w:left w:w="115.0" w:type="dxa"/>
        <w:right w:w="115.0" w:type="dxa"/>
      </w:tblCellMar>
    </w:tblPr>
  </w:style>
  <w:style w:type="table" w:styleId="a7" w:customStyle="1">
    <w:basedOn w:val="TableNormal4"/>
    <w:tblPr>
      <w:tblStyleRowBandSize w:val="1"/>
      <w:tblStyleColBandSize w:val="1"/>
      <w:tblCellMar>
        <w:left w:w="115.0" w:type="dxa"/>
        <w:right w:w="115.0" w:type="dxa"/>
      </w:tblCellMar>
    </w:tblPr>
  </w:style>
  <w:style w:type="table" w:styleId="a8" w:customStyle="1">
    <w:basedOn w:val="TableNormal4"/>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2"/>
    <w:rPr>
      <w:rFonts w:ascii="Calibri" w:cs="Calibri" w:eastAsia="Calibri" w:hAnsi="Calibri"/>
      <w:sz w:val="22"/>
      <w:szCs w:val="22"/>
    </w:rPr>
    <w:tblPr>
      <w:tblStyleRowBandSize w:val="1"/>
      <w:tblStyleColBandSize w:val="1"/>
      <w:tblCellMar>
        <w:left w:w="108.0" w:type="dxa"/>
        <w:right w:w="108.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2"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character" w:styleId="m2871584667633129156gmail-apple-converted-space" w:customStyle="1">
    <w:name w:val="m_2871584667633129156gmail-apple-converted-space"/>
    <w:basedOn w:val="Fuentedeprrafopredeter"/>
    <w:rsid w:val="005B6D81"/>
  </w:style>
  <w:style w:type="table" w:styleId="af3"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4"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5"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9.png"/><Relationship Id="rId21" Type="http://schemas.openxmlformats.org/officeDocument/2006/relationships/image" Target="media/image8.png"/><Relationship Id="rId24" Type="http://schemas.openxmlformats.org/officeDocument/2006/relationships/image" Target="media/image15.png"/><Relationship Id="rId23" Type="http://schemas.openxmlformats.org/officeDocument/2006/relationships/image" Target="media/image17.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2.png"/><Relationship Id="rId28" Type="http://schemas.openxmlformats.org/officeDocument/2006/relationships/header" Target="header2.xml"/><Relationship Id="rId27" Type="http://schemas.openxmlformats.org/officeDocument/2006/relationships/hyperlink" Target="http://www.monografias.com/trabajos14/verific-servicios/verific-servicios.shtml" TargetMode="External"/><Relationship Id="rId5" Type="http://schemas.openxmlformats.org/officeDocument/2006/relationships/fontTable" Target="fontTable.xml"/><Relationship Id="rId6" Type="http://schemas.openxmlformats.org/officeDocument/2006/relationships/footnotes" Target="footnotes.xml"/><Relationship Id="rId29"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styles" Target="styles.xml"/><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image" Target="media/image11.png"/><Relationship Id="rId10" Type="http://schemas.openxmlformats.org/officeDocument/2006/relationships/image" Target="media/image10.png"/><Relationship Id="rId32" Type="http://schemas.openxmlformats.org/officeDocument/2006/relationships/header" Target="header3.xml"/><Relationship Id="rId13" Type="http://schemas.openxmlformats.org/officeDocument/2006/relationships/image" Target="media/image13.png"/><Relationship Id="rId12"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image" Target="media/image14.png"/><Relationship Id="rId17" Type="http://schemas.openxmlformats.org/officeDocument/2006/relationships/image" Target="media/image9.png"/><Relationship Id="rId16" Type="http://schemas.openxmlformats.org/officeDocument/2006/relationships/image" Target="media/image6.png"/><Relationship Id="rId19" Type="http://schemas.openxmlformats.org/officeDocument/2006/relationships/image" Target="media/image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Tahoma-regular.ttf"/><Relationship Id="rId8" Type="http://schemas.openxmlformats.org/officeDocument/2006/relationships/font" Target="fonts/Tahoma-bold.ttf"/></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xq+LfBxeIxzkBW5p5AvWw+0sEw==">AMUW2mV6ZQI/P26VP/rrtNz1sAv2VhTXLCmrLPgtCZE2nZY3M7lifeEGk/MtWp9XW6174QAx1SvLZ4zW4z/y9DAmO23f7krQcMHv7AV8NIJERTOnJON5t/fygEauvAA418rOV+X5DvWt9AwhoArYXxHGF6ipEBS5uoAnMu8PmvBU+Hkw7IeDcuzL6iuTcueQ1izBGh3yIy9w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2022-06-21T21:32:00Z</dcterms:created>
  <dc:creator>iMac</dc:creator>
</cp:coreProperties>
</file>