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junio del dos mil veintidós.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03414/INFOEM/IP/RR/2022</w:t>
      </w:r>
      <w:r>
        <w:rPr>
          <w:rFonts w:ascii="Palatino Linotype" w:eastAsia="Palatino Linotype" w:hAnsi="Palatino Linotype" w:cs="Palatino Linotype"/>
        </w:rPr>
        <w:t xml:space="preserve">, interpuesto por una persona de manera anónima, al cual en lo sucesivo se le denominara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00415/TOLUCA/IP/2022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9016C"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treinta y uno de enero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9016C" w:rsidRDefault="009357F8">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me proporcione por este medio todos los oficios emidos en presidencia y Tesorería partir del 01 de enero al 31 de enero de 2022.”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veintidós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19016C" w:rsidRDefault="009357F8">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00415/TOLUCA/IP/2022, me permito adjuntar al presente la respuesta correspondiente. Sin más por el momento, le envío un cordial saludo.</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9016C" w:rsidRDefault="0019016C">
      <w:pPr>
        <w:ind w:left="851" w:right="902"/>
        <w:jc w:val="both"/>
        <w:rPr>
          <w:rFonts w:ascii="Palatino Linotype" w:eastAsia="Palatino Linotype" w:hAnsi="Palatino Linotype" w:cs="Palatino Linotype"/>
          <w:i/>
          <w:sz w:val="22"/>
          <w:szCs w:val="22"/>
        </w:rPr>
      </w:pP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respuesta los archivos electrónicos siguientes: </w:t>
      </w:r>
    </w:p>
    <w:p w:rsidR="0019016C" w:rsidRDefault="0019016C">
      <w:pPr>
        <w:spacing w:line="360" w:lineRule="auto"/>
        <w:ind w:right="49"/>
        <w:jc w:val="both"/>
        <w:rPr>
          <w:rFonts w:ascii="Palatino Linotype" w:eastAsia="Palatino Linotype" w:hAnsi="Palatino Linotype" w:cs="Palatino Linotype"/>
          <w:color w:val="000000"/>
        </w:rPr>
      </w:pPr>
    </w:p>
    <w:p w:rsidR="0019016C" w:rsidRDefault="009357F8">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color w:val="000000"/>
        </w:rPr>
        <w:t>“</w:t>
      </w:r>
      <w:hyperlink r:id="rId8">
        <w:r>
          <w:rPr>
            <w:rFonts w:ascii="Palatino Linotype" w:eastAsia="Palatino Linotype" w:hAnsi="Palatino Linotype" w:cs="Palatino Linotype"/>
            <w:color w:val="000000"/>
          </w:rPr>
          <w:t>Septuagésima Novena Sesión Extraordinaria_2022.pdf</w:t>
        </w:r>
      </w:hyperlink>
      <w:r>
        <w:rPr>
          <w:rFonts w:ascii="Palatino Linotype" w:eastAsia="Palatino Linotype" w:hAnsi="Palatino Linotype" w:cs="Palatino Linotype"/>
          <w:color w:val="000000"/>
        </w:rPr>
        <w:t xml:space="preserve">”, el cual contiene el acta de la Septuagésima novena sesión extraordinaria del dieciséis de febrero del año 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se clasificó como confidencial de forma parcial los datos personales contenidos en los oficios que firma el </w:t>
      </w:r>
      <w:r>
        <w:rPr>
          <w:rFonts w:ascii="Palatino Linotype" w:eastAsia="Palatino Linotype" w:hAnsi="Palatino Linotype" w:cs="Palatino Linotype"/>
        </w:rPr>
        <w:t>Presidente</w:t>
      </w:r>
      <w:r>
        <w:rPr>
          <w:rFonts w:ascii="Palatino Linotype" w:eastAsia="Palatino Linotype" w:hAnsi="Palatino Linotype" w:cs="Palatino Linotype"/>
          <w:color w:val="000000"/>
        </w:rPr>
        <w:t xml:space="preserve"> Municipal, para dar respuesta a la solicitud de información número </w:t>
      </w:r>
      <w:r>
        <w:rPr>
          <w:rFonts w:ascii="Palatino Linotype" w:eastAsia="Palatino Linotype" w:hAnsi="Palatino Linotype" w:cs="Palatino Linotype"/>
          <w:b/>
        </w:rPr>
        <w:t xml:space="preserve">00415/TOLUCA/IP/2022. </w:t>
      </w:r>
    </w:p>
    <w:p w:rsidR="0019016C" w:rsidRDefault="0019016C">
      <w:pPr>
        <w:spacing w:line="360" w:lineRule="auto"/>
        <w:ind w:right="49"/>
        <w:jc w:val="both"/>
        <w:rPr>
          <w:rFonts w:ascii="Palatino Linotype" w:eastAsia="Palatino Linotype" w:hAnsi="Palatino Linotype" w:cs="Palatino Linotype"/>
          <w:b/>
        </w:rPr>
      </w:pP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También contiene un acuerdo de reserva por medio del cual se reserva por el </w:t>
      </w:r>
      <w:r w:rsidRPr="00BF6FFB">
        <w:rPr>
          <w:rFonts w:ascii="Palatino Linotype" w:eastAsia="Palatino Linotype" w:hAnsi="Palatino Linotype" w:cs="Palatino Linotype"/>
        </w:rPr>
        <w:t xml:space="preserve">término de tres </w:t>
      </w:r>
      <w:r w:rsidR="00D27CEC" w:rsidRPr="00BF6FFB">
        <w:rPr>
          <w:rFonts w:ascii="Palatino Linotype" w:eastAsia="Palatino Linotype" w:hAnsi="Palatino Linotype" w:cs="Palatino Linotype"/>
        </w:rPr>
        <w:t>años</w:t>
      </w:r>
      <w:r w:rsidRPr="00BF6FFB">
        <w:rPr>
          <w:rFonts w:ascii="Palatino Linotype" w:eastAsia="Palatino Linotype" w:hAnsi="Palatino Linotype" w:cs="Palatino Linotype"/>
        </w:rPr>
        <w:t xml:space="preserve"> los oficios</w:t>
      </w:r>
      <w:r>
        <w:rPr>
          <w:rFonts w:ascii="Palatino Linotype" w:eastAsia="Palatino Linotype" w:hAnsi="Palatino Linotype" w:cs="Palatino Linotype"/>
        </w:rPr>
        <w:t xml:space="preserve"> firmados por el Presidente Municipal, respecto al nombre de una empresa</w:t>
      </w:r>
      <w:bookmarkStart w:id="0" w:name="_GoBack"/>
      <w:bookmarkEnd w:id="0"/>
      <w:r>
        <w:rPr>
          <w:rFonts w:ascii="Palatino Linotype" w:eastAsia="Palatino Linotype" w:hAnsi="Palatino Linotype" w:cs="Palatino Linotype"/>
        </w:rPr>
        <w:t xml:space="preserve"> y número de juicio promovido por esta, en virtud de que el asunto no ha quedado firme.</w:t>
      </w:r>
    </w:p>
    <w:p w:rsidR="0019016C" w:rsidRDefault="0019016C">
      <w:pPr>
        <w:spacing w:line="360" w:lineRule="auto"/>
        <w:ind w:right="49"/>
        <w:jc w:val="both"/>
        <w:rPr>
          <w:rFonts w:ascii="Palatino Linotype" w:eastAsia="Palatino Linotype" w:hAnsi="Palatino Linotype" w:cs="Palatino Linotype"/>
        </w:rPr>
      </w:pPr>
    </w:p>
    <w:p w:rsidR="0019016C" w:rsidRDefault="009357F8">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9">
        <w:r>
          <w:rPr>
            <w:rFonts w:ascii="Palatino Linotype" w:eastAsia="Palatino Linotype" w:hAnsi="Palatino Linotype" w:cs="Palatino Linotype"/>
            <w:color w:val="000000"/>
          </w:rPr>
          <w:t>Cuadragésima Séptima Sesión Extraordinaria_2022.pdf</w:t>
        </w:r>
      </w:hyperlink>
      <w:r>
        <w:rPr>
          <w:rFonts w:ascii="Palatino Linotype" w:eastAsia="Palatino Linotype" w:hAnsi="Palatino Linotype" w:cs="Palatino Linotype"/>
          <w:color w:val="000000"/>
        </w:rPr>
        <w:t xml:space="preserve">”, el cual contiene el acta de la cuadragésima séptima sesión extraordinaria del nueve de febrero del año 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hace el </w:t>
      </w:r>
      <w:r>
        <w:rPr>
          <w:rFonts w:ascii="Palatino Linotype" w:eastAsia="Palatino Linotype" w:hAnsi="Palatino Linotype" w:cs="Palatino Linotype"/>
          <w:color w:val="000000"/>
        </w:rPr>
        <w:lastRenderedPageBreak/>
        <w:t xml:space="preserve">cambio de modalidad a consulta directa para dar respuesta a la solicitud </w:t>
      </w:r>
      <w:r>
        <w:rPr>
          <w:rFonts w:ascii="Palatino Linotype" w:eastAsia="Palatino Linotype" w:hAnsi="Palatino Linotype" w:cs="Palatino Linotype"/>
          <w:b/>
        </w:rPr>
        <w:t xml:space="preserve">00415/TOLUCA/IP/2022, </w:t>
      </w:r>
      <w:r>
        <w:rPr>
          <w:rFonts w:ascii="Palatino Linotype" w:eastAsia="Palatino Linotype" w:hAnsi="Palatino Linotype" w:cs="Palatino Linotype"/>
        </w:rPr>
        <w:t>presentada por el Servidor Público Habilitado de la Tesorería Municipal.</w:t>
      </w: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0">
        <w:r>
          <w:rPr>
            <w:rFonts w:ascii="Palatino Linotype" w:eastAsia="Palatino Linotype" w:hAnsi="Palatino Linotype" w:cs="Palatino Linotype"/>
            <w:color w:val="000000"/>
          </w:rPr>
          <w:t>Saimex 00415.pdf</w:t>
        </w:r>
      </w:hyperlink>
      <w:r>
        <w:rPr>
          <w:rFonts w:ascii="Palatino Linotype" w:eastAsia="Palatino Linotype" w:hAnsi="Palatino Linotype" w:cs="Palatino Linotype"/>
          <w:color w:val="000000"/>
        </w:rPr>
        <w:t xml:space="preserve">”, el cual contiene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informó al particular que derivado de la información proporcionada por la Secretaría Particular de Presidencia y Servidor Público Habilitado, que después de una búsqueda exhaustiva y razonable la información solicitada consiste en trece oficios firmados por el Presidente Constitucional de Toluca correspondiente del periodo uno al treinta y uno de enero del 2022, conforme a lo solicitado por el particular, además señaló que en los oficios anexados no se </w:t>
      </w:r>
      <w:r>
        <w:rPr>
          <w:rFonts w:ascii="Palatino Linotype" w:eastAsia="Palatino Linotype" w:hAnsi="Palatino Linotype" w:cs="Palatino Linotype"/>
        </w:rPr>
        <w:t>encontrarán</w:t>
      </w:r>
      <w:r>
        <w:rPr>
          <w:rFonts w:ascii="Palatino Linotype" w:eastAsia="Palatino Linotype" w:hAnsi="Palatino Linotype" w:cs="Palatino Linotype"/>
          <w:color w:val="000000"/>
        </w:rPr>
        <w:t xml:space="preserve"> los números PM/001/2022 y PM/009/2022, ya que fueron cancelados y por lo tanto no se emitieron. </w:t>
      </w:r>
    </w:p>
    <w:p w:rsidR="0019016C" w:rsidRDefault="009357F8">
      <w:pPr>
        <w:spacing w:before="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También señaló que, respecto de los oficios señalados anteriormente, a través del acta de la septuagésima novena sesión extraordinaria del dieciséis de febrero del año 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 clasificaron como confidenciales y reservados los datos personales contenidos en la documentación que se anexa a la presente, mediante los acuerdos AT/CT/01/2022 y AT/CT/02/2022.</w:t>
      </w: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señaló que el Tesorero Municipal y Servidor Público Habilitado, informó a través del oficio número DC/0116/2022, respecto de la solicitud de información, que contando a la fecha son aproximadamente 4,000 oficios, por lo cual solicitó al Comité de Transparencia el cambio de modalidad a consulta directa, la cual se autorizó en el acta de la cuadragésima séptima sesión extraordinaria del </w:t>
      </w:r>
      <w:r>
        <w:rPr>
          <w:rFonts w:ascii="Palatino Linotype" w:eastAsia="Palatino Linotype" w:hAnsi="Palatino Linotype" w:cs="Palatino Linotype"/>
          <w:color w:val="000000"/>
        </w:rPr>
        <w:lastRenderedPageBreak/>
        <w:t>nueve de febrero del año 2022, con número de acuerdo AT/CT/02/2022, indicándole el procedimiento para la consulta directa.</w:t>
      </w: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aclarar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adjunt</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los oficios que dice anexar. </w:t>
      </w:r>
    </w:p>
    <w:p w:rsidR="0019016C" w:rsidRDefault="009357F8">
      <w:pPr>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sidR="00EB16D3">
        <w:rPr>
          <w:rFonts w:ascii="Palatino Linotype" w:eastAsia="Palatino Linotype" w:hAnsi="Palatino Linotype" w:cs="Palatino Linotype"/>
          <w:b/>
        </w:rPr>
        <w:t xml:space="preserve">SUJETO OBLIGADO el </w:t>
      </w:r>
      <w:r>
        <w:rPr>
          <w:rFonts w:ascii="Palatino Linotype" w:eastAsia="Palatino Linotype" w:hAnsi="Palatino Linotype" w:cs="Palatino Linotype"/>
          <w:b/>
        </w:rPr>
        <w:t>ahora RECURRENTE</w:t>
      </w:r>
      <w:r>
        <w:rPr>
          <w:rFonts w:ascii="Palatino Linotype" w:eastAsia="Palatino Linotype" w:hAnsi="Palatino Linotype" w:cs="Palatino Linotype"/>
        </w:rPr>
        <w:t xml:space="preserve"> interpuso recurso de revisión a través del SAIMEX en fecha cuatro de marzo de dos mil veintidós, a través del cual expresó lo siguiente:</w:t>
      </w:r>
    </w:p>
    <w:p w:rsidR="0019016C" w:rsidRDefault="009357F8">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 negaron la información, no la entregan como la pedí por este medio.” (Sic)</w:t>
      </w:r>
    </w:p>
    <w:p w:rsidR="0019016C" w:rsidRDefault="009357F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 negaron la información, no la entregan como la pedí por este medio.” (Sic)</w:t>
      </w:r>
    </w:p>
    <w:p w:rsidR="0019016C" w:rsidRDefault="009357F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03414/INFOEM/IP/RR/2022,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nueve de marzo de dos mil veintidós, la Comisionada ponente, admitió a trámite el recurso de revisión que ahora se resuelve, dando un plazo máximo de siete días hábiles para que las partes </w:t>
      </w:r>
      <w:r>
        <w:rPr>
          <w:rFonts w:ascii="Palatino Linotype" w:eastAsia="Palatino Linotype" w:hAnsi="Palatino Linotype" w:cs="Palatino Linotype"/>
        </w:rPr>
        <w:lastRenderedPageBreak/>
        <w:t xml:space="preserve">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19016C" w:rsidRDefault="009357F8">
      <w:pPr>
        <w:spacing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dieciocho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los siguientes archivos electrónicos:</w:t>
      </w:r>
    </w:p>
    <w:p w:rsidR="0019016C" w:rsidRDefault="009357F8">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w:t>
      </w:r>
      <w:hyperlink r:id="rId11">
        <w:r>
          <w:rPr>
            <w:rFonts w:ascii="Palatino Linotype" w:eastAsia="Palatino Linotype" w:hAnsi="Palatino Linotype" w:cs="Palatino Linotype"/>
          </w:rPr>
          <w:t>Informe Justificado 03414_2022.pdf</w:t>
        </w:r>
      </w:hyperlink>
      <w:r>
        <w:rPr>
          <w:rFonts w:ascii="Palatino Linotype" w:eastAsia="Palatino Linotype" w:hAnsi="Palatino Linotype" w:cs="Palatino Linotype"/>
        </w:rPr>
        <w:t>”, el cual contiene el informe justificado del Ayuntamiento de Toluca, a través del cual informó en lo medular además de señalar un resumen del presente asunto, que en distinción a la respuesta se advirtió que no se habían adjuntado los oficios firmados por el Presidente Municipal de Toluca debido a un error humano e involuntario por parte del Servidor Público Habilitado, por ello, adjuntó los oficios emitidos por la Secretaría Particular de Presidencia del periodo del primero al treinta y uno de enero del año 2022, entregando los mismos en versión pública por contener datos personales de conformidad con el</w:t>
      </w:r>
      <w:r>
        <w:rPr>
          <w:rFonts w:ascii="Palatino Linotype" w:eastAsia="Palatino Linotype" w:hAnsi="Palatino Linotype" w:cs="Palatino Linotype"/>
          <w:color w:val="000000"/>
        </w:rPr>
        <w:t xml:space="preserve"> acta de la Septuagésima novena sesión extraordinaria del dieciséis de febrero del año 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se clasificó como confidencial de forma parcial los datos personales contenidos en los oficios que firma el </w:t>
      </w:r>
      <w:r>
        <w:rPr>
          <w:rFonts w:ascii="Palatino Linotype" w:eastAsia="Palatino Linotype" w:hAnsi="Palatino Linotype" w:cs="Palatino Linotype"/>
        </w:rPr>
        <w:t>Presidente</w:t>
      </w:r>
      <w:r>
        <w:rPr>
          <w:rFonts w:ascii="Palatino Linotype" w:eastAsia="Palatino Linotype" w:hAnsi="Palatino Linotype" w:cs="Palatino Linotype"/>
          <w:color w:val="000000"/>
        </w:rPr>
        <w:t xml:space="preserve"> Municipal, como es el número telefónico particular y correo electrónico, también se determinó la reserva parcial de la información. </w:t>
      </w: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También señaló, respecto de los motivos de inconformidad “</w:t>
      </w:r>
      <w:r>
        <w:rPr>
          <w:rFonts w:ascii="Palatino Linotype" w:eastAsia="Palatino Linotype" w:hAnsi="Palatino Linotype" w:cs="Palatino Linotype"/>
          <w:i/>
          <w:color w:val="000000"/>
          <w:sz w:val="22"/>
          <w:szCs w:val="22"/>
        </w:rPr>
        <w:t xml:space="preserve">Me negaron la información, no la entregan como la pedí por este medio.”, </w:t>
      </w:r>
      <w:r>
        <w:rPr>
          <w:rFonts w:ascii="Palatino Linotype" w:eastAsia="Palatino Linotype" w:hAnsi="Palatino Linotype" w:cs="Palatino Linotype"/>
        </w:rPr>
        <w:t>reiteró</w:t>
      </w:r>
      <w:r>
        <w:rPr>
          <w:rFonts w:ascii="Palatino Linotype" w:eastAsia="Palatino Linotype" w:hAnsi="Palatino Linotype" w:cs="Palatino Linotype"/>
          <w:color w:val="000000"/>
        </w:rPr>
        <w:t xml:space="preserve"> su respuesta inicial al hacer el cambio de modalidad a consulta directa respecto de los oficios emitidos por la Tesorería Municipal.</w:t>
      </w:r>
    </w:p>
    <w:p w:rsidR="0019016C" w:rsidRDefault="00BF6FFB">
      <w:pPr>
        <w:spacing w:after="240" w:line="360" w:lineRule="auto"/>
        <w:jc w:val="both"/>
        <w:rPr>
          <w:rFonts w:ascii="Palatino Linotype" w:eastAsia="Palatino Linotype" w:hAnsi="Palatino Linotype" w:cs="Palatino Linotype"/>
        </w:rPr>
      </w:pPr>
      <w:hyperlink r:id="rId12">
        <w:r w:rsidR="009357F8">
          <w:rPr>
            <w:rFonts w:ascii="Palatino Linotype" w:eastAsia="Palatino Linotype" w:hAnsi="Palatino Linotype" w:cs="Palatino Linotype"/>
          </w:rPr>
          <w:t>“2_15 PM vp.pdf</w:t>
        </w:r>
      </w:hyperlink>
      <w:r w:rsidR="009357F8">
        <w:rPr>
          <w:rFonts w:ascii="Palatino Linotype" w:eastAsia="Palatino Linotype" w:hAnsi="Palatino Linotype" w:cs="Palatino Linotype"/>
        </w:rPr>
        <w:t xml:space="preserve">”, el cual contiene los oficios firmados por el Presidente Municipal de Toluca, señalados por el SUJETO OBLIGADO en respuesta y en versión pública. </w:t>
      </w: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19016C" w:rsidRDefault="009357F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primero de junio de dos mil veintidós la Comisionada ponente determinó el cierre de instrucción en términos de la fracción VI del artículo 185 de la Ley de Transparencia y Acceso a la Información Pública del Estado de México y Municipios.</w:t>
      </w:r>
    </w:p>
    <w:p w:rsidR="0019016C" w:rsidRDefault="009357F8">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primero de junio del año dos mil veintidós, con fundamento en el artículo 181, párrafo tercero de la Ley de Transparencia y Acceso a la Información Pública del Estado de México y Municipios, se acordó la ampliación del plazo para su resolución.</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2" w:name="_heading=h.30j0zll" w:colFirst="0" w:colLast="0"/>
      <w:bookmarkEnd w:id="2"/>
      <w:r>
        <w:rPr>
          <w:rFonts w:ascii="Palatino Linotype" w:eastAsia="Palatino Linotype" w:hAnsi="Palatino Linotype" w:cs="Palatino Linotype"/>
          <w:b/>
          <w:color w:val="000000"/>
          <w:sz w:val="22"/>
          <w:szCs w:val="22"/>
        </w:rPr>
        <w:t>C O N S I D E R A N D O:</w:t>
      </w:r>
    </w:p>
    <w:p w:rsidR="0019016C" w:rsidRDefault="009357F8">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highlight w:val="white"/>
        </w:rPr>
        <w:lastRenderedPageBreak/>
        <w:t xml:space="preserve">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veintidós de febrero del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cuatro de marzo del mismo año, esto es al séptimo día hábil siguiente de aquel en que tuvo conocimiento de la respuesta, evidenciándose que la interposición del recurso se encuentra dentro de los márgenes temporales previstos en el citado precepto legal.</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o seudónimo con el cual </w:t>
      </w:r>
      <w:r>
        <w:rPr>
          <w:rFonts w:ascii="Palatino Linotype" w:eastAsia="Palatino Linotype" w:hAnsi="Palatino Linotype" w:cs="Palatino Linotype"/>
        </w:rPr>
        <w:lastRenderedPageBreak/>
        <w:t>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9016C" w:rsidRDefault="009357F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19016C" w:rsidRDefault="009357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notificación, entrega o puesta a disposición de información en una modalidad o formato distinto al solicitado; …” (Sic)</w:t>
      </w:r>
    </w:p>
    <w:p w:rsidR="0019016C" w:rsidRDefault="0019016C">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19016C" w:rsidRDefault="009357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Toluca</w:t>
      </w:r>
      <w:r>
        <w:rPr>
          <w:rFonts w:ascii="Palatino Linotype" w:eastAsia="Palatino Linotype" w:hAnsi="Palatino Linotype" w:cs="Palatino Linotype"/>
        </w:rPr>
        <w:t>, lo siguiente:</w:t>
      </w:r>
    </w:p>
    <w:p w:rsidR="0019016C" w:rsidRDefault="009357F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emitidos en presidencia y Tesorería partir del 01 de enero al 31 de enero de 2022</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3">
        <w:r>
          <w:rPr>
            <w:rFonts w:ascii="Palatino Linotype" w:eastAsia="Palatino Linotype" w:hAnsi="Palatino Linotype" w:cs="Palatino Linotype"/>
            <w:color w:val="000000"/>
          </w:rPr>
          <w:t>Saimex 00415.pdf</w:t>
        </w:r>
      </w:hyperlink>
      <w:r>
        <w:rPr>
          <w:rFonts w:ascii="Palatino Linotype" w:eastAsia="Palatino Linotype" w:hAnsi="Palatino Linotype" w:cs="Palatino Linotype"/>
          <w:color w:val="000000"/>
        </w:rPr>
        <w:t xml:space="preserve">”, el cual contiene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informó al particular que derivado de la información proporcionada por la Secretaría Particular de Presidencia y Servidor Público Habilitado, que después de una búsqueda exhaustiva y razonable la información solicitada consiste en trece oficios firmados por el Presidente Constitucional de Toluca correspondiente del periodo uno al treinta y uno de enero del 2022, conforme a lo solicitado por el particular, además señaló que en los oficios anexados no se encontraran los números PM/001/2022 y PM/009/2022, ya que fueron cancelados y por lo tanto no se emitieron. </w:t>
      </w:r>
    </w:p>
    <w:p w:rsidR="0019016C" w:rsidRDefault="009357F8">
      <w:pPr>
        <w:spacing w:before="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color w:val="000000"/>
        </w:rPr>
        <w:lastRenderedPageBreak/>
        <w:t xml:space="preserve">También señaló que, respecto de los oficios señalados anteriormente, a través del acta de la septuagésima novena sesión extraordinaria del dieciséis de febrero del año 2022 (también la anexo),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 clasificaron como confidenciales y reservados los datos personales contenidos en la documentación que se anexa a la presente, mediante los acuerdos AT/CT/01/2022 y AT/CT/02/2022.</w:t>
      </w: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señaló que el Tesorero Municipal y Servidor Público Habilitado, informó a través del oficio número DC/0116/2022, respecto de la solicitud de información, que contando a la fecha son aproximadamente 4,000 oficios, por lo cual solicitó al Comité de Transparencia el cambio de modalidad a consulta directa, la cual se autorizó en el acta de la cuadragésima séptima sesión extraordinaria del nueve de febrero del año 2022, con número de acuerdo AT/CT/02/2022, indicándole el procedimiento para la consulta directa.</w:t>
      </w:r>
    </w:p>
    <w:p w:rsidR="0019016C" w:rsidRDefault="009357F8">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la particular con la respuesta, interpone el recurso de revisión que se resuelve, señalando como motivos de inconformidad en lo medular porque le negaron la información y no la entregaron como la pidió por este medio.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 los siguientes archivos:</w:t>
      </w:r>
    </w:p>
    <w:p w:rsidR="0019016C" w:rsidRDefault="009357F8">
      <w:pPr>
        <w:spacing w:after="240" w:line="360" w:lineRule="auto"/>
        <w:jc w:val="both"/>
        <w:rPr>
          <w:rFonts w:ascii="Palatino Linotype" w:eastAsia="Palatino Linotype" w:hAnsi="Palatino Linotype" w:cs="Palatino Linotype"/>
          <w:color w:val="000000"/>
          <w:highlight w:val="red"/>
        </w:rPr>
      </w:pPr>
      <w:r>
        <w:rPr>
          <w:rFonts w:ascii="Palatino Linotype" w:eastAsia="Palatino Linotype" w:hAnsi="Palatino Linotype" w:cs="Palatino Linotype"/>
        </w:rPr>
        <w:t>“</w:t>
      </w:r>
      <w:hyperlink r:id="rId14">
        <w:r>
          <w:rPr>
            <w:rFonts w:ascii="Palatino Linotype" w:eastAsia="Palatino Linotype" w:hAnsi="Palatino Linotype" w:cs="Palatino Linotype"/>
          </w:rPr>
          <w:t>Informe Justificado 03414_2022.pdf</w:t>
        </w:r>
      </w:hyperlink>
      <w:r>
        <w:rPr>
          <w:rFonts w:ascii="Palatino Linotype" w:eastAsia="Palatino Linotype" w:hAnsi="Palatino Linotype" w:cs="Palatino Linotype"/>
        </w:rPr>
        <w:t xml:space="preserve">”, el cual contiene el informe justificado del Ayuntamiento de Toluca, a través del cual informó en lo medular, además de señalar un resumen del presente asunto, que en distinción a la respuesta se advirtió que no se habían adjuntado los oficios firmados por el Presidente Municipal de Toluca </w:t>
      </w:r>
      <w:r>
        <w:rPr>
          <w:rFonts w:ascii="Palatino Linotype" w:eastAsia="Palatino Linotype" w:hAnsi="Palatino Linotype" w:cs="Palatino Linotype"/>
        </w:rPr>
        <w:lastRenderedPageBreak/>
        <w:t>debido a un error humano e involuntario por parte del Servidor Público Habilitado, por ello, adjuntó los oficios emitidos por la Secretaría Particular de Presidencia del periodo del primero al treinta y uno de enero del año 2022, entregando los mismos en versión pública por contener datos personales de conformidad con el</w:t>
      </w:r>
      <w:r>
        <w:rPr>
          <w:rFonts w:ascii="Palatino Linotype" w:eastAsia="Palatino Linotype" w:hAnsi="Palatino Linotype" w:cs="Palatino Linotype"/>
          <w:color w:val="000000"/>
        </w:rPr>
        <w:t xml:space="preserve"> acta de la Septuagésima novena sesión extraordinaria del dieciséis de febrero del año 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cual se clasificó como confidencial de forma parcial los datos personales contenidos en los oficios que firma el </w:t>
      </w:r>
      <w:r>
        <w:rPr>
          <w:rFonts w:ascii="Palatino Linotype" w:eastAsia="Palatino Linotype" w:hAnsi="Palatino Linotype" w:cs="Palatino Linotype"/>
        </w:rPr>
        <w:t>Presidente</w:t>
      </w:r>
      <w:r>
        <w:rPr>
          <w:rFonts w:ascii="Palatino Linotype" w:eastAsia="Palatino Linotype" w:hAnsi="Palatino Linotype" w:cs="Palatino Linotype"/>
          <w:color w:val="000000"/>
        </w:rPr>
        <w:t xml:space="preserve"> Municipal, como es el número telefónico particular y correo electrónico</w:t>
      </w:r>
      <w:r w:rsidRPr="00EB16D3">
        <w:rPr>
          <w:rFonts w:ascii="Palatino Linotype" w:eastAsia="Palatino Linotype" w:hAnsi="Palatino Linotype" w:cs="Palatino Linotype"/>
        </w:rPr>
        <w:t>, también se determinó la res</w:t>
      </w:r>
      <w:r w:rsidR="00EB16D3" w:rsidRPr="00EB16D3">
        <w:rPr>
          <w:rFonts w:ascii="Palatino Linotype" w:eastAsia="Palatino Linotype" w:hAnsi="Palatino Linotype" w:cs="Palatino Linotype"/>
        </w:rPr>
        <w:t>erva parcial de la información respecto del oficio número PM/011/2022.</w:t>
      </w: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También señaló, respecto de los motivos de inconformidad “</w:t>
      </w:r>
      <w:r>
        <w:rPr>
          <w:rFonts w:ascii="Palatino Linotype" w:eastAsia="Palatino Linotype" w:hAnsi="Palatino Linotype" w:cs="Palatino Linotype"/>
          <w:i/>
          <w:color w:val="000000"/>
          <w:sz w:val="22"/>
          <w:szCs w:val="22"/>
        </w:rPr>
        <w:t xml:space="preserve">Me negaron la información, no la entregan como la pedí por este medio.”, </w:t>
      </w:r>
      <w:r>
        <w:rPr>
          <w:rFonts w:ascii="Palatino Linotype" w:eastAsia="Palatino Linotype" w:hAnsi="Palatino Linotype" w:cs="Palatino Linotype"/>
        </w:rPr>
        <w:t>reiteró</w:t>
      </w:r>
      <w:r>
        <w:rPr>
          <w:rFonts w:ascii="Palatino Linotype" w:eastAsia="Palatino Linotype" w:hAnsi="Palatino Linotype" w:cs="Palatino Linotype"/>
          <w:color w:val="000000"/>
        </w:rPr>
        <w:t xml:space="preserve"> su respuesta inicial al hacer el cambio de modalidad a consulta directa respecto de los oficios emitidos por la Tesorería Municipal.</w:t>
      </w:r>
    </w:p>
    <w:p w:rsidR="0019016C" w:rsidRDefault="00BF6FFB">
      <w:pPr>
        <w:spacing w:after="240" w:line="360" w:lineRule="auto"/>
        <w:jc w:val="both"/>
        <w:rPr>
          <w:rFonts w:ascii="Palatino Linotype" w:eastAsia="Palatino Linotype" w:hAnsi="Palatino Linotype" w:cs="Palatino Linotype"/>
        </w:rPr>
      </w:pPr>
      <w:hyperlink r:id="rId15">
        <w:r w:rsidR="009357F8">
          <w:rPr>
            <w:rFonts w:ascii="Palatino Linotype" w:eastAsia="Palatino Linotype" w:hAnsi="Palatino Linotype" w:cs="Palatino Linotype"/>
          </w:rPr>
          <w:t>“2_15 PM vp.pdf</w:t>
        </w:r>
      </w:hyperlink>
      <w:r w:rsidR="009357F8">
        <w:rPr>
          <w:rFonts w:ascii="Palatino Linotype" w:eastAsia="Palatino Linotype" w:hAnsi="Palatino Linotype" w:cs="Palatino Linotype"/>
        </w:rPr>
        <w:t xml:space="preserve">”, el cual contiene los oficios firmados por el Presidente Municipal de Toluca, señalados por 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en respuesta y en versión pública.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9016C" w:rsidRDefault="009357F8">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9016C" w:rsidRDefault="009357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9016C" w:rsidRDefault="009357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rsidR="0019016C" w:rsidRDefault="0019016C">
      <w:pPr>
        <w:spacing w:line="360" w:lineRule="auto"/>
        <w:jc w:val="both"/>
        <w:rPr>
          <w:rFonts w:ascii="Palatino Linotype" w:eastAsia="Palatino Linotype" w:hAnsi="Palatino Linotype" w:cs="Palatino Linotype"/>
        </w:rPr>
      </w:pPr>
    </w:p>
    <w:p w:rsidR="0019016C" w:rsidRDefault="009357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9016C" w:rsidRDefault="0019016C">
      <w:pPr>
        <w:ind w:left="567" w:right="758"/>
        <w:jc w:val="both"/>
        <w:rPr>
          <w:rFonts w:ascii="Palatino Linotype" w:eastAsia="Palatino Linotype" w:hAnsi="Palatino Linotype" w:cs="Palatino Linotype"/>
          <w:i/>
          <w:sz w:val="22"/>
          <w:szCs w:val="22"/>
        </w:rPr>
      </w:pPr>
    </w:p>
    <w:p w:rsidR="0019016C" w:rsidRDefault="009357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9016C" w:rsidRDefault="0019016C">
      <w:pPr>
        <w:ind w:left="851" w:right="850"/>
        <w:jc w:val="both"/>
        <w:rPr>
          <w:rFonts w:ascii="Palatino Linotype" w:eastAsia="Palatino Linotype" w:hAnsi="Palatino Linotype" w:cs="Palatino Linotype"/>
          <w:color w:val="000000"/>
        </w:rPr>
      </w:pPr>
    </w:p>
    <w:p w:rsidR="0019016C" w:rsidRDefault="009357F8">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Pr>
          <w:rFonts w:ascii="Palatino Linotype" w:eastAsia="Palatino Linotype" w:hAnsi="Palatino Linotype" w:cs="Palatino Linotype"/>
          <w:i/>
          <w:color w:val="000000"/>
          <w:sz w:val="22"/>
          <w:szCs w:val="22"/>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9016C" w:rsidRDefault="009357F8">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9016C" w:rsidRDefault="009357F8">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9016C" w:rsidRDefault="0019016C">
      <w:pPr>
        <w:spacing w:line="360" w:lineRule="auto"/>
        <w:jc w:val="both"/>
        <w:rPr>
          <w:rFonts w:ascii="Palatino Linotype" w:eastAsia="Palatino Linotype" w:hAnsi="Palatino Linotype" w:cs="Palatino Linotype"/>
          <w:color w:val="000000"/>
        </w:rPr>
      </w:pP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9016C" w:rsidRDefault="0019016C">
      <w:pPr>
        <w:spacing w:line="360" w:lineRule="auto"/>
        <w:ind w:right="49"/>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9016C" w:rsidRDefault="0019016C">
      <w:pPr>
        <w:ind w:left="851" w:right="899"/>
        <w:jc w:val="both"/>
        <w:rPr>
          <w:rFonts w:ascii="Palatino Linotype" w:eastAsia="Palatino Linotype" w:hAnsi="Palatino Linotype" w:cs="Palatino Linotype"/>
          <w:i/>
          <w:sz w:val="22"/>
          <w:szCs w:val="22"/>
        </w:rPr>
      </w:pP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9016C" w:rsidRDefault="0019016C">
      <w:pPr>
        <w:ind w:left="851" w:right="899"/>
        <w:jc w:val="both"/>
        <w:rPr>
          <w:rFonts w:ascii="Palatino Linotype" w:eastAsia="Palatino Linotype" w:hAnsi="Palatino Linotype" w:cs="Palatino Linotype"/>
          <w:sz w:val="22"/>
          <w:szCs w:val="22"/>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9016C" w:rsidRDefault="0019016C">
      <w:pPr>
        <w:ind w:left="851" w:right="899"/>
        <w:jc w:val="both"/>
        <w:rPr>
          <w:rFonts w:ascii="Palatino Linotype" w:eastAsia="Palatino Linotype" w:hAnsi="Palatino Linotype" w:cs="Palatino Linotype"/>
        </w:rPr>
      </w:pP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w:t>
      </w:r>
      <w:r>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9016C" w:rsidRDefault="009357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9016C" w:rsidRDefault="009357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016C" w:rsidRDefault="0019016C">
      <w:pPr>
        <w:spacing w:line="360" w:lineRule="auto"/>
        <w:ind w:right="-93"/>
        <w:jc w:val="both"/>
        <w:rPr>
          <w:rFonts w:ascii="Palatino Linotype" w:eastAsia="Palatino Linotype" w:hAnsi="Palatino Linotype" w:cs="Palatino Linotype"/>
          <w:color w:val="000000"/>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proporcionada por el Sujeto Obligado en su respuesta, cumple parcialmente con lo establecido por los artículos 4, 12 y 24 último párrafo de la Ley de Transparencia y Acceso a la Información Pública del Estado de México y Municipios.</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con lo que respecta al requerimiento de los oficios emitidos en Presidencia del 01 al 31 de enero del año 2022,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señaló que: </w:t>
      </w:r>
    </w:p>
    <w:p w:rsidR="0019016C" w:rsidRDefault="0019016C">
      <w:pPr>
        <w:spacing w:line="360" w:lineRule="auto"/>
        <w:jc w:val="both"/>
        <w:rPr>
          <w:rFonts w:ascii="Palatino Linotype" w:eastAsia="Palatino Linotype" w:hAnsi="Palatino Linotype" w:cs="Palatino Linotype"/>
        </w:rPr>
      </w:pPr>
    </w:p>
    <w:p w:rsidR="0019016C" w:rsidRDefault="009357F8">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w:t>
      </w:r>
      <w:r>
        <w:rPr>
          <w:rFonts w:ascii="Palatino Linotype" w:eastAsia="Palatino Linotype" w:hAnsi="Palatino Linotype" w:cs="Palatino Linotype"/>
          <w:color w:val="000000"/>
        </w:rPr>
        <w:t>espués de una búsqueda exhaustiva y razonable la información solicitada, consiste en trece oficios firmados por el Presidente Constitucional de Toluca</w:t>
      </w:r>
      <w:r>
        <w:rPr>
          <w:rFonts w:ascii="Palatino Linotype" w:eastAsia="Palatino Linotype" w:hAnsi="Palatino Linotype" w:cs="Palatino Linotype"/>
        </w:rPr>
        <w:t xml:space="preserve">. </w:t>
      </w:r>
    </w:p>
    <w:p w:rsidR="0019016C" w:rsidRDefault="009357F8">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w:t>
      </w:r>
      <w:r>
        <w:rPr>
          <w:rFonts w:ascii="Palatino Linotype" w:eastAsia="Palatino Linotype" w:hAnsi="Palatino Linotype" w:cs="Palatino Linotype"/>
          <w:color w:val="000000"/>
        </w:rPr>
        <w:t>ue en los oficios anexados no se encontraran los números PM/001/2022 y PM/009/2022, ya que fueron cancelados y por lo tanto no se emitieron</w:t>
      </w:r>
      <w:r>
        <w:rPr>
          <w:rFonts w:ascii="Palatino Linotype" w:eastAsia="Palatino Linotype" w:hAnsi="Palatino Linotype" w:cs="Palatino Linotype"/>
        </w:rPr>
        <w:t xml:space="preserve">. </w:t>
      </w:r>
    </w:p>
    <w:p w:rsidR="0019016C" w:rsidRDefault="009357F8">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se entregan los oficios en versión pública para lo cual anexa el </w:t>
      </w:r>
      <w:r>
        <w:rPr>
          <w:rFonts w:ascii="Palatino Linotype" w:eastAsia="Palatino Linotype" w:hAnsi="Palatino Linotype" w:cs="Palatino Linotype"/>
          <w:color w:val="000000"/>
        </w:rPr>
        <w:t xml:space="preserve">acta de la septuagésima novena sesión extraordinaria del dieciséis de febrero del año </w:t>
      </w:r>
      <w:r>
        <w:rPr>
          <w:rFonts w:ascii="Palatino Linotype" w:eastAsia="Palatino Linotype" w:hAnsi="Palatino Linotype" w:cs="Palatino Linotype"/>
          <w:color w:val="000000"/>
        </w:rPr>
        <w:lastRenderedPageBreak/>
        <w:t xml:space="preserve">2022,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través de la cual se clasificaron como confidenciales los datos personales contenidos en los mismos como teléfono particular y correo electrónico</w:t>
      </w:r>
      <w:r>
        <w:rPr>
          <w:rFonts w:ascii="Palatino Linotype" w:eastAsia="Palatino Linotype" w:hAnsi="Palatino Linotype" w:cs="Palatino Linotype"/>
        </w:rPr>
        <w:t xml:space="preserve">. </w:t>
      </w:r>
    </w:p>
    <w:p w:rsidR="0019016C" w:rsidRPr="00EB16D3" w:rsidRDefault="009357F8" w:rsidP="00BF7E89">
      <w:pPr>
        <w:numPr>
          <w:ilvl w:val="0"/>
          <w:numId w:val="1"/>
        </w:numPr>
        <w:spacing w:line="360" w:lineRule="auto"/>
        <w:jc w:val="both"/>
        <w:rPr>
          <w:rFonts w:ascii="Palatino Linotype" w:eastAsia="Palatino Linotype" w:hAnsi="Palatino Linotype" w:cs="Palatino Linotype"/>
        </w:rPr>
      </w:pPr>
      <w:r w:rsidRPr="00EB16D3">
        <w:rPr>
          <w:rFonts w:ascii="Palatino Linotype" w:eastAsia="Palatino Linotype" w:hAnsi="Palatino Linotype" w:cs="Palatino Linotype"/>
        </w:rPr>
        <w:t xml:space="preserve">Que en un </w:t>
      </w:r>
      <w:r w:rsidRPr="00EB16D3">
        <w:rPr>
          <w:rFonts w:ascii="Palatino Linotype" w:eastAsia="Palatino Linotype" w:hAnsi="Palatino Linotype" w:cs="Palatino Linotype"/>
          <w:color w:val="000000"/>
        </w:rPr>
        <w:t xml:space="preserve">oficio se </w:t>
      </w:r>
      <w:r w:rsidRPr="00EB16D3">
        <w:rPr>
          <w:rFonts w:ascii="Palatino Linotype" w:eastAsia="Palatino Linotype" w:hAnsi="Palatino Linotype" w:cs="Palatino Linotype"/>
        </w:rPr>
        <w:t>clasificaron</w:t>
      </w:r>
      <w:r w:rsidRPr="00EB16D3">
        <w:rPr>
          <w:rFonts w:ascii="Palatino Linotype" w:eastAsia="Palatino Linotype" w:hAnsi="Palatino Linotype" w:cs="Palatino Linotype"/>
          <w:color w:val="000000"/>
        </w:rPr>
        <w:t xml:space="preserve"> algunos datos como reservados parcialmente por contener datos de un juicio que no ha concluido, mediante los acuerdos AT/CT/01/2022 y AT/CT/</w:t>
      </w:r>
      <w:r w:rsidR="00EB16D3" w:rsidRPr="00EB16D3">
        <w:rPr>
          <w:rFonts w:ascii="Palatino Linotype" w:eastAsia="Palatino Linotype" w:hAnsi="Palatino Linotype" w:cs="Palatino Linotype"/>
          <w:color w:val="000000"/>
        </w:rPr>
        <w:t xml:space="preserve">02/2022, inmersos en dicha acta, por el termino de tres años. </w:t>
      </w:r>
    </w:p>
    <w:p w:rsidR="00EB16D3" w:rsidRPr="00EB16D3" w:rsidRDefault="00EB16D3" w:rsidP="00EB16D3">
      <w:pPr>
        <w:spacing w:line="360" w:lineRule="auto"/>
        <w:ind w:left="720"/>
        <w:jc w:val="both"/>
        <w:rPr>
          <w:rFonts w:ascii="Palatino Linotype" w:eastAsia="Palatino Linotype" w:hAnsi="Palatino Linotype" w:cs="Palatino Linotype"/>
        </w:rPr>
      </w:pPr>
    </w:p>
    <w:p w:rsidR="0019016C" w:rsidRDefault="00EB16D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000000"/>
          <w:lang w:val="en-US" w:eastAsia="en-US"/>
        </w:rPr>
        <mc:AlternateContent>
          <mc:Choice Requires="wps">
            <w:drawing>
              <wp:anchor distT="0" distB="0" distL="114300" distR="114300" simplePos="0" relativeHeight="251659264" behindDoc="0" locked="0" layoutInCell="1" allowOverlap="1">
                <wp:simplePos x="0" y="0"/>
                <wp:positionH relativeFrom="column">
                  <wp:posOffset>-26747</wp:posOffset>
                </wp:positionH>
                <wp:positionV relativeFrom="paragraph">
                  <wp:posOffset>1881353</wp:posOffset>
                </wp:positionV>
                <wp:extent cx="5764377" cy="3196742"/>
                <wp:effectExtent l="0" t="0" r="27305" b="22860"/>
                <wp:wrapNone/>
                <wp:docPr id="1" name="Conector recto 1"/>
                <wp:cNvGraphicFramePr/>
                <a:graphic xmlns:a="http://schemas.openxmlformats.org/drawingml/2006/main">
                  <a:graphicData uri="http://schemas.microsoft.com/office/word/2010/wordprocessingShape">
                    <wps:wsp>
                      <wps:cNvCnPr/>
                      <wps:spPr>
                        <a:xfrm>
                          <a:off x="0" y="0"/>
                          <a:ext cx="5764377" cy="3196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B520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148.15pt" to="451.8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" strokecolor="black [3200]" strokeweight=".5pt">
                <v:stroke joinstyle="miter"/>
              </v:line>
            </w:pict>
          </mc:Fallback>
        </mc:AlternateContent>
      </w:r>
      <w:r w:rsidR="009357F8">
        <w:rPr>
          <w:rFonts w:ascii="Palatino Linotype" w:eastAsia="Palatino Linotype" w:hAnsi="Palatino Linotype" w:cs="Palatino Linotype"/>
          <w:color w:val="000000"/>
        </w:rPr>
        <w:t xml:space="preserve">Sin embargo, los oficios de mérito no fueron adjuntados por el </w:t>
      </w:r>
      <w:r w:rsidR="009357F8">
        <w:rPr>
          <w:rFonts w:ascii="Palatino Linotype" w:eastAsia="Palatino Linotype" w:hAnsi="Palatino Linotype" w:cs="Palatino Linotype"/>
          <w:b/>
          <w:color w:val="000000"/>
        </w:rPr>
        <w:t xml:space="preserve">SUJETO OBLIGADO </w:t>
      </w:r>
      <w:r w:rsidR="009357F8">
        <w:rPr>
          <w:rFonts w:ascii="Palatino Linotype" w:eastAsia="Palatino Linotype" w:hAnsi="Palatino Linotype" w:cs="Palatino Linotype"/>
          <w:color w:val="000000"/>
        </w:rPr>
        <w:t xml:space="preserve">a su respuesta, si no es hasta el informe justificado del Ayuntamiento de Toluca, que adjuntó el archivo electrónico denominado  </w:t>
      </w:r>
      <w:hyperlink r:id="rId16">
        <w:r w:rsidR="009357F8">
          <w:rPr>
            <w:rFonts w:ascii="Palatino Linotype" w:eastAsia="Palatino Linotype" w:hAnsi="Palatino Linotype" w:cs="Palatino Linotype"/>
          </w:rPr>
          <w:t>“2_15 PM vp.pdf</w:t>
        </w:r>
      </w:hyperlink>
      <w:r w:rsidR="009357F8">
        <w:rPr>
          <w:rFonts w:ascii="Palatino Linotype" w:eastAsia="Palatino Linotype" w:hAnsi="Palatino Linotype" w:cs="Palatino Linotype"/>
        </w:rPr>
        <w:t xml:space="preserve">”, el cual contiene los oficios firmados por el Presiente Municipal de Toluca, los cuales fueron señalados por 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en respuesta, como se advierte a continuación, se inserta un sólo un oficio para ejemplificar el presente asunto:</w:t>
      </w:r>
    </w:p>
    <w:p w:rsidR="0019016C" w:rsidRDefault="009357F8">
      <w:pPr>
        <w:spacing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549476" cy="5115950"/>
            <wp:effectExtent l="0" t="0" r="0" b="0"/>
            <wp:docPr id="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43071" t="16184" r="23278" b="3615"/>
                    <a:stretch>
                      <a:fillRect/>
                    </a:stretch>
                  </pic:blipFill>
                  <pic:spPr>
                    <a:xfrm>
                      <a:off x="0" y="0"/>
                      <a:ext cx="5549476" cy="5115950"/>
                    </a:xfrm>
                    <a:prstGeom prst="rect">
                      <a:avLst/>
                    </a:prstGeom>
                    <a:ln/>
                  </pic:spPr>
                </pic:pic>
              </a:graphicData>
            </a:graphic>
          </wp:inline>
        </w:drawing>
      </w:r>
    </w:p>
    <w:p w:rsidR="0019016C" w:rsidRDefault="0019016C">
      <w:pPr>
        <w:spacing w:after="240" w:line="360" w:lineRule="auto"/>
        <w:jc w:val="both"/>
        <w:rPr>
          <w:rFonts w:ascii="Palatino Linotype" w:eastAsia="Palatino Linotype" w:hAnsi="Palatino Linotype" w:cs="Palatino Linotype"/>
        </w:rPr>
      </w:pPr>
    </w:p>
    <w:p w:rsidR="00EB16D3" w:rsidRDefault="009357F8">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La información consta de trece oficios de los cuales se advierte que los oficios números PM/10/2022, PM/11/2022 y PM/15/2022, se testaron algunos datos; es decir se entregaron en versión pública la cual se sustentó a través de los</w:t>
      </w:r>
      <w:r>
        <w:rPr>
          <w:rFonts w:ascii="Palatino Linotype" w:eastAsia="Palatino Linotype" w:hAnsi="Palatino Linotype" w:cs="Palatino Linotype"/>
          <w:color w:val="000000"/>
        </w:rPr>
        <w:t xml:space="preserve"> acuerdos número AT/CT/01/2022 y AT/CT/02/2022, inmersos en el acta número septuagésima novena </w:t>
      </w:r>
      <w:r>
        <w:rPr>
          <w:rFonts w:ascii="Palatino Linotype" w:eastAsia="Palatino Linotype" w:hAnsi="Palatino Linotype" w:cs="Palatino Linotype"/>
          <w:color w:val="000000"/>
        </w:rPr>
        <w:lastRenderedPageBreak/>
        <w:t xml:space="preserve">sesión extraordinaria del dieciséis de febrero del año 2022, del Comité de Transparencia del </w:t>
      </w:r>
      <w:r>
        <w:rPr>
          <w:rFonts w:ascii="Palatino Linotype" w:eastAsia="Palatino Linotype" w:hAnsi="Palatino Linotype" w:cs="Palatino Linotype"/>
          <w:b/>
          <w:color w:val="000000"/>
        </w:rPr>
        <w:t>SUJETO OBLIGADO</w:t>
      </w:r>
      <w:r w:rsidR="00EB16D3">
        <w:rPr>
          <w:rFonts w:ascii="Palatino Linotype" w:eastAsia="Palatino Linotype" w:hAnsi="Palatino Linotype" w:cs="Palatino Linotype"/>
          <w:b/>
          <w:color w:val="000000"/>
        </w:rPr>
        <w:t>.</w:t>
      </w:r>
    </w:p>
    <w:p w:rsidR="00EB16D3" w:rsidRDefault="00EB16D3">
      <w:pPr>
        <w:spacing w:line="360" w:lineRule="auto"/>
        <w:jc w:val="both"/>
        <w:rPr>
          <w:rFonts w:ascii="Palatino Linotype" w:eastAsia="Palatino Linotype" w:hAnsi="Palatino Linotype" w:cs="Palatino Linotype"/>
          <w:b/>
          <w:color w:val="000000"/>
        </w:rPr>
      </w:pPr>
    </w:p>
    <w:p w:rsidR="00AB6B42" w:rsidRDefault="00EB16D3" w:rsidP="00AB6B42">
      <w:pPr>
        <w:spacing w:line="360" w:lineRule="auto"/>
        <w:jc w:val="both"/>
        <w:rPr>
          <w:rFonts w:ascii="Palatino Linotype" w:hAnsi="Palatino Linotype" w:cs="Arial"/>
        </w:rPr>
      </w:pPr>
      <w:r w:rsidRPr="00EB16D3">
        <w:rPr>
          <w:rFonts w:ascii="Palatino Linotype" w:eastAsia="Palatino Linotype" w:hAnsi="Palatino Linotype" w:cs="Palatino Linotype"/>
          <w:color w:val="000000"/>
        </w:rPr>
        <w:t xml:space="preserve">En ese </w:t>
      </w:r>
      <w:r>
        <w:rPr>
          <w:rFonts w:ascii="Palatino Linotype" w:eastAsia="Palatino Linotype" w:hAnsi="Palatino Linotype" w:cs="Palatino Linotype"/>
          <w:color w:val="000000"/>
        </w:rPr>
        <w:t xml:space="preserve">sentido se procedió analizar el acuerdo </w:t>
      </w:r>
      <w:r w:rsidR="00B47F9C">
        <w:rPr>
          <w:rFonts w:ascii="Palatino Linotype" w:eastAsia="Palatino Linotype" w:hAnsi="Palatino Linotype" w:cs="Palatino Linotype"/>
          <w:color w:val="000000"/>
        </w:rPr>
        <w:t xml:space="preserve">que sustenta la versión pública de los oficios números </w:t>
      </w:r>
      <w:r w:rsidR="00B47F9C">
        <w:rPr>
          <w:rFonts w:ascii="Palatino Linotype" w:eastAsia="Palatino Linotype" w:hAnsi="Palatino Linotype" w:cs="Palatino Linotype"/>
        </w:rPr>
        <w:t xml:space="preserve">PM/10/2022 y PM/15/2022, el cual cumple </w:t>
      </w:r>
      <w:r w:rsidR="00AB6B42">
        <w:rPr>
          <w:rFonts w:ascii="Palatino Linotype" w:hAnsi="Palatino Linotype"/>
        </w:rPr>
        <w:t xml:space="preserve">con lo </w:t>
      </w:r>
      <w:r w:rsidR="00AB6B42">
        <w:rPr>
          <w:rFonts w:ascii="Palatino Linotype" w:hAnsi="Palatino Linotype" w:cs="Arial"/>
        </w:rPr>
        <w:t xml:space="preserve">señalado por los artículos </w:t>
      </w:r>
      <w:r w:rsidR="00AB6B42" w:rsidRPr="001E2383">
        <w:rPr>
          <w:rFonts w:ascii="Palatino Linotype" w:hAnsi="Palatino Linotype" w:cs="Arial"/>
        </w:rPr>
        <w:t>3 fracciones IX, XX, XXI y XLV, 91, 132 fracciones II y III, y 143 fracción I de la Ley de Transparencia y Acceso a la Información Pública del Estado de México y Municipios</w:t>
      </w:r>
      <w:r w:rsidR="00AB6B42">
        <w:rPr>
          <w:rFonts w:ascii="Palatino Linotype" w:hAnsi="Palatino Linotype" w:cs="Arial"/>
        </w:rPr>
        <w:t>,</w:t>
      </w:r>
      <w:r w:rsidR="00AB6B42" w:rsidRPr="001E2383">
        <w:rPr>
          <w:rFonts w:ascii="Palatino Linotype" w:hAnsi="Palatino Linotype" w:cs="Arial"/>
        </w:rPr>
        <w:t xml:space="preserve"> que establecen:</w:t>
      </w:r>
    </w:p>
    <w:p w:rsidR="00AB6B42" w:rsidRPr="001551B3" w:rsidRDefault="00AB6B42" w:rsidP="00AB6B42">
      <w:pPr>
        <w:spacing w:line="360" w:lineRule="auto"/>
        <w:jc w:val="both"/>
        <w:rPr>
          <w:rFonts w:ascii="Palatino Linotype" w:eastAsiaTheme="minorEastAsia" w:hAnsi="Palatino Linotype" w:cs="Bookman Old Style"/>
          <w:b/>
          <w:sz w:val="28"/>
          <w:szCs w:val="28"/>
        </w:rPr>
      </w:pP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AB6B42" w:rsidRPr="00A56E83" w:rsidRDefault="00AB6B42" w:rsidP="00AB6B42">
      <w:pPr>
        <w:spacing w:before="120" w:after="120"/>
        <w:ind w:left="851" w:right="902"/>
        <w:jc w:val="both"/>
        <w:rPr>
          <w:rFonts w:ascii="Palatino Linotype" w:hAnsi="Palatino Linotype" w:cs="Arial"/>
          <w:b/>
          <w:i/>
          <w:sz w:val="22"/>
          <w:szCs w:val="22"/>
        </w:rPr>
      </w:pPr>
      <w:r w:rsidRPr="00A56E83">
        <w:rPr>
          <w:rFonts w:ascii="Palatino Linotype" w:hAnsi="Palatino Linotype" w:cs="Arial"/>
          <w:b/>
          <w:i/>
          <w:sz w:val="22"/>
          <w:szCs w:val="22"/>
        </w:rPr>
        <w:t xml:space="preserve">IX. Datos personales: La información concerniente a una persona, identificada o identificable según lo dispuesto por la Ley de Protección de Datos Personales del Estado de México; </w:t>
      </w:r>
    </w:p>
    <w:p w:rsidR="00AB6B42" w:rsidRPr="007E2BDA" w:rsidRDefault="00AB6B42" w:rsidP="00AB6B42">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XX. Información clasificada</w:t>
      </w:r>
      <w:r w:rsidRPr="007E2BDA">
        <w:rPr>
          <w:rFonts w:ascii="Palatino Linotype" w:hAnsi="Palatino Linotype" w:cs="Arial"/>
          <w:i/>
          <w:sz w:val="22"/>
          <w:szCs w:val="22"/>
        </w:rPr>
        <w:t xml:space="preserve">: Aquella considerada por la presente Ley como reservada o </w:t>
      </w:r>
      <w:r w:rsidRPr="00A56E83">
        <w:rPr>
          <w:rFonts w:ascii="Palatino Linotype" w:hAnsi="Palatino Linotype" w:cs="Arial"/>
          <w:b/>
          <w:i/>
          <w:sz w:val="22"/>
          <w:szCs w:val="22"/>
        </w:rPr>
        <w:t>confidencial;</w:t>
      </w:r>
    </w:p>
    <w:p w:rsidR="00AB6B42" w:rsidRPr="00A56E83" w:rsidRDefault="00AB6B42" w:rsidP="00AB6B42">
      <w:pPr>
        <w:spacing w:before="120" w:after="120"/>
        <w:ind w:left="851" w:right="902"/>
        <w:jc w:val="both"/>
        <w:rPr>
          <w:rFonts w:ascii="Palatino Linotype" w:hAnsi="Palatino Linotype" w:cs="Arial"/>
          <w:b/>
          <w:i/>
          <w:sz w:val="22"/>
          <w:szCs w:val="22"/>
        </w:rPr>
      </w:pPr>
      <w:r w:rsidRPr="00A56E83">
        <w:rPr>
          <w:rFonts w:ascii="Palatino Linotype" w:hAnsi="Palatino Linotype" w:cs="Arial"/>
          <w:b/>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6B42" w:rsidRPr="007E2BDA" w:rsidRDefault="00AB6B42" w:rsidP="00AB6B42">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XLV. Versión pública: Documento en el que se elimine, suprime o borra la información clasificada como</w:t>
      </w:r>
      <w:r w:rsidRPr="007E2BDA">
        <w:rPr>
          <w:rFonts w:ascii="Palatino Linotype" w:hAnsi="Palatino Linotype" w:cs="Arial"/>
          <w:i/>
          <w:sz w:val="22"/>
          <w:szCs w:val="22"/>
        </w:rPr>
        <w:t xml:space="preserve"> reservada o </w:t>
      </w:r>
      <w:r w:rsidRPr="00A56E83">
        <w:rPr>
          <w:rFonts w:ascii="Palatino Linotype" w:hAnsi="Palatino Linotype" w:cs="Arial"/>
          <w:b/>
          <w:i/>
          <w:sz w:val="22"/>
          <w:szCs w:val="22"/>
        </w:rPr>
        <w:t>confidencial</w:t>
      </w:r>
      <w:r w:rsidRPr="007E2BDA">
        <w:rPr>
          <w:rFonts w:ascii="Palatino Linotype" w:hAnsi="Palatino Linotype" w:cs="Arial"/>
          <w:i/>
          <w:sz w:val="22"/>
          <w:szCs w:val="22"/>
        </w:rPr>
        <w:t xml:space="preserve"> para permitir su acceso.</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AB6B42" w:rsidRPr="007E2BDA" w:rsidRDefault="00AB6B42" w:rsidP="00AB6B42">
      <w:pPr>
        <w:spacing w:before="120" w:after="120"/>
        <w:ind w:left="851" w:right="902"/>
        <w:jc w:val="both"/>
        <w:rPr>
          <w:rFonts w:ascii="Palatino Linotype" w:hAnsi="Palatino Linotype" w:cs="Arial"/>
          <w:i/>
          <w:sz w:val="22"/>
          <w:szCs w:val="22"/>
        </w:rPr>
      </w:pPr>
      <w:r w:rsidRPr="00A56E83">
        <w:rPr>
          <w:rFonts w:ascii="Palatino Linotype" w:hAnsi="Palatino Linotype" w:cs="Arial"/>
          <w:b/>
          <w:i/>
          <w:sz w:val="22"/>
          <w:szCs w:val="22"/>
        </w:rPr>
        <w:t>Artículo 91. El acceso a la información pública será restringido excepcionalmente, cuando ésta sea clasificada como</w:t>
      </w:r>
      <w:r w:rsidRPr="007E2BDA">
        <w:rPr>
          <w:rFonts w:ascii="Palatino Linotype" w:hAnsi="Palatino Linotype" w:cs="Arial"/>
          <w:i/>
          <w:sz w:val="22"/>
          <w:szCs w:val="22"/>
        </w:rPr>
        <w:t xml:space="preserve"> reservada o </w:t>
      </w:r>
      <w:r w:rsidRPr="00A56E83">
        <w:rPr>
          <w:rFonts w:ascii="Palatino Linotype" w:hAnsi="Palatino Linotype" w:cs="Arial"/>
          <w:b/>
          <w:i/>
          <w:sz w:val="22"/>
          <w:szCs w:val="22"/>
        </w:rPr>
        <w:t>confidencial.</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I. Se reciba una solicitud de acceso a la información;</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AB6B42" w:rsidRPr="00563B16" w:rsidRDefault="00AB6B42" w:rsidP="00AB6B42">
      <w:pPr>
        <w:spacing w:before="120" w:after="120"/>
        <w:ind w:left="851" w:right="902"/>
        <w:jc w:val="both"/>
        <w:rPr>
          <w:rFonts w:ascii="Palatino Linotype" w:hAnsi="Palatino Linotype" w:cs="Arial"/>
          <w:b/>
          <w:i/>
          <w:sz w:val="22"/>
          <w:szCs w:val="22"/>
        </w:rPr>
      </w:pPr>
      <w:r w:rsidRPr="00563B16">
        <w:rPr>
          <w:rFonts w:ascii="Palatino Linotype" w:hAnsi="Palatino Linotype" w:cs="Arial"/>
          <w:b/>
          <w:i/>
          <w:sz w:val="22"/>
          <w:szCs w:val="22"/>
        </w:rPr>
        <w:t>Artículo 143. Para los efectos de esta Ley se considera información confidencial, la clasificada como tal, de manera permanente, por su naturaleza, cuando:</w:t>
      </w:r>
    </w:p>
    <w:p w:rsidR="00AB6B42" w:rsidRPr="00563B16" w:rsidRDefault="00AB6B42" w:rsidP="00AB6B42">
      <w:pPr>
        <w:spacing w:before="120" w:after="120"/>
        <w:ind w:left="851" w:right="902"/>
        <w:jc w:val="both"/>
        <w:rPr>
          <w:rFonts w:ascii="Palatino Linotype" w:hAnsi="Palatino Linotype" w:cs="Arial"/>
          <w:b/>
          <w:i/>
          <w:sz w:val="22"/>
          <w:szCs w:val="22"/>
        </w:rPr>
      </w:pPr>
      <w:r w:rsidRPr="00563B16">
        <w:rPr>
          <w:rFonts w:ascii="Palatino Linotype" w:hAnsi="Palatino Linotype" w:cs="Arial"/>
          <w:b/>
          <w:i/>
          <w:sz w:val="22"/>
          <w:szCs w:val="22"/>
        </w:rPr>
        <w:t>I. Se refiera a la información privada y los datos personales concernientes a una persona física o jurídico colectiva identificada o identificable;</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AB6B42" w:rsidRPr="007E2BDA" w:rsidRDefault="00AB6B42" w:rsidP="00AB6B42">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2"/>
          <w:szCs w:val="22"/>
        </w:rPr>
        <w:t xml:space="preserve"> (Sic)</w:t>
      </w:r>
    </w:p>
    <w:p w:rsidR="00AB6B42" w:rsidRDefault="00AB6B42" w:rsidP="00AB6B42">
      <w:pPr>
        <w:shd w:val="clear" w:color="auto" w:fill="FFFFFF"/>
        <w:spacing w:line="360" w:lineRule="auto"/>
        <w:contextualSpacing/>
        <w:jc w:val="both"/>
        <w:rPr>
          <w:rFonts w:ascii="Palatino Linotype" w:hAnsi="Palatino Linotype" w:cs="Arial"/>
        </w:rPr>
      </w:pPr>
    </w:p>
    <w:p w:rsidR="00AB6B42" w:rsidRDefault="00AB6B42" w:rsidP="00AB6B42">
      <w:pPr>
        <w:spacing w:before="240" w:after="240" w:line="360" w:lineRule="auto"/>
        <w:jc w:val="both"/>
        <w:rPr>
          <w:rFonts w:ascii="Palatino Linotype" w:hAnsi="Palatino Linotype" w:cs="Arial"/>
        </w:rPr>
      </w:pPr>
      <w:r>
        <w:rPr>
          <w:rFonts w:ascii="Palatino Linotype" w:hAnsi="Palatino Linotype" w:cs="Arial"/>
        </w:rPr>
        <w:t xml:space="preserve">Fundamentos legales, que fueron abordados dentro del acuerdo alusivo por el Sujeto Obligado, ahora bien, sobre la información que se testo esta tiene el carácter de confidencial en razón que hace a una persona identificable de acuerdo a los razonamientos que expuso el </w:t>
      </w:r>
      <w:r w:rsidRPr="00AB6B42">
        <w:rPr>
          <w:rFonts w:ascii="Palatino Linotype" w:hAnsi="Palatino Linotype" w:cs="Arial"/>
          <w:b/>
        </w:rPr>
        <w:t xml:space="preserve">SUJETO OBLIGADO </w:t>
      </w:r>
      <w:r>
        <w:rPr>
          <w:rFonts w:ascii="Palatino Linotype" w:hAnsi="Palatino Linotype" w:cs="Arial"/>
        </w:rPr>
        <w:t>en el acuerdo de su Comité de Transparencia, alusivo</w:t>
      </w:r>
      <w:r>
        <w:rPr>
          <w:rFonts w:ascii="Palatino Linotype" w:hAnsi="Palatino Linotype"/>
        </w:rPr>
        <w:t>,</w:t>
      </w:r>
      <w:r>
        <w:rPr>
          <w:rFonts w:ascii="Palatino Linotype" w:hAnsi="Palatino Linotype" w:cs="Arial"/>
        </w:rPr>
        <w:t xml:space="preserve"> debidamente motivando sus fundamentos legales en que justifico la versión pública del acuerdo en mención. </w:t>
      </w:r>
    </w:p>
    <w:p w:rsidR="00AB6B42" w:rsidRDefault="00AB6B42" w:rsidP="00AB6B42">
      <w:pPr>
        <w:spacing w:line="360" w:lineRule="auto"/>
        <w:jc w:val="both"/>
        <w:rPr>
          <w:rFonts w:ascii="Palatino Linotype" w:hAnsi="Palatino Linotype" w:cs="Arial"/>
        </w:rPr>
      </w:pPr>
      <w:r>
        <w:rPr>
          <w:rFonts w:ascii="Palatino Linotype" w:hAnsi="Palatino Linotype" w:cs="Arial"/>
        </w:rPr>
        <w:lastRenderedPageBreak/>
        <w:t>Lo anterior es así, en razón de que el nombre de una persona física y correos electrónicos de particulares, es información que es considerada por este Organismo Garante como información confidencial porque es información que le corresponde</w:t>
      </w:r>
      <w:r w:rsidRPr="00AB6100">
        <w:rPr>
          <w:rFonts w:ascii="Palatino Linotype" w:hAnsi="Palatino Linotype" w:cs="Arial"/>
        </w:rPr>
        <w:t xml:space="preserve"> solamente a sus titulares, más aún cuando tiene que ver con su propia persona en el sentido más amplio.</w:t>
      </w:r>
    </w:p>
    <w:p w:rsidR="00AB6B42" w:rsidRDefault="00AB6B42" w:rsidP="00AB6B42">
      <w:pPr>
        <w:shd w:val="clear" w:color="auto" w:fill="FFFFFF"/>
        <w:spacing w:line="360" w:lineRule="auto"/>
        <w:contextualSpacing/>
        <w:jc w:val="both"/>
        <w:rPr>
          <w:rFonts w:ascii="Palatino Linotype" w:hAnsi="Palatino Linotype" w:cs="Arial"/>
        </w:rPr>
      </w:pPr>
    </w:p>
    <w:p w:rsidR="00AB6B42" w:rsidRDefault="00AB6B42" w:rsidP="00AB6B42">
      <w:pPr>
        <w:spacing w:line="360" w:lineRule="auto"/>
        <w:jc w:val="both"/>
        <w:rPr>
          <w:rFonts w:ascii="Palatino Linotype" w:eastAsia="Calibri" w:hAnsi="Palatino Linotype" w:cs="Arial"/>
        </w:rPr>
      </w:pPr>
      <w:r>
        <w:rPr>
          <w:rFonts w:ascii="Palatino Linotype" w:hAnsi="Palatino Linotype" w:cs="Arial"/>
        </w:rPr>
        <w:t xml:space="preserve">Por consiguiente, es necesario a traer lo señalado por la fracción I del artículo 143 y 148 </w:t>
      </w:r>
      <w:r w:rsidRPr="00AB6100">
        <w:rPr>
          <w:rFonts w:ascii="Palatino Linotype" w:eastAsia="Calibri" w:hAnsi="Palatino Linotype" w:cs="Arial"/>
        </w:rPr>
        <w:t>de la Ley de Transparencia y Acceso a la Información Pública del Estado de México y Municipios</w:t>
      </w:r>
      <w:r>
        <w:rPr>
          <w:rFonts w:ascii="Palatino Linotype" w:eastAsia="Calibri" w:hAnsi="Palatino Linotype" w:cs="Arial"/>
        </w:rPr>
        <w:t>, que señala lo conducente:</w:t>
      </w:r>
    </w:p>
    <w:p w:rsidR="00AB6B42" w:rsidRDefault="00AB6B42" w:rsidP="00AB6B42">
      <w:pPr>
        <w:spacing w:line="360" w:lineRule="auto"/>
        <w:jc w:val="both"/>
        <w:rPr>
          <w:rFonts w:ascii="Palatino Linotype" w:eastAsia="Calibri" w:hAnsi="Palatino Linotype" w:cs="Arial"/>
        </w:rPr>
      </w:pPr>
    </w:p>
    <w:p w:rsidR="00AB6B42" w:rsidRPr="00EA6D27" w:rsidRDefault="00AB6B42" w:rsidP="00AB6B42">
      <w:pPr>
        <w:autoSpaceDE w:val="0"/>
        <w:autoSpaceDN w:val="0"/>
        <w:adjustRightInd w:val="0"/>
        <w:ind w:left="567" w:right="616"/>
        <w:jc w:val="both"/>
        <w:rPr>
          <w:rFonts w:ascii="Palatino Linotype" w:hAnsi="Palatino Linotype" w:cs="Arial"/>
          <w:b/>
          <w:i/>
          <w:sz w:val="22"/>
          <w:szCs w:val="22"/>
        </w:rPr>
      </w:pPr>
      <w:r w:rsidRPr="00EA6D27">
        <w:rPr>
          <w:rFonts w:ascii="Palatino Linotype" w:hAnsi="Palatino Linotype" w:cs="Arial"/>
          <w:i/>
          <w:sz w:val="22"/>
          <w:szCs w:val="22"/>
        </w:rPr>
        <w:t> “</w:t>
      </w:r>
      <w:r w:rsidRPr="00EA6D27">
        <w:rPr>
          <w:rFonts w:ascii="Palatino Linotype" w:hAnsi="Palatino Linotype" w:cs="Arial"/>
          <w:b/>
          <w:i/>
          <w:sz w:val="22"/>
          <w:szCs w:val="22"/>
        </w:rPr>
        <w:t>Artículo 143. Para los efectos de esta Ley se considera información confidencial, la clasificada como tal, de manera permanente, por su naturaleza, cuando:</w:t>
      </w:r>
    </w:p>
    <w:p w:rsidR="00AB6B42" w:rsidRPr="00EA6D27" w:rsidRDefault="00AB6B42" w:rsidP="00AB6B42">
      <w:pPr>
        <w:pStyle w:val="Prrafodelista"/>
        <w:numPr>
          <w:ilvl w:val="0"/>
          <w:numId w:val="4"/>
        </w:numPr>
        <w:autoSpaceDE w:val="0"/>
        <w:autoSpaceDN w:val="0"/>
        <w:adjustRightInd w:val="0"/>
        <w:ind w:right="616"/>
        <w:jc w:val="both"/>
        <w:rPr>
          <w:rFonts w:ascii="Palatino Linotype" w:hAnsi="Palatino Linotype" w:cs="Arial"/>
          <w:b/>
          <w:i/>
        </w:rPr>
      </w:pPr>
      <w:r w:rsidRPr="00EA6D27">
        <w:rPr>
          <w:rFonts w:ascii="Palatino Linotype" w:hAnsi="Palatino Linotype" w:cs="Arial"/>
          <w:b/>
          <w:i/>
          <w:u w:val="single"/>
        </w:rPr>
        <w:t>Se refiera a la información privada y los datos personales concernientes a una persona física o jurídico colectiva identificada o identificable</w:t>
      </w:r>
      <w:r w:rsidRPr="00EA6D27">
        <w:rPr>
          <w:rFonts w:ascii="Palatino Linotype" w:hAnsi="Palatino Linotype" w:cs="Arial"/>
          <w:b/>
          <w:i/>
        </w:rPr>
        <w:t>;</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 xml:space="preserve">La información confidencial no estará sujeta a temporalidad alguna y sólo podrán tener acceso a ella los titulares de la misma, sus representantes y los Servidores Públicos facultados para ello. </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w:t>
      </w:r>
    </w:p>
    <w:p w:rsidR="00AB6B42" w:rsidRPr="00EA6D27" w:rsidRDefault="00AB6B42" w:rsidP="00AB6B42">
      <w:pPr>
        <w:autoSpaceDE w:val="0"/>
        <w:autoSpaceDN w:val="0"/>
        <w:adjustRightInd w:val="0"/>
        <w:ind w:left="567" w:right="616"/>
        <w:jc w:val="both"/>
        <w:rPr>
          <w:rFonts w:ascii="Palatino Linotype" w:hAnsi="Palatino Linotype" w:cs="Arial"/>
          <w:b/>
          <w:i/>
          <w:sz w:val="22"/>
          <w:szCs w:val="22"/>
        </w:rPr>
      </w:pPr>
      <w:r w:rsidRPr="00EA6D27">
        <w:rPr>
          <w:rFonts w:ascii="Palatino Linotype" w:hAnsi="Palatino Linotype" w:cs="Arial"/>
          <w:b/>
          <w:i/>
          <w:sz w:val="22"/>
          <w:szCs w:val="22"/>
        </w:rPr>
        <w:t xml:space="preserve">Artículo 148. No se requerirá el consentimiento del titular de la información confidencial cuando: </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 xml:space="preserve">I. La información se encuentre en registros públicos o fuentes de acceso público; </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 xml:space="preserve">II. Por ley tenga el carácter de pública; </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 xml:space="preserve">III. Exista una orden judicial; </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IV. Por razones de seguridad nacional y salubridad general, o para proteger los derechos de terceros, se requiera su publicación, o</w:t>
      </w:r>
    </w:p>
    <w:p w:rsidR="00AB6B42" w:rsidRPr="00EA6D27" w:rsidRDefault="00AB6B42" w:rsidP="00AB6B42">
      <w:pPr>
        <w:autoSpaceDE w:val="0"/>
        <w:autoSpaceDN w:val="0"/>
        <w:adjustRightInd w:val="0"/>
        <w:ind w:left="567" w:right="616"/>
        <w:jc w:val="both"/>
        <w:rPr>
          <w:rFonts w:ascii="Palatino Linotype" w:hAnsi="Palatino Linotype" w:cs="Arial"/>
          <w:i/>
          <w:sz w:val="22"/>
          <w:szCs w:val="22"/>
        </w:rPr>
      </w:pPr>
      <w:r w:rsidRPr="00EA6D27">
        <w:rPr>
          <w:rFonts w:ascii="Palatino Linotype" w:hAnsi="Palatino Linotype" w:cs="Arial"/>
          <w:i/>
          <w:sz w:val="22"/>
          <w:szCs w:val="22"/>
        </w:rPr>
        <w:t>V. Cuando se transmita entre sujetos obligados y entre éstos y los sujetos de derecho internacional, en términos de los tratados y los acuerdos interinstitucionales, siempre y cuando la información se utilice para el ejercicio de facultades propias de los mismos. …” (Sic)</w:t>
      </w:r>
    </w:p>
    <w:p w:rsidR="00AB6B42" w:rsidRPr="0012513B" w:rsidRDefault="00AB6B42" w:rsidP="00AB6B42">
      <w:pPr>
        <w:autoSpaceDE w:val="0"/>
        <w:autoSpaceDN w:val="0"/>
        <w:adjustRightInd w:val="0"/>
        <w:ind w:left="567" w:right="616"/>
        <w:jc w:val="both"/>
        <w:rPr>
          <w:rFonts w:ascii="Palatino Linotype" w:hAnsi="Palatino Linotype" w:cs="Arial"/>
          <w:i/>
        </w:rPr>
      </w:pPr>
    </w:p>
    <w:p w:rsidR="00AB6B42" w:rsidRDefault="00AB6B42" w:rsidP="00AB6B42">
      <w:pPr>
        <w:spacing w:line="360" w:lineRule="auto"/>
        <w:jc w:val="both"/>
        <w:rPr>
          <w:rFonts w:ascii="Palatino Linotype" w:eastAsia="Calibri" w:hAnsi="Palatino Linotype" w:cs="Arial"/>
        </w:rPr>
      </w:pPr>
      <w:r>
        <w:rPr>
          <w:rFonts w:ascii="Palatino Linotype" w:eastAsia="Calibri" w:hAnsi="Palatino Linotype" w:cs="Arial"/>
        </w:rPr>
        <w:lastRenderedPageBreak/>
        <w:t xml:space="preserve">De los que señalan que la </w:t>
      </w:r>
      <w:r w:rsidRPr="0012513B">
        <w:rPr>
          <w:rFonts w:ascii="Palatino Linotype" w:eastAsia="Calibri" w:hAnsi="Palatino Linotype" w:cs="Arial"/>
        </w:rPr>
        <w:t xml:space="preserve">información privada </w:t>
      </w:r>
      <w:r>
        <w:rPr>
          <w:rFonts w:ascii="Palatino Linotype" w:eastAsia="Calibri" w:hAnsi="Palatino Linotype" w:cs="Arial"/>
        </w:rPr>
        <w:t xml:space="preserve">de la que se desprendan </w:t>
      </w:r>
      <w:r w:rsidRPr="0012513B">
        <w:rPr>
          <w:rFonts w:ascii="Palatino Linotype" w:eastAsia="Calibri" w:hAnsi="Palatino Linotype" w:cs="Arial"/>
        </w:rPr>
        <w:t xml:space="preserve">datos personales concernientes a una persona </w:t>
      </w:r>
      <w:r>
        <w:rPr>
          <w:rFonts w:ascii="Palatino Linotype" w:eastAsia="Calibri" w:hAnsi="Palatino Linotype" w:cs="Arial"/>
        </w:rPr>
        <w:t xml:space="preserve">que la haga </w:t>
      </w:r>
      <w:r w:rsidRPr="0012513B">
        <w:rPr>
          <w:rFonts w:ascii="Palatino Linotype" w:eastAsia="Calibri" w:hAnsi="Palatino Linotype" w:cs="Arial"/>
        </w:rPr>
        <w:t xml:space="preserve">identificada o identificable, no estará sujeta a temporalidad alguna y sólo podrán tener acceso a ella los titulares de la misma, sus representantes y los servidores públicos facultados para ello. </w:t>
      </w:r>
    </w:p>
    <w:p w:rsidR="00AB6B42" w:rsidRDefault="00AB6B42" w:rsidP="00AB6B42">
      <w:pPr>
        <w:spacing w:line="360" w:lineRule="auto"/>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Pr>
          <w:rFonts w:ascii="Palatino Linotype" w:eastAsia="Calibri" w:hAnsi="Palatino Linotype" w:cs="Arial"/>
        </w:rPr>
        <w:t>Asimismo</w:t>
      </w:r>
      <w:r w:rsidRPr="0012513B">
        <w:rPr>
          <w:rFonts w:ascii="Palatino Linotype" w:eastAsia="Calibri" w:hAnsi="Palatino Linotype" w:cs="Arial"/>
        </w:rPr>
        <w:t xml:space="preserve">,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rsidR="00AB6B42" w:rsidRDefault="00AB6B42" w:rsidP="00AB6B42">
      <w:pPr>
        <w:spacing w:line="360" w:lineRule="auto"/>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sidRPr="0012513B">
        <w:rPr>
          <w:rFonts w:ascii="Palatino Linotype" w:eastAsia="Calibri" w:hAnsi="Palatino Linotype" w:cs="Arial"/>
        </w:rPr>
        <w:t xml:space="preserve">Cabe mencionar que en la fracción II del artículo 6 de la Constitución Política de los Estados Unidos Mexicanos se prevé que la información que se refiere a la vida privada y los datos personales, será protegida en los términos y con las excepciones que fijen las leyes. </w:t>
      </w:r>
    </w:p>
    <w:p w:rsidR="00AB6B42" w:rsidRDefault="00AB6B42" w:rsidP="00AB6B42">
      <w:pPr>
        <w:spacing w:line="360" w:lineRule="auto"/>
        <w:jc w:val="both"/>
        <w:rPr>
          <w:rFonts w:ascii="Palatino Linotype" w:eastAsia="Calibri" w:hAnsi="Palatino Linotype" w:cs="Arial"/>
        </w:rPr>
      </w:pPr>
    </w:p>
    <w:p w:rsidR="00AB6B42" w:rsidRPr="0012513B" w:rsidRDefault="00AB6B42" w:rsidP="00AB6B42">
      <w:pPr>
        <w:spacing w:line="360" w:lineRule="auto"/>
        <w:jc w:val="both"/>
        <w:rPr>
          <w:rFonts w:ascii="Palatino Linotype" w:eastAsia="Calibri" w:hAnsi="Palatino Linotype" w:cs="Arial"/>
        </w:rPr>
      </w:pPr>
      <w:r>
        <w:rPr>
          <w:rFonts w:ascii="Palatino Linotype" w:eastAsia="Calibri" w:hAnsi="Palatino Linotype" w:cs="Arial"/>
        </w:rPr>
        <w:t>Además</w:t>
      </w:r>
      <w:r w:rsidRPr="0012513B">
        <w:rPr>
          <w:rFonts w:ascii="Palatino Linotype" w:eastAsia="Calibri" w:hAnsi="Palatino Linotype" w:cs="Arial"/>
        </w:rPr>
        <w:t>,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AB6B42" w:rsidRDefault="00AB6B42" w:rsidP="00AB6B42">
      <w:pPr>
        <w:spacing w:line="360" w:lineRule="auto"/>
        <w:jc w:val="both"/>
        <w:rPr>
          <w:rFonts w:ascii="Palatino Linotype" w:eastAsia="Calibri" w:hAnsi="Palatino Linotype" w:cs="Arial"/>
        </w:rPr>
      </w:pPr>
      <w:r w:rsidRPr="0012513B">
        <w:rPr>
          <w:rFonts w:ascii="Palatino Linotype" w:eastAsia="Calibri" w:hAnsi="Palatino Linotype" w:cs="Arial"/>
        </w:rPr>
        <w:lastRenderedPageBreak/>
        <w:t>Por su parte, en el Trigésimo octavo de los Lineamientos generales en materia de clasificación y desclasificación de la información, así como para la elaboración de versiones públicas, se dispone lo siguiente:</w:t>
      </w:r>
    </w:p>
    <w:p w:rsidR="00AB6B42" w:rsidRDefault="00AB6B42" w:rsidP="00AB6B42">
      <w:pPr>
        <w:spacing w:line="360" w:lineRule="auto"/>
        <w:jc w:val="both"/>
        <w:rPr>
          <w:rFonts w:ascii="Palatino Linotype" w:eastAsia="Calibri" w:hAnsi="Palatino Linotype" w:cs="Arial"/>
        </w:rPr>
      </w:pP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“Trigésimo octavo. Se considera información confidencial: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I. Los datos personales en los términos de la norma aplicable;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 …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La información confidencial no estará sujeta a temporalidad alguna y sólo podrán tener acceso a ella los titulares de la misma, sus representantes y los servidores públicos facultados para ello.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Cuadragésimo Octavo. Los documentos y expedientes clasificados como confidenciales sólo podrán ser comunicados a terceros siempre y cuando exista disposición legal expresa que lo justifique o cuando se cuente con el consentimiento del titular.” (Sic)</w:t>
      </w:r>
    </w:p>
    <w:p w:rsidR="00AB6B42" w:rsidRDefault="00AB6B42" w:rsidP="00AB6B42">
      <w:pPr>
        <w:spacing w:line="360" w:lineRule="auto"/>
        <w:jc w:val="both"/>
        <w:rPr>
          <w:rFonts w:ascii="Palatino Linotype" w:hAnsi="Palatino Linotype" w:cs="Arial"/>
          <w:color w:val="FF0000"/>
        </w:rPr>
      </w:pPr>
    </w:p>
    <w:p w:rsidR="00AB6B42" w:rsidRDefault="00AB6B42" w:rsidP="00AB6B42">
      <w:pPr>
        <w:spacing w:line="360" w:lineRule="auto"/>
        <w:jc w:val="both"/>
        <w:rPr>
          <w:rFonts w:ascii="Palatino Linotype" w:eastAsia="Calibri" w:hAnsi="Palatino Linotype" w:cs="Arial"/>
        </w:rPr>
      </w:pPr>
      <w:r w:rsidRPr="0012513B">
        <w:rPr>
          <w:rFonts w:ascii="Palatino Linotype" w:eastAsia="Calibri" w:hAnsi="Palatino Linotype" w:cs="Arial"/>
        </w:rPr>
        <w:t>En términos de lo transcrito, la documentación y aquellos datos que se consideren confidenciales conforme a lo dispuesto en la Ley Federal de Transparencia y Acceso a la Información Pública, serán una limitante del derecho de acceso a la información, siempre y cuando:</w:t>
      </w:r>
      <w:r>
        <w:rPr>
          <w:rFonts w:ascii="Palatino Linotype" w:eastAsia="Calibri" w:hAnsi="Palatino Linotype" w:cs="Arial"/>
        </w:rPr>
        <w:t xml:space="preserve"> </w:t>
      </w:r>
      <w:r w:rsidRPr="00D76897">
        <w:rPr>
          <w:rFonts w:ascii="Palatino Linotype" w:eastAsia="Calibri" w:hAnsi="Palatino Linotype" w:cs="Arial"/>
        </w:rPr>
        <w:t>Se trate de datos personales, esto es: información concerniente a una persona física y que ésta sea</w:t>
      </w:r>
      <w:r>
        <w:rPr>
          <w:rFonts w:ascii="Palatino Linotype" w:eastAsia="Calibri" w:hAnsi="Palatino Linotype" w:cs="Arial"/>
        </w:rPr>
        <w:t xml:space="preserve"> identificada o identificable y p</w:t>
      </w:r>
      <w:r w:rsidRPr="00D76897">
        <w:rPr>
          <w:rFonts w:ascii="Palatino Linotype" w:eastAsia="Calibri" w:hAnsi="Palatino Linotype" w:cs="Arial"/>
        </w:rPr>
        <w:t>ara la difusión de los datos, se requiera el consentimiento del titular.</w:t>
      </w:r>
    </w:p>
    <w:p w:rsidR="00AB6B42" w:rsidRDefault="00AB6B42" w:rsidP="00AB6B42">
      <w:pPr>
        <w:spacing w:line="360" w:lineRule="auto"/>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sidRPr="00D76897">
        <w:rPr>
          <w:rFonts w:ascii="Palatino Linotype" w:eastAsia="Calibri" w:hAnsi="Palatino Linotype" w:cs="Arial"/>
        </w:rPr>
        <w:t>Así, los documentos clasificados como confidenciales sólo podrán ser comunicados a terceros siempre y cuando exista disposición legal expresa que lo justifique o cuando se cuente con el consentimiento del titular.</w:t>
      </w:r>
    </w:p>
    <w:p w:rsidR="00AB6B42" w:rsidRDefault="00AB6B42" w:rsidP="00AB6B42">
      <w:pPr>
        <w:spacing w:line="360" w:lineRule="auto"/>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Pr>
          <w:rFonts w:ascii="Palatino Linotype" w:eastAsia="Calibri" w:hAnsi="Palatino Linotype" w:cs="Arial"/>
        </w:rPr>
        <w:lastRenderedPageBreak/>
        <w:t>Señalado lo anterior</w:t>
      </w:r>
      <w:r w:rsidRPr="00D76897">
        <w:rPr>
          <w:rFonts w:ascii="Palatino Linotype" w:eastAsia="Calibri" w:hAnsi="Palatino Linotype" w:cs="Arial"/>
        </w:rPr>
        <w:t xml:space="preserve">, resulta pertinente aclarar que la protección a la confidencialidad de los datos personales establecida en la Ley de Transparencia y Acceso a la Información Pública del Estado de México y Municipios, es una garantía de cualquier persona. </w:t>
      </w:r>
    </w:p>
    <w:p w:rsidR="00AB6B42" w:rsidRDefault="00AB6B42" w:rsidP="00AB6B42">
      <w:pPr>
        <w:spacing w:line="360" w:lineRule="auto"/>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sidRPr="00D76897">
        <w:rPr>
          <w:rFonts w:ascii="Palatino Linotype" w:eastAsia="Calibri" w:hAnsi="Palatino Linotype" w:cs="Arial"/>
        </w:rPr>
        <w:t xml:space="preserve">Por su parte, en la Declaración Universal de los Derechos Humanos, se prevé lo siguiente: </w:t>
      </w:r>
    </w:p>
    <w:p w:rsidR="00EA6D27" w:rsidRDefault="00EA6D27" w:rsidP="00AB6B42">
      <w:pPr>
        <w:spacing w:line="360" w:lineRule="auto"/>
        <w:jc w:val="both"/>
        <w:rPr>
          <w:rFonts w:ascii="Palatino Linotype" w:eastAsia="Calibri" w:hAnsi="Palatino Linotype" w:cs="Arial"/>
        </w:rPr>
      </w:pP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“Artículo 12 Nadie será objeto de injerencias arbitrarias en su vida privada, su familia, su domicilio o su correspondencia, ni de ataques a su honra o a su reputación. Toda persona tiene derecho a la protección de la ley contra tales injerencias o ataques.” (Sic)</w:t>
      </w:r>
    </w:p>
    <w:p w:rsidR="00AB6B42" w:rsidRPr="00D76897" w:rsidRDefault="00AB6B42" w:rsidP="00AB6B42">
      <w:pPr>
        <w:autoSpaceDE w:val="0"/>
        <w:autoSpaceDN w:val="0"/>
        <w:adjustRightInd w:val="0"/>
        <w:ind w:left="567" w:right="618"/>
        <w:contextualSpacing/>
        <w:jc w:val="both"/>
        <w:rPr>
          <w:rFonts w:ascii="Palatino Linotype" w:hAnsi="Palatino Linotype" w:cs="Arial"/>
          <w:i/>
        </w:rPr>
      </w:pPr>
    </w:p>
    <w:p w:rsidR="00AB6B42" w:rsidRDefault="00AB6B42" w:rsidP="00AB6B42">
      <w:pPr>
        <w:spacing w:line="360" w:lineRule="auto"/>
        <w:jc w:val="both"/>
        <w:rPr>
          <w:rFonts w:ascii="Palatino Linotype" w:eastAsia="Calibri" w:hAnsi="Palatino Linotype" w:cs="Arial"/>
        </w:rPr>
      </w:pPr>
      <w:r w:rsidRPr="00D76897">
        <w:rPr>
          <w:rFonts w:ascii="Palatino Linotype" w:eastAsia="Calibri" w:hAnsi="Palatino Linotype" w:cs="Arial"/>
        </w:rPr>
        <w:t>También, en la Convención Americana sobre l</w:t>
      </w:r>
      <w:r>
        <w:rPr>
          <w:rFonts w:ascii="Palatino Linotype" w:eastAsia="Calibri" w:hAnsi="Palatino Linotype" w:cs="Arial"/>
        </w:rPr>
        <w:t>os Derechos Humanos</w:t>
      </w:r>
      <w:r>
        <w:rPr>
          <w:rStyle w:val="Refdenotaalpie"/>
          <w:rFonts w:ascii="Palatino Linotype" w:eastAsia="Calibri" w:hAnsi="Palatino Linotype" w:cs="Arial"/>
        </w:rPr>
        <w:footnoteReference w:id="1"/>
      </w:r>
      <w:r w:rsidRPr="00D76897">
        <w:rPr>
          <w:rFonts w:ascii="Palatino Linotype" w:eastAsia="Calibri" w:hAnsi="Palatino Linotype" w:cs="Arial"/>
        </w:rPr>
        <w:t xml:space="preserve">, se establece lo siguiente: </w:t>
      </w:r>
    </w:p>
    <w:p w:rsidR="00EA6D27" w:rsidRDefault="00EA6D27" w:rsidP="00AB6B42">
      <w:pPr>
        <w:spacing w:line="360" w:lineRule="auto"/>
        <w:jc w:val="both"/>
        <w:rPr>
          <w:rFonts w:ascii="Palatino Linotype" w:eastAsia="Calibri" w:hAnsi="Palatino Linotype" w:cs="Arial"/>
        </w:rPr>
      </w:pP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“Artículo 11. Protección de la Honra y de la Dignidad </w:t>
      </w:r>
    </w:p>
    <w:p w:rsidR="00AB6B42" w:rsidRPr="00EA6D27" w:rsidRDefault="00AB6B42" w:rsidP="00AB6B42">
      <w:pPr>
        <w:autoSpaceDE w:val="0"/>
        <w:autoSpaceDN w:val="0"/>
        <w:adjustRightInd w:val="0"/>
        <w:ind w:left="567" w:right="618"/>
        <w:contextualSpacing/>
        <w:jc w:val="both"/>
        <w:rPr>
          <w:rFonts w:ascii="Palatino Linotype" w:hAnsi="Palatino Linotype" w:cs="Arial"/>
          <w:i/>
          <w:sz w:val="22"/>
          <w:szCs w:val="22"/>
        </w:rPr>
      </w:pPr>
      <w:r w:rsidRPr="00EA6D27">
        <w:rPr>
          <w:rFonts w:ascii="Palatino Linotype" w:hAnsi="Palatino Linotype" w:cs="Arial"/>
          <w:i/>
          <w:sz w:val="22"/>
          <w:szCs w:val="22"/>
        </w:rPr>
        <w:t xml:space="preserve">2. Nadie puede ser objeto de injerencias arbitrarias o abusivas en su vida privada, en la de su familia, en su domicilio o en su correspondencia, ni de ataques ilegales a su honra o reputación. </w:t>
      </w:r>
    </w:p>
    <w:p w:rsidR="00AB6B42" w:rsidRPr="00EA6D27" w:rsidRDefault="00AB6B42" w:rsidP="00AB6B42">
      <w:pPr>
        <w:autoSpaceDE w:val="0"/>
        <w:autoSpaceDN w:val="0"/>
        <w:adjustRightInd w:val="0"/>
        <w:ind w:left="567" w:right="618"/>
        <w:contextualSpacing/>
        <w:jc w:val="both"/>
        <w:rPr>
          <w:rFonts w:ascii="Palatino Linotype" w:eastAsia="Calibri" w:hAnsi="Palatino Linotype" w:cs="Arial"/>
          <w:sz w:val="22"/>
          <w:szCs w:val="22"/>
        </w:rPr>
      </w:pPr>
      <w:r w:rsidRPr="00EA6D27">
        <w:rPr>
          <w:rFonts w:ascii="Palatino Linotype" w:hAnsi="Palatino Linotype" w:cs="Arial"/>
          <w:i/>
          <w:sz w:val="22"/>
          <w:szCs w:val="22"/>
        </w:rPr>
        <w:t>3. Toda persona tiene derecho a la protección de la ley contra esas injerencias o esos ataques”</w:t>
      </w:r>
      <w:r w:rsidRPr="00EA6D27">
        <w:rPr>
          <w:rFonts w:ascii="Palatino Linotype" w:eastAsia="Calibri" w:hAnsi="Palatino Linotype" w:cs="Arial"/>
          <w:sz w:val="22"/>
          <w:szCs w:val="22"/>
        </w:rPr>
        <w:t xml:space="preserve"> (Sic)</w:t>
      </w:r>
    </w:p>
    <w:p w:rsidR="00AB6B42" w:rsidRDefault="00AB6B42" w:rsidP="00AB6B42">
      <w:pPr>
        <w:autoSpaceDE w:val="0"/>
        <w:autoSpaceDN w:val="0"/>
        <w:adjustRightInd w:val="0"/>
        <w:ind w:right="618"/>
        <w:contextualSpacing/>
        <w:jc w:val="both"/>
        <w:rPr>
          <w:rFonts w:ascii="Palatino Linotype" w:eastAsia="Calibri" w:hAnsi="Palatino Linotype" w:cs="Arial"/>
        </w:rPr>
      </w:pPr>
    </w:p>
    <w:p w:rsidR="00AB6B42" w:rsidRDefault="00AB6B42" w:rsidP="00AB6B42">
      <w:pPr>
        <w:spacing w:line="360" w:lineRule="auto"/>
        <w:jc w:val="both"/>
        <w:rPr>
          <w:rFonts w:ascii="Palatino Linotype" w:eastAsia="Calibri" w:hAnsi="Palatino Linotype" w:cs="Arial"/>
        </w:rPr>
      </w:pPr>
      <w:r w:rsidRPr="00D76897">
        <w:rPr>
          <w:rFonts w:ascii="Palatino Linotype" w:eastAsia="Calibri" w:hAnsi="Palatino Linotype" w:cs="Arial"/>
        </w:rPr>
        <w:t>Finalmente, en el Pacto Internacional de lo</w:t>
      </w:r>
      <w:r>
        <w:rPr>
          <w:rFonts w:ascii="Palatino Linotype" w:eastAsia="Calibri" w:hAnsi="Palatino Linotype" w:cs="Arial"/>
        </w:rPr>
        <w:t>s Derechos Civiles y Políticos</w:t>
      </w:r>
      <w:r>
        <w:rPr>
          <w:rStyle w:val="Refdenotaalpie"/>
          <w:rFonts w:ascii="Palatino Linotype" w:eastAsia="Calibri" w:hAnsi="Palatino Linotype" w:cs="Arial"/>
        </w:rPr>
        <w:footnoteReference w:id="2"/>
      </w:r>
      <w:r w:rsidRPr="00D76897">
        <w:rPr>
          <w:rFonts w:ascii="Palatino Linotype" w:eastAsia="Calibri" w:hAnsi="Palatino Linotype" w:cs="Arial"/>
        </w:rPr>
        <w:t>, se señala, lo siguiente:</w:t>
      </w:r>
    </w:p>
    <w:p w:rsidR="00AB6B42" w:rsidRDefault="00AB6B42" w:rsidP="00AB6B42">
      <w:pPr>
        <w:autoSpaceDE w:val="0"/>
        <w:autoSpaceDN w:val="0"/>
        <w:adjustRightInd w:val="0"/>
        <w:ind w:left="567" w:right="618"/>
        <w:contextualSpacing/>
        <w:jc w:val="both"/>
        <w:rPr>
          <w:rFonts w:ascii="Palatino Linotype" w:hAnsi="Palatino Linotype" w:cs="Arial"/>
          <w:i/>
        </w:rPr>
      </w:pPr>
      <w:r w:rsidRPr="00D76897">
        <w:rPr>
          <w:rFonts w:ascii="Palatino Linotype" w:hAnsi="Palatino Linotype" w:cs="Arial"/>
          <w:i/>
        </w:rPr>
        <w:t xml:space="preserve">“Artículo 17 </w:t>
      </w:r>
    </w:p>
    <w:p w:rsidR="00AB6B42" w:rsidRDefault="00AB6B42" w:rsidP="00AB6B42">
      <w:pPr>
        <w:autoSpaceDE w:val="0"/>
        <w:autoSpaceDN w:val="0"/>
        <w:adjustRightInd w:val="0"/>
        <w:ind w:left="567" w:right="618"/>
        <w:contextualSpacing/>
        <w:jc w:val="both"/>
        <w:rPr>
          <w:rFonts w:ascii="Palatino Linotype" w:hAnsi="Palatino Linotype" w:cs="Arial"/>
          <w:i/>
        </w:rPr>
      </w:pPr>
      <w:r w:rsidRPr="00D76897">
        <w:rPr>
          <w:rFonts w:ascii="Palatino Linotype" w:hAnsi="Palatino Linotype" w:cs="Arial"/>
          <w:i/>
        </w:rPr>
        <w:t xml:space="preserve">1. Nadie será objeto de injerencias arbitrarias o ilegales en su vida privada, su familia, su domicilio o su correspondencia, ni de ataques ilegales a su honra y reputación. </w:t>
      </w:r>
    </w:p>
    <w:p w:rsidR="00AB6B42" w:rsidRPr="00D76897" w:rsidRDefault="00AB6B42" w:rsidP="00AB6B42">
      <w:pPr>
        <w:autoSpaceDE w:val="0"/>
        <w:autoSpaceDN w:val="0"/>
        <w:adjustRightInd w:val="0"/>
        <w:ind w:left="567" w:right="618"/>
        <w:contextualSpacing/>
        <w:jc w:val="both"/>
        <w:rPr>
          <w:rFonts w:ascii="Palatino Linotype" w:hAnsi="Palatino Linotype" w:cs="Arial"/>
          <w:i/>
        </w:rPr>
      </w:pPr>
      <w:r w:rsidRPr="00D76897">
        <w:rPr>
          <w:rFonts w:ascii="Palatino Linotype" w:hAnsi="Palatino Linotype" w:cs="Arial"/>
          <w:i/>
        </w:rPr>
        <w:lastRenderedPageBreak/>
        <w:t>2. Toda persona tiene derecho a la protección de la ley contra esas injerencias o esos ataques.”</w:t>
      </w:r>
      <w:r>
        <w:rPr>
          <w:rFonts w:ascii="Palatino Linotype" w:hAnsi="Palatino Linotype" w:cs="Arial"/>
          <w:i/>
        </w:rPr>
        <w:t xml:space="preserve"> (Sic)</w:t>
      </w:r>
    </w:p>
    <w:p w:rsidR="00AB6B42" w:rsidRDefault="00AB6B42" w:rsidP="00AB6B42">
      <w:pPr>
        <w:spacing w:line="360" w:lineRule="auto"/>
        <w:contextualSpacing/>
        <w:jc w:val="both"/>
        <w:rPr>
          <w:rFonts w:ascii="Palatino Linotype" w:eastAsia="Calibri" w:hAnsi="Palatino Linotype" w:cs="Arial"/>
        </w:rPr>
      </w:pPr>
    </w:p>
    <w:p w:rsidR="00AB6B42" w:rsidRDefault="00AB6B42" w:rsidP="00AB6B42">
      <w:pPr>
        <w:spacing w:line="360" w:lineRule="auto"/>
        <w:contextualSpacing/>
        <w:jc w:val="both"/>
        <w:rPr>
          <w:rFonts w:ascii="Palatino Linotype" w:eastAsia="Calibri" w:hAnsi="Palatino Linotype" w:cs="Arial"/>
        </w:rPr>
      </w:pPr>
      <w:r>
        <w:rPr>
          <w:rFonts w:ascii="Palatino Linotype" w:eastAsia="Calibri" w:hAnsi="Palatino Linotype" w:cs="Arial"/>
        </w:rPr>
        <w:t xml:space="preserve">De los que se </w:t>
      </w:r>
      <w:r w:rsidRPr="00D76897">
        <w:rPr>
          <w:rFonts w:ascii="Palatino Linotype" w:eastAsia="Calibri" w:hAnsi="Palatino Linotype" w:cs="Arial"/>
        </w:rPr>
        <w:t xml:space="preserve">advierte que nadie será objeto de injerencias arbitrarias en su vida privada, su familia, su domicilio o su correspondencia y que toda persona tiene derecho a la protección de la ley contra tales injerencias o ataques. </w:t>
      </w:r>
    </w:p>
    <w:p w:rsidR="00AB6B42" w:rsidRDefault="00AB6B42" w:rsidP="00AB6B42">
      <w:pPr>
        <w:spacing w:line="360" w:lineRule="auto"/>
        <w:contextualSpacing/>
        <w:jc w:val="both"/>
        <w:rPr>
          <w:rFonts w:ascii="Palatino Linotype" w:eastAsia="Calibri" w:hAnsi="Palatino Linotype" w:cs="Arial"/>
        </w:rPr>
      </w:pPr>
    </w:p>
    <w:p w:rsidR="00AB6B42" w:rsidRDefault="00AB6B42" w:rsidP="00AB6B42">
      <w:pPr>
        <w:spacing w:line="360" w:lineRule="auto"/>
        <w:contextualSpacing/>
        <w:jc w:val="both"/>
        <w:rPr>
          <w:rFonts w:ascii="Palatino Linotype" w:eastAsia="Calibri" w:hAnsi="Palatino Linotype" w:cs="Arial"/>
        </w:rPr>
      </w:pPr>
      <w:r>
        <w:rPr>
          <w:rFonts w:ascii="Palatino Linotype" w:eastAsia="Calibri" w:hAnsi="Palatino Linotype" w:cs="Arial"/>
        </w:rPr>
        <w:t>Bajo esa óptica</w:t>
      </w:r>
      <w:r w:rsidRPr="00D76897">
        <w:rPr>
          <w:rFonts w:ascii="Palatino Linotype" w:eastAsia="Calibri" w:hAnsi="Palatino Linotype" w:cs="Arial"/>
        </w:rPr>
        <w:t xml:space="preserve">, se observa que existe normatividad tanto nacional como internacional que obliga al Estado mexicano a realizar un cuidado especial en la intimidad de las personas, convirtiéndolos en un derecho fundamental y en una premisa en su actuación. </w:t>
      </w:r>
    </w:p>
    <w:p w:rsidR="00AB6B42" w:rsidRDefault="00AB6B42" w:rsidP="00AB6B42">
      <w:pPr>
        <w:spacing w:line="360" w:lineRule="auto"/>
        <w:contextualSpacing/>
        <w:jc w:val="both"/>
        <w:rPr>
          <w:rFonts w:ascii="Palatino Linotype" w:eastAsia="Calibri" w:hAnsi="Palatino Linotype" w:cs="Arial"/>
        </w:rPr>
      </w:pPr>
    </w:p>
    <w:p w:rsidR="00AB6B42" w:rsidRDefault="00AB6B42" w:rsidP="00AB6B42">
      <w:pPr>
        <w:spacing w:line="360" w:lineRule="auto"/>
        <w:contextualSpacing/>
        <w:jc w:val="both"/>
        <w:rPr>
          <w:rFonts w:ascii="Palatino Linotype" w:eastAsia="Calibri" w:hAnsi="Palatino Linotype" w:cs="Arial"/>
        </w:rPr>
      </w:pPr>
      <w:r w:rsidRPr="00D76897">
        <w:rPr>
          <w:rFonts w:ascii="Palatino Linotype" w:eastAsia="Calibri" w:hAnsi="Palatino Linotype" w:cs="Arial"/>
        </w:rPr>
        <w:t>Asimismo, la Suprema Corte de Justicia de la Nación ha reconocido como derechos fundamentales de las personas, el derecho a la intimidad y a la propia imagen, en las siguientes tesis:</w:t>
      </w:r>
    </w:p>
    <w:p w:rsidR="00AB6B42" w:rsidRDefault="00AB6B42" w:rsidP="00AB6B42">
      <w:pPr>
        <w:spacing w:line="360" w:lineRule="auto"/>
        <w:contextualSpacing/>
        <w:jc w:val="both"/>
        <w:rPr>
          <w:rFonts w:ascii="Palatino Linotype" w:eastAsia="Calibri" w:hAnsi="Palatino Linotype" w:cs="Arial"/>
        </w:rPr>
      </w:pP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r w:rsidRPr="007D1F6D">
        <w:rPr>
          <w:rFonts w:ascii="Palatino Linotype" w:hAnsi="Palatino Linotype" w:cs="Arial"/>
          <w:i/>
        </w:rPr>
        <w:t xml:space="preserve">“DERECHOS A LA INTIMIDAD, PROPIA IMAGEN, IDENTIDAD PERSONAL Y SEXUAL. CONSTITUYEN DERECHOS DE DEFENSA Y GARANTÍA ESENCIAL PARA LA CONDICIÓN HUMANA.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w:t>
      </w:r>
      <w:r w:rsidRPr="007D1F6D">
        <w:rPr>
          <w:rFonts w:ascii="Palatino Linotype" w:hAnsi="Palatino Linotype" w:cs="Arial"/>
          <w:i/>
        </w:rPr>
        <w:lastRenderedPageBreak/>
        <w:t xml:space="preserve">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w:t>
      </w: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r w:rsidRPr="007D1F6D">
        <w:rPr>
          <w:rFonts w:ascii="Palatino Linotype" w:hAnsi="Palatino Linotype" w:cs="Arial"/>
          <w:i/>
        </w:rPr>
        <w:t xml:space="preserve">“DERECHO A LA VIDA PRIVADA. EL RESPETO A LA INTIMIDAD PERSONAL Y FAMILIAR NO ESTÁ LIMITADO A ASPECTOS DE LA VIDA PROPIA, SINO QUE SE EXTIENDE A LOS DE OTRAS PERSONAS CON QUIENES SE TIENE UNA VINCULACIÓN ESTRECHA. El artículo 4o. de la Constitución Política de los Estados Unidos Mexicanos reconoce el derecho a la protección a la familia. Asimismo, la Corte Interamericana de Derechos Humanos ha sostenido que la Convención Americana sobre Derechos Humanos contiene dos artículos que protegen la vida familiar de forma complementaria: el artículo 11, numeral 2, exige la protección estatal de los individuos frente a las acciones arbitrarias de las instituciones estatales que afectan la vida privada; y el artículo 17, que reconoce el papel central de la familia y la vida familiar en la existencia de una persona y en la sociedad en general. En ese sentido, el respeto a la intimidad personal y familiar no está limitado a aspectos de la vida propia, sino que se extiende a los de la vida privada de otras personas con quienes se tiene una vinculación estrecha.” </w:t>
      </w: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r w:rsidRPr="007D1F6D">
        <w:rPr>
          <w:rFonts w:ascii="Palatino Linotype" w:hAnsi="Palatino Linotype" w:cs="Arial"/>
          <w:i/>
        </w:rPr>
        <w:lastRenderedPageBreak/>
        <w:t>DERECHO A LA INTIMIDAD. SU OBJETO Y RELACIÓN CON EL DERECHO DE LA AUTODETERMINACIÓN DE LA INFORMACIÓN.</w:t>
      </w:r>
    </w:p>
    <w:p w:rsidR="00AB6B42" w:rsidRDefault="00AB6B42" w:rsidP="00AB6B42">
      <w:pPr>
        <w:autoSpaceDE w:val="0"/>
        <w:autoSpaceDN w:val="0"/>
        <w:adjustRightInd w:val="0"/>
        <w:ind w:left="567" w:right="618"/>
        <w:contextualSpacing/>
        <w:jc w:val="both"/>
        <w:rPr>
          <w:rFonts w:ascii="Palatino Linotype" w:hAnsi="Palatino Linotype" w:cs="Arial"/>
          <w:i/>
        </w:rPr>
      </w:pPr>
      <w:r w:rsidRPr="007D1F6D">
        <w:rPr>
          <w:rFonts w:ascii="Palatino Linotype" w:hAnsi="Palatino Linotype" w:cs="Arial"/>
          <w:i/>
        </w:rPr>
        <w:t xml:space="preserve">Los textos constitucionales y los tratados internacionales de derechos humanos recogen el derecho a la intimidad como una manifestación concreta de la separación entre el ámbito privado y el público. Así, el derecho a la intimidad se asocia con la existencia de un ámbito privado que se encuentra reservado frente a la acción y conocimiento de los demás y tiene por objeto garantizar al individuo un ámbito reservado de su vida frente a la acción y conocimiento de terceros, ya sea simples particulares o bien los Poderes del Estado; tal derecho atribuye a su titular el poder de resguardar ese ámbito reservado por el individuo para sí y su familia; asimismo garantiza el derecho a poseer la intimidad a efecto de disponer del control sobre la publicidad de la información tanto de la persona como de su familia; lo que se traduce en el derecho de la autodeterminación de la información que supone la posibilidad de elegir qué información de la esfera privada de la persona puede ser conocida o cuál debe permanecer en secreto, así como designar quién y bajo qué condiciones puede utilizar esa información. En este contexto, el derecho a la intimidad impone a los poderes públicos, como a los particulares, diversas obligaciones, a saber: no difundir información de carácter personal entre los que se encuentran los datos personales, confidenciales, el secreto bancario e industrial y en general en no entrometerse en la vida privada de las personas; asimismo, el Estado a través de sus órganos debe adoptar todas las medidas tendentes a hacer efectiva la protección de este derecho. </w:t>
      </w:r>
    </w:p>
    <w:p w:rsidR="00AB6B42" w:rsidRPr="007D1F6D" w:rsidRDefault="00AB6B42" w:rsidP="00AB6B42">
      <w:pPr>
        <w:autoSpaceDE w:val="0"/>
        <w:autoSpaceDN w:val="0"/>
        <w:adjustRightInd w:val="0"/>
        <w:ind w:left="567" w:right="618"/>
        <w:contextualSpacing/>
        <w:jc w:val="both"/>
        <w:rPr>
          <w:rFonts w:ascii="Palatino Linotype" w:hAnsi="Palatino Linotype" w:cs="Arial"/>
          <w:i/>
        </w:rPr>
      </w:pPr>
      <w:r w:rsidRPr="007D1F6D">
        <w:rPr>
          <w:rFonts w:ascii="Palatino Linotype" w:hAnsi="Palatino Linotype" w:cs="Arial"/>
          <w:i/>
        </w:rPr>
        <w:t>TERCER TRIBUNAL COLEGIADO EN MATERIA CIVIL DEL PRIMER CIRCUITO. Amparo en revisión 73/2008. 6 de mayo de 2008. Mayoría de votos. Disidente: Neófito López Ramos. Ponente: Víctor Francisco Mota Cienfuegos. Secretario: Erick Fernando Cano Figueroa.</w:t>
      </w:r>
      <w:r>
        <w:rPr>
          <w:rFonts w:ascii="Palatino Linotype" w:hAnsi="Palatino Linotype" w:cs="Arial"/>
          <w:i/>
        </w:rPr>
        <w:t>” (Sic)</w:t>
      </w:r>
    </w:p>
    <w:p w:rsidR="00AB6B42" w:rsidRDefault="00AB6B42" w:rsidP="00AB6B42">
      <w:pPr>
        <w:spacing w:line="360" w:lineRule="auto"/>
        <w:contextualSpacing/>
        <w:jc w:val="both"/>
        <w:rPr>
          <w:rFonts w:ascii="Palatino Linotype" w:eastAsia="Calibri" w:hAnsi="Palatino Linotype" w:cs="Arial"/>
        </w:rPr>
      </w:pPr>
    </w:p>
    <w:p w:rsidR="00AB6B42" w:rsidRDefault="00AB6B42" w:rsidP="00AB6B42">
      <w:pPr>
        <w:spacing w:line="360" w:lineRule="auto"/>
        <w:contextualSpacing/>
        <w:jc w:val="both"/>
        <w:rPr>
          <w:rFonts w:ascii="Palatino Linotype" w:eastAsia="Calibri" w:hAnsi="Palatino Linotype" w:cs="Arial"/>
        </w:rPr>
      </w:pPr>
      <w:r>
        <w:rPr>
          <w:rFonts w:ascii="Palatino Linotype" w:eastAsia="Calibri" w:hAnsi="Palatino Linotype" w:cs="Arial"/>
        </w:rPr>
        <w:t>Esto es</w:t>
      </w:r>
      <w:r w:rsidRPr="007D1F6D">
        <w:rPr>
          <w:rFonts w:ascii="Palatino Linotype" w:eastAsia="Calibri" w:hAnsi="Palatino Linotype" w:cs="Arial"/>
        </w:rPr>
        <w:t xml:space="preserve">, es derecho de todo individuo a no ser conocido por otros en ciertos aspectos de su vida y, por ende, el poder de decisión sobre la publicidad o información de </w:t>
      </w:r>
      <w:r>
        <w:rPr>
          <w:rFonts w:ascii="Palatino Linotype" w:eastAsia="Calibri" w:hAnsi="Palatino Linotype" w:cs="Arial"/>
        </w:rPr>
        <w:t>datos relativos a su persona, derecho a la intimidad</w:t>
      </w:r>
      <w:r w:rsidRPr="007D1F6D">
        <w:rPr>
          <w:rFonts w:ascii="Palatino Linotype" w:eastAsia="Calibri" w:hAnsi="Palatino Linotype" w:cs="Arial"/>
        </w:rPr>
        <w:t xml:space="preserve">, de igual forma el derecho a la intimidad atribuye a su titular el poder resguardar ese ámbito reservado por el individuo para sí y su familia, por lo que Estado a través de sus órganos debe adoptar todas las medidas tendentes a hacer efectiva la protección de este derecho. </w:t>
      </w:r>
    </w:p>
    <w:p w:rsidR="00AB6B42" w:rsidRDefault="00AB6B42" w:rsidP="00AB6B42">
      <w:pPr>
        <w:spacing w:line="360" w:lineRule="auto"/>
        <w:contextualSpacing/>
        <w:jc w:val="both"/>
        <w:rPr>
          <w:rFonts w:ascii="Palatino Linotype" w:hAnsi="Palatino Linotype" w:cs="Arial"/>
        </w:rPr>
      </w:pPr>
      <w:r>
        <w:rPr>
          <w:rFonts w:ascii="Palatino Linotype" w:eastAsia="Calibri" w:hAnsi="Palatino Linotype" w:cs="Arial"/>
        </w:rPr>
        <w:lastRenderedPageBreak/>
        <w:t>De ahí que</w:t>
      </w:r>
      <w:r w:rsidRPr="007D1F6D">
        <w:rPr>
          <w:rFonts w:ascii="Palatino Linotype" w:eastAsia="Calibri" w:hAnsi="Palatino Linotype" w:cs="Arial"/>
        </w:rPr>
        <w:t xml:space="preserve">, </w:t>
      </w:r>
      <w:r>
        <w:rPr>
          <w:rFonts w:ascii="Palatino Linotype" w:hAnsi="Palatino Linotype" w:cs="Arial"/>
        </w:rPr>
        <w:t xml:space="preserve">el acuerdo emitido por el Comité de Transparencia del </w:t>
      </w:r>
      <w:r w:rsidR="00EA6D27" w:rsidRPr="00EA6D27">
        <w:rPr>
          <w:rFonts w:ascii="Palatino Linotype" w:hAnsi="Palatino Linotype" w:cs="Arial"/>
          <w:b/>
        </w:rPr>
        <w:t>SUJETO OBLIGADO</w:t>
      </w:r>
      <w:r w:rsidR="00EA6D27">
        <w:rPr>
          <w:rFonts w:ascii="Palatino Linotype" w:hAnsi="Palatino Linotype" w:cs="Arial"/>
        </w:rPr>
        <w:t xml:space="preserve"> </w:t>
      </w:r>
      <w:r>
        <w:rPr>
          <w:rFonts w:ascii="Palatino Linotype" w:hAnsi="Palatino Linotype" w:cs="Arial"/>
        </w:rPr>
        <w:t xml:space="preserve">cumple con los requisitos establecidos por la Ley de Transparencia, para la emisión de las versiones públicas. </w:t>
      </w:r>
    </w:p>
    <w:p w:rsidR="00AB6B42" w:rsidRPr="009A3D4C" w:rsidRDefault="00AB6B42" w:rsidP="00AB6B42">
      <w:pPr>
        <w:spacing w:before="100" w:beforeAutospacing="1" w:after="100" w:afterAutospacing="1" w:line="360" w:lineRule="auto"/>
        <w:jc w:val="both"/>
        <w:rPr>
          <w:rFonts w:ascii="Palatino Linotype" w:hAnsi="Palatino Linotype"/>
        </w:rPr>
      </w:pPr>
      <w:r>
        <w:rPr>
          <w:rFonts w:ascii="Palatino Linotype" w:hAnsi="Palatino Linotype"/>
        </w:rPr>
        <w:t>De ahí que,</w:t>
      </w:r>
      <w:r w:rsidRPr="009A3D4C">
        <w:rPr>
          <w:rFonts w:ascii="Palatino Linotype" w:hAnsi="Palatino Linotype"/>
        </w:rPr>
        <w:t xml:space="preserve"> al haber existido un pronunciamiento por parte del </w:t>
      </w:r>
      <w:r w:rsidR="008E4668" w:rsidRPr="009A3D4C">
        <w:rPr>
          <w:rFonts w:ascii="Palatino Linotype" w:hAnsi="Palatino Linotype"/>
          <w:b/>
        </w:rPr>
        <w:t>SUJETO OBLIGADO</w:t>
      </w:r>
      <w:r w:rsidRPr="009A3D4C">
        <w:rPr>
          <w:rFonts w:ascii="Palatino Linotype" w:hAnsi="Palatino Linotype"/>
        </w:rPr>
        <w:t>, este Instituto no está facultado para manifestarse sobre la veracidad de la información</w:t>
      </w:r>
      <w:r w:rsidR="008E4668">
        <w:rPr>
          <w:rFonts w:ascii="Palatino Linotype" w:hAnsi="Palatino Linotype"/>
        </w:rPr>
        <w:t xml:space="preserve"> proporcionada, pues este Organismo</w:t>
      </w:r>
      <w:r w:rsidRPr="009A3D4C">
        <w:rPr>
          <w:rFonts w:ascii="Palatino Linotype" w:hAnsi="Palatino Linotype"/>
        </w:rPr>
        <w:t xml:space="preserve"> Garante, conforme al artículo 36 de la Ley de la Materia, no se encuentra facultado para pronunciarse acerca de la autenticidad de dicho pronunciamiento.</w:t>
      </w:r>
    </w:p>
    <w:p w:rsidR="00AB6B42" w:rsidRPr="009A3D4C" w:rsidRDefault="00AB6B42" w:rsidP="00AB6B42">
      <w:pPr>
        <w:spacing w:before="100" w:beforeAutospacing="1" w:after="100" w:afterAutospacing="1" w:line="360" w:lineRule="auto"/>
        <w:jc w:val="both"/>
        <w:rPr>
          <w:rFonts w:ascii="Palatino Linotype" w:hAnsi="Palatino Linotype" w:cs="Arial"/>
        </w:rPr>
      </w:pPr>
      <w:r w:rsidRPr="009A3D4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B6B42" w:rsidRPr="009A3D4C" w:rsidRDefault="00AB6B42" w:rsidP="00AB6B42">
      <w:pPr>
        <w:ind w:left="709" w:right="760"/>
        <w:jc w:val="both"/>
        <w:rPr>
          <w:rFonts w:ascii="Palatino Linotype" w:hAnsi="Palatino Linotype" w:cs="Arial"/>
          <w:i/>
          <w:sz w:val="22"/>
        </w:rPr>
      </w:pPr>
      <w:r w:rsidRPr="009A3D4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A3D4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w:t>
      </w:r>
      <w:r w:rsidRPr="009A3D4C">
        <w:rPr>
          <w:rFonts w:ascii="Palatino Linotype" w:hAnsi="Palatino Linotype" w:cs="Arial"/>
          <w:i/>
          <w:sz w:val="22"/>
        </w:rPr>
        <w:lastRenderedPageBreak/>
        <w:t xml:space="preserve">Laborde 2395/09 Secretaría de Economía - María Marván Laborde 0837/10 Administración Portuaria Integral de Veracruz, S.A. de C.V. – María Marván Laborde </w:t>
      </w:r>
    </w:p>
    <w:p w:rsidR="00AB6B42" w:rsidRPr="009A3D4C" w:rsidRDefault="00AB6B42" w:rsidP="00AB6B42">
      <w:pPr>
        <w:ind w:left="709" w:right="757"/>
        <w:jc w:val="both"/>
        <w:rPr>
          <w:rFonts w:ascii="Palatino Linotype" w:hAnsi="Palatino Linotype" w:cs="Arial"/>
          <w:b/>
          <w:i/>
          <w:sz w:val="22"/>
        </w:rPr>
      </w:pPr>
      <w:r w:rsidRPr="009A3D4C">
        <w:rPr>
          <w:rFonts w:ascii="Palatino Linotype" w:hAnsi="Palatino Linotype" w:cs="Arial"/>
          <w:i/>
          <w:sz w:val="22"/>
        </w:rPr>
        <w:t>Criterio 31/10</w:t>
      </w:r>
      <w:r w:rsidRPr="009A3D4C">
        <w:rPr>
          <w:rFonts w:ascii="Palatino Linotype" w:hAnsi="Palatino Linotype" w:cs="Arial"/>
          <w:b/>
          <w:i/>
          <w:sz w:val="22"/>
        </w:rPr>
        <w:t>”</w:t>
      </w:r>
      <w:r w:rsidRPr="009A3D4C">
        <w:rPr>
          <w:rFonts w:ascii="Palatino Linotype" w:hAnsi="Palatino Linotype" w:cs="Arial"/>
          <w:i/>
          <w:sz w:val="22"/>
        </w:rPr>
        <w:t xml:space="preserve"> (sic)</w:t>
      </w:r>
    </w:p>
    <w:p w:rsidR="00AB6B42" w:rsidRPr="008E4668" w:rsidRDefault="00AB6B42" w:rsidP="00AB6B4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sidRPr="008E4668">
        <w:rPr>
          <w:rFonts w:ascii="Palatino Linotype" w:eastAsia="Calibri" w:hAnsi="Palatino Linotype" w:cs="Arial"/>
          <w:sz w:val="24"/>
          <w:szCs w:val="24"/>
        </w:rPr>
        <w:t xml:space="preserve">En mérito de lo expuesto, esta Autoridad estima que </w:t>
      </w:r>
      <w:r w:rsidR="008E4668" w:rsidRPr="008E4668">
        <w:rPr>
          <w:rFonts w:ascii="Palatino Linotype" w:eastAsia="Calibri" w:hAnsi="Palatino Linotype" w:cs="Arial"/>
          <w:sz w:val="24"/>
          <w:szCs w:val="24"/>
        </w:rPr>
        <w:t>se tiene por colmado el derecho de acceso a la informaci</w:t>
      </w:r>
      <w:r w:rsidR="00BF7E89">
        <w:rPr>
          <w:rFonts w:ascii="Palatino Linotype" w:eastAsia="Calibri" w:hAnsi="Palatino Linotype" w:cs="Arial"/>
          <w:sz w:val="24"/>
          <w:szCs w:val="24"/>
        </w:rPr>
        <w:t>ón del particular en cuanto a los oficios entregados por el SUJETO OBLIGADO a través de su informe justificado, con excepción del oficio número PM/011/2022</w:t>
      </w:r>
      <w:r w:rsidR="008E4668" w:rsidRPr="008E4668">
        <w:rPr>
          <w:rFonts w:ascii="Palatino Linotype" w:eastAsia="Calibri" w:hAnsi="Palatino Linotype" w:cs="Arial"/>
          <w:sz w:val="24"/>
          <w:szCs w:val="24"/>
        </w:rPr>
        <w:t xml:space="preserve"> </w:t>
      </w:r>
      <w:r w:rsidR="00BF7E89">
        <w:rPr>
          <w:rFonts w:ascii="Palatino Linotype" w:eastAsia="Calibri" w:hAnsi="Palatino Linotype" w:cs="Arial"/>
          <w:sz w:val="24"/>
          <w:szCs w:val="24"/>
        </w:rPr>
        <w:t>el cual deberá estarse a lo siguiente</w:t>
      </w:r>
      <w:r w:rsidR="008E4668" w:rsidRPr="008E4668">
        <w:rPr>
          <w:rFonts w:ascii="Palatino Linotype" w:eastAsia="Calibri" w:hAnsi="Palatino Linotype" w:cs="Arial"/>
          <w:sz w:val="24"/>
          <w:szCs w:val="24"/>
        </w:rPr>
        <w:t xml:space="preserve">. </w:t>
      </w:r>
    </w:p>
    <w:p w:rsidR="00BF7E89" w:rsidRDefault="008E4668" w:rsidP="00BF7E89">
      <w:pPr>
        <w:spacing w:line="360" w:lineRule="auto"/>
        <w:jc w:val="both"/>
        <w:rPr>
          <w:rFonts w:ascii="Palatino Linotype" w:hAnsi="Palatino Linotype" w:cs="Arial"/>
        </w:rPr>
      </w:pPr>
      <w:r>
        <w:rPr>
          <w:rFonts w:ascii="Palatino Linotype" w:eastAsia="Palatino Linotype" w:hAnsi="Palatino Linotype" w:cs="Palatino Linotype"/>
          <w:color w:val="000000"/>
        </w:rPr>
        <w:t xml:space="preserve">Por otro lado, en cuanto al acuerdo de reserva hecho valer por el </w:t>
      </w:r>
      <w:r w:rsidRPr="008E4668">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respecto del oficio número </w:t>
      </w:r>
      <w:r>
        <w:rPr>
          <w:rFonts w:ascii="Palatino Linotype" w:eastAsia="Palatino Linotype" w:hAnsi="Palatino Linotype" w:cs="Palatino Linotype"/>
        </w:rPr>
        <w:t xml:space="preserve">PM/011/2022, </w:t>
      </w:r>
      <w:r w:rsidR="00BF7E89" w:rsidRPr="00886EF4">
        <w:rPr>
          <w:rFonts w:ascii="Palatino Linotype" w:hAnsi="Palatino Linotype" w:cs="Arial"/>
        </w:rPr>
        <w:t xml:space="preserve">considerando la información requerida por el </w:t>
      </w:r>
      <w:r w:rsidR="00BF7E89" w:rsidRPr="005B6F67">
        <w:rPr>
          <w:rFonts w:ascii="Palatino Linotype" w:hAnsi="Palatino Linotype" w:cs="Arial"/>
          <w:b/>
        </w:rPr>
        <w:t>RECURRENTE</w:t>
      </w:r>
      <w:r w:rsidR="00BF7E89" w:rsidRPr="00886EF4">
        <w:rPr>
          <w:rFonts w:ascii="Palatino Linotype" w:hAnsi="Palatino Linotype" w:cs="Arial"/>
        </w:rPr>
        <w:t xml:space="preserve"> en su solic</w:t>
      </w:r>
      <w:r w:rsidR="00BF7E89">
        <w:rPr>
          <w:rFonts w:ascii="Palatino Linotype" w:hAnsi="Palatino Linotype" w:cs="Arial"/>
        </w:rPr>
        <w:t>itud de información, así como lo</w:t>
      </w:r>
      <w:r w:rsidR="00BF7E89" w:rsidRPr="00886EF4">
        <w:rPr>
          <w:rFonts w:ascii="Palatino Linotype" w:hAnsi="Palatino Linotype" w:cs="Arial"/>
        </w:rPr>
        <w:t xml:space="preserve"> enviado por el </w:t>
      </w:r>
      <w:r w:rsidR="00BF7E89" w:rsidRPr="005B6F67">
        <w:rPr>
          <w:rFonts w:ascii="Palatino Linotype" w:hAnsi="Palatino Linotype" w:cs="Arial"/>
          <w:b/>
        </w:rPr>
        <w:t>SUJETO OBLIGADO</w:t>
      </w:r>
      <w:r w:rsidR="00BF7E89" w:rsidRPr="00886EF4">
        <w:rPr>
          <w:rFonts w:ascii="Palatino Linotype" w:hAnsi="Palatino Linotype" w:cs="Arial"/>
        </w:rPr>
        <w:t xml:space="preserve"> en Informe Justificado, se establece que la materia de estudio se centrará en determinar si la información </w:t>
      </w:r>
      <w:r w:rsidR="00BF7E89">
        <w:rPr>
          <w:rFonts w:ascii="Palatino Linotype" w:hAnsi="Palatino Linotype" w:cs="Arial"/>
        </w:rPr>
        <w:t xml:space="preserve">que se testo en dicho oficio </w:t>
      </w:r>
      <w:r w:rsidR="00BF7E89" w:rsidRPr="00886EF4">
        <w:rPr>
          <w:rFonts w:ascii="Palatino Linotype" w:hAnsi="Palatino Linotype" w:cs="Arial"/>
        </w:rPr>
        <w:t>encuadra en los supuestos de clasificación como reservada, conforme a lo establecido en la Ley</w:t>
      </w:r>
      <w:r w:rsidR="00BF7E89" w:rsidRPr="000818BF">
        <w:rPr>
          <w:rFonts w:ascii="Palatino Linotype" w:hAnsi="Palatino Linotype" w:cs="Arial"/>
          <w:bCs/>
        </w:rPr>
        <w:t xml:space="preserve"> de Transparencia y Acceso a la Información Pública del Estado de México y Municipios</w:t>
      </w:r>
      <w:r w:rsidR="00BF7E89" w:rsidRPr="00886EF4">
        <w:rPr>
          <w:rFonts w:ascii="Palatino Linotype" w:hAnsi="Palatino Linotype" w:cs="Arial"/>
        </w:rPr>
        <w:t>.</w:t>
      </w:r>
    </w:p>
    <w:p w:rsidR="00BF7E89" w:rsidRDefault="00BF7E89" w:rsidP="00BF7E89">
      <w:pPr>
        <w:spacing w:before="240" w:after="240" w:line="360" w:lineRule="auto"/>
        <w:contextualSpacing/>
        <w:jc w:val="both"/>
        <w:rPr>
          <w:rFonts w:ascii="Palatino Linotype" w:hAnsi="Palatino Linotype" w:cs="Arial"/>
        </w:rPr>
      </w:pPr>
    </w:p>
    <w:p w:rsidR="00BF7E89" w:rsidRPr="00D97907" w:rsidRDefault="00BF7E89" w:rsidP="00BF7E89">
      <w:pPr>
        <w:spacing w:before="240" w:after="240" w:line="360" w:lineRule="auto"/>
        <w:jc w:val="both"/>
        <w:rPr>
          <w:rFonts w:ascii="Palatino Linotype" w:hAnsi="Palatino Linotype" w:cs="Arial"/>
        </w:rPr>
      </w:pPr>
      <w:r w:rsidRPr="000A34FD">
        <w:rPr>
          <w:rFonts w:ascii="Palatino Linotype" w:hAnsi="Palatino Linotype" w:cs="Arial"/>
        </w:rPr>
        <w:t>Inicialmente es dable precisar que los artículos 12</w:t>
      </w:r>
      <w:r w:rsidRPr="000A34FD">
        <w:rPr>
          <w:rStyle w:val="Refdenotaalpie"/>
          <w:rFonts w:ascii="Palatino Linotype" w:hAnsi="Palatino Linotype" w:cs="Arial"/>
        </w:rPr>
        <w:footnoteReference w:id="3"/>
      </w:r>
      <w:r w:rsidRPr="000A34FD">
        <w:rPr>
          <w:rFonts w:ascii="Palatino Linotype" w:hAnsi="Palatino Linotype" w:cs="Arial"/>
        </w:rPr>
        <w:t xml:space="preserve"> y 23 fracción</w:t>
      </w:r>
      <w:r>
        <w:rPr>
          <w:rFonts w:ascii="Palatino Linotype" w:hAnsi="Palatino Linotype" w:cs="Arial"/>
        </w:rPr>
        <w:t xml:space="preserve"> </w:t>
      </w:r>
      <w:r w:rsidRPr="000A34FD">
        <w:rPr>
          <w:rFonts w:ascii="Palatino Linotype" w:hAnsi="Palatino Linotype" w:cs="Arial"/>
        </w:rPr>
        <w:t xml:space="preserve"> IV</w:t>
      </w:r>
      <w:r w:rsidRPr="000A34FD">
        <w:rPr>
          <w:rStyle w:val="Refdenotaalpie"/>
          <w:rFonts w:ascii="Palatino Linotype" w:hAnsi="Palatino Linotype" w:cs="Arial"/>
        </w:rPr>
        <w:footnoteReference w:id="4"/>
      </w:r>
      <w:r w:rsidRPr="000A34FD">
        <w:rPr>
          <w:rFonts w:ascii="Palatino Linotype" w:hAnsi="Palatino Linotype" w:cs="Arial"/>
        </w:rPr>
        <w:t xml:space="preserve"> de la Ley de la Materia, establecen la obligación de transparentar toda la información </w:t>
      </w:r>
      <w:r>
        <w:rPr>
          <w:rFonts w:ascii="Palatino Linotype" w:hAnsi="Palatino Linotype" w:cs="Arial"/>
        </w:rPr>
        <w:t xml:space="preserve">pública que </w:t>
      </w:r>
      <w:r w:rsidRPr="006E6067">
        <w:rPr>
          <w:rFonts w:ascii="Palatino Linotype" w:hAnsi="Palatino Linotype" w:cs="Arial"/>
        </w:rPr>
        <w:t>generen, recopilen, administren, manejen, procesen, archiven o conserven</w:t>
      </w:r>
      <w:r>
        <w:rPr>
          <w:rFonts w:ascii="Palatino Linotype" w:hAnsi="Palatino Linotype" w:cs="Arial"/>
        </w:rPr>
        <w:t xml:space="preserve">; así </w:t>
      </w:r>
      <w:r>
        <w:rPr>
          <w:rFonts w:ascii="Palatino Linotype" w:hAnsi="Palatino Linotype" w:cs="Arial"/>
        </w:rPr>
        <w:lastRenderedPageBreak/>
        <w:t xml:space="preserve">mismo señala como </w:t>
      </w:r>
      <w:r w:rsidRPr="005B6F67">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al Ayuntamiento de Naucalpan de Juárez.</w:t>
      </w:r>
    </w:p>
    <w:p w:rsidR="00BF7E89" w:rsidRDefault="00BF7E89" w:rsidP="00BF7E89">
      <w:pPr>
        <w:tabs>
          <w:tab w:val="left" w:pos="709"/>
        </w:tabs>
        <w:spacing w:line="360" w:lineRule="auto"/>
        <w:jc w:val="both"/>
        <w:rPr>
          <w:rFonts w:ascii="Palatino Linotype" w:hAnsi="Palatino Linotype" w:cs="Arial"/>
        </w:rPr>
      </w:pPr>
      <w:r>
        <w:rPr>
          <w:rFonts w:ascii="Palatino Linotype" w:hAnsi="Palatino Linotype" w:cs="Arial"/>
        </w:rPr>
        <w:t>Sin embargo</w:t>
      </w:r>
      <w:r w:rsidRPr="00C83848">
        <w:rPr>
          <w:rFonts w:ascii="Palatino Linotype" w:hAnsi="Palatino Linotype" w:cs="Arial"/>
        </w:rPr>
        <w:t xml:space="preserve">, existen excepciones al derecho de acceso a la información conforme a lo establecido en los artículos 4 segundo párrafo, 91, 122, 125, </w:t>
      </w:r>
      <w:r>
        <w:rPr>
          <w:rFonts w:ascii="Palatino Linotype" w:hAnsi="Palatino Linotype" w:cs="Arial"/>
        </w:rPr>
        <w:t>135, 140, 141 y 142 de la repetitiva Ley de Transparencia, los cuales establecen lo siguiente:</w:t>
      </w:r>
    </w:p>
    <w:p w:rsidR="00BF7E89" w:rsidRDefault="00BF7E89" w:rsidP="00BF7E89">
      <w:pPr>
        <w:tabs>
          <w:tab w:val="left" w:pos="709"/>
        </w:tabs>
        <w:ind w:left="567" w:right="567"/>
        <w:jc w:val="both"/>
        <w:rPr>
          <w:rFonts w:ascii="Palatino Linotype" w:hAnsi="Palatino Linotype" w:cs="Arial"/>
          <w:i/>
          <w:sz w:val="22"/>
          <w:szCs w:val="22"/>
        </w:rPr>
      </w:pPr>
    </w:p>
    <w:p w:rsidR="00BF7E89" w:rsidRPr="00C83848" w:rsidRDefault="00BF7E89" w:rsidP="00BF7E89">
      <w:pPr>
        <w:tabs>
          <w:tab w:val="left" w:pos="709"/>
        </w:tabs>
        <w:ind w:left="567" w:right="567"/>
        <w:jc w:val="both"/>
        <w:rPr>
          <w:rFonts w:ascii="Palatino Linotype" w:hAnsi="Palatino Linotype" w:cs="Arial"/>
          <w:b/>
          <w:i/>
          <w:sz w:val="22"/>
          <w:szCs w:val="22"/>
        </w:rPr>
      </w:pPr>
      <w:r w:rsidRPr="00C83848">
        <w:rPr>
          <w:rFonts w:ascii="Palatino Linotype" w:hAnsi="Palatino Linotype" w:cs="Arial"/>
          <w:i/>
          <w:sz w:val="22"/>
          <w:szCs w:val="22"/>
        </w:rPr>
        <w:t>“</w:t>
      </w:r>
      <w:r w:rsidRPr="00C83848">
        <w:rPr>
          <w:rFonts w:ascii="Palatino Linotype" w:hAnsi="Palatino Linotype" w:cs="Arial"/>
          <w:b/>
          <w:i/>
          <w:sz w:val="22"/>
          <w:szCs w:val="22"/>
        </w:rPr>
        <w:t>Artículo 4.</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w:t>
      </w:r>
    </w:p>
    <w:p w:rsidR="00BF7E89" w:rsidRPr="00C83848" w:rsidRDefault="00BF7E89" w:rsidP="00BF7E89">
      <w:pPr>
        <w:tabs>
          <w:tab w:val="left" w:pos="709"/>
        </w:tabs>
        <w:ind w:left="567" w:right="567"/>
        <w:jc w:val="both"/>
        <w:rPr>
          <w:rFonts w:ascii="Palatino Linotype" w:hAnsi="Palatino Linotype" w:cs="Arial"/>
          <w:b/>
          <w:i/>
          <w:sz w:val="22"/>
          <w:szCs w:val="22"/>
        </w:rPr>
      </w:pPr>
      <w:r w:rsidRPr="00C83848">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C83848">
        <w:rPr>
          <w:rFonts w:ascii="Palatino Linotype" w:hAnsi="Palatino Linotype" w:cs="Arial"/>
          <w:b/>
          <w:i/>
          <w:sz w:val="22"/>
          <w:szCs w:val="22"/>
          <w:u w:val="single"/>
        </w:rPr>
        <w:t>Solo podrá ser clasificada excepcionalmente como reservada temporalmente por razones de interés público, en los términos de las causas legítimas y estrictamente necesarias previstas por esta Ley.</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91.</w:t>
      </w:r>
      <w:r w:rsidRPr="00C83848">
        <w:rPr>
          <w:rFonts w:ascii="Palatino Linotype" w:hAnsi="Palatino Linotype" w:cs="Arial"/>
          <w:i/>
          <w:sz w:val="22"/>
          <w:szCs w:val="22"/>
        </w:rPr>
        <w:t xml:space="preserve"> El acceso a la información pública será restringido excepcionalmente, cuando ésta sea clasificada como reservada o confidencial.</w:t>
      </w:r>
    </w:p>
    <w:p w:rsidR="00BF7E89" w:rsidRPr="00C83848" w:rsidRDefault="00BF7E89" w:rsidP="00BF7E89">
      <w:pPr>
        <w:tabs>
          <w:tab w:val="left" w:pos="709"/>
        </w:tabs>
        <w:ind w:left="567" w:right="567"/>
        <w:jc w:val="both"/>
        <w:rPr>
          <w:rFonts w:ascii="Palatino Linotype" w:hAnsi="Palatino Linotype" w:cs="Arial"/>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122.</w:t>
      </w:r>
      <w:r w:rsidRPr="00C83848">
        <w:rPr>
          <w:rFonts w:ascii="Palatino Linotype" w:hAnsi="Palatino Linotype" w:cs="Arial"/>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BF7E89" w:rsidRPr="00C83848" w:rsidRDefault="00BF7E89" w:rsidP="00BF7E89">
      <w:pPr>
        <w:tabs>
          <w:tab w:val="left" w:pos="709"/>
        </w:tabs>
        <w:ind w:left="567" w:right="567"/>
        <w:jc w:val="both"/>
        <w:rPr>
          <w:rFonts w:ascii="Palatino Linotype" w:hAnsi="Palatino Linotype" w:cs="Arial"/>
          <w:i/>
          <w:sz w:val="22"/>
          <w:szCs w:val="22"/>
          <w:highlight w:val="yellow"/>
        </w:rPr>
      </w:pPr>
      <w:r w:rsidRPr="00C83848">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BF7E89" w:rsidRPr="00C83848" w:rsidRDefault="00BF7E89" w:rsidP="00BF7E89">
      <w:pPr>
        <w:tabs>
          <w:tab w:val="left" w:pos="709"/>
        </w:tabs>
        <w:ind w:left="567" w:right="567"/>
        <w:jc w:val="both"/>
        <w:rPr>
          <w:rFonts w:ascii="Palatino Linotype" w:hAnsi="Palatino Linotype" w:cs="Arial"/>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125.</w:t>
      </w:r>
      <w:r w:rsidRPr="00C83848">
        <w:rPr>
          <w:rFonts w:ascii="Palatino Linotype" w:hAnsi="Palatino Linotype" w:cs="Arial"/>
          <w:i/>
          <w:sz w:val="22"/>
          <w:szCs w:val="22"/>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 xml:space="preserve">Los titulares de las áreas deberán determinar que el plazo de reserva sea el estrictamente necesario para proteger la información mientras subsistan las causas que dieron origen </w:t>
      </w:r>
      <w:r w:rsidRPr="00C83848">
        <w:rPr>
          <w:rFonts w:ascii="Palatino Linotype" w:hAnsi="Palatino Linotype" w:cs="Arial"/>
          <w:i/>
          <w:sz w:val="22"/>
          <w:szCs w:val="22"/>
        </w:rPr>
        <w:lastRenderedPageBreak/>
        <w:t>a la clasificación, salvaguardando el interés público protegido y tomarán en cuenta las razones que justifican el periodo de reserva establecido.</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BF7E89" w:rsidRDefault="00BF7E89" w:rsidP="00BF7E89">
      <w:pPr>
        <w:tabs>
          <w:tab w:val="left" w:pos="709"/>
        </w:tabs>
        <w:ind w:left="567" w:right="567"/>
        <w:jc w:val="both"/>
        <w:rPr>
          <w:rFonts w:ascii="Palatino Linotype" w:hAnsi="Palatino Linotype" w:cs="Arial"/>
          <w:b/>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135.</w:t>
      </w:r>
      <w:r w:rsidRPr="00C83848">
        <w:rPr>
          <w:rFonts w:ascii="Palatino Linotype" w:hAnsi="Palatino Linotype" w:cs="Arial"/>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BF7E89" w:rsidRPr="00C83848" w:rsidRDefault="00BF7E89" w:rsidP="00BF7E89">
      <w:pPr>
        <w:tabs>
          <w:tab w:val="left" w:pos="709"/>
        </w:tabs>
        <w:ind w:left="567" w:right="567"/>
        <w:jc w:val="both"/>
        <w:rPr>
          <w:rFonts w:ascii="Palatino Linotype" w:hAnsi="Palatino Linotype" w:cs="Arial"/>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140.</w:t>
      </w:r>
      <w:r w:rsidRPr="00C83848">
        <w:rPr>
          <w:rFonts w:ascii="Palatino Linotype" w:hAnsi="Palatino Linotype" w:cs="Arial"/>
          <w:i/>
          <w:sz w:val="22"/>
          <w:szCs w:val="22"/>
        </w:rPr>
        <w:t xml:space="preserve"> El acceso a la información pública será restringido excepcionalmente, cuando por razones de interés público, ésta sea clasificada como reservada, conforme a los criterios siguientes: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w:t>
      </w:r>
      <w:r w:rsidRPr="00C83848">
        <w:rPr>
          <w:rFonts w:ascii="Palatino Linotype" w:hAnsi="Palatino Linotype" w:cs="Arial"/>
          <w:i/>
          <w:sz w:val="22"/>
          <w:szCs w:val="22"/>
        </w:rPr>
        <w:t>. Comprometa la seguridad pública y cuente con un propósito genuino y un efecto demostrable;</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w:t>
      </w:r>
      <w:r w:rsidRPr="00C83848">
        <w:rPr>
          <w:rFonts w:ascii="Palatino Linotype" w:hAnsi="Palatino Linotype" w:cs="Arial"/>
          <w:i/>
          <w:sz w:val="22"/>
          <w:szCs w:val="22"/>
        </w:rPr>
        <w:t>. Pueda menoscabar la conducción de las negociaciones y relaciones internacionales;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III</w:t>
      </w:r>
      <w:r w:rsidRPr="00C83848">
        <w:rPr>
          <w:rFonts w:ascii="Palatino Linotype" w:hAnsi="Palatino Linotype" w:cs="Arial"/>
          <w:i/>
          <w:sz w:val="22"/>
          <w:szCs w:val="22"/>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IV</w:t>
      </w:r>
      <w:r w:rsidRPr="00C83848">
        <w:rPr>
          <w:rFonts w:ascii="Palatino Linotype" w:hAnsi="Palatino Linotype" w:cs="Arial"/>
          <w:i/>
          <w:sz w:val="22"/>
          <w:szCs w:val="22"/>
        </w:rPr>
        <w:t>. Ponga en riesgo la vida, la seguridad o la salud de una persona física;</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w:t>
      </w:r>
      <w:r w:rsidRPr="00C83848">
        <w:rPr>
          <w:rFonts w:ascii="Palatino Linotype" w:hAnsi="Palatino Linotype" w:cs="Arial"/>
          <w:i/>
          <w:sz w:val="22"/>
          <w:szCs w:val="22"/>
        </w:rPr>
        <w:t>. Aquella cuya divulgación obstruya o pueda causar un serio perjuicio a:</w:t>
      </w:r>
    </w:p>
    <w:p w:rsidR="00BF7E89" w:rsidRPr="00C83848" w:rsidRDefault="00BF7E89" w:rsidP="00BF7E89">
      <w:pPr>
        <w:tabs>
          <w:tab w:val="left" w:pos="709"/>
        </w:tabs>
        <w:ind w:left="851" w:right="567"/>
        <w:jc w:val="both"/>
        <w:rPr>
          <w:rFonts w:ascii="Palatino Linotype" w:hAnsi="Palatino Linotype" w:cs="Arial"/>
          <w:i/>
          <w:sz w:val="22"/>
          <w:szCs w:val="22"/>
        </w:rPr>
      </w:pPr>
      <w:r w:rsidRPr="00C83848">
        <w:rPr>
          <w:rFonts w:ascii="Palatino Linotype" w:hAnsi="Palatino Linotype" w:cs="Arial"/>
          <w:b/>
          <w:i/>
          <w:sz w:val="22"/>
          <w:szCs w:val="22"/>
        </w:rPr>
        <w:t>1</w:t>
      </w:r>
      <w:r w:rsidRPr="00C83848">
        <w:rPr>
          <w:rFonts w:ascii="Palatino Linotype" w:hAnsi="Palatino Linotype" w:cs="Arial"/>
          <w:i/>
          <w:sz w:val="22"/>
          <w:szCs w:val="22"/>
        </w:rPr>
        <w:t>. Las actividades de fiscalización, verificación, inspección, comprobación y auditoría sobre el cumplimiento de las Leyes; o</w:t>
      </w:r>
    </w:p>
    <w:p w:rsidR="00BF7E89" w:rsidRPr="00C83848" w:rsidRDefault="00BF7E89" w:rsidP="00BF7E89">
      <w:pPr>
        <w:tabs>
          <w:tab w:val="left" w:pos="709"/>
        </w:tabs>
        <w:ind w:left="851" w:right="567"/>
        <w:jc w:val="both"/>
        <w:rPr>
          <w:rFonts w:ascii="Palatino Linotype" w:hAnsi="Palatino Linotype" w:cs="Arial"/>
          <w:i/>
          <w:sz w:val="22"/>
          <w:szCs w:val="22"/>
        </w:rPr>
      </w:pPr>
      <w:r w:rsidRPr="00C83848">
        <w:rPr>
          <w:rFonts w:ascii="Palatino Linotype" w:hAnsi="Palatino Linotype" w:cs="Arial"/>
          <w:b/>
          <w:i/>
          <w:sz w:val="22"/>
          <w:szCs w:val="22"/>
        </w:rPr>
        <w:t>2</w:t>
      </w:r>
      <w:r w:rsidRPr="00C83848">
        <w:rPr>
          <w:rFonts w:ascii="Palatino Linotype" w:hAnsi="Palatino Linotype" w:cs="Arial"/>
          <w:i/>
          <w:sz w:val="22"/>
          <w:szCs w:val="22"/>
        </w:rPr>
        <w:t>. La recaudación de las contribuciones.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VI</w:t>
      </w:r>
      <w:r w:rsidRPr="00C83848">
        <w:rPr>
          <w:rFonts w:ascii="Palatino Linotype" w:hAnsi="Palatino Linotype" w:cs="Arial"/>
          <w:i/>
          <w:sz w:val="22"/>
          <w:szCs w:val="22"/>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lastRenderedPageBreak/>
        <w:t>VII</w:t>
      </w:r>
      <w:r w:rsidRPr="00C83848">
        <w:rPr>
          <w:rFonts w:ascii="Palatino Linotype" w:hAnsi="Palatino Linotype" w:cs="Arial"/>
          <w:i/>
          <w:sz w:val="22"/>
          <w:szCs w:val="22"/>
        </w:rPr>
        <w:t>. La que contengan las opiniones, recomendaciones o puntos de vista que formen parte del proceso deliberativo de los servidores públicos, hasta en tanto sea adoptada la decisión definitiva, la cual deberá estar documentada;</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VIII</w:t>
      </w:r>
      <w:r w:rsidRPr="00C83848">
        <w:rPr>
          <w:rFonts w:ascii="Palatino Linotype" w:hAnsi="Palatino Linotype" w:cs="Arial"/>
          <w:i/>
          <w:sz w:val="22"/>
          <w:szCs w:val="22"/>
        </w:rPr>
        <w:t>. Vulnere la conducción de los expedientes judiciales o de los procedimientos administrativos seguidos en forma de juicio, en tanto no hayan quedado firmes;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IX</w:t>
      </w:r>
      <w:r w:rsidRPr="00C83848">
        <w:rPr>
          <w:rFonts w:ascii="Palatino Linotype" w:hAnsi="Palatino Linotype" w:cs="Arial"/>
          <w:i/>
          <w:sz w:val="22"/>
          <w:szCs w:val="22"/>
        </w:rPr>
        <w:t>. Se encuentre contenida dentro de las investigaciones de hechos que la Ley señale como delitos y se tramiten ante el Ministerio Público;</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X</w:t>
      </w:r>
      <w:r w:rsidRPr="00C83848">
        <w:rPr>
          <w:rFonts w:ascii="Palatino Linotype" w:hAnsi="Palatino Linotype" w:cs="Arial"/>
          <w:i/>
          <w:sz w:val="22"/>
          <w:szCs w:val="22"/>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XI</w:t>
      </w:r>
      <w:r w:rsidRPr="00C83848">
        <w:rPr>
          <w:rFonts w:ascii="Palatino Linotype" w:hAnsi="Palatino Linotype" w:cs="Arial"/>
          <w:i/>
          <w:sz w:val="22"/>
          <w:szCs w:val="22"/>
        </w:rPr>
        <w:t>. Las que por disposición expresa de una ley tengan tal carácter, siempre que sean acordes con las bases, principios y disposiciones establecidos en esta Ley y no la contravengan; así como las previstas en tratados internacionales.</w:t>
      </w:r>
    </w:p>
    <w:p w:rsidR="00BF7E89" w:rsidRDefault="00BF7E89" w:rsidP="00BF7E89">
      <w:pPr>
        <w:tabs>
          <w:tab w:val="left" w:pos="709"/>
        </w:tabs>
        <w:ind w:left="567" w:right="567"/>
        <w:jc w:val="both"/>
        <w:rPr>
          <w:rFonts w:ascii="Palatino Linotype" w:hAnsi="Palatino Linotype" w:cs="Arial"/>
          <w:b/>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141.</w:t>
      </w:r>
      <w:r w:rsidRPr="00C83848">
        <w:rPr>
          <w:rFonts w:ascii="Palatino Linotype" w:hAnsi="Palatino Linotype" w:cs="Arial"/>
          <w:i/>
          <w:sz w:val="22"/>
          <w:szCs w:val="22"/>
        </w:rPr>
        <w:t xml:space="preserve"> Las causales de reserva previstas en este Capítulo se deberán fundar y motivar, a través de la aplicación de la prueba de daño a la que se hace referencia en el presente Título.</w:t>
      </w:r>
    </w:p>
    <w:p w:rsidR="00BF7E89" w:rsidRDefault="00BF7E89" w:rsidP="00BF7E89">
      <w:pPr>
        <w:tabs>
          <w:tab w:val="left" w:pos="709"/>
        </w:tabs>
        <w:ind w:left="567" w:right="567"/>
        <w:jc w:val="both"/>
        <w:rPr>
          <w:rFonts w:ascii="Palatino Linotype" w:hAnsi="Palatino Linotype" w:cs="Arial"/>
          <w:b/>
          <w:i/>
          <w:sz w:val="22"/>
          <w:szCs w:val="22"/>
        </w:rPr>
      </w:pP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142.</w:t>
      </w:r>
      <w:r w:rsidRPr="00C83848">
        <w:rPr>
          <w:rFonts w:ascii="Palatino Linotype" w:hAnsi="Palatino Linotype" w:cs="Arial"/>
          <w:i/>
          <w:sz w:val="22"/>
          <w:szCs w:val="22"/>
        </w:rPr>
        <w:t xml:space="preserve"> Bajo ninguna circunstancia podrá invocarse el carácter de reservado cuando:</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w:t>
      </w:r>
      <w:r w:rsidRPr="00C83848">
        <w:rPr>
          <w:rFonts w:ascii="Palatino Linotype" w:hAnsi="Palatino Linotype" w:cs="Arial"/>
          <w:i/>
          <w:sz w:val="22"/>
          <w:szCs w:val="22"/>
        </w:rPr>
        <w:t>. Se trate de violaciones graves de derechos humanos, calificada así por autoridad competente;</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w:t>
      </w:r>
      <w:r w:rsidRPr="00C83848">
        <w:rPr>
          <w:rFonts w:ascii="Palatino Linotype" w:hAnsi="Palatino Linotype" w:cs="Arial"/>
          <w:i/>
          <w:sz w:val="22"/>
          <w:szCs w:val="22"/>
        </w:rPr>
        <w:t>.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BF7E89" w:rsidRPr="00C83848" w:rsidRDefault="00BF7E89" w:rsidP="00BF7E89">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III</w:t>
      </w:r>
      <w:r w:rsidRPr="00C83848">
        <w:rPr>
          <w:rFonts w:ascii="Palatino Linotype" w:hAnsi="Palatino Linotype" w:cs="Arial"/>
          <w:i/>
          <w:sz w:val="22"/>
          <w:szCs w:val="22"/>
        </w:rPr>
        <w:t>.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BF7E89" w:rsidRPr="00CA1C2C" w:rsidRDefault="00BF7E89" w:rsidP="00BF7E89">
      <w:pPr>
        <w:tabs>
          <w:tab w:val="left" w:pos="709"/>
        </w:tabs>
        <w:ind w:left="567" w:right="567"/>
        <w:jc w:val="both"/>
        <w:rPr>
          <w:rFonts w:ascii="Palatino Linotype" w:hAnsi="Palatino Linotype" w:cs="Arial"/>
          <w:i/>
        </w:rPr>
      </w:pPr>
      <w:r w:rsidRPr="00C83848">
        <w:rPr>
          <w:rFonts w:ascii="Palatino Linotype" w:hAnsi="Palatino Linotype" w:cs="Arial"/>
          <w:b/>
          <w:i/>
          <w:sz w:val="22"/>
          <w:szCs w:val="22"/>
        </w:rPr>
        <w:t>IV</w:t>
      </w:r>
      <w:r w:rsidRPr="00C83848">
        <w:rPr>
          <w:rFonts w:ascii="Palatino Linotype" w:hAnsi="Palatino Linotype" w:cs="Arial"/>
          <w:i/>
          <w:sz w:val="22"/>
          <w:szCs w:val="22"/>
        </w:rPr>
        <w:t>. Se trate de información relacionada con actos de corrupción de conformidad con las disposiciones jurídicas aplicables</w:t>
      </w:r>
      <w:r w:rsidR="00F01C90" w:rsidRPr="00C83848">
        <w:rPr>
          <w:rFonts w:ascii="Palatino Linotype" w:hAnsi="Palatino Linotype" w:cs="Arial"/>
          <w:i/>
          <w:sz w:val="22"/>
          <w:szCs w:val="22"/>
        </w:rPr>
        <w:t>.</w:t>
      </w:r>
      <w:r w:rsidR="00F01C90">
        <w:rPr>
          <w:rFonts w:ascii="Palatino Linotype" w:hAnsi="Palatino Linotype" w:cs="Arial"/>
          <w:i/>
          <w:sz w:val="22"/>
          <w:szCs w:val="22"/>
        </w:rPr>
        <w:t>” (</w:t>
      </w:r>
      <w:r>
        <w:rPr>
          <w:rFonts w:ascii="Palatino Linotype" w:hAnsi="Palatino Linotype" w:cs="Arial"/>
          <w:i/>
          <w:sz w:val="22"/>
          <w:szCs w:val="22"/>
        </w:rPr>
        <w:t>Sic)</w:t>
      </w:r>
      <w:r w:rsidRPr="00C83848">
        <w:rPr>
          <w:rFonts w:ascii="Palatino Linotype" w:hAnsi="Palatino Linotype" w:cs="Arial"/>
          <w:i/>
          <w:sz w:val="22"/>
          <w:szCs w:val="22"/>
        </w:rPr>
        <w:cr/>
      </w:r>
    </w:p>
    <w:p w:rsidR="00BF7E89" w:rsidRDefault="00BF7E89" w:rsidP="00BF7E89">
      <w:pPr>
        <w:spacing w:line="360" w:lineRule="auto"/>
        <w:jc w:val="both"/>
        <w:rPr>
          <w:rFonts w:ascii="Palatino Linotype" w:hAnsi="Palatino Linotype" w:cs="Arial"/>
        </w:rPr>
      </w:pPr>
      <w:r w:rsidRPr="00B7032A">
        <w:rPr>
          <w:rFonts w:ascii="Palatino Linotype" w:hAnsi="Palatino Linotype" w:cs="Arial"/>
        </w:rPr>
        <w:t xml:space="preserve">De los artículos transcritos anteriormente, se observan las </w:t>
      </w:r>
      <w:r>
        <w:rPr>
          <w:rFonts w:ascii="Palatino Linotype" w:hAnsi="Palatino Linotype" w:cs="Arial"/>
        </w:rPr>
        <w:t xml:space="preserve">excepciones que tiene el derecho de acceso a la información pública, respecto a algunos tipos de información, </w:t>
      </w:r>
      <w:r>
        <w:rPr>
          <w:rFonts w:ascii="Palatino Linotype" w:hAnsi="Palatino Linotype" w:cs="Arial"/>
        </w:rPr>
        <w:lastRenderedPageBreak/>
        <w:t>lo cual restringe su acceso, precisándose de manera clara las hipótesis que dan lugar a clasificar la información, la cual puede ser</w:t>
      </w:r>
      <w:r w:rsidR="00F01C90">
        <w:rPr>
          <w:rFonts w:ascii="Palatino Linotype" w:hAnsi="Palatino Linotype" w:cs="Arial"/>
        </w:rPr>
        <w:t xml:space="preserve"> reservada.</w:t>
      </w:r>
    </w:p>
    <w:p w:rsidR="00BF7E89" w:rsidRDefault="00BF7E89" w:rsidP="00BF7E89">
      <w:pPr>
        <w:spacing w:line="360" w:lineRule="auto"/>
        <w:jc w:val="both"/>
        <w:rPr>
          <w:rFonts w:ascii="Palatino Linotype" w:hAnsi="Palatino Linotype" w:cs="Arial"/>
        </w:rPr>
      </w:pPr>
    </w:p>
    <w:p w:rsidR="00BF7E89" w:rsidRDefault="00BF7E89" w:rsidP="00BF7E89">
      <w:pPr>
        <w:spacing w:line="360" w:lineRule="auto"/>
        <w:jc w:val="both"/>
        <w:rPr>
          <w:rFonts w:ascii="Palatino Linotype" w:hAnsi="Palatino Linotype" w:cs="Arial"/>
        </w:rPr>
      </w:pPr>
      <w:r>
        <w:rPr>
          <w:rFonts w:ascii="Palatino Linotype" w:hAnsi="Palatino Linotype" w:cs="Arial"/>
        </w:rPr>
        <w:t xml:space="preserve">Así, la información reservada será cuando por razones de interés público comprometa la seguridad pública, menoscabe la conducción de las negociaciones y relaciones internacionales, ponga en riesgo la vida, seguridad y persona de una persona, pueda causar un serio perjuicio a las actividades de fiscalización y recaudación de contribuciones, que cause daño u obstruya la prevención o persecución de los delitos, </w:t>
      </w:r>
      <w:r w:rsidRPr="00F01C90">
        <w:rPr>
          <w:rFonts w:ascii="Palatino Linotype" w:hAnsi="Palatino Linotype" w:cs="Arial"/>
          <w:b/>
        </w:rPr>
        <w:t>vulnere la conducción de los expedientes judiciales o procedimientos administrativos seguidos en forma de juicio mientras no sean cosa juzgada</w:t>
      </w:r>
      <w:r>
        <w:rPr>
          <w:rFonts w:ascii="Palatino Linotype" w:hAnsi="Palatino Linotype" w:cs="Arial"/>
        </w:rPr>
        <w:t>, se encuentre contenida dentro de las investigaciones de hechos señalados por la ley como delito y se tramite ante el Ministerio Público y el daño que pudiera producirse con la publicación de la información sea mayor que el interés público de conocer la información.</w:t>
      </w:r>
    </w:p>
    <w:p w:rsidR="00BF7E89" w:rsidRDefault="00BF7E89" w:rsidP="00BF7E89">
      <w:pPr>
        <w:spacing w:line="360" w:lineRule="auto"/>
        <w:jc w:val="both"/>
        <w:rPr>
          <w:rFonts w:ascii="Palatino Linotype" w:hAnsi="Palatino Linotype" w:cs="Arial"/>
        </w:rPr>
      </w:pPr>
    </w:p>
    <w:p w:rsidR="00BF7E89" w:rsidRDefault="00BF7E89" w:rsidP="00BF7E89">
      <w:pPr>
        <w:spacing w:line="360" w:lineRule="auto"/>
        <w:jc w:val="both"/>
        <w:rPr>
          <w:rFonts w:ascii="Palatino Linotype" w:hAnsi="Palatino Linotype" w:cs="Arial"/>
        </w:rPr>
      </w:pPr>
      <w:r w:rsidRPr="003A569E">
        <w:rPr>
          <w:rFonts w:ascii="Palatino Linotype" w:hAnsi="Palatino Linotype" w:cs="Arial"/>
        </w:rPr>
        <w:t>De igual forma</w:t>
      </w:r>
      <w:r>
        <w:rPr>
          <w:rFonts w:ascii="Palatino Linotype" w:hAnsi="Palatino Linotype" w:cs="Arial"/>
        </w:rPr>
        <w:t>,</w:t>
      </w:r>
      <w:r w:rsidRPr="003A569E">
        <w:rPr>
          <w:rFonts w:ascii="Palatino Linotype" w:hAnsi="Palatino Linotype" w:cs="Arial"/>
        </w:rPr>
        <w:t xml:space="preserve"> </w:t>
      </w:r>
      <w:r>
        <w:rPr>
          <w:rFonts w:ascii="Palatino Linotype" w:hAnsi="Palatino Linotype" w:cs="Arial"/>
        </w:rPr>
        <w:t xml:space="preserve">para el caso de la información reservada </w:t>
      </w:r>
      <w:r w:rsidRPr="003A569E">
        <w:rPr>
          <w:rFonts w:ascii="Palatino Linotype" w:hAnsi="Palatino Linotype" w:cs="Arial"/>
        </w:rPr>
        <w:t xml:space="preserve">se aprecia, que se establece un procedimiento para clasificar la información, denominado prueba de daño, mediante el cual se </w:t>
      </w:r>
      <w:r>
        <w:rPr>
          <w:rFonts w:ascii="Palatino Linotype" w:hAnsi="Palatino Linotype" w:cs="Arial"/>
        </w:rPr>
        <w:t>fundamentará y motivará</w:t>
      </w:r>
      <w:r w:rsidRPr="003A569E">
        <w:rPr>
          <w:rFonts w:ascii="Palatino Linotype" w:hAnsi="Palatino Linotype" w:cs="Arial"/>
        </w:rPr>
        <w:t xml:space="preserve"> la necesidad de clasificar la información, en el que se precisen las causales que obliguen a la reserva de la información, así como el periodo en que estar</w:t>
      </w:r>
      <w:r>
        <w:rPr>
          <w:rFonts w:ascii="Palatino Linotype" w:hAnsi="Palatino Linotype" w:cs="Arial"/>
        </w:rPr>
        <w:t>á la información como reservada, lo que se consolida con lo señalado por el artículo 129 de la Ley en la Materia que indica:</w:t>
      </w:r>
    </w:p>
    <w:p w:rsidR="00BF7E89" w:rsidRDefault="00BF7E89" w:rsidP="00BF7E89">
      <w:pPr>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FA7C96">
        <w:rPr>
          <w:rFonts w:ascii="Palatino Linotype" w:hAnsi="Palatino Linotype" w:cs="Arial"/>
          <w:i/>
          <w:sz w:val="22"/>
          <w:szCs w:val="22"/>
        </w:rPr>
        <w:t>Artículo 129. En la aplicación de la prueba de daño, el sujeto obligado deberá precisar las razones objetivas por las que la apertura de la información generaría una afectación, justificando que:</w:t>
      </w:r>
    </w:p>
    <w:p w:rsidR="00BF7E89" w:rsidRDefault="00BF7E89" w:rsidP="00BF7E89">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lastRenderedPageBreak/>
        <w:t>I. La divulgación de la información representa un riesgo real, demostrable e identificable del perjuicio significativo al interés público o a la seguridad pública;</w:t>
      </w:r>
    </w:p>
    <w:p w:rsidR="00BF7E89" w:rsidRDefault="00BF7E89" w:rsidP="00BF7E89">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t>II. El riesgo de perjuicio que supondría la divulgación supera el interés público general de que se difunda; y</w:t>
      </w:r>
    </w:p>
    <w:p w:rsidR="00BF7E89" w:rsidRPr="00FA7C96" w:rsidRDefault="00BF7E89" w:rsidP="00BF7E89">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t>III. La limitación se adecua al principio de proporcionalidad y representa el medio menos restrictivo disponible representa el medio menos restrictivo disponible para evitar el perjuicio.</w:t>
      </w:r>
      <w:r>
        <w:rPr>
          <w:rFonts w:ascii="Palatino Linotype" w:hAnsi="Palatino Linotype" w:cs="Arial"/>
          <w:i/>
          <w:sz w:val="22"/>
          <w:szCs w:val="22"/>
        </w:rPr>
        <w:t>” (Sic)</w:t>
      </w:r>
    </w:p>
    <w:p w:rsidR="00BF7E89" w:rsidRPr="003A569E" w:rsidRDefault="00BF7E89" w:rsidP="00BF7E89">
      <w:pPr>
        <w:spacing w:line="360" w:lineRule="auto"/>
        <w:jc w:val="both"/>
        <w:rPr>
          <w:rFonts w:ascii="Palatino Linotype" w:hAnsi="Palatino Linotype" w:cs="Arial"/>
        </w:rPr>
      </w:pPr>
    </w:p>
    <w:p w:rsidR="00BF7E89" w:rsidRDefault="00BF7E89" w:rsidP="00BF7E89">
      <w:pPr>
        <w:spacing w:line="360" w:lineRule="auto"/>
        <w:jc w:val="both"/>
        <w:rPr>
          <w:rFonts w:ascii="Palatino Linotype" w:hAnsi="Palatino Linotype" w:cs="Arial"/>
        </w:rPr>
      </w:pPr>
      <w:r w:rsidRPr="003A569E">
        <w:rPr>
          <w:rFonts w:ascii="Palatino Linotype" w:hAnsi="Palatino Linotype" w:cs="Arial"/>
        </w:rPr>
        <w:t xml:space="preserve">Hechas estas precisiones, se advierte que el </w:t>
      </w:r>
      <w:r w:rsidRPr="005B6F67">
        <w:rPr>
          <w:rFonts w:ascii="Palatino Linotype" w:hAnsi="Palatino Linotype" w:cs="Arial"/>
          <w:b/>
        </w:rPr>
        <w:t>SUJETO OBLIGADO</w:t>
      </w:r>
      <w:r w:rsidRPr="003A569E">
        <w:rPr>
          <w:rFonts w:ascii="Palatino Linotype" w:hAnsi="Palatino Linotype" w:cs="Arial"/>
          <w:b/>
        </w:rPr>
        <w:t xml:space="preserve"> </w:t>
      </w:r>
      <w:r>
        <w:rPr>
          <w:rFonts w:ascii="Palatino Linotype" w:hAnsi="Palatino Linotype" w:cs="Arial"/>
        </w:rPr>
        <w:t xml:space="preserve">hizo del conocimiento del solicitante que </w:t>
      </w:r>
      <w:r w:rsidR="00F01C90">
        <w:rPr>
          <w:rFonts w:ascii="Palatino Linotype" w:hAnsi="Palatino Linotype" w:cs="Arial"/>
        </w:rPr>
        <w:t xml:space="preserve">el oficio número </w:t>
      </w:r>
      <w:r w:rsidR="00F01C90">
        <w:rPr>
          <w:rFonts w:ascii="Palatino Linotype" w:eastAsia="Calibri" w:hAnsi="Palatino Linotype" w:cs="Arial"/>
        </w:rPr>
        <w:t>PM/011/2022, contiene información que</w:t>
      </w:r>
      <w:r>
        <w:rPr>
          <w:rFonts w:ascii="Palatino Linotype" w:hAnsi="Palatino Linotype" w:cs="Arial"/>
        </w:rPr>
        <w:t xml:space="preserve"> es considerada como reservada</w:t>
      </w:r>
      <w:r w:rsidR="00F01C90">
        <w:rPr>
          <w:rFonts w:ascii="Palatino Linotype" w:hAnsi="Palatino Linotype" w:cs="Arial"/>
        </w:rPr>
        <w:t xml:space="preserve"> como el nombre</w:t>
      </w:r>
      <w:r w:rsidR="00910CC0">
        <w:rPr>
          <w:rFonts w:ascii="Palatino Linotype" w:hAnsi="Palatino Linotype" w:cs="Arial"/>
        </w:rPr>
        <w:t xml:space="preserve"> de una empresa y el número de juicio promovido por la misma</w:t>
      </w:r>
      <w:r w:rsidRPr="003A569E">
        <w:rPr>
          <w:rFonts w:ascii="Palatino Linotype" w:hAnsi="Palatino Linotype" w:cs="Arial"/>
        </w:rPr>
        <w:t xml:space="preserve">, como </w:t>
      </w:r>
      <w:r>
        <w:rPr>
          <w:rFonts w:ascii="Palatino Linotype" w:hAnsi="Palatino Linotype" w:cs="Arial"/>
        </w:rPr>
        <w:t xml:space="preserve">así fue autorizado en el acta </w:t>
      </w:r>
      <w:r w:rsidR="00910CC0">
        <w:rPr>
          <w:rFonts w:ascii="Palatino Linotype" w:eastAsia="Palatino Linotype" w:hAnsi="Palatino Linotype" w:cs="Palatino Linotype"/>
          <w:color w:val="000000"/>
        </w:rPr>
        <w:t xml:space="preserve">de la Septuagésima novena sesión extraordinaria del dieciséis de febrero del año 2022 </w:t>
      </w:r>
      <w:r>
        <w:rPr>
          <w:rFonts w:ascii="Palatino Linotype" w:hAnsi="Palatino Linotype" w:cs="Arial"/>
        </w:rPr>
        <w:t xml:space="preserve">del Sujeto Obligado, a través del cual se aprobó el acuerdo número </w:t>
      </w:r>
      <w:r w:rsidR="00910CC0">
        <w:rPr>
          <w:rFonts w:ascii="Palatino Linotype" w:hAnsi="Palatino Linotype" w:cs="Arial"/>
        </w:rPr>
        <w:t>AT/CT/02/2022</w:t>
      </w:r>
      <w:r>
        <w:rPr>
          <w:rFonts w:ascii="Palatino Linotype" w:hAnsi="Palatino Linotype" w:cs="Arial"/>
        </w:rPr>
        <w:t xml:space="preserve">, con el cual se aprobó la reserva </w:t>
      </w:r>
      <w:r w:rsidR="00910CC0">
        <w:rPr>
          <w:rFonts w:ascii="Palatino Linotype" w:hAnsi="Palatino Linotype" w:cs="Arial"/>
        </w:rPr>
        <w:t xml:space="preserve">del nombre de una empresa y el número de juicio promovido por la misma, </w:t>
      </w:r>
      <w:r>
        <w:rPr>
          <w:rFonts w:ascii="Palatino Linotype" w:hAnsi="Palatino Linotype" w:cs="Arial"/>
        </w:rPr>
        <w:t xml:space="preserve">por el termino de tres años, la cual fue remitida por el </w:t>
      </w:r>
      <w:r w:rsidR="00910CC0" w:rsidRPr="00910CC0">
        <w:rPr>
          <w:rFonts w:ascii="Palatino Linotype" w:hAnsi="Palatino Linotype" w:cs="Arial"/>
          <w:b/>
        </w:rPr>
        <w:t>SUJETO OBLIGADO</w:t>
      </w:r>
      <w:r w:rsidR="00910CC0">
        <w:rPr>
          <w:rFonts w:ascii="Palatino Linotype" w:hAnsi="Palatino Linotype" w:cs="Arial"/>
        </w:rPr>
        <w:t xml:space="preserve"> </w:t>
      </w:r>
      <w:r>
        <w:rPr>
          <w:rFonts w:ascii="Palatino Linotype" w:hAnsi="Palatino Linotype" w:cs="Arial"/>
        </w:rPr>
        <w:t xml:space="preserve">hasta el informe justificado; no obstante, como ya se ha dicho en el acta descrita, no se realizó una debida clasificación de la información, toda vez que el </w:t>
      </w:r>
      <w:r w:rsidRPr="004805E8">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no se sujetó al procedimiento establecido en la Ley de Transparencia de la materia y en los Lineamientos G</w:t>
      </w:r>
      <w:r w:rsidRPr="00242EF5">
        <w:rPr>
          <w:rFonts w:ascii="Palatino Linotype" w:hAnsi="Palatino Linotype" w:cs="Arial"/>
        </w:rPr>
        <w:t>enerales en materia de clasificación y desclasificación de la información, así como para la el</w:t>
      </w:r>
      <w:r>
        <w:rPr>
          <w:rFonts w:ascii="Palatino Linotype" w:hAnsi="Palatino Linotype" w:cs="Arial"/>
        </w:rPr>
        <w:t>aboración de versiones públicas; los cuales establecen que para clasificar la información como reservada debe realizarse una prueba de daño, en la que se</w:t>
      </w:r>
      <w:r w:rsidRPr="00B75B59">
        <w:rPr>
          <w:rFonts w:ascii="Palatino Linotype" w:hAnsi="Palatino Linotype" w:cs="Arial"/>
        </w:rPr>
        <w:t xml:space="preserve"> precisará el riesgo real, demostrable e identificable que generaría la divulgación de la información; el riesgo de perjuicio que supondría la divulgación, y que la limitación se adecua a</w:t>
      </w:r>
      <w:r>
        <w:rPr>
          <w:rFonts w:ascii="Palatino Linotype" w:hAnsi="Palatino Linotype" w:cs="Arial"/>
        </w:rPr>
        <w:t xml:space="preserve">l principio de proporcionalidad tal como se advierte a continuación: </w:t>
      </w:r>
    </w:p>
    <w:p w:rsidR="00BF7E89" w:rsidRDefault="00BF7E89" w:rsidP="00BF7E89">
      <w:pPr>
        <w:spacing w:line="360" w:lineRule="auto"/>
        <w:jc w:val="both"/>
        <w:rPr>
          <w:rFonts w:ascii="Palatino Linotype" w:hAnsi="Palatino Linotype" w:cs="Arial"/>
        </w:rPr>
      </w:pPr>
    </w:p>
    <w:p w:rsidR="00BF7E89" w:rsidRDefault="00BF7E89" w:rsidP="00BF7E89">
      <w:pPr>
        <w:spacing w:line="360" w:lineRule="auto"/>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152"/>
        <w:gridCol w:w="1263"/>
      </w:tblGrid>
      <w:tr w:rsidR="00BF7E89" w:rsidTr="00BF7E89">
        <w:tc>
          <w:tcPr>
            <w:tcW w:w="1413" w:type="dxa"/>
            <w:tcBorders>
              <w:top w:val="single" w:sz="4" w:space="0" w:color="000000"/>
              <w:left w:val="single" w:sz="4" w:space="0" w:color="000000"/>
              <w:bottom w:val="single" w:sz="4" w:space="0" w:color="000000"/>
              <w:right w:val="single" w:sz="4" w:space="0" w:color="000000"/>
            </w:tcBorders>
            <w:shd w:val="clear" w:color="auto" w:fill="7B7B7B"/>
          </w:tcPr>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18"/>
                <w:szCs w:val="18"/>
              </w:rPr>
              <w:t>Elementos del acuerdo de clasificación</w:t>
            </w:r>
          </w:p>
        </w:tc>
        <w:tc>
          <w:tcPr>
            <w:tcW w:w="6152" w:type="dxa"/>
            <w:tcBorders>
              <w:top w:val="single" w:sz="4" w:space="0" w:color="000000"/>
              <w:left w:val="single" w:sz="4" w:space="0" w:color="000000"/>
              <w:bottom w:val="single" w:sz="4" w:space="0" w:color="000000"/>
              <w:right w:val="single" w:sz="4" w:space="0" w:color="000000"/>
            </w:tcBorders>
            <w:shd w:val="clear" w:color="auto" w:fill="7B7B7B"/>
          </w:tcPr>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Contenido</w:t>
            </w:r>
          </w:p>
        </w:tc>
        <w:tc>
          <w:tcPr>
            <w:tcW w:w="1263" w:type="dxa"/>
            <w:tcBorders>
              <w:top w:val="single" w:sz="4" w:space="0" w:color="000000"/>
              <w:left w:val="single" w:sz="4" w:space="0" w:color="000000"/>
              <w:bottom w:val="single" w:sz="4" w:space="0" w:color="000000"/>
              <w:right w:val="single" w:sz="4" w:space="0" w:color="000000"/>
            </w:tcBorders>
            <w:shd w:val="clear" w:color="auto" w:fill="7B7B7B"/>
          </w:tcPr>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Cumple</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6152" w:type="dxa"/>
            <w:tcBorders>
              <w:top w:val="single" w:sz="4" w:space="0" w:color="000000"/>
              <w:left w:val="single" w:sz="4" w:space="0" w:color="000000"/>
              <w:bottom w:val="single" w:sz="4" w:space="0" w:color="000000"/>
              <w:right w:val="single" w:sz="4" w:space="0" w:color="000000"/>
            </w:tcBorders>
          </w:tcPr>
          <w:p w:rsidR="00BF7E89" w:rsidRDefault="00BF7E89" w:rsidP="00910CC0">
            <w:pPr>
              <w:spacing w:before="100" w:after="200" w:line="276" w:lineRule="auto"/>
              <w:rPr>
                <w:rFonts w:ascii="Calibri" w:eastAsia="Calibri" w:hAnsi="Calibri" w:cs="Calibri"/>
                <w:sz w:val="20"/>
                <w:szCs w:val="20"/>
              </w:rPr>
            </w:pPr>
            <w:r>
              <w:rPr>
                <w:noProof/>
                <w:lang w:val="en-US" w:eastAsia="en-US"/>
              </w:rPr>
              <mc:AlternateContent>
                <mc:Choice Requires="wps">
                  <w:drawing>
                    <wp:anchor distT="0" distB="0" distL="114300" distR="114300" simplePos="0" relativeHeight="251662336" behindDoc="0" locked="0" layoutInCell="1" hidden="0" allowOverlap="1" wp14:anchorId="03429EBD" wp14:editId="2DD07880">
                      <wp:simplePos x="0" y="0"/>
                      <wp:positionH relativeFrom="column">
                        <wp:posOffset>452755</wp:posOffset>
                      </wp:positionH>
                      <wp:positionV relativeFrom="paragraph">
                        <wp:posOffset>417195</wp:posOffset>
                      </wp:positionV>
                      <wp:extent cx="1193800" cy="135255"/>
                      <wp:effectExtent l="19050" t="19050" r="25400" b="17145"/>
                      <wp:wrapNone/>
                      <wp:docPr id="7" name="Rectángulo 7"/>
                      <wp:cNvGraphicFramePr/>
                      <a:graphic xmlns:a="http://schemas.openxmlformats.org/drawingml/2006/main">
                        <a:graphicData uri="http://schemas.microsoft.com/office/word/2010/wordprocessingShape">
                          <wps:wsp>
                            <wps:cNvSpPr/>
                            <wps:spPr>
                              <a:xfrm>
                                <a:off x="0" y="0"/>
                                <a:ext cx="1193800" cy="135255"/>
                              </a:xfrm>
                              <a:prstGeom prst="rect">
                                <a:avLst/>
                              </a:prstGeom>
                              <a:noFill/>
                              <a:ln w="28575" cap="flat" cmpd="sng">
                                <a:solidFill>
                                  <a:srgbClr val="002060"/>
                                </a:solidFill>
                                <a:prstDash val="solid"/>
                                <a:miter lim="800000"/>
                                <a:headEnd type="none" w="sm" len="sm"/>
                                <a:tailEnd type="none" w="sm" len="sm"/>
                              </a:ln>
                            </wps:spPr>
                            <wps:txbx>
                              <w:txbxContent>
                                <w:p w:rsidR="00BF7E89" w:rsidRDefault="00BF7E89" w:rsidP="00BF7E8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3429EBD" id="Rectángulo 7" o:spid="_x0000_s1026" style="position:absolute;margin-left:35.65pt;margin-top:32.85pt;width:94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" filled="f" strokecolor="#002060" strokeweight="2.25pt">
                      <v:stroke startarrowwidth="narrow" startarrowlength="short" endarrowwidth="narrow" endarrowlength="short"/>
                      <v:textbox inset="2.53958mm,2.53958mm,2.53958mm,2.53958mm">
                        <w:txbxContent>
                          <w:p w:rsidR="00BF7E89" w:rsidRDefault="00BF7E89" w:rsidP="00BF7E89">
                            <w:pPr>
                              <w:textDirection w:val="btLr"/>
                            </w:pPr>
                          </w:p>
                        </w:txbxContent>
                      </v:textbox>
                    </v:rect>
                  </w:pict>
                </mc:Fallback>
              </mc:AlternateContent>
            </w:r>
            <w:r>
              <w:rPr>
                <w:noProof/>
                <w:lang w:val="en-US" w:eastAsia="en-US"/>
              </w:rPr>
              <mc:AlternateContent>
                <mc:Choice Requires="wps">
                  <w:drawing>
                    <wp:anchor distT="0" distB="0" distL="114300" distR="114300" simplePos="0" relativeHeight="251661312" behindDoc="0" locked="0" layoutInCell="1" hidden="0" allowOverlap="1" wp14:anchorId="31AB970D" wp14:editId="1ECEA252">
                      <wp:simplePos x="0" y="0"/>
                      <wp:positionH relativeFrom="column">
                        <wp:posOffset>-313577</wp:posOffset>
                      </wp:positionH>
                      <wp:positionV relativeFrom="paragraph">
                        <wp:posOffset>-3096010</wp:posOffset>
                      </wp:positionV>
                      <wp:extent cx="1057275" cy="161925"/>
                      <wp:effectExtent l="0" t="0" r="0" b="0"/>
                      <wp:wrapNone/>
                      <wp:docPr id="56" name="Rectángulo 56"/>
                      <wp:cNvGraphicFramePr/>
                      <a:graphic xmlns:a="http://schemas.openxmlformats.org/drawingml/2006/main">
                        <a:graphicData uri="http://schemas.microsoft.com/office/word/2010/wordprocessingShape">
                          <wps:wsp>
                            <wps:cNvSpPr/>
                            <wps:spPr>
                              <a:xfrm>
                                <a:off x="0" y="0"/>
                                <a:ext cx="1057275" cy="161925"/>
                              </a:xfrm>
                              <a:prstGeom prst="rect">
                                <a:avLst/>
                              </a:prstGeom>
                              <a:noFill/>
                              <a:ln w="28575" cap="flat" cmpd="sng">
                                <a:solidFill>
                                  <a:srgbClr val="002060"/>
                                </a:solidFill>
                                <a:prstDash val="solid"/>
                                <a:miter lim="800000"/>
                                <a:headEnd type="none" w="sm" len="sm"/>
                                <a:tailEnd type="none" w="sm" len="sm"/>
                              </a:ln>
                            </wps:spPr>
                            <wps:txbx>
                              <w:txbxContent>
                                <w:p w:rsidR="00BF7E89" w:rsidRDefault="00BF7E89" w:rsidP="00BF7E89">
                                  <w:pPr>
                                    <w:textDirection w:val="btLr"/>
                                  </w:pPr>
                                </w:p>
                              </w:txbxContent>
                            </wps:txbx>
                            <wps:bodyPr spcFirstLastPara="1" wrap="square" lIns="91425" tIns="91425" rIns="91425" bIns="91425" anchor="ctr" anchorCtr="0">
                              <a:noAutofit/>
                            </wps:bodyPr>
                          </wps:wsp>
                        </a:graphicData>
                      </a:graphic>
                    </wp:anchor>
                  </w:drawing>
                </mc:Choice>
                <mc:Fallback>
                  <w:pict>
                    <v:rect w14:anchorId="31AB970D" id="Rectángulo 56" o:spid="_x0000_s1027" style="position:absolute;margin-left:-24.7pt;margin-top:-243.8pt;width:83.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" filled="f" strokecolor="#002060" strokeweight="2.25pt">
                      <v:stroke startarrowwidth="narrow" startarrowlength="short" endarrowwidth="narrow" endarrowlength="short"/>
                      <v:textbox inset="2.53958mm,2.53958mm,2.53958mm,2.53958mm">
                        <w:txbxContent>
                          <w:p w:rsidR="00BF7E89" w:rsidRDefault="00BF7E89" w:rsidP="00BF7E89">
                            <w:pPr>
                              <w:textDirection w:val="btLr"/>
                            </w:pPr>
                          </w:p>
                        </w:txbxContent>
                      </v:textbox>
                    </v:rect>
                  </w:pict>
                </mc:Fallback>
              </mc:AlternateContent>
            </w:r>
            <w:r w:rsidR="00910CC0">
              <w:rPr>
                <w:noProof/>
                <w:lang w:val="en-US" w:eastAsia="en-US"/>
              </w:rPr>
              <w:t xml:space="preserve"> </w:t>
            </w:r>
            <w:r w:rsidR="00910CC0">
              <w:rPr>
                <w:noProof/>
                <w:lang w:val="en-US" w:eastAsia="en-US"/>
              </w:rPr>
              <w:drawing>
                <wp:inline distT="0" distB="0" distL="0" distR="0" wp14:anchorId="275F717B" wp14:editId="603DD58A">
                  <wp:extent cx="3536950" cy="10922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141" t="49445" r="10546" b="22086"/>
                          <a:stretch/>
                        </pic:blipFill>
                        <pic:spPr bwMode="auto">
                          <a:xfrm>
                            <a:off x="0" y="0"/>
                            <a:ext cx="3536950" cy="1092200"/>
                          </a:xfrm>
                          <a:prstGeom prst="rect">
                            <a:avLst/>
                          </a:prstGeom>
                          <a:ln>
                            <a:noFill/>
                          </a:ln>
                          <a:extLst>
                            <a:ext uri="{53640926-AAD7-44D8-BBD7-CCE9431645EC}">
                              <a14:shadowObscured xmlns:a14="http://schemas.microsoft.com/office/drawing/2010/main"/>
                            </a:ext>
                          </a:extLst>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BF7E89" w:rsidRPr="00C52B76" w:rsidRDefault="00910CC0" w:rsidP="00BF7E89">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 xml:space="preserve">Sí </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6152" w:type="dxa"/>
            <w:tcBorders>
              <w:top w:val="single" w:sz="4" w:space="0" w:color="000000"/>
              <w:left w:val="single" w:sz="4" w:space="0" w:color="000000"/>
              <w:bottom w:val="single" w:sz="4" w:space="0" w:color="000000"/>
              <w:right w:val="single" w:sz="4" w:space="0" w:color="000000"/>
            </w:tcBorders>
          </w:tcPr>
          <w:p w:rsidR="00BF7E89" w:rsidRDefault="006366FA" w:rsidP="00BF7E89">
            <w:pPr>
              <w:spacing w:before="100" w:after="200" w:line="276" w:lineRule="auto"/>
              <w:jc w:val="center"/>
              <w:rPr>
                <w:rFonts w:ascii="Palatino Linotype" w:eastAsia="Palatino Linotype" w:hAnsi="Palatino Linotype" w:cs="Palatino Linotype"/>
              </w:rPr>
            </w:pPr>
            <w:r>
              <w:rPr>
                <w:noProof/>
                <w:lang w:val="en-US" w:eastAsia="en-US"/>
              </w:rPr>
              <w:drawing>
                <wp:inline distT="0" distB="0" distL="0" distR="0" wp14:anchorId="531634F3" wp14:editId="15FA33E2">
                  <wp:extent cx="3536950" cy="151765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141" t="49445" r="10546" b="22086"/>
                          <a:stretch/>
                        </pic:blipFill>
                        <pic:spPr bwMode="auto">
                          <a:xfrm>
                            <a:off x="0" y="0"/>
                            <a:ext cx="3536950" cy="1517650"/>
                          </a:xfrm>
                          <a:prstGeom prst="rect">
                            <a:avLst/>
                          </a:prstGeom>
                          <a:ln>
                            <a:noFill/>
                          </a:ln>
                          <a:extLst>
                            <a:ext uri="{53640926-AAD7-44D8-BBD7-CCE9431645EC}">
                              <a14:shadowObscured xmlns:a14="http://schemas.microsoft.com/office/drawing/2010/main"/>
                            </a:ext>
                          </a:extLst>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b/>
                <w:color w:val="000000"/>
                <w:sz w:val="18"/>
                <w:szCs w:val="18"/>
              </w:rPr>
            </w:pPr>
            <w:r w:rsidRPr="00C52B76">
              <w:rPr>
                <w:rFonts w:ascii="Palatino Linotype" w:eastAsia="Palatino Linotype" w:hAnsi="Palatino Linotype" w:cs="Palatino Linotype"/>
                <w:b/>
                <w:color w:val="000000"/>
                <w:sz w:val="18"/>
                <w:szCs w:val="18"/>
              </w:rPr>
              <w:t>Sí</w:t>
            </w:r>
          </w:p>
          <w:p w:rsidR="00BF7E89" w:rsidRPr="00C52B76" w:rsidRDefault="00BF7E89" w:rsidP="00EE2B16">
            <w:pPr>
              <w:spacing w:before="100" w:after="200" w:line="276" w:lineRule="auto"/>
              <w:jc w:val="both"/>
              <w:rPr>
                <w:rFonts w:ascii="Palatino Linotype" w:eastAsia="Palatino Linotype" w:hAnsi="Palatino Linotype" w:cs="Palatino Linotype"/>
                <w:b/>
                <w:color w:val="000000"/>
                <w:sz w:val="18"/>
                <w:szCs w:val="18"/>
              </w:rPr>
            </w:pPr>
            <w:r w:rsidRPr="00E4471E">
              <w:rPr>
                <w:rFonts w:ascii="Palatino Linotype" w:eastAsia="Palatino Linotype" w:hAnsi="Palatino Linotype" w:cs="Palatino Linotype"/>
                <w:b/>
                <w:color w:val="000000"/>
                <w:sz w:val="18"/>
                <w:szCs w:val="18"/>
              </w:rPr>
              <w:t xml:space="preserve">Pero no </w:t>
            </w:r>
            <w:r>
              <w:rPr>
                <w:rFonts w:ascii="Palatino Linotype" w:eastAsia="Palatino Linotype" w:hAnsi="Palatino Linotype" w:cs="Palatino Linotype"/>
                <w:b/>
                <w:color w:val="000000"/>
                <w:sz w:val="18"/>
                <w:szCs w:val="18"/>
              </w:rPr>
              <w:t xml:space="preserve">es </w:t>
            </w:r>
            <w:r w:rsidRPr="00E4471E">
              <w:rPr>
                <w:rFonts w:ascii="Palatino Linotype" w:eastAsia="Palatino Linotype" w:hAnsi="Palatino Linotype" w:cs="Palatino Linotype"/>
                <w:b/>
                <w:color w:val="000000"/>
                <w:sz w:val="18"/>
                <w:szCs w:val="18"/>
              </w:rPr>
              <w:t>aplicable al caso</w:t>
            </w:r>
            <w:r>
              <w:rPr>
                <w:rFonts w:ascii="Palatino Linotype" w:eastAsia="Palatino Linotype" w:hAnsi="Palatino Linotype" w:cs="Palatino Linotype"/>
                <w:b/>
                <w:color w:val="000000"/>
                <w:sz w:val="18"/>
                <w:szCs w:val="18"/>
              </w:rPr>
              <w:t xml:space="preserve"> que se analiza</w:t>
            </w:r>
            <w:r w:rsidR="00EE2B16">
              <w:rPr>
                <w:rFonts w:ascii="Palatino Linotype" w:eastAsia="Palatino Linotype" w:hAnsi="Palatino Linotype" w:cs="Palatino Linotype"/>
                <w:b/>
                <w:color w:val="000000"/>
                <w:sz w:val="18"/>
                <w:szCs w:val="18"/>
              </w:rPr>
              <w:t xml:space="preserve"> ya que entregar el nombre de la empresa como el número de juicio no vulnera el procedimiento o la estrategia tomada por dicha empresa en dicho juicio. </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6152" w:type="dxa"/>
            <w:tcBorders>
              <w:top w:val="single" w:sz="4" w:space="0" w:color="000000"/>
              <w:left w:val="single" w:sz="4" w:space="0" w:color="000000"/>
              <w:bottom w:val="single" w:sz="4" w:space="0" w:color="000000"/>
              <w:right w:val="single" w:sz="4" w:space="0" w:color="000000"/>
            </w:tcBorders>
          </w:tcPr>
          <w:p w:rsidR="00BF7E89" w:rsidRDefault="00EE2B16" w:rsidP="00BF7E89">
            <w:pPr>
              <w:spacing w:before="100" w:after="200" w:line="276" w:lineRule="auto"/>
              <w:rPr>
                <w:rFonts w:ascii="Calibri" w:eastAsia="Calibri" w:hAnsi="Calibri" w:cs="Calibri"/>
                <w:sz w:val="20"/>
                <w:szCs w:val="20"/>
              </w:rPr>
            </w:pPr>
            <w:r>
              <w:rPr>
                <w:noProof/>
                <w:lang w:val="en-US" w:eastAsia="en-US"/>
              </w:rPr>
              <w:drawing>
                <wp:inline distT="0" distB="0" distL="0" distR="0" wp14:anchorId="4877D955" wp14:editId="0457BAAD">
                  <wp:extent cx="3600450" cy="1111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434" t="37159" r="7683" b="34971"/>
                          <a:stretch/>
                        </pic:blipFill>
                        <pic:spPr bwMode="auto">
                          <a:xfrm>
                            <a:off x="0" y="0"/>
                            <a:ext cx="3600450" cy="1111250"/>
                          </a:xfrm>
                          <a:prstGeom prst="rect">
                            <a:avLst/>
                          </a:prstGeom>
                          <a:ln>
                            <a:noFill/>
                          </a:ln>
                          <a:extLst>
                            <a:ext uri="{53640926-AAD7-44D8-BBD7-CCE9431645EC}">
                              <a14:shadowObscured xmlns:a14="http://schemas.microsoft.com/office/drawing/2010/main"/>
                            </a:ext>
                          </a:extLst>
                        </pic:spPr>
                      </pic:pic>
                    </a:graphicData>
                  </a:graphic>
                </wp:inline>
              </w:drawing>
            </w:r>
          </w:p>
          <w:p w:rsidR="00BF7E89" w:rsidRDefault="00BF7E89" w:rsidP="00BF7E89">
            <w:pPr>
              <w:spacing w:before="100" w:after="200" w:line="276" w:lineRule="auto"/>
              <w:rPr>
                <w:rFonts w:ascii="Calibri" w:eastAsia="Calibri" w:hAnsi="Calibri"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BF7E89" w:rsidRPr="00C52B76" w:rsidRDefault="00BF7E89" w:rsidP="00BF7E89">
            <w:pPr>
              <w:spacing w:before="100" w:after="200" w:line="276" w:lineRule="auto"/>
              <w:jc w:val="center"/>
              <w:rPr>
                <w:rFonts w:ascii="Palatino Linotype" w:eastAsia="Palatino Linotype" w:hAnsi="Palatino Linotype" w:cs="Palatino Linotype"/>
                <w:b/>
                <w:color w:val="000000"/>
                <w:sz w:val="18"/>
                <w:szCs w:val="18"/>
              </w:rPr>
            </w:pPr>
            <w:r w:rsidRPr="00C52B76">
              <w:rPr>
                <w:rFonts w:ascii="Palatino Linotype" w:eastAsia="Palatino Linotype" w:hAnsi="Palatino Linotype" w:cs="Palatino Linotype"/>
                <w:b/>
                <w:color w:val="000000"/>
                <w:sz w:val="18"/>
                <w:szCs w:val="18"/>
              </w:rPr>
              <w:t>Sí</w:t>
            </w:r>
          </w:p>
          <w:p w:rsidR="00BF7E89" w:rsidRPr="00C52B76" w:rsidRDefault="00EE2B16" w:rsidP="00BF7E89">
            <w:pPr>
              <w:spacing w:before="100" w:after="200" w:line="276" w:lineRule="auto"/>
              <w:jc w:val="both"/>
              <w:rPr>
                <w:rFonts w:ascii="Palatino Linotype" w:eastAsia="Palatino Linotype" w:hAnsi="Palatino Linotype" w:cs="Palatino Linotype"/>
                <w:b/>
                <w:color w:val="000000"/>
                <w:sz w:val="18"/>
                <w:szCs w:val="18"/>
              </w:rPr>
            </w:pPr>
            <w:r w:rsidRPr="00E4471E">
              <w:rPr>
                <w:rFonts w:ascii="Palatino Linotype" w:eastAsia="Palatino Linotype" w:hAnsi="Palatino Linotype" w:cs="Palatino Linotype"/>
                <w:b/>
                <w:color w:val="000000"/>
                <w:sz w:val="18"/>
                <w:szCs w:val="18"/>
              </w:rPr>
              <w:t xml:space="preserve">Pero no </w:t>
            </w:r>
            <w:r>
              <w:rPr>
                <w:rFonts w:ascii="Palatino Linotype" w:eastAsia="Palatino Linotype" w:hAnsi="Palatino Linotype" w:cs="Palatino Linotype"/>
                <w:b/>
                <w:color w:val="000000"/>
                <w:sz w:val="18"/>
                <w:szCs w:val="18"/>
              </w:rPr>
              <w:t xml:space="preserve">es </w:t>
            </w:r>
            <w:r w:rsidRPr="00E4471E">
              <w:rPr>
                <w:rFonts w:ascii="Palatino Linotype" w:eastAsia="Palatino Linotype" w:hAnsi="Palatino Linotype" w:cs="Palatino Linotype"/>
                <w:b/>
                <w:color w:val="000000"/>
                <w:sz w:val="18"/>
                <w:szCs w:val="18"/>
              </w:rPr>
              <w:t>aplicable al caso</w:t>
            </w:r>
            <w:r>
              <w:rPr>
                <w:rFonts w:ascii="Palatino Linotype" w:eastAsia="Palatino Linotype" w:hAnsi="Palatino Linotype" w:cs="Palatino Linotype"/>
                <w:b/>
                <w:color w:val="000000"/>
                <w:sz w:val="18"/>
                <w:szCs w:val="18"/>
              </w:rPr>
              <w:t xml:space="preserve"> que se analiza ya que entregar el nombre de la empresa como el número de juicio no vulnera el procedimiento o la estrategia tomada por dicha empresa en dicho juicio. </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Fundamento y Motivación Legal</w:t>
            </w:r>
          </w:p>
        </w:tc>
        <w:tc>
          <w:tcPr>
            <w:tcW w:w="6152" w:type="dxa"/>
            <w:tcBorders>
              <w:top w:val="single" w:sz="4" w:space="0" w:color="000000"/>
              <w:left w:val="single" w:sz="4" w:space="0" w:color="000000"/>
              <w:bottom w:val="single" w:sz="4" w:space="0" w:color="000000"/>
              <w:right w:val="single" w:sz="4" w:space="0" w:color="000000"/>
            </w:tcBorders>
          </w:tcPr>
          <w:p w:rsidR="00EE2B16" w:rsidRDefault="00EE2B16" w:rsidP="00BF7E89">
            <w:pPr>
              <w:spacing w:before="100" w:after="200" w:line="276" w:lineRule="auto"/>
              <w:rPr>
                <w:noProof/>
                <w:lang w:val="en-US" w:eastAsia="en-US"/>
              </w:rPr>
            </w:pPr>
          </w:p>
          <w:p w:rsidR="00BF7E89" w:rsidRDefault="00EE2B16" w:rsidP="00BF7E89">
            <w:pPr>
              <w:spacing w:before="100" w:after="200" w:line="276" w:lineRule="auto"/>
              <w:rPr>
                <w:rFonts w:ascii="Calibri" w:eastAsia="Calibri" w:hAnsi="Calibri" w:cs="Calibri"/>
                <w:sz w:val="20"/>
                <w:szCs w:val="20"/>
              </w:rPr>
            </w:pPr>
            <w:r>
              <w:rPr>
                <w:noProof/>
                <w:lang w:val="en-US" w:eastAsia="en-US"/>
              </w:rPr>
              <w:drawing>
                <wp:inline distT="0" distB="0" distL="0" distR="0" wp14:anchorId="5948DC2F" wp14:editId="1E9DE5ED">
                  <wp:extent cx="3409950" cy="15176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375" t="38957" r="11051" b="47858"/>
                          <a:stretch/>
                        </pic:blipFill>
                        <pic:spPr bwMode="auto">
                          <a:xfrm>
                            <a:off x="0" y="0"/>
                            <a:ext cx="3409950" cy="1517650"/>
                          </a:xfrm>
                          <a:prstGeom prst="rect">
                            <a:avLst/>
                          </a:prstGeom>
                          <a:ln>
                            <a:noFill/>
                          </a:ln>
                          <a:extLst>
                            <a:ext uri="{53640926-AAD7-44D8-BBD7-CCE9431645EC}">
                              <a14:shadowObscured xmlns:a14="http://schemas.microsoft.com/office/drawing/2010/main"/>
                            </a:ext>
                          </a:extLst>
                        </pic:spPr>
                      </pic:pic>
                    </a:graphicData>
                  </a:graphic>
                </wp:inline>
              </w:drawing>
            </w:r>
          </w:p>
          <w:p w:rsidR="00BF7E89" w:rsidRDefault="00BF7E89" w:rsidP="00BF7E89">
            <w:pPr>
              <w:spacing w:before="100" w:after="200" w:line="276" w:lineRule="auto"/>
              <w:rPr>
                <w:rFonts w:ascii="Calibri" w:eastAsia="Calibri" w:hAnsi="Calibri"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BF7E89" w:rsidRPr="006B0AE4" w:rsidRDefault="00BF7E89" w:rsidP="006B0AE4">
            <w:pPr>
              <w:spacing w:before="100" w:after="200"/>
              <w:contextualSpacing/>
              <w:jc w:val="both"/>
              <w:rPr>
                <w:rFonts w:ascii="Palatino Linotype" w:eastAsia="Palatino Linotype" w:hAnsi="Palatino Linotype" w:cs="Palatino Linotype"/>
                <w:sz w:val="18"/>
                <w:szCs w:val="18"/>
              </w:rPr>
            </w:pPr>
            <w:r w:rsidRPr="006B0AE4">
              <w:rPr>
                <w:rFonts w:ascii="Palatino Linotype" w:eastAsia="Palatino Linotype" w:hAnsi="Palatino Linotype" w:cs="Palatino Linotype"/>
                <w:sz w:val="18"/>
                <w:szCs w:val="18"/>
              </w:rPr>
              <w:t xml:space="preserve">No </w:t>
            </w:r>
          </w:p>
          <w:p w:rsidR="00BF7E89" w:rsidRDefault="00C37DFF" w:rsidP="006B0AE4">
            <w:pPr>
              <w:spacing w:before="100" w:after="200"/>
              <w:contextualSpacing/>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w:t>
            </w:r>
            <w:r w:rsidR="00BF7E89">
              <w:rPr>
                <w:rFonts w:ascii="Palatino Linotype" w:eastAsia="Palatino Linotype" w:hAnsi="Palatino Linotype" w:cs="Palatino Linotype"/>
                <w:sz w:val="18"/>
                <w:szCs w:val="18"/>
              </w:rPr>
              <w:t>a información no encuadra en las hipótesis indicadas por el artícu</w:t>
            </w:r>
            <w:r>
              <w:rPr>
                <w:rFonts w:ascii="Palatino Linotype" w:eastAsia="Palatino Linotype" w:hAnsi="Palatino Linotype" w:cs="Palatino Linotype"/>
                <w:sz w:val="18"/>
                <w:szCs w:val="18"/>
              </w:rPr>
              <w:t xml:space="preserve">lo 140 de la Ley de la Materia, </w:t>
            </w:r>
            <w:r w:rsidR="006B0AE4" w:rsidRPr="006B0AE4">
              <w:rPr>
                <w:rFonts w:ascii="Palatino Linotype" w:eastAsia="Palatino Linotype" w:hAnsi="Palatino Linotype" w:cs="Palatino Linotype"/>
                <w:sz w:val="18"/>
                <w:szCs w:val="18"/>
              </w:rPr>
              <w:t xml:space="preserve">ya que entregar el nombre de la empresa como el número de juicio no vulnera el procedimiento o la estrategia tomada por </w:t>
            </w:r>
            <w:r w:rsidR="006B0AE4" w:rsidRPr="006B0AE4">
              <w:rPr>
                <w:rFonts w:ascii="Palatino Linotype" w:eastAsia="Palatino Linotype" w:hAnsi="Palatino Linotype" w:cs="Palatino Linotype"/>
                <w:sz w:val="18"/>
                <w:szCs w:val="18"/>
              </w:rPr>
              <w:lastRenderedPageBreak/>
              <w:t>dicha empresa en dicho juicio.</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6152" w:type="dxa"/>
            <w:tcBorders>
              <w:top w:val="single" w:sz="4" w:space="0" w:color="000000"/>
              <w:left w:val="single" w:sz="4" w:space="0" w:color="000000"/>
              <w:bottom w:val="single" w:sz="4" w:space="0" w:color="000000"/>
              <w:right w:val="single" w:sz="4" w:space="0" w:color="000000"/>
            </w:tcBorders>
          </w:tcPr>
          <w:p w:rsidR="00BF7E89" w:rsidRDefault="00C37DFF" w:rsidP="00BF7E89">
            <w:pPr>
              <w:spacing w:before="100" w:after="200" w:line="276" w:lineRule="auto"/>
              <w:rPr>
                <w:rFonts w:ascii="Calibri" w:eastAsia="Calibri" w:hAnsi="Calibri" w:cs="Calibri"/>
                <w:sz w:val="20"/>
                <w:szCs w:val="20"/>
              </w:rPr>
            </w:pPr>
            <w:r>
              <w:rPr>
                <w:noProof/>
                <w:lang w:val="en-US" w:eastAsia="en-US"/>
              </w:rPr>
              <w:drawing>
                <wp:inline distT="0" distB="0" distL="0" distR="0" wp14:anchorId="08BA6DBA" wp14:editId="2D81E12A">
                  <wp:extent cx="3390900" cy="2063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592" t="19478" r="34130" b="8301"/>
                          <a:stretch/>
                        </pic:blipFill>
                        <pic:spPr bwMode="auto">
                          <a:xfrm>
                            <a:off x="0" y="0"/>
                            <a:ext cx="3390900" cy="2063750"/>
                          </a:xfrm>
                          <a:prstGeom prst="rect">
                            <a:avLst/>
                          </a:prstGeom>
                          <a:ln>
                            <a:noFill/>
                          </a:ln>
                          <a:extLst>
                            <a:ext uri="{53640926-AAD7-44D8-BBD7-CCE9431645EC}">
                              <a14:shadowObscured xmlns:a14="http://schemas.microsoft.com/office/drawing/2010/main"/>
                            </a:ext>
                          </a:extLst>
                        </pic:spPr>
                      </pic:pic>
                    </a:graphicData>
                  </a:graphic>
                </wp:inline>
              </w:drawing>
            </w:r>
          </w:p>
          <w:p w:rsidR="00BF7E89" w:rsidRDefault="00BF7E89" w:rsidP="00BF7E89">
            <w:pPr>
              <w:spacing w:before="100" w:after="200" w:line="276" w:lineRule="auto"/>
              <w:rPr>
                <w:rFonts w:ascii="Calibri" w:eastAsia="Calibri" w:hAnsi="Calibri" w:cs="Calibri"/>
                <w:sz w:val="20"/>
                <w:szCs w:val="20"/>
              </w:rPr>
            </w:pPr>
          </w:p>
          <w:p w:rsidR="00BF7E89" w:rsidRDefault="00BF7E89" w:rsidP="00BF7E89">
            <w:pPr>
              <w:spacing w:before="100" w:after="200" w:line="276" w:lineRule="auto"/>
            </w:pPr>
          </w:p>
          <w:p w:rsidR="00BF7E89" w:rsidRDefault="00BF7E89" w:rsidP="00BF7E89">
            <w:pPr>
              <w:spacing w:before="100" w:after="200" w:line="276" w:lineRule="auto"/>
              <w:rPr>
                <w:rFonts w:ascii="Calibri" w:eastAsia="Calibri" w:hAnsi="Calibri"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rsidR="00BF7E89" w:rsidRPr="006B0AE4" w:rsidRDefault="00BF7E89" w:rsidP="006B0AE4">
            <w:pPr>
              <w:spacing w:before="100" w:after="200" w:line="276" w:lineRule="auto"/>
              <w:jc w:val="both"/>
              <w:rPr>
                <w:rFonts w:ascii="Palatino Linotype" w:eastAsia="Palatino Linotype" w:hAnsi="Palatino Linotype" w:cs="Palatino Linotype"/>
                <w:sz w:val="18"/>
                <w:szCs w:val="18"/>
              </w:rPr>
            </w:pPr>
            <w:r w:rsidRPr="006B0AE4">
              <w:rPr>
                <w:rFonts w:ascii="Palatino Linotype" w:eastAsia="Palatino Linotype" w:hAnsi="Palatino Linotype" w:cs="Palatino Linotype"/>
                <w:sz w:val="18"/>
                <w:szCs w:val="18"/>
              </w:rPr>
              <w:t>No</w:t>
            </w:r>
          </w:p>
          <w:p w:rsidR="00BF7E89" w:rsidRPr="006B0AE4" w:rsidRDefault="00C37DFF" w:rsidP="006B0AE4">
            <w:pPr>
              <w:spacing w:before="100" w:after="200"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w:t>
            </w:r>
            <w:r w:rsidR="00BF7E89">
              <w:rPr>
                <w:rFonts w:ascii="Palatino Linotype" w:eastAsia="Palatino Linotype" w:hAnsi="Palatino Linotype" w:cs="Palatino Linotype"/>
                <w:sz w:val="18"/>
                <w:szCs w:val="18"/>
              </w:rPr>
              <w:t>a información no encuadra en las hipótesis indicadas por el artículo 140 de la Ley d</w:t>
            </w:r>
            <w:r>
              <w:rPr>
                <w:rFonts w:ascii="Palatino Linotype" w:eastAsia="Palatino Linotype" w:hAnsi="Palatino Linotype" w:cs="Palatino Linotype"/>
                <w:sz w:val="18"/>
                <w:szCs w:val="18"/>
              </w:rPr>
              <w:t xml:space="preserve">e la Materia, </w:t>
            </w:r>
            <w:r w:rsidR="006B0AE4" w:rsidRPr="006B0AE4">
              <w:rPr>
                <w:rFonts w:ascii="Palatino Linotype" w:eastAsia="Palatino Linotype" w:hAnsi="Palatino Linotype" w:cs="Palatino Linotype"/>
                <w:sz w:val="18"/>
                <w:szCs w:val="18"/>
              </w:rPr>
              <w:t>ya que entregar el nombre de la empresa como el número de juicio no vulnera el procedimiento o la estrategia tomada por dicha empresa en dicho juicio.</w:t>
            </w:r>
          </w:p>
        </w:tc>
      </w:tr>
      <w:tr w:rsidR="00BF7E89" w:rsidTr="00BF7E89">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BF7E89" w:rsidRDefault="00BF7E89" w:rsidP="00BF7E89">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sz w:val="22"/>
                <w:szCs w:val="22"/>
              </w:rPr>
              <w:t>Elementos de la prueba de daño</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Riesgo Real, Demostrable e Identificable</w:t>
            </w:r>
          </w:p>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(Modo, Tiempo y Lugar)</w:t>
            </w:r>
          </w:p>
        </w:tc>
        <w:tc>
          <w:tcPr>
            <w:tcW w:w="6152" w:type="dxa"/>
            <w:tcBorders>
              <w:top w:val="single" w:sz="4" w:space="0" w:color="000000"/>
              <w:left w:val="single" w:sz="4" w:space="0" w:color="000000"/>
              <w:bottom w:val="single" w:sz="4" w:space="0" w:color="000000"/>
              <w:right w:val="single" w:sz="4" w:space="0" w:color="000000"/>
            </w:tcBorders>
          </w:tcPr>
          <w:p w:rsidR="00BF7E89" w:rsidRDefault="00C37DFF" w:rsidP="00BF7E89">
            <w:pPr>
              <w:spacing w:before="100" w:after="200" w:line="276" w:lineRule="auto"/>
              <w:jc w:val="center"/>
              <w:rPr>
                <w:rFonts w:ascii="Palatino Linotype" w:eastAsia="Palatino Linotype" w:hAnsi="Palatino Linotype" w:cs="Palatino Linotype"/>
                <w:b/>
                <w:color w:val="FFFFFF"/>
                <w:sz w:val="22"/>
                <w:szCs w:val="22"/>
              </w:rPr>
            </w:pPr>
            <w:r>
              <w:rPr>
                <w:noProof/>
                <w:lang w:val="en-US" w:eastAsia="en-US"/>
              </w:rPr>
              <w:drawing>
                <wp:inline distT="0" distB="0" distL="0" distR="0" wp14:anchorId="36AC90DB" wp14:editId="697D71AE">
                  <wp:extent cx="2882900" cy="2419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384" t="19478" r="45586"/>
                          <a:stretch/>
                        </pic:blipFill>
                        <pic:spPr bwMode="auto">
                          <a:xfrm>
                            <a:off x="0" y="0"/>
                            <a:ext cx="2882900" cy="2419350"/>
                          </a:xfrm>
                          <a:prstGeom prst="rect">
                            <a:avLst/>
                          </a:prstGeom>
                          <a:ln>
                            <a:noFill/>
                          </a:ln>
                          <a:extLst>
                            <a:ext uri="{53640926-AAD7-44D8-BBD7-CCE9431645EC}">
                              <a14:shadowObscured xmlns:a14="http://schemas.microsoft.com/office/drawing/2010/main"/>
                            </a:ext>
                          </a:extLst>
                        </pic:spPr>
                      </pic:pic>
                    </a:graphicData>
                  </a:graphic>
                </wp:inline>
              </w:drawing>
            </w:r>
          </w:p>
          <w:p w:rsidR="00C37DFF" w:rsidRDefault="00C37DFF" w:rsidP="00BF7E89">
            <w:pPr>
              <w:spacing w:before="100" w:after="200" w:line="276" w:lineRule="auto"/>
              <w:jc w:val="center"/>
              <w:rPr>
                <w:noProof/>
                <w:lang w:val="en-US" w:eastAsia="en-US"/>
              </w:rPr>
            </w:pPr>
          </w:p>
          <w:p w:rsidR="00BF7E89" w:rsidRDefault="00C37DFF" w:rsidP="00BF7E89">
            <w:pPr>
              <w:spacing w:before="100" w:after="200" w:line="276" w:lineRule="auto"/>
              <w:jc w:val="center"/>
              <w:rPr>
                <w:rFonts w:ascii="Palatino Linotype" w:eastAsia="Palatino Linotype" w:hAnsi="Palatino Linotype" w:cs="Palatino Linotype"/>
                <w:b/>
                <w:color w:val="FFFFFF"/>
                <w:sz w:val="22"/>
                <w:szCs w:val="22"/>
              </w:rPr>
            </w:pPr>
            <w:r>
              <w:rPr>
                <w:noProof/>
                <w:lang w:val="en-US" w:eastAsia="en-US"/>
              </w:rPr>
              <w:drawing>
                <wp:inline distT="0" distB="0" distL="0" distR="0" wp14:anchorId="73E98C66" wp14:editId="7BE2B3DB">
                  <wp:extent cx="3200400" cy="1587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868" t="43153" r="45418" b="12196"/>
                          <a:stretch/>
                        </pic:blipFill>
                        <pic:spPr bwMode="auto">
                          <a:xfrm>
                            <a:off x="0" y="0"/>
                            <a:ext cx="3200400" cy="1587500"/>
                          </a:xfrm>
                          <a:prstGeom prst="rect">
                            <a:avLst/>
                          </a:prstGeom>
                          <a:ln>
                            <a:noFill/>
                          </a:ln>
                          <a:extLst>
                            <a:ext uri="{53640926-AAD7-44D8-BBD7-CCE9431645EC}">
                              <a14:shadowObscured xmlns:a14="http://schemas.microsoft.com/office/drawing/2010/main"/>
                            </a:ext>
                          </a:extLst>
                        </pic:spPr>
                      </pic:pic>
                    </a:graphicData>
                  </a:graphic>
                </wp:inline>
              </w:drawing>
            </w:r>
          </w:p>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p>
        </w:tc>
        <w:tc>
          <w:tcPr>
            <w:tcW w:w="1263" w:type="dxa"/>
            <w:tcBorders>
              <w:top w:val="single" w:sz="4" w:space="0" w:color="000000"/>
              <w:left w:val="single" w:sz="4" w:space="0" w:color="000000"/>
              <w:bottom w:val="single" w:sz="4" w:space="0" w:color="000000"/>
              <w:right w:val="single" w:sz="4" w:space="0" w:color="000000"/>
            </w:tcBorders>
          </w:tcPr>
          <w:p w:rsidR="00BF7E89" w:rsidRPr="00B7587C" w:rsidRDefault="00BF7E89" w:rsidP="00BF7E89">
            <w:pPr>
              <w:spacing w:before="100" w:after="200" w:line="276" w:lineRule="auto"/>
              <w:jc w:val="both"/>
              <w:rPr>
                <w:rFonts w:ascii="Palatino Linotype" w:eastAsia="Palatino Linotype" w:hAnsi="Palatino Linotype" w:cs="Palatino Linotype"/>
                <w:b/>
                <w:color w:val="000000"/>
                <w:sz w:val="16"/>
                <w:szCs w:val="16"/>
              </w:rPr>
            </w:pPr>
            <w:r w:rsidRPr="00B7587C">
              <w:rPr>
                <w:rFonts w:ascii="Palatino Linotype" w:eastAsia="Palatino Linotype" w:hAnsi="Palatino Linotype" w:cs="Palatino Linotype"/>
                <w:b/>
                <w:color w:val="000000"/>
                <w:sz w:val="16"/>
                <w:szCs w:val="16"/>
              </w:rPr>
              <w:t>No cumple las formalidades de la Ley.</w:t>
            </w:r>
          </w:p>
          <w:p w:rsidR="00BF7E89" w:rsidRPr="00E4471E" w:rsidRDefault="00BF7E89" w:rsidP="00BF7E89">
            <w:pPr>
              <w:spacing w:before="100" w:after="200" w:line="276" w:lineRule="auto"/>
              <w:jc w:val="both"/>
              <w:rPr>
                <w:rFonts w:ascii="Palatino Linotype" w:eastAsia="Palatino Linotype" w:hAnsi="Palatino Linotype" w:cs="Palatino Linotype"/>
                <w:b/>
                <w:color w:val="FFFFFF"/>
                <w:sz w:val="20"/>
                <w:szCs w:val="20"/>
              </w:rPr>
            </w:pPr>
            <w:r w:rsidRPr="00B7587C">
              <w:rPr>
                <w:rFonts w:ascii="Palatino Linotype" w:eastAsia="Palatino Linotype" w:hAnsi="Palatino Linotype" w:cs="Palatino Linotype"/>
                <w:b/>
                <w:color w:val="000000"/>
                <w:sz w:val="16"/>
                <w:szCs w:val="16"/>
              </w:rPr>
              <w:t xml:space="preserve">Máxime que no aplicable al caso que se analiza </w:t>
            </w:r>
            <w:r w:rsidR="006B0AE4" w:rsidRPr="006B0AE4">
              <w:rPr>
                <w:rFonts w:ascii="Palatino Linotype" w:eastAsia="Palatino Linotype" w:hAnsi="Palatino Linotype" w:cs="Palatino Linotype"/>
                <w:b/>
                <w:color w:val="000000"/>
                <w:sz w:val="16"/>
                <w:szCs w:val="16"/>
              </w:rPr>
              <w:t>ya que entregar el nombre de la empresa como el número de juicio no vulnera el procedimiento o la estrategia tomada por dicha empresa en dicho juicio.</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Temporalidad de la Reserva de la información</w:t>
            </w:r>
          </w:p>
        </w:tc>
        <w:tc>
          <w:tcPr>
            <w:tcW w:w="6152" w:type="dxa"/>
            <w:tcBorders>
              <w:top w:val="single" w:sz="4" w:space="0" w:color="000000"/>
              <w:left w:val="single" w:sz="4" w:space="0" w:color="000000"/>
              <w:bottom w:val="single" w:sz="4" w:space="0" w:color="000000"/>
              <w:right w:val="single" w:sz="4" w:space="0" w:color="000000"/>
            </w:tcBorders>
          </w:tcPr>
          <w:p w:rsidR="00C37DFF" w:rsidRDefault="00C37DFF" w:rsidP="00BF7E89">
            <w:pPr>
              <w:spacing w:before="100" w:after="200" w:line="276" w:lineRule="auto"/>
              <w:jc w:val="center"/>
              <w:rPr>
                <w:noProof/>
                <w:lang w:val="en-US" w:eastAsia="en-US"/>
              </w:rPr>
            </w:pPr>
          </w:p>
          <w:p w:rsidR="00BF7E89" w:rsidRDefault="00C37DFF" w:rsidP="00BF7E89">
            <w:pPr>
              <w:spacing w:before="100" w:after="200" w:line="276" w:lineRule="auto"/>
              <w:jc w:val="center"/>
              <w:rPr>
                <w:rFonts w:ascii="Palatino Linotype" w:eastAsia="Palatino Linotype" w:hAnsi="Palatino Linotype" w:cs="Palatino Linotype"/>
                <w:b/>
                <w:color w:val="FFFFFF"/>
                <w:sz w:val="22"/>
                <w:szCs w:val="22"/>
              </w:rPr>
            </w:pPr>
            <w:r>
              <w:rPr>
                <w:noProof/>
                <w:lang w:val="en-US" w:eastAsia="en-US"/>
              </w:rPr>
              <w:drawing>
                <wp:inline distT="0" distB="0" distL="0" distR="0" wp14:anchorId="6A0F607F" wp14:editId="1DC19E01">
                  <wp:extent cx="3368842" cy="508000"/>
                  <wp:effectExtent l="0" t="0" r="317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145" t="61133" r="49629" b="33173"/>
                          <a:stretch/>
                        </pic:blipFill>
                        <pic:spPr bwMode="auto">
                          <a:xfrm>
                            <a:off x="0" y="0"/>
                            <a:ext cx="3372443" cy="508543"/>
                          </a:xfrm>
                          <a:prstGeom prst="rect">
                            <a:avLst/>
                          </a:prstGeom>
                          <a:ln>
                            <a:noFill/>
                          </a:ln>
                          <a:extLst>
                            <a:ext uri="{53640926-AAD7-44D8-BBD7-CCE9431645EC}">
                              <a14:shadowObscured xmlns:a14="http://schemas.microsoft.com/office/drawing/2010/main"/>
                            </a:ext>
                          </a:extLst>
                        </pic:spPr>
                      </pic:pic>
                    </a:graphicData>
                  </a:graphic>
                </wp:inline>
              </w:drawing>
            </w:r>
          </w:p>
        </w:tc>
        <w:tc>
          <w:tcPr>
            <w:tcW w:w="126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Sí </w:t>
            </w:r>
          </w:p>
          <w:p w:rsidR="00BF7E89" w:rsidRPr="00E4471E" w:rsidRDefault="00BF7E89" w:rsidP="006B0AE4">
            <w:pPr>
              <w:spacing w:before="100" w:after="200" w:line="276" w:lineRule="auto"/>
              <w:jc w:val="both"/>
              <w:rPr>
                <w:rFonts w:ascii="Palatino Linotype" w:eastAsia="Palatino Linotype" w:hAnsi="Palatino Linotype" w:cs="Palatino Linotype"/>
                <w:b/>
                <w:color w:val="000000"/>
              </w:rPr>
            </w:pPr>
            <w:r w:rsidRPr="00E4471E">
              <w:rPr>
                <w:rFonts w:ascii="Palatino Linotype" w:eastAsia="Palatino Linotype" w:hAnsi="Palatino Linotype" w:cs="Palatino Linotype"/>
                <w:b/>
                <w:color w:val="000000"/>
                <w:sz w:val="18"/>
                <w:szCs w:val="18"/>
              </w:rPr>
              <w:t>Pero no</w:t>
            </w:r>
            <w:r>
              <w:rPr>
                <w:rFonts w:ascii="Palatino Linotype" w:eastAsia="Palatino Linotype" w:hAnsi="Palatino Linotype" w:cs="Palatino Linotype"/>
                <w:b/>
                <w:color w:val="000000"/>
                <w:sz w:val="18"/>
                <w:szCs w:val="18"/>
              </w:rPr>
              <w:t xml:space="preserve"> es</w:t>
            </w:r>
            <w:r w:rsidRPr="00E4471E">
              <w:rPr>
                <w:rFonts w:ascii="Palatino Linotype" w:eastAsia="Palatino Linotype" w:hAnsi="Palatino Linotype" w:cs="Palatino Linotype"/>
                <w:b/>
                <w:color w:val="000000"/>
                <w:sz w:val="18"/>
                <w:szCs w:val="18"/>
              </w:rPr>
              <w:t xml:space="preserve"> aplicable al caso</w:t>
            </w:r>
            <w:r>
              <w:rPr>
                <w:rFonts w:ascii="Palatino Linotype" w:eastAsia="Palatino Linotype" w:hAnsi="Palatino Linotype" w:cs="Palatino Linotype"/>
                <w:b/>
                <w:color w:val="000000"/>
                <w:sz w:val="18"/>
                <w:szCs w:val="18"/>
              </w:rPr>
              <w:t xml:space="preserve"> que se analiza</w:t>
            </w:r>
            <w:r w:rsidRPr="00E4471E">
              <w:rPr>
                <w:rFonts w:ascii="Palatino Linotype" w:eastAsia="Palatino Linotype" w:hAnsi="Palatino Linotype" w:cs="Palatino Linotype"/>
                <w:b/>
                <w:color w:val="000000"/>
                <w:sz w:val="18"/>
                <w:szCs w:val="18"/>
              </w:rPr>
              <w:t xml:space="preserve"> </w:t>
            </w:r>
            <w:r w:rsidR="006B0AE4">
              <w:rPr>
                <w:rFonts w:ascii="Palatino Linotype" w:eastAsia="Palatino Linotype" w:hAnsi="Palatino Linotype" w:cs="Palatino Linotype"/>
                <w:b/>
                <w:color w:val="000000"/>
                <w:sz w:val="18"/>
                <w:szCs w:val="18"/>
              </w:rPr>
              <w:t xml:space="preserve">ya que entregar el nombre de la empresa como el número de juicio no </w:t>
            </w:r>
            <w:r w:rsidR="006B0AE4">
              <w:rPr>
                <w:rFonts w:ascii="Palatino Linotype" w:eastAsia="Palatino Linotype" w:hAnsi="Palatino Linotype" w:cs="Palatino Linotype"/>
                <w:b/>
                <w:color w:val="000000"/>
                <w:sz w:val="18"/>
                <w:szCs w:val="18"/>
              </w:rPr>
              <w:lastRenderedPageBreak/>
              <w:t xml:space="preserve">vulnera el procedimiento o la estrategia tomada por dicha empresa en dicho juicio. </w:t>
            </w:r>
          </w:p>
        </w:tc>
      </w:tr>
      <w:tr w:rsidR="00BF7E89" w:rsidTr="00BF7E89">
        <w:tc>
          <w:tcPr>
            <w:tcW w:w="141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lastRenderedPageBreak/>
              <w:t>Autoridades competentes.</w:t>
            </w:r>
          </w:p>
        </w:tc>
        <w:tc>
          <w:tcPr>
            <w:tcW w:w="6152"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noProof/>
                <w:lang w:val="es-MX" w:eastAsia="es-MX"/>
              </w:rPr>
            </w:pPr>
          </w:p>
          <w:p w:rsidR="00BF7E89" w:rsidRDefault="00C37DFF" w:rsidP="00BF7E89">
            <w:pPr>
              <w:spacing w:before="100" w:after="200" w:line="276" w:lineRule="auto"/>
              <w:jc w:val="center"/>
            </w:pPr>
            <w:r>
              <w:rPr>
                <w:noProof/>
                <w:lang w:val="en-US" w:eastAsia="en-US"/>
              </w:rPr>
              <w:drawing>
                <wp:inline distT="0" distB="0" distL="0" distR="0" wp14:anchorId="1B11CCBD" wp14:editId="47182C7A">
                  <wp:extent cx="2159000" cy="2533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301" t="30866" r="55189"/>
                          <a:stretch/>
                        </pic:blipFill>
                        <pic:spPr bwMode="auto">
                          <a:xfrm>
                            <a:off x="0" y="0"/>
                            <a:ext cx="2159000" cy="2533650"/>
                          </a:xfrm>
                          <a:prstGeom prst="rect">
                            <a:avLst/>
                          </a:prstGeom>
                          <a:ln>
                            <a:noFill/>
                          </a:ln>
                          <a:extLst>
                            <a:ext uri="{53640926-AAD7-44D8-BBD7-CCE9431645EC}">
                              <a14:shadowObscured xmlns:a14="http://schemas.microsoft.com/office/drawing/2010/main"/>
                            </a:ext>
                          </a:extLst>
                        </pic:spPr>
                      </pic:pic>
                    </a:graphicData>
                  </a:graphic>
                </wp:inline>
              </w:drawing>
            </w:r>
          </w:p>
          <w:p w:rsidR="00BF7E89" w:rsidRDefault="00BF7E89" w:rsidP="00BF7E89">
            <w:pPr>
              <w:spacing w:before="100" w:after="200" w:line="276" w:lineRule="auto"/>
              <w:jc w:val="center"/>
              <w:rPr>
                <w:rFonts w:ascii="Palatino Linotype" w:eastAsia="Palatino Linotype" w:hAnsi="Palatino Linotype" w:cs="Palatino Linotype"/>
                <w:b/>
                <w:color w:val="FFFFFF"/>
                <w:sz w:val="22"/>
                <w:szCs w:val="22"/>
              </w:rPr>
            </w:pPr>
          </w:p>
        </w:tc>
        <w:tc>
          <w:tcPr>
            <w:tcW w:w="1263" w:type="dxa"/>
            <w:tcBorders>
              <w:top w:val="single" w:sz="4" w:space="0" w:color="000000"/>
              <w:left w:val="single" w:sz="4" w:space="0" w:color="000000"/>
              <w:bottom w:val="single" w:sz="4" w:space="0" w:color="000000"/>
              <w:right w:val="single" w:sz="4" w:space="0" w:color="000000"/>
            </w:tcBorders>
          </w:tcPr>
          <w:p w:rsidR="00BF7E89" w:rsidRDefault="00BF7E89" w:rsidP="00BF7E89">
            <w:pPr>
              <w:spacing w:before="100" w:after="200" w:line="276"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Sí </w:t>
            </w:r>
          </w:p>
          <w:p w:rsidR="00BF7E89" w:rsidRDefault="00BF7E89" w:rsidP="00BF7E89">
            <w:pPr>
              <w:spacing w:before="100" w:after="200" w:line="276" w:lineRule="auto"/>
              <w:jc w:val="both"/>
              <w:rPr>
                <w:rFonts w:ascii="Palatino Linotype" w:eastAsia="Palatino Linotype" w:hAnsi="Palatino Linotype" w:cs="Palatino Linotype"/>
                <w:b/>
                <w:color w:val="FFFFFF"/>
                <w:sz w:val="22"/>
                <w:szCs w:val="22"/>
              </w:rPr>
            </w:pPr>
            <w:r w:rsidRPr="00E4471E">
              <w:rPr>
                <w:rFonts w:ascii="Palatino Linotype" w:eastAsia="Palatino Linotype" w:hAnsi="Palatino Linotype" w:cs="Palatino Linotype"/>
                <w:b/>
                <w:color w:val="000000"/>
                <w:sz w:val="18"/>
                <w:szCs w:val="18"/>
              </w:rPr>
              <w:t xml:space="preserve">Pero no </w:t>
            </w:r>
            <w:r>
              <w:rPr>
                <w:rFonts w:ascii="Palatino Linotype" w:eastAsia="Palatino Linotype" w:hAnsi="Palatino Linotype" w:cs="Palatino Linotype"/>
                <w:b/>
                <w:color w:val="000000"/>
                <w:sz w:val="18"/>
                <w:szCs w:val="18"/>
              </w:rPr>
              <w:t xml:space="preserve">es </w:t>
            </w:r>
            <w:r w:rsidRPr="00E4471E">
              <w:rPr>
                <w:rFonts w:ascii="Palatino Linotype" w:eastAsia="Palatino Linotype" w:hAnsi="Palatino Linotype" w:cs="Palatino Linotype"/>
                <w:b/>
                <w:color w:val="000000"/>
                <w:sz w:val="18"/>
                <w:szCs w:val="18"/>
              </w:rPr>
              <w:t>aplicable al caso</w:t>
            </w:r>
            <w:r>
              <w:rPr>
                <w:rFonts w:ascii="Palatino Linotype" w:eastAsia="Palatino Linotype" w:hAnsi="Palatino Linotype" w:cs="Palatino Linotype"/>
                <w:b/>
                <w:color w:val="000000"/>
                <w:sz w:val="18"/>
                <w:szCs w:val="18"/>
              </w:rPr>
              <w:t xml:space="preserve"> que se analiza</w:t>
            </w:r>
            <w:r w:rsidRPr="00E4471E">
              <w:rPr>
                <w:rFonts w:ascii="Palatino Linotype" w:eastAsia="Palatino Linotype" w:hAnsi="Palatino Linotype" w:cs="Palatino Linotype"/>
                <w:b/>
                <w:color w:val="000000"/>
                <w:sz w:val="18"/>
                <w:szCs w:val="18"/>
              </w:rPr>
              <w:t xml:space="preserve"> </w:t>
            </w:r>
            <w:r w:rsidR="006B0AE4">
              <w:rPr>
                <w:rFonts w:ascii="Palatino Linotype" w:eastAsia="Palatino Linotype" w:hAnsi="Palatino Linotype" w:cs="Palatino Linotype"/>
                <w:b/>
                <w:color w:val="000000"/>
                <w:sz w:val="18"/>
                <w:szCs w:val="18"/>
              </w:rPr>
              <w:t>ya que entregar el nombre de la empresa como el número de juicio no vulnera el procedimiento o la estrategia tomada por dicha empresa en dicho juicio.</w:t>
            </w:r>
          </w:p>
        </w:tc>
      </w:tr>
    </w:tbl>
    <w:p w:rsidR="00C37DFF" w:rsidRDefault="00C37DFF" w:rsidP="00BF7E89">
      <w:pPr>
        <w:spacing w:line="360" w:lineRule="auto"/>
        <w:jc w:val="both"/>
        <w:rPr>
          <w:rFonts w:ascii="Palatino Linotype" w:hAnsi="Palatino Linotype" w:cs="Arial"/>
        </w:rPr>
      </w:pPr>
    </w:p>
    <w:p w:rsidR="00A26CE4" w:rsidRPr="00C87A1C" w:rsidRDefault="00BF7E89" w:rsidP="00A26CE4">
      <w:pPr>
        <w:spacing w:line="360" w:lineRule="auto"/>
        <w:jc w:val="both"/>
        <w:rPr>
          <w:rFonts w:ascii="Palatino Linotype" w:hAnsi="Palatino Linotype"/>
          <w:i/>
          <w:color w:val="000000" w:themeColor="text1"/>
        </w:rPr>
      </w:pPr>
      <w:r>
        <w:rPr>
          <w:rFonts w:ascii="Palatino Linotype" w:hAnsi="Palatino Linotype" w:cs="Arial"/>
        </w:rPr>
        <w:t xml:space="preserve">Aunado a lo anterior, </w:t>
      </w:r>
      <w:r w:rsidR="00A26CE4">
        <w:rPr>
          <w:rFonts w:ascii="Palatino Linotype" w:hAnsi="Palatino Linotype" w:cs="Arial"/>
        </w:rPr>
        <w:t xml:space="preserve">se debe precisar que </w:t>
      </w:r>
      <w:r w:rsidR="00A26CE4" w:rsidRPr="00B80C9B">
        <w:rPr>
          <w:rFonts w:ascii="Palatino Linotype" w:hAnsi="Palatino Linotype"/>
          <w:color w:val="000000" w:themeColor="text1"/>
        </w:rPr>
        <w:t xml:space="preserve">de acuerdo con José Becerra Bautista, se denomina expedientes procesales al “[c]onjunto ordenado y foliado de documentos o piezas escritas, en los que se hacen constar todas las actuaciones judiciales (tanto en resoluciones como diligencias), así como los actos de las partes y de los terceros, </w:t>
      </w:r>
      <w:r w:rsidR="00A26CE4" w:rsidRPr="00B80C9B">
        <w:rPr>
          <w:rFonts w:ascii="Palatino Linotype" w:hAnsi="Palatino Linotype"/>
          <w:color w:val="000000" w:themeColor="text1"/>
        </w:rPr>
        <w:lastRenderedPageBreak/>
        <w:t>correspondientes a un juicio (o proceso) o a un procedimiento de jurisdicción voluntaria</w:t>
      </w:r>
      <w:r w:rsidR="00A26CE4">
        <w:rPr>
          <w:rFonts w:ascii="Palatino Linotype" w:hAnsi="Palatino Linotype"/>
          <w:i/>
          <w:color w:val="000000" w:themeColor="text1"/>
        </w:rPr>
        <w:t>”</w:t>
      </w:r>
      <w:r w:rsidR="00A26CE4">
        <w:rPr>
          <w:rStyle w:val="Refdenotaalpie"/>
          <w:rFonts w:ascii="Palatino Linotype" w:hAnsi="Palatino Linotype"/>
          <w:i/>
          <w:color w:val="000000" w:themeColor="text1"/>
        </w:rPr>
        <w:footnoteReference w:id="5"/>
      </w:r>
      <w:r w:rsidR="00A26CE4">
        <w:rPr>
          <w:rFonts w:ascii="Palatino Linotype" w:hAnsi="Palatino Linotype"/>
          <w:color w:val="000000" w:themeColor="text1"/>
        </w:rPr>
        <w:t>.</w:t>
      </w: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rsidR="00A26CE4" w:rsidRPr="00B80C9B"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B80C9B">
        <w:rPr>
          <w:rFonts w:ascii="Palatino Linotype" w:hAnsi="Palatino Linotype"/>
          <w:color w:val="000000" w:themeColor="text1"/>
          <w:sz w:val="24"/>
          <w:szCs w:val="24"/>
        </w:rPr>
        <w:t>Por su parte, José Ovalle Favela afirma que “[l]</w:t>
      </w:r>
      <w:r w:rsidRPr="00B80C9B">
        <w:rPr>
          <w:rFonts w:ascii="Palatino Linotype" w:hAnsi="Palatino Linotype"/>
          <w:i/>
          <w:color w:val="000000" w:themeColor="text1"/>
          <w:sz w:val="24"/>
          <w:szCs w:val="24"/>
        </w:rPr>
        <w:t xml:space="preserve">os expedientes procesales empiezan con </w:t>
      </w:r>
      <w:r w:rsidRPr="00343044">
        <w:rPr>
          <w:rFonts w:ascii="Palatino Linotype" w:hAnsi="Palatino Linotype"/>
          <w:b/>
          <w:i/>
          <w:color w:val="000000" w:themeColor="text1"/>
          <w:sz w:val="24"/>
          <w:szCs w:val="24"/>
          <w:u w:val="single"/>
        </w:rPr>
        <w:t>una carátula impresa, en la que se anotan los datos de identificación del juicio o procedimiento al que corresponden: juzgado o tribunal, secretaría, número de expediente, nombre de las partes, tipo de juicio o procedimiento, objeto del mismo,</w:t>
      </w:r>
      <w:r w:rsidRPr="00B80C9B">
        <w:rPr>
          <w:rFonts w:ascii="Palatino Linotype" w:hAnsi="Palatino Linotype"/>
          <w:i/>
          <w:color w:val="000000" w:themeColor="text1"/>
          <w:sz w:val="24"/>
          <w:szCs w:val="24"/>
        </w:rPr>
        <w:t xml:space="preserve"> etc. Los datos por los cuales se les suele identificar con mayor frecuencia, son los nombres del actor y del demandado, así como el número del expediente”</w:t>
      </w:r>
      <w:r w:rsidRPr="00B80C9B">
        <w:rPr>
          <w:rStyle w:val="Refdenotaalpie"/>
          <w:rFonts w:ascii="Palatino Linotype" w:hAnsi="Palatino Linotype"/>
          <w:i/>
          <w:color w:val="000000" w:themeColor="text1"/>
          <w:sz w:val="24"/>
          <w:szCs w:val="24"/>
        </w:rPr>
        <w:footnoteReference w:id="6"/>
      </w:r>
      <w:r w:rsidRPr="00B80C9B">
        <w:rPr>
          <w:rFonts w:ascii="Palatino Linotype" w:hAnsi="Palatino Linotype"/>
          <w:i/>
          <w:color w:val="000000" w:themeColor="text1"/>
          <w:sz w:val="24"/>
          <w:szCs w:val="24"/>
        </w:rPr>
        <w:t>.</w:t>
      </w: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B80C9B">
        <w:rPr>
          <w:rFonts w:ascii="Palatino Linotype" w:hAnsi="Palatino Linotype"/>
          <w:color w:val="000000" w:themeColor="text1"/>
          <w:sz w:val="24"/>
          <w:szCs w:val="24"/>
        </w:rPr>
        <w:t xml:space="preserve">De tal manera que el número de expediente se aprecia como el elemento esencial de identificación e individualización de todos y cada uno de los procesos jurisdiccionales que se sustancien ante cualquier autoridad, en </w:t>
      </w:r>
      <w:r>
        <w:rPr>
          <w:rFonts w:ascii="Palatino Linotype" w:hAnsi="Palatino Linotype"/>
          <w:color w:val="000000" w:themeColor="text1"/>
          <w:sz w:val="24"/>
          <w:szCs w:val="24"/>
        </w:rPr>
        <w:t>cualquier materia y/o instancia,</w:t>
      </w:r>
      <w:r w:rsidRPr="00B80C9B">
        <w:rPr>
          <w:rFonts w:ascii="Palatino Linotype" w:hAnsi="Palatino Linotype"/>
          <w:color w:val="000000" w:themeColor="text1"/>
          <w:sz w:val="24"/>
          <w:szCs w:val="24"/>
        </w:rPr>
        <w:t xml:space="preserve"> pues éste consiste en un número irrepetible e irremplazable, en conjunto con el año en que inició el proceso, y la sala, instancia o tri</w:t>
      </w:r>
      <w:r>
        <w:rPr>
          <w:rFonts w:ascii="Palatino Linotype" w:hAnsi="Palatino Linotype"/>
          <w:color w:val="000000" w:themeColor="text1"/>
          <w:sz w:val="24"/>
          <w:szCs w:val="24"/>
        </w:rPr>
        <w:t>bunal encargado de sustanciarlo y el objeto del mismo.</w:t>
      </w:r>
    </w:p>
    <w:p w:rsidR="006B0AE4" w:rsidRPr="00B80C9B" w:rsidRDefault="006B0A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B80C9B">
        <w:rPr>
          <w:rFonts w:ascii="Palatino Linotype" w:hAnsi="Palatino Linotype"/>
          <w:color w:val="000000" w:themeColor="text1"/>
          <w:sz w:val="24"/>
          <w:szCs w:val="24"/>
        </w:rPr>
        <w:t xml:space="preserve">Luego entonces, </w:t>
      </w:r>
      <w:r>
        <w:rPr>
          <w:rFonts w:ascii="Palatino Linotype" w:hAnsi="Palatino Linotype"/>
          <w:color w:val="000000" w:themeColor="text1"/>
          <w:sz w:val="24"/>
          <w:szCs w:val="24"/>
        </w:rPr>
        <w:t>dar a conocer el número</w:t>
      </w:r>
      <w:r w:rsidRPr="00B80C9B">
        <w:rPr>
          <w:rFonts w:ascii="Palatino Linotype" w:hAnsi="Palatino Linotype"/>
          <w:color w:val="000000" w:themeColor="text1"/>
          <w:sz w:val="24"/>
          <w:szCs w:val="24"/>
        </w:rPr>
        <w:t xml:space="preserve"> de </w:t>
      </w:r>
      <w:r>
        <w:rPr>
          <w:rFonts w:ascii="Palatino Linotype" w:hAnsi="Palatino Linotype"/>
          <w:color w:val="000000" w:themeColor="text1"/>
          <w:sz w:val="24"/>
          <w:szCs w:val="24"/>
        </w:rPr>
        <w:t xml:space="preserve">expediente, la instancia y las partes, no vulnera la conducción del </w:t>
      </w:r>
      <w:r w:rsidR="006B0AE4">
        <w:rPr>
          <w:rFonts w:ascii="Palatino Linotype" w:hAnsi="Palatino Linotype"/>
          <w:color w:val="000000" w:themeColor="text1"/>
          <w:sz w:val="24"/>
          <w:szCs w:val="24"/>
        </w:rPr>
        <w:t>procedimiento</w:t>
      </w:r>
      <w:r>
        <w:rPr>
          <w:rFonts w:ascii="Palatino Linotype" w:hAnsi="Palatino Linotype"/>
          <w:color w:val="000000" w:themeColor="text1"/>
          <w:sz w:val="24"/>
          <w:szCs w:val="24"/>
        </w:rPr>
        <w:t xml:space="preserve"> y más aun no </w:t>
      </w:r>
      <w:r w:rsidR="006B0AE4">
        <w:rPr>
          <w:rFonts w:ascii="Palatino Linotype" w:hAnsi="Palatino Linotype"/>
          <w:color w:val="000000" w:themeColor="text1"/>
          <w:sz w:val="24"/>
          <w:szCs w:val="24"/>
        </w:rPr>
        <w:t>está</w:t>
      </w:r>
      <w:r>
        <w:rPr>
          <w:rFonts w:ascii="Palatino Linotype" w:hAnsi="Palatino Linotype"/>
          <w:color w:val="000000" w:themeColor="text1"/>
          <w:sz w:val="24"/>
          <w:szCs w:val="24"/>
        </w:rPr>
        <w:t xml:space="preserve"> revelando la estrategia tomada por las partes. </w:t>
      </w:r>
    </w:p>
    <w:p w:rsidR="00A26CE4" w:rsidRDefault="00A26CE4" w:rsidP="00A26CE4">
      <w:pPr>
        <w:pStyle w:val="Prrafodelista"/>
        <w:tabs>
          <w:tab w:val="left" w:pos="426"/>
        </w:tabs>
        <w:spacing w:before="240" w:line="360" w:lineRule="auto"/>
        <w:ind w:left="0" w:right="51"/>
        <w:jc w:val="both"/>
        <w:rPr>
          <w:rFonts w:ascii="Palatino Linotype" w:hAnsi="Palatino Linotype"/>
          <w:color w:val="000000" w:themeColor="text1"/>
        </w:rPr>
      </w:pP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471AA4">
        <w:rPr>
          <w:rFonts w:ascii="Palatino Linotype" w:hAnsi="Palatino Linotype"/>
          <w:color w:val="000000" w:themeColor="text1"/>
          <w:sz w:val="24"/>
          <w:szCs w:val="24"/>
        </w:rPr>
        <w:lastRenderedPageBreak/>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w:t>
      </w:r>
      <w:r>
        <w:rPr>
          <w:rFonts w:ascii="Palatino Linotype" w:hAnsi="Palatino Linotype"/>
          <w:color w:val="000000" w:themeColor="text1"/>
          <w:sz w:val="24"/>
          <w:szCs w:val="24"/>
        </w:rPr>
        <w:t>ada, entre otros, conforme al criterio siguiente</w:t>
      </w:r>
      <w:r w:rsidRPr="00471AA4">
        <w:rPr>
          <w:rFonts w:ascii="Palatino Linotype" w:hAnsi="Palatino Linotype"/>
          <w:color w:val="000000" w:themeColor="text1"/>
          <w:sz w:val="24"/>
          <w:szCs w:val="24"/>
        </w:rPr>
        <w:t>:</w:t>
      </w:r>
    </w:p>
    <w:p w:rsidR="00A26CE4" w:rsidRPr="00471AA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rsidR="00A26CE4" w:rsidRPr="00471AA4" w:rsidRDefault="00A26CE4" w:rsidP="00A26CE4">
      <w:pPr>
        <w:pStyle w:val="Prrafodelista"/>
        <w:numPr>
          <w:ilvl w:val="1"/>
          <w:numId w:val="6"/>
        </w:numPr>
        <w:tabs>
          <w:tab w:val="left" w:pos="426"/>
        </w:tabs>
        <w:spacing w:before="240" w:after="240" w:line="360" w:lineRule="auto"/>
        <w:ind w:left="993" w:right="51" w:hanging="360"/>
        <w:contextualSpacing/>
        <w:jc w:val="both"/>
        <w:rPr>
          <w:rFonts w:ascii="Palatino Linotype" w:hAnsi="Palatino Linotype"/>
          <w:color w:val="000000" w:themeColor="text1"/>
          <w:sz w:val="24"/>
          <w:szCs w:val="24"/>
        </w:rPr>
      </w:pPr>
      <w:r w:rsidRPr="00471AA4">
        <w:rPr>
          <w:rFonts w:ascii="Palatino Linotype" w:hAnsi="Palatino Linotype"/>
          <w:color w:val="000000" w:themeColor="text1"/>
          <w:sz w:val="24"/>
          <w:szCs w:val="24"/>
        </w:rPr>
        <w:t>Vulnere la conducción de los expedientes judiciales o de los procedimientos administrativos seguidos en forma de juicio, en tanto no hayan quedado firmes.</w:t>
      </w: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rsidR="00A26CE4" w:rsidRDefault="00A26C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471AA4">
        <w:rPr>
          <w:rFonts w:ascii="Palatino Linotype" w:hAnsi="Palatino Linotype"/>
          <w:color w:val="000000" w:themeColor="text1"/>
          <w:sz w:val="24"/>
          <w:szCs w:val="24"/>
        </w:rPr>
        <w:t xml:space="preserve">Por lo anterior, es esencial recordar que la única pretensión del particular es acceder </w:t>
      </w:r>
      <w:r>
        <w:rPr>
          <w:rFonts w:ascii="Palatino Linotype" w:hAnsi="Palatino Linotype"/>
          <w:color w:val="000000" w:themeColor="text1"/>
          <w:sz w:val="24"/>
          <w:szCs w:val="24"/>
        </w:rPr>
        <w:t>a los oficios emitidos por el Presidente Municipal del A</w:t>
      </w:r>
      <w:r w:rsidR="006B0AE4">
        <w:rPr>
          <w:rFonts w:ascii="Palatino Linotype" w:hAnsi="Palatino Linotype"/>
          <w:color w:val="000000" w:themeColor="text1"/>
          <w:sz w:val="24"/>
          <w:szCs w:val="24"/>
        </w:rPr>
        <w:t>yuntamiento de Toluca</w:t>
      </w:r>
      <w:r w:rsidRPr="00471AA4">
        <w:rPr>
          <w:rFonts w:ascii="Palatino Linotype" w:hAnsi="Palatino Linotype"/>
          <w:color w:val="000000" w:themeColor="text1"/>
          <w:sz w:val="24"/>
          <w:szCs w:val="24"/>
        </w:rPr>
        <w:t>, no así a alguna de las constancias o docum</w:t>
      </w:r>
      <w:r w:rsidR="006B0AE4">
        <w:rPr>
          <w:rFonts w:ascii="Palatino Linotype" w:hAnsi="Palatino Linotype"/>
          <w:color w:val="000000" w:themeColor="text1"/>
          <w:sz w:val="24"/>
          <w:szCs w:val="24"/>
        </w:rPr>
        <w:t xml:space="preserve">entos contenidos en el procedimiento señalado por el </w:t>
      </w:r>
      <w:r w:rsidR="006B0AE4" w:rsidRPr="006B0AE4">
        <w:rPr>
          <w:rFonts w:ascii="Palatino Linotype" w:hAnsi="Palatino Linotype"/>
          <w:b/>
          <w:color w:val="000000" w:themeColor="text1"/>
          <w:sz w:val="24"/>
          <w:szCs w:val="24"/>
        </w:rPr>
        <w:t>SUJETO OBLIGADO</w:t>
      </w:r>
      <w:r w:rsidR="006B0AE4">
        <w:rPr>
          <w:rFonts w:ascii="Palatino Linotype" w:hAnsi="Palatino Linotype"/>
          <w:color w:val="000000" w:themeColor="text1"/>
          <w:sz w:val="24"/>
          <w:szCs w:val="24"/>
        </w:rPr>
        <w:t xml:space="preserve"> como reservado en el oficio número PM/011/2022</w:t>
      </w:r>
      <w:r w:rsidRPr="00471AA4">
        <w:rPr>
          <w:rFonts w:ascii="Palatino Linotype" w:hAnsi="Palatino Linotype"/>
          <w:color w:val="000000" w:themeColor="text1"/>
          <w:sz w:val="24"/>
          <w:szCs w:val="24"/>
        </w:rPr>
        <w:t xml:space="preserve">; por ende, la entrega de lo solicitado de ninguna manera consigue afectar o vulnerar el debido proceso o la conducción de los propios expedientes pues, se insiste, </w:t>
      </w:r>
      <w:r w:rsidR="006B0AE4">
        <w:rPr>
          <w:rFonts w:ascii="Palatino Linotype" w:hAnsi="Palatino Linotype"/>
          <w:color w:val="000000" w:themeColor="text1"/>
          <w:sz w:val="24"/>
          <w:szCs w:val="24"/>
        </w:rPr>
        <w:t xml:space="preserve">no se pretende acceder al contenido del juicio. </w:t>
      </w:r>
      <w:r w:rsidRPr="00471AA4">
        <w:rPr>
          <w:rFonts w:ascii="Palatino Linotype" w:hAnsi="Palatino Linotype"/>
          <w:color w:val="000000" w:themeColor="text1"/>
          <w:sz w:val="24"/>
          <w:szCs w:val="24"/>
        </w:rPr>
        <w:t xml:space="preserve"> </w:t>
      </w:r>
    </w:p>
    <w:p w:rsidR="006B0AE4" w:rsidRDefault="006B0A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rsidR="006B0AE4" w:rsidRDefault="006B0AE4" w:rsidP="00A26CE4">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Razones por las cuales lo procedente es ordenar la entrega del oficio número PM/011/2022, remitido en informe justificado de manera íntegra. </w:t>
      </w: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respecto del requerimiento del particular sobre los oficios emitidos por la Tesorería Municipal a partir del 01 de enero al 31 de enero de 2022, el Ayuntamiento de Toluca a través del acta </w:t>
      </w:r>
      <w:r>
        <w:rPr>
          <w:rFonts w:ascii="Palatino Linotype" w:eastAsia="Palatino Linotype" w:hAnsi="Palatino Linotype" w:cs="Palatino Linotype"/>
          <w:color w:val="000000"/>
        </w:rPr>
        <w:t xml:space="preserve">de la cuadragésima séptima sesión extraordinaria del nueve de febrero del año 2022, con número de acuerdo </w:t>
      </w:r>
      <w:r>
        <w:rPr>
          <w:rFonts w:ascii="Palatino Linotype" w:eastAsia="Palatino Linotype" w:hAnsi="Palatino Linotype" w:cs="Palatino Linotype"/>
          <w:color w:val="000000"/>
        </w:rPr>
        <w:lastRenderedPageBreak/>
        <w:t xml:space="preserve">AT/CT/02/2022, hizo el cambio de modalidad a consulta directa, ante ello, al hacer el cambio de modalidad a consulta directa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éste no niega contar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sino por el contrario; por lo cual, la naturaleza jurídica de la información solicitada, en el caso concreto, se obvia.</w:t>
      </w:r>
    </w:p>
    <w:p w:rsidR="0019016C" w:rsidRDefault="009357F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Sujeto Obligado.</w:t>
      </w:r>
    </w:p>
    <w:p w:rsidR="0019016C" w:rsidRDefault="009357F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sobre la consulta directa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conveniente traer a contexto lo dispuesto en los artículos 155, fracción V, 158, 160 y 164 de la Ley de Transparencia y Acceso a la Información Pública del Estado de México y Municipios, los cuales establecen lo siguiente: </w:t>
      </w:r>
    </w:p>
    <w:p w:rsidR="0019016C" w:rsidRDefault="0019016C">
      <w:pPr>
        <w:ind w:left="851" w:right="851"/>
        <w:jc w:val="both"/>
        <w:rPr>
          <w:rFonts w:ascii="Palatino Linotype" w:eastAsia="Palatino Linotype" w:hAnsi="Palatino Linotype" w:cs="Palatino Linotype"/>
          <w:i/>
          <w:sz w:val="22"/>
          <w:szCs w:val="22"/>
        </w:rPr>
      </w:pP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rsidR="0019016C" w:rsidRDefault="009357F8">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19016C" w:rsidRDefault="0019016C">
      <w:pPr>
        <w:ind w:left="851" w:right="851"/>
        <w:jc w:val="both"/>
        <w:rPr>
          <w:rFonts w:ascii="Palatino Linotype" w:eastAsia="Palatino Linotype" w:hAnsi="Palatino Linotype" w:cs="Palatino Linotype"/>
          <w:b/>
          <w:i/>
          <w:sz w:val="22"/>
          <w:szCs w:val="22"/>
        </w:rPr>
      </w:pP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w:t>
      </w:r>
      <w:r>
        <w:rPr>
          <w:rFonts w:ascii="Palatino Linotype" w:eastAsia="Palatino Linotype" w:hAnsi="Palatino Linotype" w:cs="Palatino Linotype"/>
          <w:i/>
          <w:sz w:val="22"/>
          <w:szCs w:val="22"/>
        </w:rPr>
        <w:lastRenderedPageBreak/>
        <w:t>los plazos establecidos para dichos efectos, se podrá poner a disposición del solicitante los documentos en consulta directa, salvo la información clasificada.</w:t>
      </w: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19016C" w:rsidRDefault="0019016C">
      <w:pPr>
        <w:ind w:left="851" w:right="851"/>
        <w:jc w:val="both"/>
        <w:rPr>
          <w:rFonts w:ascii="Palatino Linotype" w:eastAsia="Palatino Linotype" w:hAnsi="Palatino Linotype" w:cs="Palatino Linotype"/>
          <w:b/>
          <w:i/>
          <w:sz w:val="22"/>
          <w:szCs w:val="22"/>
        </w:rPr>
      </w:pP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19016C" w:rsidRDefault="0019016C">
      <w:pPr>
        <w:ind w:left="851" w:right="851"/>
        <w:jc w:val="both"/>
        <w:rPr>
          <w:rFonts w:ascii="Palatino Linotype" w:eastAsia="Palatino Linotype" w:hAnsi="Palatino Linotype" w:cs="Palatino Linotype"/>
          <w:i/>
          <w:sz w:val="22"/>
          <w:szCs w:val="22"/>
        </w:rPr>
      </w:pP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rsidR="0019016C" w:rsidRDefault="0019016C">
      <w:pPr>
        <w:ind w:left="851" w:right="851"/>
        <w:jc w:val="both"/>
        <w:rPr>
          <w:rFonts w:ascii="Palatino Linotype" w:eastAsia="Palatino Linotype" w:hAnsi="Palatino Linotype" w:cs="Palatino Linotype"/>
          <w:i/>
          <w:sz w:val="16"/>
          <w:szCs w:val="16"/>
        </w:rPr>
      </w:pPr>
    </w:p>
    <w:p w:rsidR="0019016C" w:rsidRDefault="009357F8">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t>.</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igual manera, de forma fundada y motivada, cuando así lo determine el </w:t>
      </w:r>
      <w:r>
        <w:rPr>
          <w:rFonts w:ascii="Palatino Linotype" w:eastAsia="Palatino Linotype" w:hAnsi="Palatino Linotype" w:cs="Palatino Linotype"/>
          <w:b/>
        </w:rPr>
        <w:t>SUJETO OBLIGADO</w:t>
      </w:r>
      <w:r>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disponible en las instalaciones del sujeto obligado o que, en su caso, aporte el solicitante.</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demás modalidades de entrega disponibles, debiendo fundar y motivar la necesidad de modificar la misma.</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previo, trayendo de nueva cuenta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advierte que, a través de su </w:t>
      </w:r>
      <w:r>
        <w:rPr>
          <w:rFonts w:ascii="Palatino Linotype" w:eastAsia="Palatino Linotype" w:hAnsi="Palatino Linotype" w:cs="Palatino Linotype"/>
          <w:color w:val="000000"/>
        </w:rPr>
        <w:t xml:space="preserve">acuerdo AT/CT/02/2022 inmerso en el </w:t>
      </w:r>
      <w:r>
        <w:rPr>
          <w:rFonts w:ascii="Palatino Linotype" w:eastAsia="Palatino Linotype" w:hAnsi="Palatino Linotype" w:cs="Palatino Linotype"/>
        </w:rPr>
        <w:t xml:space="preserve">acta </w:t>
      </w:r>
      <w:r>
        <w:rPr>
          <w:rFonts w:ascii="Palatino Linotype" w:eastAsia="Palatino Linotype" w:hAnsi="Palatino Linotype" w:cs="Palatino Linotype"/>
          <w:color w:val="000000"/>
        </w:rPr>
        <w:t xml:space="preserve">de la cuadragésima séptima sesión extraordinaria del nueve de febrero del año 2022, </w:t>
      </w:r>
      <w:r>
        <w:rPr>
          <w:rFonts w:ascii="Palatino Linotype" w:eastAsia="Palatino Linotype" w:hAnsi="Palatino Linotype" w:cs="Palatino Linotype"/>
        </w:rPr>
        <w:t>comunicó a la particular un cambio en la modalidad de entrega de los oficios emitidos por el Tesorero Municipal, a través de consulta directa (in situ).</w:t>
      </w:r>
    </w:p>
    <w:p w:rsidR="0019016C" w:rsidRDefault="006B0A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367030</wp:posOffset>
                </wp:positionV>
                <wp:extent cx="5753100" cy="1212850"/>
                <wp:effectExtent l="0" t="0" r="19050" b="25400"/>
                <wp:wrapNone/>
                <wp:docPr id="24" name="Conector recto 24"/>
                <wp:cNvGraphicFramePr/>
                <a:graphic xmlns:a="http://schemas.openxmlformats.org/drawingml/2006/main">
                  <a:graphicData uri="http://schemas.microsoft.com/office/word/2010/wordprocessingShape">
                    <wps:wsp>
                      <wps:cNvCnPr/>
                      <wps:spPr>
                        <a:xfrm>
                          <a:off x="0" y="0"/>
                          <a:ext cx="5753100" cy="1212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FCB72" id="Conector recto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28.9pt" to="452.9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" strokecolor="black [3200]" strokeweight=".5pt">
                <v:stroke joinstyle="miter"/>
              </v:line>
            </w:pict>
          </mc:Fallback>
        </mc:AlternateContent>
      </w:r>
      <w:r w:rsidR="009357F8">
        <w:rPr>
          <w:rFonts w:ascii="Palatino Linotype" w:eastAsia="Palatino Linotype" w:hAnsi="Palatino Linotype" w:cs="Palatino Linotype"/>
        </w:rPr>
        <w:t>Es así que, si bien el</w:t>
      </w:r>
      <w:r w:rsidR="009357F8">
        <w:rPr>
          <w:rFonts w:ascii="Palatino Linotype" w:eastAsia="Palatino Linotype" w:hAnsi="Palatino Linotype" w:cs="Palatino Linotype"/>
          <w:b/>
        </w:rPr>
        <w:t xml:space="preserve"> SUJETO OBLIGADO</w:t>
      </w:r>
      <w:r w:rsidR="009357F8">
        <w:rPr>
          <w:rFonts w:ascii="Palatino Linotype" w:eastAsia="Palatino Linotype" w:hAnsi="Palatino Linotype" w:cs="Palatino Linotype"/>
        </w:rPr>
        <w:t xml:space="preserve"> refiere fundamentos jurídicos; así como: </w:t>
      </w:r>
    </w:p>
    <w:p w:rsidR="0019016C" w:rsidRDefault="009357F8">
      <w:pPr>
        <w:spacing w:before="240"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836995" cy="3435350"/>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46240" t="28979" r="22236" b="52195"/>
                    <a:stretch>
                      <a:fillRect/>
                    </a:stretch>
                  </pic:blipFill>
                  <pic:spPr>
                    <a:xfrm>
                      <a:off x="0" y="0"/>
                      <a:ext cx="5838388" cy="3436170"/>
                    </a:xfrm>
                    <a:prstGeom prst="rect">
                      <a:avLst/>
                    </a:prstGeom>
                    <a:ln/>
                  </pic:spPr>
                </pic:pic>
              </a:graphicData>
            </a:graphic>
          </wp:inline>
        </w:drawing>
      </w:r>
    </w:p>
    <w:p w:rsidR="0019016C" w:rsidRDefault="009357F8">
      <w:pPr>
        <w:spacing w:before="240" w:after="240" w:line="360" w:lineRule="auto"/>
        <w:jc w:val="both"/>
        <w:rPr>
          <w:rFonts w:ascii="Palatino Linotype" w:eastAsia="Palatino Linotype" w:hAnsi="Palatino Linotype" w:cs="Palatino Linotype"/>
        </w:rPr>
      </w:pPr>
      <w:r>
        <w:rPr>
          <w:noProof/>
          <w:lang w:val="en-US" w:eastAsia="en-US"/>
        </w:rPr>
        <w:drawing>
          <wp:inline distT="0" distB="0" distL="0" distR="0">
            <wp:extent cx="5810885" cy="3492500"/>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45712" t="20707" r="22438" b="6287"/>
                    <a:stretch>
                      <a:fillRect/>
                    </a:stretch>
                  </pic:blipFill>
                  <pic:spPr>
                    <a:xfrm>
                      <a:off x="0" y="0"/>
                      <a:ext cx="5811087" cy="3492621"/>
                    </a:xfrm>
                    <a:prstGeom prst="rect">
                      <a:avLst/>
                    </a:prstGeom>
                    <a:ln/>
                  </pic:spPr>
                </pic:pic>
              </a:graphicData>
            </a:graphic>
          </wp:inline>
        </w:drawing>
      </w:r>
    </w:p>
    <w:p w:rsidR="0019016C" w:rsidRDefault="009357F8">
      <w:pPr>
        <w:spacing w:before="240"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566962" cy="1091932"/>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l="45931" t="44222" r="23490" b="41656"/>
                    <a:stretch>
                      <a:fillRect/>
                    </a:stretch>
                  </pic:blipFill>
                  <pic:spPr>
                    <a:xfrm>
                      <a:off x="0" y="0"/>
                      <a:ext cx="5566962" cy="1091932"/>
                    </a:xfrm>
                    <a:prstGeom prst="rect">
                      <a:avLst/>
                    </a:prstGeom>
                    <a:ln/>
                  </pic:spPr>
                </pic:pic>
              </a:graphicData>
            </a:graphic>
          </wp:inline>
        </w:drawing>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cierto es, que no resulta procedente el impedimento referido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no justifica el cambio de modalidad de la entrega de información, pues debió de analizar la misma y en su caso solicitar la ampliación de plazo para atenderla, garantizando en todo momento la modalidad de entrega elegida por el particular; pues, lo cierto es que ello no exime de dar cumplimiento a las disposiciones de las leyes en la materia. </w:t>
      </w:r>
    </w:p>
    <w:p w:rsidR="0019016C" w:rsidRDefault="009357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Además, que de la respuesta otorgada al particular por el Titular de la Unidad de Transparencia del Ayuntamiento de Toluca, notificó al particular que se trataban de 4000 oficios de la Tesorería Municipal y en el acuerdo de Comité de Transparencia a través del cual se aprobó el cambio de modalidad a consulta directa se aprecia que son 1000 oficios de la Tesorería Municipal; de</w:t>
      </w:r>
      <w:r>
        <w:rPr>
          <w:rFonts w:ascii="Palatino Linotype" w:eastAsia="Palatino Linotype" w:hAnsi="Palatino Linotype" w:cs="Palatino Linotype"/>
          <w:color w:val="000000"/>
        </w:rPr>
        <w:t xml:space="preserve"> ahí que, se estime que su cambio de modalidad careció 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19016C" w:rsidRDefault="009357F8">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w:t>
      </w:r>
      <w:r>
        <w:rPr>
          <w:rFonts w:ascii="Palatino Linotype" w:eastAsia="Palatino Linotype" w:hAnsi="Palatino Linotype" w:cs="Palatino Linotype"/>
          <w:i/>
          <w:color w:val="000000"/>
        </w:rPr>
        <w:lastRenderedPageBreak/>
        <w:t xml:space="preserve">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19016C" w:rsidRDefault="009357F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se deba cambiar la modalidad, lo que se robustece con lo señalado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19016C" w:rsidRDefault="0019016C">
      <w:pPr>
        <w:spacing w:line="360" w:lineRule="auto"/>
        <w:jc w:val="both"/>
        <w:rPr>
          <w:rFonts w:ascii="Palatino Linotype" w:eastAsia="Palatino Linotype" w:hAnsi="Palatino Linotype" w:cs="Palatino Linotype"/>
        </w:rPr>
      </w:pP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“CINCUENTA Y CUATRO.-</w:t>
      </w:r>
      <w:r>
        <w:rPr>
          <w:rFonts w:ascii="Palatino Linotype" w:eastAsia="Palatino Linotype" w:hAnsi="Palatino Linotype" w:cs="Palatino Linotype"/>
          <w:i/>
          <w:sz w:val="20"/>
          <w:szCs w:val="20"/>
        </w:rPr>
        <w:t xml:space="preserve"> De acuerdo a lo dispuesto por el párrafo segundo del artículo 48 de la Ley, la información podrá ser entregada vía electrónica a través del SICOSIEM. </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Es obligación del responsable de la Unidad de Información verificar que los archivos electrónicos que contengan la información entregada, se encuentra agregada al SICOSIEM.</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caso de que el responsable de la Unidad de Información no pueda agregar al SICOSIEM los archivos electrónicos que contengan la información por motivos técnicos, debe avisar de inmediato al Instituto, a través del correo electrónico institucional, además </w:t>
      </w:r>
      <w:r>
        <w:rPr>
          <w:rFonts w:ascii="Palatino Linotype" w:eastAsia="Palatino Linotype" w:hAnsi="Palatino Linotype" w:cs="Palatino Linotype"/>
          <w:i/>
          <w:sz w:val="20"/>
          <w:szCs w:val="20"/>
        </w:rPr>
        <w:lastRenderedPageBreak/>
        <w:t>de comunicarse vía telefónica de inmediato a efecto de que reciba el apoyo técnico correspondiente.</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Dirección de Sistemas e Informática del Instituto, debe llevar un registro de incidencias en el cual se asienten todas las llamas referentes al apoyo técnico para agregar los archivos electrónicos al SICOSIEM.</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La omisión por parte del responsable de la Unidad de Información del procedimiento antes descrito presume la negativa de la entrega de la Información. </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Cuando la información no pueda ser remitida vía electrónica, se deberá fundar y motivar la resolución respectiva, explicando en todo momento las causas que impiden el envío de la información de forma electrónica.</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19016C" w:rsidRDefault="009357F8">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 formato mencionado deberá estar agregado al expediente electrónico de la solicitud de información pública, en el estatus respectivo.”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puede concluir, que los sujetos obligados deben proporcionar la información en la modalidad solicitada por los particulares para la entrega de la información, y sólo para el caso de que no sea posible, podrá cambiar la vía de entrega previa exposición de las razones fundadas y motivadas que lo llevaron a dicha determinación, como lo es, la imposibilidad de agregar los archivos electrónicos al SAIMEX, por motivos técnicos, debiendo dar aviso a este Órgano Garante a efectos de recibir apoyo técnico, hecho del que deberá existir constancia mediante el registro de incidencias.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Así, resulta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el ánimo de atender la solicitud de información del particular, informó el cambio de modalidad, mismo que no reúne los elementos mínimos previstos en los Lineamientos  para la Recepción, Trámite y </w:t>
      </w:r>
      <w:r>
        <w:rPr>
          <w:rFonts w:ascii="Palatino Linotype" w:eastAsia="Palatino Linotype" w:hAnsi="Palatino Linotype" w:cs="Palatino Linotype"/>
        </w:rPr>
        <w:lastRenderedPageBreak/>
        <w:t xml:space="preserve">Resolución de las Solicitudes, toda vez que, no notificó a </w:t>
      </w:r>
      <w:r w:rsidRPr="00A532F6">
        <w:rPr>
          <w:rFonts w:ascii="Palatino Linotype" w:eastAsia="Palatino Linotype" w:hAnsi="Palatino Linotype" w:cs="Palatino Linotype"/>
        </w:rPr>
        <w:t xml:space="preserve">la </w:t>
      </w:r>
      <w:r w:rsidR="00A532F6" w:rsidRPr="00A532F6">
        <w:rPr>
          <w:rFonts w:ascii="Palatino Linotype" w:eastAsia="Palatino Linotype" w:hAnsi="Palatino Linotype" w:cs="Palatino Linotype"/>
        </w:rPr>
        <w:t xml:space="preserve">Dirección General de Informática de este Organismo Garante </w:t>
      </w:r>
      <w:r w:rsidRPr="00A532F6">
        <w:rPr>
          <w:rFonts w:ascii="Palatino Linotype" w:eastAsia="Palatino Linotype" w:hAnsi="Palatino Linotype" w:cs="Palatino Linotype"/>
        </w:rPr>
        <w:t>del cambio de modalidad, para dar</w:t>
      </w:r>
      <w:r>
        <w:rPr>
          <w:rFonts w:ascii="Palatino Linotype" w:eastAsia="Palatino Linotype" w:hAnsi="Palatino Linotype" w:cs="Palatino Linotype"/>
        </w:rPr>
        <w:t xml:space="preserve"> contestación a la solicitud de información de mérito, esto es así, en el entendido de que, de autos no se advierte la incidencia respectiva, aunado a que esta Ponencia, solicitó vía correo electrónico oficial, el informe respecto a si existió algún reporte de incidencias por parte del </w:t>
      </w:r>
      <w:r>
        <w:rPr>
          <w:rFonts w:ascii="Palatino Linotype" w:eastAsia="Palatino Linotype" w:hAnsi="Palatino Linotype" w:cs="Palatino Linotype"/>
          <w:b/>
        </w:rPr>
        <w:t>SUJETO OBLIGADO.</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en fecha </w:t>
      </w:r>
      <w:r>
        <w:rPr>
          <w:rFonts w:ascii="Palatino Linotype" w:eastAsia="Palatino Linotype" w:hAnsi="Palatino Linotype" w:cs="Palatino Linotype"/>
          <w:b/>
        </w:rPr>
        <w:t>siete de junio de dos mil veintidós</w:t>
      </w:r>
      <w:r>
        <w:rPr>
          <w:rFonts w:ascii="Palatino Linotype" w:eastAsia="Palatino Linotype" w:hAnsi="Palatino Linotype" w:cs="Palatino Linotype"/>
        </w:rPr>
        <w:t xml:space="preserve">, la </w:t>
      </w:r>
      <w:r w:rsidRPr="00A532F6">
        <w:rPr>
          <w:rFonts w:ascii="Palatino Linotype" w:eastAsia="Palatino Linotype" w:hAnsi="Palatino Linotype" w:cs="Palatino Linotype"/>
        </w:rPr>
        <w:t>Direcció</w:t>
      </w:r>
      <w:r w:rsidR="00A532F6">
        <w:rPr>
          <w:rFonts w:ascii="Palatino Linotype" w:eastAsia="Palatino Linotype" w:hAnsi="Palatino Linotype" w:cs="Palatino Linotype"/>
        </w:rPr>
        <w:t>n General de Informática de este Organismo</w:t>
      </w:r>
      <w:r w:rsidRPr="00A532F6">
        <w:rPr>
          <w:rFonts w:ascii="Palatino Linotype" w:eastAsia="Palatino Linotype" w:hAnsi="Palatino Linotype" w:cs="Palatino Linotype"/>
        </w:rPr>
        <w:t xml:space="preserve"> Garante</w:t>
      </w:r>
      <w:r w:rsidR="00A532F6">
        <w:rPr>
          <w:rFonts w:ascii="Palatino Linotype" w:eastAsia="Palatino Linotype" w:hAnsi="Palatino Linotype" w:cs="Palatino Linotype"/>
        </w:rPr>
        <w:t xml:space="preserve">, </w:t>
      </w:r>
      <w:r w:rsidRPr="00A532F6">
        <w:rPr>
          <w:rFonts w:ascii="Palatino Linotype" w:eastAsia="Palatino Linotype" w:hAnsi="Palatino Linotype" w:cs="Palatino Linotype"/>
        </w:rPr>
        <w:t>haya notificado que, no existe registro</w:t>
      </w:r>
      <w:r>
        <w:rPr>
          <w:rFonts w:ascii="Palatino Linotype" w:eastAsia="Palatino Linotype" w:hAnsi="Palatino Linotype" w:cs="Palatino Linotype"/>
        </w:rPr>
        <w:t xml:space="preserve"> de incidencia del Ayuntamiento de Toluca, como se aprecia a continuación:</w:t>
      </w:r>
    </w:p>
    <w:p w:rsidR="0019016C" w:rsidRDefault="009357F8">
      <w:pPr>
        <w:spacing w:before="240" w:after="240" w:line="360" w:lineRule="auto"/>
        <w:jc w:val="center"/>
        <w:rPr>
          <w:rFonts w:ascii="Palatino Linotype" w:eastAsia="Palatino Linotype" w:hAnsi="Palatino Linotype" w:cs="Palatino Linotype"/>
        </w:rPr>
      </w:pPr>
      <w:r>
        <w:rPr>
          <w:noProof/>
          <w:lang w:val="en-US" w:eastAsia="en-US"/>
        </w:rPr>
        <w:drawing>
          <wp:inline distT="0" distB="0" distL="0" distR="0">
            <wp:extent cx="5749355" cy="1898123"/>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l="9388" t="47063" r="5742" b="28348"/>
                    <a:stretch>
                      <a:fillRect/>
                    </a:stretch>
                  </pic:blipFill>
                  <pic:spPr>
                    <a:xfrm>
                      <a:off x="0" y="0"/>
                      <a:ext cx="5749355" cy="1898123"/>
                    </a:xfrm>
                    <a:prstGeom prst="rect">
                      <a:avLst/>
                    </a:prstGeom>
                    <a:ln/>
                  </pic:spPr>
                </pic:pic>
              </a:graphicData>
            </a:graphic>
          </wp:inline>
        </w:drawing>
      </w: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rsidR="0019016C" w:rsidRDefault="009357F8">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w:t>
      </w:r>
      <w:r>
        <w:rPr>
          <w:rFonts w:ascii="Palatino Linotype" w:eastAsia="Palatino Linotype" w:hAnsi="Palatino Linotype" w:cs="Palatino Linotype"/>
          <w:i/>
          <w:sz w:val="22"/>
          <w:szCs w:val="22"/>
        </w:rPr>
        <w:lastRenderedPageBreak/>
        <w:t xml:space="preserve">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entrega.”(Sic)</w:t>
      </w:r>
    </w:p>
    <w:p w:rsidR="00A532F6" w:rsidRDefault="00A532F6">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tales consideraciones, es que se considera como improcedente el cambio de modalidad.</w:t>
      </w:r>
    </w:p>
    <w:p w:rsidR="00A532F6" w:rsidRDefault="00A532F6">
      <w:pPr>
        <w:spacing w:line="360" w:lineRule="auto"/>
        <w:jc w:val="both"/>
        <w:rPr>
          <w:rFonts w:ascii="Palatino Linotype" w:eastAsia="Palatino Linotype" w:hAnsi="Palatino Linotype" w:cs="Palatino Linotype"/>
        </w:rPr>
      </w:pPr>
    </w:p>
    <w:p w:rsidR="0019016C" w:rsidRDefault="00A532F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w:t>
      </w:r>
      <w:r w:rsidR="009357F8">
        <w:rPr>
          <w:rFonts w:ascii="Palatino Linotype" w:eastAsia="Palatino Linotype" w:hAnsi="Palatino Linotype" w:cs="Palatino Linotype"/>
        </w:rPr>
        <w:t xml:space="preserve"> resulta procedente aludir que 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 máxime, como ya se indicó al comienzo del presente considerando, la información solicitada por el particular se trata de una obligación de transparencia, que debió haber sido genera por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para su respectiva publicación en la página su IPOMEX (información pública de oficio mexiquense) la que da un carácter de información de oficio y que la misma ya debió haber sido digitalizada o escaneada para su publicidad. </w:t>
      </w:r>
    </w:p>
    <w:p w:rsidR="0019016C" w:rsidRDefault="009357F8">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rsidR="0019016C" w:rsidRDefault="009357F8">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w:t>
      </w:r>
      <w:r>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19016C" w:rsidRDefault="009357F8">
      <w:pPr>
        <w:widowControl w:val="0"/>
        <w:tabs>
          <w:tab w:val="left" w:pos="127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19016C" w:rsidRDefault="009357F8">
      <w:pPr>
        <w:widowControl w:val="0"/>
        <w:tabs>
          <w:tab w:val="left" w:pos="127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19016C" w:rsidRDefault="0019016C">
      <w:pPr>
        <w:widowControl w:val="0"/>
        <w:tabs>
          <w:tab w:val="left" w:pos="1276"/>
        </w:tabs>
        <w:spacing w:line="360" w:lineRule="auto"/>
        <w:jc w:val="both"/>
        <w:rPr>
          <w:rFonts w:ascii="Palatino Linotype" w:eastAsia="Palatino Linotype" w:hAnsi="Palatino Linotype" w:cs="Palatino Linotype"/>
        </w:rPr>
      </w:pPr>
    </w:p>
    <w:p w:rsidR="0019016C" w:rsidRDefault="009357F8">
      <w:pPr>
        <w:widowControl w:val="0"/>
        <w:tabs>
          <w:tab w:val="left" w:pos="127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w:t>
      </w:r>
      <w:r>
        <w:rPr>
          <w:rFonts w:ascii="Palatino Linotype" w:eastAsia="Palatino Linotype" w:hAnsi="Palatino Linotype" w:cs="Palatino Linotype"/>
        </w:rPr>
        <w:lastRenderedPageBreak/>
        <w:t>una real y auténtica defensa.</w:t>
      </w:r>
    </w:p>
    <w:p w:rsidR="0019016C" w:rsidRDefault="0019016C">
      <w:pPr>
        <w:widowControl w:val="0"/>
        <w:tabs>
          <w:tab w:val="left" w:pos="1276"/>
        </w:tabs>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los oficios emitidos por la Tesorería Municipal del primero al treinta y uno de enero del año dos mil veintidós y de ser procedente en versión pública de acuerdo a los términos señalados por el considerando quinto de la presente resolución.</w:t>
      </w: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el RECURRENTE sin menoscabar el derecho a la protección de los datos personales de terceros.</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9016C" w:rsidRDefault="0019016C">
      <w:pPr>
        <w:ind w:left="993" w:right="1041"/>
        <w:jc w:val="both"/>
        <w:rPr>
          <w:rFonts w:ascii="Palatino Linotype" w:eastAsia="Palatino Linotype" w:hAnsi="Palatino Linotype" w:cs="Palatino Linotype"/>
          <w:b/>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Pr>
          <w:rFonts w:ascii="Palatino Linotype" w:eastAsia="Palatino Linotype" w:hAnsi="Palatino Linotype" w:cs="Palatino Linotype"/>
        </w:rPr>
        <w:lastRenderedPageBreak/>
        <w:t xml:space="preserve">Obligado deberá proceder a testar los datos personales que se encuentren contenidos en los documentos a entregar por parte del Sujeto Obligado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(Sic)</w:t>
      </w:r>
    </w:p>
    <w:p w:rsidR="0019016C" w:rsidRDefault="0019016C">
      <w:pPr>
        <w:ind w:left="992" w:right="1043"/>
        <w:jc w:val="both"/>
        <w:rPr>
          <w:rFonts w:ascii="Palatino Linotype" w:eastAsia="Palatino Linotype" w:hAnsi="Palatino Linotype" w:cs="Palatino Linotype"/>
          <w:i/>
          <w:sz w:val="22"/>
          <w:szCs w:val="22"/>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9016C" w:rsidRDefault="0019016C">
      <w:pPr>
        <w:spacing w:before="240" w:line="360" w:lineRule="auto"/>
        <w:ind w:right="5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19016C" w:rsidRDefault="0019016C">
      <w:pPr>
        <w:ind w:left="709" w:right="709"/>
        <w:jc w:val="both"/>
        <w:rPr>
          <w:rFonts w:ascii="Palatino Linotype" w:eastAsia="Palatino Linotype" w:hAnsi="Palatino Linotype" w:cs="Palatino Linotype"/>
          <w:b/>
          <w:i/>
          <w:sz w:val="22"/>
          <w:szCs w:val="22"/>
        </w:rPr>
      </w:pPr>
    </w:p>
    <w:p w:rsidR="0019016C" w:rsidRDefault="009357F8">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c"/>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9016C">
        <w:trPr>
          <w:jc w:val="center"/>
        </w:trPr>
        <w:tc>
          <w:tcPr>
            <w:tcW w:w="1159" w:type="dxa"/>
            <w:tcBorders>
              <w:top w:val="nil"/>
              <w:left w:val="nil"/>
              <w:bottom w:val="single" w:sz="4" w:space="0" w:color="000000"/>
              <w:right w:val="single" w:sz="4" w:space="0" w:color="000000"/>
            </w:tcBorders>
          </w:tcPr>
          <w:p w:rsidR="0019016C" w:rsidRDefault="0019016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9016C">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9016C" w:rsidRDefault="009357F8">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9016C" w:rsidRDefault="0019016C">
      <w:pPr>
        <w:spacing w:before="240"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9016C" w:rsidRDefault="0019016C">
      <w:pPr>
        <w:spacing w:line="360" w:lineRule="auto"/>
        <w:jc w:val="both"/>
        <w:rPr>
          <w:rFonts w:ascii="Palatino Linotype" w:eastAsia="Palatino Linotype" w:hAnsi="Palatino Linotype" w:cs="Palatino Linotype"/>
        </w:rPr>
      </w:pPr>
    </w:p>
    <w:p w:rsidR="0019016C" w:rsidRDefault="009357F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19016C" w:rsidRDefault="0019016C">
      <w:pPr>
        <w:shd w:val="clear" w:color="auto" w:fill="FFFFFF"/>
        <w:spacing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Default="009357F8">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03414/INFOEM/IP/RR/2022,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9016C" w:rsidRDefault="009357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Quinto, haga entrega vía SAIMEX, de ser procedente en versión pública, de lo siguiente:</w:t>
      </w:r>
    </w:p>
    <w:p w:rsidR="0019016C" w:rsidRPr="00A532F6" w:rsidRDefault="009357F8" w:rsidP="00A532F6">
      <w:pPr>
        <w:pStyle w:val="Prrafodelista"/>
        <w:numPr>
          <w:ilvl w:val="0"/>
          <w:numId w:val="7"/>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sidRPr="00A532F6">
        <w:rPr>
          <w:rFonts w:ascii="Palatino Linotype" w:eastAsia="Palatino Linotype" w:hAnsi="Palatino Linotype" w:cs="Palatino Linotype"/>
          <w:color w:val="000000"/>
          <w:sz w:val="24"/>
          <w:szCs w:val="24"/>
        </w:rPr>
        <w:t>Los oficios emitidos por la Tesorería Municipal del primero al treinta y uno de enero del año dos mil veintidós.</w:t>
      </w:r>
    </w:p>
    <w:p w:rsidR="00A532F6" w:rsidRPr="00A532F6" w:rsidRDefault="00A532F6" w:rsidP="00A300DF">
      <w:pPr>
        <w:pStyle w:val="Prrafodelista"/>
        <w:numPr>
          <w:ilvl w:val="0"/>
          <w:numId w:val="7"/>
        </w:numPr>
        <w:pBdr>
          <w:top w:val="nil"/>
          <w:left w:val="nil"/>
          <w:bottom w:val="nil"/>
          <w:right w:val="nil"/>
          <w:between w:val="nil"/>
        </w:pBdr>
        <w:tabs>
          <w:tab w:val="left" w:pos="426"/>
        </w:tabs>
        <w:spacing w:before="240" w:after="240" w:line="360" w:lineRule="auto"/>
        <w:ind w:right="49"/>
        <w:contextualSpacing/>
        <w:jc w:val="both"/>
        <w:rPr>
          <w:rFonts w:ascii="Palatino Linotype" w:eastAsia="Palatino Linotype" w:hAnsi="Palatino Linotype" w:cs="Palatino Linotype"/>
        </w:rPr>
      </w:pPr>
      <w:r w:rsidRPr="00A532F6">
        <w:rPr>
          <w:rFonts w:ascii="Palatino Linotype" w:hAnsi="Palatino Linotype"/>
          <w:color w:val="000000" w:themeColor="text1"/>
          <w:sz w:val="24"/>
          <w:szCs w:val="24"/>
        </w:rPr>
        <w:lastRenderedPageBreak/>
        <w:t xml:space="preserve">El oficio número PM/011/2022, emitido por el Presidente Municipal del Ayuntamiento de Toluca de fecha trece de enero del año dos mil veintidós, </w:t>
      </w:r>
      <w:r w:rsidR="00D27CEC">
        <w:rPr>
          <w:rFonts w:ascii="Palatino Linotype" w:hAnsi="Palatino Linotype"/>
          <w:color w:val="000000" w:themeColor="text1"/>
          <w:sz w:val="24"/>
          <w:szCs w:val="24"/>
        </w:rPr>
        <w:t xml:space="preserve">remitido en informe </w:t>
      </w:r>
      <w:r w:rsidR="00D27CEC" w:rsidRPr="00BF6FFB">
        <w:rPr>
          <w:rFonts w:ascii="Palatino Linotype" w:hAnsi="Palatino Linotype"/>
          <w:color w:val="000000" w:themeColor="text1"/>
          <w:sz w:val="24"/>
          <w:szCs w:val="24"/>
        </w:rPr>
        <w:t>justificado, de manera íntegra.</w:t>
      </w:r>
      <w:r w:rsidR="00D27CEC">
        <w:rPr>
          <w:rFonts w:ascii="Palatino Linotype" w:hAnsi="Palatino Linotype"/>
          <w:color w:val="000000" w:themeColor="text1"/>
          <w:sz w:val="24"/>
          <w:szCs w:val="24"/>
        </w:rPr>
        <w:t xml:space="preserve"> </w:t>
      </w:r>
    </w:p>
    <w:p w:rsidR="0019016C" w:rsidRDefault="009357F8">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mismo que igualmente hará de su conocimiento.</w:t>
      </w:r>
    </w:p>
    <w:p w:rsidR="0019016C" w:rsidRDefault="009357F8">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Default="0019016C">
      <w:pPr>
        <w:spacing w:line="360" w:lineRule="auto"/>
        <w:jc w:val="both"/>
        <w:rPr>
          <w:rFonts w:ascii="Palatino Linotype" w:eastAsia="Palatino Linotype" w:hAnsi="Palatino Linotype" w:cs="Palatino Linotype"/>
          <w:b/>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Default="009357F8">
      <w:pPr>
        <w:spacing w:before="240" w:after="240" w:line="360" w:lineRule="auto"/>
        <w:jc w:val="both"/>
        <w:rPr>
          <w:rFonts w:ascii="Palatino Linotype" w:eastAsia="Palatino Linotype" w:hAnsi="Palatino Linotype" w:cs="Palatino Linotype"/>
        </w:rPr>
        <w:sectPr w:rsidR="0019016C">
          <w:headerReference w:type="default" r:id="rId30"/>
          <w:footerReference w:type="default" r:id="rId31"/>
          <w:headerReference w:type="first" r:id="rId32"/>
          <w:footerReference w:type="first" r:id="rId33"/>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Pr>
          <w:rFonts w:ascii="Palatino Linotype" w:eastAsia="Palatino Linotype" w:hAnsi="Palatino Linotype" w:cs="Palatino Linotype"/>
          <w:color w:val="222222"/>
          <w:highlight w:val="white"/>
        </w:rPr>
        <w:t xml:space="preserve">NEZ, LUIS GUSTAVO PARRA NORIEGA </w:t>
      </w:r>
      <w:r>
        <w:rPr>
          <w:rFonts w:ascii="Palatino Linotype" w:eastAsia="Palatino Linotype" w:hAnsi="Palatino Linotype" w:cs="Palatino Linotype"/>
          <w:color w:val="222222"/>
          <w:highlight w:val="white"/>
        </w:rPr>
        <w:t xml:space="preserve">Y GUADALUPE RAMÍREZ PEÑA; EN LA VIGÉSIMA SEGUNDA SESIÓN ORDINARIA CELEBRADA EL </w:t>
      </w:r>
      <w:r>
        <w:rPr>
          <w:rFonts w:ascii="Palatino Linotype" w:eastAsia="Palatino Linotype" w:hAnsi="Palatino Linotype" w:cs="Palatino Linotype"/>
          <w:color w:val="222222"/>
        </w:rPr>
        <w:t>QUINCE</w:t>
      </w:r>
      <w:r>
        <w:rPr>
          <w:rFonts w:ascii="Palatino Linotype" w:eastAsia="Palatino Linotype" w:hAnsi="Palatino Linotype" w:cs="Palatino Linotype"/>
        </w:rPr>
        <w:t xml:space="preserve"> DE JUNIO DEL DOS MIL VEINTIDÓS, ANTE EL SECRETARIO TÉCNICO DEL PLENO ALEXIS TAPIA RAMÍREZ.                             </w:t>
      </w:r>
    </w:p>
    <w:p w:rsidR="0019016C" w:rsidRDefault="0019016C">
      <w:pPr>
        <w:spacing w:before="240" w:after="240" w:line="360" w:lineRule="auto"/>
        <w:jc w:val="both"/>
        <w:rPr>
          <w:rFonts w:ascii="Palatino Linotype" w:eastAsia="Palatino Linotype" w:hAnsi="Palatino Linotype" w:cs="Palatino Linotype"/>
        </w:rPr>
      </w:pPr>
    </w:p>
    <w:sectPr w:rsidR="0019016C">
      <w:headerReference w:type="first" r:id="rId3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9B9" w:rsidRDefault="007B69B9">
      <w:r>
        <w:separator/>
      </w:r>
    </w:p>
  </w:endnote>
  <w:endnote w:type="continuationSeparator" w:id="0">
    <w:p w:rsidR="007B69B9" w:rsidRDefault="007B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89" w:rsidRDefault="00BF7E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6FFB">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6FFB">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BF7E89" w:rsidRDefault="00BF7E89">
    <w:pPr>
      <w:pBdr>
        <w:top w:val="nil"/>
        <w:left w:val="nil"/>
        <w:bottom w:val="nil"/>
        <w:right w:val="nil"/>
        <w:between w:val="nil"/>
      </w:pBdr>
      <w:tabs>
        <w:tab w:val="center" w:pos="4252"/>
        <w:tab w:val="right" w:pos="8504"/>
      </w:tabs>
      <w:rPr>
        <w:color w:val="000000"/>
      </w:rPr>
    </w:pPr>
  </w:p>
  <w:p w:rsidR="00BF7E89" w:rsidRDefault="00BF7E8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89" w:rsidRDefault="00BF7E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6FF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6FFB">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BF7E89" w:rsidRDefault="00BF7E8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9B9" w:rsidRDefault="007B69B9">
      <w:r>
        <w:separator/>
      </w:r>
    </w:p>
  </w:footnote>
  <w:footnote w:type="continuationSeparator" w:id="0">
    <w:p w:rsidR="007B69B9" w:rsidRDefault="007B69B9">
      <w:r>
        <w:continuationSeparator/>
      </w:r>
    </w:p>
  </w:footnote>
  <w:footnote w:id="1">
    <w:p w:rsidR="00BF7E89" w:rsidRDefault="00BF7E89" w:rsidP="00AB6B42">
      <w:pPr>
        <w:pStyle w:val="Textonotapie"/>
      </w:pPr>
      <w:r>
        <w:rPr>
          <w:rStyle w:val="Refdenotaalpie"/>
        </w:rPr>
        <w:footnoteRef/>
      </w:r>
      <w:r>
        <w:t xml:space="preserve"> México se adhirió a dicha convención el 3 de febrero de 1981.</w:t>
      </w:r>
    </w:p>
  </w:footnote>
  <w:footnote w:id="2">
    <w:p w:rsidR="00BF7E89" w:rsidRDefault="00BF7E89" w:rsidP="00AB6B42">
      <w:pPr>
        <w:pStyle w:val="Textonotapie"/>
      </w:pPr>
      <w:r>
        <w:rPr>
          <w:rStyle w:val="Refdenotaalpie"/>
        </w:rPr>
        <w:footnoteRef/>
      </w:r>
      <w:r>
        <w:t xml:space="preserve"> México se adhirió a dicho pacto el 24 de marzo de 1981</w:t>
      </w:r>
    </w:p>
  </w:footnote>
  <w:footnote w:id="3">
    <w:p w:rsidR="00BF7E89" w:rsidRPr="000A34FD" w:rsidRDefault="00BF7E89" w:rsidP="00BF7E89">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t xml:space="preserve"> </w:t>
      </w:r>
      <w:r w:rsidRPr="000A34FD">
        <w:rPr>
          <w:rFonts w:ascii="Palatino Linotype" w:hAnsi="Palatino Linotype" w:cs="Arial"/>
          <w:i/>
          <w:sz w:val="16"/>
          <w:szCs w:val="16"/>
        </w:rPr>
        <w:t>“</w:t>
      </w:r>
      <w:r w:rsidRPr="000A34FD">
        <w:rPr>
          <w:rFonts w:ascii="Palatino Linotype" w:hAnsi="Palatino Linotype" w:cs="Arial"/>
          <w:b/>
          <w:i/>
          <w:sz w:val="16"/>
          <w:szCs w:val="16"/>
        </w:rPr>
        <w:t>Artículo 12.</w:t>
      </w:r>
      <w:r w:rsidRPr="000A34FD">
        <w:rPr>
          <w:rFonts w:ascii="Palatino Linotype" w:hAnsi="Palatino Linotype" w:cs="Arial"/>
          <w:i/>
          <w:sz w:val="16"/>
          <w:szCs w:val="16"/>
        </w:rPr>
        <w:t xml:space="preserve"> </w:t>
      </w:r>
      <w:r w:rsidRPr="000A34FD">
        <w:rPr>
          <w:rFonts w:ascii="Palatino Linotype" w:hAnsi="Palatino Linotype" w:cs="Arial"/>
          <w:i/>
          <w:sz w:val="16"/>
          <w:szCs w:val="16"/>
          <w:u w:val="single"/>
        </w:rPr>
        <w:t>Quienes generen, recopilen, administren, manejen, procesen, archiven o conserven información pública serán responsables de la misma en los términos de las disposiciones jurídicas aplicables.</w:t>
      </w:r>
    </w:p>
    <w:p w:rsidR="00BF7E89" w:rsidRPr="000A34FD" w:rsidRDefault="00BF7E89" w:rsidP="00BF7E89">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rsidR="00BF7E89" w:rsidRPr="000A34FD" w:rsidRDefault="00BF7E89" w:rsidP="00BF7E89">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rsidRPr="000A34FD">
        <w:rPr>
          <w:rFonts w:ascii="Palatino Linotype" w:hAnsi="Palatino Linotype" w:cs="Arial"/>
          <w:i/>
          <w:sz w:val="16"/>
          <w:szCs w:val="16"/>
        </w:rPr>
        <w:t xml:space="preserve"> Artículo 23. Son sujetos obligados a transparentar y permitir el acceso a su información y proteger los datos personales que obren en su poder:</w:t>
      </w:r>
    </w:p>
    <w:p w:rsidR="00BF7E89" w:rsidRPr="000A34FD" w:rsidRDefault="00BF7E89" w:rsidP="00BF7E89">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w:t>
      </w:r>
    </w:p>
    <w:p w:rsidR="00BF7E89" w:rsidRDefault="00BF7E89" w:rsidP="00BF7E89">
      <w:pPr>
        <w:tabs>
          <w:tab w:val="left" w:pos="709"/>
        </w:tabs>
        <w:ind w:right="567"/>
        <w:jc w:val="both"/>
      </w:pPr>
      <w:r w:rsidRPr="000A34FD">
        <w:rPr>
          <w:rFonts w:ascii="Palatino Linotype" w:hAnsi="Palatino Linotype" w:cs="Arial"/>
          <w:i/>
          <w:sz w:val="16"/>
          <w:szCs w:val="16"/>
        </w:rPr>
        <w:t xml:space="preserve">IV. Los ayuntamientos y las dependencias, organismos, órganos y entidades de la administración municipal;” </w:t>
      </w:r>
    </w:p>
  </w:footnote>
  <w:footnote w:id="5">
    <w:p w:rsidR="00A26CE4" w:rsidRPr="00C87A1C" w:rsidRDefault="00A26CE4" w:rsidP="00A26CE4">
      <w:pPr>
        <w:pStyle w:val="Textonotapie"/>
      </w:pPr>
      <w:r>
        <w:rPr>
          <w:rStyle w:val="Refdenotaalpie"/>
        </w:rPr>
        <w:footnoteRef/>
      </w:r>
      <w:r>
        <w:t xml:space="preserve"> BECERRA BAUTISTA, José, </w:t>
      </w:r>
      <w:r>
        <w:rPr>
          <w:i/>
        </w:rPr>
        <w:t>El proceso civil en México</w:t>
      </w:r>
      <w:r>
        <w:t>; 8ª. ed., México, Porrúa, 1981.</w:t>
      </w:r>
    </w:p>
  </w:footnote>
  <w:footnote w:id="6">
    <w:p w:rsidR="00A26CE4" w:rsidRPr="00C87A1C" w:rsidRDefault="00A26CE4" w:rsidP="00A26CE4">
      <w:pPr>
        <w:pStyle w:val="Textonotapie"/>
      </w:pPr>
      <w:r>
        <w:rPr>
          <w:rStyle w:val="Refdenotaalpie"/>
        </w:rPr>
        <w:footnoteRef/>
      </w:r>
      <w:r>
        <w:t xml:space="preserve"> OVALLE FAVELA, José, </w:t>
      </w:r>
      <w:r>
        <w:rPr>
          <w:i/>
        </w:rPr>
        <w:t>Derecho procesal civil</w:t>
      </w:r>
      <w:r>
        <w:t>, México, Harla, 1982.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89" w:rsidRDefault="00BF7E89">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BF7E89">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BF7E89" w:rsidRDefault="00BF7E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03414/INFOEM/IP/RR/2022</w:t>
          </w:r>
        </w:p>
      </w:tc>
    </w:tr>
    <w:tr w:rsidR="00BF7E89">
      <w:trPr>
        <w:trHeight w:val="228"/>
      </w:trPr>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BF7E89" w:rsidRDefault="00BF7E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F7E89">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BF7E89" w:rsidRDefault="00BF7E8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F7E89" w:rsidRDefault="00BF7E8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n-US" w:eastAsia="en-US"/>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89" w:rsidRDefault="00BF7E8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n-US" w:eastAsia="en-US"/>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BF7E89">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BF7E89" w:rsidRDefault="00BF7E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03414/INFOEM/IP/RR/2022. </w:t>
          </w:r>
        </w:p>
      </w:tc>
    </w:tr>
    <w:tr w:rsidR="00BF7E89">
      <w:tc>
        <w:tcPr>
          <w:tcW w:w="2551" w:type="dxa"/>
          <w:vAlign w:val="center"/>
        </w:tcPr>
        <w:p w:rsidR="00BF7E89" w:rsidRDefault="00BF7E8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BF7E89" w:rsidRDefault="00BF7E89">
          <w:pPr>
            <w:jc w:val="both"/>
            <w:rPr>
              <w:rFonts w:ascii="Palatino Linotype" w:eastAsia="Palatino Linotype" w:hAnsi="Palatino Linotype" w:cs="Palatino Linotype"/>
              <w:b/>
              <w:sz w:val="22"/>
              <w:szCs w:val="22"/>
            </w:rPr>
          </w:pPr>
        </w:p>
      </w:tc>
    </w:tr>
    <w:tr w:rsidR="00BF7E89">
      <w:trPr>
        <w:trHeight w:val="228"/>
      </w:trPr>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BF7E89" w:rsidRDefault="00BF7E8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F7E89">
      <w:tc>
        <w:tcPr>
          <w:tcW w:w="2551" w:type="dxa"/>
          <w:vAlign w:val="center"/>
        </w:tcPr>
        <w:p w:rsidR="00BF7E89" w:rsidRDefault="00BF7E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BF7E89" w:rsidRDefault="00BF7E8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F7E89" w:rsidRDefault="00BF7E8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E89" w:rsidRDefault="00BF7E89">
    <w:pPr>
      <w:pBdr>
        <w:top w:val="nil"/>
        <w:left w:val="nil"/>
        <w:bottom w:val="nil"/>
        <w:right w:val="nil"/>
        <w:between w:val="nil"/>
      </w:pBdr>
      <w:tabs>
        <w:tab w:val="center" w:pos="4252"/>
        <w:tab w:val="right" w:pos="8504"/>
      </w:tabs>
      <w:jc w:val="both"/>
      <w:rPr>
        <w:rFonts w:ascii="Calibri" w:eastAsia="Calibri" w:hAnsi="Calibri" w:cs="Calibri"/>
        <w:color w:val="000000"/>
      </w:rPr>
    </w:pPr>
  </w:p>
  <w:p w:rsidR="00BF7E89" w:rsidRDefault="00BF7E8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48104AD7"/>
    <w:multiLevelType w:val="multilevel"/>
    <w:tmpl w:val="DFCC0F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5"/>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40EC8"/>
    <w:rsid w:val="0019016C"/>
    <w:rsid w:val="006366FA"/>
    <w:rsid w:val="006B0AE4"/>
    <w:rsid w:val="007B69B9"/>
    <w:rsid w:val="008E4668"/>
    <w:rsid w:val="00910CC0"/>
    <w:rsid w:val="009357F8"/>
    <w:rsid w:val="00A26CE4"/>
    <w:rsid w:val="00A532F6"/>
    <w:rsid w:val="00AB6B42"/>
    <w:rsid w:val="00B47F9C"/>
    <w:rsid w:val="00BF6FFB"/>
    <w:rsid w:val="00BF7E89"/>
    <w:rsid w:val="00C37DFF"/>
    <w:rsid w:val="00D27CEC"/>
    <w:rsid w:val="00D60DD2"/>
    <w:rsid w:val="00E958B6"/>
    <w:rsid w:val="00EA6D27"/>
    <w:rsid w:val="00EB16D3"/>
    <w:rsid w:val="00EE2B16"/>
    <w:rsid w:val="00F01C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43322.pag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aimex.org.mx/saimex/solicitud/downloadAttach/1370605.page"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imex.org.mx/saimex/solicitud/downloadAttach/1370605.page"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70604.page"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370605.pag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saimex.org.mx/saimex/solicitud/downloadAttach/1343322.page"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43321.page" TargetMode="External"/><Relationship Id="rId14" Type="http://schemas.openxmlformats.org/officeDocument/2006/relationships/hyperlink" Target="https://saimex.org.mx/saimex/solicitud/downloadAttach/1370604.pag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s://saimex.org.mx/saimex/solicitud/downloadAttach/134332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64</Pages>
  <Words>15275</Words>
  <Characters>87074</Characters>
  <Application>Microsoft Office Word</Application>
  <DocSecurity>0</DocSecurity>
  <Lines>725</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7</cp:revision>
  <dcterms:created xsi:type="dcterms:W3CDTF">2022-06-09T01:33:00Z</dcterms:created>
  <dcterms:modified xsi:type="dcterms:W3CDTF">2022-06-16T15:32:00Z</dcterms:modified>
</cp:coreProperties>
</file>