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28" w:rsidRPr="00707CD9"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r w:rsidRPr="00707CD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F4ECA" w:rsidRPr="00707CD9">
        <w:rPr>
          <w:rFonts w:ascii="Palatino Linotype" w:eastAsia="Times New Roman" w:hAnsi="Palatino Linotype" w:cs="Arial"/>
          <w:color w:val="000000"/>
          <w:sz w:val="24"/>
          <w:szCs w:val="24"/>
          <w:lang w:eastAsia="es-MX"/>
        </w:rPr>
        <w:t>veintiocho</w:t>
      </w:r>
      <w:r w:rsidR="0023387C" w:rsidRPr="00707CD9">
        <w:rPr>
          <w:rFonts w:ascii="Palatino Linotype" w:eastAsia="Times New Roman" w:hAnsi="Palatino Linotype" w:cs="Arial"/>
          <w:color w:val="000000"/>
          <w:sz w:val="24"/>
          <w:szCs w:val="24"/>
          <w:lang w:eastAsia="es-MX"/>
        </w:rPr>
        <w:t xml:space="preserve"> de septiembre</w:t>
      </w:r>
      <w:r w:rsidRPr="00707CD9">
        <w:rPr>
          <w:rFonts w:ascii="Palatino Linotype" w:eastAsia="Times New Roman" w:hAnsi="Palatino Linotype" w:cs="Arial"/>
          <w:color w:val="000000"/>
          <w:sz w:val="24"/>
          <w:szCs w:val="24"/>
          <w:lang w:eastAsia="es-MX"/>
        </w:rPr>
        <w:t xml:space="preserve"> de dos mil veintidós.</w:t>
      </w:r>
    </w:p>
    <w:p w:rsidR="002F1D71" w:rsidRPr="00707CD9" w:rsidRDefault="002F1D71"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p>
    <w:p w:rsidR="00487828" w:rsidRPr="00707CD9" w:rsidRDefault="002F1D71" w:rsidP="00487828">
      <w:pPr>
        <w:tabs>
          <w:tab w:val="left" w:pos="1701"/>
        </w:tabs>
        <w:spacing w:after="0" w:line="360" w:lineRule="auto"/>
        <w:jc w:val="both"/>
        <w:rPr>
          <w:rFonts w:ascii="Palatino Linotype" w:hAnsi="Palatino Linotype" w:cs="Arial"/>
          <w:sz w:val="24"/>
          <w:szCs w:val="24"/>
        </w:rPr>
      </w:pPr>
      <w:r w:rsidRPr="00707CD9">
        <w:rPr>
          <w:rFonts w:ascii="Palatino Linotype" w:hAnsi="Palatino Linotype" w:cs="Arial"/>
          <w:b/>
          <w:sz w:val="24"/>
          <w:szCs w:val="24"/>
        </w:rPr>
        <w:t>VISTO</w:t>
      </w:r>
      <w:r w:rsidR="00487828" w:rsidRPr="00707CD9">
        <w:rPr>
          <w:rFonts w:ascii="Palatino Linotype" w:hAnsi="Palatino Linotype" w:cs="Arial"/>
          <w:sz w:val="24"/>
          <w:szCs w:val="24"/>
        </w:rPr>
        <w:t xml:space="preserve"> el expediente electrónico formado con motivo del recurso de revisión número </w:t>
      </w:r>
      <w:r w:rsidR="0023387C" w:rsidRPr="00707CD9">
        <w:rPr>
          <w:rFonts w:ascii="Palatino Linotype" w:hAnsi="Palatino Linotype" w:cs="Arial"/>
          <w:b/>
          <w:bCs/>
          <w:sz w:val="24"/>
          <w:szCs w:val="24"/>
          <w:lang w:eastAsia="es-MX"/>
        </w:rPr>
        <w:t>12360</w:t>
      </w:r>
      <w:r w:rsidR="00487828" w:rsidRPr="00707CD9">
        <w:rPr>
          <w:rFonts w:ascii="Palatino Linotype" w:hAnsi="Palatino Linotype" w:cs="Arial"/>
          <w:b/>
          <w:bCs/>
          <w:sz w:val="24"/>
          <w:szCs w:val="24"/>
          <w:lang w:eastAsia="es-MX"/>
        </w:rPr>
        <w:t>/INFOEM/IP/RR/2022</w:t>
      </w:r>
      <w:r w:rsidR="00487828" w:rsidRPr="00707CD9">
        <w:rPr>
          <w:rFonts w:ascii="Palatino Linotype" w:hAnsi="Palatino Linotype" w:cs="Arial"/>
          <w:sz w:val="24"/>
          <w:szCs w:val="24"/>
        </w:rPr>
        <w:t xml:space="preserve">, interpuesto por </w:t>
      </w:r>
      <w:r w:rsidR="0023387C" w:rsidRPr="00707CD9">
        <w:rPr>
          <w:rFonts w:ascii="Palatino Linotype" w:hAnsi="Palatino Linotype" w:cs="Arial"/>
          <w:sz w:val="24"/>
          <w:szCs w:val="24"/>
        </w:rPr>
        <w:t>la</w:t>
      </w:r>
      <w:r w:rsidR="001123AC" w:rsidRPr="00707CD9">
        <w:rPr>
          <w:rFonts w:ascii="Palatino Linotype" w:hAnsi="Palatino Linotype" w:cs="Arial"/>
          <w:sz w:val="24"/>
          <w:szCs w:val="24"/>
        </w:rPr>
        <w:t xml:space="preserve"> </w:t>
      </w:r>
      <w:r w:rsidR="003946A6">
        <w:rPr>
          <w:rFonts w:ascii="Palatino Linotype" w:hAnsi="Palatino Linotype" w:cs="Arial"/>
          <w:b/>
          <w:sz w:val="24"/>
          <w:szCs w:val="24"/>
        </w:rPr>
        <w:t>XXXXXXXXXXXXXXXXXXXXXX</w:t>
      </w:r>
      <w:r w:rsidR="0023387C" w:rsidRPr="00707CD9">
        <w:rPr>
          <w:rFonts w:ascii="Palatino Linotype" w:hAnsi="Palatino Linotype" w:cs="Arial"/>
          <w:b/>
          <w:sz w:val="24"/>
          <w:szCs w:val="24"/>
        </w:rPr>
        <w:t xml:space="preserve"> </w:t>
      </w:r>
      <w:r w:rsidR="003946A6">
        <w:rPr>
          <w:rFonts w:ascii="Palatino Linotype" w:hAnsi="Palatino Linotype" w:cs="Arial"/>
          <w:b/>
          <w:sz w:val="24"/>
          <w:szCs w:val="24"/>
        </w:rPr>
        <w:t>XXXXX</w:t>
      </w:r>
      <w:r w:rsidR="00487828" w:rsidRPr="00707CD9">
        <w:rPr>
          <w:rFonts w:ascii="Palatino Linotype" w:hAnsi="Palatino Linotype" w:cs="Arial"/>
          <w:sz w:val="24"/>
          <w:szCs w:val="24"/>
        </w:rPr>
        <w:t xml:space="preserve">, en lo sucesivo </w:t>
      </w:r>
      <w:r w:rsidR="0023387C" w:rsidRPr="00707CD9">
        <w:rPr>
          <w:rFonts w:ascii="Palatino Linotype" w:hAnsi="Palatino Linotype" w:cs="Arial"/>
          <w:b/>
          <w:sz w:val="24"/>
          <w:szCs w:val="24"/>
        </w:rPr>
        <w:t xml:space="preserve">La </w:t>
      </w:r>
      <w:r w:rsidR="00487828" w:rsidRPr="00707CD9">
        <w:rPr>
          <w:rFonts w:ascii="Palatino Linotype" w:hAnsi="Palatino Linotype" w:cs="Arial"/>
          <w:b/>
          <w:sz w:val="24"/>
          <w:szCs w:val="24"/>
        </w:rPr>
        <w:t>Recurrente</w:t>
      </w:r>
      <w:r w:rsidR="00487828" w:rsidRPr="00707CD9">
        <w:rPr>
          <w:rFonts w:ascii="Palatino Linotype" w:hAnsi="Palatino Linotype" w:cs="Arial"/>
          <w:sz w:val="24"/>
          <w:szCs w:val="24"/>
        </w:rPr>
        <w:t xml:space="preserve">, en contra de la respuesta del </w:t>
      </w:r>
      <w:r w:rsidR="0023387C" w:rsidRPr="00707CD9">
        <w:rPr>
          <w:rFonts w:ascii="Palatino Linotype" w:hAnsi="Palatino Linotype" w:cs="Arial"/>
          <w:b/>
          <w:sz w:val="24"/>
          <w:szCs w:val="24"/>
        </w:rPr>
        <w:t>Ayuntamiento de Cuautitlán Izcalli</w:t>
      </w:r>
      <w:r w:rsidR="00487828" w:rsidRPr="00707CD9">
        <w:rPr>
          <w:rFonts w:ascii="Palatino Linotype" w:hAnsi="Palatino Linotype" w:cs="Arial"/>
          <w:sz w:val="24"/>
          <w:szCs w:val="24"/>
        </w:rPr>
        <w:t>, en lo subsecuente</w:t>
      </w:r>
      <w:r w:rsidR="00487828" w:rsidRPr="00707CD9">
        <w:rPr>
          <w:rFonts w:ascii="Palatino Linotype" w:hAnsi="Palatino Linotype" w:cs="Arial"/>
          <w:b/>
          <w:sz w:val="24"/>
          <w:szCs w:val="24"/>
        </w:rPr>
        <w:t xml:space="preserve"> </w:t>
      </w:r>
      <w:r w:rsidR="00487828" w:rsidRPr="00707CD9">
        <w:rPr>
          <w:rFonts w:ascii="Palatino Linotype" w:hAnsi="Palatino Linotype" w:cs="Arial"/>
          <w:sz w:val="24"/>
          <w:szCs w:val="24"/>
        </w:rPr>
        <w:t>el</w:t>
      </w:r>
      <w:r w:rsidR="00487828" w:rsidRPr="00707CD9">
        <w:rPr>
          <w:rFonts w:ascii="Palatino Linotype" w:hAnsi="Palatino Linotype" w:cs="Arial"/>
          <w:b/>
          <w:sz w:val="24"/>
          <w:szCs w:val="24"/>
        </w:rPr>
        <w:t xml:space="preserve"> Sujeto Obligado</w:t>
      </w:r>
      <w:r w:rsidR="00487828" w:rsidRPr="00707CD9">
        <w:rPr>
          <w:rFonts w:ascii="Palatino Linotype" w:hAnsi="Palatino Linotype" w:cs="Arial"/>
          <w:sz w:val="24"/>
          <w:szCs w:val="24"/>
        </w:rPr>
        <w:t>,</w:t>
      </w:r>
      <w:r w:rsidR="00487828" w:rsidRPr="00707CD9">
        <w:rPr>
          <w:rFonts w:ascii="Palatino Linotype" w:hAnsi="Palatino Linotype" w:cs="Arial"/>
          <w:b/>
          <w:sz w:val="24"/>
          <w:szCs w:val="24"/>
        </w:rPr>
        <w:t xml:space="preserve"> </w:t>
      </w:r>
      <w:r w:rsidR="00487828" w:rsidRPr="00707CD9">
        <w:rPr>
          <w:rFonts w:ascii="Palatino Linotype" w:hAnsi="Palatino Linotype" w:cs="Arial"/>
          <w:sz w:val="24"/>
          <w:szCs w:val="24"/>
        </w:rPr>
        <w:t>se procede a dictar la presente resolución.</w:t>
      </w:r>
    </w:p>
    <w:p w:rsidR="00487828" w:rsidRPr="00707CD9" w:rsidRDefault="00487828" w:rsidP="00487828">
      <w:pPr>
        <w:pStyle w:val="Sinespaciado"/>
        <w:jc w:val="both"/>
        <w:rPr>
          <w:rFonts w:ascii="Palatino Linotype" w:hAnsi="Palatino Linotype"/>
          <w:sz w:val="24"/>
        </w:rPr>
      </w:pPr>
    </w:p>
    <w:p w:rsidR="00487828" w:rsidRPr="00707CD9" w:rsidRDefault="00487828" w:rsidP="00487828">
      <w:pPr>
        <w:spacing w:after="0" w:line="360" w:lineRule="auto"/>
        <w:jc w:val="center"/>
        <w:rPr>
          <w:rFonts w:ascii="Palatino Linotype" w:hAnsi="Palatino Linotype"/>
          <w:b/>
          <w:sz w:val="28"/>
        </w:rPr>
      </w:pPr>
      <w:r w:rsidRPr="00707CD9">
        <w:rPr>
          <w:rFonts w:ascii="Palatino Linotype" w:hAnsi="Palatino Linotype"/>
          <w:b/>
          <w:sz w:val="28"/>
        </w:rPr>
        <w:t>A N T E C E D E N T E S   D E L   A S U N T O</w:t>
      </w:r>
    </w:p>
    <w:p w:rsidR="00487828" w:rsidRPr="00707CD9" w:rsidRDefault="00487828" w:rsidP="00487828">
      <w:pPr>
        <w:spacing w:after="0" w:line="360" w:lineRule="auto"/>
        <w:jc w:val="center"/>
        <w:rPr>
          <w:rFonts w:ascii="Palatino Linotype" w:hAnsi="Palatino Linotype"/>
          <w:b/>
          <w:sz w:val="20"/>
          <w:szCs w:val="20"/>
        </w:rPr>
      </w:pPr>
    </w:p>
    <w:p w:rsidR="00487828" w:rsidRPr="00707CD9" w:rsidRDefault="00487828" w:rsidP="00487828">
      <w:pPr>
        <w:spacing w:after="0" w:line="360" w:lineRule="auto"/>
        <w:jc w:val="both"/>
        <w:rPr>
          <w:rFonts w:ascii="Palatino Linotype" w:hAnsi="Palatino Linotype"/>
        </w:rPr>
      </w:pPr>
      <w:r w:rsidRPr="00707CD9">
        <w:rPr>
          <w:rFonts w:ascii="Palatino Linotype" w:hAnsi="Palatino Linotype" w:cs="Arial"/>
          <w:b/>
          <w:sz w:val="28"/>
        </w:rPr>
        <w:t>PRIMERO.</w:t>
      </w:r>
      <w:r w:rsidRPr="00707CD9">
        <w:rPr>
          <w:rFonts w:ascii="Palatino Linotype" w:hAnsi="Palatino Linotype" w:cs="Arial"/>
        </w:rPr>
        <w:t xml:space="preserve"> </w:t>
      </w:r>
      <w:r w:rsidRPr="00707CD9">
        <w:rPr>
          <w:rFonts w:ascii="Palatino Linotype" w:hAnsi="Palatino Linotype"/>
          <w:b/>
          <w:sz w:val="28"/>
          <w:szCs w:val="28"/>
        </w:rPr>
        <w:t>De la Solicitud de Información.</w:t>
      </w:r>
    </w:p>
    <w:p w:rsidR="00487828" w:rsidRPr="00707CD9" w:rsidRDefault="00487828" w:rsidP="0088432C">
      <w:pPr>
        <w:spacing w:after="0" w:line="360" w:lineRule="auto"/>
        <w:jc w:val="both"/>
        <w:rPr>
          <w:rFonts w:ascii="Palatino Linotype" w:hAnsi="Palatino Linotype" w:cs="Arial"/>
          <w:sz w:val="24"/>
        </w:rPr>
      </w:pPr>
      <w:r w:rsidRPr="00707CD9">
        <w:rPr>
          <w:rFonts w:ascii="Palatino Linotype" w:hAnsi="Palatino Linotype" w:cs="Arial"/>
          <w:sz w:val="24"/>
        </w:rPr>
        <w:t xml:space="preserve">Con fecha </w:t>
      </w:r>
      <w:r w:rsidR="0088432C" w:rsidRPr="00707CD9">
        <w:rPr>
          <w:rFonts w:ascii="Palatino Linotype" w:hAnsi="Palatino Linotype" w:cs="Arial"/>
          <w:sz w:val="24"/>
        </w:rPr>
        <w:t>doce</w:t>
      </w:r>
      <w:r w:rsidR="001123AC" w:rsidRPr="00707CD9">
        <w:rPr>
          <w:rFonts w:ascii="Palatino Linotype" w:hAnsi="Palatino Linotype" w:cs="Arial"/>
          <w:sz w:val="24"/>
        </w:rPr>
        <w:t xml:space="preserve"> de mayo</w:t>
      </w:r>
      <w:r w:rsidRPr="00707CD9">
        <w:rPr>
          <w:rFonts w:ascii="Palatino Linotype" w:hAnsi="Palatino Linotype" w:cs="Arial"/>
          <w:sz w:val="24"/>
        </w:rPr>
        <w:t xml:space="preserve"> dos mil veintidós, </w:t>
      </w:r>
      <w:r w:rsidR="002F1D71" w:rsidRPr="00707CD9">
        <w:rPr>
          <w:rFonts w:ascii="Palatino Linotype" w:hAnsi="Palatino Linotype" w:cs="Arial"/>
          <w:sz w:val="24"/>
        </w:rPr>
        <w:t>el</w:t>
      </w:r>
      <w:r w:rsidRPr="00707CD9">
        <w:rPr>
          <w:rFonts w:ascii="Palatino Linotype" w:hAnsi="Palatino Linotype" w:cs="Arial"/>
          <w:sz w:val="24"/>
        </w:rPr>
        <w:t xml:space="preserve"> </w:t>
      </w:r>
      <w:r w:rsidRPr="00707CD9">
        <w:rPr>
          <w:rFonts w:ascii="Palatino Linotype" w:hAnsi="Palatino Linotype" w:cs="Arial"/>
          <w:b/>
          <w:sz w:val="24"/>
        </w:rPr>
        <w:t>Recurrente</w:t>
      </w:r>
      <w:r w:rsidRPr="00707CD9">
        <w:rPr>
          <w:rFonts w:ascii="Palatino Linotype" w:hAnsi="Palatino Linotype" w:cs="Arial"/>
          <w:sz w:val="24"/>
        </w:rPr>
        <w:t xml:space="preserve">, presentó a través del Sistema de Acceso a la Información Mexiquense </w:t>
      </w:r>
      <w:r w:rsidRPr="00707CD9">
        <w:rPr>
          <w:rFonts w:ascii="Palatino Linotype" w:hAnsi="Palatino Linotype" w:cs="Arial"/>
          <w:b/>
          <w:sz w:val="24"/>
        </w:rPr>
        <w:t>(SAIMEX)</w:t>
      </w:r>
      <w:r w:rsidRPr="00707CD9">
        <w:rPr>
          <w:rFonts w:ascii="Palatino Linotype" w:hAnsi="Palatino Linotype" w:cs="Arial"/>
          <w:sz w:val="24"/>
        </w:rPr>
        <w:t xml:space="preserve"> ante el </w:t>
      </w:r>
      <w:r w:rsidRPr="00707CD9">
        <w:rPr>
          <w:rFonts w:ascii="Palatino Linotype" w:hAnsi="Palatino Linotype" w:cs="Arial"/>
          <w:b/>
          <w:sz w:val="24"/>
        </w:rPr>
        <w:t>Sujeto Obligado</w:t>
      </w:r>
      <w:r w:rsidRPr="00707CD9">
        <w:rPr>
          <w:rFonts w:ascii="Palatino Linotype" w:hAnsi="Palatino Linotype" w:cs="Arial"/>
          <w:sz w:val="24"/>
        </w:rPr>
        <w:t>, la solicitud de acceso a la información pública, registrada bajo el número de expediente</w:t>
      </w:r>
      <w:r w:rsidRPr="00707CD9">
        <w:rPr>
          <w:rFonts w:ascii="Palatino Linotype" w:hAnsi="Palatino Linotype" w:cs="Arial"/>
          <w:b/>
          <w:sz w:val="24"/>
        </w:rPr>
        <w:t xml:space="preserve"> </w:t>
      </w:r>
      <w:r w:rsidR="0088432C" w:rsidRPr="00707CD9">
        <w:rPr>
          <w:rFonts w:ascii="Palatino Linotype" w:hAnsi="Palatino Linotype" w:cs="Arial"/>
          <w:b/>
          <w:sz w:val="24"/>
        </w:rPr>
        <w:t>00392/CUAUTIZC/IP/2022</w:t>
      </w:r>
      <w:r w:rsidRPr="00707CD9">
        <w:rPr>
          <w:rFonts w:ascii="Palatino Linotype" w:hAnsi="Palatino Linotype" w:cs="Arial"/>
          <w:bCs/>
          <w:sz w:val="24"/>
        </w:rPr>
        <w:t>,</w:t>
      </w:r>
      <w:r w:rsidRPr="00707CD9">
        <w:rPr>
          <w:rFonts w:ascii="Palatino Linotype" w:hAnsi="Palatino Linotype" w:cs="Arial"/>
          <w:b/>
          <w:sz w:val="24"/>
        </w:rPr>
        <w:t xml:space="preserve"> </w:t>
      </w:r>
      <w:r w:rsidRPr="00707CD9">
        <w:rPr>
          <w:rFonts w:ascii="Palatino Linotype" w:hAnsi="Palatino Linotype" w:cs="Arial"/>
          <w:sz w:val="24"/>
        </w:rPr>
        <w:t>mediante la cual, solicitó información en el tenor siguiente:</w:t>
      </w:r>
    </w:p>
    <w:p w:rsidR="0088432C" w:rsidRPr="00707CD9" w:rsidRDefault="0088432C" w:rsidP="0088432C">
      <w:pPr>
        <w:spacing w:after="0" w:line="360" w:lineRule="auto"/>
        <w:jc w:val="both"/>
        <w:rPr>
          <w:rFonts w:ascii="Palatino Linotype" w:hAnsi="Palatino Linotype" w:cs="Arial"/>
          <w:sz w:val="24"/>
        </w:rPr>
      </w:pPr>
    </w:p>
    <w:p w:rsidR="00487828" w:rsidRPr="00707CD9" w:rsidRDefault="00487828" w:rsidP="001123AC">
      <w:pPr>
        <w:spacing w:after="0" w:line="360" w:lineRule="auto"/>
        <w:ind w:left="284" w:right="283"/>
        <w:jc w:val="both"/>
        <w:rPr>
          <w:rFonts w:ascii="Palatino Linotype" w:eastAsia="Times New Roman" w:hAnsi="Palatino Linotype" w:cs="Times New Roman"/>
          <w:i/>
          <w:sz w:val="23"/>
          <w:szCs w:val="23"/>
          <w:lang w:eastAsia="es-MX"/>
        </w:rPr>
      </w:pPr>
      <w:r w:rsidRPr="00707CD9">
        <w:rPr>
          <w:rFonts w:ascii="Palatino Linotype" w:eastAsia="Times New Roman" w:hAnsi="Palatino Linotype" w:cs="Times New Roman"/>
          <w:i/>
          <w:sz w:val="23"/>
          <w:szCs w:val="23"/>
          <w:lang w:eastAsia="es-MX"/>
        </w:rPr>
        <w:t>“</w:t>
      </w:r>
      <w:r w:rsidR="0088432C" w:rsidRPr="00707CD9">
        <w:rPr>
          <w:rFonts w:ascii="Palatino Linotype" w:eastAsia="Times New Roman" w:hAnsi="Palatino Linotype" w:cs="Times New Roman"/>
          <w:i/>
          <w:sz w:val="23"/>
          <w:szCs w:val="23"/>
          <w:lang w:eastAsia="es-MX"/>
        </w:rPr>
        <w:t xml:space="preserve">solicito listado con la siguiente información: nombre de los bancos con los </w:t>
      </w:r>
      <w:proofErr w:type="spellStart"/>
      <w:r w:rsidR="0088432C" w:rsidRPr="00707CD9">
        <w:rPr>
          <w:rFonts w:ascii="Palatino Linotype" w:eastAsia="Times New Roman" w:hAnsi="Palatino Linotype" w:cs="Times New Roman"/>
          <w:i/>
          <w:sz w:val="23"/>
          <w:szCs w:val="23"/>
          <w:lang w:eastAsia="es-MX"/>
        </w:rPr>
        <w:t>quie</w:t>
      </w:r>
      <w:proofErr w:type="spellEnd"/>
      <w:r w:rsidR="0088432C" w:rsidRPr="00707CD9">
        <w:rPr>
          <w:rFonts w:ascii="Palatino Linotype" w:eastAsia="Times New Roman" w:hAnsi="Palatino Linotype" w:cs="Times New Roman"/>
          <w:i/>
          <w:sz w:val="23"/>
          <w:szCs w:val="23"/>
          <w:lang w:eastAsia="es-MX"/>
        </w:rPr>
        <w:t xml:space="preserve"> este ayuntamiento tiene </w:t>
      </w:r>
      <w:proofErr w:type="spellStart"/>
      <w:r w:rsidR="0088432C" w:rsidRPr="00707CD9">
        <w:rPr>
          <w:rFonts w:ascii="Palatino Linotype" w:eastAsia="Times New Roman" w:hAnsi="Palatino Linotype" w:cs="Times New Roman"/>
          <w:i/>
          <w:sz w:val="23"/>
          <w:szCs w:val="23"/>
          <w:lang w:eastAsia="es-MX"/>
        </w:rPr>
        <w:t>aperturadas</w:t>
      </w:r>
      <w:proofErr w:type="spellEnd"/>
      <w:r w:rsidR="0088432C" w:rsidRPr="00707CD9">
        <w:rPr>
          <w:rFonts w:ascii="Palatino Linotype" w:eastAsia="Times New Roman" w:hAnsi="Palatino Linotype" w:cs="Times New Roman"/>
          <w:i/>
          <w:sz w:val="23"/>
          <w:szCs w:val="23"/>
          <w:lang w:eastAsia="es-MX"/>
        </w:rPr>
        <w:t xml:space="preserve"> cuentas, los </w:t>
      </w:r>
      <w:proofErr w:type="spellStart"/>
      <w:r w:rsidR="0088432C" w:rsidRPr="00707CD9">
        <w:rPr>
          <w:rFonts w:ascii="Palatino Linotype" w:eastAsia="Times New Roman" w:hAnsi="Palatino Linotype" w:cs="Times New Roman"/>
          <w:i/>
          <w:sz w:val="23"/>
          <w:szCs w:val="23"/>
          <w:lang w:eastAsia="es-MX"/>
        </w:rPr>
        <w:t>numeros</w:t>
      </w:r>
      <w:proofErr w:type="spellEnd"/>
      <w:r w:rsidR="0088432C" w:rsidRPr="00707CD9">
        <w:rPr>
          <w:rFonts w:ascii="Palatino Linotype" w:eastAsia="Times New Roman" w:hAnsi="Palatino Linotype" w:cs="Times New Roman"/>
          <w:i/>
          <w:sz w:val="23"/>
          <w:szCs w:val="23"/>
          <w:lang w:eastAsia="es-MX"/>
        </w:rPr>
        <w:t xml:space="preserve"> de dichas cuentas </w:t>
      </w:r>
      <w:proofErr w:type="spellStart"/>
      <w:r w:rsidR="0088432C" w:rsidRPr="00707CD9">
        <w:rPr>
          <w:rFonts w:ascii="Palatino Linotype" w:eastAsia="Times New Roman" w:hAnsi="Palatino Linotype" w:cs="Times New Roman"/>
          <w:i/>
          <w:sz w:val="23"/>
          <w:szCs w:val="23"/>
          <w:lang w:eastAsia="es-MX"/>
        </w:rPr>
        <w:t>asi</w:t>
      </w:r>
      <w:proofErr w:type="spellEnd"/>
      <w:r w:rsidR="0088432C" w:rsidRPr="00707CD9">
        <w:rPr>
          <w:rFonts w:ascii="Palatino Linotype" w:eastAsia="Times New Roman" w:hAnsi="Palatino Linotype" w:cs="Times New Roman"/>
          <w:i/>
          <w:sz w:val="23"/>
          <w:szCs w:val="23"/>
          <w:lang w:eastAsia="es-MX"/>
        </w:rPr>
        <w:t xml:space="preserve"> como los montos integrados en esas cuentas; todo lo anterior relacionado con los años 2020 a 2022</w:t>
      </w:r>
      <w:r w:rsidRPr="00707CD9">
        <w:rPr>
          <w:rFonts w:ascii="Palatino Linotype" w:eastAsia="Times New Roman" w:hAnsi="Palatino Linotype" w:cs="Times New Roman"/>
          <w:i/>
          <w:sz w:val="23"/>
          <w:szCs w:val="23"/>
          <w:lang w:eastAsia="es-MX"/>
        </w:rPr>
        <w:t>” (Sic).</w:t>
      </w:r>
    </w:p>
    <w:p w:rsidR="00487828" w:rsidRPr="00707CD9" w:rsidRDefault="00487828" w:rsidP="00487828">
      <w:pPr>
        <w:spacing w:after="0" w:line="360" w:lineRule="auto"/>
        <w:ind w:left="567" w:right="567"/>
        <w:jc w:val="both"/>
        <w:rPr>
          <w:rFonts w:ascii="Palatino Linotype" w:eastAsia="Times New Roman" w:hAnsi="Palatino Linotype" w:cs="Times New Roman"/>
          <w:i/>
          <w:sz w:val="24"/>
          <w:szCs w:val="24"/>
          <w:lang w:eastAsia="es-MX"/>
        </w:rPr>
      </w:pPr>
    </w:p>
    <w:p w:rsidR="00487828" w:rsidRPr="00707CD9" w:rsidRDefault="00487828" w:rsidP="002F1D71">
      <w:pPr>
        <w:spacing w:line="360" w:lineRule="auto"/>
        <w:jc w:val="both"/>
        <w:rPr>
          <w:rFonts w:ascii="Palatino Linotype" w:hAnsi="Palatino Linotype"/>
          <w:sz w:val="24"/>
          <w:lang w:val="es-ES_tradnl"/>
        </w:rPr>
      </w:pPr>
      <w:r w:rsidRPr="00707CD9">
        <w:rPr>
          <w:rFonts w:ascii="Palatino Linotype" w:hAnsi="Palatino Linotype"/>
          <w:b/>
          <w:sz w:val="24"/>
          <w:lang w:val="es-ES_tradnl"/>
        </w:rPr>
        <w:t>MODALIDAD DE ENTREGA:</w:t>
      </w:r>
      <w:r w:rsidRPr="00707CD9">
        <w:rPr>
          <w:rFonts w:ascii="Palatino Linotype" w:hAnsi="Palatino Linotype"/>
          <w:sz w:val="24"/>
          <w:lang w:val="es-ES_tradnl"/>
        </w:rPr>
        <w:t xml:space="preserve"> A través del </w:t>
      </w:r>
      <w:r w:rsidRPr="00707CD9">
        <w:rPr>
          <w:rFonts w:ascii="Palatino Linotype" w:hAnsi="Palatino Linotype"/>
          <w:b/>
          <w:sz w:val="24"/>
          <w:lang w:val="es-ES_tradnl"/>
        </w:rPr>
        <w:t>SAIMEX</w:t>
      </w:r>
      <w:r w:rsidRPr="00707CD9">
        <w:rPr>
          <w:rFonts w:ascii="Palatino Linotype" w:hAnsi="Palatino Linotype"/>
          <w:sz w:val="24"/>
          <w:lang w:val="es-ES_tradnl"/>
        </w:rPr>
        <w:t>.</w:t>
      </w:r>
    </w:p>
    <w:p w:rsidR="002F1D71" w:rsidRPr="00707CD9" w:rsidRDefault="002F1D71" w:rsidP="002F1D71">
      <w:pPr>
        <w:spacing w:line="360" w:lineRule="auto"/>
        <w:jc w:val="both"/>
        <w:rPr>
          <w:rFonts w:ascii="Palatino Linotype" w:hAnsi="Palatino Linotype"/>
          <w:sz w:val="8"/>
          <w:lang w:val="es-ES_tradnl"/>
        </w:rPr>
      </w:pPr>
    </w:p>
    <w:p w:rsidR="0088432C" w:rsidRPr="00707CD9" w:rsidRDefault="0088432C" w:rsidP="0088432C">
      <w:pPr>
        <w:spacing w:after="0" w:line="360" w:lineRule="auto"/>
        <w:jc w:val="both"/>
        <w:rPr>
          <w:rFonts w:ascii="Palatino Linotype" w:hAnsi="Palatino Linotype" w:cs="Arial"/>
          <w:b/>
          <w:sz w:val="28"/>
        </w:rPr>
      </w:pPr>
      <w:r w:rsidRPr="00707CD9">
        <w:rPr>
          <w:rFonts w:ascii="Palatino Linotype" w:hAnsi="Palatino Linotype" w:cs="Arial"/>
          <w:b/>
          <w:sz w:val="28"/>
        </w:rPr>
        <w:lastRenderedPageBreak/>
        <w:t xml:space="preserve">SEGUNDO. De la solicitud de prórroga del Sujeto Obligado. </w:t>
      </w:r>
    </w:p>
    <w:p w:rsidR="0088432C" w:rsidRPr="00707CD9" w:rsidRDefault="0088432C" w:rsidP="0088432C">
      <w:pPr>
        <w:spacing w:after="0" w:line="360" w:lineRule="auto"/>
        <w:jc w:val="both"/>
        <w:rPr>
          <w:rFonts w:ascii="Palatino Linotype" w:hAnsi="Palatino Linotype" w:cs="Arial"/>
          <w:sz w:val="24"/>
        </w:rPr>
      </w:pPr>
      <w:r w:rsidRPr="00707CD9">
        <w:rPr>
          <w:rFonts w:ascii="Palatino Linotype" w:hAnsi="Palatino Linotype" w:cs="Arial"/>
          <w:sz w:val="24"/>
        </w:rPr>
        <w:t xml:space="preserve">En fecha dos de junio de dos mil veintidós, </w:t>
      </w:r>
      <w:r w:rsidRPr="00707CD9">
        <w:rPr>
          <w:rFonts w:ascii="Palatino Linotype" w:hAnsi="Palatino Linotype" w:cs="Arial"/>
          <w:b/>
          <w:sz w:val="24"/>
        </w:rPr>
        <w:t>El Sujeto Obligado</w:t>
      </w:r>
      <w:r w:rsidRPr="00707CD9">
        <w:rPr>
          <w:rFonts w:ascii="Palatino Linotype" w:hAnsi="Palatino Linotype" w:cs="Arial"/>
          <w:sz w:val="24"/>
        </w:rPr>
        <w:t xml:space="preserve"> solicitó con fundamento en el artículo 163, de la Ley de Transparencia y Acceso a la Información Pública del Estado de México y Municipios, una prórroga de 7 días hábiles para atender la solicitud de información, en los siguientes términos:</w:t>
      </w:r>
    </w:p>
    <w:p w:rsidR="0088432C" w:rsidRPr="00707CD9" w:rsidRDefault="0088432C" w:rsidP="0088432C">
      <w:pPr>
        <w:pStyle w:val="Sinespaciado"/>
      </w:pPr>
    </w:p>
    <w:p w:rsidR="0088432C" w:rsidRPr="00707CD9" w:rsidRDefault="0088432C" w:rsidP="0088432C">
      <w:pPr>
        <w:spacing w:after="0" w:line="240" w:lineRule="auto"/>
        <w:ind w:left="567" w:right="567"/>
        <w:jc w:val="both"/>
        <w:rPr>
          <w:rFonts w:ascii="Palatino Linotype" w:hAnsi="Palatino Linotype"/>
          <w:i/>
          <w:lang w:eastAsia="es-MX"/>
        </w:rPr>
      </w:pPr>
      <w:r w:rsidRPr="00707CD9">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88432C" w:rsidRPr="00707CD9" w:rsidRDefault="0088432C" w:rsidP="0088432C">
      <w:pPr>
        <w:spacing w:after="0" w:line="240" w:lineRule="auto"/>
        <w:ind w:left="567" w:right="567"/>
        <w:jc w:val="both"/>
        <w:rPr>
          <w:rFonts w:ascii="Palatino Linotype" w:hAnsi="Palatino Linotype"/>
          <w:i/>
          <w:lang w:eastAsia="es-MX"/>
        </w:rPr>
      </w:pPr>
    </w:p>
    <w:p w:rsidR="0088432C" w:rsidRPr="00707CD9" w:rsidRDefault="0088432C" w:rsidP="0088432C">
      <w:pPr>
        <w:spacing w:after="0" w:line="240" w:lineRule="auto"/>
        <w:ind w:left="567" w:right="567"/>
        <w:jc w:val="both"/>
        <w:rPr>
          <w:rFonts w:ascii="Palatino Linotype" w:hAnsi="Palatino Linotype"/>
          <w:i/>
          <w:lang w:eastAsia="es-MX"/>
        </w:rPr>
      </w:pPr>
      <w:r w:rsidRPr="00707CD9">
        <w:rPr>
          <w:rFonts w:ascii="Palatino Linotype" w:hAnsi="Palatino Linotype"/>
          <w:i/>
          <w:lang w:eastAsia="es-MX"/>
        </w:rPr>
        <w:t xml:space="preserve">Con fundamento en los artículos 4, 23 fracción IV, 24 último párrafo, 53 fracción VI ,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Tesorería Municipal, ha sido prorrogado por 7 días en virtud de la siguiente razón; “Reciba un cordial saludo de quien suscribe, por este medio; en atención a la solicitud de información 00392/CUAUTIZC/IP/2022 recibida a través de la plataforma SAIMEX que a la letra se transcribe: “solicito listado con la siguiente información: nombre de los bancos con los </w:t>
      </w:r>
      <w:proofErr w:type="spellStart"/>
      <w:r w:rsidRPr="00707CD9">
        <w:rPr>
          <w:rFonts w:ascii="Palatino Linotype" w:hAnsi="Palatino Linotype"/>
          <w:i/>
          <w:lang w:eastAsia="es-MX"/>
        </w:rPr>
        <w:t>quie</w:t>
      </w:r>
      <w:proofErr w:type="spellEnd"/>
      <w:r w:rsidRPr="00707CD9">
        <w:rPr>
          <w:rFonts w:ascii="Palatino Linotype" w:hAnsi="Palatino Linotype"/>
          <w:i/>
          <w:lang w:eastAsia="es-MX"/>
        </w:rPr>
        <w:t xml:space="preserve"> este ayuntamiento tiene </w:t>
      </w:r>
      <w:proofErr w:type="spellStart"/>
      <w:r w:rsidRPr="00707CD9">
        <w:rPr>
          <w:rFonts w:ascii="Palatino Linotype" w:hAnsi="Palatino Linotype"/>
          <w:i/>
          <w:lang w:eastAsia="es-MX"/>
        </w:rPr>
        <w:t>aperturadas</w:t>
      </w:r>
      <w:proofErr w:type="spellEnd"/>
      <w:r w:rsidRPr="00707CD9">
        <w:rPr>
          <w:rFonts w:ascii="Palatino Linotype" w:hAnsi="Palatino Linotype"/>
          <w:i/>
          <w:lang w:eastAsia="es-MX"/>
        </w:rPr>
        <w:t xml:space="preserve"> cuentas, los </w:t>
      </w:r>
      <w:proofErr w:type="spellStart"/>
      <w:r w:rsidRPr="00707CD9">
        <w:rPr>
          <w:rFonts w:ascii="Palatino Linotype" w:hAnsi="Palatino Linotype"/>
          <w:i/>
          <w:lang w:eastAsia="es-MX"/>
        </w:rPr>
        <w:t>numeros</w:t>
      </w:r>
      <w:proofErr w:type="spellEnd"/>
      <w:r w:rsidRPr="00707CD9">
        <w:rPr>
          <w:rFonts w:ascii="Palatino Linotype" w:hAnsi="Palatino Linotype"/>
          <w:i/>
          <w:lang w:eastAsia="es-MX"/>
        </w:rPr>
        <w:t xml:space="preserve"> de dichas cuentas </w:t>
      </w:r>
      <w:proofErr w:type="spellStart"/>
      <w:r w:rsidRPr="00707CD9">
        <w:rPr>
          <w:rFonts w:ascii="Palatino Linotype" w:hAnsi="Palatino Linotype"/>
          <w:i/>
          <w:lang w:eastAsia="es-MX"/>
        </w:rPr>
        <w:t>asi</w:t>
      </w:r>
      <w:proofErr w:type="spellEnd"/>
      <w:r w:rsidRPr="00707CD9">
        <w:rPr>
          <w:rFonts w:ascii="Palatino Linotype" w:hAnsi="Palatino Linotype"/>
          <w:i/>
          <w:lang w:eastAsia="es-MX"/>
        </w:rPr>
        <w:t xml:space="preserve"> como los montos integrados en esas cuentas; todo lo anterior relacionado con los años 2020 a 2022 ” (SIC) Con fundamento en el artículo 49 fracción II, 163 párrafo segundo y demás aplicables de la Ley de Transparencia y Acceso a la Información Pública del Estado de México y Municipios respetuosamente le solicito, se sirva incluir en el orden del día de la próxima sesión del Comité de Transparencia de este H. Ayuntamiento, en su caso, la aprobación del proyecto del acuerdo de ampliación de plazo para dar respuesta a la solicitud de información de mérito, lo anterior toda vez que nos encontramos en la búsqueda y localización de la información, aunado a que la entrega de la información solicitada requiere el análisis de la misma y que determinada información podría ubicarse dentro de los supuestos contemplados por el artículo 140 de la Ley en la materia, máxime de señalar que el número de solicitudes recibidas por esta Tesorería retrasa la búsqueda de la información, por lo que resulta necesaria la ampliación de plazo legal para la correcta atención de dicha solicitud. ”SIC </w:t>
      </w:r>
    </w:p>
    <w:p w:rsidR="0088432C" w:rsidRPr="00707CD9" w:rsidRDefault="0088432C" w:rsidP="0088432C">
      <w:pPr>
        <w:spacing w:after="0" w:line="240" w:lineRule="auto"/>
        <w:ind w:left="567" w:right="567"/>
        <w:jc w:val="both"/>
        <w:rPr>
          <w:rFonts w:ascii="Palatino Linotype" w:hAnsi="Palatino Linotype"/>
          <w:i/>
          <w:lang w:eastAsia="es-MX"/>
        </w:rPr>
      </w:pPr>
    </w:p>
    <w:p w:rsidR="0088432C" w:rsidRPr="00707CD9" w:rsidRDefault="0088432C" w:rsidP="0088432C">
      <w:pPr>
        <w:spacing w:after="0" w:line="240" w:lineRule="auto"/>
        <w:ind w:left="567" w:right="567"/>
        <w:jc w:val="both"/>
        <w:rPr>
          <w:rFonts w:ascii="Palatino Linotype" w:hAnsi="Palatino Linotype"/>
          <w:i/>
          <w:lang w:eastAsia="es-MX"/>
        </w:rPr>
      </w:pPr>
      <w:r w:rsidRPr="00707CD9">
        <w:rPr>
          <w:rFonts w:ascii="Palatino Linotype" w:hAnsi="Palatino Linotype"/>
          <w:i/>
          <w:lang w:eastAsia="es-MX"/>
        </w:rPr>
        <w:t xml:space="preserve">Por lo anteriormente expuesto y con fundamento en el artículo163 párrafo segundo de la Ley de Transparencia y Acceso a la Información Pública del Estado de México y </w:t>
      </w:r>
      <w:r w:rsidRPr="00707CD9">
        <w:rPr>
          <w:rFonts w:ascii="Palatino Linotype" w:hAnsi="Palatino Linotype"/>
          <w:i/>
          <w:lang w:eastAsia="es-MX"/>
        </w:rPr>
        <w:lastRenderedPageBreak/>
        <w:t>Municipios, pido se sirva tenerse por notificado en tiempo y forma la ampliación el término de su solicitud de información número 00392/CUAUTIZC/IP/2022</w:t>
      </w:r>
    </w:p>
    <w:p w:rsidR="0088432C" w:rsidRPr="00707CD9" w:rsidRDefault="0088432C" w:rsidP="0088432C">
      <w:pPr>
        <w:spacing w:after="0" w:line="240" w:lineRule="auto"/>
        <w:ind w:left="567" w:right="567"/>
        <w:jc w:val="both"/>
        <w:rPr>
          <w:rFonts w:ascii="Palatino Linotype" w:hAnsi="Palatino Linotype"/>
          <w:i/>
          <w:lang w:eastAsia="es-MX"/>
        </w:rPr>
      </w:pPr>
    </w:p>
    <w:p w:rsidR="0088432C" w:rsidRPr="00707CD9" w:rsidRDefault="0088432C" w:rsidP="0088432C">
      <w:pPr>
        <w:spacing w:after="0" w:line="240" w:lineRule="auto"/>
        <w:ind w:left="567" w:right="567"/>
        <w:jc w:val="both"/>
        <w:rPr>
          <w:rFonts w:ascii="Palatino Linotype" w:hAnsi="Palatino Linotype"/>
          <w:i/>
          <w:lang w:eastAsia="es-MX"/>
        </w:rPr>
      </w:pPr>
      <w:r w:rsidRPr="00707CD9">
        <w:rPr>
          <w:rFonts w:ascii="Palatino Linotype" w:hAnsi="Palatino Linotype"/>
          <w:i/>
          <w:lang w:eastAsia="es-MX"/>
        </w:rPr>
        <w:t>MTRA. MARÍA ISABEL CISNEROS MÁRQUEZ</w:t>
      </w:r>
    </w:p>
    <w:p w:rsidR="0088432C" w:rsidRPr="00707CD9" w:rsidRDefault="0088432C" w:rsidP="0088432C">
      <w:pPr>
        <w:spacing w:after="0" w:line="240" w:lineRule="auto"/>
        <w:ind w:left="567" w:right="567"/>
        <w:jc w:val="both"/>
        <w:rPr>
          <w:rFonts w:ascii="Palatino Linotype" w:hAnsi="Palatino Linotype"/>
          <w:i/>
          <w:lang w:eastAsia="es-MX"/>
        </w:rPr>
      </w:pPr>
      <w:r w:rsidRPr="00707CD9">
        <w:rPr>
          <w:rFonts w:ascii="Palatino Linotype" w:hAnsi="Palatino Linotype"/>
          <w:i/>
          <w:lang w:eastAsia="es-MX"/>
        </w:rPr>
        <w:t>Responsable de la Unidad de Transparencia”</w:t>
      </w:r>
    </w:p>
    <w:p w:rsidR="0088432C" w:rsidRPr="00707CD9" w:rsidRDefault="0088432C" w:rsidP="0088432C">
      <w:pPr>
        <w:pStyle w:val="Sinespaciado"/>
      </w:pPr>
    </w:p>
    <w:p w:rsidR="0088432C" w:rsidRPr="00707CD9" w:rsidRDefault="0088432C" w:rsidP="0088432C">
      <w:pPr>
        <w:spacing w:after="0" w:line="360" w:lineRule="auto"/>
        <w:jc w:val="both"/>
        <w:rPr>
          <w:rFonts w:ascii="Palatino Linotype" w:hAnsi="Palatino Linotype" w:cs="Arial"/>
          <w:sz w:val="24"/>
        </w:rPr>
      </w:pPr>
      <w:r w:rsidRPr="00707CD9">
        <w:rPr>
          <w:rFonts w:ascii="Palatino Linotype" w:hAnsi="Palatino Linotype" w:cs="Arial"/>
          <w:sz w:val="24"/>
        </w:rPr>
        <w:t xml:space="preserve">Adjuntando a dicha solicitud de prórroga, el archivo electrónico denominado </w:t>
      </w:r>
      <w:r w:rsidRPr="00707CD9">
        <w:rPr>
          <w:rFonts w:ascii="Palatino Linotype" w:hAnsi="Palatino Linotype" w:cs="Arial"/>
          <w:i/>
          <w:sz w:val="24"/>
        </w:rPr>
        <w:t>“392 ACUERDO PRÓRROGA TESORERÍA 392.pdf”</w:t>
      </w:r>
      <w:r w:rsidRPr="00707CD9">
        <w:rPr>
          <w:rFonts w:ascii="Palatino Linotype" w:hAnsi="Palatino Linotype" w:cs="Arial"/>
          <w:sz w:val="24"/>
        </w:rPr>
        <w:t xml:space="preserve">, cuyo contenido es la aprobación de la prórroga del Comité de Transparencia del </w:t>
      </w:r>
      <w:r w:rsidRPr="00707CD9">
        <w:rPr>
          <w:rFonts w:ascii="Palatino Linotype" w:hAnsi="Palatino Linotype" w:cs="Arial"/>
          <w:b/>
          <w:sz w:val="24"/>
        </w:rPr>
        <w:t>Sujeto Obligado</w:t>
      </w:r>
      <w:r w:rsidRPr="00707CD9">
        <w:rPr>
          <w:rFonts w:ascii="Palatino Linotype" w:hAnsi="Palatino Linotype" w:cs="Arial"/>
          <w:sz w:val="24"/>
        </w:rPr>
        <w:t xml:space="preserve">. </w:t>
      </w:r>
    </w:p>
    <w:p w:rsidR="0088432C" w:rsidRPr="00707CD9" w:rsidRDefault="0088432C" w:rsidP="0088432C">
      <w:pPr>
        <w:spacing w:after="0" w:line="360" w:lineRule="auto"/>
        <w:jc w:val="both"/>
        <w:rPr>
          <w:rFonts w:ascii="Palatino Linotype" w:hAnsi="Palatino Linotype" w:cs="Arial"/>
          <w:b/>
          <w:sz w:val="24"/>
        </w:rPr>
      </w:pPr>
    </w:p>
    <w:p w:rsidR="00487828" w:rsidRPr="00707CD9" w:rsidRDefault="0088432C" w:rsidP="0088432C">
      <w:pPr>
        <w:spacing w:after="0" w:line="360" w:lineRule="auto"/>
        <w:jc w:val="both"/>
        <w:rPr>
          <w:rFonts w:ascii="Palatino Linotype" w:hAnsi="Palatino Linotype" w:cs="Arial"/>
          <w:b/>
          <w:sz w:val="28"/>
        </w:rPr>
      </w:pPr>
      <w:r w:rsidRPr="00707CD9">
        <w:rPr>
          <w:rFonts w:ascii="Palatino Linotype" w:hAnsi="Palatino Linotype" w:cs="Arial"/>
          <w:b/>
          <w:sz w:val="28"/>
        </w:rPr>
        <w:t>TERCER</w:t>
      </w:r>
      <w:r w:rsidR="00487828" w:rsidRPr="00707CD9">
        <w:rPr>
          <w:rFonts w:ascii="Palatino Linotype" w:hAnsi="Palatino Linotype" w:cs="Arial"/>
          <w:b/>
          <w:sz w:val="28"/>
        </w:rPr>
        <w:t xml:space="preserve">O. </w:t>
      </w:r>
      <w:r w:rsidR="00487828" w:rsidRPr="00707CD9">
        <w:rPr>
          <w:rFonts w:ascii="Palatino Linotype" w:hAnsi="Palatino Linotype" w:cs="Arial"/>
          <w:b/>
          <w:sz w:val="28"/>
          <w:szCs w:val="20"/>
        </w:rPr>
        <w:t>De la respuesta del Sujeto Obligado.</w:t>
      </w:r>
    </w:p>
    <w:p w:rsidR="00487828" w:rsidRPr="00707CD9" w:rsidRDefault="00487828" w:rsidP="00487828">
      <w:pPr>
        <w:spacing w:after="0" w:line="360" w:lineRule="auto"/>
        <w:jc w:val="both"/>
        <w:rPr>
          <w:rFonts w:ascii="Palatino Linotype" w:hAnsi="Palatino Linotype" w:cs="Arial"/>
          <w:b/>
          <w:sz w:val="28"/>
        </w:rPr>
      </w:pPr>
      <w:r w:rsidRPr="00707CD9">
        <w:rPr>
          <w:rFonts w:ascii="Palatino Linotype" w:hAnsi="Palatino Linotype" w:cs="Arial"/>
          <w:sz w:val="24"/>
        </w:rPr>
        <w:t xml:space="preserve">En el expediente electrónico </w:t>
      </w:r>
      <w:r w:rsidRPr="00707CD9">
        <w:rPr>
          <w:rFonts w:ascii="Palatino Linotype" w:hAnsi="Palatino Linotype" w:cs="Arial"/>
          <w:b/>
          <w:sz w:val="24"/>
        </w:rPr>
        <w:t>SAIMEX</w:t>
      </w:r>
      <w:r w:rsidRPr="00707CD9">
        <w:rPr>
          <w:rFonts w:ascii="Palatino Linotype" w:hAnsi="Palatino Linotype" w:cs="Arial"/>
          <w:sz w:val="24"/>
        </w:rPr>
        <w:t xml:space="preserve">, se aprecia que el día </w:t>
      </w:r>
      <w:r w:rsidR="0088432C" w:rsidRPr="00707CD9">
        <w:rPr>
          <w:rFonts w:ascii="Palatino Linotype" w:hAnsi="Palatino Linotype" w:cs="Arial"/>
          <w:sz w:val="24"/>
        </w:rPr>
        <w:t xml:space="preserve">trece </w:t>
      </w:r>
      <w:r w:rsidR="001123AC" w:rsidRPr="00707CD9">
        <w:rPr>
          <w:rFonts w:ascii="Palatino Linotype" w:hAnsi="Palatino Linotype" w:cs="Arial"/>
          <w:sz w:val="24"/>
        </w:rPr>
        <w:t>de junio</w:t>
      </w:r>
      <w:r w:rsidRPr="00707CD9">
        <w:rPr>
          <w:rFonts w:ascii="Palatino Linotype" w:hAnsi="Palatino Linotype" w:cs="Arial"/>
          <w:sz w:val="24"/>
        </w:rPr>
        <w:t xml:space="preserve"> de dos mil veintidós, </w:t>
      </w:r>
      <w:r w:rsidRPr="00707CD9">
        <w:rPr>
          <w:rFonts w:ascii="Palatino Linotype" w:hAnsi="Palatino Linotype" w:cs="Arial"/>
          <w:b/>
          <w:sz w:val="24"/>
        </w:rPr>
        <w:t>El Sujeto Obligado</w:t>
      </w:r>
      <w:r w:rsidRPr="00707CD9">
        <w:rPr>
          <w:rFonts w:ascii="Palatino Linotype" w:hAnsi="Palatino Linotype" w:cs="Arial"/>
          <w:sz w:val="24"/>
        </w:rPr>
        <w:t xml:space="preserve"> dio respuesta a las solicitudes de información señalando lo siguiente: </w:t>
      </w:r>
    </w:p>
    <w:p w:rsidR="00487828" w:rsidRPr="00707CD9" w:rsidRDefault="00487828" w:rsidP="00487828">
      <w:pPr>
        <w:spacing w:after="0" w:line="240" w:lineRule="auto"/>
        <w:jc w:val="both"/>
        <w:rPr>
          <w:rFonts w:ascii="Palatino Linotype" w:hAnsi="Palatino Linotype" w:cs="Arial"/>
          <w:i/>
          <w:sz w:val="24"/>
        </w:rPr>
      </w:pPr>
    </w:p>
    <w:p w:rsidR="0088432C" w:rsidRPr="00707CD9" w:rsidRDefault="00487828" w:rsidP="0088432C">
      <w:pPr>
        <w:spacing w:after="0" w:line="240" w:lineRule="auto"/>
        <w:ind w:left="567" w:right="567"/>
        <w:jc w:val="both"/>
        <w:rPr>
          <w:rFonts w:ascii="Palatino Linotype" w:hAnsi="Palatino Linotype"/>
          <w:i/>
          <w:color w:val="000000"/>
        </w:rPr>
      </w:pPr>
      <w:r w:rsidRPr="00707CD9">
        <w:rPr>
          <w:rFonts w:ascii="Palatino Linotype" w:eastAsia="Times New Roman" w:hAnsi="Palatino Linotype" w:cs="Times New Roman"/>
          <w:i/>
          <w:lang w:val="es-ES_tradnl" w:eastAsia="es-ES"/>
        </w:rPr>
        <w:t>“</w:t>
      </w:r>
      <w:r w:rsidR="0088432C" w:rsidRPr="00707CD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8432C" w:rsidRPr="00707CD9" w:rsidRDefault="0088432C" w:rsidP="0088432C">
      <w:pPr>
        <w:spacing w:after="0" w:line="240" w:lineRule="auto"/>
        <w:ind w:left="567" w:right="567"/>
        <w:jc w:val="both"/>
        <w:rPr>
          <w:rFonts w:ascii="Palatino Linotype" w:hAnsi="Palatino Linotype"/>
          <w:i/>
          <w:color w:val="000000"/>
        </w:rPr>
      </w:pPr>
    </w:p>
    <w:p w:rsidR="0088432C" w:rsidRPr="00707CD9" w:rsidRDefault="0088432C" w:rsidP="0088432C">
      <w:pPr>
        <w:spacing w:after="0" w:line="240" w:lineRule="auto"/>
        <w:ind w:left="567" w:right="567"/>
        <w:jc w:val="both"/>
        <w:rPr>
          <w:rFonts w:ascii="Palatino Linotype" w:hAnsi="Palatino Linotype"/>
          <w:i/>
          <w:color w:val="000000"/>
        </w:rPr>
      </w:pPr>
      <w:r w:rsidRPr="00707CD9">
        <w:rPr>
          <w:rFonts w:ascii="Palatino Linotype" w:hAnsi="Palatino Linotype"/>
          <w:i/>
          <w:color w:val="000000"/>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Tesorería Municipal. 1.- “Reciba un cordial saludo de quien suscribe, por este medio, en atención a la solicitud de información con número de folio 392/CUAUTIZC/IP/2022, recibida a través de la plataforma SAIMEX, que a la letra se transcribe: “solicito listado con la siguiente información: nombre de los bancos con los </w:t>
      </w:r>
      <w:proofErr w:type="spellStart"/>
      <w:r w:rsidRPr="00707CD9">
        <w:rPr>
          <w:rFonts w:ascii="Palatino Linotype" w:hAnsi="Palatino Linotype"/>
          <w:i/>
          <w:color w:val="000000"/>
        </w:rPr>
        <w:t>quie</w:t>
      </w:r>
      <w:proofErr w:type="spellEnd"/>
      <w:r w:rsidRPr="00707CD9">
        <w:rPr>
          <w:rFonts w:ascii="Palatino Linotype" w:hAnsi="Palatino Linotype"/>
          <w:i/>
          <w:color w:val="000000"/>
        </w:rPr>
        <w:t xml:space="preserve"> este ayuntamiento tiene </w:t>
      </w:r>
      <w:proofErr w:type="spellStart"/>
      <w:r w:rsidRPr="00707CD9">
        <w:rPr>
          <w:rFonts w:ascii="Palatino Linotype" w:hAnsi="Palatino Linotype"/>
          <w:i/>
          <w:color w:val="000000"/>
        </w:rPr>
        <w:t>aperturadas</w:t>
      </w:r>
      <w:proofErr w:type="spellEnd"/>
      <w:r w:rsidRPr="00707CD9">
        <w:rPr>
          <w:rFonts w:ascii="Palatino Linotype" w:hAnsi="Palatino Linotype"/>
          <w:i/>
          <w:color w:val="000000"/>
        </w:rPr>
        <w:t xml:space="preserve"> cuentas, los </w:t>
      </w:r>
      <w:proofErr w:type="spellStart"/>
      <w:r w:rsidRPr="00707CD9">
        <w:rPr>
          <w:rFonts w:ascii="Palatino Linotype" w:hAnsi="Palatino Linotype"/>
          <w:i/>
          <w:color w:val="000000"/>
        </w:rPr>
        <w:t>numeros</w:t>
      </w:r>
      <w:proofErr w:type="spellEnd"/>
      <w:r w:rsidRPr="00707CD9">
        <w:rPr>
          <w:rFonts w:ascii="Palatino Linotype" w:hAnsi="Palatino Linotype"/>
          <w:i/>
          <w:color w:val="000000"/>
        </w:rPr>
        <w:t xml:space="preserve"> de dichas cuentas </w:t>
      </w:r>
      <w:proofErr w:type="spellStart"/>
      <w:r w:rsidRPr="00707CD9">
        <w:rPr>
          <w:rFonts w:ascii="Palatino Linotype" w:hAnsi="Palatino Linotype"/>
          <w:i/>
          <w:color w:val="000000"/>
        </w:rPr>
        <w:t>asi</w:t>
      </w:r>
      <w:proofErr w:type="spellEnd"/>
      <w:r w:rsidRPr="00707CD9">
        <w:rPr>
          <w:rFonts w:ascii="Palatino Linotype" w:hAnsi="Palatino Linotype"/>
          <w:i/>
          <w:color w:val="000000"/>
        </w:rPr>
        <w:t xml:space="preserve"> como los montos integrados en esas cuentas; todo lo anterior relacionado con los años 2020 a 2022 ”SIC Sobre el particular y con fundamento en los artículos 11, 12 segundo párrafo de la Ley de Transparencia y Acceso a la Información Pública del Estado de México y Municipios, sírvase encontrar ajunto archivo en formato PDF que contiene la información </w:t>
      </w:r>
      <w:r w:rsidRPr="00707CD9">
        <w:rPr>
          <w:rFonts w:ascii="Palatino Linotype" w:hAnsi="Palatino Linotype"/>
          <w:i/>
          <w:color w:val="000000"/>
        </w:rPr>
        <w:lastRenderedPageBreak/>
        <w:t xml:space="preserve">de las cuentas bancarias que tiene </w:t>
      </w:r>
      <w:proofErr w:type="spellStart"/>
      <w:r w:rsidRPr="00707CD9">
        <w:rPr>
          <w:rFonts w:ascii="Palatino Linotype" w:hAnsi="Palatino Linotype"/>
          <w:i/>
          <w:color w:val="000000"/>
        </w:rPr>
        <w:t>aperturadas</w:t>
      </w:r>
      <w:proofErr w:type="spellEnd"/>
      <w:r w:rsidRPr="00707CD9">
        <w:rPr>
          <w:rFonts w:ascii="Palatino Linotype" w:hAnsi="Palatino Linotype"/>
          <w:i/>
          <w:color w:val="000000"/>
        </w:rPr>
        <w:t xml:space="preserve"> el Municipio de C. Izcalli al cierre del primer trimestre del ejercicio fiscal en curso, tal como obra en los archivos de la Coordinación de Caja General, adscrita a esta Tesorería Municipal, así mismo, le informo que se envía la información de conformidad con el informe trimestral que fue entregado al Órgano superior de fiscalización (OSFEM). Sin más por el momento, quedo de usted. ”SIC”. </w:t>
      </w:r>
    </w:p>
    <w:p w:rsidR="0088432C" w:rsidRPr="00707CD9" w:rsidRDefault="0088432C" w:rsidP="0088432C">
      <w:pPr>
        <w:spacing w:after="0" w:line="240" w:lineRule="auto"/>
        <w:ind w:left="567" w:right="567"/>
        <w:jc w:val="both"/>
        <w:rPr>
          <w:rFonts w:ascii="Palatino Linotype" w:hAnsi="Palatino Linotype"/>
          <w:i/>
          <w:color w:val="000000"/>
        </w:rPr>
      </w:pPr>
    </w:p>
    <w:p w:rsidR="0088432C" w:rsidRPr="00707CD9" w:rsidRDefault="0088432C" w:rsidP="0088432C">
      <w:pPr>
        <w:spacing w:after="0" w:line="240" w:lineRule="auto"/>
        <w:ind w:left="567" w:right="567"/>
        <w:jc w:val="both"/>
        <w:rPr>
          <w:rFonts w:ascii="Palatino Linotype" w:hAnsi="Palatino Linotype"/>
          <w:i/>
          <w:color w:val="000000"/>
        </w:rPr>
      </w:pPr>
      <w:r w:rsidRPr="00707CD9">
        <w:rPr>
          <w:rFonts w:ascii="Palatino Linotype" w:hAnsi="Palatino Linotype"/>
          <w:i/>
          <w:color w:val="000000"/>
        </w:rPr>
        <w:t>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rsidR="0088432C" w:rsidRPr="00707CD9" w:rsidRDefault="0088432C" w:rsidP="0088432C">
      <w:pPr>
        <w:spacing w:after="0" w:line="240" w:lineRule="auto"/>
        <w:ind w:left="567" w:right="567"/>
        <w:jc w:val="both"/>
        <w:rPr>
          <w:rFonts w:ascii="Palatino Linotype" w:hAnsi="Palatino Linotype"/>
          <w:i/>
          <w:color w:val="000000"/>
        </w:rPr>
      </w:pPr>
    </w:p>
    <w:p w:rsidR="0088432C" w:rsidRPr="00707CD9" w:rsidRDefault="0088432C" w:rsidP="0088432C">
      <w:pPr>
        <w:spacing w:after="0" w:line="240" w:lineRule="auto"/>
        <w:ind w:left="567" w:right="567"/>
        <w:jc w:val="both"/>
        <w:rPr>
          <w:rFonts w:ascii="Palatino Linotype" w:hAnsi="Palatino Linotype"/>
          <w:i/>
          <w:color w:val="000000"/>
        </w:rPr>
      </w:pPr>
      <w:r w:rsidRPr="00707CD9">
        <w:rPr>
          <w:rFonts w:ascii="Palatino Linotype" w:hAnsi="Palatino Linotype"/>
          <w:i/>
          <w:color w:val="000000"/>
        </w:rPr>
        <w:t>ATENTAMENTE</w:t>
      </w:r>
    </w:p>
    <w:p w:rsidR="00487828" w:rsidRPr="00707CD9" w:rsidRDefault="0088432C" w:rsidP="0088432C">
      <w:pPr>
        <w:spacing w:after="0" w:line="240" w:lineRule="auto"/>
        <w:ind w:left="567" w:right="567"/>
        <w:jc w:val="both"/>
        <w:rPr>
          <w:rFonts w:ascii="Palatino Linotype" w:eastAsia="Times New Roman" w:hAnsi="Palatino Linotype" w:cs="Times New Roman"/>
          <w:i/>
          <w:lang w:val="es-ES_tradnl" w:eastAsia="es-ES"/>
        </w:rPr>
      </w:pPr>
      <w:r w:rsidRPr="00707CD9">
        <w:rPr>
          <w:rFonts w:ascii="Palatino Linotype" w:hAnsi="Palatino Linotype"/>
          <w:i/>
          <w:color w:val="000000"/>
        </w:rPr>
        <w:t>MTRA. MARÍA ISABEL CISNEROS MÁRQUEZ</w:t>
      </w:r>
      <w:r w:rsidR="00487828" w:rsidRPr="00707CD9">
        <w:rPr>
          <w:rFonts w:ascii="Palatino Linotype" w:eastAsia="Times New Roman" w:hAnsi="Palatino Linotype" w:cs="Times New Roman"/>
          <w:i/>
          <w:lang w:val="es-ES_tradnl" w:eastAsia="es-ES"/>
        </w:rPr>
        <w:t>” [Sic]</w:t>
      </w:r>
    </w:p>
    <w:p w:rsidR="00487828" w:rsidRPr="00707CD9" w:rsidRDefault="00487828" w:rsidP="00487828">
      <w:pPr>
        <w:pStyle w:val="Sinespaciado"/>
        <w:spacing w:line="360" w:lineRule="auto"/>
        <w:jc w:val="both"/>
        <w:rPr>
          <w:rFonts w:ascii="Palatino Linotype" w:hAnsi="Palatino Linotype"/>
          <w:sz w:val="24"/>
          <w:lang w:val="es-ES_tradnl"/>
        </w:rPr>
      </w:pPr>
    </w:p>
    <w:p w:rsidR="00487828" w:rsidRPr="00707CD9" w:rsidRDefault="00487828" w:rsidP="00487828">
      <w:pPr>
        <w:pStyle w:val="Sinespaciado"/>
        <w:spacing w:line="360" w:lineRule="auto"/>
        <w:jc w:val="both"/>
        <w:rPr>
          <w:rFonts w:ascii="Palatino Linotype" w:hAnsi="Palatino Linotype"/>
          <w:sz w:val="24"/>
          <w:lang w:val="es-ES_tradnl"/>
        </w:rPr>
      </w:pPr>
      <w:r w:rsidRPr="00707CD9">
        <w:rPr>
          <w:rFonts w:ascii="Palatino Linotype" w:hAnsi="Palatino Linotype"/>
          <w:sz w:val="24"/>
          <w:lang w:val="es-ES_tradnl"/>
        </w:rPr>
        <w:t xml:space="preserve">El </w:t>
      </w:r>
      <w:r w:rsidRPr="00707CD9">
        <w:rPr>
          <w:rFonts w:ascii="Palatino Linotype" w:hAnsi="Palatino Linotype"/>
          <w:b/>
          <w:sz w:val="24"/>
          <w:lang w:val="es-ES_tradnl"/>
        </w:rPr>
        <w:t>Sujeto Obligado</w:t>
      </w:r>
      <w:r w:rsidRPr="00707CD9">
        <w:rPr>
          <w:rFonts w:ascii="Palatino Linotype" w:hAnsi="Palatino Linotype"/>
          <w:sz w:val="24"/>
          <w:lang w:val="es-ES_tradnl"/>
        </w:rPr>
        <w:t xml:space="preserve"> adjuntó a su respuesta, </w:t>
      </w:r>
      <w:r w:rsidR="002F1D71" w:rsidRPr="00707CD9">
        <w:rPr>
          <w:rFonts w:ascii="Palatino Linotype" w:hAnsi="Palatino Linotype"/>
          <w:sz w:val="24"/>
          <w:lang w:val="es-ES_tradnl"/>
        </w:rPr>
        <w:t>los</w:t>
      </w:r>
      <w:r w:rsidRPr="00707CD9">
        <w:rPr>
          <w:rFonts w:ascii="Palatino Linotype" w:hAnsi="Palatino Linotype"/>
          <w:sz w:val="24"/>
          <w:lang w:val="es-ES_tradnl"/>
        </w:rPr>
        <w:t xml:space="preserve"> archivo</w:t>
      </w:r>
      <w:r w:rsidR="002F1D71" w:rsidRPr="00707CD9">
        <w:rPr>
          <w:rFonts w:ascii="Palatino Linotype" w:hAnsi="Palatino Linotype"/>
          <w:sz w:val="24"/>
          <w:lang w:val="es-ES_tradnl"/>
        </w:rPr>
        <w:t>s</w:t>
      </w:r>
      <w:r w:rsidRPr="00707CD9">
        <w:rPr>
          <w:rFonts w:ascii="Palatino Linotype" w:hAnsi="Palatino Linotype"/>
          <w:sz w:val="24"/>
          <w:lang w:val="es-ES_tradnl"/>
        </w:rPr>
        <w:t xml:space="preserve"> electrónico</w:t>
      </w:r>
      <w:r w:rsidR="002F1D71" w:rsidRPr="00707CD9">
        <w:rPr>
          <w:rFonts w:ascii="Palatino Linotype" w:hAnsi="Palatino Linotype"/>
          <w:sz w:val="24"/>
          <w:lang w:val="es-ES_tradnl"/>
        </w:rPr>
        <w:t>s</w:t>
      </w:r>
      <w:r w:rsidRPr="00707CD9">
        <w:rPr>
          <w:rFonts w:ascii="Palatino Linotype" w:hAnsi="Palatino Linotype"/>
          <w:sz w:val="24"/>
          <w:lang w:val="es-ES_tradnl"/>
        </w:rPr>
        <w:t xml:space="preserve"> denominado</w:t>
      </w:r>
      <w:r w:rsidR="002F1D71" w:rsidRPr="00707CD9">
        <w:rPr>
          <w:rFonts w:ascii="Palatino Linotype" w:hAnsi="Palatino Linotype"/>
          <w:sz w:val="24"/>
          <w:lang w:val="es-ES_tradnl"/>
        </w:rPr>
        <w:t>s</w:t>
      </w:r>
      <w:r w:rsidRPr="00707CD9">
        <w:rPr>
          <w:rFonts w:ascii="Palatino Linotype" w:hAnsi="Palatino Linotype"/>
          <w:sz w:val="24"/>
          <w:lang w:val="es-ES_tradnl"/>
        </w:rPr>
        <w:t xml:space="preserve"> </w:t>
      </w:r>
      <w:r w:rsidRPr="00707CD9">
        <w:rPr>
          <w:rFonts w:ascii="Palatino Linotype" w:hAnsi="Palatino Linotype"/>
          <w:i/>
          <w:sz w:val="24"/>
          <w:lang w:val="es-ES_tradnl"/>
        </w:rPr>
        <w:t>“</w:t>
      </w:r>
      <w:r w:rsidR="0088432C" w:rsidRPr="00707CD9">
        <w:rPr>
          <w:rFonts w:ascii="Palatino Linotype" w:hAnsi="Palatino Linotype"/>
          <w:i/>
          <w:sz w:val="24"/>
          <w:lang w:val="es-ES_tradnl"/>
        </w:rPr>
        <w:t>CUENTAS BANCARIAS SAIMEX 392.pdf</w:t>
      </w:r>
      <w:r w:rsidRPr="00707CD9">
        <w:rPr>
          <w:rFonts w:ascii="Palatino Linotype" w:hAnsi="Palatino Linotype"/>
          <w:i/>
          <w:sz w:val="24"/>
          <w:lang w:val="es-ES_tradnl"/>
        </w:rPr>
        <w:t>”</w:t>
      </w:r>
      <w:r w:rsidR="0088432C" w:rsidRPr="00707CD9">
        <w:rPr>
          <w:rFonts w:ascii="Palatino Linotype" w:hAnsi="Palatino Linotype"/>
          <w:sz w:val="24"/>
          <w:lang w:val="es-ES_tradnl"/>
        </w:rPr>
        <w:t xml:space="preserve"> </w:t>
      </w:r>
      <w:r w:rsidR="002F1D71" w:rsidRPr="00707CD9">
        <w:rPr>
          <w:rFonts w:ascii="Palatino Linotype" w:hAnsi="Palatino Linotype"/>
          <w:sz w:val="24"/>
          <w:lang w:val="es-ES_tradnl"/>
        </w:rPr>
        <w:t>y</w:t>
      </w:r>
      <w:r w:rsidR="002F1D71" w:rsidRPr="00707CD9">
        <w:rPr>
          <w:rFonts w:ascii="Palatino Linotype" w:hAnsi="Palatino Linotype"/>
          <w:i/>
          <w:sz w:val="24"/>
          <w:lang w:val="es-ES_tradnl"/>
        </w:rPr>
        <w:t xml:space="preserve"> “</w:t>
      </w:r>
      <w:r w:rsidR="0088432C" w:rsidRPr="00707CD9">
        <w:rPr>
          <w:rFonts w:ascii="Palatino Linotype" w:hAnsi="Palatino Linotype"/>
          <w:i/>
          <w:sz w:val="24"/>
          <w:lang w:val="es-ES_tradnl"/>
        </w:rPr>
        <w:t>392.pdf</w:t>
      </w:r>
      <w:r w:rsidR="002F1D71" w:rsidRPr="00707CD9">
        <w:rPr>
          <w:rFonts w:ascii="Palatino Linotype" w:hAnsi="Palatino Linotype"/>
          <w:i/>
          <w:sz w:val="24"/>
          <w:lang w:val="es-ES_tradnl"/>
        </w:rPr>
        <w:t>”</w:t>
      </w:r>
      <w:r w:rsidRPr="00707CD9">
        <w:rPr>
          <w:rFonts w:ascii="Palatino Linotype" w:hAnsi="Palatino Linotype"/>
          <w:sz w:val="24"/>
          <w:lang w:val="es-ES_tradnl"/>
        </w:rPr>
        <w:t xml:space="preserve">; </w:t>
      </w:r>
      <w:r w:rsidR="002F1D71" w:rsidRPr="00707CD9">
        <w:rPr>
          <w:rFonts w:ascii="Palatino Linotype" w:hAnsi="Palatino Linotype"/>
          <w:sz w:val="24"/>
          <w:lang w:val="es-ES_tradnl"/>
        </w:rPr>
        <w:t>los</w:t>
      </w:r>
      <w:r w:rsidRPr="00707CD9">
        <w:rPr>
          <w:rFonts w:ascii="Palatino Linotype" w:hAnsi="Palatino Linotype"/>
          <w:sz w:val="24"/>
          <w:lang w:val="es-ES_tradnl"/>
        </w:rPr>
        <w:t xml:space="preserve"> cual</w:t>
      </w:r>
      <w:r w:rsidR="002F1D71" w:rsidRPr="00707CD9">
        <w:rPr>
          <w:rFonts w:ascii="Palatino Linotype" w:hAnsi="Palatino Linotype"/>
          <w:sz w:val="24"/>
          <w:lang w:val="es-ES_tradnl"/>
        </w:rPr>
        <w:t>es</w:t>
      </w:r>
      <w:r w:rsidRPr="00707CD9">
        <w:rPr>
          <w:rFonts w:ascii="Palatino Linotype" w:hAnsi="Palatino Linotype"/>
          <w:sz w:val="24"/>
          <w:lang w:val="es-ES_tradnl"/>
        </w:rPr>
        <w:t>, no se inserta</w:t>
      </w:r>
      <w:r w:rsidR="002F1D71" w:rsidRPr="00707CD9">
        <w:rPr>
          <w:rFonts w:ascii="Palatino Linotype" w:hAnsi="Palatino Linotype"/>
          <w:sz w:val="24"/>
          <w:lang w:val="es-ES_tradnl"/>
        </w:rPr>
        <w:t>n</w:t>
      </w:r>
      <w:r w:rsidRPr="00707CD9">
        <w:rPr>
          <w:rFonts w:ascii="Palatino Linotype" w:hAnsi="Palatino Linotype"/>
          <w:sz w:val="24"/>
          <w:lang w:val="es-ES_tradnl"/>
        </w:rPr>
        <w:t xml:space="preserve"> por ser del conocimiento de las partes, sin embargo, será</w:t>
      </w:r>
      <w:r w:rsidR="002F1D71" w:rsidRPr="00707CD9">
        <w:rPr>
          <w:rFonts w:ascii="Palatino Linotype" w:hAnsi="Palatino Linotype"/>
          <w:sz w:val="24"/>
          <w:lang w:val="es-ES_tradnl"/>
        </w:rPr>
        <w:t>n</w:t>
      </w:r>
      <w:r w:rsidRPr="00707CD9">
        <w:rPr>
          <w:rFonts w:ascii="Palatino Linotype" w:hAnsi="Palatino Linotype"/>
          <w:sz w:val="24"/>
          <w:lang w:val="es-ES_tradnl"/>
        </w:rPr>
        <w:t xml:space="preserve"> motivo de estudio en el Considerando correspondiente.</w:t>
      </w:r>
    </w:p>
    <w:p w:rsidR="00487828" w:rsidRPr="00707CD9" w:rsidRDefault="00487828" w:rsidP="00487828">
      <w:pPr>
        <w:pStyle w:val="Sinespaciado"/>
        <w:spacing w:line="276" w:lineRule="auto"/>
        <w:jc w:val="both"/>
        <w:rPr>
          <w:rFonts w:ascii="Palatino Linotype" w:hAnsi="Palatino Linotype"/>
          <w:sz w:val="24"/>
          <w:lang w:val="es-ES_tradnl"/>
        </w:rPr>
      </w:pPr>
    </w:p>
    <w:p w:rsidR="00487828" w:rsidRPr="00707CD9" w:rsidRDefault="0088432C" w:rsidP="00487828">
      <w:pPr>
        <w:pStyle w:val="Sinespaciado"/>
        <w:spacing w:line="276" w:lineRule="auto"/>
        <w:jc w:val="both"/>
        <w:rPr>
          <w:rFonts w:ascii="Palatino Linotype" w:hAnsi="Palatino Linotype"/>
          <w:sz w:val="24"/>
          <w:lang w:val="es-ES_tradnl"/>
        </w:rPr>
      </w:pPr>
      <w:r w:rsidRPr="00707CD9">
        <w:rPr>
          <w:rFonts w:ascii="Palatino Linotype" w:hAnsi="Palatino Linotype" w:cs="Arial"/>
          <w:b/>
          <w:sz w:val="28"/>
        </w:rPr>
        <w:t>CUART</w:t>
      </w:r>
      <w:r w:rsidR="00487828" w:rsidRPr="00707CD9">
        <w:rPr>
          <w:rFonts w:ascii="Palatino Linotype" w:hAnsi="Palatino Linotype" w:cs="Arial"/>
          <w:b/>
          <w:sz w:val="28"/>
        </w:rPr>
        <w:t xml:space="preserve">O. </w:t>
      </w:r>
      <w:r w:rsidR="00487828" w:rsidRPr="00707CD9">
        <w:rPr>
          <w:rFonts w:ascii="Palatino Linotype" w:hAnsi="Palatino Linotype"/>
          <w:b/>
          <w:sz w:val="28"/>
        </w:rPr>
        <w:t>Del recurso de revisión.</w:t>
      </w:r>
    </w:p>
    <w:p w:rsidR="00487828" w:rsidRPr="00707CD9" w:rsidRDefault="00487828" w:rsidP="001123AC">
      <w:pPr>
        <w:spacing w:after="0" w:line="360" w:lineRule="auto"/>
        <w:jc w:val="both"/>
        <w:rPr>
          <w:rFonts w:ascii="Palatino Linotype" w:hAnsi="Palatino Linotype" w:cs="Arial"/>
          <w:sz w:val="24"/>
        </w:rPr>
      </w:pPr>
      <w:r w:rsidRPr="00707CD9">
        <w:rPr>
          <w:rFonts w:ascii="Palatino Linotype" w:hAnsi="Palatino Linotype" w:cs="Arial"/>
          <w:sz w:val="24"/>
          <w:szCs w:val="24"/>
        </w:rPr>
        <w:t>Inconforme con la respuesta notificada por parte del</w:t>
      </w:r>
      <w:r w:rsidRPr="00707CD9">
        <w:rPr>
          <w:rFonts w:ascii="Palatino Linotype" w:hAnsi="Palatino Linotype" w:cs="Arial"/>
          <w:b/>
          <w:sz w:val="24"/>
          <w:szCs w:val="24"/>
        </w:rPr>
        <w:t xml:space="preserve"> Sujeto Obligado</w:t>
      </w:r>
      <w:r w:rsidRPr="00707CD9">
        <w:rPr>
          <w:rFonts w:ascii="Palatino Linotype" w:hAnsi="Palatino Linotype" w:cs="Arial"/>
          <w:sz w:val="24"/>
          <w:szCs w:val="24"/>
        </w:rPr>
        <w:t xml:space="preserve">, </w:t>
      </w:r>
      <w:r w:rsidR="00F515AC" w:rsidRPr="00707CD9">
        <w:rPr>
          <w:rFonts w:ascii="Palatino Linotype" w:hAnsi="Palatino Linotype" w:cs="Arial"/>
          <w:sz w:val="24"/>
          <w:szCs w:val="24"/>
        </w:rPr>
        <w:t>el</w:t>
      </w:r>
      <w:r w:rsidRPr="00707CD9">
        <w:rPr>
          <w:rFonts w:ascii="Palatino Linotype" w:hAnsi="Palatino Linotype" w:cs="Arial"/>
          <w:sz w:val="24"/>
          <w:szCs w:val="24"/>
        </w:rPr>
        <w:t xml:space="preserve"> ahora</w:t>
      </w:r>
      <w:r w:rsidRPr="00707CD9">
        <w:rPr>
          <w:rFonts w:ascii="Palatino Linotype" w:hAnsi="Palatino Linotype" w:cs="Arial"/>
          <w:b/>
          <w:sz w:val="24"/>
          <w:szCs w:val="24"/>
        </w:rPr>
        <w:t xml:space="preserve"> Recurrente </w:t>
      </w:r>
      <w:r w:rsidRPr="00707CD9">
        <w:rPr>
          <w:rFonts w:ascii="Palatino Linotype" w:hAnsi="Palatino Linotype" w:cs="Arial"/>
          <w:sz w:val="24"/>
          <w:szCs w:val="24"/>
        </w:rPr>
        <w:t xml:space="preserve">interpuso el recursos de revisión, en fecha </w:t>
      </w:r>
      <w:r w:rsidR="0088432C" w:rsidRPr="00707CD9">
        <w:rPr>
          <w:rFonts w:ascii="Palatino Linotype" w:hAnsi="Palatino Linotype" w:cs="Arial"/>
          <w:sz w:val="24"/>
          <w:szCs w:val="24"/>
        </w:rPr>
        <w:t>cuatro de julio</w:t>
      </w:r>
      <w:r w:rsidRPr="00707CD9">
        <w:rPr>
          <w:rFonts w:ascii="Palatino Linotype" w:hAnsi="Palatino Linotype" w:cs="Arial"/>
          <w:sz w:val="24"/>
          <w:szCs w:val="24"/>
        </w:rPr>
        <w:t xml:space="preserve"> de dos mil veintidós, el cual, fue registrado</w:t>
      </w:r>
      <w:r w:rsidRPr="00707CD9">
        <w:rPr>
          <w:rFonts w:ascii="Palatino Linotype" w:hAnsi="Palatino Linotype" w:cs="Arial"/>
          <w:b/>
          <w:sz w:val="24"/>
          <w:szCs w:val="24"/>
        </w:rPr>
        <w:t xml:space="preserve"> </w:t>
      </w:r>
      <w:r w:rsidRPr="00707CD9">
        <w:rPr>
          <w:rFonts w:ascii="Palatino Linotype" w:hAnsi="Palatino Linotype" w:cs="Arial"/>
          <w:sz w:val="24"/>
          <w:szCs w:val="24"/>
        </w:rPr>
        <w:t xml:space="preserve">en el sistema electrónico con el expediente número </w:t>
      </w:r>
      <w:r w:rsidR="0088432C" w:rsidRPr="00707CD9">
        <w:rPr>
          <w:rFonts w:ascii="Palatino Linotype" w:hAnsi="Palatino Linotype" w:cs="Arial"/>
          <w:b/>
          <w:bCs/>
          <w:sz w:val="24"/>
          <w:szCs w:val="24"/>
          <w:lang w:eastAsia="es-MX"/>
        </w:rPr>
        <w:t>12360</w:t>
      </w:r>
      <w:r w:rsidRPr="00707CD9">
        <w:rPr>
          <w:rFonts w:ascii="Palatino Linotype" w:hAnsi="Palatino Linotype" w:cs="Arial"/>
          <w:b/>
          <w:bCs/>
          <w:sz w:val="24"/>
          <w:szCs w:val="24"/>
          <w:lang w:eastAsia="es-MX"/>
        </w:rPr>
        <w:t>/INFOEM/IP/RR/2022</w:t>
      </w:r>
      <w:r w:rsidRPr="00707CD9">
        <w:rPr>
          <w:rFonts w:ascii="Palatino Linotype" w:hAnsi="Palatino Linotype" w:cs="Arial"/>
          <w:sz w:val="24"/>
          <w:szCs w:val="24"/>
        </w:rPr>
        <w:t xml:space="preserve">; en el cual, </w:t>
      </w:r>
      <w:r w:rsidRPr="00707CD9">
        <w:rPr>
          <w:rFonts w:ascii="Palatino Linotype" w:hAnsi="Palatino Linotype" w:cs="Arial"/>
          <w:sz w:val="24"/>
        </w:rPr>
        <w:t>arguye las siguientes manifestaciones:</w:t>
      </w:r>
    </w:p>
    <w:p w:rsidR="0088432C" w:rsidRPr="00707CD9" w:rsidRDefault="0088432C" w:rsidP="0088432C">
      <w:pPr>
        <w:pStyle w:val="Sinespaciado"/>
      </w:pPr>
    </w:p>
    <w:p w:rsidR="00487828" w:rsidRPr="00707CD9" w:rsidRDefault="00487828" w:rsidP="00487828">
      <w:pPr>
        <w:pStyle w:val="Prrafodelista"/>
        <w:numPr>
          <w:ilvl w:val="0"/>
          <w:numId w:val="1"/>
        </w:numPr>
        <w:jc w:val="both"/>
        <w:rPr>
          <w:rFonts w:ascii="Palatino Linotype" w:hAnsi="Palatino Linotype" w:cs="Arial"/>
          <w:b/>
          <w:sz w:val="28"/>
        </w:rPr>
      </w:pPr>
      <w:r w:rsidRPr="00707CD9">
        <w:rPr>
          <w:rFonts w:ascii="Palatino Linotype" w:hAnsi="Palatino Linotype" w:cs="Arial"/>
          <w:b/>
          <w:sz w:val="28"/>
        </w:rPr>
        <w:t>Acto Impugnado:</w:t>
      </w:r>
    </w:p>
    <w:p w:rsidR="00487828" w:rsidRPr="00707CD9" w:rsidRDefault="00487828" w:rsidP="00487828">
      <w:pPr>
        <w:spacing w:after="0" w:line="240" w:lineRule="auto"/>
        <w:ind w:left="567" w:right="567"/>
        <w:jc w:val="both"/>
        <w:rPr>
          <w:rFonts w:ascii="Palatino Linotype" w:hAnsi="Palatino Linotype" w:cs="Arial"/>
          <w:i/>
          <w:sz w:val="24"/>
        </w:rPr>
      </w:pPr>
      <w:r w:rsidRPr="00707CD9">
        <w:rPr>
          <w:rFonts w:ascii="Palatino Linotype" w:hAnsi="Palatino Linotype" w:cs="Arial"/>
          <w:i/>
          <w:sz w:val="24"/>
        </w:rPr>
        <w:t>“</w:t>
      </w:r>
      <w:r w:rsidR="0088432C" w:rsidRPr="00707CD9">
        <w:rPr>
          <w:rFonts w:ascii="Palatino Linotype" w:hAnsi="Palatino Linotype" w:cs="Arial"/>
          <w:i/>
          <w:sz w:val="24"/>
        </w:rPr>
        <w:t>información que me dieron</w:t>
      </w:r>
      <w:r w:rsidRPr="00707CD9">
        <w:rPr>
          <w:rFonts w:ascii="Palatino Linotype" w:hAnsi="Palatino Linotype" w:cs="Arial"/>
          <w:i/>
          <w:sz w:val="24"/>
        </w:rPr>
        <w:t>” [sic]</w:t>
      </w:r>
    </w:p>
    <w:p w:rsidR="00487828" w:rsidRPr="00707CD9" w:rsidRDefault="00487828" w:rsidP="00487828">
      <w:pPr>
        <w:spacing w:after="0" w:line="240" w:lineRule="auto"/>
        <w:ind w:left="567" w:right="567"/>
        <w:jc w:val="both"/>
        <w:rPr>
          <w:rFonts w:ascii="Palatino Linotype" w:hAnsi="Palatino Linotype" w:cs="Arial"/>
          <w:i/>
          <w:sz w:val="24"/>
        </w:rPr>
      </w:pPr>
    </w:p>
    <w:p w:rsidR="00487828" w:rsidRPr="00707CD9" w:rsidRDefault="00487828" w:rsidP="00487828">
      <w:pPr>
        <w:pStyle w:val="Prrafodelista"/>
        <w:numPr>
          <w:ilvl w:val="0"/>
          <w:numId w:val="1"/>
        </w:numPr>
        <w:jc w:val="both"/>
        <w:rPr>
          <w:rFonts w:ascii="Palatino Linotype" w:hAnsi="Palatino Linotype" w:cs="Arial"/>
          <w:sz w:val="28"/>
        </w:rPr>
      </w:pPr>
      <w:r w:rsidRPr="00707CD9">
        <w:rPr>
          <w:rFonts w:ascii="Palatino Linotype" w:hAnsi="Palatino Linotype" w:cs="Arial"/>
          <w:b/>
          <w:sz w:val="28"/>
        </w:rPr>
        <w:t>Razones o Motivos de Inconformidad</w:t>
      </w:r>
      <w:r w:rsidRPr="00707CD9">
        <w:rPr>
          <w:rFonts w:ascii="Palatino Linotype" w:hAnsi="Palatino Linotype" w:cs="Arial"/>
          <w:sz w:val="28"/>
        </w:rPr>
        <w:t xml:space="preserve">: </w:t>
      </w:r>
    </w:p>
    <w:p w:rsidR="00487828" w:rsidRPr="00707CD9" w:rsidRDefault="00487828" w:rsidP="00487828">
      <w:pPr>
        <w:pStyle w:val="Prrafodelista"/>
        <w:ind w:left="567"/>
        <w:jc w:val="both"/>
        <w:rPr>
          <w:rFonts w:ascii="Palatino Linotype" w:hAnsi="Palatino Linotype" w:cs="Arial"/>
          <w:i/>
        </w:rPr>
      </w:pPr>
      <w:r w:rsidRPr="00707CD9">
        <w:rPr>
          <w:rFonts w:ascii="Palatino Linotype" w:hAnsi="Palatino Linotype" w:cs="Arial"/>
          <w:i/>
        </w:rPr>
        <w:t>“</w:t>
      </w:r>
      <w:r w:rsidR="0088432C" w:rsidRPr="00707CD9">
        <w:rPr>
          <w:rFonts w:ascii="Palatino Linotype" w:hAnsi="Palatino Linotype" w:cs="Arial"/>
          <w:i/>
        </w:rPr>
        <w:t xml:space="preserve">me dieron un listado incompleto, requiero la documentación </w:t>
      </w:r>
      <w:proofErr w:type="spellStart"/>
      <w:r w:rsidR="0088432C" w:rsidRPr="00707CD9">
        <w:rPr>
          <w:rFonts w:ascii="Palatino Linotype" w:hAnsi="Palatino Linotype" w:cs="Arial"/>
          <w:i/>
        </w:rPr>
        <w:t>correcra</w:t>
      </w:r>
      <w:proofErr w:type="spellEnd"/>
      <w:r w:rsidR="0088432C" w:rsidRPr="00707CD9">
        <w:rPr>
          <w:rFonts w:ascii="Palatino Linotype" w:hAnsi="Palatino Linotype" w:cs="Arial"/>
          <w:i/>
        </w:rPr>
        <w:t xml:space="preserve"> y bien como la </w:t>
      </w:r>
      <w:proofErr w:type="spellStart"/>
      <w:r w:rsidR="0088432C" w:rsidRPr="00707CD9">
        <w:rPr>
          <w:rFonts w:ascii="Palatino Linotype" w:hAnsi="Palatino Linotype" w:cs="Arial"/>
          <w:i/>
        </w:rPr>
        <w:t>pedi</w:t>
      </w:r>
      <w:proofErr w:type="spellEnd"/>
      <w:r w:rsidRPr="00707CD9">
        <w:rPr>
          <w:rFonts w:ascii="Palatino Linotype" w:hAnsi="Palatino Linotype" w:cs="Arial"/>
          <w:i/>
        </w:rPr>
        <w:t>” [sic]</w:t>
      </w:r>
    </w:p>
    <w:p w:rsidR="00487828" w:rsidRPr="00707CD9" w:rsidRDefault="00487828" w:rsidP="00487828">
      <w:pPr>
        <w:pStyle w:val="Sinespaciado"/>
        <w:spacing w:line="360" w:lineRule="auto"/>
        <w:jc w:val="both"/>
        <w:rPr>
          <w:rFonts w:ascii="Palatino Linotype" w:hAnsi="Palatino Linotype"/>
          <w:sz w:val="24"/>
          <w:lang w:val="es-ES_tradnl"/>
        </w:rPr>
      </w:pPr>
    </w:p>
    <w:p w:rsidR="00487828" w:rsidRPr="00707CD9" w:rsidRDefault="0088432C" w:rsidP="00487828">
      <w:pPr>
        <w:spacing w:after="0" w:line="360" w:lineRule="auto"/>
        <w:jc w:val="both"/>
        <w:rPr>
          <w:rFonts w:ascii="Palatino Linotype" w:hAnsi="Palatino Linotype" w:cs="Arial"/>
          <w:b/>
          <w:sz w:val="24"/>
          <w:szCs w:val="24"/>
        </w:rPr>
      </w:pPr>
      <w:r w:rsidRPr="00707CD9">
        <w:rPr>
          <w:rFonts w:ascii="Palatino Linotype" w:hAnsi="Palatino Linotype" w:cs="Arial"/>
          <w:b/>
          <w:sz w:val="28"/>
        </w:rPr>
        <w:lastRenderedPageBreak/>
        <w:t>QUIN</w:t>
      </w:r>
      <w:r w:rsidR="00487828" w:rsidRPr="00707CD9">
        <w:rPr>
          <w:rFonts w:ascii="Palatino Linotype" w:hAnsi="Palatino Linotype" w:cs="Arial"/>
          <w:b/>
          <w:sz w:val="28"/>
        </w:rPr>
        <w:t>TO</w:t>
      </w:r>
      <w:r w:rsidR="00487828" w:rsidRPr="00707CD9">
        <w:rPr>
          <w:rFonts w:ascii="Palatino Linotype" w:hAnsi="Palatino Linotype" w:cs="Arial"/>
          <w:b/>
          <w:sz w:val="24"/>
          <w:szCs w:val="24"/>
        </w:rPr>
        <w:t xml:space="preserve">. </w:t>
      </w:r>
      <w:r w:rsidR="00487828" w:rsidRPr="00707CD9">
        <w:rPr>
          <w:rFonts w:ascii="Palatino Linotype" w:hAnsi="Palatino Linotype" w:cs="Arial"/>
          <w:b/>
          <w:sz w:val="28"/>
          <w:szCs w:val="28"/>
        </w:rPr>
        <w:t>Del turno del recurso de revisión.</w:t>
      </w:r>
    </w:p>
    <w:p w:rsidR="00487828" w:rsidRPr="00707CD9" w:rsidRDefault="00487828" w:rsidP="00487828">
      <w:pPr>
        <w:spacing w:after="0" w:line="360" w:lineRule="auto"/>
        <w:jc w:val="both"/>
        <w:rPr>
          <w:rFonts w:ascii="Palatino Linotype" w:hAnsi="Palatino Linotype" w:cs="Arial"/>
          <w:sz w:val="24"/>
          <w:szCs w:val="24"/>
        </w:rPr>
      </w:pPr>
      <w:r w:rsidRPr="00707CD9">
        <w:rPr>
          <w:rFonts w:ascii="Palatino Linotype" w:hAnsi="Palatino Linotype" w:cs="Arial"/>
          <w:sz w:val="24"/>
          <w:szCs w:val="24"/>
        </w:rPr>
        <w:t xml:space="preserve">El medio de impugnación le fue turnado al Comisionado Presidente </w:t>
      </w:r>
      <w:r w:rsidRPr="00707CD9">
        <w:rPr>
          <w:rFonts w:ascii="Palatino Linotype" w:hAnsi="Palatino Linotype" w:cs="Arial"/>
          <w:b/>
          <w:sz w:val="24"/>
          <w:szCs w:val="24"/>
        </w:rPr>
        <w:t>José Martínez Vilchis</w:t>
      </w:r>
      <w:r w:rsidRPr="00707CD9">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del cual recayó a</w:t>
      </w:r>
      <w:r w:rsidR="00F515AC" w:rsidRPr="00707CD9">
        <w:rPr>
          <w:rFonts w:ascii="Palatino Linotype" w:hAnsi="Palatino Linotype" w:cs="Arial"/>
          <w:sz w:val="24"/>
          <w:szCs w:val="24"/>
        </w:rPr>
        <w:t xml:space="preserve">cuerdo de admisión en fecha </w:t>
      </w:r>
      <w:r w:rsidR="0088432C" w:rsidRPr="00707CD9">
        <w:rPr>
          <w:rFonts w:ascii="Palatino Linotype" w:hAnsi="Palatino Linotype" w:cs="Arial"/>
          <w:sz w:val="24"/>
          <w:szCs w:val="24"/>
        </w:rPr>
        <w:t>ocho de julio</w:t>
      </w:r>
      <w:r w:rsidR="00F515AC" w:rsidRPr="00707CD9">
        <w:rPr>
          <w:rFonts w:ascii="Palatino Linotype" w:hAnsi="Palatino Linotype" w:cs="Arial"/>
          <w:sz w:val="24"/>
          <w:szCs w:val="24"/>
        </w:rPr>
        <w:t xml:space="preserve"> de </w:t>
      </w:r>
      <w:r w:rsidRPr="00707CD9">
        <w:rPr>
          <w:rFonts w:ascii="Palatino Linotype" w:hAnsi="Palatino Linotype" w:cs="Arial"/>
          <w:sz w:val="24"/>
          <w:szCs w:val="24"/>
        </w:rPr>
        <w:t>dos mil veintidós, determinándose en él, un plazo de siete días para que las partes manifestaran lo que a su derecho corresponda en términos del numeral ya citado.</w:t>
      </w:r>
    </w:p>
    <w:p w:rsidR="001123AC" w:rsidRPr="00707CD9" w:rsidRDefault="001123AC" w:rsidP="00487828">
      <w:pPr>
        <w:spacing w:after="0" w:line="360" w:lineRule="auto"/>
        <w:jc w:val="both"/>
        <w:rPr>
          <w:rFonts w:ascii="Palatino Linotype" w:hAnsi="Palatino Linotype" w:cs="Arial"/>
          <w:b/>
          <w:sz w:val="24"/>
        </w:rPr>
      </w:pPr>
    </w:p>
    <w:p w:rsidR="00487828" w:rsidRPr="00707CD9" w:rsidRDefault="0088432C" w:rsidP="00487828">
      <w:pPr>
        <w:spacing w:after="0" w:line="360" w:lineRule="auto"/>
        <w:jc w:val="both"/>
        <w:rPr>
          <w:rFonts w:ascii="Palatino Linotype" w:hAnsi="Palatino Linotype" w:cs="Arial"/>
          <w:b/>
          <w:sz w:val="24"/>
          <w:szCs w:val="24"/>
        </w:rPr>
      </w:pPr>
      <w:r w:rsidRPr="00707CD9">
        <w:rPr>
          <w:rFonts w:ascii="Palatino Linotype" w:hAnsi="Palatino Linotype" w:cs="Arial"/>
          <w:b/>
          <w:sz w:val="28"/>
        </w:rPr>
        <w:t>SEX</w:t>
      </w:r>
      <w:r w:rsidR="00487828" w:rsidRPr="00707CD9">
        <w:rPr>
          <w:rFonts w:ascii="Palatino Linotype" w:hAnsi="Palatino Linotype" w:cs="Arial"/>
          <w:b/>
          <w:sz w:val="28"/>
        </w:rPr>
        <w:t>TO</w:t>
      </w:r>
      <w:r w:rsidR="00487828" w:rsidRPr="00707CD9">
        <w:rPr>
          <w:rFonts w:ascii="Palatino Linotype" w:hAnsi="Palatino Linotype" w:cs="Arial"/>
          <w:b/>
          <w:sz w:val="24"/>
          <w:szCs w:val="24"/>
        </w:rPr>
        <w:t xml:space="preserve">. </w:t>
      </w:r>
      <w:r w:rsidR="00487828" w:rsidRPr="00707CD9">
        <w:rPr>
          <w:rFonts w:ascii="Palatino Linotype" w:hAnsi="Palatino Linotype" w:cs="Arial"/>
          <w:b/>
          <w:sz w:val="28"/>
          <w:szCs w:val="28"/>
        </w:rPr>
        <w:t>De la etapa de instrucción.</w:t>
      </w:r>
    </w:p>
    <w:p w:rsidR="001123AC" w:rsidRPr="00707CD9" w:rsidRDefault="00487828" w:rsidP="0088432C">
      <w:pPr>
        <w:spacing w:after="0" w:line="360" w:lineRule="auto"/>
        <w:jc w:val="both"/>
        <w:rPr>
          <w:rFonts w:ascii="Palatino Linotype" w:hAnsi="Palatino Linotype" w:cs="Arial"/>
          <w:sz w:val="24"/>
          <w:szCs w:val="24"/>
        </w:rPr>
      </w:pPr>
      <w:r w:rsidRPr="00707CD9">
        <w:rPr>
          <w:rFonts w:ascii="Palatino Linotype" w:hAnsi="Palatino Linotype" w:cs="Arial"/>
          <w:sz w:val="24"/>
          <w:szCs w:val="24"/>
        </w:rPr>
        <w:t xml:space="preserve">De las constancias que obran en el expediente electrónico del </w:t>
      </w:r>
      <w:r w:rsidRPr="00707CD9">
        <w:rPr>
          <w:rFonts w:ascii="Palatino Linotype" w:hAnsi="Palatino Linotype" w:cs="Arial"/>
          <w:b/>
          <w:sz w:val="24"/>
          <w:szCs w:val="24"/>
        </w:rPr>
        <w:t>SAIMEX</w:t>
      </w:r>
      <w:r w:rsidRPr="00707CD9">
        <w:rPr>
          <w:rFonts w:ascii="Palatino Linotype" w:hAnsi="Palatino Linotype" w:cs="Arial"/>
          <w:sz w:val="24"/>
          <w:szCs w:val="24"/>
        </w:rPr>
        <w:t xml:space="preserve"> se desprende que </w:t>
      </w:r>
      <w:r w:rsidRPr="00707CD9">
        <w:rPr>
          <w:rFonts w:ascii="Palatino Linotype" w:hAnsi="Palatino Linotype" w:cs="Arial"/>
          <w:b/>
          <w:sz w:val="24"/>
          <w:szCs w:val="24"/>
        </w:rPr>
        <w:t>El Sujeto Obligado</w:t>
      </w:r>
      <w:r w:rsidR="00F515AC" w:rsidRPr="00707CD9">
        <w:rPr>
          <w:rFonts w:ascii="Palatino Linotype" w:hAnsi="Palatino Linotype" w:cs="Arial"/>
          <w:sz w:val="24"/>
          <w:szCs w:val="24"/>
        </w:rPr>
        <w:t xml:space="preserve"> en fecha </w:t>
      </w:r>
      <w:r w:rsidR="0088432C" w:rsidRPr="00707CD9">
        <w:rPr>
          <w:rFonts w:ascii="Palatino Linotype" w:hAnsi="Palatino Linotype" w:cs="Arial"/>
          <w:sz w:val="24"/>
          <w:szCs w:val="24"/>
        </w:rPr>
        <w:t>uno de agosto</w:t>
      </w:r>
      <w:r w:rsidRPr="00707CD9">
        <w:rPr>
          <w:rFonts w:ascii="Palatino Linotype" w:hAnsi="Palatino Linotype" w:cs="Arial"/>
          <w:sz w:val="24"/>
          <w:szCs w:val="24"/>
        </w:rPr>
        <w:t xml:space="preserve"> de dos mil veintidós, remitió su informe justificado mediante </w:t>
      </w:r>
      <w:r w:rsidR="001123AC" w:rsidRPr="00707CD9">
        <w:rPr>
          <w:rFonts w:ascii="Palatino Linotype" w:hAnsi="Palatino Linotype" w:cs="Arial"/>
          <w:sz w:val="24"/>
          <w:szCs w:val="24"/>
        </w:rPr>
        <w:t>el</w:t>
      </w:r>
      <w:r w:rsidR="00F515AC" w:rsidRPr="00707CD9">
        <w:rPr>
          <w:rFonts w:ascii="Palatino Linotype" w:hAnsi="Palatino Linotype" w:cs="Arial"/>
          <w:sz w:val="24"/>
          <w:szCs w:val="24"/>
        </w:rPr>
        <w:t xml:space="preserve"> </w:t>
      </w:r>
      <w:r w:rsidRPr="00707CD9">
        <w:rPr>
          <w:rFonts w:ascii="Palatino Linotype" w:hAnsi="Palatino Linotype" w:cs="Arial"/>
          <w:sz w:val="24"/>
          <w:szCs w:val="24"/>
        </w:rPr>
        <w:t xml:space="preserve">archivo electrónico denominado </w:t>
      </w:r>
      <w:r w:rsidRPr="00707CD9">
        <w:rPr>
          <w:rFonts w:ascii="Palatino Linotype" w:hAnsi="Palatino Linotype" w:cs="Arial"/>
          <w:i/>
          <w:sz w:val="24"/>
          <w:szCs w:val="24"/>
        </w:rPr>
        <w:t>“</w:t>
      </w:r>
      <w:r w:rsidR="0088432C" w:rsidRPr="00707CD9">
        <w:rPr>
          <w:rFonts w:ascii="Palatino Linotype" w:hAnsi="Palatino Linotype" w:cs="Arial"/>
          <w:i/>
          <w:sz w:val="24"/>
          <w:szCs w:val="24"/>
        </w:rPr>
        <w:t>INFORME JUSTIFICADO 12360.pdf</w:t>
      </w:r>
      <w:r w:rsidRPr="00707CD9">
        <w:rPr>
          <w:rFonts w:ascii="Palatino Linotype" w:hAnsi="Palatino Linotype" w:cs="Arial"/>
          <w:i/>
          <w:sz w:val="24"/>
          <w:szCs w:val="24"/>
        </w:rPr>
        <w:t>”</w:t>
      </w:r>
      <w:r w:rsidRPr="00707CD9">
        <w:rPr>
          <w:rFonts w:ascii="Palatino Linotype" w:hAnsi="Palatino Linotype" w:cs="Arial"/>
          <w:sz w:val="24"/>
          <w:szCs w:val="24"/>
        </w:rPr>
        <w:t xml:space="preserve">; </w:t>
      </w:r>
      <w:r w:rsidR="001123AC" w:rsidRPr="00707CD9">
        <w:rPr>
          <w:rFonts w:ascii="Palatino Linotype" w:hAnsi="Palatino Linotype" w:cs="Arial"/>
          <w:sz w:val="24"/>
          <w:szCs w:val="24"/>
        </w:rPr>
        <w:t>el</w:t>
      </w:r>
      <w:r w:rsidRPr="00707CD9">
        <w:rPr>
          <w:rFonts w:ascii="Palatino Linotype" w:hAnsi="Palatino Linotype" w:cs="Arial"/>
          <w:sz w:val="24"/>
          <w:szCs w:val="24"/>
        </w:rPr>
        <w:t xml:space="preserve"> cual, fue puesto a la vista del particular </w:t>
      </w:r>
      <w:r w:rsidR="00F03EDF" w:rsidRPr="00707CD9">
        <w:rPr>
          <w:rFonts w:ascii="Palatino Linotype" w:hAnsi="Palatino Linotype" w:cs="Arial"/>
          <w:sz w:val="24"/>
          <w:szCs w:val="24"/>
        </w:rPr>
        <w:t>mediante el Acuerdo de fecha tres de agosto del mismo año</w:t>
      </w:r>
      <w:r w:rsidRPr="00707CD9">
        <w:rPr>
          <w:rFonts w:ascii="Palatino Linotype" w:hAnsi="Palatino Linotype" w:cs="Arial"/>
          <w:sz w:val="24"/>
          <w:szCs w:val="24"/>
        </w:rPr>
        <w:t xml:space="preserve">; por su parte, la parte </w:t>
      </w:r>
      <w:r w:rsidRPr="00707CD9">
        <w:rPr>
          <w:rFonts w:ascii="Palatino Linotype" w:hAnsi="Palatino Linotype" w:cs="Arial"/>
          <w:b/>
          <w:sz w:val="24"/>
          <w:szCs w:val="24"/>
        </w:rPr>
        <w:t>Recurrente</w:t>
      </w:r>
      <w:r w:rsidRPr="00707CD9">
        <w:rPr>
          <w:rFonts w:ascii="Palatino Linotype" w:hAnsi="Palatino Linotype" w:cs="Arial"/>
          <w:sz w:val="24"/>
          <w:szCs w:val="24"/>
        </w:rPr>
        <w:t>, no realizó alegatos, ni remitió pruebas o manifestaciones, de conformidad con la siguiente captura de pantalla:</w:t>
      </w:r>
    </w:p>
    <w:p w:rsidR="0088432C" w:rsidRPr="00707CD9" w:rsidRDefault="00F03EDF" w:rsidP="00F03EDF">
      <w:pPr>
        <w:spacing w:after="0" w:line="360" w:lineRule="auto"/>
        <w:jc w:val="center"/>
        <w:rPr>
          <w:rFonts w:ascii="Palatino Linotype" w:hAnsi="Palatino Linotype" w:cs="Arial"/>
          <w:sz w:val="24"/>
          <w:szCs w:val="24"/>
        </w:rPr>
      </w:pPr>
      <w:r w:rsidRPr="00707CD9">
        <w:rPr>
          <w:rFonts w:ascii="Palatino Linotype" w:hAnsi="Palatino Linotype" w:cs="Arial"/>
          <w:noProof/>
          <w:sz w:val="24"/>
          <w:szCs w:val="24"/>
          <w:lang w:eastAsia="es-MX"/>
        </w:rPr>
        <w:drawing>
          <wp:inline distT="0" distB="0" distL="0" distR="0">
            <wp:extent cx="4307840" cy="2178657"/>
            <wp:effectExtent l="190500" t="190500" r="187960" b="1841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5474" cy="2192633"/>
                    </a:xfrm>
                    <a:prstGeom prst="rect">
                      <a:avLst/>
                    </a:prstGeom>
                    <a:ln>
                      <a:noFill/>
                    </a:ln>
                    <a:effectLst>
                      <a:outerShdw blurRad="190500" algn="tl" rotWithShape="0">
                        <a:srgbClr val="000000">
                          <a:alpha val="70000"/>
                        </a:srgbClr>
                      </a:outerShdw>
                    </a:effectLst>
                  </pic:spPr>
                </pic:pic>
              </a:graphicData>
            </a:graphic>
          </wp:inline>
        </w:drawing>
      </w:r>
    </w:p>
    <w:p w:rsidR="00487828" w:rsidRPr="00707CD9" w:rsidRDefault="0088432C" w:rsidP="00487828">
      <w:pPr>
        <w:spacing w:after="0" w:line="360" w:lineRule="auto"/>
        <w:jc w:val="both"/>
        <w:rPr>
          <w:rFonts w:ascii="Palatino Linotype" w:hAnsi="Palatino Linotype" w:cs="Arial"/>
          <w:b/>
          <w:sz w:val="28"/>
          <w:szCs w:val="24"/>
        </w:rPr>
      </w:pPr>
      <w:r w:rsidRPr="00707CD9">
        <w:rPr>
          <w:rFonts w:ascii="Palatino Linotype" w:hAnsi="Palatino Linotype" w:cs="Arial"/>
          <w:b/>
          <w:sz w:val="28"/>
          <w:szCs w:val="24"/>
        </w:rPr>
        <w:lastRenderedPageBreak/>
        <w:t>SÉPTIM</w:t>
      </w:r>
      <w:r w:rsidR="00487828" w:rsidRPr="00707CD9">
        <w:rPr>
          <w:rFonts w:ascii="Palatino Linotype" w:hAnsi="Palatino Linotype" w:cs="Arial"/>
          <w:b/>
          <w:sz w:val="28"/>
          <w:szCs w:val="24"/>
        </w:rPr>
        <w:t>O. Del cierre de instrucción.</w:t>
      </w:r>
    </w:p>
    <w:p w:rsidR="00487828" w:rsidRPr="00707CD9" w:rsidRDefault="00487828" w:rsidP="00487828">
      <w:pPr>
        <w:spacing w:after="0" w:line="360" w:lineRule="auto"/>
        <w:jc w:val="both"/>
        <w:rPr>
          <w:rFonts w:ascii="Palatino Linotype" w:hAnsi="Palatino Linotype" w:cs="Arial"/>
          <w:sz w:val="24"/>
          <w:szCs w:val="24"/>
        </w:rPr>
      </w:pPr>
      <w:r w:rsidRPr="00707CD9">
        <w:rPr>
          <w:rFonts w:ascii="Palatino Linotype" w:hAnsi="Palatino Linotype" w:cs="Arial"/>
          <w:sz w:val="24"/>
          <w:szCs w:val="24"/>
        </w:rPr>
        <w:t xml:space="preserve">En fecha </w:t>
      </w:r>
      <w:r w:rsidR="00F03EDF" w:rsidRPr="00707CD9">
        <w:rPr>
          <w:rFonts w:ascii="Palatino Linotype" w:hAnsi="Palatino Linotype" w:cs="Arial"/>
          <w:sz w:val="24"/>
          <w:szCs w:val="24"/>
        </w:rPr>
        <w:t>nueve de agosto</w:t>
      </w:r>
      <w:r w:rsidR="00F515AC" w:rsidRPr="00707CD9">
        <w:rPr>
          <w:rFonts w:ascii="Palatino Linotype" w:hAnsi="Palatino Linotype" w:cs="Arial"/>
          <w:sz w:val="24"/>
          <w:szCs w:val="24"/>
        </w:rPr>
        <w:t xml:space="preserve"> </w:t>
      </w:r>
      <w:r w:rsidRPr="00707CD9">
        <w:rPr>
          <w:rFonts w:ascii="Palatino Linotype" w:hAnsi="Palatino Linotype" w:cs="Arial"/>
          <w:sz w:val="24"/>
          <w:szCs w:val="24"/>
        </w:rPr>
        <w:t>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rsidR="00487828" w:rsidRPr="00707CD9" w:rsidRDefault="00487828" w:rsidP="00487828">
      <w:pPr>
        <w:spacing w:after="0" w:line="360" w:lineRule="auto"/>
        <w:jc w:val="both"/>
        <w:rPr>
          <w:rFonts w:ascii="Palatino Linotype" w:hAnsi="Palatino Linotype" w:cs="Arial"/>
          <w:sz w:val="24"/>
          <w:szCs w:val="24"/>
        </w:rPr>
      </w:pPr>
    </w:p>
    <w:p w:rsidR="00487828" w:rsidRPr="00707CD9" w:rsidRDefault="0088432C" w:rsidP="00487828">
      <w:pPr>
        <w:pStyle w:val="Sinespaciado"/>
        <w:spacing w:line="360" w:lineRule="auto"/>
        <w:rPr>
          <w:rFonts w:ascii="Palatino Linotype" w:hAnsi="Palatino Linotype"/>
          <w:b/>
          <w:sz w:val="28"/>
          <w:szCs w:val="26"/>
        </w:rPr>
      </w:pPr>
      <w:r w:rsidRPr="00707CD9">
        <w:rPr>
          <w:rFonts w:ascii="Palatino Linotype" w:hAnsi="Palatino Linotype"/>
          <w:b/>
          <w:sz w:val="28"/>
          <w:szCs w:val="26"/>
        </w:rPr>
        <w:t>OCTAV</w:t>
      </w:r>
      <w:r w:rsidR="00487828" w:rsidRPr="00707CD9">
        <w:rPr>
          <w:rFonts w:ascii="Palatino Linotype" w:hAnsi="Palatino Linotype"/>
          <w:b/>
          <w:sz w:val="28"/>
          <w:szCs w:val="26"/>
        </w:rPr>
        <w:t>O. De la ampliación del término para resolver.</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En fecha </w:t>
      </w:r>
      <w:r w:rsidR="00F03EDF" w:rsidRPr="00707CD9">
        <w:rPr>
          <w:rFonts w:ascii="Palatino Linotype" w:eastAsia="Times New Roman" w:hAnsi="Palatino Linotype" w:cs="Times New Roman"/>
          <w:sz w:val="24"/>
          <w:szCs w:val="24"/>
          <w:lang w:eastAsia="es-ES"/>
        </w:rPr>
        <w:t>dos de septiembre</w:t>
      </w:r>
      <w:r w:rsidRPr="00707CD9">
        <w:rPr>
          <w:rFonts w:ascii="Palatino Linotype" w:eastAsia="Times New Roman" w:hAnsi="Palatino Linotype" w:cs="Times New Roman"/>
          <w:sz w:val="24"/>
          <w:szCs w:val="24"/>
          <w:lang w:eastAsia="es-E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Este organismo garante no pasa por alto justificar, </w:t>
      </w:r>
      <w:r w:rsidRPr="00707CD9">
        <w:rPr>
          <w:rFonts w:ascii="Palatino Linotype" w:eastAsia="Times New Roman" w:hAnsi="Palatino Linotype" w:cs="Times New Roman"/>
          <w:bCs/>
          <w:sz w:val="24"/>
          <w:szCs w:val="24"/>
          <w:lang w:eastAsia="es-ES"/>
        </w:rPr>
        <w:t xml:space="preserve">que el plazo para emitir resolución en el presente asunto </w:t>
      </w:r>
      <w:r w:rsidRPr="00707CD9">
        <w:rPr>
          <w:rFonts w:ascii="Palatino Linotype" w:eastAsia="Times New Roman" w:hAnsi="Palatino Linotype" w:cs="Times New Roman"/>
          <w:sz w:val="24"/>
          <w:szCs w:val="24"/>
          <w:lang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707CD9">
        <w:rPr>
          <w:rFonts w:ascii="Palatino Linotype" w:eastAsia="Times New Roman" w:hAnsi="Palatino Linotype" w:cs="Times New Roman"/>
          <w:bCs/>
          <w:sz w:val="24"/>
          <w:szCs w:val="24"/>
          <w:lang w:eastAsia="es-ES"/>
        </w:rPr>
        <w:t>el plazo para emitir resolución</w:t>
      </w:r>
      <w:r w:rsidRPr="00707CD9">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w:t>
      </w:r>
      <w:r w:rsidRPr="00707CD9">
        <w:rPr>
          <w:rFonts w:ascii="Palatino Linotype" w:eastAsia="Times New Roman" w:hAnsi="Palatino Linotype" w:cs="Times New Roman"/>
          <w:sz w:val="24"/>
          <w:szCs w:val="24"/>
          <w:lang w:eastAsia="es-ES"/>
        </w:rPr>
        <w:lastRenderedPageBreak/>
        <w:t>jurisdiccionales federales, aplicables también en procedimientos análogos, como el que nos ocupa.</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b)     Actividad Procesal del interesado: Acciones u omisiones del interesado.</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Argumento que encuentra sustento en la jurisprudencia P</w:t>
      </w:r>
      <w:proofErr w:type="gramStart"/>
      <w:r w:rsidRPr="00707CD9">
        <w:rPr>
          <w:rFonts w:ascii="Palatino Linotype" w:eastAsia="Times New Roman" w:hAnsi="Palatino Linotype" w:cs="Times New Roman"/>
          <w:sz w:val="24"/>
          <w:szCs w:val="24"/>
          <w:lang w:eastAsia="es-ES"/>
        </w:rPr>
        <w:t>./</w:t>
      </w:r>
      <w:proofErr w:type="gramEnd"/>
      <w:r w:rsidRPr="00707CD9">
        <w:rPr>
          <w:rFonts w:ascii="Palatino Linotype" w:eastAsia="Times New Roman" w:hAnsi="Palatino Linotype" w:cs="Times New Roman"/>
          <w:sz w:val="24"/>
          <w:szCs w:val="24"/>
          <w:lang w:eastAsia="es-ES"/>
        </w:rPr>
        <w:t xml:space="preserve">J. 32/92 emitida por el Pleno de la Suprema Corte de Justicia de la Nación de rubro </w:t>
      </w:r>
      <w:r w:rsidRPr="00707CD9">
        <w:rPr>
          <w:rFonts w:ascii="Palatino Linotype" w:eastAsia="Times New Roman" w:hAnsi="Palatino Linotype" w:cs="Times New Roman"/>
          <w:i/>
          <w:sz w:val="24"/>
          <w:szCs w:val="24"/>
          <w:lang w:eastAsia="es-ES"/>
        </w:rPr>
        <w:t>“TÉRMINOS PROCESALES. PARA DETERMINAR SI UN FUNCIONARIO JUDICIAL ACTUÓ INDEBIDAMENTE POR NO RESPETARLOS SE DEBE ATENDER AL PRESUPUESTO QUE CONSIDERÓ EL LEGISLADOR AL FIJARLOS Y LAS CARACTERÍSTICAS DEL CASO.”</w:t>
      </w:r>
      <w:r w:rsidRPr="00707CD9">
        <w:rPr>
          <w:rFonts w:ascii="Palatino Linotype" w:eastAsia="Times New Roman" w:hAnsi="Palatino Linotype" w:cs="Times New Roman"/>
          <w:sz w:val="24"/>
          <w:szCs w:val="24"/>
          <w:lang w:eastAsia="es-ES"/>
        </w:rPr>
        <w:t>, visible en la Gaceta del Seminario Judicial de la Federación con el registro digital 205635.</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lastRenderedPageBreak/>
        <w:t>Al respecto, también son de considerar los criterios sostenidos por el Cuarto Tribunal Colegiado en Materia Administrativa del Primer Circuito, cuyos rubros y datos de identificación son los siguientes:</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p>
    <w:p w:rsidR="00F515AC" w:rsidRPr="00707CD9" w:rsidRDefault="00F515AC" w:rsidP="00F03EDF">
      <w:pPr>
        <w:spacing w:after="0" w:line="276"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r w:rsidRPr="00707CD9">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707CD9">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rsidR="00F515AC" w:rsidRPr="00707CD9" w:rsidRDefault="00F515AC" w:rsidP="00F03EDF">
      <w:pPr>
        <w:spacing w:after="0" w:line="276"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sz w:val="24"/>
          <w:szCs w:val="24"/>
          <w:lang w:eastAsia="es-ES"/>
        </w:rPr>
        <w:t xml:space="preserve"> </w:t>
      </w:r>
    </w:p>
    <w:p w:rsidR="00F515AC" w:rsidRPr="00707CD9" w:rsidRDefault="00F515AC" w:rsidP="00F03EDF">
      <w:pPr>
        <w:spacing w:after="0" w:line="276"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b/>
          <w:i/>
          <w:sz w:val="24"/>
          <w:szCs w:val="24"/>
          <w:lang w:eastAsia="es-ES"/>
        </w:rPr>
        <w:t>“PLAZO RAZONABLE PARA RESOLVER. CONCEPTO Y ELEMENTOS QUE LO INTEGRAN A LA LUZ DEL DERECHO INTERNACIONAL DE LOS DERECHOS HUMANOS.”</w:t>
      </w:r>
      <w:r w:rsidRPr="00707CD9">
        <w:rPr>
          <w:rFonts w:ascii="Palatino Linotype" w:eastAsia="Times New Roman" w:hAnsi="Palatino Linotype" w:cs="Times New Roman"/>
          <w:sz w:val="24"/>
          <w:szCs w:val="24"/>
          <w:lang w:eastAsia="es-ES"/>
        </w:rPr>
        <w:t>, visible en el Seminario Judicial de la Federación y su gaceta, con el registro digital 2002350.</w:t>
      </w: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707CD9" w:rsidRDefault="00F515AC" w:rsidP="00F515AC">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rsidR="006D0016" w:rsidRPr="00707CD9" w:rsidRDefault="006D0016" w:rsidP="00487828">
      <w:pPr>
        <w:pStyle w:val="Sinespaciado"/>
        <w:spacing w:line="360" w:lineRule="auto"/>
        <w:jc w:val="both"/>
        <w:rPr>
          <w:rFonts w:ascii="Palatino Linotype" w:hAnsi="Palatino Linotype"/>
          <w:sz w:val="24"/>
          <w:szCs w:val="24"/>
        </w:rPr>
      </w:pPr>
    </w:p>
    <w:p w:rsidR="00487828" w:rsidRPr="00707CD9" w:rsidRDefault="00487828" w:rsidP="00487828">
      <w:pPr>
        <w:spacing w:after="0" w:line="360" w:lineRule="auto"/>
        <w:jc w:val="center"/>
        <w:rPr>
          <w:rFonts w:ascii="Palatino Linotype" w:hAnsi="Palatino Linotype" w:cs="Arial"/>
          <w:b/>
          <w:sz w:val="28"/>
        </w:rPr>
      </w:pPr>
      <w:r w:rsidRPr="00707CD9">
        <w:rPr>
          <w:rFonts w:ascii="Palatino Linotype" w:hAnsi="Palatino Linotype" w:cs="Arial"/>
          <w:b/>
          <w:sz w:val="28"/>
        </w:rPr>
        <w:t xml:space="preserve">C O N S I D E R A N D O </w:t>
      </w:r>
    </w:p>
    <w:p w:rsidR="00487828" w:rsidRPr="00707CD9" w:rsidRDefault="00487828" w:rsidP="00487828">
      <w:pPr>
        <w:spacing w:after="0" w:line="240" w:lineRule="auto"/>
        <w:rPr>
          <w:rFonts w:ascii="Times New Roman" w:eastAsia="Times New Roman" w:hAnsi="Times New Roman" w:cs="Times New Roman"/>
          <w:sz w:val="16"/>
          <w:szCs w:val="24"/>
          <w:lang w:eastAsia="es-ES"/>
        </w:rPr>
      </w:pPr>
    </w:p>
    <w:p w:rsidR="00487828" w:rsidRPr="00707CD9" w:rsidRDefault="00487828" w:rsidP="00487828">
      <w:pPr>
        <w:spacing w:after="0" w:line="360" w:lineRule="auto"/>
        <w:jc w:val="both"/>
        <w:rPr>
          <w:rFonts w:ascii="Palatino Linotype" w:hAnsi="Palatino Linotype" w:cs="Arial"/>
          <w:sz w:val="24"/>
        </w:rPr>
      </w:pPr>
      <w:r w:rsidRPr="00707CD9">
        <w:rPr>
          <w:rFonts w:ascii="Palatino Linotype" w:hAnsi="Palatino Linotype" w:cs="Arial"/>
          <w:b/>
          <w:sz w:val="28"/>
        </w:rPr>
        <w:t>PRIMERO.</w:t>
      </w:r>
      <w:r w:rsidRPr="00707CD9">
        <w:rPr>
          <w:rFonts w:ascii="Palatino Linotype" w:hAnsi="Palatino Linotype" w:cs="Arial"/>
          <w:b/>
        </w:rPr>
        <w:t xml:space="preserve"> </w:t>
      </w:r>
      <w:r w:rsidRPr="00707CD9">
        <w:rPr>
          <w:rFonts w:ascii="Palatino Linotype" w:hAnsi="Palatino Linotype" w:cs="Arial"/>
          <w:b/>
          <w:sz w:val="28"/>
          <w:szCs w:val="28"/>
        </w:rPr>
        <w:t>De la competencia</w:t>
      </w:r>
      <w:r w:rsidRPr="00707CD9">
        <w:rPr>
          <w:rFonts w:ascii="Palatino Linotype" w:hAnsi="Palatino Linotype" w:cs="Arial"/>
          <w:sz w:val="28"/>
          <w:szCs w:val="28"/>
        </w:rPr>
        <w:t>.</w:t>
      </w:r>
    </w:p>
    <w:p w:rsidR="00487828" w:rsidRPr="00707CD9"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r w:rsidRPr="00707CD9">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w:t>
      </w:r>
      <w:r w:rsidRPr="00707CD9">
        <w:rPr>
          <w:rFonts w:ascii="Palatino Linotype" w:eastAsia="Times New Roman" w:hAnsi="Palatino Linotype" w:cs="Arial"/>
          <w:color w:val="222222"/>
          <w:sz w:val="24"/>
          <w:szCs w:val="24"/>
          <w:shd w:val="clear" w:color="auto" w:fill="FFFFFF"/>
          <w:lang w:eastAsia="es-MX"/>
        </w:rPr>
        <w:lastRenderedPageBreak/>
        <w:t>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87828" w:rsidRPr="00707CD9"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p>
    <w:p w:rsidR="00487828" w:rsidRPr="00707CD9"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707CD9">
        <w:rPr>
          <w:rFonts w:ascii="Palatino Linotype" w:eastAsia="Times New Roman" w:hAnsi="Palatino Linotype" w:cs="Arial"/>
          <w:b/>
          <w:sz w:val="28"/>
          <w:szCs w:val="24"/>
          <w:lang w:val="es-ES" w:eastAsia="es-ES"/>
        </w:rPr>
        <w:t>SEGUNDO</w:t>
      </w:r>
      <w:r w:rsidRPr="00707CD9">
        <w:rPr>
          <w:rFonts w:ascii="Palatino Linotype" w:eastAsia="Times New Roman" w:hAnsi="Palatino Linotype" w:cs="Arial"/>
          <w:b/>
          <w:sz w:val="24"/>
          <w:szCs w:val="24"/>
          <w:lang w:val="es-ES" w:eastAsia="es-ES"/>
        </w:rPr>
        <w:t xml:space="preserve">. </w:t>
      </w:r>
      <w:r w:rsidRPr="00707CD9">
        <w:rPr>
          <w:rFonts w:ascii="Palatino Linotype" w:eastAsia="Times New Roman" w:hAnsi="Palatino Linotype" w:cs="Arial"/>
          <w:b/>
          <w:sz w:val="28"/>
          <w:szCs w:val="28"/>
          <w:lang w:val="es-ES" w:eastAsia="es-ES"/>
        </w:rPr>
        <w:t>Sobre los alcances del recurso de revisión.</w:t>
      </w:r>
      <w:r w:rsidRPr="00707CD9">
        <w:rPr>
          <w:rFonts w:ascii="Palatino Linotype" w:eastAsia="Times New Roman" w:hAnsi="Palatino Linotype" w:cs="Arial"/>
          <w:b/>
          <w:sz w:val="24"/>
          <w:szCs w:val="24"/>
          <w:lang w:val="es-ES" w:eastAsia="es-ES"/>
        </w:rPr>
        <w:t xml:space="preserve"> </w:t>
      </w:r>
    </w:p>
    <w:p w:rsidR="00487828" w:rsidRPr="00707CD9"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515AC" w:rsidRPr="00707CD9" w:rsidRDefault="00F515AC" w:rsidP="00F515A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87828" w:rsidRPr="00707CD9" w:rsidRDefault="006D0016" w:rsidP="00487828">
      <w:pPr>
        <w:spacing w:after="0" w:line="360" w:lineRule="auto"/>
        <w:jc w:val="both"/>
        <w:rPr>
          <w:rFonts w:ascii="Palatino Linotype" w:hAnsi="Palatino Linotype" w:cs="Arial"/>
          <w:b/>
          <w:sz w:val="28"/>
          <w:szCs w:val="28"/>
        </w:rPr>
      </w:pPr>
      <w:r w:rsidRPr="00707CD9">
        <w:rPr>
          <w:rFonts w:ascii="Palatino Linotype" w:hAnsi="Palatino Linotype" w:cs="Arial"/>
          <w:b/>
          <w:sz w:val="28"/>
          <w:szCs w:val="28"/>
        </w:rPr>
        <w:t>TERCER</w:t>
      </w:r>
      <w:r w:rsidR="00487828" w:rsidRPr="00707CD9">
        <w:rPr>
          <w:rFonts w:ascii="Palatino Linotype" w:hAnsi="Palatino Linotype" w:cs="Arial"/>
          <w:b/>
          <w:sz w:val="28"/>
          <w:szCs w:val="28"/>
        </w:rPr>
        <w:t>O. De las causas de improcedencia.</w:t>
      </w:r>
    </w:p>
    <w:p w:rsidR="00487828" w:rsidRPr="00707CD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707CD9">
        <w:rPr>
          <w:rFonts w:ascii="Palatino Linotype" w:hAnsi="Palatino Linotype" w:cs="Arial"/>
        </w:rPr>
        <w:t xml:space="preserve">El estudio de las causas de improcedencia que se hagan valer por las partes o que se advierta de oficio por este </w:t>
      </w:r>
      <w:proofErr w:type="spellStart"/>
      <w:r w:rsidRPr="00707CD9">
        <w:rPr>
          <w:rFonts w:ascii="Palatino Linotype" w:hAnsi="Palatino Linotype" w:cs="Arial"/>
        </w:rPr>
        <w:t>Resolutor</w:t>
      </w:r>
      <w:proofErr w:type="spellEnd"/>
      <w:r w:rsidRPr="00707CD9">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707CD9">
        <w:rPr>
          <w:rFonts w:ascii="Palatino Linotype" w:hAnsi="Palatino Linotype" w:cs="Arial"/>
        </w:rPr>
        <w:lastRenderedPageBreak/>
        <w:t>a la justicia, ya que éste no se coarta por regular causas de improcedencia y sobreseimiento con tales fines</w:t>
      </w:r>
      <w:r w:rsidRPr="00707CD9">
        <w:rPr>
          <w:rStyle w:val="Refdenotaalpie"/>
          <w:rFonts w:ascii="Palatino Linotype" w:hAnsi="Palatino Linotype" w:cs="Arial"/>
        </w:rPr>
        <w:footnoteReference w:id="1"/>
      </w:r>
      <w:r w:rsidRPr="00707CD9">
        <w:rPr>
          <w:rFonts w:ascii="Palatino Linotype" w:hAnsi="Palatino Linotype" w:cs="Arial"/>
        </w:rPr>
        <w:t>.</w:t>
      </w:r>
    </w:p>
    <w:p w:rsidR="00487828" w:rsidRPr="00707CD9"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F515AC" w:rsidRPr="00707CD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707CD9">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D0016" w:rsidRPr="00707CD9" w:rsidRDefault="006D0016" w:rsidP="00487828">
      <w:pPr>
        <w:pStyle w:val="Prrafodelista"/>
        <w:autoSpaceDE w:val="0"/>
        <w:autoSpaceDN w:val="0"/>
        <w:adjustRightInd w:val="0"/>
        <w:spacing w:line="360" w:lineRule="auto"/>
        <w:ind w:left="0"/>
        <w:jc w:val="both"/>
        <w:rPr>
          <w:rFonts w:ascii="Palatino Linotype" w:hAnsi="Palatino Linotype" w:cs="Arial"/>
        </w:rPr>
      </w:pPr>
    </w:p>
    <w:p w:rsidR="00487828" w:rsidRPr="00707CD9" w:rsidRDefault="006D0016" w:rsidP="00487828">
      <w:pPr>
        <w:pStyle w:val="Prrafodelista"/>
        <w:autoSpaceDE w:val="0"/>
        <w:autoSpaceDN w:val="0"/>
        <w:adjustRightInd w:val="0"/>
        <w:spacing w:line="360" w:lineRule="auto"/>
        <w:ind w:left="0"/>
        <w:jc w:val="both"/>
        <w:rPr>
          <w:rFonts w:ascii="Palatino Linotype" w:hAnsi="Palatino Linotype" w:cs="Arial"/>
          <w:sz w:val="28"/>
          <w:szCs w:val="28"/>
        </w:rPr>
      </w:pPr>
      <w:r w:rsidRPr="00707CD9">
        <w:rPr>
          <w:rFonts w:ascii="Palatino Linotype" w:hAnsi="Palatino Linotype" w:cs="Arial"/>
          <w:b/>
          <w:sz w:val="28"/>
        </w:rPr>
        <w:t>CUAR</w:t>
      </w:r>
      <w:r w:rsidR="00487828" w:rsidRPr="00707CD9">
        <w:rPr>
          <w:rFonts w:ascii="Palatino Linotype" w:hAnsi="Palatino Linotype" w:cs="Arial"/>
          <w:b/>
          <w:sz w:val="28"/>
        </w:rPr>
        <w:t>TO</w:t>
      </w:r>
      <w:r w:rsidR="00487828" w:rsidRPr="00707CD9">
        <w:rPr>
          <w:rFonts w:ascii="Palatino Linotype" w:hAnsi="Palatino Linotype" w:cs="Arial"/>
          <w:b/>
          <w:sz w:val="28"/>
          <w:szCs w:val="28"/>
        </w:rPr>
        <w:t>.</w:t>
      </w:r>
      <w:r w:rsidR="00487828" w:rsidRPr="00707CD9">
        <w:rPr>
          <w:rFonts w:ascii="Palatino Linotype" w:hAnsi="Palatino Linotype" w:cs="Arial"/>
          <w:sz w:val="28"/>
          <w:szCs w:val="28"/>
        </w:rPr>
        <w:t xml:space="preserve"> </w:t>
      </w:r>
      <w:r w:rsidR="00487828" w:rsidRPr="00707CD9">
        <w:rPr>
          <w:rFonts w:ascii="Palatino Linotype" w:hAnsi="Palatino Linotype" w:cs="Arial"/>
          <w:b/>
          <w:sz w:val="28"/>
          <w:szCs w:val="28"/>
        </w:rPr>
        <w:t>Estudio y resolución del asunto.</w:t>
      </w:r>
    </w:p>
    <w:p w:rsidR="00487828" w:rsidRPr="00707CD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707CD9">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w:t>
      </w:r>
      <w:r w:rsidRPr="00707CD9">
        <w:rPr>
          <w:rFonts w:ascii="Palatino Linotype" w:hAnsi="Palatino Linotype" w:cs="Arial"/>
        </w:rPr>
        <w:lastRenderedPageBreak/>
        <w:t>nuestra Constitución Federal, Local y demás leyes aplicables en la materia, así como en los tratados internacionales en los que el Estado Mexicano sea parte, en concordancia con el párrafo tercero del artículo 1</w:t>
      </w:r>
      <w:r w:rsidR="00F03EDF" w:rsidRPr="00707CD9">
        <w:rPr>
          <w:rFonts w:ascii="Palatino Linotype" w:hAnsi="Palatino Linotype" w:cs="Arial"/>
        </w:rPr>
        <w:t>,</w:t>
      </w:r>
      <w:r w:rsidRPr="00707CD9">
        <w:rPr>
          <w:rFonts w:ascii="Palatino Linotype" w:hAnsi="Palatino Linotype" w:cs="Arial"/>
        </w:rPr>
        <w:t xml:space="preserve"> de la Constitución Federal y el diverso 8, de la Ley de Transparencia local.</w:t>
      </w:r>
    </w:p>
    <w:p w:rsidR="006D0016" w:rsidRPr="00707CD9" w:rsidRDefault="006D0016" w:rsidP="00487828">
      <w:pPr>
        <w:pStyle w:val="Prrafodelista"/>
        <w:autoSpaceDE w:val="0"/>
        <w:autoSpaceDN w:val="0"/>
        <w:adjustRightInd w:val="0"/>
        <w:spacing w:line="360" w:lineRule="auto"/>
        <w:ind w:left="0"/>
        <w:jc w:val="both"/>
        <w:rPr>
          <w:rFonts w:ascii="Palatino Linotype" w:hAnsi="Palatino Linotype" w:cs="Arial"/>
        </w:rPr>
      </w:pPr>
    </w:p>
    <w:p w:rsidR="00487828" w:rsidRPr="00707CD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707CD9">
        <w:rPr>
          <w:rFonts w:ascii="Palatino Linotype" w:hAnsi="Palatino Linotype" w:cs="Arial"/>
        </w:rPr>
        <w:t xml:space="preserve">El estudio del presente recurso de revisión tiene como antecedentes, que el hoy </w:t>
      </w:r>
      <w:r w:rsidRPr="00707CD9">
        <w:rPr>
          <w:rFonts w:ascii="Palatino Linotype" w:hAnsi="Palatino Linotype" w:cs="Arial"/>
          <w:b/>
        </w:rPr>
        <w:t xml:space="preserve">Recurrente </w:t>
      </w:r>
      <w:r w:rsidRPr="00707CD9">
        <w:rPr>
          <w:rFonts w:ascii="Palatino Linotype" w:hAnsi="Palatino Linotype" w:cs="Arial"/>
        </w:rPr>
        <w:t xml:space="preserve">solicitó al </w:t>
      </w:r>
      <w:r w:rsidR="00693C64" w:rsidRPr="00707CD9">
        <w:rPr>
          <w:rFonts w:ascii="Palatino Linotype" w:hAnsi="Palatino Linotype" w:cs="Arial"/>
          <w:b/>
        </w:rPr>
        <w:t>Ayuntamiento de Cuautitlán Izcalli</w:t>
      </w:r>
      <w:r w:rsidRPr="00707CD9">
        <w:rPr>
          <w:rFonts w:ascii="Palatino Linotype" w:hAnsi="Palatino Linotype" w:cs="Arial"/>
        </w:rPr>
        <w:t>,</w:t>
      </w:r>
      <w:r w:rsidRPr="00707CD9">
        <w:rPr>
          <w:rFonts w:ascii="Palatino Linotype" w:hAnsi="Palatino Linotype" w:cs="Arial"/>
          <w:b/>
        </w:rPr>
        <w:t xml:space="preserve"> </w:t>
      </w:r>
      <w:r w:rsidRPr="00707CD9">
        <w:rPr>
          <w:rFonts w:ascii="Palatino Linotype" w:hAnsi="Palatino Linotype" w:cs="Arial"/>
        </w:rPr>
        <w:t>la siguiente</w:t>
      </w:r>
      <w:r w:rsidRPr="00707CD9">
        <w:rPr>
          <w:rFonts w:ascii="Palatino Linotype" w:hAnsi="Palatino Linotype" w:cs="Arial"/>
          <w:b/>
        </w:rPr>
        <w:t xml:space="preserve"> </w:t>
      </w:r>
      <w:r w:rsidRPr="00707CD9">
        <w:rPr>
          <w:rFonts w:ascii="Palatino Linotype" w:hAnsi="Palatino Linotype" w:cs="Arial"/>
        </w:rPr>
        <w:t>información:</w:t>
      </w:r>
    </w:p>
    <w:p w:rsidR="006D0016" w:rsidRPr="00707CD9" w:rsidRDefault="006D0016" w:rsidP="00487828">
      <w:pPr>
        <w:pStyle w:val="Prrafodelista"/>
        <w:autoSpaceDE w:val="0"/>
        <w:autoSpaceDN w:val="0"/>
        <w:adjustRightInd w:val="0"/>
        <w:spacing w:line="360" w:lineRule="auto"/>
        <w:ind w:left="0"/>
        <w:jc w:val="both"/>
        <w:rPr>
          <w:rFonts w:ascii="Palatino Linotype" w:hAnsi="Palatino Linotype" w:cs="Arial"/>
        </w:rPr>
      </w:pPr>
    </w:p>
    <w:p w:rsidR="00CF5F04" w:rsidRPr="00707CD9" w:rsidRDefault="00CF5F04" w:rsidP="00487828">
      <w:pPr>
        <w:pStyle w:val="Prrafodelista"/>
        <w:autoSpaceDE w:val="0"/>
        <w:autoSpaceDN w:val="0"/>
        <w:adjustRightInd w:val="0"/>
        <w:spacing w:line="360" w:lineRule="auto"/>
        <w:ind w:left="0"/>
        <w:jc w:val="both"/>
        <w:rPr>
          <w:rFonts w:ascii="Palatino Linotype" w:hAnsi="Palatino Linotype" w:cs="Arial"/>
        </w:rPr>
      </w:pPr>
      <w:r w:rsidRPr="00707CD9">
        <w:rPr>
          <w:rFonts w:ascii="Palatino Linotype" w:hAnsi="Palatino Linotype" w:cs="Arial"/>
        </w:rPr>
        <w:t>De los años 2020 al 2022, se requiere un listado con los siguientes datos:</w:t>
      </w:r>
    </w:p>
    <w:p w:rsidR="00CF5F04" w:rsidRPr="00707CD9" w:rsidRDefault="00CF5F04" w:rsidP="00487828">
      <w:pPr>
        <w:pStyle w:val="Prrafodelista"/>
        <w:autoSpaceDE w:val="0"/>
        <w:autoSpaceDN w:val="0"/>
        <w:adjustRightInd w:val="0"/>
        <w:spacing w:line="360" w:lineRule="auto"/>
        <w:ind w:left="0"/>
        <w:jc w:val="both"/>
        <w:rPr>
          <w:rFonts w:ascii="Palatino Linotype" w:hAnsi="Palatino Linotype" w:cs="Arial"/>
        </w:rPr>
      </w:pPr>
    </w:p>
    <w:p w:rsidR="00693C64" w:rsidRPr="00707CD9" w:rsidRDefault="00693C64" w:rsidP="00693C64">
      <w:pPr>
        <w:pStyle w:val="Prrafodelista"/>
        <w:numPr>
          <w:ilvl w:val="0"/>
          <w:numId w:val="19"/>
        </w:numPr>
        <w:autoSpaceDE w:val="0"/>
        <w:autoSpaceDN w:val="0"/>
        <w:adjustRightInd w:val="0"/>
        <w:spacing w:line="360" w:lineRule="auto"/>
        <w:jc w:val="both"/>
        <w:rPr>
          <w:rFonts w:ascii="Palatino Linotype" w:hAnsi="Palatino Linotype" w:cs="Arial"/>
        </w:rPr>
      </w:pPr>
      <w:r w:rsidRPr="00707CD9">
        <w:rPr>
          <w:rFonts w:ascii="Palatino Linotype" w:hAnsi="Palatino Linotype" w:cs="Arial"/>
        </w:rPr>
        <w:t xml:space="preserve">Nombre de los bancos con los que el Ayuntamiento de Cuautitlán Izcalli tiene </w:t>
      </w:r>
      <w:proofErr w:type="spellStart"/>
      <w:r w:rsidRPr="00707CD9">
        <w:rPr>
          <w:rFonts w:ascii="Palatino Linotype" w:hAnsi="Palatino Linotype" w:cs="Arial"/>
        </w:rPr>
        <w:t>aperturadas</w:t>
      </w:r>
      <w:proofErr w:type="spellEnd"/>
      <w:r w:rsidRPr="00707CD9">
        <w:rPr>
          <w:rFonts w:ascii="Palatino Linotype" w:hAnsi="Palatino Linotype" w:cs="Arial"/>
        </w:rPr>
        <w:t xml:space="preserve"> cuentas. </w:t>
      </w:r>
    </w:p>
    <w:p w:rsidR="00693C64" w:rsidRPr="00707CD9" w:rsidRDefault="00693C64" w:rsidP="00693C64">
      <w:pPr>
        <w:pStyle w:val="Prrafodelista"/>
        <w:numPr>
          <w:ilvl w:val="0"/>
          <w:numId w:val="19"/>
        </w:numPr>
        <w:autoSpaceDE w:val="0"/>
        <w:autoSpaceDN w:val="0"/>
        <w:adjustRightInd w:val="0"/>
        <w:spacing w:line="360" w:lineRule="auto"/>
        <w:jc w:val="both"/>
        <w:rPr>
          <w:rFonts w:ascii="Palatino Linotype" w:hAnsi="Palatino Linotype" w:cs="Arial"/>
        </w:rPr>
      </w:pPr>
      <w:r w:rsidRPr="00707CD9">
        <w:rPr>
          <w:rFonts w:ascii="Palatino Linotype" w:hAnsi="Palatino Linotype" w:cs="Arial"/>
        </w:rPr>
        <w:t xml:space="preserve">Los números de dichas cuentas. </w:t>
      </w:r>
    </w:p>
    <w:p w:rsidR="00487828" w:rsidRPr="00707CD9" w:rsidRDefault="00693C64" w:rsidP="00487828">
      <w:pPr>
        <w:pStyle w:val="Prrafodelista"/>
        <w:numPr>
          <w:ilvl w:val="0"/>
          <w:numId w:val="19"/>
        </w:numPr>
        <w:autoSpaceDE w:val="0"/>
        <w:autoSpaceDN w:val="0"/>
        <w:adjustRightInd w:val="0"/>
        <w:spacing w:line="360" w:lineRule="auto"/>
        <w:jc w:val="both"/>
        <w:rPr>
          <w:lang w:eastAsia="es-MX"/>
        </w:rPr>
      </w:pPr>
      <w:r w:rsidRPr="00707CD9">
        <w:rPr>
          <w:rFonts w:ascii="Palatino Linotype" w:hAnsi="Palatino Linotype" w:cs="Arial"/>
        </w:rPr>
        <w:t>Los montos integrados en esas cuentas; todo lo anterior relacionado con los años 2020 a 2022</w:t>
      </w:r>
      <w:r w:rsidR="00CF5F04" w:rsidRPr="00707CD9">
        <w:rPr>
          <w:rFonts w:ascii="Palatino Linotype" w:hAnsi="Palatino Linotype" w:cs="Arial"/>
        </w:rPr>
        <w:t>.</w:t>
      </w:r>
    </w:p>
    <w:p w:rsidR="00CF5F04" w:rsidRPr="00707CD9" w:rsidRDefault="00CF5F04" w:rsidP="00CF5F04">
      <w:pPr>
        <w:pStyle w:val="Prrafodelista"/>
        <w:autoSpaceDE w:val="0"/>
        <w:autoSpaceDN w:val="0"/>
        <w:adjustRightInd w:val="0"/>
        <w:spacing w:line="360" w:lineRule="auto"/>
        <w:ind w:left="720"/>
        <w:jc w:val="both"/>
        <w:rPr>
          <w:lang w:eastAsia="es-MX"/>
        </w:rPr>
      </w:pPr>
    </w:p>
    <w:p w:rsidR="00487828" w:rsidRPr="00707CD9" w:rsidRDefault="00487828" w:rsidP="00487828">
      <w:pPr>
        <w:spacing w:after="0" w:line="360" w:lineRule="auto"/>
        <w:ind w:right="49"/>
        <w:jc w:val="both"/>
        <w:rPr>
          <w:rFonts w:ascii="Palatino Linotype" w:hAnsi="Palatino Linotype"/>
          <w:sz w:val="24"/>
          <w:lang w:val="es-ES_tradnl"/>
        </w:rPr>
      </w:pPr>
      <w:r w:rsidRPr="00707CD9">
        <w:rPr>
          <w:rFonts w:ascii="Palatino Linotype" w:hAnsi="Palatino Linotype"/>
          <w:sz w:val="24"/>
          <w:lang w:eastAsia="es-MX"/>
        </w:rPr>
        <w:t xml:space="preserve">Atento a la solicitud de información </w:t>
      </w:r>
      <w:r w:rsidRPr="00707CD9">
        <w:rPr>
          <w:rFonts w:ascii="Palatino Linotype" w:hAnsi="Palatino Linotype"/>
          <w:b/>
          <w:sz w:val="24"/>
          <w:lang w:eastAsia="es-MX"/>
        </w:rPr>
        <w:t>El Sujeto Obligado</w:t>
      </w:r>
      <w:r w:rsidRPr="00707CD9">
        <w:rPr>
          <w:rFonts w:ascii="Palatino Linotype" w:hAnsi="Palatino Linotype"/>
          <w:sz w:val="24"/>
          <w:lang w:eastAsia="es-MX"/>
        </w:rPr>
        <w:t>, emitió su respuesta</w:t>
      </w:r>
      <w:r w:rsidR="00CF5F04" w:rsidRPr="00707CD9">
        <w:rPr>
          <w:rFonts w:ascii="Palatino Linotype" w:hAnsi="Palatino Linotype"/>
          <w:sz w:val="24"/>
          <w:lang w:val="es-ES_tradnl"/>
        </w:rPr>
        <w:t>; en la cual</w:t>
      </w:r>
      <w:r w:rsidRPr="00707CD9">
        <w:rPr>
          <w:rFonts w:ascii="Palatino Linotype" w:hAnsi="Palatino Linotype"/>
          <w:sz w:val="24"/>
          <w:lang w:val="es-ES_tradnl"/>
        </w:rPr>
        <w:t xml:space="preserve">, </w:t>
      </w:r>
      <w:r w:rsidR="00CF5F04" w:rsidRPr="00707CD9">
        <w:rPr>
          <w:rFonts w:ascii="Palatino Linotype" w:hAnsi="Palatino Linotype"/>
          <w:sz w:val="24"/>
          <w:lang w:val="es-ES_tradnl"/>
        </w:rPr>
        <w:t>consta de</w:t>
      </w:r>
      <w:r w:rsidRPr="00707CD9">
        <w:rPr>
          <w:rFonts w:ascii="Palatino Linotype" w:hAnsi="Palatino Linotype"/>
          <w:sz w:val="24"/>
          <w:lang w:val="es-ES_tradnl"/>
        </w:rPr>
        <w:t xml:space="preserve"> lo siguiente:</w:t>
      </w:r>
    </w:p>
    <w:p w:rsidR="00CF5F04" w:rsidRPr="00707CD9" w:rsidRDefault="00CF5F04" w:rsidP="00487828">
      <w:pPr>
        <w:spacing w:after="0" w:line="360" w:lineRule="auto"/>
        <w:ind w:right="49"/>
        <w:jc w:val="both"/>
        <w:rPr>
          <w:rFonts w:ascii="Palatino Linotype" w:hAnsi="Palatino Linotype"/>
          <w:sz w:val="24"/>
          <w:lang w:val="es-ES_tradnl"/>
        </w:rPr>
      </w:pPr>
    </w:p>
    <w:p w:rsidR="00CF5F04" w:rsidRPr="00707CD9" w:rsidRDefault="00CF5F04" w:rsidP="00487828">
      <w:pPr>
        <w:spacing w:after="0" w:line="360" w:lineRule="auto"/>
        <w:ind w:right="49"/>
        <w:jc w:val="both"/>
        <w:rPr>
          <w:rFonts w:ascii="Palatino Linotype" w:hAnsi="Palatino Linotype"/>
          <w:sz w:val="24"/>
          <w:lang w:val="es-ES_tradnl"/>
        </w:rPr>
      </w:pPr>
      <w:r w:rsidRPr="00707CD9">
        <w:rPr>
          <w:rFonts w:ascii="Palatino Linotype" w:hAnsi="Palatino Linotype"/>
          <w:sz w:val="24"/>
          <w:lang w:val="es-ES_tradnl"/>
        </w:rPr>
        <w:t xml:space="preserve">Mediante oficio número TM/2148/2022, de fecha 10 de junio de 2022, firmado por el Tesorero Municipal, remitió un archivo en formato “PDF”; el cual, contiene la información de las cuentas bancarias que tienen </w:t>
      </w:r>
      <w:proofErr w:type="spellStart"/>
      <w:r w:rsidRPr="00707CD9">
        <w:rPr>
          <w:rFonts w:ascii="Palatino Linotype" w:hAnsi="Palatino Linotype"/>
          <w:sz w:val="24"/>
          <w:lang w:val="es-ES_tradnl"/>
        </w:rPr>
        <w:t>aperturadas</w:t>
      </w:r>
      <w:proofErr w:type="spellEnd"/>
      <w:r w:rsidRPr="00707CD9">
        <w:rPr>
          <w:rFonts w:ascii="Palatino Linotype" w:hAnsi="Palatino Linotype"/>
          <w:sz w:val="24"/>
          <w:lang w:val="es-ES_tradnl"/>
        </w:rPr>
        <w:t xml:space="preserve"> el Municipio al cierre del primer trimestre del ejercicio fiscal 2022, informando que es tal como obra en los archivos de la Coordinación de Caja General, asimismo, comunicó que dicha información se envía de conformidad con el informe trimestral que fue entregado al </w:t>
      </w:r>
      <w:r w:rsidRPr="00707CD9">
        <w:rPr>
          <w:rFonts w:ascii="Palatino Linotype" w:hAnsi="Palatino Linotype"/>
          <w:sz w:val="24"/>
          <w:lang w:val="es-ES_tradnl"/>
        </w:rPr>
        <w:lastRenderedPageBreak/>
        <w:t>Órgano Superior de fiscalización del Estado de México (OSFEM), lo anterior, se desagrega en el siguiente cuadro comparativo:</w:t>
      </w:r>
    </w:p>
    <w:p w:rsidR="00487828" w:rsidRPr="00707CD9" w:rsidRDefault="00487828" w:rsidP="00487828">
      <w:pPr>
        <w:spacing w:after="0" w:line="360" w:lineRule="auto"/>
        <w:ind w:right="49"/>
        <w:jc w:val="both"/>
        <w:rPr>
          <w:rFonts w:ascii="Palatino Linotype" w:hAnsi="Palatino Linotype"/>
          <w:sz w:val="18"/>
          <w:lang w:val="es-ES_tradnl"/>
        </w:rPr>
      </w:pPr>
    </w:p>
    <w:tbl>
      <w:tblPr>
        <w:tblStyle w:val="Tablaconcuadrcula"/>
        <w:tblW w:w="0" w:type="auto"/>
        <w:tblLook w:val="04A0" w:firstRow="1" w:lastRow="0" w:firstColumn="1" w:lastColumn="0" w:noHBand="0" w:noVBand="1"/>
      </w:tblPr>
      <w:tblGrid>
        <w:gridCol w:w="2122"/>
        <w:gridCol w:w="4819"/>
        <w:gridCol w:w="2121"/>
      </w:tblGrid>
      <w:tr w:rsidR="00487828" w:rsidRPr="00707CD9" w:rsidTr="00911046">
        <w:tc>
          <w:tcPr>
            <w:tcW w:w="2122" w:type="dxa"/>
            <w:shd w:val="clear" w:color="auto" w:fill="D9D9D9" w:themeFill="background1" w:themeFillShade="D9"/>
            <w:vAlign w:val="center"/>
          </w:tcPr>
          <w:p w:rsidR="00487828" w:rsidRPr="00707CD9" w:rsidRDefault="00487828" w:rsidP="00911046">
            <w:pPr>
              <w:ind w:right="49"/>
              <w:jc w:val="center"/>
              <w:rPr>
                <w:rFonts w:ascii="Palatino Linotype" w:hAnsi="Palatino Linotype"/>
                <w:b/>
                <w:sz w:val="24"/>
                <w:lang w:val="es-ES_tradnl"/>
              </w:rPr>
            </w:pPr>
            <w:r w:rsidRPr="00707CD9">
              <w:rPr>
                <w:rFonts w:ascii="Palatino Linotype" w:hAnsi="Palatino Linotype"/>
                <w:b/>
                <w:sz w:val="24"/>
                <w:lang w:val="es-ES_tradnl"/>
              </w:rPr>
              <w:t>Solicitud de Información</w:t>
            </w:r>
          </w:p>
        </w:tc>
        <w:tc>
          <w:tcPr>
            <w:tcW w:w="4819" w:type="dxa"/>
            <w:shd w:val="clear" w:color="auto" w:fill="D9D9D9" w:themeFill="background1" w:themeFillShade="D9"/>
            <w:vAlign w:val="center"/>
          </w:tcPr>
          <w:p w:rsidR="00487828" w:rsidRPr="00707CD9" w:rsidRDefault="00487828" w:rsidP="00911046">
            <w:pPr>
              <w:ind w:right="49"/>
              <w:jc w:val="center"/>
              <w:rPr>
                <w:rFonts w:ascii="Palatino Linotype" w:hAnsi="Palatino Linotype"/>
                <w:b/>
                <w:sz w:val="24"/>
                <w:lang w:val="es-ES_tradnl"/>
              </w:rPr>
            </w:pPr>
            <w:r w:rsidRPr="00707CD9">
              <w:rPr>
                <w:rFonts w:ascii="Palatino Linotype" w:hAnsi="Palatino Linotype"/>
                <w:b/>
                <w:sz w:val="24"/>
                <w:lang w:val="es-ES_tradnl"/>
              </w:rPr>
              <w:t>Respuesta</w:t>
            </w:r>
          </w:p>
        </w:tc>
        <w:tc>
          <w:tcPr>
            <w:tcW w:w="2121" w:type="dxa"/>
            <w:shd w:val="clear" w:color="auto" w:fill="D9D9D9" w:themeFill="background1" w:themeFillShade="D9"/>
            <w:vAlign w:val="center"/>
          </w:tcPr>
          <w:p w:rsidR="00487828" w:rsidRPr="00707CD9" w:rsidRDefault="00487828" w:rsidP="00911046">
            <w:pPr>
              <w:ind w:right="49"/>
              <w:jc w:val="center"/>
              <w:rPr>
                <w:rFonts w:ascii="Palatino Linotype" w:hAnsi="Palatino Linotype"/>
                <w:b/>
                <w:sz w:val="24"/>
                <w:lang w:val="es-ES_tradnl"/>
              </w:rPr>
            </w:pPr>
            <w:r w:rsidRPr="00707CD9">
              <w:rPr>
                <w:rFonts w:ascii="Palatino Linotype" w:hAnsi="Palatino Linotype"/>
                <w:b/>
                <w:sz w:val="24"/>
                <w:lang w:val="es-ES_tradnl"/>
              </w:rPr>
              <w:t>Cumplimiento</w:t>
            </w:r>
          </w:p>
        </w:tc>
      </w:tr>
      <w:tr w:rsidR="00CF5F04" w:rsidRPr="00707CD9" w:rsidTr="00CF5F04">
        <w:tc>
          <w:tcPr>
            <w:tcW w:w="2122" w:type="dxa"/>
            <w:vAlign w:val="center"/>
          </w:tcPr>
          <w:p w:rsidR="00CF5F04" w:rsidRPr="00707CD9" w:rsidRDefault="00CF5F04" w:rsidP="008C4984">
            <w:pPr>
              <w:autoSpaceDE w:val="0"/>
              <w:autoSpaceDN w:val="0"/>
              <w:adjustRightInd w:val="0"/>
              <w:spacing w:line="276" w:lineRule="auto"/>
              <w:jc w:val="both"/>
              <w:rPr>
                <w:rFonts w:ascii="Palatino Linotype" w:hAnsi="Palatino Linotype" w:cs="Arial"/>
                <w:sz w:val="18"/>
              </w:rPr>
            </w:pPr>
            <w:r w:rsidRPr="00707CD9">
              <w:rPr>
                <w:rFonts w:ascii="Palatino Linotype" w:hAnsi="Palatino Linotype" w:cs="Arial"/>
                <w:sz w:val="18"/>
              </w:rPr>
              <w:t xml:space="preserve">Nombre de los bancos con los que el Ayuntamiento de Cuautitlán Izcalli tiene </w:t>
            </w:r>
            <w:proofErr w:type="spellStart"/>
            <w:r w:rsidRPr="00707CD9">
              <w:rPr>
                <w:rFonts w:ascii="Palatino Linotype" w:hAnsi="Palatino Linotype" w:cs="Arial"/>
                <w:sz w:val="18"/>
              </w:rPr>
              <w:t>aperturadas</w:t>
            </w:r>
            <w:proofErr w:type="spellEnd"/>
            <w:r w:rsidRPr="00707CD9">
              <w:rPr>
                <w:rFonts w:ascii="Palatino Linotype" w:hAnsi="Palatino Linotype" w:cs="Arial"/>
                <w:sz w:val="18"/>
              </w:rPr>
              <w:t xml:space="preserve"> cuentas.</w:t>
            </w:r>
          </w:p>
        </w:tc>
        <w:tc>
          <w:tcPr>
            <w:tcW w:w="4819" w:type="dxa"/>
            <w:vMerge w:val="restart"/>
            <w:vAlign w:val="center"/>
          </w:tcPr>
          <w:p w:rsidR="00CF5F04" w:rsidRPr="00707CD9" w:rsidRDefault="008C4984" w:rsidP="008C4984">
            <w:pPr>
              <w:spacing w:line="276" w:lineRule="auto"/>
              <w:ind w:right="49"/>
              <w:jc w:val="both"/>
              <w:rPr>
                <w:rFonts w:ascii="Palatino Linotype" w:hAnsi="Palatino Linotype"/>
                <w:lang w:val="es-ES_tradnl"/>
              </w:rPr>
            </w:pPr>
            <w:r w:rsidRPr="00707CD9">
              <w:rPr>
                <w:rFonts w:ascii="Palatino Linotype" w:hAnsi="Palatino Linotype"/>
                <w:lang w:val="es-ES_tradnl"/>
              </w:rPr>
              <w:t>Como se señaló anteriormente, el Servidor Público Habilitado de la Tesorería Municipal, remitió una tabla únicamente con los datos del nombre de la institución bancaria y el saldo (monto) al mes de marzo de 2022, por lo que, a manera de ejemplo, se inserta la siguiente captura de pantalla:</w:t>
            </w:r>
          </w:p>
          <w:p w:rsidR="008C4984" w:rsidRPr="00707CD9" w:rsidRDefault="008C4984" w:rsidP="007C0229">
            <w:pPr>
              <w:ind w:right="49"/>
              <w:jc w:val="both"/>
              <w:rPr>
                <w:rFonts w:ascii="Palatino Linotype" w:hAnsi="Palatino Linotype"/>
                <w:lang w:val="es-ES_tradnl"/>
              </w:rPr>
            </w:pPr>
          </w:p>
          <w:p w:rsidR="008C4984" w:rsidRPr="00707CD9" w:rsidRDefault="008C4984" w:rsidP="00AA7243">
            <w:pPr>
              <w:ind w:right="49"/>
              <w:jc w:val="center"/>
              <w:rPr>
                <w:rFonts w:ascii="Palatino Linotype" w:hAnsi="Palatino Linotype"/>
                <w:lang w:val="es-ES_tradnl"/>
              </w:rPr>
            </w:pPr>
            <w:r w:rsidRPr="00707CD9">
              <w:object w:dxaOrig="4350" w:dyaOrig="6855">
                <v:shape id="_x0000_i1025" type="#_x0000_t75" style="width:217.5pt;height:342.75pt" o:ole="">
                  <v:imagedata r:id="rId8" o:title=""/>
                </v:shape>
                <o:OLEObject Type="Embed" ProgID="PBrush" ShapeID="_x0000_i1025" DrawAspect="Content" ObjectID="_1726599301" r:id="rId9"/>
              </w:object>
            </w:r>
          </w:p>
        </w:tc>
        <w:tc>
          <w:tcPr>
            <w:tcW w:w="2121" w:type="dxa"/>
            <w:vAlign w:val="center"/>
          </w:tcPr>
          <w:p w:rsidR="00CF5F04" w:rsidRPr="00707CD9" w:rsidRDefault="00CF5F04" w:rsidP="00CF5F04">
            <w:pPr>
              <w:spacing w:line="360" w:lineRule="auto"/>
              <w:ind w:right="49"/>
              <w:jc w:val="center"/>
              <w:rPr>
                <w:rFonts w:ascii="Palatino Linotype" w:hAnsi="Palatino Linotype"/>
                <w:b/>
                <w:sz w:val="24"/>
                <w:lang w:val="es-ES_tradnl"/>
              </w:rPr>
            </w:pPr>
            <w:r w:rsidRPr="00707CD9">
              <w:rPr>
                <w:rFonts w:ascii="Palatino Linotype" w:hAnsi="Palatino Linotype"/>
                <w:b/>
                <w:sz w:val="24"/>
                <w:lang w:val="es-ES_tradnl"/>
              </w:rPr>
              <w:t>Parcialmente</w:t>
            </w:r>
          </w:p>
          <w:p w:rsidR="00AA7243" w:rsidRPr="00707CD9" w:rsidRDefault="00AA7243" w:rsidP="00AA2BAD">
            <w:pPr>
              <w:ind w:right="49"/>
              <w:jc w:val="both"/>
              <w:rPr>
                <w:rFonts w:ascii="Palatino Linotype" w:hAnsi="Palatino Linotype"/>
                <w:i/>
                <w:sz w:val="24"/>
                <w:lang w:val="es-ES_tradnl"/>
              </w:rPr>
            </w:pPr>
            <w:r w:rsidRPr="00707CD9">
              <w:rPr>
                <w:rFonts w:ascii="Palatino Linotype" w:hAnsi="Palatino Linotype"/>
                <w:i/>
                <w:sz w:val="20"/>
                <w:lang w:val="es-ES_tradnl"/>
              </w:rPr>
              <w:t>(Faltó la</w:t>
            </w:r>
            <w:r w:rsidR="00AA2BAD" w:rsidRPr="00707CD9">
              <w:rPr>
                <w:rFonts w:ascii="Palatino Linotype" w:hAnsi="Palatino Linotype"/>
                <w:i/>
                <w:sz w:val="20"/>
                <w:lang w:val="es-ES_tradnl"/>
              </w:rPr>
              <w:t xml:space="preserve"> temporalidad de los años 2020 y </w:t>
            </w:r>
            <w:r w:rsidRPr="00707CD9">
              <w:rPr>
                <w:rFonts w:ascii="Palatino Linotype" w:hAnsi="Palatino Linotype"/>
                <w:i/>
                <w:sz w:val="20"/>
                <w:lang w:val="es-ES_tradnl"/>
              </w:rPr>
              <w:t>2021).</w:t>
            </w:r>
          </w:p>
        </w:tc>
      </w:tr>
      <w:tr w:rsidR="00CF5F04" w:rsidRPr="00707CD9" w:rsidTr="00CF5F04">
        <w:tc>
          <w:tcPr>
            <w:tcW w:w="2122" w:type="dxa"/>
            <w:vAlign w:val="center"/>
          </w:tcPr>
          <w:p w:rsidR="00CF5F04" w:rsidRPr="00707CD9" w:rsidRDefault="00CF5F04" w:rsidP="008C4984">
            <w:pPr>
              <w:autoSpaceDE w:val="0"/>
              <w:autoSpaceDN w:val="0"/>
              <w:adjustRightInd w:val="0"/>
              <w:spacing w:line="276" w:lineRule="auto"/>
              <w:jc w:val="both"/>
              <w:rPr>
                <w:rFonts w:ascii="Palatino Linotype" w:hAnsi="Palatino Linotype" w:cs="Arial"/>
                <w:sz w:val="18"/>
              </w:rPr>
            </w:pPr>
            <w:r w:rsidRPr="00707CD9">
              <w:rPr>
                <w:rFonts w:ascii="Palatino Linotype" w:hAnsi="Palatino Linotype" w:cs="Arial"/>
                <w:sz w:val="18"/>
              </w:rPr>
              <w:t>Los montos integrados en esas cuentas; todo lo anterior relacionado con los años 2020 a 2022.</w:t>
            </w:r>
          </w:p>
        </w:tc>
        <w:tc>
          <w:tcPr>
            <w:tcW w:w="4819" w:type="dxa"/>
            <w:vMerge/>
            <w:vAlign w:val="center"/>
          </w:tcPr>
          <w:p w:rsidR="00CF5F04" w:rsidRPr="00707CD9" w:rsidRDefault="00CF5F04" w:rsidP="007C0229">
            <w:pPr>
              <w:ind w:right="49"/>
              <w:jc w:val="both"/>
              <w:rPr>
                <w:rFonts w:ascii="Palatino Linotype" w:hAnsi="Palatino Linotype"/>
                <w:lang w:val="es-ES_tradnl"/>
              </w:rPr>
            </w:pPr>
          </w:p>
        </w:tc>
        <w:tc>
          <w:tcPr>
            <w:tcW w:w="2121" w:type="dxa"/>
            <w:vAlign w:val="center"/>
          </w:tcPr>
          <w:p w:rsidR="00CF5F04" w:rsidRPr="00707CD9" w:rsidRDefault="00CF5F04" w:rsidP="00CF5F04">
            <w:pPr>
              <w:spacing w:line="360" w:lineRule="auto"/>
              <w:ind w:right="49"/>
              <w:jc w:val="center"/>
              <w:rPr>
                <w:rFonts w:ascii="Palatino Linotype" w:hAnsi="Palatino Linotype"/>
                <w:b/>
                <w:sz w:val="24"/>
                <w:lang w:val="es-ES_tradnl"/>
              </w:rPr>
            </w:pPr>
            <w:r w:rsidRPr="00707CD9">
              <w:rPr>
                <w:rFonts w:ascii="Palatino Linotype" w:hAnsi="Palatino Linotype"/>
                <w:b/>
                <w:sz w:val="24"/>
                <w:lang w:val="es-ES_tradnl"/>
              </w:rPr>
              <w:t>Parcialmente</w:t>
            </w:r>
          </w:p>
          <w:p w:rsidR="00AA7243" w:rsidRPr="00707CD9" w:rsidRDefault="00AA7243" w:rsidP="00AA2BAD">
            <w:pPr>
              <w:ind w:right="49"/>
              <w:jc w:val="both"/>
              <w:rPr>
                <w:rFonts w:ascii="Palatino Linotype" w:hAnsi="Palatino Linotype"/>
                <w:b/>
                <w:sz w:val="24"/>
                <w:lang w:val="es-ES_tradnl"/>
              </w:rPr>
            </w:pPr>
            <w:r w:rsidRPr="00707CD9">
              <w:rPr>
                <w:rFonts w:ascii="Palatino Linotype" w:hAnsi="Palatino Linotype"/>
                <w:i/>
                <w:sz w:val="20"/>
                <w:lang w:val="es-ES_tradnl"/>
              </w:rPr>
              <w:t>(Faltó l</w:t>
            </w:r>
            <w:r w:rsidR="00AA2BAD" w:rsidRPr="00707CD9">
              <w:rPr>
                <w:rFonts w:ascii="Palatino Linotype" w:hAnsi="Palatino Linotype"/>
                <w:i/>
                <w:sz w:val="20"/>
                <w:lang w:val="es-ES_tradnl"/>
              </w:rPr>
              <w:t>a temporalidad de los años 2020 y</w:t>
            </w:r>
            <w:r w:rsidRPr="00707CD9">
              <w:rPr>
                <w:rFonts w:ascii="Palatino Linotype" w:hAnsi="Palatino Linotype"/>
                <w:i/>
                <w:sz w:val="20"/>
                <w:lang w:val="es-ES_tradnl"/>
              </w:rPr>
              <w:t xml:space="preserve"> 2021).</w:t>
            </w:r>
          </w:p>
        </w:tc>
      </w:tr>
      <w:tr w:rsidR="00CF5F04" w:rsidRPr="00707CD9" w:rsidTr="00CF5F04">
        <w:tc>
          <w:tcPr>
            <w:tcW w:w="2122" w:type="dxa"/>
            <w:vAlign w:val="center"/>
          </w:tcPr>
          <w:p w:rsidR="00CF5F04" w:rsidRPr="00707CD9" w:rsidRDefault="00CF5F04" w:rsidP="008C4984">
            <w:pPr>
              <w:autoSpaceDE w:val="0"/>
              <w:autoSpaceDN w:val="0"/>
              <w:adjustRightInd w:val="0"/>
              <w:spacing w:line="276" w:lineRule="auto"/>
              <w:jc w:val="both"/>
              <w:rPr>
                <w:rFonts w:ascii="Palatino Linotype" w:hAnsi="Palatino Linotype" w:cs="Arial"/>
                <w:sz w:val="18"/>
              </w:rPr>
            </w:pPr>
            <w:r w:rsidRPr="00707CD9">
              <w:rPr>
                <w:rFonts w:ascii="Palatino Linotype" w:hAnsi="Palatino Linotype" w:cs="Arial"/>
                <w:sz w:val="18"/>
              </w:rPr>
              <w:t>Los números de dichas cuentas.</w:t>
            </w:r>
          </w:p>
        </w:tc>
        <w:tc>
          <w:tcPr>
            <w:tcW w:w="4819" w:type="dxa"/>
            <w:vMerge/>
          </w:tcPr>
          <w:p w:rsidR="00CF5F04" w:rsidRPr="00707CD9" w:rsidRDefault="00CF5F04" w:rsidP="007C0229">
            <w:pPr>
              <w:ind w:right="49"/>
              <w:jc w:val="both"/>
              <w:rPr>
                <w:rFonts w:ascii="Palatino Linotype" w:hAnsi="Palatino Linotype"/>
                <w:lang w:val="es-ES_tradnl"/>
              </w:rPr>
            </w:pPr>
          </w:p>
        </w:tc>
        <w:tc>
          <w:tcPr>
            <w:tcW w:w="2121" w:type="dxa"/>
            <w:vAlign w:val="center"/>
          </w:tcPr>
          <w:p w:rsidR="00CF5F04" w:rsidRPr="00707CD9" w:rsidRDefault="00CF5F04" w:rsidP="00CF5F04">
            <w:pPr>
              <w:ind w:right="49"/>
              <w:jc w:val="center"/>
              <w:rPr>
                <w:rFonts w:ascii="Palatino Linotype" w:hAnsi="Palatino Linotype"/>
                <w:b/>
                <w:sz w:val="24"/>
                <w:lang w:val="es-ES_tradnl"/>
              </w:rPr>
            </w:pPr>
            <w:r w:rsidRPr="00707CD9">
              <w:rPr>
                <w:rFonts w:ascii="Palatino Linotype" w:hAnsi="Palatino Linotype"/>
                <w:b/>
                <w:sz w:val="24"/>
                <w:lang w:val="es-ES_tradnl"/>
              </w:rPr>
              <w:t>No</w:t>
            </w:r>
          </w:p>
        </w:tc>
      </w:tr>
    </w:tbl>
    <w:p w:rsidR="00487828" w:rsidRPr="00707CD9" w:rsidRDefault="00487828" w:rsidP="00487828">
      <w:pPr>
        <w:autoSpaceDE w:val="0"/>
        <w:autoSpaceDN w:val="0"/>
        <w:adjustRightInd w:val="0"/>
        <w:spacing w:line="360" w:lineRule="auto"/>
        <w:rPr>
          <w:rFonts w:ascii="Palatino Linotype" w:hAnsi="Palatino Linotype"/>
          <w:lang w:val="es-ES_tradnl"/>
        </w:rPr>
      </w:pPr>
    </w:p>
    <w:p w:rsidR="00487828" w:rsidRPr="00707CD9" w:rsidRDefault="008C4984" w:rsidP="008C4984">
      <w:pPr>
        <w:shd w:val="clear" w:color="auto" w:fill="FFFFFF"/>
        <w:spacing w:after="0" w:line="360" w:lineRule="auto"/>
        <w:jc w:val="both"/>
        <w:rPr>
          <w:rFonts w:ascii="Palatino Linotype" w:eastAsia="Times New Roman" w:hAnsi="Palatino Linotype" w:cs="Times New Roman"/>
          <w:color w:val="222222"/>
          <w:sz w:val="24"/>
          <w:szCs w:val="24"/>
          <w:lang w:val="es-ES" w:eastAsia="es-ES"/>
        </w:rPr>
      </w:pPr>
      <w:r w:rsidRPr="00707CD9">
        <w:rPr>
          <w:rFonts w:ascii="Palatino Linotype" w:eastAsia="Times New Roman" w:hAnsi="Palatino Linotype" w:cs="Times New Roman"/>
          <w:color w:val="222222"/>
          <w:sz w:val="24"/>
          <w:szCs w:val="24"/>
          <w:lang w:val="es-ES" w:eastAsia="es-ES"/>
        </w:rPr>
        <w:lastRenderedPageBreak/>
        <w:t>En este sentido, debe dejarse claro que al haber existido un pronunciamiento por parte del </w:t>
      </w:r>
      <w:r w:rsidRPr="00707CD9">
        <w:rPr>
          <w:rFonts w:ascii="Palatino Linotype" w:eastAsia="Times New Roman" w:hAnsi="Palatino Linotype" w:cs="Times New Roman"/>
          <w:b/>
          <w:bCs/>
          <w:color w:val="222222"/>
          <w:sz w:val="24"/>
          <w:szCs w:val="24"/>
          <w:lang w:val="es-ES" w:eastAsia="es-ES"/>
        </w:rPr>
        <w:t>Sujeto Obligado</w:t>
      </w:r>
      <w:r w:rsidRPr="00707CD9">
        <w:rPr>
          <w:rFonts w:ascii="Palatino Linotype" w:eastAsia="Times New Roman" w:hAnsi="Palatino Linotype" w:cs="Times New Roman"/>
          <w:color w:val="222222"/>
          <w:sz w:val="24"/>
          <w:szCs w:val="24"/>
          <w:lang w:val="es-ES" w:eastAsia="es-ES"/>
        </w:rPr>
        <w:t xml:space="preserve">, este Instituto no está facultado para manifestarse sobre la veracidad del mismo, pues no existe precepto legal alguno en la Ley de la materia que lo faculte para, vía recurso de revisión, pronunciarse al respecto. </w:t>
      </w:r>
    </w:p>
    <w:p w:rsidR="008C4984" w:rsidRPr="00707CD9" w:rsidRDefault="008C4984" w:rsidP="008C4984">
      <w:pPr>
        <w:shd w:val="clear" w:color="auto" w:fill="FFFFFF"/>
        <w:spacing w:after="0" w:line="360" w:lineRule="auto"/>
        <w:jc w:val="both"/>
        <w:rPr>
          <w:rFonts w:ascii="Palatino Linotype" w:eastAsia="Times New Roman" w:hAnsi="Palatino Linotype" w:cs="Times New Roman"/>
          <w:color w:val="222222"/>
          <w:sz w:val="24"/>
          <w:szCs w:val="24"/>
          <w:lang w:val="es-ES" w:eastAsia="es-ES"/>
        </w:rPr>
      </w:pPr>
    </w:p>
    <w:p w:rsidR="00487828" w:rsidRPr="00707CD9" w:rsidRDefault="00487828" w:rsidP="003632BC">
      <w:pPr>
        <w:spacing w:after="0" w:line="360" w:lineRule="auto"/>
        <w:jc w:val="both"/>
        <w:rPr>
          <w:rFonts w:ascii="Palatino Linotype" w:hAnsi="Palatino Linotype"/>
          <w:sz w:val="24"/>
          <w:szCs w:val="24"/>
        </w:rPr>
      </w:pPr>
      <w:r w:rsidRPr="00707CD9">
        <w:rPr>
          <w:rFonts w:ascii="Palatino Linotype" w:hAnsi="Palatino Linotype" w:cs="Arial"/>
          <w:sz w:val="24"/>
          <w:szCs w:val="24"/>
        </w:rPr>
        <w:t>Lo anterior se robustece con lo plasmado en el criterio</w:t>
      </w:r>
      <w:r w:rsidRPr="00707CD9">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w:t>
      </w:r>
      <w:r w:rsidR="007923AB" w:rsidRPr="00707CD9">
        <w:rPr>
          <w:rFonts w:ascii="Palatino Linotype" w:hAnsi="Palatino Linotype"/>
          <w:sz w:val="24"/>
          <w:szCs w:val="24"/>
        </w:rPr>
        <w:t xml:space="preserve"> </w:t>
      </w:r>
    </w:p>
    <w:p w:rsidR="003632BC" w:rsidRPr="00707CD9" w:rsidRDefault="003632BC" w:rsidP="003632BC">
      <w:pPr>
        <w:pStyle w:val="Sinespaciado"/>
      </w:pPr>
    </w:p>
    <w:p w:rsidR="00487828" w:rsidRPr="00707CD9" w:rsidRDefault="00487828" w:rsidP="00487828">
      <w:pPr>
        <w:pStyle w:val="Prrafodelista"/>
        <w:ind w:left="567" w:right="616"/>
        <w:jc w:val="both"/>
        <w:rPr>
          <w:rFonts w:ascii="Palatino Linotype" w:hAnsi="Palatino Linotype"/>
          <w:i/>
          <w:sz w:val="22"/>
        </w:rPr>
      </w:pPr>
      <w:r w:rsidRPr="00707CD9">
        <w:rPr>
          <w:rFonts w:ascii="Palatino Linotype" w:hAnsi="Palatino Linotype"/>
          <w:i/>
          <w:sz w:val="22"/>
        </w:rPr>
        <w:t>“</w:t>
      </w:r>
      <w:r w:rsidRPr="00707CD9">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707CD9">
        <w:rPr>
          <w:rFonts w:ascii="Palatino Linotype" w:hAnsi="Palatino Linotype"/>
          <w:b/>
          <w:i/>
          <w:sz w:val="22"/>
        </w:rPr>
        <w:t>.</w:t>
      </w:r>
      <w:r w:rsidRPr="00707CD9">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87828" w:rsidRPr="00707CD9" w:rsidRDefault="00487828" w:rsidP="00487828">
      <w:pPr>
        <w:spacing w:after="0" w:line="360" w:lineRule="auto"/>
        <w:ind w:right="141"/>
        <w:jc w:val="both"/>
        <w:rPr>
          <w:rFonts w:ascii="Palatino Linotype" w:hAnsi="Palatino Linotype" w:cs="Arial"/>
          <w:bCs/>
          <w:sz w:val="24"/>
          <w:szCs w:val="24"/>
        </w:rPr>
      </w:pPr>
    </w:p>
    <w:p w:rsidR="00487828" w:rsidRPr="00707CD9" w:rsidRDefault="00487828" w:rsidP="00487828">
      <w:pPr>
        <w:spacing w:after="0" w:line="360" w:lineRule="auto"/>
        <w:ind w:right="141"/>
        <w:jc w:val="both"/>
        <w:rPr>
          <w:rFonts w:ascii="Palatino Linotype" w:eastAsia="MS Mincho" w:hAnsi="Palatino Linotype"/>
          <w:b/>
          <w:i/>
          <w:sz w:val="24"/>
          <w:szCs w:val="24"/>
          <w:lang w:val="es-ES"/>
        </w:rPr>
      </w:pPr>
      <w:r w:rsidRPr="00707CD9">
        <w:rPr>
          <w:rFonts w:ascii="Palatino Linotype" w:hAnsi="Palatino Linotype" w:cs="Arial"/>
          <w:bCs/>
          <w:sz w:val="24"/>
          <w:szCs w:val="24"/>
        </w:rPr>
        <w:t xml:space="preserve">Es así que derivado de la respuesta emitida por </w:t>
      </w:r>
      <w:r w:rsidRPr="00707CD9">
        <w:rPr>
          <w:rFonts w:ascii="Palatino Linotype" w:hAnsi="Palatino Linotype" w:cs="Arial"/>
          <w:b/>
          <w:bCs/>
          <w:sz w:val="24"/>
          <w:szCs w:val="24"/>
        </w:rPr>
        <w:t>El Sujeto Obligado</w:t>
      </w:r>
      <w:r w:rsidRPr="00707CD9">
        <w:rPr>
          <w:rFonts w:ascii="Palatino Linotype" w:hAnsi="Palatino Linotype" w:cs="Arial"/>
          <w:bCs/>
          <w:sz w:val="24"/>
          <w:szCs w:val="24"/>
        </w:rPr>
        <w:t xml:space="preserve">, </w:t>
      </w:r>
      <w:r w:rsidRPr="00707CD9">
        <w:rPr>
          <w:rFonts w:ascii="Palatino Linotype" w:hAnsi="Palatino Linotype" w:cs="Arial"/>
          <w:b/>
          <w:bCs/>
          <w:sz w:val="24"/>
          <w:szCs w:val="24"/>
        </w:rPr>
        <w:t>El Recurrente</w:t>
      </w:r>
      <w:r w:rsidRPr="00707CD9">
        <w:rPr>
          <w:rFonts w:ascii="Palatino Linotype" w:hAnsi="Palatino Linotype" w:cs="Arial"/>
          <w:bCs/>
          <w:sz w:val="24"/>
          <w:szCs w:val="24"/>
        </w:rPr>
        <w:t xml:space="preserve">, interpuso el presente recurso de revisión, señalando sustancialmente como sus razones o motivos de inconformidad, lo siguiente: </w:t>
      </w:r>
      <w:r w:rsidRPr="00707CD9">
        <w:rPr>
          <w:rFonts w:ascii="Palatino Linotype" w:eastAsia="MS Mincho" w:hAnsi="Palatino Linotype"/>
          <w:b/>
          <w:i/>
          <w:sz w:val="24"/>
          <w:szCs w:val="24"/>
          <w:lang w:val="es-ES"/>
        </w:rPr>
        <w:t>“</w:t>
      </w:r>
      <w:r w:rsidR="008C4984" w:rsidRPr="00707CD9">
        <w:rPr>
          <w:rFonts w:ascii="Palatino Linotype" w:eastAsia="MS Mincho" w:hAnsi="Palatino Linotype"/>
          <w:b/>
          <w:i/>
          <w:sz w:val="24"/>
          <w:szCs w:val="24"/>
          <w:lang w:val="es-ES"/>
        </w:rPr>
        <w:t>me dieron un listado incompleto, requiero la documentación correcta y bien como la pedí</w:t>
      </w:r>
      <w:r w:rsidRPr="00707CD9">
        <w:rPr>
          <w:rFonts w:ascii="Palatino Linotype" w:eastAsia="MS Mincho" w:hAnsi="Palatino Linotype"/>
          <w:b/>
          <w:i/>
          <w:sz w:val="24"/>
          <w:szCs w:val="24"/>
          <w:lang w:val="es-ES"/>
        </w:rPr>
        <w:t>” [Sic]</w:t>
      </w:r>
    </w:p>
    <w:p w:rsidR="003632BC" w:rsidRPr="00707CD9" w:rsidRDefault="003632BC" w:rsidP="00487828">
      <w:pPr>
        <w:spacing w:after="0" w:line="360" w:lineRule="auto"/>
        <w:ind w:right="141"/>
        <w:jc w:val="both"/>
        <w:rPr>
          <w:rFonts w:ascii="Palatino Linotype" w:eastAsia="MS Mincho" w:hAnsi="Palatino Linotype"/>
          <w:sz w:val="24"/>
          <w:szCs w:val="24"/>
          <w:lang w:val="es-ES"/>
        </w:rPr>
      </w:pPr>
    </w:p>
    <w:p w:rsidR="00AB0A76" w:rsidRPr="00707CD9" w:rsidRDefault="00AB0A76" w:rsidP="00487828">
      <w:pPr>
        <w:spacing w:after="0" w:line="360" w:lineRule="auto"/>
        <w:ind w:right="141"/>
        <w:jc w:val="both"/>
        <w:rPr>
          <w:rFonts w:ascii="Palatino Linotype" w:hAnsi="Palatino Linotype"/>
          <w:sz w:val="24"/>
          <w:lang w:val="es-ES_tradnl"/>
        </w:rPr>
      </w:pPr>
      <w:r w:rsidRPr="00707CD9">
        <w:rPr>
          <w:rFonts w:ascii="Palatino Linotype" w:eastAsia="MS Mincho" w:hAnsi="Palatino Linotype"/>
          <w:sz w:val="24"/>
          <w:szCs w:val="24"/>
          <w:lang w:val="es-ES"/>
        </w:rPr>
        <w:lastRenderedPageBreak/>
        <w:t xml:space="preserve">Por lo que en la etapa de manifestaciones, el </w:t>
      </w:r>
      <w:r w:rsidRPr="00707CD9">
        <w:rPr>
          <w:rFonts w:ascii="Palatino Linotype" w:eastAsia="MS Mincho" w:hAnsi="Palatino Linotype"/>
          <w:b/>
          <w:sz w:val="24"/>
          <w:szCs w:val="24"/>
          <w:lang w:val="es-ES"/>
        </w:rPr>
        <w:t>Sujeto Obligado</w:t>
      </w:r>
      <w:r w:rsidRPr="00707CD9">
        <w:rPr>
          <w:rFonts w:ascii="Palatino Linotype" w:eastAsia="MS Mincho" w:hAnsi="Palatino Linotype"/>
          <w:sz w:val="24"/>
          <w:szCs w:val="24"/>
          <w:lang w:val="es-ES"/>
        </w:rPr>
        <w:t xml:space="preserve"> informó mediante el oficio </w:t>
      </w:r>
      <w:r w:rsidRPr="00707CD9">
        <w:rPr>
          <w:rFonts w:ascii="Palatino Linotype" w:hAnsi="Palatino Linotype"/>
          <w:sz w:val="24"/>
          <w:lang w:val="es-ES_tradnl"/>
        </w:rPr>
        <w:t xml:space="preserve">TM/02530/2022, firmado por el Tesorero Municipal, que la información que fue enviada es correcta, toda vez que el listado de las cuentas bancarias fue remitido como obra en los archivos de la Coordinación de Caja General; adicionalmente, comunicó que dichas cuentas permanecen en constante movimiento y algunas de ellas han sido canceladas, por lo que la información se encuentra sujeta a cambios derivados de la operatividad del </w:t>
      </w:r>
      <w:r w:rsidRPr="00707CD9">
        <w:rPr>
          <w:rFonts w:ascii="Palatino Linotype" w:hAnsi="Palatino Linotype"/>
          <w:b/>
          <w:sz w:val="24"/>
          <w:lang w:val="es-ES_tradnl"/>
        </w:rPr>
        <w:t>Sujeto Obligado</w:t>
      </w:r>
      <w:r w:rsidRPr="00707CD9">
        <w:rPr>
          <w:rFonts w:ascii="Palatino Linotype" w:hAnsi="Palatino Linotype"/>
          <w:sz w:val="24"/>
          <w:lang w:val="es-ES_tradnl"/>
        </w:rPr>
        <w:t xml:space="preserve"> y de factores ajenos al mismo.</w:t>
      </w:r>
    </w:p>
    <w:p w:rsidR="00AB0A76" w:rsidRPr="00707CD9" w:rsidRDefault="00AB0A76" w:rsidP="00487828">
      <w:pPr>
        <w:tabs>
          <w:tab w:val="left" w:pos="709"/>
        </w:tabs>
        <w:spacing w:after="0" w:line="360" w:lineRule="auto"/>
        <w:contextualSpacing/>
        <w:jc w:val="both"/>
        <w:rPr>
          <w:rFonts w:ascii="Palatino Linotype" w:eastAsia="MS Mincho" w:hAnsi="Palatino Linotype"/>
          <w:sz w:val="24"/>
          <w:szCs w:val="24"/>
          <w:lang w:val="es-ES"/>
        </w:rPr>
      </w:pPr>
      <w:bookmarkStart w:id="0" w:name="_Hlk22897875"/>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_tradnl" w:eastAsia="es-ES"/>
        </w:rPr>
        <w:t xml:space="preserve">Ante ello, es de </w:t>
      </w:r>
      <w:r w:rsidRPr="00707CD9">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rsidR="00487828" w:rsidRPr="00707CD9" w:rsidRDefault="00487828" w:rsidP="00487828">
      <w:pPr>
        <w:pStyle w:val="Sinespaciado"/>
        <w:rPr>
          <w:lang w:val="es-ES" w:eastAsia="es-ES"/>
        </w:rPr>
      </w:pPr>
    </w:p>
    <w:p w:rsidR="00487828" w:rsidRPr="00707CD9"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w:t>
      </w:r>
      <w:r w:rsidRPr="00707CD9">
        <w:rPr>
          <w:rFonts w:ascii="Palatino Linotype" w:eastAsia="Times New Roman" w:hAnsi="Palatino Linotype" w:cs="Arial"/>
          <w:b/>
          <w:i/>
          <w:szCs w:val="24"/>
          <w:lang w:val="es-ES" w:eastAsia="es-ES"/>
        </w:rPr>
        <w:t xml:space="preserve">Artículo 4. </w:t>
      </w:r>
      <w:r w:rsidRPr="00707CD9">
        <w:rPr>
          <w:rFonts w:ascii="Palatino Linotype" w:eastAsia="Times New Roman" w:hAnsi="Palatino Linotype" w:cs="Arial"/>
          <w:i/>
          <w:szCs w:val="24"/>
          <w:lang w:val="es-ES" w:eastAsia="es-ES"/>
        </w:rPr>
        <w:t xml:space="preserve">… </w:t>
      </w:r>
    </w:p>
    <w:p w:rsidR="00487828" w:rsidRPr="00707CD9"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707CD9">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707CD9">
        <w:rPr>
          <w:rFonts w:ascii="Palatino Linotype" w:eastAsia="Times New Roman" w:hAnsi="Palatino Linotype" w:cs="Arial"/>
          <w:sz w:val="24"/>
          <w:szCs w:val="24"/>
          <w:lang w:val="es-ES" w:eastAsia="es-ES"/>
        </w:rPr>
        <w:lastRenderedPageBreak/>
        <w:t xml:space="preserve">archivos, en el estado en el que se encuentre, sin la obligación de generarla, resumirla, efectuar cálculos o practicar investigaciones; tal y como se señala a continuación: </w:t>
      </w:r>
    </w:p>
    <w:p w:rsidR="00487828" w:rsidRPr="00707CD9" w:rsidRDefault="00487828" w:rsidP="00487828">
      <w:pPr>
        <w:spacing w:after="0" w:line="240" w:lineRule="auto"/>
        <w:rPr>
          <w:rFonts w:ascii="Times New Roman" w:eastAsia="Times New Roman" w:hAnsi="Times New Roman" w:cs="Times New Roman"/>
          <w:sz w:val="24"/>
          <w:szCs w:val="24"/>
          <w:lang w:eastAsia="es-ES"/>
        </w:rPr>
      </w:pPr>
    </w:p>
    <w:p w:rsidR="00487828" w:rsidRPr="00707CD9" w:rsidRDefault="00487828" w:rsidP="00487828">
      <w:pPr>
        <w:spacing w:after="0" w:line="240" w:lineRule="auto"/>
        <w:rPr>
          <w:rFonts w:ascii="Times New Roman" w:eastAsia="Times New Roman" w:hAnsi="Times New Roman" w:cs="Times New Roman"/>
          <w:sz w:val="16"/>
          <w:szCs w:val="24"/>
          <w:lang w:val="es-ES_tradnl" w:eastAsia="es-ES"/>
        </w:rPr>
      </w:pPr>
    </w:p>
    <w:p w:rsidR="00487828" w:rsidRPr="00707CD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w:t>
      </w:r>
      <w:r w:rsidRPr="00707CD9">
        <w:rPr>
          <w:rFonts w:ascii="Palatino Linotype" w:eastAsia="Times New Roman" w:hAnsi="Palatino Linotype" w:cs="Arial"/>
          <w:b/>
          <w:i/>
          <w:szCs w:val="24"/>
          <w:lang w:val="es-ES" w:eastAsia="es-ES"/>
        </w:rPr>
        <w:t>Artículo 12.</w:t>
      </w:r>
      <w:r w:rsidRPr="00707CD9">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rsidR="00487828" w:rsidRPr="00707CD9" w:rsidRDefault="00487828" w:rsidP="00487828">
      <w:pPr>
        <w:spacing w:after="0" w:line="240" w:lineRule="auto"/>
        <w:ind w:left="567" w:right="616"/>
        <w:jc w:val="both"/>
        <w:rPr>
          <w:rFonts w:ascii="Palatino Linotype" w:eastAsia="Times New Roman" w:hAnsi="Palatino Linotype" w:cs="Arial"/>
          <w:i/>
          <w:szCs w:val="24"/>
          <w:lang w:val="es-ES" w:eastAsia="es-ES"/>
        </w:rPr>
      </w:pPr>
    </w:p>
    <w:p w:rsidR="00487828" w:rsidRPr="00707CD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707CD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707CD9">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07CD9">
        <w:rPr>
          <w:rFonts w:ascii="Palatino Linotype" w:eastAsia="Times New Roman" w:hAnsi="Palatino Linotype" w:cs="Arial"/>
          <w:sz w:val="24"/>
          <w:szCs w:val="24"/>
          <w:lang w:val="es-ES" w:eastAsia="es-ES"/>
        </w:rPr>
        <w:t xml:space="preserve"> de los Sujetos Obligados; los que, podrán estar en cualquier medio, sea escrito, impreso, sonoro, </w:t>
      </w:r>
      <w:r w:rsidRPr="00707CD9">
        <w:rPr>
          <w:rFonts w:ascii="Palatino Linotype" w:eastAsia="Times New Roman" w:hAnsi="Palatino Linotype" w:cs="Arial"/>
          <w:sz w:val="24"/>
          <w:szCs w:val="24"/>
          <w:lang w:val="es-ES" w:eastAsia="es-ES"/>
        </w:rPr>
        <w:lastRenderedPageBreak/>
        <w:t xml:space="preserve">visual, electrónico, informático u holográfico, de conformidad con el artículo 3, fracción XI, de la Ley de la materia, el cual dispone lo siguiente: </w:t>
      </w:r>
    </w:p>
    <w:p w:rsidR="00487828" w:rsidRPr="00707CD9" w:rsidRDefault="00487828" w:rsidP="00487828">
      <w:pPr>
        <w:spacing w:after="0" w:line="240" w:lineRule="auto"/>
        <w:rPr>
          <w:rFonts w:ascii="Times New Roman" w:eastAsia="Times New Roman" w:hAnsi="Times New Roman" w:cs="Times New Roman"/>
          <w:sz w:val="24"/>
          <w:szCs w:val="24"/>
          <w:lang w:eastAsia="es-ES"/>
        </w:rPr>
      </w:pPr>
    </w:p>
    <w:p w:rsidR="00487828" w:rsidRPr="00707CD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w:t>
      </w:r>
      <w:r w:rsidRPr="00707CD9">
        <w:rPr>
          <w:rFonts w:ascii="Palatino Linotype" w:eastAsia="Times New Roman" w:hAnsi="Palatino Linotype" w:cs="Arial"/>
          <w:b/>
          <w:i/>
          <w:szCs w:val="24"/>
          <w:lang w:val="es-ES" w:eastAsia="es-ES"/>
        </w:rPr>
        <w:t xml:space="preserve">Artículo 3. </w:t>
      </w:r>
      <w:r w:rsidRPr="00707CD9">
        <w:rPr>
          <w:rFonts w:ascii="Palatino Linotype" w:eastAsia="Times New Roman" w:hAnsi="Palatino Linotype" w:cs="Arial"/>
          <w:i/>
          <w:szCs w:val="24"/>
          <w:lang w:val="es-ES" w:eastAsia="es-ES"/>
        </w:rPr>
        <w:t>Para los efectos de la presente Ley se entenderá por:</w:t>
      </w:r>
    </w:p>
    <w:p w:rsidR="00487828" w:rsidRPr="00707CD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w:t>
      </w:r>
    </w:p>
    <w:p w:rsidR="00487828" w:rsidRPr="00707CD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XI. Documento:</w:t>
      </w:r>
      <w:r w:rsidRPr="00707CD9">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707CD9">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707CD9">
        <w:rPr>
          <w:rFonts w:ascii="Palatino Linotype" w:eastAsia="Times New Roman" w:hAnsi="Palatino Linotype" w:cs="Arial"/>
          <w:i/>
          <w:szCs w:val="24"/>
          <w:u w:val="single"/>
          <w:lang w:val="es-ES" w:eastAsia="es-ES"/>
        </w:rPr>
        <w:t>,</w:t>
      </w:r>
      <w:r w:rsidRPr="00707CD9">
        <w:rPr>
          <w:rFonts w:ascii="Palatino Linotype" w:eastAsia="Times New Roman" w:hAnsi="Palatino Linotype" w:cs="Arial"/>
          <w:i/>
          <w:szCs w:val="24"/>
          <w:lang w:val="es-ES" w:eastAsia="es-ES"/>
        </w:rPr>
        <w:t xml:space="preserve"> sus servidores públicos e integrantes, </w:t>
      </w:r>
      <w:r w:rsidRPr="00707CD9">
        <w:rPr>
          <w:rFonts w:ascii="Palatino Linotype" w:eastAsia="Times New Roman" w:hAnsi="Palatino Linotype" w:cs="Arial"/>
          <w:b/>
          <w:i/>
          <w:szCs w:val="24"/>
          <w:u w:val="single"/>
          <w:lang w:val="es-ES" w:eastAsia="es-ES"/>
        </w:rPr>
        <w:t>sin importar su fuente o fecha de elaboración.</w:t>
      </w:r>
      <w:r w:rsidRPr="00707CD9">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rsidR="00487828" w:rsidRPr="00707CD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w:t>
      </w:r>
    </w:p>
    <w:p w:rsidR="00487828" w:rsidRPr="00707CD9" w:rsidRDefault="00487828" w:rsidP="00487828">
      <w:pPr>
        <w:spacing w:after="0" w:line="240" w:lineRule="auto"/>
        <w:rPr>
          <w:rFonts w:ascii="Times New Roman" w:eastAsia="Times New Roman" w:hAnsi="Times New Roman" w:cs="Times New Roman"/>
          <w:sz w:val="14"/>
          <w:szCs w:val="24"/>
          <w:lang w:val="es-ES" w:eastAsia="es-ES"/>
        </w:rPr>
      </w:pPr>
    </w:p>
    <w:p w:rsidR="00487828" w:rsidRPr="00707CD9" w:rsidRDefault="00487828" w:rsidP="00487828">
      <w:pPr>
        <w:spacing w:after="0" w:line="240" w:lineRule="auto"/>
        <w:rPr>
          <w:rFonts w:ascii="Times New Roman" w:eastAsia="Times New Roman" w:hAnsi="Times New Roman" w:cs="Times New Roman"/>
          <w:sz w:val="24"/>
          <w:szCs w:val="24"/>
          <w:lang w:val="es-ES" w:eastAsia="es-ES"/>
        </w:rPr>
      </w:pPr>
    </w:p>
    <w:p w:rsidR="00487828" w:rsidRPr="00707CD9"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r w:rsidRPr="00707CD9">
        <w:rPr>
          <w:rFonts w:ascii="Palatino Linotype" w:eastAsia="Times New Roman" w:hAnsi="Palatino Linotype" w:cs="Arial"/>
          <w:sz w:val="24"/>
          <w:szCs w:val="24"/>
          <w:lang w:val="es-ES" w:eastAsia="es-ES"/>
        </w:rPr>
        <w:t xml:space="preserve">Además, </w:t>
      </w:r>
      <w:r w:rsidRPr="00707CD9">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487828" w:rsidRPr="00707CD9"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p>
    <w:p w:rsidR="00487828" w:rsidRPr="00707CD9" w:rsidRDefault="00487828" w:rsidP="00487828">
      <w:pPr>
        <w:spacing w:before="240" w:after="240" w:line="360" w:lineRule="auto"/>
        <w:ind w:right="49"/>
        <w:contextualSpacing/>
        <w:jc w:val="both"/>
        <w:rPr>
          <w:rFonts w:ascii="Palatino Linotype" w:eastAsia="MS Mincho" w:hAnsi="Palatino Linotype" w:cs="Tahoma"/>
          <w:sz w:val="24"/>
          <w:szCs w:val="24"/>
          <w:lang w:val="es-ES" w:eastAsia="es-ES"/>
        </w:rPr>
      </w:pPr>
      <w:r w:rsidRPr="00707CD9">
        <w:rPr>
          <w:rFonts w:ascii="Palatino Linotype" w:eastAsia="Times New Roman" w:hAnsi="Palatino Linotype" w:cs="Arial"/>
          <w:sz w:val="24"/>
          <w:szCs w:val="24"/>
          <w:lang w:val="es-ES" w:eastAsia="es-MX"/>
        </w:rPr>
        <w:t xml:space="preserve">De la misma forma, </w:t>
      </w:r>
      <w:r w:rsidRPr="00707CD9">
        <w:rPr>
          <w:rFonts w:ascii="Palatino Linotype" w:eastAsia="MS Mincho" w:hAnsi="Palatino Linotype" w:cs="Times New Roman"/>
          <w:sz w:val="24"/>
          <w:szCs w:val="24"/>
          <w:lang w:val="es-ES" w:eastAsia="es-ES"/>
        </w:rPr>
        <w:t>de acuerdo al contenido del artículo 160,</w:t>
      </w:r>
      <w:r w:rsidRPr="00707CD9">
        <w:rPr>
          <w:rFonts w:ascii="Palatino Linotype" w:eastAsia="Times New Roman" w:hAnsi="Palatino Linotype" w:cs="Arial"/>
          <w:sz w:val="24"/>
          <w:szCs w:val="24"/>
          <w:lang w:val="es-ES" w:eastAsia="es-ES"/>
        </w:rPr>
        <w:t xml:space="preserve"> de la Ley </w:t>
      </w:r>
      <w:r w:rsidRPr="00707CD9">
        <w:rPr>
          <w:rFonts w:ascii="Palatino Linotype" w:eastAsia="MS Mincho" w:hAnsi="Palatino Linotype" w:cs="Tahoma"/>
          <w:sz w:val="24"/>
          <w:szCs w:val="24"/>
          <w:lang w:val="es-ES" w:eastAsia="es-ES"/>
        </w:rPr>
        <w:t>General de Transparencia y Acceso a la Información Pública que a la letra dispone:</w:t>
      </w:r>
    </w:p>
    <w:p w:rsidR="00487828" w:rsidRPr="00707CD9" w:rsidRDefault="00487828" w:rsidP="00487828">
      <w:pPr>
        <w:spacing w:after="0" w:line="240" w:lineRule="auto"/>
        <w:rPr>
          <w:rFonts w:ascii="Times New Roman" w:eastAsia="Times New Roman" w:hAnsi="Times New Roman" w:cs="Times New Roman"/>
          <w:sz w:val="24"/>
          <w:szCs w:val="24"/>
          <w:lang w:val="es-ES" w:eastAsia="es-ES"/>
        </w:rPr>
      </w:pPr>
    </w:p>
    <w:p w:rsidR="00487828" w:rsidRPr="00707CD9" w:rsidRDefault="00487828" w:rsidP="00487828">
      <w:pPr>
        <w:spacing w:after="0" w:line="240" w:lineRule="auto"/>
        <w:ind w:left="567" w:right="616"/>
        <w:contextualSpacing/>
        <w:jc w:val="both"/>
        <w:rPr>
          <w:rFonts w:ascii="Palatino Linotype" w:eastAsia="Times New Roman" w:hAnsi="Palatino Linotype" w:cs="Arial"/>
          <w:i/>
          <w:szCs w:val="24"/>
          <w:lang w:val="es-ES" w:eastAsia="gl-ES"/>
        </w:rPr>
      </w:pPr>
      <w:r w:rsidRPr="00707CD9">
        <w:rPr>
          <w:rFonts w:ascii="Palatino Linotype" w:eastAsia="Times New Roman" w:hAnsi="Palatino Linotype" w:cs="Arial"/>
          <w:b/>
          <w:i/>
          <w:szCs w:val="24"/>
          <w:lang w:val="es-ES" w:eastAsia="gl-ES"/>
        </w:rPr>
        <w:lastRenderedPageBreak/>
        <w:t>Artículo 160</w:t>
      </w:r>
      <w:r w:rsidRPr="00707CD9">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87828" w:rsidRPr="00707CD9" w:rsidRDefault="00487828" w:rsidP="00487828">
      <w:pPr>
        <w:spacing w:after="0" w:line="240" w:lineRule="auto"/>
        <w:ind w:left="851" w:right="616"/>
        <w:contextualSpacing/>
        <w:jc w:val="both"/>
        <w:rPr>
          <w:rFonts w:ascii="Palatino Linotype" w:eastAsia="Times New Roman" w:hAnsi="Palatino Linotype" w:cs="Arial"/>
          <w:i/>
          <w:szCs w:val="24"/>
          <w:lang w:val="es-ES" w:eastAsia="gl-ES"/>
        </w:rPr>
      </w:pPr>
    </w:p>
    <w:p w:rsidR="00487828" w:rsidRPr="00707CD9" w:rsidRDefault="00487828" w:rsidP="00487828">
      <w:pPr>
        <w:spacing w:after="0" w:line="240" w:lineRule="auto"/>
        <w:ind w:left="851" w:right="616"/>
        <w:contextualSpacing/>
        <w:jc w:val="both"/>
        <w:rPr>
          <w:rFonts w:ascii="Palatino Linotype" w:eastAsia="Times New Roman" w:hAnsi="Palatino Linotype" w:cs="Arial"/>
          <w:i/>
          <w:sz w:val="14"/>
          <w:szCs w:val="24"/>
          <w:lang w:val="es-ES" w:eastAsia="gl-ES"/>
        </w:rPr>
      </w:pPr>
    </w:p>
    <w:p w:rsidR="00487828" w:rsidRPr="00707CD9" w:rsidRDefault="00487828" w:rsidP="00487828">
      <w:pPr>
        <w:spacing w:after="0" w:line="360" w:lineRule="auto"/>
        <w:jc w:val="both"/>
        <w:rPr>
          <w:rFonts w:ascii="Palatino Linotype" w:eastAsia="Times New Roman" w:hAnsi="Palatino Linotype" w:cs="Arial"/>
          <w:color w:val="222222"/>
          <w:sz w:val="24"/>
          <w:szCs w:val="19"/>
          <w:lang w:val="es-ES" w:eastAsia="es-MX"/>
        </w:rPr>
      </w:pPr>
      <w:r w:rsidRPr="00707CD9">
        <w:rPr>
          <w:rFonts w:ascii="Palatino Linotype" w:eastAsia="Times New Roman" w:hAnsi="Palatino Linotype" w:cs="Times New Roman"/>
          <w:color w:val="000000"/>
          <w:sz w:val="24"/>
          <w:szCs w:val="24"/>
          <w:lang w:val="es-ES" w:eastAsia="es-ES"/>
        </w:rPr>
        <w:t xml:space="preserve">Sirve como apoyo </w:t>
      </w:r>
      <w:r w:rsidRPr="00707CD9">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rsidR="00487828" w:rsidRPr="00707CD9" w:rsidRDefault="00487828" w:rsidP="00487828">
      <w:pPr>
        <w:spacing w:after="0" w:line="240" w:lineRule="auto"/>
        <w:rPr>
          <w:rFonts w:ascii="Times New Roman" w:eastAsia="Times New Roman" w:hAnsi="Times New Roman" w:cs="Times New Roman"/>
          <w:sz w:val="24"/>
          <w:szCs w:val="24"/>
          <w:lang w:eastAsia="es-MX"/>
        </w:rPr>
      </w:pPr>
    </w:p>
    <w:p w:rsidR="00487828" w:rsidRPr="00707CD9" w:rsidRDefault="00487828" w:rsidP="00487828">
      <w:pPr>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707CD9">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707CD9">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487828" w:rsidRPr="00707CD9" w:rsidRDefault="00487828" w:rsidP="00487828">
      <w:pPr>
        <w:spacing w:after="0" w:line="240" w:lineRule="auto"/>
        <w:rPr>
          <w:rFonts w:ascii="Times New Roman" w:eastAsia="Times New Roman" w:hAnsi="Times New Roman" w:cs="Times New Roman"/>
          <w:sz w:val="24"/>
          <w:szCs w:val="24"/>
          <w:lang w:eastAsia="es-ES"/>
        </w:rPr>
      </w:pPr>
    </w:p>
    <w:p w:rsidR="00487828" w:rsidRPr="00707CD9" w:rsidRDefault="00487828" w:rsidP="00487828">
      <w:pPr>
        <w:spacing w:after="0" w:line="360" w:lineRule="auto"/>
        <w:contextualSpacing/>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bCs/>
          <w:sz w:val="24"/>
          <w:szCs w:val="24"/>
          <w:lang w:val="es-ES" w:eastAsia="es-ES"/>
        </w:rPr>
        <w:t xml:space="preserve">Además, </w:t>
      </w:r>
      <w:r w:rsidRPr="00707CD9">
        <w:rPr>
          <w:rFonts w:ascii="Palatino Linotype" w:eastAsia="Times New Roman" w:hAnsi="Palatino Linotype" w:cs="Arial"/>
          <w:sz w:val="24"/>
          <w:szCs w:val="24"/>
          <w:lang w:val="es-ES" w:eastAsia="es-ES"/>
        </w:rPr>
        <w:t xml:space="preserve">a Ley de Transparencia y Acceso a la Información Pública del Estado de México y Municipios, prevé en su artículo 23, fracción </w:t>
      </w:r>
      <w:r w:rsidR="007923AB" w:rsidRPr="00707CD9">
        <w:rPr>
          <w:rFonts w:ascii="Palatino Linotype" w:eastAsia="Times New Roman" w:hAnsi="Palatino Linotype" w:cs="Arial"/>
          <w:sz w:val="24"/>
          <w:szCs w:val="24"/>
          <w:lang w:val="es-ES" w:eastAsia="es-ES"/>
        </w:rPr>
        <w:t>I</w:t>
      </w:r>
      <w:r w:rsidR="003632BC" w:rsidRPr="00707CD9">
        <w:rPr>
          <w:rFonts w:ascii="Palatino Linotype" w:eastAsia="Times New Roman" w:hAnsi="Palatino Linotype" w:cs="Arial"/>
          <w:sz w:val="24"/>
          <w:szCs w:val="24"/>
          <w:lang w:val="es-ES" w:eastAsia="es-ES"/>
        </w:rPr>
        <w:t>V</w:t>
      </w:r>
      <w:r w:rsidRPr="00707CD9">
        <w:rPr>
          <w:rFonts w:ascii="Palatino Linotype" w:eastAsia="Times New Roman" w:hAnsi="Palatino Linotype" w:cs="Arial"/>
          <w:sz w:val="24"/>
          <w:szCs w:val="24"/>
          <w:lang w:val="es-ES" w:eastAsia="es-ES"/>
        </w:rPr>
        <w:t>, que son Sujetos Obligados a Transparentar y permitir el acceso a su información y proteger los datos que obren en su poder:</w:t>
      </w:r>
    </w:p>
    <w:p w:rsidR="00AA7243" w:rsidRPr="00707CD9" w:rsidRDefault="00AA7243" w:rsidP="00487828">
      <w:pPr>
        <w:spacing w:after="0" w:line="360" w:lineRule="auto"/>
        <w:contextualSpacing/>
        <w:jc w:val="both"/>
        <w:rPr>
          <w:rFonts w:ascii="Palatino Linotype" w:eastAsia="Times New Roman" w:hAnsi="Palatino Linotype" w:cs="Arial"/>
          <w:sz w:val="24"/>
          <w:szCs w:val="24"/>
          <w:lang w:val="es-ES" w:eastAsia="es-ES"/>
        </w:rPr>
      </w:pPr>
    </w:p>
    <w:p w:rsidR="00487828" w:rsidRPr="00707CD9" w:rsidRDefault="00AA7243" w:rsidP="00AA7243">
      <w:pPr>
        <w:spacing w:after="0" w:line="240" w:lineRule="auto"/>
        <w:ind w:left="426" w:right="567"/>
        <w:jc w:val="both"/>
        <w:rPr>
          <w:rFonts w:ascii="Palatino Linotype" w:eastAsia="Times New Roman" w:hAnsi="Palatino Linotype" w:cs="Times New Roman"/>
          <w:i/>
          <w:szCs w:val="24"/>
          <w:lang w:eastAsia="es-ES"/>
        </w:rPr>
      </w:pPr>
      <w:r w:rsidRPr="00707CD9">
        <w:rPr>
          <w:rFonts w:ascii="Palatino Linotype" w:eastAsia="Times New Roman" w:hAnsi="Palatino Linotype" w:cs="Times New Roman"/>
          <w:b/>
          <w:i/>
          <w:szCs w:val="24"/>
          <w:lang w:eastAsia="es-ES"/>
        </w:rPr>
        <w:t>Artículo 23.</w:t>
      </w:r>
      <w:r w:rsidRPr="00707CD9">
        <w:rPr>
          <w:rFonts w:ascii="Palatino Linotype" w:eastAsia="Times New Roman" w:hAnsi="Palatino Linotype" w:cs="Times New Roman"/>
          <w:i/>
          <w:szCs w:val="24"/>
          <w:lang w:eastAsia="es-ES"/>
        </w:rPr>
        <w:t xml:space="preserve"> Son sujetos obligados a transparentar y permitir el acceso a su información y proteger los datos personales que obren en su poder:</w:t>
      </w:r>
    </w:p>
    <w:p w:rsidR="00AA7243" w:rsidRPr="00707CD9" w:rsidRDefault="00AA7243" w:rsidP="00AA7243">
      <w:pPr>
        <w:spacing w:after="0" w:line="240" w:lineRule="auto"/>
        <w:rPr>
          <w:rFonts w:ascii="Times New Roman" w:eastAsia="Times New Roman" w:hAnsi="Times New Roman" w:cs="Times New Roman"/>
          <w:sz w:val="24"/>
          <w:szCs w:val="24"/>
          <w:lang w:eastAsia="es-ES"/>
        </w:rPr>
      </w:pPr>
    </w:p>
    <w:p w:rsidR="00487828" w:rsidRPr="00707CD9" w:rsidRDefault="003632BC" w:rsidP="00487828">
      <w:pPr>
        <w:spacing w:after="0" w:line="240" w:lineRule="auto"/>
        <w:ind w:left="426"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IV.</w:t>
      </w:r>
      <w:r w:rsidRPr="00707CD9">
        <w:rPr>
          <w:rFonts w:ascii="Palatino Linotype" w:eastAsia="Times New Roman" w:hAnsi="Palatino Linotype" w:cs="Arial"/>
          <w:i/>
          <w:szCs w:val="24"/>
          <w:lang w:val="es-ES" w:eastAsia="es-ES"/>
        </w:rPr>
        <w:t xml:space="preserve"> Los ayuntamientos y las dependencias, organismos, órganos y entidades de la administración municipal</w:t>
      </w:r>
      <w:r w:rsidR="00487828" w:rsidRPr="00707CD9">
        <w:rPr>
          <w:rFonts w:ascii="Palatino Linotype" w:eastAsia="Times New Roman" w:hAnsi="Palatino Linotype" w:cs="Arial"/>
          <w:i/>
          <w:szCs w:val="24"/>
          <w:lang w:val="es-ES" w:eastAsia="es-ES"/>
        </w:rPr>
        <w:t>;</w:t>
      </w:r>
    </w:p>
    <w:p w:rsidR="00487828" w:rsidRPr="00707CD9"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707CD9" w:rsidRDefault="00487828" w:rsidP="00487828">
      <w:pPr>
        <w:spacing w:after="0" w:line="360" w:lineRule="auto"/>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 xml:space="preserve">Por lo que, de la respuesta emitida por parte de la Unidad de Transparencia del </w:t>
      </w:r>
      <w:r w:rsidRPr="00707CD9">
        <w:rPr>
          <w:rFonts w:ascii="Palatino Linotype" w:eastAsia="Times New Roman" w:hAnsi="Palatino Linotype" w:cs="Arial"/>
          <w:b/>
          <w:sz w:val="24"/>
          <w:szCs w:val="24"/>
          <w:lang w:val="es-ES" w:eastAsia="es-ES"/>
        </w:rPr>
        <w:t>Sujeto Obligado</w:t>
      </w:r>
      <w:r w:rsidRPr="00707CD9">
        <w:rPr>
          <w:rFonts w:ascii="Palatino Linotype" w:eastAsia="Times New Roman" w:hAnsi="Palatino Linotype" w:cs="Arial"/>
          <w:sz w:val="24"/>
          <w:szCs w:val="24"/>
          <w:lang w:val="es-ES" w:eastAsia="es-ES"/>
        </w:rPr>
        <w:t xml:space="preserve"> generó, se enuncia cada una de las respuestas proporcionadas, con la </w:t>
      </w:r>
      <w:r w:rsidRPr="00707CD9">
        <w:rPr>
          <w:rFonts w:ascii="Palatino Linotype" w:eastAsia="Times New Roman" w:hAnsi="Palatino Linotype" w:cs="Arial"/>
          <w:sz w:val="24"/>
          <w:szCs w:val="24"/>
          <w:lang w:val="es-ES" w:eastAsia="es-ES"/>
        </w:rPr>
        <w:lastRenderedPageBreak/>
        <w:t>finalidad de saber si se da cumplimiento a todos los requerimientos y si lo motivos de inconformidad resultan procedentes, de conformidad con lo siguiente:</w:t>
      </w:r>
    </w:p>
    <w:p w:rsidR="00487828" w:rsidRPr="00707CD9"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707CD9" w:rsidRDefault="00487828" w:rsidP="00487828">
      <w:pPr>
        <w:spacing w:after="0" w:line="360" w:lineRule="auto"/>
        <w:jc w:val="both"/>
        <w:rPr>
          <w:rFonts w:ascii="Palatino Linotype" w:eastAsia="Times New Roman" w:hAnsi="Palatino Linotype" w:cs="Tahoma"/>
          <w:bCs/>
          <w:sz w:val="24"/>
          <w:szCs w:val="24"/>
          <w:lang w:val="es-ES" w:eastAsia="es-ES"/>
        </w:rPr>
      </w:pPr>
      <w:r w:rsidRPr="00707CD9">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707CD9">
        <w:rPr>
          <w:rFonts w:ascii="Palatino Linotype" w:eastAsia="Times New Roman" w:hAnsi="Palatino Linotype" w:cs="Tahoma"/>
          <w:b/>
          <w:bCs/>
          <w:sz w:val="24"/>
          <w:szCs w:val="24"/>
          <w:lang w:val="es-ES" w:eastAsia="es-ES"/>
        </w:rPr>
        <w:t>Recurrente</w:t>
      </w:r>
      <w:r w:rsidRPr="00707CD9">
        <w:rPr>
          <w:rFonts w:ascii="Palatino Linotype" w:eastAsia="Times New Roman" w:hAnsi="Palatino Linotype" w:cs="Tahoma"/>
          <w:bCs/>
          <w:sz w:val="24"/>
          <w:szCs w:val="24"/>
          <w:lang w:val="es-ES" w:eastAsia="es-ES"/>
        </w:rPr>
        <w:t>, de manera objetiva se precisa que se queja de la siguiente información:</w:t>
      </w:r>
    </w:p>
    <w:p w:rsidR="00017C26" w:rsidRPr="00707CD9" w:rsidRDefault="00017C26" w:rsidP="00487828">
      <w:pPr>
        <w:spacing w:after="0" w:line="360" w:lineRule="auto"/>
        <w:contextualSpacing/>
        <w:jc w:val="both"/>
        <w:rPr>
          <w:rFonts w:ascii="Palatino Linotype" w:eastAsia="Times New Roman" w:hAnsi="Palatino Linotype" w:cs="Tahoma"/>
          <w:bCs/>
          <w:sz w:val="24"/>
          <w:szCs w:val="24"/>
          <w:lang w:val="es-ES" w:eastAsia="es-ES"/>
        </w:rPr>
      </w:pPr>
    </w:p>
    <w:p w:rsidR="003632BC" w:rsidRPr="00707CD9" w:rsidRDefault="00AA7243" w:rsidP="00AA7243">
      <w:pPr>
        <w:pStyle w:val="Prrafodelista"/>
        <w:numPr>
          <w:ilvl w:val="0"/>
          <w:numId w:val="21"/>
        </w:numPr>
        <w:spacing w:line="360" w:lineRule="auto"/>
        <w:contextualSpacing/>
        <w:jc w:val="both"/>
        <w:rPr>
          <w:rFonts w:ascii="Palatino Linotype" w:eastAsia="Palatino Linotype" w:hAnsi="Palatino Linotype" w:cs="Palatino Linotype"/>
          <w:lang w:val="es-ES_tradnl" w:eastAsia="es-MX"/>
        </w:rPr>
      </w:pPr>
      <w:r w:rsidRPr="00707CD9">
        <w:rPr>
          <w:rFonts w:ascii="Palatino Linotype" w:eastAsia="Palatino Linotype" w:hAnsi="Palatino Linotype" w:cs="Palatino Linotype"/>
          <w:lang w:val="es-ES_tradnl" w:eastAsia="es-MX"/>
        </w:rPr>
        <w:t>Listado incompleto, requiere la documentación correcta y como se solicitó</w:t>
      </w:r>
      <w:r w:rsidR="003632BC" w:rsidRPr="00707CD9">
        <w:rPr>
          <w:rFonts w:ascii="Palatino Linotype" w:eastAsia="Palatino Linotype" w:hAnsi="Palatino Linotype" w:cs="Palatino Linotype"/>
          <w:lang w:val="es-ES_tradnl" w:eastAsia="es-MX"/>
        </w:rPr>
        <w:t>.</w:t>
      </w:r>
    </w:p>
    <w:p w:rsidR="00017C26" w:rsidRPr="00707CD9" w:rsidRDefault="00017C26" w:rsidP="00487828">
      <w:pPr>
        <w:spacing w:after="0" w:line="360" w:lineRule="auto"/>
        <w:contextualSpacing/>
        <w:jc w:val="both"/>
        <w:rPr>
          <w:rFonts w:ascii="Palatino Linotype" w:eastAsia="Palatino Linotype" w:hAnsi="Palatino Linotype" w:cs="Palatino Linotype"/>
          <w:szCs w:val="24"/>
          <w:lang w:val="es-ES_tradnl" w:eastAsia="es-MX"/>
        </w:rPr>
      </w:pPr>
    </w:p>
    <w:p w:rsidR="00AA7243" w:rsidRPr="00707CD9" w:rsidRDefault="00487828" w:rsidP="00AA7243">
      <w:pPr>
        <w:spacing w:after="0" w:line="360" w:lineRule="auto"/>
        <w:contextualSpacing/>
        <w:jc w:val="both"/>
        <w:rPr>
          <w:rFonts w:ascii="Palatino Linotype" w:eastAsia="Palatino Linotype" w:hAnsi="Palatino Linotype" w:cs="Palatino Linotype"/>
          <w:sz w:val="24"/>
          <w:szCs w:val="24"/>
          <w:lang w:val="es-ES_tradnl" w:eastAsia="es-MX"/>
        </w:rPr>
      </w:pPr>
      <w:r w:rsidRPr="00707CD9">
        <w:rPr>
          <w:rFonts w:ascii="Palatino Linotype" w:eastAsia="Palatino Linotype" w:hAnsi="Palatino Linotype" w:cs="Palatino Linotype"/>
          <w:sz w:val="24"/>
          <w:szCs w:val="24"/>
          <w:lang w:val="es-ES_tradnl" w:eastAsia="es-MX"/>
        </w:rPr>
        <w:t>Bajo esa premisa, es con</w:t>
      </w:r>
      <w:r w:rsidR="009A6A1D" w:rsidRPr="00707CD9">
        <w:rPr>
          <w:rFonts w:ascii="Palatino Linotype" w:eastAsia="Palatino Linotype" w:hAnsi="Palatino Linotype" w:cs="Palatino Linotype"/>
          <w:sz w:val="24"/>
          <w:szCs w:val="24"/>
          <w:lang w:val="es-ES_tradnl" w:eastAsia="es-MX"/>
        </w:rPr>
        <w:t xml:space="preserve">veniente hacer referencia </w:t>
      </w:r>
      <w:r w:rsidR="00AA7243" w:rsidRPr="00707CD9">
        <w:rPr>
          <w:rFonts w:ascii="Palatino Linotype" w:eastAsia="Palatino Linotype" w:hAnsi="Palatino Linotype" w:cs="Palatino Linotype"/>
          <w:sz w:val="24"/>
          <w:szCs w:val="24"/>
          <w:lang w:val="es-ES_tradnl" w:eastAsia="es-MX"/>
        </w:rPr>
        <w:t>a</w:t>
      </w:r>
      <w:r w:rsidR="00AA7243" w:rsidRPr="00707CD9">
        <w:rPr>
          <w:rFonts w:ascii="Palatino Linotype" w:eastAsia="Calibri" w:hAnsi="Palatino Linotype" w:cs="Times New Roman"/>
          <w:color w:val="000000"/>
          <w:sz w:val="24"/>
          <w:szCs w:val="24"/>
        </w:rPr>
        <w:t>l artículo 46, fracción I, incisos a), b), c) y d), y XVI, de la Ley de Instituciones de Crédito, establecen que dentro de las operaciones que pueden desarrollar las Instituciones de Crédito se encuentran las siguientes:</w:t>
      </w:r>
    </w:p>
    <w:p w:rsidR="00AA7243" w:rsidRPr="00707CD9" w:rsidRDefault="00AA7243" w:rsidP="00AA7243">
      <w:pPr>
        <w:spacing w:after="0" w:line="360" w:lineRule="auto"/>
        <w:jc w:val="both"/>
        <w:rPr>
          <w:rFonts w:ascii="Palatino Linotype" w:eastAsia="Calibri" w:hAnsi="Palatino Linotype" w:cs="Times New Roman"/>
          <w:color w:val="000000"/>
        </w:rPr>
      </w:pPr>
    </w:p>
    <w:p w:rsidR="00AA7243" w:rsidRPr="00707CD9" w:rsidRDefault="00AA7243" w:rsidP="00AA7243">
      <w:pPr>
        <w:numPr>
          <w:ilvl w:val="0"/>
          <w:numId w:val="28"/>
        </w:numPr>
        <w:spacing w:after="0" w:line="360" w:lineRule="auto"/>
        <w:contextualSpacing/>
        <w:jc w:val="both"/>
        <w:rPr>
          <w:rFonts w:ascii="Palatino Linotype" w:eastAsia="Times New Roman" w:hAnsi="Palatino Linotype" w:cs="Times New Roman"/>
          <w:color w:val="000000"/>
          <w:sz w:val="24"/>
          <w:szCs w:val="24"/>
          <w:lang w:eastAsia="es-ES"/>
        </w:rPr>
      </w:pPr>
      <w:r w:rsidRPr="00707CD9">
        <w:rPr>
          <w:rFonts w:ascii="Palatino Linotype" w:eastAsia="Times New Roman" w:hAnsi="Palatino Linotype" w:cs="Times New Roman"/>
          <w:color w:val="000000"/>
          <w:sz w:val="24"/>
          <w:szCs w:val="24"/>
          <w:lang w:eastAsia="es-ES"/>
        </w:rPr>
        <w:t xml:space="preserve">Recibir depósitos de dinero: </w:t>
      </w:r>
    </w:p>
    <w:p w:rsidR="00AA7243" w:rsidRPr="00707CD9" w:rsidRDefault="00AA7243" w:rsidP="00AA7243">
      <w:pPr>
        <w:numPr>
          <w:ilvl w:val="1"/>
          <w:numId w:val="28"/>
        </w:numPr>
        <w:spacing w:after="0" w:line="360" w:lineRule="auto"/>
        <w:contextualSpacing/>
        <w:jc w:val="both"/>
        <w:rPr>
          <w:rFonts w:ascii="Palatino Linotype" w:eastAsia="Times New Roman" w:hAnsi="Palatino Linotype" w:cs="Times New Roman"/>
          <w:color w:val="000000"/>
          <w:sz w:val="24"/>
          <w:szCs w:val="24"/>
          <w:lang w:eastAsia="es-ES"/>
        </w:rPr>
      </w:pPr>
      <w:r w:rsidRPr="00707CD9">
        <w:rPr>
          <w:rFonts w:ascii="Palatino Linotype" w:eastAsia="Times New Roman" w:hAnsi="Palatino Linotype" w:cs="Times New Roman"/>
          <w:color w:val="000000"/>
          <w:sz w:val="24"/>
          <w:szCs w:val="24"/>
          <w:lang w:eastAsia="es-ES"/>
        </w:rPr>
        <w:t xml:space="preserve">A la vista. </w:t>
      </w:r>
    </w:p>
    <w:p w:rsidR="00AA7243" w:rsidRPr="00707CD9" w:rsidRDefault="00AA7243" w:rsidP="00AA7243">
      <w:pPr>
        <w:numPr>
          <w:ilvl w:val="1"/>
          <w:numId w:val="28"/>
        </w:numPr>
        <w:spacing w:after="0" w:line="360" w:lineRule="auto"/>
        <w:contextualSpacing/>
        <w:jc w:val="both"/>
        <w:rPr>
          <w:rFonts w:ascii="Palatino Linotype" w:eastAsia="Times New Roman" w:hAnsi="Palatino Linotype" w:cs="Times New Roman"/>
          <w:color w:val="000000"/>
          <w:sz w:val="24"/>
          <w:szCs w:val="24"/>
          <w:lang w:eastAsia="es-ES"/>
        </w:rPr>
      </w:pPr>
      <w:r w:rsidRPr="00707CD9">
        <w:rPr>
          <w:rFonts w:ascii="Palatino Linotype" w:eastAsia="Times New Roman" w:hAnsi="Palatino Linotype" w:cs="Times New Roman"/>
          <w:color w:val="000000"/>
          <w:sz w:val="24"/>
          <w:szCs w:val="24"/>
          <w:lang w:eastAsia="es-ES"/>
        </w:rPr>
        <w:t>Retirables en días preestablecidos.</w:t>
      </w:r>
    </w:p>
    <w:p w:rsidR="00AA7243" w:rsidRPr="00707CD9" w:rsidRDefault="00AA7243" w:rsidP="00AA7243">
      <w:pPr>
        <w:numPr>
          <w:ilvl w:val="1"/>
          <w:numId w:val="28"/>
        </w:numPr>
        <w:spacing w:after="0" w:line="360" w:lineRule="auto"/>
        <w:contextualSpacing/>
        <w:jc w:val="both"/>
        <w:rPr>
          <w:rFonts w:ascii="Palatino Linotype" w:eastAsia="Times New Roman" w:hAnsi="Palatino Linotype" w:cs="Times New Roman"/>
          <w:color w:val="000000"/>
          <w:sz w:val="24"/>
          <w:szCs w:val="24"/>
          <w:lang w:eastAsia="es-ES"/>
        </w:rPr>
      </w:pPr>
      <w:r w:rsidRPr="00707CD9">
        <w:rPr>
          <w:rFonts w:ascii="Palatino Linotype" w:eastAsia="Times New Roman" w:hAnsi="Palatino Linotype" w:cs="Times New Roman"/>
          <w:color w:val="000000"/>
          <w:sz w:val="24"/>
          <w:szCs w:val="24"/>
          <w:lang w:eastAsia="es-ES"/>
        </w:rPr>
        <w:t>De ahorro y:</w:t>
      </w:r>
    </w:p>
    <w:p w:rsidR="00AA2BAD" w:rsidRPr="00707CD9" w:rsidRDefault="00AA7243" w:rsidP="00AA2BAD">
      <w:pPr>
        <w:numPr>
          <w:ilvl w:val="1"/>
          <w:numId w:val="28"/>
        </w:numPr>
        <w:spacing w:after="0" w:line="360" w:lineRule="auto"/>
        <w:contextualSpacing/>
        <w:jc w:val="both"/>
        <w:rPr>
          <w:rFonts w:ascii="Palatino Linotype" w:eastAsia="Times New Roman" w:hAnsi="Palatino Linotype" w:cs="Times New Roman"/>
          <w:color w:val="000000"/>
          <w:sz w:val="24"/>
          <w:szCs w:val="24"/>
          <w:lang w:eastAsia="es-ES"/>
        </w:rPr>
      </w:pPr>
      <w:r w:rsidRPr="00707CD9">
        <w:rPr>
          <w:rFonts w:ascii="Palatino Linotype" w:eastAsia="Times New Roman" w:hAnsi="Palatino Linotype" w:cs="Times New Roman"/>
          <w:color w:val="000000"/>
          <w:sz w:val="24"/>
          <w:szCs w:val="24"/>
          <w:lang w:eastAsia="es-ES"/>
        </w:rPr>
        <w:t xml:space="preserve">A plazo o con previo aviso. </w:t>
      </w:r>
    </w:p>
    <w:p w:rsidR="00AA7243" w:rsidRPr="00707CD9" w:rsidRDefault="00AA7243" w:rsidP="00AA7243">
      <w:pPr>
        <w:numPr>
          <w:ilvl w:val="0"/>
          <w:numId w:val="28"/>
        </w:numPr>
        <w:spacing w:after="0" w:line="360" w:lineRule="auto"/>
        <w:contextualSpacing/>
        <w:jc w:val="both"/>
        <w:rPr>
          <w:rFonts w:ascii="Palatino Linotype" w:eastAsia="Times New Roman" w:hAnsi="Palatino Linotype" w:cs="Times New Roman"/>
          <w:color w:val="000000"/>
          <w:sz w:val="24"/>
          <w:szCs w:val="24"/>
          <w:lang w:eastAsia="es-ES"/>
        </w:rPr>
      </w:pPr>
      <w:r w:rsidRPr="00707CD9">
        <w:rPr>
          <w:rFonts w:ascii="Palatino Linotype" w:eastAsia="Times New Roman" w:hAnsi="Palatino Linotype" w:cs="Times New Roman"/>
          <w:color w:val="000000"/>
          <w:sz w:val="24"/>
          <w:szCs w:val="24"/>
          <w:lang w:eastAsia="es-ES"/>
        </w:rPr>
        <w:t xml:space="preserve">Recibir depósitos en administración o custodio, o en garantía por cuenta de terceros, de títulos o valores y en general documentos mercantiles. </w:t>
      </w:r>
    </w:p>
    <w:p w:rsidR="00AA7243" w:rsidRPr="00707CD9" w:rsidRDefault="00AA7243" w:rsidP="00AA7243">
      <w:pPr>
        <w:spacing w:after="0" w:line="360" w:lineRule="auto"/>
        <w:jc w:val="both"/>
        <w:rPr>
          <w:rFonts w:ascii="Palatino Linotype" w:eastAsia="Calibri" w:hAnsi="Palatino Linotype" w:cs="Times New Roman"/>
          <w:color w:val="000000"/>
        </w:rPr>
      </w:pPr>
    </w:p>
    <w:p w:rsidR="00AA7243" w:rsidRPr="00707CD9" w:rsidRDefault="00AA7243" w:rsidP="00AA7243">
      <w:pPr>
        <w:spacing w:after="0" w:line="360" w:lineRule="auto"/>
        <w:jc w:val="both"/>
        <w:rPr>
          <w:rFonts w:ascii="Palatino Linotype" w:eastAsia="Calibri" w:hAnsi="Palatino Linotype" w:cs="Times New Roman"/>
          <w:color w:val="000000"/>
          <w:sz w:val="24"/>
        </w:rPr>
      </w:pPr>
      <w:r w:rsidRPr="00707CD9">
        <w:rPr>
          <w:rFonts w:ascii="Palatino Linotype" w:eastAsia="Calibri" w:hAnsi="Palatino Linotype" w:cs="Times New Roman"/>
          <w:color w:val="000000"/>
          <w:sz w:val="24"/>
        </w:rPr>
        <w:t>En ese contexto, en seguimiento a lo previsto al artículo 2° del Código de Comercio, el artículo 2516</w:t>
      </w:r>
      <w:r w:rsidR="00AA2BAD" w:rsidRPr="00707CD9">
        <w:rPr>
          <w:rFonts w:ascii="Palatino Linotype" w:eastAsia="Calibri" w:hAnsi="Palatino Linotype" w:cs="Times New Roman"/>
          <w:color w:val="000000"/>
          <w:sz w:val="24"/>
        </w:rPr>
        <w:t>,</w:t>
      </w:r>
      <w:r w:rsidRPr="00707CD9">
        <w:rPr>
          <w:rFonts w:ascii="Palatino Linotype" w:eastAsia="Calibri" w:hAnsi="Palatino Linotype" w:cs="Times New Roman"/>
          <w:color w:val="000000"/>
          <w:sz w:val="24"/>
        </w:rPr>
        <w:t xml:space="preserve"> del Código Civil Federal establece que el deposito es un contrato por el cual el depositario se obliga hacia el depositante a recibir una cosa, mueble o inmueble que aquel confía, y a guardarla para restituirla cuando lo pida el depositante. En esa </w:t>
      </w:r>
      <w:r w:rsidRPr="00707CD9">
        <w:rPr>
          <w:rFonts w:ascii="Palatino Linotype" w:eastAsia="Calibri" w:hAnsi="Palatino Linotype" w:cs="Times New Roman"/>
          <w:color w:val="000000"/>
          <w:sz w:val="24"/>
        </w:rPr>
        <w:lastRenderedPageBreak/>
        <w:t>misma línea, el Capítulo II</w:t>
      </w:r>
      <w:r w:rsidR="00AA2BAD" w:rsidRPr="00707CD9">
        <w:rPr>
          <w:rFonts w:ascii="Palatino Linotype" w:eastAsia="Calibri" w:hAnsi="Palatino Linotype" w:cs="Times New Roman"/>
          <w:color w:val="000000"/>
          <w:sz w:val="24"/>
        </w:rPr>
        <w:t>,</w:t>
      </w:r>
      <w:r w:rsidRPr="00707CD9">
        <w:rPr>
          <w:rFonts w:ascii="Palatino Linotype" w:eastAsia="Calibri" w:hAnsi="Palatino Linotype" w:cs="Times New Roman"/>
          <w:color w:val="000000"/>
          <w:sz w:val="24"/>
        </w:rPr>
        <w:t xml:space="preserve"> de la Ley General de Títulos y Operaciones de Crédito, prevé tres tipos de operaciones de crédito de </w:t>
      </w:r>
      <w:r w:rsidR="00AA2BAD" w:rsidRPr="00707CD9">
        <w:rPr>
          <w:rFonts w:ascii="Palatino Linotype" w:eastAsia="Calibri" w:hAnsi="Palatino Linotype" w:cs="Times New Roman"/>
          <w:color w:val="000000"/>
          <w:sz w:val="24"/>
        </w:rPr>
        <w:t>depósito</w:t>
      </w:r>
      <w:r w:rsidRPr="00707CD9">
        <w:rPr>
          <w:rFonts w:ascii="Palatino Linotype" w:eastAsia="Calibri" w:hAnsi="Palatino Linotype" w:cs="Times New Roman"/>
          <w:color w:val="000000"/>
          <w:sz w:val="24"/>
        </w:rPr>
        <w:t xml:space="preserve"> que se pueden realizar, a saber: i) depósito bancario de dinero, ii) depósito bancario de títulos y iii) depósito de mercancías en almacenes generales. </w:t>
      </w:r>
    </w:p>
    <w:p w:rsidR="00AA7243" w:rsidRPr="00707CD9" w:rsidRDefault="00AA7243" w:rsidP="00AA7243">
      <w:pPr>
        <w:spacing w:after="0" w:line="360" w:lineRule="auto"/>
        <w:jc w:val="both"/>
        <w:rPr>
          <w:rFonts w:ascii="Palatino Linotype" w:eastAsia="Calibri" w:hAnsi="Palatino Linotype" w:cs="Times New Roman"/>
          <w:color w:val="000000"/>
        </w:rPr>
      </w:pPr>
    </w:p>
    <w:p w:rsidR="00AA7243" w:rsidRPr="00707CD9" w:rsidRDefault="00AA2BAD" w:rsidP="00AA7243">
      <w:pPr>
        <w:spacing w:after="0" w:line="360" w:lineRule="auto"/>
        <w:jc w:val="both"/>
        <w:rPr>
          <w:rFonts w:ascii="Palatino Linotype" w:eastAsia="Calibri" w:hAnsi="Palatino Linotype" w:cs="Times New Roman"/>
          <w:color w:val="000000"/>
          <w:sz w:val="24"/>
        </w:rPr>
      </w:pPr>
      <w:r w:rsidRPr="00707CD9">
        <w:rPr>
          <w:rFonts w:ascii="Palatino Linotype" w:eastAsia="Calibri" w:hAnsi="Palatino Linotype" w:cs="Times New Roman"/>
          <w:color w:val="000000"/>
          <w:sz w:val="24"/>
        </w:rPr>
        <w:t>Asimismo</w:t>
      </w:r>
      <w:r w:rsidR="00AA7243" w:rsidRPr="00707CD9">
        <w:rPr>
          <w:rFonts w:ascii="Palatino Linotype" w:eastAsia="Calibri" w:hAnsi="Palatino Linotype" w:cs="Times New Roman"/>
          <w:color w:val="000000"/>
          <w:sz w:val="24"/>
        </w:rPr>
        <w:t xml:space="preserve">, el artículo 2°, fracción III, de la Ley General de Títulos y Operaciones de Crédito establece que los actos y las operaciones que regula esta Ley General, se regirán por los </w:t>
      </w:r>
      <w:r w:rsidR="00AA7243" w:rsidRPr="00707CD9">
        <w:rPr>
          <w:rFonts w:ascii="Palatino Linotype" w:eastAsia="Calibri" w:hAnsi="Palatino Linotype" w:cs="Times New Roman"/>
          <w:b/>
          <w:bCs/>
          <w:color w:val="000000"/>
          <w:sz w:val="24"/>
        </w:rPr>
        <w:t>usos bancarios y mercantiles</w:t>
      </w:r>
      <w:r w:rsidR="00AA7243" w:rsidRPr="00707CD9">
        <w:rPr>
          <w:rFonts w:ascii="Palatino Linotype" w:eastAsia="Calibri" w:hAnsi="Palatino Linotype" w:cs="Times New Roman"/>
          <w:color w:val="000000"/>
          <w:sz w:val="24"/>
        </w:rPr>
        <w:t xml:space="preserve">, es así que, a manera de contextualización </w:t>
      </w:r>
      <w:r w:rsidRPr="00707CD9">
        <w:rPr>
          <w:rFonts w:ascii="Palatino Linotype" w:eastAsia="Calibri" w:hAnsi="Palatino Linotype" w:cs="Times New Roman"/>
          <w:color w:val="000000"/>
          <w:sz w:val="24"/>
        </w:rPr>
        <w:t>la c</w:t>
      </w:r>
      <w:r w:rsidR="00AA7243" w:rsidRPr="00707CD9">
        <w:rPr>
          <w:rFonts w:ascii="Palatino Linotype" w:eastAsia="Calibri" w:hAnsi="Palatino Linotype" w:cs="Times New Roman"/>
          <w:color w:val="000000"/>
          <w:sz w:val="24"/>
        </w:rPr>
        <w:t xml:space="preserve">uenta bancaria y estado de cuenta se definen como: </w:t>
      </w:r>
    </w:p>
    <w:p w:rsidR="00AA7243" w:rsidRPr="00707CD9" w:rsidRDefault="00AA7243" w:rsidP="00AA7243">
      <w:pPr>
        <w:spacing w:after="0" w:line="360" w:lineRule="auto"/>
        <w:jc w:val="both"/>
        <w:rPr>
          <w:rFonts w:ascii="Palatino Linotype" w:eastAsia="Calibri" w:hAnsi="Palatino Linotype" w:cs="Times New Roman"/>
          <w:color w:val="000000"/>
        </w:rPr>
      </w:pPr>
    </w:p>
    <w:p w:rsidR="00AA7243" w:rsidRPr="00707CD9" w:rsidRDefault="00AA7243" w:rsidP="00AA7243">
      <w:pPr>
        <w:numPr>
          <w:ilvl w:val="0"/>
          <w:numId w:val="29"/>
        </w:numPr>
        <w:spacing w:after="0" w:line="360" w:lineRule="auto"/>
        <w:contextualSpacing/>
        <w:jc w:val="both"/>
        <w:rPr>
          <w:rFonts w:ascii="Palatino Linotype" w:eastAsia="Times New Roman" w:hAnsi="Palatino Linotype" w:cs="Times New Roman"/>
          <w:color w:val="000000"/>
          <w:sz w:val="24"/>
          <w:szCs w:val="24"/>
          <w:lang w:eastAsia="es-ES"/>
        </w:rPr>
      </w:pPr>
      <w:r w:rsidRPr="00707CD9">
        <w:rPr>
          <w:rFonts w:ascii="Palatino Linotype" w:eastAsia="Times New Roman" w:hAnsi="Palatino Linotype" w:cs="Times New Roman"/>
          <w:b/>
          <w:bCs/>
          <w:color w:val="000000"/>
          <w:sz w:val="24"/>
          <w:szCs w:val="24"/>
          <w:lang w:eastAsia="es-ES"/>
        </w:rPr>
        <w:t>Cuenta bancaria:</w:t>
      </w:r>
      <w:r w:rsidRPr="00707CD9">
        <w:rPr>
          <w:rFonts w:ascii="Palatino Linotype" w:eastAsia="Times New Roman" w:hAnsi="Palatino Linotype" w:cs="Times New Roman"/>
          <w:color w:val="000000"/>
          <w:sz w:val="24"/>
          <w:szCs w:val="24"/>
          <w:lang w:eastAsia="es-ES"/>
        </w:rPr>
        <w:t xml:space="preserve"> Una cuenta bancaria es un registro que mantiene un banco, en el que guarda dinero y contabiliza todas las entradas y salidas de efectivo, así como los créditos en curso, inversiones y productos relacionados.</w:t>
      </w:r>
    </w:p>
    <w:p w:rsidR="00AA7243" w:rsidRPr="00707CD9" w:rsidRDefault="00AA7243" w:rsidP="00AA7243">
      <w:pPr>
        <w:spacing w:after="0" w:line="360" w:lineRule="auto"/>
        <w:ind w:left="720"/>
        <w:contextualSpacing/>
        <w:jc w:val="both"/>
        <w:rPr>
          <w:rFonts w:ascii="Palatino Linotype" w:eastAsia="Times New Roman" w:hAnsi="Palatino Linotype" w:cs="Times New Roman"/>
          <w:color w:val="000000"/>
          <w:sz w:val="24"/>
          <w:szCs w:val="24"/>
          <w:lang w:eastAsia="es-ES"/>
        </w:rPr>
      </w:pPr>
    </w:p>
    <w:p w:rsidR="00AA7243" w:rsidRPr="00707CD9" w:rsidRDefault="00AA7243" w:rsidP="00AA7243">
      <w:pPr>
        <w:numPr>
          <w:ilvl w:val="0"/>
          <w:numId w:val="29"/>
        </w:numPr>
        <w:spacing w:after="0" w:line="360" w:lineRule="auto"/>
        <w:contextualSpacing/>
        <w:jc w:val="both"/>
        <w:rPr>
          <w:rFonts w:ascii="Palatino Linotype" w:eastAsia="Times New Roman" w:hAnsi="Palatino Linotype" w:cs="Times New Roman"/>
          <w:color w:val="000000"/>
          <w:sz w:val="24"/>
          <w:szCs w:val="24"/>
          <w:lang w:eastAsia="es-ES"/>
        </w:rPr>
      </w:pPr>
      <w:r w:rsidRPr="00707CD9">
        <w:rPr>
          <w:rFonts w:ascii="Palatino Linotype" w:eastAsia="Times New Roman" w:hAnsi="Palatino Linotype" w:cs="Times New Roman"/>
          <w:b/>
          <w:bCs/>
          <w:color w:val="000000"/>
          <w:sz w:val="24"/>
          <w:szCs w:val="24"/>
          <w:lang w:eastAsia="es-ES"/>
        </w:rPr>
        <w:t>Estado de cuenta:</w:t>
      </w:r>
      <w:r w:rsidRPr="00707CD9">
        <w:rPr>
          <w:rFonts w:ascii="Palatino Linotype" w:eastAsia="Times New Roman" w:hAnsi="Palatino Linotype" w:cs="Times New Roman"/>
          <w:color w:val="000000"/>
          <w:sz w:val="24"/>
          <w:szCs w:val="24"/>
          <w:lang w:eastAsia="es-ES"/>
        </w:rPr>
        <w:t xml:space="preserve"> 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rsidR="00AA7243" w:rsidRPr="00707CD9" w:rsidRDefault="00AA7243" w:rsidP="00AA7243">
      <w:pPr>
        <w:spacing w:after="0" w:line="360" w:lineRule="auto"/>
        <w:contextualSpacing/>
        <w:jc w:val="both"/>
        <w:rPr>
          <w:rFonts w:ascii="Palatino Linotype" w:eastAsia="Palatino Linotype" w:hAnsi="Palatino Linotype" w:cs="Palatino Linotype"/>
          <w:sz w:val="24"/>
          <w:szCs w:val="24"/>
          <w:lang w:val="es-ES_tradnl" w:eastAsia="es-MX"/>
        </w:rPr>
      </w:pPr>
    </w:p>
    <w:p w:rsidR="00AA2BAD" w:rsidRPr="00707CD9" w:rsidRDefault="00AA2BAD" w:rsidP="00AA2BAD">
      <w:pPr>
        <w:spacing w:after="0" w:line="360" w:lineRule="auto"/>
        <w:jc w:val="both"/>
        <w:rPr>
          <w:rFonts w:ascii="Palatino Linotype" w:eastAsia="Times New Roman" w:hAnsi="Palatino Linotype" w:cs="Tahoma"/>
          <w:bCs/>
          <w:sz w:val="24"/>
          <w:lang w:eastAsia="es-ES"/>
        </w:rPr>
      </w:pPr>
      <w:r w:rsidRPr="00707CD9">
        <w:rPr>
          <w:rFonts w:ascii="Palatino Linotype" w:eastAsia="Times New Roman" w:hAnsi="Palatino Linotype" w:cs="Tahoma"/>
          <w:bCs/>
          <w:sz w:val="24"/>
          <w:lang w:eastAsia="es-ES"/>
        </w:rPr>
        <w:t xml:space="preserve">Adicionalmente, el artículo 8°, fracciones XI y XIV, de Ley de Fiscalización Superior del Estado de México, establece que el Órgano Superior de Fiscalización del Estado de México, será el encargado de establecer los </w:t>
      </w:r>
      <w:r w:rsidRPr="00707CD9">
        <w:rPr>
          <w:rFonts w:ascii="Palatino Linotype" w:eastAsia="Times New Roman" w:hAnsi="Palatino Linotype" w:cs="Tahoma"/>
          <w:b/>
          <w:sz w:val="24"/>
          <w:lang w:eastAsia="es-ES"/>
        </w:rPr>
        <w:t xml:space="preserve">lineamientos </w:t>
      </w:r>
      <w:r w:rsidRPr="00707CD9">
        <w:rPr>
          <w:rFonts w:ascii="Palatino Linotype" w:eastAsia="Times New Roman" w:hAnsi="Palatino Linotype" w:cs="Tahoma"/>
          <w:bCs/>
          <w:sz w:val="24"/>
          <w:lang w:eastAsia="es-ES"/>
        </w:rPr>
        <w:t xml:space="preserve">necesarios </w:t>
      </w:r>
      <w:r w:rsidRPr="00707CD9">
        <w:rPr>
          <w:rFonts w:ascii="Palatino Linotype" w:eastAsia="Times New Roman" w:hAnsi="Palatino Linotype" w:cs="Tahoma"/>
          <w:b/>
          <w:sz w:val="24"/>
          <w:lang w:eastAsia="es-ES"/>
        </w:rPr>
        <w:t xml:space="preserve">para la </w:t>
      </w:r>
      <w:r w:rsidRPr="00707CD9">
        <w:rPr>
          <w:rFonts w:ascii="Palatino Linotype" w:eastAsia="Times New Roman" w:hAnsi="Palatino Linotype" w:cs="Tahoma"/>
          <w:b/>
          <w:sz w:val="24"/>
          <w:lang w:eastAsia="es-ES"/>
        </w:rPr>
        <w:lastRenderedPageBreak/>
        <w:t>elaboración de los informes trimestrales</w:t>
      </w:r>
      <w:r w:rsidRPr="00707CD9">
        <w:rPr>
          <w:rFonts w:ascii="Palatino Linotype" w:eastAsia="Times New Roman" w:hAnsi="Palatino Linotype" w:cs="Tahoma"/>
          <w:bCs/>
          <w:sz w:val="24"/>
          <w:lang w:eastAsia="es-ES"/>
        </w:rPr>
        <w:t>; además que verificará que dichos informes hayan sido presentados conforme a la normatividad aplicable.</w:t>
      </w:r>
    </w:p>
    <w:p w:rsidR="00AA2BAD" w:rsidRPr="00707CD9" w:rsidRDefault="00AA2BAD" w:rsidP="00AA2BAD">
      <w:pPr>
        <w:spacing w:after="0" w:line="360" w:lineRule="auto"/>
        <w:jc w:val="both"/>
        <w:rPr>
          <w:rFonts w:ascii="Palatino Linotype" w:eastAsia="Calibri" w:hAnsi="Palatino Linotype" w:cs="Times New Roman"/>
          <w:color w:val="000000"/>
        </w:rPr>
      </w:pPr>
    </w:p>
    <w:p w:rsidR="00AA2BAD" w:rsidRPr="00707CD9" w:rsidRDefault="00AA2BAD" w:rsidP="00AA2BAD">
      <w:pPr>
        <w:spacing w:after="0" w:line="360" w:lineRule="auto"/>
        <w:jc w:val="both"/>
        <w:rPr>
          <w:rFonts w:ascii="Palatino Linotype" w:eastAsia="Calibri" w:hAnsi="Palatino Linotype" w:cs="Times New Roman"/>
          <w:color w:val="000000"/>
          <w:sz w:val="24"/>
        </w:rPr>
      </w:pPr>
      <w:r w:rsidRPr="00707CD9">
        <w:rPr>
          <w:rFonts w:ascii="Palatino Linotype" w:eastAsia="Calibri" w:hAnsi="Palatino Linotype" w:cs="Times New Roman"/>
          <w:color w:val="000000"/>
          <w:sz w:val="24"/>
        </w:rPr>
        <w:t xml:space="preserve">En esa misma línea, el artículo 2°, fracción XI de la Ley de Fiscalización en comento establece que, </w:t>
      </w:r>
      <w:r w:rsidRPr="00707CD9">
        <w:rPr>
          <w:rFonts w:ascii="Palatino Linotype" w:eastAsia="Calibri" w:hAnsi="Palatino Linotype" w:cs="Times New Roman"/>
          <w:b/>
          <w:color w:val="000000"/>
          <w:sz w:val="24"/>
          <w:u w:val="single"/>
        </w:rPr>
        <w:t>el informe trimestral es el documento físico o electrónico que trimestralmente presentan las entidades fiscalizables, a través de las tesorerías municipales</w:t>
      </w:r>
      <w:r w:rsidRPr="00707CD9">
        <w:rPr>
          <w:rFonts w:ascii="Palatino Linotype" w:eastAsia="Calibri" w:hAnsi="Palatino Linotype" w:cs="Times New Roman"/>
          <w:color w:val="000000"/>
          <w:sz w:val="24"/>
        </w:rPr>
        <w:t xml:space="preserve"> y de la Secretaría de Finanzas o equivalentes, sobre la situación económica, las finanzas públicas y, en su caso, respecto a la deuda pública, para su análisis por el Órgano Superior. Los citados informes, en términos del diverso artículo 48, deberán firmarse por el Presidente Municipal, el Tesorero y el Secretario del Ayuntamiento. </w:t>
      </w:r>
    </w:p>
    <w:p w:rsidR="00AA2BAD" w:rsidRPr="00707CD9" w:rsidRDefault="00AA2BAD" w:rsidP="00AA2BAD">
      <w:pPr>
        <w:spacing w:after="0" w:line="360" w:lineRule="auto"/>
        <w:jc w:val="both"/>
        <w:rPr>
          <w:rFonts w:ascii="Palatino Linotype" w:eastAsia="Times New Roman" w:hAnsi="Palatino Linotype" w:cs="Tahoma"/>
          <w:bCs/>
          <w:lang w:eastAsia="es-ES"/>
        </w:rPr>
      </w:pPr>
    </w:p>
    <w:p w:rsidR="00AA2BAD" w:rsidRPr="00707CD9" w:rsidRDefault="00AA2BAD" w:rsidP="00AA2BAD">
      <w:pPr>
        <w:spacing w:after="0" w:line="360" w:lineRule="auto"/>
        <w:jc w:val="both"/>
        <w:rPr>
          <w:rFonts w:ascii="Palatino Linotype" w:eastAsia="Times New Roman" w:hAnsi="Palatino Linotype" w:cs="Tahoma"/>
          <w:bCs/>
          <w:sz w:val="24"/>
          <w:lang w:eastAsia="es-ES"/>
        </w:rPr>
      </w:pPr>
      <w:r w:rsidRPr="00707CD9">
        <w:rPr>
          <w:rFonts w:ascii="Palatino Linotype" w:eastAsia="Times New Roman" w:hAnsi="Palatino Linotype" w:cs="Tahoma"/>
          <w:bCs/>
          <w:sz w:val="24"/>
          <w:lang w:eastAsia="es-ES"/>
        </w:rPr>
        <w:t>Por otra parte, en seguimiento al artículo 32, de la multicitada Ley de Fiscalización, y lo previsto por el artículo 350 del Código Financiero del Estado de México y Municipios, el cual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00AA2BAD" w:rsidRPr="00707CD9" w:rsidRDefault="00AA2BAD" w:rsidP="00AA2BAD">
      <w:pPr>
        <w:spacing w:after="0" w:line="360" w:lineRule="auto"/>
        <w:jc w:val="both"/>
        <w:rPr>
          <w:rFonts w:ascii="Palatino Linotype" w:eastAsia="Calibri" w:hAnsi="Palatino Linotype" w:cs="Tahoma"/>
          <w:bCs/>
          <w:color w:val="000000"/>
          <w:sz w:val="24"/>
          <w:lang w:val="es-ES"/>
        </w:rPr>
      </w:pPr>
    </w:p>
    <w:p w:rsidR="00AA2BAD" w:rsidRPr="00707CD9" w:rsidRDefault="00AA2BAD" w:rsidP="00AA2BAD">
      <w:pPr>
        <w:spacing w:after="0" w:line="360" w:lineRule="auto"/>
        <w:jc w:val="both"/>
        <w:rPr>
          <w:rFonts w:ascii="Palatino Linotype" w:eastAsia="Calibri" w:hAnsi="Palatino Linotype" w:cs="Tahoma"/>
          <w:bCs/>
          <w:color w:val="000000"/>
          <w:sz w:val="24"/>
          <w:lang w:val="es-ES"/>
        </w:rPr>
      </w:pPr>
      <w:r w:rsidRPr="00707CD9">
        <w:rPr>
          <w:rFonts w:ascii="Palatino Linotype" w:eastAsia="Calibri" w:hAnsi="Palatino Linotype" w:cs="Times New Roman"/>
          <w:bCs/>
          <w:color w:val="000000"/>
          <w:sz w:val="24"/>
        </w:rPr>
        <w:t xml:space="preserve">Así que, los Lineamientos para la Integración y Entrega del Informe Trimestral Municipal, dos mil veintidós, entre los formatos que maneja en el </w:t>
      </w:r>
      <w:r w:rsidRPr="00707CD9">
        <w:rPr>
          <w:rFonts w:ascii="Palatino Linotype" w:eastAsia="Calibri" w:hAnsi="Palatino Linotype" w:cs="Times New Roman"/>
          <w:b/>
          <w:bCs/>
          <w:color w:val="000000"/>
          <w:sz w:val="24"/>
        </w:rPr>
        <w:t>Módulo 1</w:t>
      </w:r>
      <w:r w:rsidRPr="00707CD9">
        <w:rPr>
          <w:rFonts w:ascii="Palatino Linotype" w:eastAsia="Calibri" w:hAnsi="Palatino Linotype" w:cs="Times New Roman"/>
          <w:bCs/>
          <w:color w:val="000000"/>
          <w:sz w:val="24"/>
        </w:rPr>
        <w:t>, se advierte que se encuentra las</w:t>
      </w:r>
      <w:r w:rsidRPr="00707CD9">
        <w:rPr>
          <w:rFonts w:ascii="Palatino Linotype" w:eastAsia="Calibri" w:hAnsi="Palatino Linotype" w:cs="Tahoma"/>
          <w:bCs/>
          <w:color w:val="000000"/>
          <w:sz w:val="24"/>
          <w:lang w:val="es-ES"/>
        </w:rPr>
        <w:t xml:space="preserve"> “</w:t>
      </w:r>
      <w:r w:rsidRPr="00707CD9">
        <w:rPr>
          <w:rFonts w:ascii="Palatino Linotype" w:eastAsia="Calibri" w:hAnsi="Palatino Linotype" w:cs="Tahoma"/>
          <w:b/>
          <w:color w:val="000000"/>
          <w:sz w:val="24"/>
          <w:lang w:val="es-ES"/>
        </w:rPr>
        <w:t>Conciliaciones Bancarias</w:t>
      </w:r>
      <w:r w:rsidRPr="00707CD9">
        <w:rPr>
          <w:rFonts w:ascii="Palatino Linotype" w:eastAsia="Calibri" w:hAnsi="Palatino Linotype" w:cs="Tahoma"/>
          <w:bCs/>
          <w:color w:val="000000"/>
          <w:sz w:val="24"/>
          <w:lang w:val="es-ES"/>
        </w:rPr>
        <w:t>”, que de acuerdo con su instructivo de llenado se conforma de diversos datos, entre los cuales se encuentra el número de Cuenta Bancaria y el Saldo en Estado de Cuenta Bancario, tal como se muestra a continuación:</w:t>
      </w:r>
    </w:p>
    <w:p w:rsidR="00AA7243" w:rsidRPr="00707CD9" w:rsidRDefault="00AA2BAD" w:rsidP="00AA2BAD">
      <w:pPr>
        <w:spacing w:after="0" w:line="360" w:lineRule="auto"/>
        <w:contextualSpacing/>
        <w:jc w:val="center"/>
        <w:rPr>
          <w:rFonts w:ascii="Palatino Linotype" w:eastAsia="Palatino Linotype" w:hAnsi="Palatino Linotype" w:cs="Palatino Linotype"/>
          <w:sz w:val="24"/>
          <w:szCs w:val="24"/>
          <w:lang w:val="es-ES_tradnl" w:eastAsia="es-MX"/>
        </w:rPr>
      </w:pPr>
      <w:r w:rsidRPr="00707CD9">
        <w:rPr>
          <w:rFonts w:eastAsia="Calibri" w:cs="Tahoma"/>
          <w:bCs/>
          <w:noProof/>
          <w:lang w:eastAsia="es-MX"/>
        </w:rPr>
        <w:lastRenderedPageBreak/>
        <w:drawing>
          <wp:inline distT="0" distB="0" distL="0" distR="0" wp14:anchorId="69EC3C2F" wp14:editId="26CDD628">
            <wp:extent cx="3731895" cy="2242267"/>
            <wp:effectExtent l="190500" t="190500" r="192405" b="196215"/>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10" cstate="print">
                      <a:extLst>
                        <a:ext uri="{28A0092B-C50C-407E-A947-70E740481C1C}">
                          <a14:useLocalDpi xmlns:a14="http://schemas.microsoft.com/office/drawing/2010/main" val="0"/>
                        </a:ext>
                      </a:extLst>
                    </a:blip>
                    <a:srcRect b="13930"/>
                    <a:stretch/>
                  </pic:blipFill>
                  <pic:spPr bwMode="auto">
                    <a:xfrm>
                      <a:off x="0" y="0"/>
                      <a:ext cx="3786679" cy="227518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AA7243" w:rsidRPr="00707CD9" w:rsidRDefault="00AA7243" w:rsidP="00AA7243">
      <w:pPr>
        <w:spacing w:after="0" w:line="360" w:lineRule="auto"/>
        <w:contextualSpacing/>
        <w:jc w:val="both"/>
        <w:rPr>
          <w:rFonts w:ascii="Palatino Linotype" w:eastAsia="Palatino Linotype" w:hAnsi="Palatino Linotype" w:cs="Palatino Linotype"/>
          <w:sz w:val="24"/>
          <w:szCs w:val="24"/>
          <w:lang w:val="es-ES_tradnl" w:eastAsia="es-MX"/>
        </w:rPr>
      </w:pPr>
    </w:p>
    <w:p w:rsidR="00AA7243" w:rsidRPr="00707CD9" w:rsidRDefault="00AA2BAD" w:rsidP="00AA7243">
      <w:pPr>
        <w:spacing w:after="0" w:line="360" w:lineRule="auto"/>
        <w:contextualSpacing/>
        <w:jc w:val="both"/>
        <w:rPr>
          <w:rFonts w:ascii="Palatino Linotype" w:eastAsia="Palatino Linotype" w:hAnsi="Palatino Linotype" w:cs="Palatino Linotype"/>
          <w:sz w:val="24"/>
          <w:szCs w:val="24"/>
          <w:lang w:val="es-ES_tradnl" w:eastAsia="es-MX"/>
        </w:rPr>
      </w:pPr>
      <w:r w:rsidRPr="00707CD9">
        <w:rPr>
          <w:rFonts w:ascii="Palatino Linotype" w:eastAsia="Calibri" w:hAnsi="Palatino Linotype" w:cs="Tahoma"/>
          <w:bCs/>
          <w:color w:val="000000"/>
          <w:sz w:val="24"/>
          <w:lang w:val="es-ES"/>
        </w:rPr>
        <w:t xml:space="preserve">Conforme a lo expuesto, se advierte que la pretensión del ahora </w:t>
      </w:r>
      <w:r w:rsidRPr="00707CD9">
        <w:rPr>
          <w:rFonts w:ascii="Palatino Linotype" w:eastAsia="Calibri" w:hAnsi="Palatino Linotype" w:cs="Tahoma"/>
          <w:b/>
          <w:bCs/>
          <w:color w:val="000000"/>
          <w:sz w:val="24"/>
          <w:lang w:val="es-ES"/>
        </w:rPr>
        <w:t>Recurrente</w:t>
      </w:r>
      <w:r w:rsidRPr="00707CD9">
        <w:rPr>
          <w:rFonts w:ascii="Palatino Linotype" w:eastAsia="Calibri" w:hAnsi="Palatino Linotype" w:cs="Tahoma"/>
          <w:bCs/>
          <w:color w:val="000000"/>
          <w:sz w:val="24"/>
          <w:lang w:val="es-ES"/>
        </w:rPr>
        <w:t xml:space="preserve"> es </w:t>
      </w:r>
      <w:r w:rsidRPr="00707CD9">
        <w:rPr>
          <w:rFonts w:ascii="Palatino Linotype" w:eastAsia="Calibri" w:hAnsi="Palatino Linotype" w:cs="Times New Roman"/>
          <w:color w:val="000000"/>
          <w:sz w:val="24"/>
        </w:rPr>
        <w:t xml:space="preserve">obtener los números de cuenta, con los que contaba el </w:t>
      </w:r>
      <w:r w:rsidRPr="00707CD9">
        <w:rPr>
          <w:rFonts w:ascii="Palatino Linotype" w:eastAsia="Calibri" w:hAnsi="Palatino Linotype" w:cs="Times New Roman"/>
          <w:b/>
          <w:color w:val="000000"/>
          <w:sz w:val="24"/>
        </w:rPr>
        <w:t>Ayuntamiento de Cuautitlán Izcalli</w:t>
      </w:r>
      <w:r w:rsidRPr="00707CD9">
        <w:rPr>
          <w:rFonts w:ascii="Palatino Linotype" w:eastAsia="Calibri" w:hAnsi="Palatino Linotype" w:cs="Times New Roman"/>
          <w:color w:val="000000"/>
          <w:sz w:val="24"/>
        </w:rPr>
        <w:t xml:space="preserve">, del </w:t>
      </w:r>
      <w:r w:rsidRPr="00707CD9">
        <w:rPr>
          <w:rFonts w:ascii="Palatino Linotype" w:eastAsia="Calibri" w:hAnsi="Palatino Linotype" w:cs="Times New Roman"/>
          <w:b/>
          <w:color w:val="000000"/>
          <w:sz w:val="24"/>
        </w:rPr>
        <w:t>01 de enero de 2020 al 12 de mayo de 2022</w:t>
      </w:r>
      <w:r w:rsidRPr="00707CD9">
        <w:rPr>
          <w:rFonts w:ascii="Palatino Linotype" w:eastAsia="Calibri" w:hAnsi="Palatino Linotype" w:cs="Times New Roman"/>
          <w:color w:val="000000"/>
          <w:sz w:val="24"/>
        </w:rPr>
        <w:t xml:space="preserve">; sin embargo, como lo mencionamos en párrafos anteriores, dicha información se elabora de manera trimestral, por lo que el </w:t>
      </w:r>
      <w:r w:rsidRPr="00707CD9">
        <w:rPr>
          <w:rFonts w:ascii="Palatino Linotype" w:eastAsia="Calibri" w:hAnsi="Palatino Linotype" w:cs="Times New Roman"/>
          <w:b/>
          <w:color w:val="000000"/>
          <w:sz w:val="24"/>
        </w:rPr>
        <w:t>Sujeto Obligado</w:t>
      </w:r>
      <w:r w:rsidRPr="00707CD9">
        <w:rPr>
          <w:rFonts w:ascii="Palatino Linotype" w:eastAsia="Calibri" w:hAnsi="Palatino Linotype" w:cs="Times New Roman"/>
          <w:color w:val="000000"/>
          <w:sz w:val="24"/>
        </w:rPr>
        <w:t xml:space="preserve"> remitió la información referente al </w:t>
      </w:r>
      <w:r w:rsidRPr="00707CD9">
        <w:rPr>
          <w:rFonts w:ascii="Palatino Linotype" w:eastAsia="Calibri" w:hAnsi="Palatino Linotype" w:cs="Times New Roman"/>
          <w:b/>
          <w:color w:val="000000"/>
          <w:sz w:val="24"/>
          <w:u w:val="single"/>
        </w:rPr>
        <w:t>nombre de las instituciones bancarias</w:t>
      </w:r>
      <w:r w:rsidRPr="00707CD9">
        <w:rPr>
          <w:rFonts w:ascii="Palatino Linotype" w:eastAsia="Calibri" w:hAnsi="Palatino Linotype" w:cs="Times New Roman"/>
          <w:color w:val="000000"/>
          <w:sz w:val="24"/>
        </w:rPr>
        <w:t xml:space="preserve"> y su </w:t>
      </w:r>
      <w:r w:rsidRPr="00707CD9">
        <w:rPr>
          <w:rFonts w:ascii="Palatino Linotype" w:eastAsia="Calibri" w:hAnsi="Palatino Linotype" w:cs="Times New Roman"/>
          <w:b/>
          <w:color w:val="000000"/>
          <w:sz w:val="24"/>
          <w:u w:val="single"/>
        </w:rPr>
        <w:t>respectivo monto</w:t>
      </w:r>
      <w:r w:rsidRPr="00707CD9">
        <w:rPr>
          <w:rFonts w:ascii="Palatino Linotype" w:eastAsia="Calibri" w:hAnsi="Palatino Linotype" w:cs="Times New Roman"/>
          <w:color w:val="000000"/>
          <w:sz w:val="24"/>
          <w:u w:val="single"/>
        </w:rPr>
        <w:t xml:space="preserve">, </w:t>
      </w:r>
      <w:r w:rsidRPr="00707CD9">
        <w:rPr>
          <w:rFonts w:ascii="Palatino Linotype" w:eastAsia="Calibri" w:hAnsi="Palatino Linotype" w:cs="Times New Roman"/>
          <w:b/>
          <w:color w:val="000000"/>
          <w:sz w:val="24"/>
          <w:u w:val="single"/>
        </w:rPr>
        <w:t>correspondiente al primera trimestre del año dos mil veintidós</w:t>
      </w:r>
      <w:r w:rsidRPr="00707CD9">
        <w:rPr>
          <w:rFonts w:ascii="Palatino Linotype" w:eastAsia="Calibri" w:hAnsi="Palatino Linotype" w:cs="Times New Roman"/>
          <w:color w:val="000000"/>
          <w:sz w:val="24"/>
        </w:rPr>
        <w:t xml:space="preserve">. </w:t>
      </w:r>
    </w:p>
    <w:p w:rsidR="00AA7243" w:rsidRPr="00707CD9" w:rsidRDefault="00AA7243" w:rsidP="00AA7243">
      <w:pPr>
        <w:spacing w:after="0" w:line="360" w:lineRule="auto"/>
        <w:contextualSpacing/>
        <w:jc w:val="both"/>
        <w:rPr>
          <w:rFonts w:ascii="Palatino Linotype" w:eastAsia="Palatino Linotype" w:hAnsi="Palatino Linotype" w:cs="Palatino Linotype"/>
          <w:sz w:val="24"/>
          <w:szCs w:val="24"/>
          <w:lang w:val="es-ES_tradnl" w:eastAsia="es-MX"/>
        </w:rPr>
      </w:pPr>
    </w:p>
    <w:p w:rsidR="00AA2BAD" w:rsidRPr="00707CD9" w:rsidRDefault="00AA2BAD" w:rsidP="00AA7243">
      <w:pPr>
        <w:spacing w:after="0" w:line="360" w:lineRule="auto"/>
        <w:jc w:val="both"/>
        <w:rPr>
          <w:rFonts w:ascii="Palatino Linotype" w:eastAsia="Calibri" w:hAnsi="Palatino Linotype" w:cs="Tahoma"/>
          <w:bCs/>
          <w:color w:val="000000"/>
          <w:sz w:val="24"/>
        </w:rPr>
      </w:pPr>
      <w:r w:rsidRPr="00707CD9">
        <w:rPr>
          <w:rFonts w:ascii="Palatino Linotype" w:eastAsia="Times New Roman" w:hAnsi="Palatino Linotype" w:cs="Tahoma"/>
          <w:bCs/>
          <w:color w:val="000000"/>
          <w:sz w:val="24"/>
          <w:lang w:eastAsia="es-ES"/>
        </w:rPr>
        <w:t xml:space="preserve">Así que, es necesario traer al estudio, el artículo 95, de la Ley Orgánica Municipal del Estado de México el cual dispone que dentro de las facultades con las que cuenta la Tesorería Municipal para expedir documentos que solicite el </w:t>
      </w:r>
      <w:r w:rsidRPr="00707CD9">
        <w:rPr>
          <w:rFonts w:ascii="Palatino Linotype" w:eastAsia="Calibri" w:hAnsi="Palatino Linotype" w:cs="Tahoma"/>
          <w:bCs/>
          <w:color w:val="000000"/>
          <w:sz w:val="24"/>
          <w:lang w:val="es-ES"/>
        </w:rPr>
        <w:t xml:space="preserve">Órgano Superior de Fiscalización del Estado de México. Por otra parte, y en atención a lo expuesto en párrafos anteriores, el artículo </w:t>
      </w:r>
      <w:r w:rsidRPr="00707CD9">
        <w:rPr>
          <w:rFonts w:ascii="Palatino Linotype" w:eastAsia="Calibri" w:hAnsi="Palatino Linotype" w:cs="Tahoma"/>
          <w:bCs/>
          <w:color w:val="000000"/>
          <w:sz w:val="24"/>
        </w:rPr>
        <w:t xml:space="preserve">350, del Código Financiero del Estado de México y Municipios prevé que las Tesorerías Municipales, enviarán para su análisis y </w:t>
      </w:r>
      <w:r w:rsidRPr="00707CD9">
        <w:rPr>
          <w:rFonts w:ascii="Palatino Linotype" w:eastAsia="Calibri" w:hAnsi="Palatino Linotype" w:cs="Tahoma"/>
          <w:bCs/>
          <w:color w:val="000000"/>
          <w:sz w:val="24"/>
        </w:rPr>
        <w:lastRenderedPageBreak/>
        <w:t xml:space="preserve">evaluación al Órgano Superior de Fiscalización del Estado de México, la información Patrimonial. </w:t>
      </w:r>
    </w:p>
    <w:p w:rsidR="006C5305" w:rsidRPr="00707CD9" w:rsidRDefault="006C5305" w:rsidP="00AA7243">
      <w:pPr>
        <w:spacing w:after="0" w:line="360" w:lineRule="auto"/>
        <w:jc w:val="both"/>
        <w:rPr>
          <w:rFonts w:ascii="Palatino Linotype" w:eastAsia="Calibri" w:hAnsi="Palatino Linotype" w:cs="Tahoma"/>
          <w:bCs/>
          <w:color w:val="000000"/>
          <w:sz w:val="24"/>
        </w:rPr>
      </w:pPr>
    </w:p>
    <w:p w:rsidR="006C5305" w:rsidRPr="00707CD9" w:rsidRDefault="006C5305" w:rsidP="006C5305">
      <w:pPr>
        <w:spacing w:after="0" w:line="360" w:lineRule="auto"/>
        <w:jc w:val="both"/>
        <w:rPr>
          <w:rFonts w:ascii="Palatino Linotype" w:eastAsia="Calibri" w:hAnsi="Palatino Linotype" w:cs="Tahoma"/>
          <w:bCs/>
          <w:color w:val="000000"/>
          <w:sz w:val="24"/>
          <w:szCs w:val="24"/>
        </w:rPr>
      </w:pPr>
      <w:r w:rsidRPr="00707CD9">
        <w:rPr>
          <w:rFonts w:ascii="Palatino Linotype" w:eastAsia="Calibri" w:hAnsi="Palatino Linotype" w:cs="Tahoma"/>
          <w:bCs/>
          <w:color w:val="000000"/>
          <w:sz w:val="24"/>
          <w:szCs w:val="24"/>
        </w:rPr>
        <w:t xml:space="preserve">Finalmente, en relación a los </w:t>
      </w:r>
      <w:r w:rsidRPr="00707CD9">
        <w:rPr>
          <w:rFonts w:ascii="Palatino Linotype" w:eastAsia="Calibri" w:hAnsi="Palatino Linotype" w:cs="Tahoma"/>
          <w:b/>
          <w:bCs/>
          <w:color w:val="000000"/>
          <w:sz w:val="24"/>
          <w:szCs w:val="24"/>
          <w:u w:val="single"/>
        </w:rPr>
        <w:t>números de cuenta bancarias</w:t>
      </w:r>
      <w:r w:rsidRPr="00707CD9">
        <w:rPr>
          <w:rFonts w:ascii="Palatino Linotype" w:eastAsia="Calibri" w:hAnsi="Palatino Linotype" w:cs="Tahoma"/>
          <w:bCs/>
          <w:color w:val="000000"/>
          <w:sz w:val="24"/>
          <w:szCs w:val="24"/>
        </w:rPr>
        <w:t xml:space="preserve"> del </w:t>
      </w:r>
      <w:r w:rsidRPr="00707CD9">
        <w:rPr>
          <w:rFonts w:ascii="Palatino Linotype" w:eastAsia="Calibri" w:hAnsi="Palatino Linotype" w:cs="Tahoma"/>
          <w:b/>
          <w:bCs/>
          <w:color w:val="000000"/>
          <w:sz w:val="24"/>
          <w:szCs w:val="24"/>
        </w:rPr>
        <w:t>Sujeto Obligado</w:t>
      </w:r>
      <w:r w:rsidRPr="00707CD9">
        <w:rPr>
          <w:rFonts w:ascii="Palatino Linotype" w:eastAsia="Calibri" w:hAnsi="Palatino Linotype" w:cs="Tahoma"/>
          <w:bCs/>
          <w:color w:val="000000"/>
          <w:sz w:val="24"/>
          <w:szCs w:val="24"/>
        </w:rPr>
        <w:t xml:space="preserve">, esta Ponencia considera que para atender el requerimiento de información, el </w:t>
      </w:r>
      <w:r w:rsidRPr="00707CD9">
        <w:rPr>
          <w:rFonts w:ascii="Palatino Linotype" w:eastAsia="Calibri" w:hAnsi="Palatino Linotype" w:cs="Tahoma"/>
          <w:b/>
          <w:bCs/>
          <w:color w:val="000000"/>
          <w:sz w:val="24"/>
          <w:szCs w:val="24"/>
        </w:rPr>
        <w:t>Sujeto Obligado</w:t>
      </w:r>
      <w:r w:rsidRPr="00707CD9">
        <w:rPr>
          <w:rFonts w:ascii="Palatino Linotype" w:eastAsia="Calibri" w:hAnsi="Palatino Linotype" w:cs="Tahoma"/>
          <w:bCs/>
          <w:color w:val="000000"/>
          <w:sz w:val="24"/>
          <w:szCs w:val="24"/>
        </w:rPr>
        <w:t xml:space="preserve"> deberá proporcionar la información solicitada; </w:t>
      </w:r>
      <w:r w:rsidR="002C3000" w:rsidRPr="00707CD9">
        <w:rPr>
          <w:rFonts w:ascii="Palatino Linotype" w:eastAsia="Calibri" w:hAnsi="Palatino Linotype" w:cs="Tahoma"/>
          <w:bCs/>
          <w:color w:val="000000"/>
          <w:sz w:val="24"/>
          <w:szCs w:val="24"/>
        </w:rPr>
        <w:t xml:space="preserve">ya que en </w:t>
      </w:r>
      <w:r w:rsidRPr="00707CD9">
        <w:rPr>
          <w:rFonts w:ascii="Palatino Linotype" w:eastAsia="Times New Roman" w:hAnsi="Palatino Linotype" w:cs="Times New Roman"/>
          <w:sz w:val="24"/>
          <w:szCs w:val="24"/>
          <w:lang w:val="es-ES" w:eastAsia="es-ES"/>
        </w:rPr>
        <w:t xml:space="preserve">donde se transfieren recursos públicos, </w:t>
      </w:r>
      <w:r w:rsidRPr="00707CD9">
        <w:rPr>
          <w:rFonts w:ascii="Palatino Linotype" w:eastAsia="Times New Roman" w:hAnsi="Palatino Linotype" w:cs="Times New Roman"/>
          <w:b/>
          <w:sz w:val="24"/>
          <w:szCs w:val="24"/>
          <w:u w:val="single"/>
          <w:lang w:val="es-ES" w:eastAsia="es-ES"/>
        </w:rPr>
        <w:t>son considerados como información pública</w:t>
      </w:r>
      <w:r w:rsidRPr="00707CD9">
        <w:rPr>
          <w:rFonts w:ascii="Palatino Linotype" w:eastAsia="Times New Roman" w:hAnsi="Palatino Linotype" w:cs="Times New Roman"/>
          <w:sz w:val="24"/>
          <w:szCs w:val="24"/>
          <w:lang w:val="es-ES" w:eastAsia="es-ES"/>
        </w:rPr>
        <w:t>, pues su difusión favorece la rendición de cuentas al transparentar la forma en que se administrar los recursos públicos; situación que se robustece con el Criterio 11/17, del Instituto Nacional de Transparencia, Acceso a la Información y Protección de Datos Personales, que a la letra precisa:</w:t>
      </w:r>
    </w:p>
    <w:p w:rsidR="006C5305" w:rsidRPr="00707CD9" w:rsidRDefault="006C5305" w:rsidP="006C5305">
      <w:pPr>
        <w:spacing w:after="0" w:line="360" w:lineRule="auto"/>
        <w:jc w:val="both"/>
        <w:rPr>
          <w:rFonts w:ascii="Palatino Linotype" w:eastAsia="Times New Roman" w:hAnsi="Palatino Linotype" w:cs="Times New Roman"/>
          <w:lang w:val="es-ES" w:eastAsia="es-ES"/>
        </w:rPr>
      </w:pPr>
    </w:p>
    <w:p w:rsidR="006C5305" w:rsidRPr="00707CD9" w:rsidRDefault="006C5305" w:rsidP="002C3000">
      <w:pPr>
        <w:spacing w:after="0" w:line="240" w:lineRule="auto"/>
        <w:ind w:left="567" w:right="567"/>
        <w:jc w:val="both"/>
        <w:rPr>
          <w:rFonts w:ascii="Palatino Linotype" w:eastAsia="Times New Roman" w:hAnsi="Palatino Linotype" w:cs="Times New Roman"/>
          <w:i/>
          <w:iCs/>
          <w:szCs w:val="20"/>
          <w:lang w:val="es-ES" w:eastAsia="es-ES"/>
        </w:rPr>
      </w:pPr>
      <w:r w:rsidRPr="00707CD9">
        <w:rPr>
          <w:rFonts w:ascii="Palatino Linotype" w:eastAsia="Times New Roman" w:hAnsi="Palatino Linotype" w:cs="Times New Roman"/>
          <w:b/>
          <w:i/>
          <w:iCs/>
          <w:szCs w:val="20"/>
          <w:lang w:val="es-ES" w:eastAsia="es-ES"/>
        </w:rPr>
        <w:t>“Cuentas bancarias y/o CLABE interbancaria de sujetos obligados que reciben y/o transfieren recursos públicos, son información pública.</w:t>
      </w:r>
      <w:r w:rsidRPr="00707CD9">
        <w:rPr>
          <w:rFonts w:ascii="Palatino Linotype" w:eastAsia="Times New Roman" w:hAnsi="Palatino Linotype" w:cs="Times New Roman"/>
          <w:i/>
          <w:iCs/>
          <w:szCs w:val="20"/>
          <w:lang w:val="es-ES" w:eastAsia="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6C5305" w:rsidRPr="00707CD9" w:rsidRDefault="006C5305" w:rsidP="00AA7243">
      <w:pPr>
        <w:spacing w:after="0" w:line="360" w:lineRule="auto"/>
        <w:jc w:val="both"/>
        <w:rPr>
          <w:rFonts w:ascii="Palatino Linotype" w:eastAsia="Calibri" w:hAnsi="Palatino Linotype" w:cs="Tahoma"/>
          <w:bCs/>
          <w:color w:val="000000"/>
          <w:sz w:val="24"/>
        </w:rPr>
      </w:pPr>
    </w:p>
    <w:p w:rsidR="002C3000" w:rsidRPr="00707CD9" w:rsidRDefault="005A5C1F" w:rsidP="00AA7243">
      <w:pPr>
        <w:spacing w:after="0" w:line="360" w:lineRule="auto"/>
        <w:contextualSpacing/>
        <w:jc w:val="both"/>
        <w:rPr>
          <w:rFonts w:ascii="Palatino Linotype" w:eastAsia="Times New Roman" w:hAnsi="Palatino Linotype" w:cs="Tahoma"/>
          <w:sz w:val="24"/>
          <w:szCs w:val="24"/>
          <w:lang w:val="es-ES" w:eastAsia="es-ES"/>
        </w:rPr>
      </w:pPr>
      <w:r w:rsidRPr="00707CD9">
        <w:rPr>
          <w:rFonts w:ascii="Palatino Linotype" w:eastAsia="Calibri" w:hAnsi="Palatino Linotype" w:cs="Tahoma"/>
          <w:bCs/>
          <w:color w:val="000000"/>
          <w:sz w:val="24"/>
          <w:lang w:eastAsia="es-MX"/>
        </w:rPr>
        <w:t xml:space="preserve">Tal </w:t>
      </w:r>
      <w:r w:rsidR="002C3000" w:rsidRPr="00707CD9">
        <w:rPr>
          <w:rFonts w:ascii="Palatino Linotype" w:eastAsia="Times New Roman" w:hAnsi="Palatino Linotype" w:cs="Tahoma"/>
          <w:sz w:val="24"/>
          <w:szCs w:val="24"/>
          <w:lang w:val="es-ES" w:eastAsia="es-ES"/>
        </w:rPr>
        <w:t>determinación</w:t>
      </w:r>
      <w:r w:rsidRPr="00707CD9">
        <w:rPr>
          <w:rFonts w:ascii="Palatino Linotype" w:eastAsia="Times New Roman" w:hAnsi="Palatino Linotype" w:cs="Tahoma"/>
          <w:sz w:val="24"/>
          <w:szCs w:val="24"/>
          <w:lang w:val="es-ES" w:eastAsia="es-ES"/>
        </w:rPr>
        <w:t>,</w:t>
      </w:r>
      <w:r w:rsidR="002C3000" w:rsidRPr="00707CD9">
        <w:rPr>
          <w:rFonts w:ascii="Palatino Linotype" w:eastAsia="Times New Roman" w:hAnsi="Palatino Linotype" w:cs="Tahoma"/>
          <w:sz w:val="24"/>
          <w:szCs w:val="24"/>
          <w:lang w:val="es-ES" w:eastAsia="es-ES"/>
        </w:rPr>
        <w:t xml:space="preserve"> toma sust</w:t>
      </w:r>
      <w:r w:rsidRPr="00707CD9">
        <w:rPr>
          <w:rFonts w:ascii="Palatino Linotype" w:eastAsia="Times New Roman" w:hAnsi="Palatino Linotype" w:cs="Tahoma"/>
          <w:sz w:val="24"/>
          <w:szCs w:val="24"/>
          <w:lang w:val="es-ES" w:eastAsia="es-ES"/>
        </w:rPr>
        <w:t>ento</w:t>
      </w:r>
      <w:r w:rsidR="002C3000" w:rsidRPr="00707CD9">
        <w:rPr>
          <w:rFonts w:ascii="Palatino Linotype" w:eastAsia="Times New Roman" w:hAnsi="Palatino Linotype" w:cs="Tahoma"/>
          <w:sz w:val="24"/>
          <w:szCs w:val="24"/>
          <w:lang w:val="es-ES" w:eastAsia="es-ES"/>
        </w:rPr>
        <w:t xml:space="preserve">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2C3000" w:rsidRPr="00707CD9" w:rsidRDefault="002C3000" w:rsidP="00AA7243">
      <w:pPr>
        <w:spacing w:after="0" w:line="360" w:lineRule="auto"/>
        <w:contextualSpacing/>
        <w:jc w:val="both"/>
        <w:rPr>
          <w:rFonts w:ascii="Palatino Linotype" w:eastAsia="Times New Roman" w:hAnsi="Palatino Linotype" w:cs="Tahoma"/>
          <w:sz w:val="24"/>
          <w:szCs w:val="24"/>
          <w:lang w:val="es-ES" w:eastAsia="es-ES"/>
        </w:rPr>
      </w:pPr>
    </w:p>
    <w:p w:rsidR="00C24066" w:rsidRPr="00707CD9" w:rsidRDefault="002C3000" w:rsidP="00C24066">
      <w:pPr>
        <w:spacing w:after="0" w:line="360" w:lineRule="auto"/>
        <w:contextualSpacing/>
        <w:jc w:val="both"/>
        <w:rPr>
          <w:rFonts w:ascii="Palatino Linotype" w:eastAsia="Palatino Linotype" w:hAnsi="Palatino Linotype" w:cs="Palatino Linotype"/>
          <w:sz w:val="24"/>
          <w:szCs w:val="24"/>
          <w:lang w:eastAsia="es-MX"/>
        </w:rPr>
      </w:pPr>
      <w:r w:rsidRPr="00707CD9">
        <w:rPr>
          <w:rFonts w:ascii="Palatino Linotype" w:eastAsia="Palatino Linotype" w:hAnsi="Palatino Linotype" w:cs="Palatino Linotype"/>
          <w:sz w:val="24"/>
          <w:szCs w:val="24"/>
          <w:lang w:val="es-ES_tradnl" w:eastAsia="es-MX"/>
        </w:rPr>
        <w:lastRenderedPageBreak/>
        <w:t xml:space="preserve">Ahora bien, para el caso de que no cuenta con estados de cuenta de determinadas cuentas bancarias, </w:t>
      </w:r>
      <w:r w:rsidR="00352B30" w:rsidRPr="00707CD9">
        <w:rPr>
          <w:rFonts w:ascii="Palatino Linotype" w:eastAsia="Palatino Linotype" w:hAnsi="Palatino Linotype" w:cs="Palatino Linotype"/>
          <w:sz w:val="24"/>
          <w:szCs w:val="24"/>
          <w:lang w:eastAsia="es-MX"/>
        </w:rPr>
        <w:t xml:space="preserve">se deberá seguir el </w:t>
      </w:r>
      <w:r w:rsidR="00C24066" w:rsidRPr="00707CD9">
        <w:rPr>
          <w:rFonts w:ascii="Palatino Linotype" w:eastAsia="Palatino Linotype" w:hAnsi="Palatino Linotype" w:cs="Palatino Linotype"/>
          <w:sz w:val="24"/>
          <w:szCs w:val="24"/>
          <w:lang w:eastAsia="es-MX"/>
        </w:rPr>
        <w:t>dispuesto por el artículo 169 y 170, de la Ley de la materia.</w:t>
      </w: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r w:rsidRPr="00707CD9">
        <w:rPr>
          <w:rFonts w:ascii="Palatino Linotype" w:eastAsia="Palatino Linotype" w:hAnsi="Palatino Linotype" w:cs="Palatino Linotype"/>
          <w:sz w:val="24"/>
          <w:szCs w:val="24"/>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707CD9" w:rsidRDefault="00C24066" w:rsidP="00352B30">
      <w:pPr>
        <w:spacing w:after="0" w:line="360" w:lineRule="auto"/>
        <w:jc w:val="both"/>
        <w:rPr>
          <w:rFonts w:ascii="Palatino Linotype" w:eastAsia="Palatino Linotype" w:hAnsi="Palatino Linotype" w:cs="Palatino Linotype"/>
          <w:i/>
          <w:lang w:eastAsia="es-MX"/>
        </w:rPr>
      </w:pPr>
      <w:r w:rsidRPr="00707CD9">
        <w:rPr>
          <w:rFonts w:ascii="Palatino Linotype" w:eastAsia="Palatino Linotype" w:hAnsi="Palatino Linotype" w:cs="Palatino Linotype"/>
          <w:sz w:val="24"/>
          <w:szCs w:val="24"/>
          <w:lang w:eastAsia="es-MX"/>
        </w:rPr>
        <w:t xml:space="preserve">Por lo que, en caso de que la información no obre en los archivos del </w:t>
      </w:r>
      <w:r w:rsidRPr="00707CD9">
        <w:rPr>
          <w:rFonts w:ascii="Palatino Linotype" w:eastAsia="Palatino Linotype" w:hAnsi="Palatino Linotype" w:cs="Palatino Linotype"/>
          <w:b/>
          <w:sz w:val="24"/>
          <w:szCs w:val="24"/>
          <w:lang w:eastAsia="es-MX"/>
        </w:rPr>
        <w:t>Sujeto Obligado</w:t>
      </w:r>
      <w:r w:rsidRPr="00707CD9">
        <w:rPr>
          <w:rFonts w:ascii="Palatino Linotype" w:eastAsia="Palatino Linotype" w:hAnsi="Palatino Linotype" w:cs="Palatino Linotype"/>
          <w:sz w:val="24"/>
          <w:szCs w:val="24"/>
          <w:lang w:eastAsia="es-MX"/>
        </w:rPr>
        <w:t xml:space="preserve"> se acredita el destino de la misma, y para el caso que nos ocupa determinar si ésta se procedió a su envío al archivo histórico o a su baja permanente; documentando las circunstancias de tiempo, modo y lugar que precedieron a la </w:t>
      </w:r>
      <w:r w:rsidR="00352B30" w:rsidRPr="00707CD9">
        <w:rPr>
          <w:rFonts w:ascii="Palatino Linotype" w:eastAsia="Palatino Linotype" w:hAnsi="Palatino Linotype" w:cs="Palatino Linotype"/>
          <w:sz w:val="24"/>
          <w:szCs w:val="24"/>
          <w:lang w:eastAsia="es-MX"/>
        </w:rPr>
        <w:t>inexistencia de la información.</w:t>
      </w: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r w:rsidRPr="00707CD9">
        <w:rPr>
          <w:rFonts w:ascii="Palatino Linotype" w:eastAsia="Palatino Linotype" w:hAnsi="Palatino Linotype" w:cs="Palatino Linotype"/>
          <w:sz w:val="24"/>
          <w:szCs w:val="24"/>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52B30" w:rsidRPr="00707CD9" w:rsidRDefault="00352B30" w:rsidP="00C24066">
      <w:pPr>
        <w:spacing w:after="0" w:line="360" w:lineRule="auto"/>
        <w:jc w:val="both"/>
        <w:rPr>
          <w:rFonts w:ascii="Palatino Linotype" w:eastAsia="Palatino Linotype" w:hAnsi="Palatino Linotype" w:cs="Palatino Linotype"/>
          <w:sz w:val="24"/>
          <w:szCs w:val="24"/>
          <w:lang w:eastAsia="es-MX"/>
        </w:rPr>
      </w:pPr>
    </w:p>
    <w:p w:rsidR="00C24066" w:rsidRPr="00707CD9" w:rsidRDefault="00C24066" w:rsidP="00C24066">
      <w:pPr>
        <w:shd w:val="clear" w:color="auto" w:fill="FFFFFF"/>
        <w:spacing w:after="0" w:line="360" w:lineRule="auto"/>
        <w:jc w:val="both"/>
        <w:rPr>
          <w:rFonts w:ascii="Palatino Linotype" w:eastAsia="Palatino Linotype" w:hAnsi="Palatino Linotype" w:cs="Palatino Linotype"/>
          <w:sz w:val="24"/>
          <w:szCs w:val="24"/>
          <w:lang w:eastAsia="es-MX"/>
        </w:rPr>
      </w:pPr>
      <w:r w:rsidRPr="00707CD9">
        <w:rPr>
          <w:rFonts w:ascii="Palatino Linotype" w:eastAsia="Palatino Linotype" w:hAnsi="Palatino Linotype" w:cs="Palatino Linotype"/>
          <w:sz w:val="24"/>
          <w:szCs w:val="24"/>
          <w:lang w:eastAsia="es-MX"/>
        </w:rPr>
        <w:lastRenderedPageBreak/>
        <w:t xml:space="preserve">Resulta aplicable el criterio reiterado número </w:t>
      </w:r>
      <w:r w:rsidRPr="00707CD9">
        <w:rPr>
          <w:rFonts w:ascii="Palatino Linotype" w:eastAsia="Palatino Linotype" w:hAnsi="Palatino Linotype" w:cs="Palatino Linotype"/>
          <w:b/>
          <w:sz w:val="24"/>
          <w:szCs w:val="24"/>
          <w:lang w:eastAsia="es-MX"/>
        </w:rPr>
        <w:t>08/19</w:t>
      </w:r>
      <w:r w:rsidRPr="00707CD9">
        <w:rPr>
          <w:rFonts w:ascii="Palatino Linotype" w:eastAsia="Palatino Linotype" w:hAnsi="Palatino Linotype" w:cs="Palatino Linotype"/>
          <w:sz w:val="24"/>
          <w:szCs w:val="24"/>
          <w:lang w:eastAsia="es-MX"/>
        </w:rPr>
        <w:t>, emitidos por Acuerdo del Pleno del Instituto de Transparencia y Acceso a la Información Pública del Estado de México y Municipios, que a la letra dice:</w:t>
      </w:r>
    </w:p>
    <w:p w:rsidR="00C24066" w:rsidRPr="00707CD9" w:rsidRDefault="00C24066" w:rsidP="00C24066">
      <w:pPr>
        <w:shd w:val="clear" w:color="auto" w:fill="FFFFFF"/>
        <w:spacing w:after="0" w:line="240" w:lineRule="auto"/>
        <w:jc w:val="both"/>
        <w:rPr>
          <w:rFonts w:ascii="Palatino Linotype" w:eastAsia="Palatino Linotype" w:hAnsi="Palatino Linotype" w:cs="Palatino Linotype"/>
          <w:sz w:val="24"/>
          <w:szCs w:val="24"/>
          <w:lang w:eastAsia="es-MX"/>
        </w:rPr>
      </w:pPr>
    </w:p>
    <w:p w:rsidR="00C24066" w:rsidRPr="00707CD9" w:rsidRDefault="00C24066" w:rsidP="00C24066">
      <w:pPr>
        <w:shd w:val="clear" w:color="auto" w:fill="FFFFFF"/>
        <w:spacing w:after="0" w:line="240" w:lineRule="auto"/>
        <w:ind w:left="567" w:right="567"/>
        <w:jc w:val="both"/>
        <w:rPr>
          <w:rFonts w:ascii="Palatino Linotype" w:eastAsia="Palatino Linotype" w:hAnsi="Palatino Linotype" w:cs="Palatino Linotype"/>
          <w:i/>
          <w:lang w:eastAsia="es-MX"/>
        </w:rPr>
      </w:pPr>
      <w:r w:rsidRPr="00707CD9">
        <w:rPr>
          <w:rFonts w:ascii="Palatino Linotype" w:eastAsia="Palatino Linotype" w:hAnsi="Palatino Linotype" w:cs="Palatino Linotype"/>
          <w:b/>
          <w:i/>
          <w:lang w:eastAsia="es-MX"/>
        </w:rPr>
        <w:t>“INEXISTENCIA DE LA INFORMACIÓN. SUPUESTOS PARA EMITIR LA RESOLUCIÓN DE LA</w:t>
      </w:r>
      <w:r w:rsidRPr="00707CD9">
        <w:rPr>
          <w:rFonts w:ascii="Palatino Linotype" w:eastAsia="Palatino Linotype" w:hAnsi="Palatino Linotype" w:cs="Palatino Linotype"/>
          <w:i/>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07CD9">
        <w:rPr>
          <w:rFonts w:ascii="Palatino Linotype" w:eastAsia="Palatino Linotype" w:hAnsi="Palatino Linotype" w:cs="Palatino Linotype"/>
          <w:b/>
          <w:i/>
          <w:lang w:eastAsia="es-MX"/>
        </w:rPr>
        <w:t>”</w:t>
      </w:r>
    </w:p>
    <w:p w:rsidR="00C24066" w:rsidRPr="00707CD9" w:rsidRDefault="00C24066" w:rsidP="00C24066">
      <w:pPr>
        <w:shd w:val="clear" w:color="auto" w:fill="FFFFFF"/>
        <w:spacing w:after="0" w:line="240" w:lineRule="auto"/>
        <w:ind w:left="567" w:right="567" w:firstLine="851"/>
        <w:jc w:val="right"/>
        <w:rPr>
          <w:rFonts w:ascii="Palatino Linotype" w:eastAsia="Palatino Linotype" w:hAnsi="Palatino Linotype" w:cs="Palatino Linotype"/>
          <w:i/>
          <w:lang w:eastAsia="es-MX"/>
        </w:rPr>
      </w:pPr>
      <w:r w:rsidRPr="00707CD9">
        <w:rPr>
          <w:rFonts w:ascii="Palatino Linotype" w:eastAsia="Palatino Linotype" w:hAnsi="Palatino Linotype" w:cs="Palatino Linotype"/>
          <w:i/>
          <w:lang w:eastAsia="es-MX"/>
        </w:rPr>
        <w:t>(Énfasis añadido)</w:t>
      </w:r>
    </w:p>
    <w:p w:rsidR="00C24066" w:rsidRPr="00707CD9" w:rsidRDefault="00C24066" w:rsidP="00C24066">
      <w:pPr>
        <w:shd w:val="clear" w:color="auto" w:fill="FFFFFF"/>
        <w:spacing w:after="0" w:line="240" w:lineRule="auto"/>
        <w:ind w:right="902" w:firstLine="851"/>
        <w:jc w:val="both"/>
        <w:rPr>
          <w:rFonts w:ascii="Palatino Linotype" w:eastAsia="Palatino Linotype" w:hAnsi="Palatino Linotype" w:cs="Palatino Linotype"/>
          <w:i/>
          <w:lang w:eastAsia="es-MX"/>
        </w:rPr>
      </w:pP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r w:rsidRPr="00707CD9">
        <w:rPr>
          <w:rFonts w:ascii="Palatino Linotype" w:eastAsia="Palatino Linotype" w:hAnsi="Palatino Linotype" w:cs="Palatino Linotype"/>
          <w:sz w:val="24"/>
          <w:szCs w:val="24"/>
          <w:lang w:eastAsia="es-MX"/>
        </w:rPr>
        <w:t xml:space="preserve">Lo anterior es así, ya que, </w:t>
      </w:r>
      <w:r w:rsidR="00C80BEC" w:rsidRPr="00707CD9">
        <w:rPr>
          <w:rFonts w:ascii="Palatino Linotype" w:eastAsia="Palatino Linotype" w:hAnsi="Palatino Linotype" w:cs="Palatino Linotype"/>
          <w:sz w:val="24"/>
          <w:szCs w:val="24"/>
          <w:lang w:eastAsia="es-MX"/>
        </w:rPr>
        <w:t>si</w:t>
      </w:r>
      <w:r w:rsidRPr="00707CD9">
        <w:rPr>
          <w:rFonts w:ascii="Palatino Linotype" w:eastAsia="Palatino Linotype" w:hAnsi="Palatino Linotype" w:cs="Palatino Linotype"/>
          <w:sz w:val="24"/>
          <w:szCs w:val="24"/>
          <w:lang w:eastAsia="es-MX"/>
        </w:rPr>
        <w:t xml:space="preserve"> no localizó la información solicitada, lo procedente es realizar la entrega del Acuerdo de Inexistencia aun y cuando ésta haya causado baja documental.</w:t>
      </w: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r w:rsidRPr="00707CD9">
        <w:rPr>
          <w:rFonts w:ascii="Palatino Linotype" w:eastAsia="Palatino Linotype" w:hAnsi="Palatino Linotype" w:cs="Palatino Linotype"/>
          <w:sz w:val="24"/>
          <w:szCs w:val="24"/>
          <w:lang w:eastAsia="es-MX"/>
        </w:rPr>
        <w:t xml:space="preserve">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w:t>
      </w:r>
      <w:r w:rsidRPr="00707CD9">
        <w:rPr>
          <w:rFonts w:ascii="Palatino Linotype" w:eastAsia="Palatino Linotype" w:hAnsi="Palatino Linotype" w:cs="Palatino Linotype"/>
          <w:sz w:val="24"/>
          <w:szCs w:val="24"/>
          <w:lang w:eastAsia="es-MX"/>
        </w:rPr>
        <w:lastRenderedPageBreak/>
        <w:t>con los documentos que por el ejercicio de sus funciones obra en su poder, por lo que, impone un compromiso en su cuidado y resguardo.</w:t>
      </w: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707CD9" w:rsidRDefault="00C24066" w:rsidP="00C24066">
      <w:pPr>
        <w:spacing w:after="0" w:line="360" w:lineRule="auto"/>
        <w:jc w:val="both"/>
        <w:rPr>
          <w:rFonts w:ascii="Palatino Linotype" w:eastAsia="Palatino Linotype" w:hAnsi="Palatino Linotype" w:cs="Palatino Linotype"/>
          <w:sz w:val="24"/>
          <w:szCs w:val="24"/>
          <w:lang w:eastAsia="es-MX"/>
        </w:rPr>
      </w:pPr>
      <w:r w:rsidRPr="00707CD9">
        <w:rPr>
          <w:rFonts w:ascii="Palatino Linotype" w:eastAsia="Palatino Linotype" w:hAnsi="Palatino Linotype" w:cs="Palatino Linotype"/>
          <w:sz w:val="24"/>
          <w:szCs w:val="24"/>
          <w:lang w:eastAsia="es-MX"/>
        </w:rPr>
        <w:t xml:space="preserve">Por otra parte, tenemos lo establecido en el artículo 169, relativo a que cuando la información no se encuentre en los archivos del </w:t>
      </w:r>
      <w:r w:rsidRPr="00707CD9">
        <w:rPr>
          <w:rFonts w:ascii="Palatino Linotype" w:eastAsia="Palatino Linotype" w:hAnsi="Palatino Linotype" w:cs="Palatino Linotype"/>
          <w:b/>
          <w:sz w:val="24"/>
          <w:szCs w:val="24"/>
          <w:lang w:eastAsia="es-MX"/>
        </w:rPr>
        <w:t>Sujeto Obligado</w:t>
      </w:r>
      <w:r w:rsidRPr="00707CD9">
        <w:rPr>
          <w:rFonts w:ascii="Palatino Linotype" w:eastAsia="Palatino Linotype" w:hAnsi="Palatino Linotype" w:cs="Palatino Linotype"/>
          <w:sz w:val="24"/>
          <w:szCs w:val="24"/>
          <w:lang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rsidR="00C24066" w:rsidRPr="00707CD9" w:rsidRDefault="00C24066" w:rsidP="00C24066">
      <w:pPr>
        <w:spacing w:after="0" w:line="240" w:lineRule="auto"/>
        <w:jc w:val="both"/>
        <w:rPr>
          <w:rFonts w:ascii="Palatino Linotype" w:eastAsia="Palatino Linotype" w:hAnsi="Palatino Linotype" w:cs="Palatino Linotype"/>
          <w:sz w:val="24"/>
          <w:szCs w:val="24"/>
          <w:lang w:eastAsia="es-MX"/>
        </w:rPr>
      </w:pPr>
    </w:p>
    <w:p w:rsidR="00C24066" w:rsidRPr="00707CD9" w:rsidRDefault="00C24066" w:rsidP="00C80BEC">
      <w:pPr>
        <w:spacing w:line="240" w:lineRule="auto"/>
        <w:ind w:left="850" w:right="901"/>
        <w:jc w:val="both"/>
        <w:rPr>
          <w:rFonts w:ascii="Palatino Linotype" w:eastAsia="Palatino Linotype" w:hAnsi="Palatino Linotype" w:cs="Palatino Linotype"/>
          <w:i/>
          <w:lang w:eastAsia="es-MX"/>
        </w:rPr>
      </w:pPr>
      <w:r w:rsidRPr="00707CD9">
        <w:rPr>
          <w:rFonts w:ascii="Palatino Linotype" w:eastAsia="Palatino Linotype" w:hAnsi="Palatino Linotype" w:cs="Palatino Linotype"/>
          <w:b/>
          <w:i/>
          <w:lang w:eastAsia="es-MX"/>
        </w:rPr>
        <w:t>I.</w:t>
      </w:r>
      <w:r w:rsidRPr="00707CD9">
        <w:rPr>
          <w:rFonts w:ascii="Palatino Linotype" w:eastAsia="Palatino Linotype" w:hAnsi="Palatino Linotype" w:cs="Palatino Linotype"/>
          <w:i/>
          <w:lang w:eastAsia="es-MX"/>
        </w:rPr>
        <w:t xml:space="preserve"> Analizará el caso y tomará las medidas necesarias para localizar la información;</w:t>
      </w:r>
    </w:p>
    <w:p w:rsidR="00C24066" w:rsidRPr="00707CD9" w:rsidRDefault="00C24066" w:rsidP="00C80BEC">
      <w:pPr>
        <w:spacing w:line="240" w:lineRule="auto"/>
        <w:ind w:left="850" w:right="901"/>
        <w:jc w:val="both"/>
        <w:rPr>
          <w:rFonts w:ascii="Palatino Linotype" w:eastAsia="Palatino Linotype" w:hAnsi="Palatino Linotype" w:cs="Palatino Linotype"/>
          <w:i/>
          <w:lang w:eastAsia="es-MX"/>
        </w:rPr>
      </w:pPr>
      <w:r w:rsidRPr="00707CD9">
        <w:rPr>
          <w:rFonts w:ascii="Palatino Linotype" w:eastAsia="Palatino Linotype" w:hAnsi="Palatino Linotype" w:cs="Palatino Linotype"/>
          <w:b/>
          <w:i/>
          <w:lang w:eastAsia="es-MX"/>
        </w:rPr>
        <w:t>II.</w:t>
      </w:r>
      <w:r w:rsidRPr="00707CD9">
        <w:rPr>
          <w:rFonts w:ascii="Palatino Linotype" w:eastAsia="Palatino Linotype" w:hAnsi="Palatino Linotype" w:cs="Palatino Linotype"/>
          <w:i/>
          <w:lang w:eastAsia="es-MX"/>
        </w:rPr>
        <w:t xml:space="preserve"> </w:t>
      </w:r>
      <w:r w:rsidRPr="00707CD9">
        <w:rPr>
          <w:rFonts w:ascii="Palatino Linotype" w:eastAsia="Palatino Linotype" w:hAnsi="Palatino Linotype" w:cs="Palatino Linotype"/>
          <w:b/>
          <w:i/>
          <w:u w:val="single"/>
          <w:lang w:eastAsia="es-MX"/>
        </w:rPr>
        <w:t>Expedirá una resolución que confirme la inexistencia del documento</w:t>
      </w:r>
      <w:r w:rsidRPr="00707CD9">
        <w:rPr>
          <w:rFonts w:ascii="Palatino Linotype" w:eastAsia="Palatino Linotype" w:hAnsi="Palatino Linotype" w:cs="Palatino Linotype"/>
          <w:i/>
          <w:lang w:eastAsia="es-MX"/>
        </w:rPr>
        <w:t>;</w:t>
      </w:r>
    </w:p>
    <w:p w:rsidR="00C24066" w:rsidRPr="00707CD9" w:rsidRDefault="00C24066" w:rsidP="00C80BEC">
      <w:pPr>
        <w:spacing w:line="240" w:lineRule="auto"/>
        <w:ind w:left="850" w:right="901"/>
        <w:jc w:val="both"/>
        <w:rPr>
          <w:rFonts w:ascii="Palatino Linotype" w:eastAsia="Palatino Linotype" w:hAnsi="Palatino Linotype" w:cs="Palatino Linotype"/>
          <w:i/>
          <w:lang w:eastAsia="es-MX"/>
        </w:rPr>
      </w:pPr>
      <w:r w:rsidRPr="00707CD9">
        <w:rPr>
          <w:rFonts w:ascii="Palatino Linotype" w:eastAsia="Palatino Linotype" w:hAnsi="Palatino Linotype" w:cs="Palatino Linotype"/>
          <w:b/>
          <w:i/>
          <w:lang w:eastAsia="es-MX"/>
        </w:rPr>
        <w:t>III.</w:t>
      </w:r>
      <w:r w:rsidRPr="00707CD9">
        <w:rPr>
          <w:rFonts w:ascii="Palatino Linotype" w:eastAsia="Palatino Linotype" w:hAnsi="Palatino Linotype" w:cs="Palatino Linotype"/>
          <w:i/>
          <w:lang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C24066" w:rsidRPr="00707CD9" w:rsidRDefault="00C24066" w:rsidP="00352B30">
      <w:pPr>
        <w:spacing w:line="240" w:lineRule="auto"/>
        <w:ind w:left="850" w:right="901"/>
        <w:jc w:val="both"/>
        <w:rPr>
          <w:rFonts w:ascii="Palatino Linotype" w:eastAsia="Palatino Linotype" w:hAnsi="Palatino Linotype" w:cs="Palatino Linotype"/>
          <w:i/>
          <w:lang w:eastAsia="es-MX"/>
        </w:rPr>
      </w:pPr>
      <w:r w:rsidRPr="00707CD9">
        <w:rPr>
          <w:rFonts w:ascii="Palatino Linotype" w:eastAsia="Palatino Linotype" w:hAnsi="Palatino Linotype" w:cs="Palatino Linotype"/>
          <w:b/>
          <w:i/>
          <w:lang w:eastAsia="es-MX"/>
        </w:rPr>
        <w:t>IV.</w:t>
      </w:r>
      <w:r w:rsidRPr="00707CD9">
        <w:rPr>
          <w:rFonts w:ascii="Palatino Linotype" w:eastAsia="Palatino Linotype" w:hAnsi="Palatino Linotype" w:cs="Palatino Linotype"/>
          <w:i/>
          <w:lang w:eastAsia="es-MX"/>
        </w:rPr>
        <w:t xml:space="preserve"> Notificará al órgano interno de control o equivalente del sujeto obligado quien, en su caso, deberá iniciar el procedimiento de responsabilidad </w:t>
      </w:r>
      <w:r w:rsidR="00352B30" w:rsidRPr="00707CD9">
        <w:rPr>
          <w:rFonts w:ascii="Palatino Linotype" w:eastAsia="Palatino Linotype" w:hAnsi="Palatino Linotype" w:cs="Palatino Linotype"/>
          <w:i/>
          <w:lang w:eastAsia="es-MX"/>
        </w:rPr>
        <w:t>administrativa que corresponda.</w:t>
      </w:r>
    </w:p>
    <w:p w:rsidR="00352B30" w:rsidRPr="00707CD9" w:rsidRDefault="00352B30" w:rsidP="00352B30">
      <w:pPr>
        <w:spacing w:line="240" w:lineRule="auto"/>
        <w:ind w:left="850" w:right="901"/>
        <w:jc w:val="both"/>
        <w:rPr>
          <w:rFonts w:ascii="Palatino Linotype" w:eastAsia="Palatino Linotype" w:hAnsi="Palatino Linotype" w:cs="Palatino Linotype"/>
          <w:i/>
          <w:sz w:val="12"/>
          <w:lang w:eastAsia="es-MX"/>
        </w:rPr>
      </w:pPr>
    </w:p>
    <w:p w:rsidR="00BF1FF2" w:rsidRPr="00707CD9" w:rsidRDefault="002C3000" w:rsidP="00C24066">
      <w:pPr>
        <w:spacing w:after="0" w:line="360" w:lineRule="auto"/>
        <w:contextualSpacing/>
        <w:jc w:val="both"/>
        <w:rPr>
          <w:rFonts w:ascii="Palatino Linotype" w:eastAsiaTheme="minorEastAsia" w:hAnsi="Palatino Linotype"/>
          <w:sz w:val="24"/>
          <w:szCs w:val="24"/>
          <w:lang w:val="es-ES_tradnl" w:eastAsia="es-ES"/>
        </w:rPr>
      </w:pPr>
      <w:r w:rsidRPr="00707CD9">
        <w:rPr>
          <w:rFonts w:ascii="Palatino Linotype" w:eastAsiaTheme="minorEastAsia" w:hAnsi="Palatino Linotype"/>
          <w:sz w:val="24"/>
          <w:szCs w:val="24"/>
          <w:lang w:val="es-ES_tradnl" w:eastAsia="es-ES"/>
        </w:rPr>
        <w:t xml:space="preserve">Por otra parte,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w:t>
      </w:r>
      <w:r w:rsidRPr="00707CD9">
        <w:rPr>
          <w:rFonts w:ascii="Palatino Linotype" w:eastAsiaTheme="minorEastAsia" w:hAnsi="Palatino Linotype"/>
          <w:sz w:val="24"/>
          <w:szCs w:val="24"/>
          <w:lang w:val="es-ES_tradnl" w:eastAsia="es-ES"/>
        </w:rPr>
        <w:lastRenderedPageBreak/>
        <w:t>de manera genérica y fundando y motivando su clasificación, de conformidad con lo siguiente:</w:t>
      </w:r>
    </w:p>
    <w:p w:rsidR="002C3000" w:rsidRPr="00707CD9" w:rsidRDefault="002C3000" w:rsidP="00C24066">
      <w:pPr>
        <w:spacing w:after="0" w:line="360" w:lineRule="auto"/>
        <w:contextualSpacing/>
        <w:jc w:val="both"/>
        <w:rPr>
          <w:rFonts w:ascii="Palatino Linotype" w:eastAsiaTheme="minorEastAsia" w:hAnsi="Palatino Linotype"/>
          <w:sz w:val="24"/>
          <w:szCs w:val="24"/>
          <w:lang w:val="es-ES_tradnl" w:eastAsia="es-ES"/>
        </w:rPr>
      </w:pPr>
    </w:p>
    <w:p w:rsidR="00BF1FF2" w:rsidRPr="00707CD9" w:rsidRDefault="00BF1FF2" w:rsidP="00BF1FF2">
      <w:pPr>
        <w:numPr>
          <w:ilvl w:val="0"/>
          <w:numId w:val="26"/>
        </w:numPr>
        <w:spacing w:after="0" w:line="360" w:lineRule="auto"/>
        <w:jc w:val="both"/>
        <w:rPr>
          <w:rFonts w:ascii="Palatino Linotype" w:eastAsia="Times New Roman" w:hAnsi="Palatino Linotype" w:cs="Arial"/>
          <w:b/>
          <w:i/>
          <w:sz w:val="26"/>
          <w:szCs w:val="26"/>
          <w:lang w:val="es-ES" w:eastAsia="es-ES"/>
        </w:rPr>
      </w:pPr>
      <w:r w:rsidRPr="00707CD9">
        <w:rPr>
          <w:rFonts w:ascii="Palatino Linotype" w:eastAsia="Times New Roman" w:hAnsi="Palatino Linotype" w:cs="Arial"/>
          <w:b/>
          <w:i/>
          <w:sz w:val="26"/>
          <w:szCs w:val="26"/>
          <w:lang w:val="es-ES" w:eastAsia="es-ES"/>
        </w:rPr>
        <w:t>DE LA VERSIÓN PÚBLICA.</w:t>
      </w: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Artículo 3.</w:t>
      </w:r>
      <w:r w:rsidRPr="00707CD9">
        <w:rPr>
          <w:rFonts w:ascii="Palatino Linotype" w:eastAsia="Times New Roman" w:hAnsi="Palatino Linotype" w:cs="Arial"/>
          <w:i/>
          <w:szCs w:val="24"/>
          <w:lang w:val="es-ES" w:eastAsia="es-ES"/>
        </w:rPr>
        <w:t xml:space="preserve"> Para los efectos de la presente Ley se entenderá por:</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IX. Datos personales:</w:t>
      </w:r>
      <w:r w:rsidRPr="00707CD9">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XX.</w:t>
      </w:r>
      <w:r w:rsidRPr="00707CD9">
        <w:rPr>
          <w:rFonts w:ascii="Palatino Linotype" w:eastAsia="Times New Roman" w:hAnsi="Palatino Linotype" w:cs="Arial"/>
          <w:i/>
          <w:szCs w:val="24"/>
          <w:lang w:val="es-ES" w:eastAsia="es-ES"/>
        </w:rPr>
        <w:t xml:space="preserve"> </w:t>
      </w:r>
      <w:r w:rsidRPr="00707CD9">
        <w:rPr>
          <w:rFonts w:ascii="Palatino Linotype" w:eastAsia="Times New Roman" w:hAnsi="Palatino Linotype" w:cs="Arial"/>
          <w:b/>
          <w:i/>
          <w:szCs w:val="24"/>
          <w:lang w:val="es-ES" w:eastAsia="es-ES"/>
        </w:rPr>
        <w:t>Información clasificada:</w:t>
      </w:r>
      <w:r w:rsidRPr="00707CD9">
        <w:rPr>
          <w:rFonts w:ascii="Palatino Linotype" w:eastAsia="Times New Roman" w:hAnsi="Palatino Linotype" w:cs="Arial"/>
          <w:i/>
          <w:szCs w:val="24"/>
          <w:lang w:val="es-ES" w:eastAsia="es-ES"/>
        </w:rPr>
        <w:t xml:space="preserve"> Aquella considerada por la presente Ley como reservada o confidencial;</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XXI.</w:t>
      </w:r>
      <w:r w:rsidRPr="00707CD9">
        <w:rPr>
          <w:rFonts w:ascii="Palatino Linotype" w:eastAsia="Times New Roman" w:hAnsi="Palatino Linotype" w:cs="Arial"/>
          <w:i/>
          <w:szCs w:val="24"/>
          <w:lang w:val="es-ES" w:eastAsia="es-ES"/>
        </w:rPr>
        <w:t xml:space="preserve"> </w:t>
      </w:r>
      <w:r w:rsidRPr="00707CD9">
        <w:rPr>
          <w:rFonts w:ascii="Palatino Linotype" w:eastAsia="Times New Roman" w:hAnsi="Palatino Linotype" w:cs="Arial"/>
          <w:b/>
          <w:i/>
          <w:szCs w:val="24"/>
          <w:lang w:val="es-ES" w:eastAsia="es-ES"/>
        </w:rPr>
        <w:t>Información confidencial:</w:t>
      </w:r>
      <w:r w:rsidRPr="00707CD9">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XLV.</w:t>
      </w:r>
      <w:r w:rsidRPr="00707CD9">
        <w:rPr>
          <w:rFonts w:ascii="Palatino Linotype" w:eastAsia="Times New Roman" w:hAnsi="Palatino Linotype" w:cs="Arial"/>
          <w:i/>
          <w:szCs w:val="24"/>
          <w:lang w:val="es-ES" w:eastAsia="es-ES"/>
        </w:rPr>
        <w:t xml:space="preserve"> </w:t>
      </w:r>
      <w:r w:rsidRPr="00707CD9">
        <w:rPr>
          <w:rFonts w:ascii="Palatino Linotype" w:eastAsia="Times New Roman" w:hAnsi="Palatino Linotype" w:cs="Arial"/>
          <w:b/>
          <w:i/>
          <w:szCs w:val="24"/>
          <w:lang w:val="es-ES" w:eastAsia="es-ES"/>
        </w:rPr>
        <w:t>Versión pública:</w:t>
      </w:r>
      <w:r w:rsidRPr="00707CD9">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 xml:space="preserve">Artículo 91. </w:t>
      </w:r>
      <w:r w:rsidRPr="00707CD9">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Artículo 132.</w:t>
      </w:r>
      <w:r w:rsidRPr="00707CD9">
        <w:rPr>
          <w:rFonts w:ascii="Palatino Linotype" w:eastAsia="Times New Roman" w:hAnsi="Palatino Linotype" w:cs="Arial"/>
          <w:i/>
          <w:szCs w:val="24"/>
          <w:lang w:val="es-ES" w:eastAsia="es-ES"/>
        </w:rPr>
        <w:t xml:space="preserve"> </w:t>
      </w:r>
      <w:r w:rsidRPr="00707CD9">
        <w:rPr>
          <w:rFonts w:ascii="Palatino Linotype" w:eastAsia="Times New Roman" w:hAnsi="Palatino Linotype" w:cs="Arial"/>
          <w:i/>
          <w:szCs w:val="24"/>
          <w:u w:val="single"/>
          <w:lang w:val="es-ES" w:eastAsia="es-ES"/>
        </w:rPr>
        <w:t>La clasificación de la información se llevará a cabo en el momento en que</w:t>
      </w:r>
      <w:r w:rsidRPr="00707CD9">
        <w:rPr>
          <w:rFonts w:ascii="Palatino Linotype" w:eastAsia="Times New Roman" w:hAnsi="Palatino Linotype" w:cs="Arial"/>
          <w:i/>
          <w:szCs w:val="24"/>
          <w:lang w:val="es-ES" w:eastAsia="es-ES"/>
        </w:rPr>
        <w:t>:</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I.</w:t>
      </w:r>
      <w:r w:rsidRPr="00707CD9">
        <w:rPr>
          <w:rFonts w:ascii="Palatino Linotype" w:eastAsia="Times New Roman" w:hAnsi="Palatino Linotype" w:cs="Arial"/>
          <w:i/>
          <w:szCs w:val="24"/>
          <w:lang w:val="es-ES" w:eastAsia="es-ES"/>
        </w:rPr>
        <w:t xml:space="preserve"> Se reciba una solicitud de acceso a la información;</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II.</w:t>
      </w:r>
      <w:r w:rsidRPr="00707CD9">
        <w:rPr>
          <w:rFonts w:ascii="Palatino Linotype" w:eastAsia="Times New Roman" w:hAnsi="Palatino Linotype" w:cs="Arial"/>
          <w:i/>
          <w:szCs w:val="24"/>
          <w:lang w:val="es-ES" w:eastAsia="es-ES"/>
        </w:rPr>
        <w:t xml:space="preserve"> </w:t>
      </w:r>
      <w:r w:rsidRPr="00707CD9">
        <w:rPr>
          <w:rFonts w:ascii="Palatino Linotype" w:eastAsia="Times New Roman" w:hAnsi="Palatino Linotype" w:cs="Arial"/>
          <w:i/>
          <w:szCs w:val="24"/>
          <w:u w:val="single"/>
          <w:lang w:val="es-ES" w:eastAsia="es-ES"/>
        </w:rPr>
        <w:t>Se determine mediante resolución de autoridad competente; o</w:t>
      </w:r>
    </w:p>
    <w:p w:rsidR="00BF1FF2" w:rsidRPr="00707CD9" w:rsidRDefault="00BF1FF2" w:rsidP="00BF1FF2">
      <w:pPr>
        <w:spacing w:after="0" w:line="240" w:lineRule="auto"/>
        <w:ind w:left="567" w:right="567"/>
        <w:jc w:val="both"/>
        <w:rPr>
          <w:rFonts w:ascii="Palatino Linotype" w:eastAsia="Times New Roman" w:hAnsi="Palatino Linotype" w:cs="Arial"/>
          <w:i/>
          <w:szCs w:val="24"/>
          <w:u w:val="single"/>
          <w:lang w:val="es-ES" w:eastAsia="es-ES"/>
        </w:rPr>
      </w:pPr>
      <w:r w:rsidRPr="00707CD9">
        <w:rPr>
          <w:rFonts w:ascii="Palatino Linotype" w:eastAsia="Times New Roman" w:hAnsi="Palatino Linotype" w:cs="Arial"/>
          <w:b/>
          <w:i/>
          <w:szCs w:val="24"/>
          <w:lang w:val="es-ES" w:eastAsia="es-ES"/>
        </w:rPr>
        <w:t>III.</w:t>
      </w:r>
      <w:r w:rsidRPr="00707CD9">
        <w:rPr>
          <w:rFonts w:ascii="Palatino Linotype" w:eastAsia="Times New Roman" w:hAnsi="Palatino Linotype" w:cs="Arial"/>
          <w:i/>
          <w:szCs w:val="24"/>
          <w:lang w:val="es-ES" w:eastAsia="es-ES"/>
        </w:rPr>
        <w:t xml:space="preserve"> </w:t>
      </w:r>
      <w:r w:rsidRPr="00707CD9">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w:t>
      </w: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 xml:space="preserve">Por otro lado, los </w:t>
      </w:r>
      <w:r w:rsidRPr="00707CD9">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707CD9">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rsidR="00BF1FF2" w:rsidRPr="00707CD9" w:rsidRDefault="00BF1FF2" w:rsidP="00BF1FF2">
      <w:pPr>
        <w:spacing w:after="0" w:line="240" w:lineRule="auto"/>
        <w:rPr>
          <w:rFonts w:ascii="Times New Roman" w:eastAsia="Times New Roman" w:hAnsi="Times New Roman" w:cs="Times New Roman"/>
          <w:sz w:val="24"/>
          <w:szCs w:val="24"/>
          <w:lang w:eastAsia="es-ES"/>
        </w:rPr>
      </w:pP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Quincuagésimo sexto.</w:t>
      </w:r>
      <w:r w:rsidRPr="00707CD9">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Quincuagésimo séptimo.</w:t>
      </w:r>
      <w:r w:rsidRPr="00707CD9">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 xml:space="preserve"> </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p>
    <w:p w:rsidR="00BF1FF2" w:rsidRPr="00707CD9" w:rsidRDefault="00BF1FF2" w:rsidP="00BF1FF2">
      <w:pPr>
        <w:spacing w:after="0" w:line="240" w:lineRule="auto"/>
        <w:ind w:left="567" w:right="567"/>
        <w:jc w:val="both"/>
        <w:rPr>
          <w:rFonts w:ascii="Palatino Linotype" w:eastAsia="Times New Roman" w:hAnsi="Palatino Linotype" w:cs="Arial"/>
          <w:i/>
          <w:szCs w:val="24"/>
          <w:lang w:val="es-ES" w:eastAsia="es-ES"/>
        </w:rPr>
      </w:pPr>
      <w:r w:rsidRPr="00707CD9">
        <w:rPr>
          <w:rFonts w:ascii="Palatino Linotype" w:eastAsia="Times New Roman" w:hAnsi="Palatino Linotype" w:cs="Arial"/>
          <w:b/>
          <w:i/>
          <w:szCs w:val="24"/>
          <w:lang w:val="es-ES" w:eastAsia="es-ES"/>
        </w:rPr>
        <w:t>Quincuagésimo octavo.</w:t>
      </w:r>
      <w:r w:rsidRPr="00707CD9">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rsidR="00BF1FF2" w:rsidRPr="00707CD9" w:rsidRDefault="00BF1FF2" w:rsidP="00BF1FF2">
      <w:pPr>
        <w:spacing w:after="0" w:line="360" w:lineRule="auto"/>
        <w:jc w:val="both"/>
        <w:rPr>
          <w:rFonts w:ascii="Palatino Linotype" w:eastAsia="Times New Roman" w:hAnsi="Palatino Linotype" w:cs="Arial"/>
          <w:i/>
          <w:sz w:val="24"/>
          <w:szCs w:val="24"/>
          <w:lang w:val="es-ES" w:eastAsia="es-ES"/>
        </w:rPr>
      </w:pP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07CD9">
        <w:rPr>
          <w:rFonts w:ascii="Palatino Linotype" w:eastAsia="Times New Roman" w:hAnsi="Palatino Linotype" w:cs="Arial"/>
          <w:b/>
          <w:sz w:val="24"/>
          <w:szCs w:val="24"/>
          <w:lang w:val="es-ES" w:eastAsia="es-ES"/>
        </w:rPr>
        <w:t>Sujeto Obligado</w:t>
      </w:r>
      <w:r w:rsidRPr="00707CD9">
        <w:rPr>
          <w:rFonts w:ascii="Palatino Linotype" w:eastAsia="Times New Roman" w:hAnsi="Palatino Linotype" w:cs="Arial"/>
          <w:sz w:val="24"/>
          <w:szCs w:val="24"/>
          <w:lang w:val="es-ES" w:eastAsia="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p>
    <w:p w:rsidR="00BF1FF2" w:rsidRPr="00707CD9" w:rsidRDefault="00BF1FF2" w:rsidP="00BF1FF2">
      <w:pPr>
        <w:spacing w:after="0" w:line="360" w:lineRule="auto"/>
        <w:jc w:val="both"/>
        <w:rPr>
          <w:rFonts w:ascii="Palatino Linotype" w:eastAsia="Times New Roman" w:hAnsi="Palatino Linotype" w:cs="Arial"/>
          <w:sz w:val="24"/>
          <w:szCs w:val="24"/>
          <w:lang w:val="es-ES" w:eastAsia="es-ES"/>
        </w:rPr>
      </w:pPr>
      <w:r w:rsidRPr="00707CD9">
        <w:rPr>
          <w:rFonts w:ascii="Palatino Linotype" w:eastAsia="Times New Roman" w:hAnsi="Palatino Linotype" w:cs="Arial"/>
          <w:sz w:val="24"/>
          <w:szCs w:val="24"/>
          <w:lang w:val="es-ES" w:eastAsia="es-ES"/>
        </w:rPr>
        <w:t xml:space="preserve">Por lo que respecta al Acuerdo del Comité de Transparencia que la sustente la versión pública, de la documentación a entregar, deberá ser notificado mediante el </w:t>
      </w:r>
      <w:r w:rsidRPr="00707CD9">
        <w:rPr>
          <w:rFonts w:ascii="Palatino Linotype" w:eastAsia="Times New Roman" w:hAnsi="Palatino Linotype" w:cs="Arial"/>
          <w:b/>
          <w:sz w:val="24"/>
          <w:szCs w:val="24"/>
          <w:lang w:val="es-ES" w:eastAsia="es-ES"/>
        </w:rPr>
        <w:t>SAIMEX</w:t>
      </w:r>
      <w:r w:rsidRPr="00707CD9">
        <w:rPr>
          <w:rFonts w:ascii="Palatino Linotype" w:eastAsia="Times New Roman" w:hAnsi="Palatino Linotype" w:cs="Arial"/>
          <w:sz w:val="24"/>
          <w:szCs w:val="24"/>
          <w:lang w:val="es-ES" w:eastAsia="es-ES"/>
        </w:rPr>
        <w:t>.</w:t>
      </w:r>
    </w:p>
    <w:p w:rsidR="00F3477C" w:rsidRPr="00707CD9" w:rsidRDefault="00F3477C" w:rsidP="00C24066">
      <w:pPr>
        <w:spacing w:after="0" w:line="360" w:lineRule="auto"/>
        <w:jc w:val="both"/>
        <w:rPr>
          <w:rFonts w:ascii="Palatino Linotype" w:eastAsia="Times New Roman" w:hAnsi="Palatino Linotype" w:cs="Arial"/>
          <w:bCs/>
          <w:sz w:val="24"/>
          <w:szCs w:val="24"/>
          <w:lang w:eastAsia="es-ES"/>
        </w:rPr>
      </w:pPr>
    </w:p>
    <w:p w:rsidR="00352B30" w:rsidRPr="00707CD9" w:rsidRDefault="00BF1FF2" w:rsidP="00C24066">
      <w:pPr>
        <w:spacing w:after="0" w:line="360" w:lineRule="auto"/>
        <w:jc w:val="both"/>
        <w:rPr>
          <w:rFonts w:ascii="Palatino Linotype" w:eastAsia="Times New Roman" w:hAnsi="Palatino Linotype" w:cs="Times New Roman"/>
          <w:sz w:val="24"/>
          <w:szCs w:val="24"/>
          <w:lang w:eastAsia="es-ES"/>
        </w:rPr>
      </w:pPr>
      <w:r w:rsidRPr="00707CD9">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707CD9">
        <w:rPr>
          <w:rFonts w:ascii="Palatino Linotype" w:eastAsia="Times New Roman" w:hAnsi="Palatino Linotype" w:cs="Arial"/>
          <w:sz w:val="24"/>
          <w:szCs w:val="24"/>
          <w:lang w:eastAsia="es-ES"/>
        </w:rPr>
        <w:t xml:space="preserve">de la Ley de Transparencia y Acceso a la Información Pública del Estado de </w:t>
      </w:r>
      <w:r w:rsidRPr="00707CD9">
        <w:rPr>
          <w:rFonts w:ascii="Palatino Linotype" w:eastAsia="Times New Roman" w:hAnsi="Palatino Linotype" w:cs="Arial"/>
          <w:sz w:val="24"/>
          <w:szCs w:val="24"/>
          <w:lang w:eastAsia="es-ES"/>
        </w:rPr>
        <w:lastRenderedPageBreak/>
        <w:t xml:space="preserve">México y Municipios, </w:t>
      </w:r>
      <w:r w:rsidRPr="00707CD9">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707CD9">
        <w:rPr>
          <w:rFonts w:ascii="Palatino Linotype" w:eastAsia="Times New Roman" w:hAnsi="Palatino Linotype" w:cs="Arial"/>
          <w:b/>
          <w:bCs/>
          <w:sz w:val="24"/>
          <w:szCs w:val="24"/>
          <w:lang w:eastAsia="es-ES"/>
        </w:rPr>
        <w:t>Recurrente</w:t>
      </w:r>
      <w:r w:rsidRPr="00707CD9">
        <w:rPr>
          <w:rFonts w:ascii="Palatino Linotype" w:eastAsia="Times New Roman" w:hAnsi="Palatino Linotype" w:cs="Arial"/>
          <w:bCs/>
          <w:sz w:val="24"/>
          <w:szCs w:val="24"/>
          <w:lang w:eastAsia="es-ES"/>
        </w:rPr>
        <w:t>.</w:t>
      </w:r>
    </w:p>
    <w:p w:rsidR="00F3477C" w:rsidRPr="00707CD9" w:rsidRDefault="00F3477C" w:rsidP="004121F3">
      <w:pPr>
        <w:spacing w:after="0" w:line="360" w:lineRule="auto"/>
        <w:contextualSpacing/>
        <w:jc w:val="both"/>
        <w:rPr>
          <w:rFonts w:ascii="Palatino Linotype" w:hAnsi="Palatino Linotype" w:cs="Arial"/>
          <w:sz w:val="24"/>
          <w:szCs w:val="24"/>
          <w:lang w:eastAsia="es-MX"/>
        </w:rPr>
      </w:pPr>
    </w:p>
    <w:p w:rsidR="00285DF8" w:rsidRPr="00707CD9" w:rsidRDefault="004121F3" w:rsidP="004121F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r w:rsidRPr="00707CD9">
        <w:rPr>
          <w:rFonts w:ascii="Palatino Linotype" w:hAnsi="Palatino Linotype" w:cs="Arial"/>
          <w:sz w:val="24"/>
          <w:szCs w:val="24"/>
          <w:lang w:eastAsia="es-MX"/>
        </w:rPr>
        <w:t>Final</w:t>
      </w:r>
      <w:r w:rsidRPr="00707CD9">
        <w:rPr>
          <w:rFonts w:ascii="Palatino Linotype" w:hAnsi="Palatino Linotype"/>
          <w:sz w:val="24"/>
          <w:szCs w:val="24"/>
        </w:rPr>
        <w:t>mente y en mérito de lo expuesto</w:t>
      </w:r>
      <w:r w:rsidR="002C3000" w:rsidRPr="00707CD9">
        <w:rPr>
          <w:rFonts w:ascii="Palatino Linotype" w:hAnsi="Palatino Linotype"/>
          <w:sz w:val="24"/>
          <w:szCs w:val="24"/>
        </w:rPr>
        <w:t xml:space="preserve"> en líneas anteriores, resultan </w:t>
      </w:r>
      <w:r w:rsidRPr="00707CD9">
        <w:rPr>
          <w:rFonts w:ascii="Palatino Linotype" w:hAnsi="Palatino Linotype"/>
          <w:sz w:val="24"/>
          <w:szCs w:val="24"/>
        </w:rPr>
        <w:t xml:space="preserve">fundados los motivos de inconformidad vertidos por </w:t>
      </w:r>
      <w:r w:rsidR="002C3000" w:rsidRPr="00707CD9">
        <w:rPr>
          <w:rFonts w:ascii="Palatino Linotype" w:hAnsi="Palatino Linotype"/>
          <w:b/>
          <w:sz w:val="24"/>
          <w:szCs w:val="24"/>
        </w:rPr>
        <w:t>La</w:t>
      </w:r>
      <w:r w:rsidRPr="00707CD9">
        <w:rPr>
          <w:rFonts w:ascii="Palatino Linotype" w:hAnsi="Palatino Linotype"/>
          <w:b/>
          <w:sz w:val="24"/>
          <w:szCs w:val="24"/>
        </w:rPr>
        <w:t xml:space="preserve"> Recurrente</w:t>
      </w:r>
      <w:r w:rsidRPr="00707CD9">
        <w:rPr>
          <w:rFonts w:ascii="Palatino Linotype" w:hAnsi="Palatino Linotype"/>
          <w:sz w:val="24"/>
          <w:szCs w:val="24"/>
        </w:rPr>
        <w:t xml:space="preserve">, por ello con fundamento en la </w:t>
      </w:r>
      <w:r w:rsidRPr="00707CD9">
        <w:rPr>
          <w:rFonts w:ascii="Palatino Linotype" w:hAnsi="Palatino Linotype"/>
          <w:i/>
          <w:sz w:val="24"/>
          <w:szCs w:val="24"/>
        </w:rPr>
        <w:t>segunda hipótesis</w:t>
      </w:r>
      <w:r w:rsidRPr="00707CD9">
        <w:rPr>
          <w:rFonts w:ascii="Palatino Linotype" w:hAnsi="Palatino Linotype"/>
          <w:sz w:val="24"/>
          <w:szCs w:val="24"/>
        </w:rPr>
        <w:t xml:space="preserve"> del artículo 186, fracción III, de la Ley de Transparencia y Acceso a la Información Pública del Estado de México y Municipios, se </w:t>
      </w:r>
      <w:r w:rsidRPr="00707CD9">
        <w:rPr>
          <w:rFonts w:ascii="Palatino Linotype" w:hAnsi="Palatino Linotype"/>
          <w:b/>
          <w:sz w:val="24"/>
          <w:szCs w:val="24"/>
        </w:rPr>
        <w:t xml:space="preserve">MODIFICA </w:t>
      </w:r>
      <w:r w:rsidRPr="00707CD9">
        <w:rPr>
          <w:rFonts w:ascii="Palatino Linotype" w:hAnsi="Palatino Linotype"/>
          <w:sz w:val="24"/>
          <w:szCs w:val="24"/>
        </w:rPr>
        <w:t xml:space="preserve">la respuesta a la solicitud de información </w:t>
      </w:r>
      <w:r w:rsidR="002C3000" w:rsidRPr="00707CD9">
        <w:rPr>
          <w:rFonts w:ascii="Palatino Linotype" w:hAnsi="Palatino Linotype" w:cs="Arial"/>
          <w:b/>
          <w:sz w:val="24"/>
          <w:szCs w:val="24"/>
        </w:rPr>
        <w:t>00392/CUAUTIZC/IP/2022</w:t>
      </w:r>
      <w:r w:rsidRPr="00707CD9">
        <w:rPr>
          <w:rFonts w:ascii="Palatino Linotype" w:hAnsi="Palatino Linotype" w:cs="Arial"/>
          <w:sz w:val="24"/>
          <w:szCs w:val="24"/>
        </w:rPr>
        <w:t xml:space="preserve">, </w:t>
      </w:r>
      <w:r w:rsidRPr="00707CD9">
        <w:rPr>
          <w:rFonts w:ascii="Palatino Linotype" w:hAnsi="Palatino Linotype"/>
          <w:sz w:val="24"/>
          <w:szCs w:val="24"/>
        </w:rPr>
        <w:t>que ha sido materia del presente fallo.</w:t>
      </w:r>
    </w:p>
    <w:p w:rsidR="002C3000" w:rsidRPr="00707CD9" w:rsidRDefault="002C3000" w:rsidP="004121F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121F3" w:rsidRPr="00707CD9" w:rsidRDefault="004121F3" w:rsidP="004121F3">
      <w:pPr>
        <w:spacing w:after="0" w:line="360" w:lineRule="auto"/>
        <w:jc w:val="both"/>
        <w:rPr>
          <w:rFonts w:ascii="Palatino Linotype" w:hAnsi="Palatino Linotype"/>
          <w:sz w:val="24"/>
          <w:szCs w:val="24"/>
        </w:rPr>
      </w:pPr>
      <w:r w:rsidRPr="00707CD9">
        <w:rPr>
          <w:rFonts w:ascii="Palatino Linotype" w:hAnsi="Palatino Linotype"/>
          <w:sz w:val="24"/>
          <w:szCs w:val="24"/>
        </w:rPr>
        <w:t xml:space="preserve">Por lo antes expuesto y fundado. </w:t>
      </w:r>
    </w:p>
    <w:p w:rsidR="002C3000" w:rsidRPr="00707CD9" w:rsidRDefault="002C3000" w:rsidP="004121F3">
      <w:pPr>
        <w:spacing w:after="0" w:line="360" w:lineRule="auto"/>
        <w:jc w:val="both"/>
        <w:rPr>
          <w:rFonts w:ascii="Palatino Linotype" w:hAnsi="Palatino Linotype"/>
          <w:sz w:val="24"/>
          <w:szCs w:val="24"/>
        </w:rPr>
      </w:pPr>
    </w:p>
    <w:p w:rsidR="004121F3" w:rsidRPr="00707CD9" w:rsidRDefault="004121F3" w:rsidP="002C3000">
      <w:pPr>
        <w:spacing w:after="0" w:line="360" w:lineRule="auto"/>
        <w:jc w:val="center"/>
        <w:rPr>
          <w:rFonts w:ascii="Palatino Linotype" w:eastAsia="Times New Roman" w:hAnsi="Palatino Linotype"/>
          <w:b/>
          <w:bCs/>
          <w:spacing w:val="60"/>
          <w:sz w:val="28"/>
          <w:szCs w:val="24"/>
          <w:lang w:val="es-ES_tradnl"/>
        </w:rPr>
      </w:pPr>
      <w:r w:rsidRPr="00707CD9">
        <w:rPr>
          <w:rFonts w:ascii="Palatino Linotype" w:eastAsia="Times New Roman" w:hAnsi="Palatino Linotype"/>
          <w:b/>
          <w:bCs/>
          <w:spacing w:val="60"/>
          <w:sz w:val="28"/>
          <w:szCs w:val="24"/>
          <w:lang w:val="es-ES_tradnl"/>
        </w:rPr>
        <w:t xml:space="preserve">SE    </w:t>
      </w:r>
      <w:r w:rsidR="002C3000" w:rsidRPr="00707CD9">
        <w:rPr>
          <w:rFonts w:ascii="Palatino Linotype" w:eastAsia="Times New Roman" w:hAnsi="Palatino Linotype"/>
          <w:b/>
          <w:bCs/>
          <w:spacing w:val="60"/>
          <w:sz w:val="28"/>
          <w:szCs w:val="24"/>
          <w:lang w:val="es-ES_tradnl"/>
        </w:rPr>
        <w:t>RESUELVE</w:t>
      </w:r>
    </w:p>
    <w:p w:rsidR="002C3000" w:rsidRPr="00707CD9" w:rsidRDefault="002C3000" w:rsidP="002C3000">
      <w:pPr>
        <w:spacing w:after="0" w:line="360" w:lineRule="auto"/>
        <w:jc w:val="center"/>
        <w:rPr>
          <w:rFonts w:ascii="Palatino Linotype" w:eastAsia="Times New Roman" w:hAnsi="Palatino Linotype"/>
          <w:b/>
          <w:bCs/>
          <w:spacing w:val="60"/>
          <w:sz w:val="24"/>
          <w:szCs w:val="24"/>
          <w:lang w:val="es-ES_tradnl"/>
        </w:rPr>
      </w:pPr>
    </w:p>
    <w:p w:rsidR="004121F3" w:rsidRPr="00707CD9" w:rsidRDefault="004121F3" w:rsidP="004121F3">
      <w:pPr>
        <w:autoSpaceDE w:val="0"/>
        <w:autoSpaceDN w:val="0"/>
        <w:adjustRightInd w:val="0"/>
        <w:spacing w:after="0" w:line="360" w:lineRule="auto"/>
        <w:ind w:right="49"/>
        <w:jc w:val="both"/>
        <w:rPr>
          <w:rFonts w:ascii="Palatino Linotype" w:hAnsi="Palatino Linotype" w:cs="Arial"/>
          <w:sz w:val="24"/>
          <w:szCs w:val="24"/>
        </w:rPr>
      </w:pPr>
      <w:r w:rsidRPr="00707CD9">
        <w:rPr>
          <w:rFonts w:ascii="Palatino Linotype" w:hAnsi="Palatino Linotype" w:cs="Arial"/>
          <w:b/>
          <w:sz w:val="28"/>
          <w:szCs w:val="28"/>
          <w:lang w:val="es-ES_tradnl"/>
        </w:rPr>
        <w:t>PRIMERO.</w:t>
      </w:r>
      <w:r w:rsidRPr="00707CD9">
        <w:rPr>
          <w:rFonts w:ascii="Palatino Linotype" w:hAnsi="Palatino Linotype" w:cs="Arial"/>
          <w:sz w:val="24"/>
          <w:szCs w:val="24"/>
          <w:lang w:val="es-ES_tradnl"/>
        </w:rPr>
        <w:t xml:space="preserve"> </w:t>
      </w:r>
      <w:r w:rsidRPr="00707CD9">
        <w:rPr>
          <w:rFonts w:ascii="Palatino Linotype" w:hAnsi="Palatino Linotype" w:cs="Arial"/>
          <w:sz w:val="24"/>
          <w:szCs w:val="24"/>
        </w:rPr>
        <w:t>Se</w:t>
      </w:r>
      <w:r w:rsidRPr="00707CD9">
        <w:rPr>
          <w:rFonts w:ascii="Palatino Linotype" w:hAnsi="Palatino Linotype" w:cs="Arial"/>
          <w:b/>
          <w:sz w:val="24"/>
          <w:szCs w:val="24"/>
        </w:rPr>
        <w:t xml:space="preserve"> MODIFICA </w:t>
      </w:r>
      <w:r w:rsidRPr="00707CD9">
        <w:rPr>
          <w:rFonts w:ascii="Palatino Linotype" w:eastAsia="Arial Unicode MS" w:hAnsi="Palatino Linotype" w:cs="Arial"/>
          <w:sz w:val="24"/>
          <w:szCs w:val="24"/>
        </w:rPr>
        <w:t xml:space="preserve">la respuesta entregada por </w:t>
      </w:r>
      <w:r w:rsidRPr="00707CD9">
        <w:rPr>
          <w:rFonts w:ascii="Palatino Linotype" w:eastAsia="Arial Unicode MS" w:hAnsi="Palatino Linotype" w:cs="Arial"/>
          <w:b/>
          <w:sz w:val="24"/>
          <w:szCs w:val="24"/>
        </w:rPr>
        <w:t xml:space="preserve">El Sujeto Obligado </w:t>
      </w:r>
      <w:r w:rsidRPr="00707CD9">
        <w:rPr>
          <w:rFonts w:ascii="Palatino Linotype" w:eastAsia="Arial Unicode MS" w:hAnsi="Palatino Linotype" w:cs="Arial"/>
          <w:sz w:val="24"/>
          <w:szCs w:val="24"/>
        </w:rPr>
        <w:t xml:space="preserve">a la solicitud de información número </w:t>
      </w:r>
      <w:r w:rsidR="002C3000" w:rsidRPr="00707CD9">
        <w:rPr>
          <w:rFonts w:ascii="Palatino Linotype" w:hAnsi="Palatino Linotype" w:cs="Arial"/>
          <w:b/>
          <w:sz w:val="24"/>
          <w:szCs w:val="24"/>
        </w:rPr>
        <w:t>00392/CUAUTIZC/IP/2022</w:t>
      </w:r>
      <w:r w:rsidRPr="00707CD9">
        <w:rPr>
          <w:rFonts w:ascii="Palatino Linotype" w:hAnsi="Palatino Linotype" w:cs="Arial"/>
          <w:sz w:val="24"/>
          <w:szCs w:val="24"/>
        </w:rPr>
        <w:t xml:space="preserve">, por resultar fundados los motivos de inconformidad vertidos por </w:t>
      </w:r>
      <w:r w:rsidR="005A5C1F" w:rsidRPr="00707CD9">
        <w:rPr>
          <w:rFonts w:ascii="Palatino Linotype" w:hAnsi="Palatino Linotype" w:cs="Arial"/>
          <w:sz w:val="24"/>
          <w:szCs w:val="24"/>
        </w:rPr>
        <w:t>la</w:t>
      </w:r>
      <w:r w:rsidRPr="00707CD9">
        <w:rPr>
          <w:rFonts w:ascii="Palatino Linotype" w:hAnsi="Palatino Linotype" w:cs="Arial"/>
          <w:b/>
          <w:sz w:val="24"/>
          <w:szCs w:val="24"/>
        </w:rPr>
        <w:t xml:space="preserve"> Recurrente</w:t>
      </w:r>
      <w:r w:rsidRPr="00707CD9">
        <w:rPr>
          <w:rFonts w:ascii="Palatino Linotype" w:hAnsi="Palatino Linotype" w:cs="Arial"/>
          <w:sz w:val="24"/>
          <w:szCs w:val="24"/>
        </w:rPr>
        <w:t xml:space="preserve">, en términos del Considerando </w:t>
      </w:r>
      <w:r w:rsidR="006D0016" w:rsidRPr="00707CD9">
        <w:rPr>
          <w:rFonts w:ascii="Palatino Linotype" w:hAnsi="Palatino Linotype" w:cs="Arial"/>
          <w:b/>
          <w:sz w:val="24"/>
          <w:szCs w:val="24"/>
        </w:rPr>
        <w:t>CUAR</w:t>
      </w:r>
      <w:r w:rsidRPr="00707CD9">
        <w:rPr>
          <w:rFonts w:ascii="Palatino Linotype" w:hAnsi="Palatino Linotype" w:cs="Arial"/>
          <w:b/>
          <w:sz w:val="24"/>
          <w:szCs w:val="24"/>
        </w:rPr>
        <w:t>TO</w:t>
      </w:r>
      <w:r w:rsidRPr="00707CD9">
        <w:rPr>
          <w:rFonts w:ascii="Palatino Linotype" w:hAnsi="Palatino Linotype" w:cs="Arial"/>
          <w:sz w:val="24"/>
          <w:szCs w:val="24"/>
        </w:rPr>
        <w:t xml:space="preserve"> de ésta</w:t>
      </w:r>
      <w:r w:rsidR="002C3000" w:rsidRPr="00707CD9">
        <w:rPr>
          <w:rFonts w:ascii="Palatino Linotype" w:hAnsi="Palatino Linotype" w:cs="Arial"/>
          <w:sz w:val="24"/>
          <w:szCs w:val="24"/>
        </w:rPr>
        <w:t xml:space="preserve"> resolución.</w:t>
      </w:r>
    </w:p>
    <w:p w:rsidR="002C3000" w:rsidRPr="00707CD9" w:rsidRDefault="002C3000" w:rsidP="004121F3">
      <w:pPr>
        <w:autoSpaceDE w:val="0"/>
        <w:autoSpaceDN w:val="0"/>
        <w:adjustRightInd w:val="0"/>
        <w:spacing w:after="0" w:line="360" w:lineRule="auto"/>
        <w:ind w:right="49"/>
        <w:jc w:val="both"/>
        <w:rPr>
          <w:rFonts w:ascii="Palatino Linotype" w:hAnsi="Palatino Linotype" w:cs="Arial"/>
          <w:sz w:val="24"/>
          <w:szCs w:val="24"/>
        </w:rPr>
      </w:pPr>
    </w:p>
    <w:p w:rsidR="004121F3" w:rsidRPr="00707CD9" w:rsidRDefault="004121F3" w:rsidP="004121F3">
      <w:pPr>
        <w:spacing w:after="0" w:line="360" w:lineRule="auto"/>
        <w:jc w:val="both"/>
        <w:rPr>
          <w:rFonts w:ascii="Palatino Linotype" w:hAnsi="Palatino Linotype" w:cs="Arial"/>
          <w:sz w:val="24"/>
          <w:szCs w:val="24"/>
        </w:rPr>
      </w:pPr>
      <w:r w:rsidRPr="00707CD9">
        <w:rPr>
          <w:rFonts w:ascii="Palatino Linotype" w:hAnsi="Palatino Linotype" w:cs="Arial"/>
          <w:b/>
          <w:sz w:val="28"/>
          <w:szCs w:val="28"/>
        </w:rPr>
        <w:t>SEGUNDO.</w:t>
      </w:r>
      <w:r w:rsidRPr="00707CD9">
        <w:rPr>
          <w:rFonts w:ascii="Palatino Linotype" w:hAnsi="Palatino Linotype" w:cs="Arial"/>
          <w:sz w:val="24"/>
          <w:szCs w:val="24"/>
        </w:rPr>
        <w:t xml:space="preserve"> Se </w:t>
      </w:r>
      <w:r w:rsidRPr="00707CD9">
        <w:rPr>
          <w:rFonts w:ascii="Palatino Linotype" w:hAnsi="Palatino Linotype" w:cs="Arial"/>
          <w:b/>
          <w:sz w:val="24"/>
          <w:szCs w:val="24"/>
        </w:rPr>
        <w:t>ORDENA</w:t>
      </w:r>
      <w:r w:rsidRPr="00707CD9">
        <w:rPr>
          <w:rFonts w:ascii="Palatino Linotype" w:hAnsi="Palatino Linotype" w:cs="Arial"/>
          <w:sz w:val="24"/>
          <w:szCs w:val="24"/>
        </w:rPr>
        <w:t xml:space="preserve"> al </w:t>
      </w:r>
      <w:r w:rsidRPr="00707CD9">
        <w:rPr>
          <w:rFonts w:ascii="Palatino Linotype" w:hAnsi="Palatino Linotype" w:cs="Arial"/>
          <w:b/>
          <w:sz w:val="24"/>
          <w:szCs w:val="24"/>
        </w:rPr>
        <w:t>Sujeto Obligado</w:t>
      </w:r>
      <w:r w:rsidR="005A5C1F" w:rsidRPr="00707CD9">
        <w:rPr>
          <w:rFonts w:ascii="Palatino Linotype" w:hAnsi="Palatino Linotype" w:cs="Arial"/>
          <w:sz w:val="24"/>
          <w:szCs w:val="24"/>
        </w:rPr>
        <w:t xml:space="preserve"> haga entrega a la</w:t>
      </w:r>
      <w:r w:rsidRPr="00707CD9">
        <w:rPr>
          <w:rFonts w:ascii="Palatino Linotype" w:hAnsi="Palatino Linotype" w:cs="Arial"/>
          <w:sz w:val="24"/>
          <w:szCs w:val="24"/>
        </w:rPr>
        <w:t xml:space="preserve"> </w:t>
      </w:r>
      <w:r w:rsidRPr="00707CD9">
        <w:rPr>
          <w:rFonts w:ascii="Palatino Linotype" w:hAnsi="Palatino Linotype" w:cs="Arial"/>
          <w:b/>
          <w:sz w:val="24"/>
          <w:szCs w:val="24"/>
        </w:rPr>
        <w:t xml:space="preserve">Recurrente </w:t>
      </w:r>
      <w:r w:rsidRPr="00707CD9">
        <w:rPr>
          <w:rFonts w:ascii="Palatino Linotype" w:hAnsi="Palatino Linotype" w:cs="Arial"/>
          <w:sz w:val="24"/>
          <w:szCs w:val="24"/>
        </w:rPr>
        <w:t xml:space="preserve">en términos del Considerando </w:t>
      </w:r>
      <w:r w:rsidR="006D0016" w:rsidRPr="00707CD9">
        <w:rPr>
          <w:rFonts w:ascii="Palatino Linotype" w:hAnsi="Palatino Linotype" w:cs="Arial"/>
          <w:b/>
          <w:sz w:val="24"/>
          <w:szCs w:val="24"/>
        </w:rPr>
        <w:t>CUAR</w:t>
      </w:r>
      <w:r w:rsidRPr="00707CD9">
        <w:rPr>
          <w:rFonts w:ascii="Palatino Linotype" w:hAnsi="Palatino Linotype" w:cs="Arial"/>
          <w:b/>
          <w:sz w:val="24"/>
          <w:szCs w:val="24"/>
        </w:rPr>
        <w:t xml:space="preserve">TO </w:t>
      </w:r>
      <w:r w:rsidR="000C0D0B" w:rsidRPr="00707CD9">
        <w:rPr>
          <w:rFonts w:ascii="Palatino Linotype" w:hAnsi="Palatino Linotype" w:cs="Arial"/>
          <w:sz w:val="24"/>
          <w:szCs w:val="24"/>
        </w:rPr>
        <w:t xml:space="preserve">de esta resolución, </w:t>
      </w:r>
      <w:r w:rsidRPr="00707CD9">
        <w:rPr>
          <w:rFonts w:ascii="Palatino Linotype" w:hAnsi="Palatino Linotype" w:cs="Arial"/>
          <w:sz w:val="24"/>
          <w:szCs w:val="24"/>
        </w:rPr>
        <w:t>a través del</w:t>
      </w:r>
      <w:r w:rsidRPr="00707CD9">
        <w:rPr>
          <w:rFonts w:ascii="Palatino Linotype" w:hAnsi="Palatino Linotype" w:cs="Arial"/>
          <w:b/>
          <w:sz w:val="24"/>
          <w:szCs w:val="24"/>
        </w:rPr>
        <w:t xml:space="preserve"> </w:t>
      </w:r>
      <w:r w:rsidRPr="00707CD9">
        <w:rPr>
          <w:rFonts w:ascii="Palatino Linotype" w:hAnsi="Palatino Linotype" w:cs="Arial"/>
          <w:sz w:val="24"/>
        </w:rPr>
        <w:t xml:space="preserve">Sistema de Acceso a la Información Mexiquense </w:t>
      </w:r>
      <w:r w:rsidRPr="00707CD9">
        <w:rPr>
          <w:rFonts w:ascii="Palatino Linotype" w:hAnsi="Palatino Linotype" w:cs="Arial"/>
          <w:b/>
          <w:sz w:val="24"/>
        </w:rPr>
        <w:t>(SAIMEX)</w:t>
      </w:r>
      <w:r w:rsidRPr="00707CD9">
        <w:rPr>
          <w:rFonts w:ascii="Palatino Linotype" w:hAnsi="Palatino Linotype" w:cs="Arial"/>
          <w:sz w:val="24"/>
          <w:szCs w:val="24"/>
        </w:rPr>
        <w:t xml:space="preserve">, </w:t>
      </w:r>
      <w:r w:rsidR="00352B30" w:rsidRPr="00707CD9">
        <w:rPr>
          <w:rFonts w:ascii="Palatino Linotype" w:hAnsi="Palatino Linotype" w:cs="Arial"/>
          <w:sz w:val="24"/>
          <w:szCs w:val="24"/>
        </w:rPr>
        <w:t>de ser procedente en versión pública, la</w:t>
      </w:r>
      <w:r w:rsidRPr="00707CD9">
        <w:rPr>
          <w:rFonts w:ascii="Palatino Linotype" w:hAnsi="Palatino Linotype" w:cs="Arial"/>
          <w:sz w:val="24"/>
          <w:szCs w:val="24"/>
        </w:rPr>
        <w:t xml:space="preserve"> siguiente</w:t>
      </w:r>
      <w:r w:rsidR="00352B30" w:rsidRPr="00707CD9">
        <w:rPr>
          <w:rFonts w:ascii="Palatino Linotype" w:hAnsi="Palatino Linotype" w:cs="Arial"/>
          <w:sz w:val="24"/>
          <w:szCs w:val="24"/>
        </w:rPr>
        <w:t xml:space="preserve"> información</w:t>
      </w:r>
      <w:r w:rsidR="002C3000" w:rsidRPr="00707CD9">
        <w:rPr>
          <w:rFonts w:ascii="Palatino Linotype" w:hAnsi="Palatino Linotype" w:cs="Arial"/>
          <w:sz w:val="24"/>
          <w:szCs w:val="24"/>
        </w:rPr>
        <w:t>:</w:t>
      </w:r>
    </w:p>
    <w:p w:rsidR="002C3000" w:rsidRPr="00707CD9" w:rsidRDefault="002C3000" w:rsidP="004121F3">
      <w:pPr>
        <w:spacing w:after="0" w:line="360" w:lineRule="auto"/>
        <w:jc w:val="both"/>
        <w:rPr>
          <w:rFonts w:ascii="Palatino Linotype" w:hAnsi="Palatino Linotype" w:cs="Arial"/>
          <w:sz w:val="24"/>
          <w:szCs w:val="24"/>
        </w:rPr>
      </w:pPr>
    </w:p>
    <w:p w:rsidR="005A5C1F" w:rsidRPr="00707CD9" w:rsidRDefault="00F3477C" w:rsidP="005A5C1F">
      <w:pPr>
        <w:pStyle w:val="Prrafodelista"/>
        <w:numPr>
          <w:ilvl w:val="0"/>
          <w:numId w:val="24"/>
        </w:numPr>
        <w:spacing w:after="240" w:line="360" w:lineRule="auto"/>
        <w:jc w:val="both"/>
        <w:rPr>
          <w:rFonts w:ascii="Palatino Linotype" w:hAnsi="Palatino Linotype" w:cs="Arial"/>
        </w:rPr>
      </w:pPr>
      <w:r w:rsidRPr="00707CD9">
        <w:rPr>
          <w:rFonts w:ascii="Palatino Linotype" w:hAnsi="Palatino Linotype" w:cs="Arial"/>
        </w:rPr>
        <w:lastRenderedPageBreak/>
        <w:t xml:space="preserve">El o los documentos en donde conste </w:t>
      </w:r>
      <w:r w:rsidR="005A5C1F" w:rsidRPr="00707CD9">
        <w:rPr>
          <w:rFonts w:ascii="Palatino Linotype" w:hAnsi="Palatino Linotype" w:cs="Arial"/>
        </w:rPr>
        <w:t xml:space="preserve">el nombre de los bancos con los que el </w:t>
      </w:r>
      <w:r w:rsidR="005A5C1F" w:rsidRPr="00707CD9">
        <w:rPr>
          <w:rFonts w:ascii="Palatino Linotype" w:hAnsi="Palatino Linotype" w:cs="Arial"/>
          <w:b/>
        </w:rPr>
        <w:t>Sujeto Obligado</w:t>
      </w:r>
      <w:r w:rsidR="005A5C1F" w:rsidRPr="00707CD9">
        <w:rPr>
          <w:rFonts w:ascii="Palatino Linotype" w:hAnsi="Palatino Linotype" w:cs="Arial"/>
        </w:rPr>
        <w:t xml:space="preserve"> tenía </w:t>
      </w:r>
      <w:proofErr w:type="spellStart"/>
      <w:r w:rsidR="005A5C1F" w:rsidRPr="00707CD9">
        <w:rPr>
          <w:rFonts w:ascii="Palatino Linotype" w:hAnsi="Palatino Linotype" w:cs="Arial"/>
        </w:rPr>
        <w:t>aperturadas</w:t>
      </w:r>
      <w:proofErr w:type="spellEnd"/>
      <w:r w:rsidR="005A5C1F" w:rsidRPr="00707CD9">
        <w:rPr>
          <w:rFonts w:ascii="Palatino Linotype" w:hAnsi="Palatino Linotype" w:cs="Arial"/>
        </w:rPr>
        <w:t xml:space="preserve"> cuentas; así como, los montos integrados de dichas cuentas, del periodo comprendido del  primer trimestre del año dos mil veinte al cuarto trimestre del año dos mil veintiuno.</w:t>
      </w:r>
    </w:p>
    <w:p w:rsidR="005A5C1F" w:rsidRPr="00707CD9" w:rsidRDefault="005A5C1F" w:rsidP="005A5C1F">
      <w:pPr>
        <w:pStyle w:val="Prrafodelista"/>
        <w:numPr>
          <w:ilvl w:val="0"/>
          <w:numId w:val="24"/>
        </w:numPr>
        <w:spacing w:after="240" w:line="360" w:lineRule="auto"/>
        <w:jc w:val="both"/>
        <w:rPr>
          <w:rFonts w:ascii="Palatino Linotype" w:hAnsi="Palatino Linotype" w:cs="Arial"/>
        </w:rPr>
      </w:pPr>
      <w:r w:rsidRPr="00707CD9">
        <w:rPr>
          <w:rFonts w:ascii="Palatino Linotype" w:hAnsi="Palatino Linotype" w:cs="Arial"/>
        </w:rPr>
        <w:t xml:space="preserve">El o los documentos en donde consten los números de las cuentas bancarias con las que contaba el </w:t>
      </w:r>
      <w:r w:rsidRPr="00707CD9">
        <w:rPr>
          <w:rFonts w:ascii="Palatino Linotype" w:hAnsi="Palatino Linotype" w:cs="Arial"/>
          <w:b/>
        </w:rPr>
        <w:t>Sujeto Obligado</w:t>
      </w:r>
      <w:r w:rsidRPr="00707CD9">
        <w:rPr>
          <w:rFonts w:ascii="Palatino Linotype" w:hAnsi="Palatino Linotype" w:cs="Arial"/>
        </w:rPr>
        <w:t>, del periodo comprendido del primer trimestre del año dos mil veinte al primer trimestre del año dos mil veintidós.</w:t>
      </w:r>
    </w:p>
    <w:p w:rsidR="000C0D0B" w:rsidRPr="00707CD9" w:rsidRDefault="000C0D0B" w:rsidP="00352B30">
      <w:pPr>
        <w:spacing w:after="0" w:line="276" w:lineRule="auto"/>
        <w:ind w:right="567"/>
        <w:jc w:val="both"/>
        <w:rPr>
          <w:rFonts w:ascii="Palatino Linotype" w:hAnsi="Palatino Linotype" w:cs="Arial"/>
          <w:i/>
          <w:sz w:val="12"/>
        </w:rPr>
      </w:pPr>
    </w:p>
    <w:p w:rsidR="00BF1FF2" w:rsidRPr="00707CD9" w:rsidRDefault="00F3477C" w:rsidP="00597A3F">
      <w:pPr>
        <w:spacing w:after="0" w:line="276" w:lineRule="auto"/>
        <w:ind w:left="426" w:right="567"/>
        <w:jc w:val="both"/>
        <w:rPr>
          <w:rFonts w:ascii="Palatino Linotype" w:hAnsi="Palatino Linotype" w:cs="Arial"/>
          <w:i/>
        </w:rPr>
      </w:pPr>
      <w:r w:rsidRPr="00707CD9">
        <w:rPr>
          <w:rFonts w:ascii="Palatino Linotype" w:hAnsi="Palatino Linotype" w:cs="Arial"/>
          <w:i/>
        </w:rPr>
        <w:t xml:space="preserve">De ser procedente </w:t>
      </w:r>
      <w:r w:rsidR="00BF1FF2" w:rsidRPr="00707CD9">
        <w:rPr>
          <w:rFonts w:ascii="Palatino Linotype" w:hAnsi="Palatino Linotype" w:cs="Arial"/>
          <w:i/>
        </w:rPr>
        <w:t>la entrega en versión pública</w:t>
      </w:r>
      <w:r w:rsidRPr="00707CD9">
        <w:rPr>
          <w:rFonts w:ascii="Palatino Linotype" w:hAnsi="Palatino Linotype" w:cs="Arial"/>
          <w:i/>
        </w:rPr>
        <w:t>,</w:t>
      </w:r>
      <w:r w:rsidR="00BF1FF2" w:rsidRPr="00707CD9">
        <w:rPr>
          <w:rFonts w:ascii="Palatino Linotype" w:hAnsi="Palatino Linotype" w:cs="Arial"/>
          <w:i/>
        </w:rPr>
        <w:t xml:space="preserve"> deberá emitir el Acuerdo del Comité de Transparencia en términos de los artículos 49, fracción VIII y 132 fracción II</w:t>
      </w:r>
      <w:r w:rsidR="002C3000" w:rsidRPr="00707CD9">
        <w:rPr>
          <w:rFonts w:ascii="Palatino Linotype" w:hAnsi="Palatino Linotype" w:cs="Arial"/>
          <w:i/>
        </w:rPr>
        <w:t>,</w:t>
      </w:r>
      <w:r w:rsidR="00BF1FF2" w:rsidRPr="00707CD9">
        <w:rPr>
          <w:rFonts w:ascii="Palatino Linotype" w:hAnsi="Palatino Linotype" w:cs="Arial"/>
          <w:i/>
        </w:rPr>
        <w:t xml:space="preserve"> de la Ley de Transparencia y Acceso a la Información Pública del Estado de México y Municipios, en el que funde y motive las razones sobre los datos que se supriman o eliminen y se ponga a disposición del </w:t>
      </w:r>
      <w:r w:rsidR="00BF1FF2" w:rsidRPr="00707CD9">
        <w:rPr>
          <w:rFonts w:ascii="Palatino Linotype" w:hAnsi="Palatino Linotype" w:cs="Arial"/>
          <w:b/>
          <w:i/>
        </w:rPr>
        <w:t>Recurrente</w:t>
      </w:r>
      <w:r w:rsidR="00BF1FF2" w:rsidRPr="00707CD9">
        <w:rPr>
          <w:rFonts w:ascii="Palatino Linotype" w:hAnsi="Palatino Linotype" w:cs="Arial"/>
          <w:i/>
        </w:rPr>
        <w:t>.</w:t>
      </w:r>
    </w:p>
    <w:p w:rsidR="00BF1FF2" w:rsidRPr="00707CD9" w:rsidRDefault="00BF1FF2" w:rsidP="00597A3F">
      <w:pPr>
        <w:spacing w:after="0" w:line="276" w:lineRule="auto"/>
        <w:ind w:left="426" w:right="567"/>
        <w:jc w:val="both"/>
        <w:rPr>
          <w:rFonts w:ascii="Palatino Linotype" w:hAnsi="Palatino Linotype" w:cs="Arial"/>
          <w:i/>
        </w:rPr>
      </w:pPr>
    </w:p>
    <w:p w:rsidR="000C0D0B" w:rsidRPr="00707CD9" w:rsidRDefault="000C0D0B" w:rsidP="00597A3F">
      <w:pPr>
        <w:spacing w:after="0" w:line="276" w:lineRule="auto"/>
        <w:ind w:left="426" w:right="567"/>
        <w:jc w:val="both"/>
        <w:rPr>
          <w:rFonts w:ascii="Palatino Linotype" w:hAnsi="Palatino Linotype" w:cs="Arial"/>
          <w:i/>
        </w:rPr>
      </w:pPr>
      <w:r w:rsidRPr="00707CD9">
        <w:rPr>
          <w:rFonts w:ascii="Palatino Linotype" w:hAnsi="Palatino Linotype" w:cs="Arial"/>
          <w:i/>
        </w:rPr>
        <w:t xml:space="preserve">Para el caso de que el </w:t>
      </w:r>
      <w:r w:rsidRPr="00707CD9">
        <w:rPr>
          <w:rFonts w:ascii="Palatino Linotype" w:hAnsi="Palatino Linotype" w:cs="Arial"/>
          <w:b/>
          <w:i/>
        </w:rPr>
        <w:t>Sujeto Obligado</w:t>
      </w:r>
      <w:r w:rsidRPr="00707CD9">
        <w:rPr>
          <w:rFonts w:ascii="Palatino Linotype" w:hAnsi="Palatino Linotype" w:cs="Arial"/>
          <w:i/>
        </w:rPr>
        <w:t xml:space="preserve">, no localice la información señalada en el </w:t>
      </w:r>
      <w:r w:rsidR="002C3000" w:rsidRPr="00707CD9">
        <w:rPr>
          <w:rFonts w:ascii="Palatino Linotype" w:hAnsi="Palatino Linotype" w:cs="Arial"/>
          <w:b/>
          <w:i/>
        </w:rPr>
        <w:t>Resolutivo Segundo</w:t>
      </w:r>
      <w:r w:rsidRPr="00707CD9">
        <w:rPr>
          <w:rFonts w:ascii="Palatino Linotype" w:hAnsi="Palatino Linotype" w:cs="Arial"/>
          <w:i/>
        </w:rPr>
        <w:t>, deberá de emitir el Acuerdo de Inexistencia en términos de los artículos 49, fracciones II y XIII, 169 y 170</w:t>
      </w:r>
      <w:r w:rsidR="00597A3F" w:rsidRPr="00707CD9">
        <w:rPr>
          <w:rFonts w:ascii="Palatino Linotype" w:hAnsi="Palatino Linotype" w:cs="Arial"/>
          <w:i/>
        </w:rPr>
        <w:t>,</w:t>
      </w:r>
      <w:r w:rsidRPr="00707CD9">
        <w:rPr>
          <w:rFonts w:ascii="Palatino Linotype" w:hAnsi="Palatino Linotype" w:cs="Arial"/>
          <w:i/>
        </w:rPr>
        <w:t xml:space="preserve"> de la Ley de Transparencia y Acceso a la Información Pública del Estado de México y Municipios que al respecto emita su Comité de Transparencia.</w:t>
      </w:r>
    </w:p>
    <w:p w:rsidR="000C0D0B" w:rsidRPr="00707CD9" w:rsidRDefault="000C0D0B" w:rsidP="00597A3F">
      <w:pPr>
        <w:spacing w:line="360" w:lineRule="auto"/>
        <w:jc w:val="both"/>
        <w:rPr>
          <w:rFonts w:ascii="Palatino Linotype" w:hAnsi="Palatino Linotype" w:cs="Arial"/>
          <w:sz w:val="16"/>
        </w:rPr>
      </w:pPr>
    </w:p>
    <w:p w:rsidR="00597A3F" w:rsidRPr="00707CD9" w:rsidRDefault="004121F3" w:rsidP="004121F3">
      <w:pPr>
        <w:autoSpaceDE w:val="0"/>
        <w:autoSpaceDN w:val="0"/>
        <w:adjustRightInd w:val="0"/>
        <w:spacing w:after="0" w:line="360" w:lineRule="auto"/>
        <w:ind w:right="49"/>
        <w:jc w:val="both"/>
        <w:rPr>
          <w:rFonts w:ascii="Palatino Linotype" w:hAnsi="Palatino Linotype" w:cs="Arial"/>
          <w:sz w:val="24"/>
          <w:szCs w:val="28"/>
          <w:lang w:val="es-ES_tradnl"/>
        </w:rPr>
      </w:pPr>
      <w:r w:rsidRPr="00707CD9">
        <w:rPr>
          <w:rFonts w:ascii="Palatino Linotype" w:hAnsi="Palatino Linotype" w:cs="Arial"/>
          <w:b/>
          <w:sz w:val="28"/>
          <w:szCs w:val="28"/>
          <w:lang w:val="es-ES_tradnl"/>
        </w:rPr>
        <w:t xml:space="preserve">TERCERO. </w:t>
      </w:r>
      <w:r w:rsidRPr="00707CD9">
        <w:rPr>
          <w:rFonts w:ascii="Palatino Linotype" w:hAnsi="Palatino Linotype" w:cs="Arial"/>
          <w:b/>
          <w:sz w:val="24"/>
          <w:szCs w:val="28"/>
          <w:lang w:val="es-ES_tradnl"/>
        </w:rPr>
        <w:t>NOTIFÍQUESE</w:t>
      </w:r>
      <w:r w:rsidRPr="00707CD9">
        <w:rPr>
          <w:rFonts w:ascii="Palatino Linotype" w:hAnsi="Palatino Linotype" w:cs="Arial"/>
          <w:b/>
          <w:sz w:val="28"/>
          <w:szCs w:val="28"/>
          <w:lang w:val="es-ES_tradnl"/>
        </w:rPr>
        <w:t xml:space="preserve"> </w:t>
      </w:r>
      <w:r w:rsidRPr="00707CD9">
        <w:rPr>
          <w:rFonts w:ascii="Palatino Linotype" w:hAnsi="Palatino Linotype" w:cs="Arial"/>
          <w:sz w:val="24"/>
          <w:szCs w:val="28"/>
          <w:lang w:val="es-ES_tradnl"/>
        </w:rPr>
        <w:t xml:space="preserve">la presente resolución al Titular de la Unidad de Transparencia del </w:t>
      </w:r>
      <w:r w:rsidRPr="00707CD9">
        <w:rPr>
          <w:rFonts w:ascii="Palatino Linotype" w:hAnsi="Palatino Linotype" w:cs="Arial"/>
          <w:b/>
          <w:sz w:val="24"/>
          <w:szCs w:val="28"/>
          <w:lang w:val="es-ES_tradnl"/>
        </w:rPr>
        <w:t>Sujeto Obligado</w:t>
      </w:r>
      <w:r w:rsidRPr="00707CD9">
        <w:rPr>
          <w:rFonts w:ascii="Palatino Linotype" w:hAnsi="Palatino Linotype" w:cs="Arial"/>
          <w:sz w:val="24"/>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C3000" w:rsidRPr="00707CD9" w:rsidRDefault="002C3000" w:rsidP="004121F3">
      <w:pPr>
        <w:autoSpaceDE w:val="0"/>
        <w:autoSpaceDN w:val="0"/>
        <w:adjustRightInd w:val="0"/>
        <w:spacing w:after="0" w:line="360" w:lineRule="auto"/>
        <w:ind w:right="49"/>
        <w:jc w:val="both"/>
        <w:rPr>
          <w:rFonts w:ascii="Palatino Linotype" w:hAnsi="Palatino Linotype" w:cs="Arial"/>
          <w:sz w:val="24"/>
          <w:szCs w:val="28"/>
          <w:lang w:val="es-ES_tradnl"/>
        </w:rPr>
      </w:pPr>
    </w:p>
    <w:p w:rsidR="004121F3" w:rsidRPr="00707CD9" w:rsidRDefault="004121F3" w:rsidP="002C3000">
      <w:pPr>
        <w:spacing w:after="0" w:line="360" w:lineRule="auto"/>
        <w:jc w:val="both"/>
        <w:rPr>
          <w:rFonts w:ascii="Palatino Linotype" w:hAnsi="Palatino Linotype" w:cs="Arial"/>
          <w:bCs/>
          <w:sz w:val="24"/>
          <w:szCs w:val="28"/>
        </w:rPr>
      </w:pPr>
      <w:r w:rsidRPr="00707CD9">
        <w:rPr>
          <w:rFonts w:ascii="Palatino Linotype" w:hAnsi="Palatino Linotype" w:cs="Arial"/>
          <w:b/>
          <w:bCs/>
          <w:sz w:val="28"/>
          <w:szCs w:val="28"/>
        </w:rPr>
        <w:lastRenderedPageBreak/>
        <w:t>CUARTO.</w:t>
      </w:r>
      <w:r w:rsidRPr="00707CD9">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707CD9">
        <w:rPr>
          <w:rFonts w:ascii="Palatino Linotype" w:hAnsi="Palatino Linotype" w:cs="Arial"/>
          <w:b/>
          <w:bCs/>
          <w:sz w:val="24"/>
          <w:szCs w:val="28"/>
        </w:rPr>
        <w:t>Sujeto Obligado</w:t>
      </w:r>
      <w:r w:rsidRPr="00707CD9">
        <w:rPr>
          <w:rFonts w:ascii="Palatino Linotype" w:hAnsi="Palatino Linotype" w:cs="Arial"/>
          <w:bCs/>
          <w:sz w:val="24"/>
          <w:szCs w:val="28"/>
        </w:rPr>
        <w:t xml:space="preserve"> de manera fundada y motivada, podrá solicitar una ampliación de plazo para el cumplimi</w:t>
      </w:r>
      <w:r w:rsidR="002C3000" w:rsidRPr="00707CD9">
        <w:rPr>
          <w:rFonts w:ascii="Palatino Linotype" w:hAnsi="Palatino Linotype" w:cs="Arial"/>
          <w:bCs/>
          <w:sz w:val="24"/>
          <w:szCs w:val="28"/>
        </w:rPr>
        <w:t>ento de la presente resolución.</w:t>
      </w:r>
    </w:p>
    <w:p w:rsidR="002C3000" w:rsidRPr="00707CD9" w:rsidRDefault="002C3000" w:rsidP="002C3000">
      <w:pPr>
        <w:spacing w:after="0" w:line="360" w:lineRule="auto"/>
        <w:jc w:val="both"/>
        <w:rPr>
          <w:rFonts w:ascii="Palatino Linotype" w:hAnsi="Palatino Linotype" w:cs="Arial"/>
          <w:bCs/>
          <w:sz w:val="24"/>
          <w:szCs w:val="28"/>
        </w:rPr>
      </w:pPr>
    </w:p>
    <w:p w:rsidR="00597A3F" w:rsidRPr="00707CD9" w:rsidRDefault="004121F3" w:rsidP="00597A3F">
      <w:pPr>
        <w:autoSpaceDE w:val="0"/>
        <w:autoSpaceDN w:val="0"/>
        <w:adjustRightInd w:val="0"/>
        <w:spacing w:after="0" w:line="360" w:lineRule="auto"/>
        <w:ind w:right="49"/>
        <w:jc w:val="both"/>
        <w:rPr>
          <w:rFonts w:ascii="Palatino Linotype" w:hAnsi="Palatino Linotype" w:cs="Arial"/>
          <w:sz w:val="24"/>
          <w:szCs w:val="24"/>
        </w:rPr>
      </w:pPr>
      <w:r w:rsidRPr="00707CD9">
        <w:rPr>
          <w:rFonts w:ascii="Palatino Linotype" w:hAnsi="Palatino Linotype" w:cs="Arial"/>
          <w:b/>
          <w:sz w:val="28"/>
          <w:szCs w:val="28"/>
        </w:rPr>
        <w:t>QUINTO.</w:t>
      </w:r>
      <w:r w:rsidRPr="00707CD9">
        <w:rPr>
          <w:rFonts w:ascii="Palatino Linotype" w:hAnsi="Palatino Linotype" w:cs="Arial"/>
          <w:b/>
          <w:sz w:val="24"/>
          <w:szCs w:val="24"/>
        </w:rPr>
        <w:t xml:space="preserve"> NOTIFÍQUESE</w:t>
      </w:r>
      <w:r w:rsidR="005A5C1F" w:rsidRPr="00707CD9">
        <w:rPr>
          <w:rFonts w:ascii="Palatino Linotype" w:hAnsi="Palatino Linotype" w:cs="Arial"/>
          <w:sz w:val="24"/>
          <w:szCs w:val="24"/>
        </w:rPr>
        <w:t xml:space="preserve"> a la</w:t>
      </w:r>
      <w:r w:rsidRPr="00707CD9">
        <w:rPr>
          <w:rFonts w:ascii="Palatino Linotype" w:hAnsi="Palatino Linotype" w:cs="Arial"/>
          <w:sz w:val="24"/>
          <w:szCs w:val="24"/>
        </w:rPr>
        <w:t xml:space="preserve"> </w:t>
      </w:r>
      <w:r w:rsidRPr="00707CD9">
        <w:rPr>
          <w:rFonts w:ascii="Palatino Linotype" w:hAnsi="Palatino Linotype" w:cs="Arial"/>
          <w:b/>
          <w:sz w:val="24"/>
          <w:szCs w:val="24"/>
        </w:rPr>
        <w:t>Recurrente</w:t>
      </w:r>
      <w:r w:rsidRPr="00707CD9">
        <w:rPr>
          <w:rFonts w:ascii="Palatino Linotype" w:hAnsi="Palatino Linotype" w:cs="Arial"/>
          <w:sz w:val="24"/>
          <w:szCs w:val="24"/>
        </w:rPr>
        <w:t xml:space="preserve"> la presente resolución a través del </w:t>
      </w:r>
      <w:r w:rsidRPr="00707CD9">
        <w:rPr>
          <w:rFonts w:ascii="Palatino Linotype" w:hAnsi="Palatino Linotype" w:cs="Arial"/>
          <w:sz w:val="24"/>
        </w:rPr>
        <w:t xml:space="preserve">Sistema de Acceso a la Información Mexiquense </w:t>
      </w:r>
      <w:r w:rsidRPr="00707CD9">
        <w:rPr>
          <w:rFonts w:ascii="Palatino Linotype" w:hAnsi="Palatino Linotype" w:cs="Arial"/>
          <w:b/>
          <w:sz w:val="24"/>
        </w:rPr>
        <w:t>(SAIMEX)</w:t>
      </w:r>
      <w:r w:rsidRPr="00707CD9">
        <w:rPr>
          <w:rFonts w:ascii="Palatino Linotype" w:hAnsi="Palatino Linotype" w:cs="Arial"/>
          <w:b/>
          <w:sz w:val="24"/>
          <w:szCs w:val="24"/>
        </w:rPr>
        <w:t>,</w:t>
      </w:r>
      <w:r w:rsidRPr="00707CD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bookmarkEnd w:id="0"/>
    </w:p>
    <w:p w:rsidR="002C3000" w:rsidRPr="00707CD9" w:rsidRDefault="002C3000" w:rsidP="00597A3F">
      <w:pPr>
        <w:autoSpaceDE w:val="0"/>
        <w:autoSpaceDN w:val="0"/>
        <w:adjustRightInd w:val="0"/>
        <w:spacing w:after="0" w:line="360" w:lineRule="auto"/>
        <w:ind w:right="49"/>
        <w:jc w:val="both"/>
        <w:rPr>
          <w:rFonts w:ascii="Palatino Linotype" w:hAnsi="Palatino Linotype" w:cs="Arial"/>
          <w:sz w:val="24"/>
          <w:szCs w:val="24"/>
        </w:rPr>
      </w:pPr>
    </w:p>
    <w:p w:rsidR="00487828" w:rsidRPr="00707CD9" w:rsidRDefault="00487828" w:rsidP="00487828">
      <w:pPr>
        <w:autoSpaceDE w:val="0"/>
        <w:autoSpaceDN w:val="0"/>
        <w:adjustRightInd w:val="0"/>
        <w:spacing w:after="0" w:line="360" w:lineRule="auto"/>
        <w:ind w:right="49"/>
        <w:jc w:val="both"/>
        <w:rPr>
          <w:rFonts w:ascii="Palatino Linotype" w:hAnsi="Palatino Linotype" w:cs="Arial"/>
          <w:sz w:val="24"/>
          <w:szCs w:val="24"/>
        </w:rPr>
      </w:pPr>
      <w:r w:rsidRPr="00707CD9">
        <w:rPr>
          <w:rFonts w:ascii="Palatino Linotype" w:hAnsi="Palatino Linotype" w:cs="Arial"/>
          <w:sz w:val="24"/>
          <w:szCs w:val="24"/>
        </w:rPr>
        <w:t>ASÍ LO RESUELVE, POR UNANIMIDAD DE VOTOS EL PLENO DEL</w:t>
      </w:r>
      <w:r w:rsidRPr="00707CD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07CD9">
        <w:rPr>
          <w:rFonts w:ascii="Palatino Linotype" w:hAnsi="Palatino Linotype" w:cs="Arial"/>
          <w:sz w:val="24"/>
          <w:szCs w:val="24"/>
        </w:rPr>
        <w:t xml:space="preserve">, CONFORMADO POR LOS COMISIONADOS JOSÉ MARTÍNEZ VILCHIS; MARÍA DEL ROSARIO MEJÍA AYALA; SHARON CRISTINA MORALES MARTÍNEZ; LUIS GUSTAVO PARRA NORIEGA Y </w:t>
      </w:r>
      <w:bookmarkStart w:id="1" w:name="_GoBack"/>
      <w:bookmarkEnd w:id="1"/>
      <w:r w:rsidRPr="00707CD9">
        <w:rPr>
          <w:rFonts w:ascii="Palatino Linotype" w:hAnsi="Palatino Linotype" w:cs="Arial"/>
          <w:sz w:val="24"/>
          <w:szCs w:val="24"/>
        </w:rPr>
        <w:t xml:space="preserve">GUADALUPE RAMÍREZ PEÑA; EN LA </w:t>
      </w:r>
      <w:r w:rsidR="002C3000" w:rsidRPr="00707CD9">
        <w:rPr>
          <w:rFonts w:ascii="Palatino Linotype" w:hAnsi="Palatino Linotype" w:cs="Arial"/>
          <w:sz w:val="24"/>
          <w:szCs w:val="24"/>
        </w:rPr>
        <w:t xml:space="preserve">TRIGÉSIMA </w:t>
      </w:r>
      <w:r w:rsidR="00DF4ECA" w:rsidRPr="00707CD9">
        <w:rPr>
          <w:rFonts w:ascii="Palatino Linotype" w:hAnsi="Palatino Linotype" w:cs="Arial"/>
          <w:sz w:val="24"/>
          <w:szCs w:val="24"/>
        </w:rPr>
        <w:t>QUINT</w:t>
      </w:r>
      <w:r w:rsidRPr="00707CD9">
        <w:rPr>
          <w:rFonts w:ascii="Palatino Linotype" w:hAnsi="Palatino Linotype" w:cs="Arial"/>
          <w:sz w:val="24"/>
          <w:szCs w:val="24"/>
        </w:rPr>
        <w:t xml:space="preserve">A SESIÓN ORDINARIA CELEBRADA EL </w:t>
      </w:r>
      <w:r w:rsidR="00DF4ECA" w:rsidRPr="00707CD9">
        <w:rPr>
          <w:rFonts w:ascii="Palatino Linotype" w:hAnsi="Palatino Linotype" w:cs="Arial"/>
          <w:sz w:val="24"/>
          <w:szCs w:val="24"/>
        </w:rPr>
        <w:t>VEINTIOCHO</w:t>
      </w:r>
      <w:r w:rsidR="002C3000" w:rsidRPr="00707CD9">
        <w:rPr>
          <w:rFonts w:ascii="Palatino Linotype" w:hAnsi="Palatino Linotype" w:cs="Arial"/>
          <w:sz w:val="24"/>
          <w:szCs w:val="24"/>
        </w:rPr>
        <w:t xml:space="preserve"> DE SEPTIEMBRE</w:t>
      </w:r>
      <w:r w:rsidRPr="00707CD9">
        <w:rPr>
          <w:rFonts w:ascii="Palatino Linotype" w:hAnsi="Palatino Linotype" w:cs="Arial"/>
          <w:sz w:val="24"/>
          <w:szCs w:val="24"/>
        </w:rPr>
        <w:t xml:space="preserve"> DE DOS MIL VEINTIDÓS, ANTE EL SECRETARIO TÉCNICO D</w:t>
      </w:r>
      <w:r w:rsidR="00BF1FF2" w:rsidRPr="00707CD9">
        <w:rPr>
          <w:rFonts w:ascii="Palatino Linotype" w:hAnsi="Palatino Linotype" w:cs="Arial"/>
          <w:sz w:val="24"/>
          <w:szCs w:val="24"/>
        </w:rPr>
        <w:t>EL PLENO, ALEXIS TAPIA RAMÍREZ.</w:t>
      </w:r>
      <w:r w:rsidR="002C3000" w:rsidRPr="00707CD9">
        <w:rPr>
          <w:rFonts w:ascii="Palatino Linotype" w:hAnsi="Palatino Linotype" w:cs="Arial"/>
          <w:sz w:val="24"/>
          <w:szCs w:val="24"/>
        </w:rPr>
        <w:t>--------------------------------------------------------------------------------------------------------------------------------------------------------------------------------------------------------------------------------------------------------------------------------------------</w:t>
      </w:r>
      <w:r w:rsidR="005A5C1F" w:rsidRPr="00707CD9">
        <w:rPr>
          <w:rFonts w:ascii="Palatino Linotype" w:hAnsi="Palatino Linotype" w:cs="Arial"/>
          <w:sz w:val="24"/>
          <w:szCs w:val="24"/>
        </w:rPr>
        <w:t>---------------------------------------------------------------------------------------------------------------------</w:t>
      </w:r>
    </w:p>
    <w:p w:rsidR="005A5C1F" w:rsidRPr="005A5C1F" w:rsidRDefault="005A5C1F" w:rsidP="00487828">
      <w:pPr>
        <w:autoSpaceDE w:val="0"/>
        <w:autoSpaceDN w:val="0"/>
        <w:adjustRightInd w:val="0"/>
        <w:spacing w:after="0" w:line="360" w:lineRule="auto"/>
        <w:ind w:right="49"/>
        <w:jc w:val="both"/>
        <w:rPr>
          <w:rFonts w:ascii="Palatino Linotype" w:hAnsi="Palatino Linotype" w:cs="Arial"/>
          <w:sz w:val="16"/>
        </w:rPr>
      </w:pPr>
      <w:r w:rsidRPr="00707CD9">
        <w:rPr>
          <w:rFonts w:ascii="Palatino Linotype" w:hAnsi="Palatino Linotype" w:cs="Arial"/>
          <w:sz w:val="18"/>
          <w:szCs w:val="24"/>
        </w:rPr>
        <w:t>JMV/CCR/</w:t>
      </w:r>
      <w:proofErr w:type="spellStart"/>
      <w:r w:rsidRPr="00707CD9">
        <w:rPr>
          <w:rFonts w:ascii="Palatino Linotype" w:hAnsi="Palatino Linotype" w:cs="Arial"/>
          <w:sz w:val="18"/>
          <w:szCs w:val="24"/>
        </w:rPr>
        <w:t>jasm</w:t>
      </w:r>
      <w:proofErr w:type="spellEnd"/>
    </w:p>
    <w:p w:rsidR="00487828" w:rsidRPr="004E74D8" w:rsidRDefault="00487828" w:rsidP="00487828">
      <w:pPr>
        <w:spacing w:after="0" w:line="360" w:lineRule="auto"/>
        <w:jc w:val="both"/>
        <w:rPr>
          <w:rFonts w:ascii="Palatino Linotype" w:hAnsi="Palatino Linotype" w:cs="Arial"/>
          <w:sz w:val="32"/>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rsidR="00487828" w:rsidRPr="004E74D8" w:rsidRDefault="00487828" w:rsidP="00487828">
      <w:pPr>
        <w:spacing w:after="0" w:line="480" w:lineRule="auto"/>
        <w:jc w:val="both"/>
        <w:rPr>
          <w:rFonts w:ascii="Palatino Linotype" w:hAnsi="Palatino Linotype"/>
        </w:rPr>
      </w:pPr>
    </w:p>
    <w:p w:rsidR="00487828" w:rsidRPr="004E74D8" w:rsidRDefault="00487828" w:rsidP="00487828">
      <w:pPr>
        <w:spacing w:after="0" w:line="480" w:lineRule="auto"/>
        <w:jc w:val="center"/>
        <w:rPr>
          <w:rFonts w:ascii="Palatino Linotype" w:hAnsi="Palatino Linotype"/>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tabs>
          <w:tab w:val="left" w:pos="709"/>
        </w:tabs>
        <w:spacing w:after="0" w:line="360" w:lineRule="auto"/>
        <w:ind w:right="51"/>
        <w:jc w:val="both"/>
        <w:rPr>
          <w:rFonts w:ascii="Palatino Linotype" w:hAnsi="Palatino Linotype"/>
          <w:sz w:val="24"/>
          <w:szCs w:val="24"/>
        </w:rPr>
      </w:pPr>
    </w:p>
    <w:p w:rsidR="0021054A" w:rsidRDefault="0021054A"/>
    <w:sectPr w:rsidR="0021054A" w:rsidSect="00911046">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F98" w:rsidRDefault="00EB2F98" w:rsidP="00487828">
      <w:pPr>
        <w:spacing w:after="0" w:line="240" w:lineRule="auto"/>
      </w:pPr>
      <w:r>
        <w:separator/>
      </w:r>
    </w:p>
  </w:endnote>
  <w:endnote w:type="continuationSeparator" w:id="0">
    <w:p w:rsidR="00EB2F98" w:rsidRDefault="00EB2F98" w:rsidP="004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F5F04" w:rsidRPr="002D6DD8" w:rsidRDefault="00CF5F04" w:rsidP="009110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46A6">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46A6">
              <w:rPr>
                <w:rFonts w:ascii="Palatino Linotype" w:hAnsi="Palatino Linotype"/>
                <w:bCs/>
                <w:noProof/>
                <w:sz w:val="20"/>
              </w:rPr>
              <w:t>33</w:t>
            </w:r>
            <w:r>
              <w:rPr>
                <w:rFonts w:ascii="Palatino Linotype" w:hAnsi="Palatino Linotype"/>
                <w:bCs/>
                <w:noProof/>
                <w:sz w:val="20"/>
              </w:rPr>
              <w:fldChar w:fldCharType="end"/>
            </w:r>
          </w:p>
        </w:sdtContent>
      </w:sdt>
    </w:sdtContent>
  </w:sdt>
  <w:p w:rsidR="00CF5F04" w:rsidRDefault="00CF5F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04" w:rsidRPr="000B69FA" w:rsidRDefault="00CF5F04" w:rsidP="009110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46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46A6">
      <w:rPr>
        <w:rFonts w:ascii="Palatino Linotype" w:hAnsi="Palatino Linotype"/>
        <w:bCs/>
        <w:noProof/>
        <w:sz w:val="20"/>
      </w:rPr>
      <w:t>33</w:t>
    </w:r>
    <w:r>
      <w:rPr>
        <w:rFonts w:ascii="Palatino Linotype" w:hAnsi="Palatino Linotype"/>
        <w:bCs/>
        <w:noProof/>
        <w:sz w:val="20"/>
      </w:rPr>
      <w:fldChar w:fldCharType="end"/>
    </w:r>
  </w:p>
  <w:p w:rsidR="00CF5F04" w:rsidRDefault="00CF5F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F98" w:rsidRDefault="00EB2F98" w:rsidP="00487828">
      <w:pPr>
        <w:spacing w:after="0" w:line="240" w:lineRule="auto"/>
      </w:pPr>
      <w:r>
        <w:separator/>
      </w:r>
    </w:p>
  </w:footnote>
  <w:footnote w:type="continuationSeparator" w:id="0">
    <w:p w:rsidR="00EB2F98" w:rsidRDefault="00EB2F98" w:rsidP="00487828">
      <w:pPr>
        <w:spacing w:after="0" w:line="240" w:lineRule="auto"/>
      </w:pPr>
      <w:r>
        <w:continuationSeparator/>
      </w:r>
    </w:p>
  </w:footnote>
  <w:footnote w:id="1">
    <w:p w:rsidR="00CF5F04" w:rsidRPr="003F3706" w:rsidRDefault="00CF5F04" w:rsidP="00487828">
      <w:pPr>
        <w:spacing w:line="240" w:lineRule="auto"/>
        <w:jc w:val="both"/>
        <w:rPr>
          <w:rFonts w:ascii="Palatino Linotype" w:hAnsi="Palatino Linotype"/>
          <w:b/>
          <w:bCs/>
          <w:i/>
          <w:sz w:val="18"/>
          <w:szCs w:val="20"/>
          <w:lang w:eastAsia="es-MX"/>
        </w:rPr>
      </w:pPr>
      <w:r>
        <w:rPr>
          <w:rStyle w:val="Refdenotaalpie"/>
        </w:rPr>
        <w:footnoteRef/>
      </w:r>
      <w:r>
        <w:t xml:space="preserve"> </w:t>
      </w:r>
      <w:r w:rsidRPr="003F3706">
        <w:rPr>
          <w:rFonts w:ascii="Palatino Linotype" w:hAnsi="Palatino Linotype"/>
          <w:b/>
          <w:bCs/>
          <w:i/>
          <w:sz w:val="18"/>
          <w:szCs w:val="20"/>
        </w:rPr>
        <w:t>IMPROCEDENCIA Y SOBRESEIMIENTO EN EL JUICIO DE AMPARO. LAS CAUSAS PREVISTAS EN LOS ARTÍCULOS 73 Y 74 DE LA LEY DE LA MATERIA, RESPECTIVAMENTE, NO SON INCOMPATIBLES CON EL ARTÍCULO 25.1 DE LA CONVENCIÓN AMERICANA SOBRE DERECHOS HUMANOS.</w:t>
      </w:r>
    </w:p>
    <w:p w:rsidR="00CF5F04" w:rsidRPr="003F3706" w:rsidRDefault="00CF5F04" w:rsidP="00487828">
      <w:pPr>
        <w:spacing w:line="240" w:lineRule="auto"/>
        <w:jc w:val="both"/>
        <w:rPr>
          <w:rFonts w:ascii="Palatino Linotype" w:hAnsi="Palatino Linotype"/>
          <w:i/>
          <w:sz w:val="18"/>
          <w:szCs w:val="20"/>
        </w:rPr>
      </w:pPr>
      <w:r w:rsidRPr="003F3706">
        <w:rPr>
          <w:rFonts w:ascii="Palatino Linotype" w:hAnsi="Palatino Linotype"/>
          <w:i/>
          <w:sz w:val="18"/>
          <w:szCs w:val="20"/>
        </w:rPr>
        <w:t>Del examen de compatibilidad de los artículos</w:t>
      </w:r>
      <w:r w:rsidRPr="003F3706">
        <w:rPr>
          <w:rStyle w:val="apple-converted-space"/>
          <w:rFonts w:ascii="Palatino Linotype" w:hAnsi="Palatino Linotype"/>
          <w:i/>
          <w:sz w:val="18"/>
          <w:szCs w:val="20"/>
        </w:rPr>
        <w:t> </w:t>
      </w:r>
      <w:hyperlink r:id="rId1" w:history="1">
        <w:r w:rsidRPr="003F3706">
          <w:rPr>
            <w:rStyle w:val="Hipervnculo"/>
            <w:rFonts w:ascii="Palatino Linotype" w:hAnsi="Palatino Linotype"/>
            <w:i/>
            <w:sz w:val="18"/>
            <w:szCs w:val="20"/>
          </w:rPr>
          <w:t>73 y 74 de la Ley de Amparo</w:t>
        </w:r>
      </w:hyperlink>
      <w:r w:rsidRPr="003F3706">
        <w:rPr>
          <w:rStyle w:val="apple-converted-space"/>
          <w:rFonts w:ascii="Palatino Linotype" w:hAnsi="Palatino Linotype"/>
          <w:i/>
          <w:sz w:val="18"/>
          <w:szCs w:val="20"/>
        </w:rPr>
        <w:t> </w:t>
      </w:r>
      <w:r w:rsidRPr="003F3706">
        <w:rPr>
          <w:rFonts w:ascii="Palatino Linotype" w:hAnsi="Palatino Linotype"/>
          <w:i/>
          <w:sz w:val="18"/>
          <w:szCs w:val="20"/>
        </w:rPr>
        <w:t>con el artículo</w:t>
      </w:r>
      <w:r w:rsidRPr="003F3706">
        <w:rPr>
          <w:rStyle w:val="apple-converted-space"/>
          <w:rFonts w:ascii="Palatino Linotype" w:hAnsi="Palatino Linotype"/>
          <w:i/>
          <w:sz w:val="18"/>
          <w:szCs w:val="20"/>
        </w:rPr>
        <w:t> </w:t>
      </w:r>
      <w:hyperlink r:id="rId2" w:history="1">
        <w:r w:rsidRPr="003F3706">
          <w:rPr>
            <w:rStyle w:val="Hipervnculo"/>
            <w:rFonts w:ascii="Palatino Linotype" w:hAnsi="Palatino Linotype"/>
            <w:i/>
            <w:sz w:val="18"/>
            <w:szCs w:val="20"/>
          </w:rPr>
          <w:t>25.1 de la Convención Americana sobre Derechos Humanos</w:t>
        </w:r>
      </w:hyperlink>
      <w:r w:rsidRPr="003F3706">
        <w:rPr>
          <w:rStyle w:val="apple-converted-space"/>
          <w:rFonts w:ascii="Palatino Linotype" w:hAnsi="Palatino Linotype"/>
          <w:i/>
          <w:sz w:val="18"/>
          <w:szCs w:val="20"/>
        </w:rPr>
        <w:t> </w:t>
      </w:r>
      <w:r w:rsidRPr="003F3706">
        <w:rPr>
          <w:rFonts w:ascii="Palatino Linotype" w:hAnsi="Palatino Linotype"/>
          <w:b/>
          <w:i/>
          <w:sz w:val="18"/>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3706">
        <w:rPr>
          <w:rFonts w:ascii="Palatino Linotype" w:hAnsi="Palatino Linotype"/>
          <w:i/>
          <w:sz w:val="18"/>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F3706">
        <w:rPr>
          <w:rFonts w:ascii="Palatino Linotype" w:hAnsi="Palatino Linotype"/>
          <w:i/>
          <w:sz w:val="18"/>
          <w:szCs w:val="20"/>
        </w:rPr>
        <w:t>concesoria</w:t>
      </w:r>
      <w:proofErr w:type="spellEnd"/>
      <w:r w:rsidRPr="003F3706">
        <w:rPr>
          <w:rFonts w:ascii="Palatino Linotype" w:hAnsi="Palatino Linotype"/>
          <w:i/>
          <w:sz w:val="18"/>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CF5F04" w:rsidTr="00136D69">
      <w:trPr>
        <w:trHeight w:val="227"/>
      </w:trPr>
      <w:tc>
        <w:tcPr>
          <w:tcW w:w="5916" w:type="dxa"/>
          <w:vAlign w:val="center"/>
          <w:hideMark/>
        </w:tcPr>
        <w:p w:rsidR="00CF5F04" w:rsidRPr="00641471" w:rsidRDefault="00CF5F04" w:rsidP="00136D69">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1426F86E" wp14:editId="36155466">
                <wp:simplePos x="0" y="0"/>
                <wp:positionH relativeFrom="page">
                  <wp:posOffset>-846455</wp:posOffset>
                </wp:positionH>
                <wp:positionV relativeFrom="margin">
                  <wp:posOffset>-662940</wp:posOffset>
                </wp:positionV>
                <wp:extent cx="8078470" cy="11360150"/>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150"/>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rsidR="00CF5F04" w:rsidRPr="007052BF" w:rsidRDefault="00CF5F04" w:rsidP="00911046">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12360</w:t>
          </w:r>
          <w:r w:rsidRPr="007052BF">
            <w:rPr>
              <w:rFonts w:ascii="Palatino Linotype" w:hAnsi="Palatino Linotype" w:cs="Arial"/>
              <w:bCs/>
              <w:sz w:val="24"/>
              <w:lang w:eastAsia="es-MX"/>
            </w:rPr>
            <w:t>/INFOEM/IP/RR/202</w:t>
          </w:r>
          <w:r>
            <w:rPr>
              <w:rFonts w:ascii="Palatino Linotype" w:hAnsi="Palatino Linotype" w:cs="Arial"/>
              <w:bCs/>
              <w:sz w:val="24"/>
              <w:lang w:eastAsia="es-MX"/>
            </w:rPr>
            <w:t>2</w:t>
          </w:r>
        </w:p>
      </w:tc>
    </w:tr>
    <w:tr w:rsidR="00CF5F04" w:rsidTr="00136D69">
      <w:trPr>
        <w:trHeight w:val="242"/>
      </w:trPr>
      <w:tc>
        <w:tcPr>
          <w:tcW w:w="5916" w:type="dxa"/>
          <w:vAlign w:val="center"/>
          <w:hideMark/>
        </w:tcPr>
        <w:p w:rsidR="00CF5F04" w:rsidRPr="00641471" w:rsidRDefault="00CF5F04" w:rsidP="00136D6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rsidR="00CF5F04" w:rsidRPr="007052BF" w:rsidRDefault="00CF5F04" w:rsidP="00911046">
          <w:pPr>
            <w:spacing w:after="120" w:line="256" w:lineRule="auto"/>
            <w:jc w:val="right"/>
            <w:rPr>
              <w:rFonts w:ascii="Palatino Linotype" w:hAnsi="Palatino Linotype" w:cs="Arial"/>
              <w:szCs w:val="20"/>
            </w:rPr>
          </w:pPr>
          <w:r w:rsidRPr="0023387C">
            <w:rPr>
              <w:rFonts w:ascii="Palatino Linotype" w:hAnsi="Palatino Linotype" w:cs="Arial"/>
              <w:szCs w:val="20"/>
            </w:rPr>
            <w:t>Ayuntamiento de Cuautitlán Izcalli</w:t>
          </w:r>
        </w:p>
      </w:tc>
    </w:tr>
    <w:tr w:rsidR="00CF5F04" w:rsidTr="00136D69">
      <w:trPr>
        <w:trHeight w:val="342"/>
      </w:trPr>
      <w:tc>
        <w:tcPr>
          <w:tcW w:w="5916" w:type="dxa"/>
          <w:vAlign w:val="center"/>
          <w:hideMark/>
        </w:tcPr>
        <w:p w:rsidR="00CF5F04" w:rsidRPr="00641471" w:rsidRDefault="00CF5F04" w:rsidP="00136D6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rsidR="00CF5F04" w:rsidRPr="007052BF" w:rsidRDefault="00CF5F04" w:rsidP="00911046">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rsidR="00CF5F04" w:rsidRPr="00AE046A" w:rsidRDefault="00CF5F04" w:rsidP="00911046">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CF5F04" w:rsidTr="00911046">
      <w:trPr>
        <w:trHeight w:val="227"/>
      </w:trPr>
      <w:tc>
        <w:tcPr>
          <w:tcW w:w="2704" w:type="dxa"/>
          <w:vAlign w:val="center"/>
          <w:hideMark/>
        </w:tcPr>
        <w:p w:rsidR="00CF5F04" w:rsidRPr="00E77A29" w:rsidRDefault="00CF5F04" w:rsidP="00911046">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vAlign w:val="center"/>
          <w:hideMark/>
        </w:tcPr>
        <w:p w:rsidR="00CF5F04" w:rsidRPr="00E77A29" w:rsidRDefault="00CF5F04" w:rsidP="00911046">
          <w:pPr>
            <w:spacing w:after="0" w:line="276" w:lineRule="auto"/>
            <w:ind w:left="-486" w:firstLine="1585"/>
            <w:jc w:val="right"/>
            <w:rPr>
              <w:rFonts w:ascii="Palatino Linotype" w:hAnsi="Palatino Linotype" w:cs="Arial"/>
            </w:rPr>
          </w:pPr>
          <w:r>
            <w:rPr>
              <w:rFonts w:ascii="Palatino Linotype" w:hAnsi="Palatino Linotype" w:cs="Arial"/>
              <w:bCs/>
              <w:lang w:eastAsia="es-MX"/>
            </w:rPr>
            <w:t>12360/INFOEM/IP/RR/2022</w:t>
          </w:r>
        </w:p>
      </w:tc>
    </w:tr>
    <w:tr w:rsidR="00CF5F04" w:rsidTr="00136D69">
      <w:trPr>
        <w:trHeight w:val="242"/>
      </w:trPr>
      <w:tc>
        <w:tcPr>
          <w:tcW w:w="2704" w:type="dxa"/>
          <w:hideMark/>
        </w:tcPr>
        <w:p w:rsidR="00CF5F04" w:rsidRPr="00E77A29" w:rsidRDefault="00CF5F04" w:rsidP="00136D69">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vAlign w:val="center"/>
          <w:hideMark/>
        </w:tcPr>
        <w:p w:rsidR="00CF5F04" w:rsidRPr="00E77A29" w:rsidRDefault="00CF5F04" w:rsidP="00911046">
          <w:pPr>
            <w:spacing w:after="0" w:line="276" w:lineRule="auto"/>
            <w:ind w:left="-486" w:firstLine="977"/>
            <w:jc w:val="right"/>
            <w:rPr>
              <w:rFonts w:ascii="Palatino Linotype" w:hAnsi="Palatino Linotype" w:cs="Arial"/>
            </w:rPr>
          </w:pPr>
          <w:r w:rsidRPr="0023387C">
            <w:rPr>
              <w:rFonts w:ascii="Palatino Linotype" w:hAnsi="Palatino Linotype" w:cs="Arial"/>
            </w:rPr>
            <w:t>Ayuntamiento de Cuautitlán Izcalli</w:t>
          </w:r>
        </w:p>
      </w:tc>
    </w:tr>
    <w:tr w:rsidR="00CF5F04" w:rsidTr="00136D69">
      <w:trPr>
        <w:trHeight w:val="342"/>
      </w:trPr>
      <w:tc>
        <w:tcPr>
          <w:tcW w:w="2704" w:type="dxa"/>
        </w:tcPr>
        <w:p w:rsidR="00CF5F04" w:rsidRPr="00E77A29" w:rsidRDefault="00CF5F04" w:rsidP="00136D6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vAlign w:val="center"/>
        </w:tcPr>
        <w:p w:rsidR="00CF5F04" w:rsidRPr="00E77A29" w:rsidRDefault="003946A6" w:rsidP="00911046">
          <w:pPr>
            <w:spacing w:after="0" w:line="276" w:lineRule="auto"/>
            <w:ind w:left="-486" w:firstLine="567"/>
            <w:jc w:val="right"/>
            <w:rPr>
              <w:rFonts w:ascii="Palatino Linotype" w:hAnsi="Palatino Linotype" w:cs="Arial"/>
            </w:rPr>
          </w:pPr>
          <w:r>
            <w:rPr>
              <w:rFonts w:ascii="Palatino Linotype" w:hAnsi="Palatino Linotype" w:cs="Arial"/>
            </w:rPr>
            <w:t>XXXXXXXXXXXXXXXXXXXXXXX</w:t>
          </w:r>
        </w:p>
      </w:tc>
    </w:tr>
    <w:tr w:rsidR="00CF5F04" w:rsidTr="00911046">
      <w:trPr>
        <w:trHeight w:val="60"/>
      </w:trPr>
      <w:tc>
        <w:tcPr>
          <w:tcW w:w="2704" w:type="dxa"/>
          <w:vAlign w:val="center"/>
        </w:tcPr>
        <w:p w:rsidR="00CF5F04" w:rsidRPr="00E77A29" w:rsidRDefault="00CF5F04" w:rsidP="00911046">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vAlign w:val="center"/>
        </w:tcPr>
        <w:p w:rsidR="00CF5F04" w:rsidRPr="00E77A29" w:rsidRDefault="00CF5F04" w:rsidP="00911046">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rsidR="00CF5F04" w:rsidRPr="00C222C0" w:rsidRDefault="00CF5F0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53AEFC" wp14:editId="046CE2E6">
          <wp:simplePos x="0" y="0"/>
          <wp:positionH relativeFrom="margin">
            <wp:posOffset>-1290320</wp:posOffset>
          </wp:positionH>
          <wp:positionV relativeFrom="margin">
            <wp:posOffset>-1553652</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FEA"/>
      </v:shape>
    </w:pict>
  </w:numPicBullet>
  <w:abstractNum w:abstractNumId="0" w15:restartNumberingAfterBreak="0">
    <w:nsid w:val="0027192D"/>
    <w:multiLevelType w:val="hybridMultilevel"/>
    <w:tmpl w:val="07325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3E2765"/>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954D37"/>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B122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0F5668"/>
    <w:multiLevelType w:val="hybridMultilevel"/>
    <w:tmpl w:val="3F843A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936641"/>
    <w:multiLevelType w:val="hybridMultilevel"/>
    <w:tmpl w:val="D740432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1B2CCF"/>
    <w:multiLevelType w:val="hybridMultilevel"/>
    <w:tmpl w:val="9EA475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7E7F80"/>
    <w:multiLevelType w:val="hybridMultilevel"/>
    <w:tmpl w:val="11F8A4C0"/>
    <w:lvl w:ilvl="0" w:tplc="DF822CC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763CB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D70EB4"/>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2"/>
  </w:num>
  <w:num w:numId="3">
    <w:abstractNumId w:val="21"/>
  </w:num>
  <w:num w:numId="4">
    <w:abstractNumId w:val="24"/>
  </w:num>
  <w:num w:numId="5">
    <w:abstractNumId w:val="16"/>
  </w:num>
  <w:num w:numId="6">
    <w:abstractNumId w:val="4"/>
  </w:num>
  <w:num w:numId="7">
    <w:abstractNumId w:val="11"/>
  </w:num>
  <w:num w:numId="8">
    <w:abstractNumId w:val="9"/>
  </w:num>
  <w:num w:numId="9">
    <w:abstractNumId w:val="7"/>
  </w:num>
  <w:num w:numId="10">
    <w:abstractNumId w:val="22"/>
  </w:num>
  <w:num w:numId="11">
    <w:abstractNumId w:val="20"/>
  </w:num>
  <w:num w:numId="12">
    <w:abstractNumId w:val="6"/>
  </w:num>
  <w:num w:numId="13">
    <w:abstractNumId w:val="5"/>
  </w:num>
  <w:num w:numId="14">
    <w:abstractNumId w:val="1"/>
  </w:num>
  <w:num w:numId="15">
    <w:abstractNumId w:val="27"/>
  </w:num>
  <w:num w:numId="16">
    <w:abstractNumId w:val="28"/>
  </w:num>
  <w:num w:numId="17">
    <w:abstractNumId w:val="10"/>
  </w:num>
  <w:num w:numId="18">
    <w:abstractNumId w:val="17"/>
  </w:num>
  <w:num w:numId="19">
    <w:abstractNumId w:val="26"/>
  </w:num>
  <w:num w:numId="20">
    <w:abstractNumId w:val="25"/>
  </w:num>
  <w:num w:numId="21">
    <w:abstractNumId w:val="8"/>
  </w:num>
  <w:num w:numId="22">
    <w:abstractNumId w:val="14"/>
  </w:num>
  <w:num w:numId="23">
    <w:abstractNumId w:val="13"/>
  </w:num>
  <w:num w:numId="24">
    <w:abstractNumId w:val="23"/>
  </w:num>
  <w:num w:numId="25">
    <w:abstractNumId w:val="3"/>
  </w:num>
  <w:num w:numId="26">
    <w:abstractNumId w:val="29"/>
  </w:num>
  <w:num w:numId="27">
    <w:abstractNumId w:val="18"/>
  </w:num>
  <w:num w:numId="28">
    <w:abstractNumId w:val="19"/>
  </w:num>
  <w:num w:numId="29">
    <w:abstractNumId w:val="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28"/>
    <w:rsid w:val="00017C26"/>
    <w:rsid w:val="00080916"/>
    <w:rsid w:val="000C0D0B"/>
    <w:rsid w:val="001123AC"/>
    <w:rsid w:val="00136D69"/>
    <w:rsid w:val="001C440D"/>
    <w:rsid w:val="001E4D7F"/>
    <w:rsid w:val="0021054A"/>
    <w:rsid w:val="0023387C"/>
    <w:rsid w:val="00285DF8"/>
    <w:rsid w:val="002A022A"/>
    <w:rsid w:val="002C3000"/>
    <w:rsid w:val="002D06AC"/>
    <w:rsid w:val="002F1D71"/>
    <w:rsid w:val="0030054A"/>
    <w:rsid w:val="00352B30"/>
    <w:rsid w:val="003632BC"/>
    <w:rsid w:val="003946A6"/>
    <w:rsid w:val="003B24D9"/>
    <w:rsid w:val="004121F3"/>
    <w:rsid w:val="00487828"/>
    <w:rsid w:val="00597A3F"/>
    <w:rsid w:val="005A5C1F"/>
    <w:rsid w:val="005B3A52"/>
    <w:rsid w:val="006156D0"/>
    <w:rsid w:val="00693C64"/>
    <w:rsid w:val="006C5305"/>
    <w:rsid w:val="006D0016"/>
    <w:rsid w:val="00707CD9"/>
    <w:rsid w:val="007923AB"/>
    <w:rsid w:val="007B7064"/>
    <w:rsid w:val="007C0229"/>
    <w:rsid w:val="008037B8"/>
    <w:rsid w:val="008040C7"/>
    <w:rsid w:val="0088432C"/>
    <w:rsid w:val="008C4984"/>
    <w:rsid w:val="00906DB3"/>
    <w:rsid w:val="00911046"/>
    <w:rsid w:val="009A6A1D"/>
    <w:rsid w:val="00A2372A"/>
    <w:rsid w:val="00A53E2D"/>
    <w:rsid w:val="00A719D8"/>
    <w:rsid w:val="00AA2BAD"/>
    <w:rsid w:val="00AA7243"/>
    <w:rsid w:val="00AB0A76"/>
    <w:rsid w:val="00B5154E"/>
    <w:rsid w:val="00BF1FF2"/>
    <w:rsid w:val="00C24066"/>
    <w:rsid w:val="00C80BEC"/>
    <w:rsid w:val="00C8149C"/>
    <w:rsid w:val="00CF5F04"/>
    <w:rsid w:val="00DC3FA1"/>
    <w:rsid w:val="00DF4ECA"/>
    <w:rsid w:val="00E231BD"/>
    <w:rsid w:val="00E253F5"/>
    <w:rsid w:val="00EB2F98"/>
    <w:rsid w:val="00F03EDF"/>
    <w:rsid w:val="00F07B44"/>
    <w:rsid w:val="00F3477C"/>
    <w:rsid w:val="00F515AC"/>
    <w:rsid w:val="00FB4649"/>
    <w:rsid w:val="00FC5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409B2-4F76-42E3-B23E-960EEE8C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2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782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782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8782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782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7828"/>
  </w:style>
  <w:style w:type="character" w:styleId="Hipervnculo">
    <w:name w:val="Hyperlink"/>
    <w:aliases w:val="Hipervínculo1,Hipervínculo11,Hipervínculo12,Hipervínculo13,Hipervínculo14,Hipervínculo15"/>
    <w:basedOn w:val="Fuentedeprrafopredeter"/>
    <w:uiPriority w:val="99"/>
    <w:unhideWhenUsed/>
    <w:rsid w:val="0048782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87828"/>
    <w:rPr>
      <w:vertAlign w:val="superscript"/>
    </w:rPr>
  </w:style>
  <w:style w:type="paragraph" w:styleId="Sinespaciado">
    <w:name w:val="No Spacing"/>
    <w:aliases w:val="Francesa,INAI"/>
    <w:link w:val="SinespaciadoCar"/>
    <w:uiPriority w:val="1"/>
    <w:qFormat/>
    <w:rsid w:val="00487828"/>
    <w:pPr>
      <w:spacing w:after="0" w:line="240" w:lineRule="auto"/>
    </w:pPr>
  </w:style>
  <w:style w:type="character" w:customStyle="1" w:styleId="SinespaciadoCar">
    <w:name w:val="Sin espaciado Car"/>
    <w:aliases w:val="Francesa Car,INAI Car"/>
    <w:link w:val="Sinespaciado"/>
    <w:uiPriority w:val="1"/>
    <w:locked/>
    <w:rsid w:val="00487828"/>
  </w:style>
  <w:style w:type="paragraph" w:styleId="Textoindependiente">
    <w:name w:val="Body Text"/>
    <w:basedOn w:val="Normal"/>
    <w:link w:val="TextoindependienteCar"/>
    <w:uiPriority w:val="1"/>
    <w:qFormat/>
    <w:rsid w:val="0048782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87828"/>
    <w:rPr>
      <w:rFonts w:ascii="Arial" w:eastAsia="Arial" w:hAnsi="Arial" w:cs="Arial"/>
      <w:sz w:val="24"/>
      <w:szCs w:val="24"/>
      <w:lang w:val="es-ES" w:eastAsia="es-ES" w:bidi="es-ES"/>
    </w:rPr>
  </w:style>
  <w:style w:type="table" w:styleId="Tablaconcuadrcula">
    <w:name w:val="Table Grid"/>
    <w:basedOn w:val="Tablanormal"/>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487828"/>
    <w:pPr>
      <w:spacing w:after="120" w:line="480" w:lineRule="auto"/>
    </w:pPr>
  </w:style>
  <w:style w:type="character" w:customStyle="1" w:styleId="Textoindependiente2Car">
    <w:name w:val="Texto independiente 2 Car"/>
    <w:basedOn w:val="Fuentedeprrafopredeter"/>
    <w:link w:val="Textoindependiente2"/>
    <w:uiPriority w:val="99"/>
    <w:semiHidden/>
    <w:rsid w:val="0048782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78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78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33</Pages>
  <Words>8126</Words>
  <Characters>44698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Rodrigo Nájera</cp:lastModifiedBy>
  <cp:revision>7</cp:revision>
  <dcterms:created xsi:type="dcterms:W3CDTF">2022-09-01T15:23:00Z</dcterms:created>
  <dcterms:modified xsi:type="dcterms:W3CDTF">2022-10-07T03:09:00Z</dcterms:modified>
</cp:coreProperties>
</file>