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4CF4FC1A" w:rsidR="00CD3170" w:rsidRPr="005D5FE7"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5D5F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A00A1" w:rsidRPr="005D5FE7">
        <w:rPr>
          <w:rFonts w:ascii="Palatino Linotype" w:eastAsia="Palatino Linotype" w:hAnsi="Palatino Linotype" w:cs="Palatino Linotype"/>
        </w:rPr>
        <w:t>cinco</w:t>
      </w:r>
      <w:r w:rsidRPr="005D5FE7">
        <w:rPr>
          <w:rFonts w:ascii="Palatino Linotype" w:eastAsia="Palatino Linotype" w:hAnsi="Palatino Linotype" w:cs="Palatino Linotype"/>
        </w:rPr>
        <w:t xml:space="preserve"> de </w:t>
      </w:r>
      <w:r w:rsidR="004A00A1" w:rsidRPr="005D5FE7">
        <w:rPr>
          <w:rFonts w:ascii="Palatino Linotype" w:eastAsia="Palatino Linotype" w:hAnsi="Palatino Linotype" w:cs="Palatino Linotype"/>
        </w:rPr>
        <w:t>octu</w:t>
      </w:r>
      <w:r w:rsidR="000939F3" w:rsidRPr="005D5FE7">
        <w:rPr>
          <w:rFonts w:ascii="Palatino Linotype" w:eastAsia="Palatino Linotype" w:hAnsi="Palatino Linotype" w:cs="Palatino Linotype"/>
        </w:rPr>
        <w:t>bre</w:t>
      </w:r>
      <w:r w:rsidRPr="005D5FE7">
        <w:rPr>
          <w:rFonts w:ascii="Palatino Linotype" w:eastAsia="Palatino Linotype" w:hAnsi="Palatino Linotype" w:cs="Palatino Linotype"/>
        </w:rPr>
        <w:t xml:space="preserve"> de dos mil veintidós. </w:t>
      </w:r>
    </w:p>
    <w:p w14:paraId="10FDE473" w14:textId="67B4D0FD" w:rsidR="00CD3170" w:rsidRPr="005D5FE7" w:rsidRDefault="003B7461"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VISTO</w:t>
      </w:r>
      <w:r w:rsidRPr="005D5FE7">
        <w:rPr>
          <w:rFonts w:ascii="Palatino Linotype" w:eastAsia="Palatino Linotype" w:hAnsi="Palatino Linotype" w:cs="Palatino Linotype"/>
        </w:rPr>
        <w:t xml:space="preserve"> el expediente formado con motivo del recurso de revisión </w:t>
      </w:r>
      <w:r w:rsidRPr="005D5FE7">
        <w:rPr>
          <w:rFonts w:ascii="Palatino Linotype" w:eastAsia="Palatino Linotype" w:hAnsi="Palatino Linotype" w:cs="Palatino Linotype"/>
          <w:b/>
        </w:rPr>
        <w:t>0</w:t>
      </w:r>
      <w:r w:rsidR="00A320B2" w:rsidRPr="005D5FE7">
        <w:rPr>
          <w:rFonts w:ascii="Palatino Linotype" w:eastAsia="Palatino Linotype" w:hAnsi="Palatino Linotype" w:cs="Palatino Linotype"/>
          <w:b/>
        </w:rPr>
        <w:t>8429</w:t>
      </w:r>
      <w:r w:rsidRPr="005D5FE7">
        <w:rPr>
          <w:rFonts w:ascii="Palatino Linotype" w:eastAsia="Palatino Linotype" w:hAnsi="Palatino Linotype" w:cs="Palatino Linotype"/>
          <w:b/>
        </w:rPr>
        <w:t>/INFOEM/IP/RR/2022</w:t>
      </w:r>
      <w:r w:rsidRPr="005D5FE7">
        <w:rPr>
          <w:rFonts w:ascii="Palatino Linotype" w:eastAsia="Palatino Linotype" w:hAnsi="Palatino Linotype" w:cs="Palatino Linotype"/>
        </w:rPr>
        <w:t xml:space="preserve">, interpuesto </w:t>
      </w:r>
      <w:r w:rsidR="001F1BD6">
        <w:rPr>
          <w:rFonts w:ascii="Palatino Linotype" w:eastAsia="Palatino Linotype" w:hAnsi="Palatino Linotype" w:cs="Palatino Linotype"/>
          <w:b/>
        </w:rPr>
        <w:t xml:space="preserve">XXXXX XXXXXX </w:t>
      </w:r>
      <w:proofErr w:type="spellStart"/>
      <w:r w:rsidR="001F1BD6">
        <w:rPr>
          <w:rFonts w:ascii="Palatino Linotype" w:eastAsia="Palatino Linotype" w:hAnsi="Palatino Linotype" w:cs="Palatino Linotype"/>
          <w:b/>
        </w:rPr>
        <w:t>XXXXXX</w:t>
      </w:r>
      <w:proofErr w:type="spellEnd"/>
      <w:r w:rsidRPr="005D5FE7">
        <w:rPr>
          <w:rFonts w:ascii="Palatino Linotype" w:eastAsia="Palatino Linotype" w:hAnsi="Palatino Linotype" w:cs="Palatino Linotype"/>
          <w:b/>
        </w:rPr>
        <w:t xml:space="preserve"> </w:t>
      </w:r>
      <w:r w:rsidRPr="005D5FE7">
        <w:rPr>
          <w:rFonts w:ascii="Palatino Linotype" w:eastAsia="Palatino Linotype" w:hAnsi="Palatino Linotype" w:cs="Palatino Linotype"/>
        </w:rPr>
        <w:t>quien en lo sucesivo</w:t>
      </w:r>
      <w:r w:rsidRPr="005D5FE7">
        <w:rPr>
          <w:rFonts w:ascii="Palatino Linotype" w:eastAsia="Palatino Linotype" w:hAnsi="Palatino Linotype" w:cs="Palatino Linotype"/>
          <w:b/>
        </w:rPr>
        <w:t xml:space="preserve"> </w:t>
      </w:r>
      <w:r w:rsidRPr="005D5FE7">
        <w:rPr>
          <w:rFonts w:ascii="Palatino Linotype" w:eastAsia="Palatino Linotype" w:hAnsi="Palatino Linotype" w:cs="Palatino Linotype"/>
        </w:rPr>
        <w:t xml:space="preserve">será identificado en su calidad de </w:t>
      </w:r>
      <w:r w:rsidRPr="005D5FE7">
        <w:rPr>
          <w:rFonts w:ascii="Palatino Linotype" w:eastAsia="Palatino Linotype" w:hAnsi="Palatino Linotype" w:cs="Palatino Linotype"/>
          <w:b/>
        </w:rPr>
        <w:t>RECURRENTE,</w:t>
      </w:r>
      <w:r w:rsidRPr="005D5FE7">
        <w:rPr>
          <w:rFonts w:ascii="Palatino Linotype" w:eastAsia="Palatino Linotype" w:hAnsi="Palatino Linotype" w:cs="Palatino Linotype"/>
        </w:rPr>
        <w:t xml:space="preserve"> en contra de la respuesta del </w:t>
      </w:r>
      <w:r w:rsidR="000939F3" w:rsidRPr="005D5FE7">
        <w:rPr>
          <w:rFonts w:ascii="Palatino Linotype" w:eastAsia="Palatino Linotype" w:hAnsi="Palatino Linotype" w:cs="Palatino Linotype"/>
          <w:b/>
        </w:rPr>
        <w:t xml:space="preserve">Ayuntamiento de </w:t>
      </w:r>
      <w:r w:rsidR="00A320B2" w:rsidRPr="005D5FE7">
        <w:rPr>
          <w:rFonts w:ascii="Palatino Linotype" w:eastAsia="Palatino Linotype" w:hAnsi="Palatino Linotype" w:cs="Palatino Linotype"/>
          <w:b/>
        </w:rPr>
        <w:t>Tecámac</w:t>
      </w:r>
      <w:r w:rsidRPr="005D5FE7">
        <w:rPr>
          <w:rFonts w:ascii="Palatino Linotype" w:eastAsia="Palatino Linotype" w:hAnsi="Palatino Linotype" w:cs="Palatino Linotype"/>
          <w:b/>
        </w:rPr>
        <w:t xml:space="preserve">, </w:t>
      </w:r>
      <w:r w:rsidRPr="005D5FE7">
        <w:rPr>
          <w:rFonts w:ascii="Palatino Linotype" w:eastAsia="Palatino Linotype" w:hAnsi="Palatino Linotype" w:cs="Palatino Linotype"/>
        </w:rPr>
        <w:t xml:space="preserve">en lo sucesivo el </w:t>
      </w:r>
      <w:r w:rsidRPr="005D5FE7">
        <w:rPr>
          <w:rFonts w:ascii="Palatino Linotype" w:eastAsia="Palatino Linotype" w:hAnsi="Palatino Linotype" w:cs="Palatino Linotype"/>
          <w:b/>
        </w:rPr>
        <w:t xml:space="preserve">SUJETO OBLIGADO, </w:t>
      </w:r>
      <w:r w:rsidRPr="005D5FE7">
        <w:rPr>
          <w:rFonts w:ascii="Palatino Linotype" w:eastAsia="Palatino Linotype" w:hAnsi="Palatino Linotype" w:cs="Palatino Linotype"/>
        </w:rPr>
        <w:t xml:space="preserve">se procede a dictar la presente resolución con base en los siguientes: </w:t>
      </w:r>
    </w:p>
    <w:p w14:paraId="7731CDBD" w14:textId="77777777" w:rsidR="00CD3170" w:rsidRPr="005D5FE7" w:rsidRDefault="003B7461" w:rsidP="00B77680">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5D5FE7">
        <w:rPr>
          <w:rFonts w:ascii="Palatino Linotype" w:eastAsia="Palatino Linotype" w:hAnsi="Palatino Linotype" w:cs="Palatino Linotype"/>
          <w:b/>
        </w:rPr>
        <w:t>I. A N T E C E D E N T E S</w:t>
      </w:r>
    </w:p>
    <w:p w14:paraId="4CAED42E" w14:textId="11EA8F59" w:rsidR="00CD3170" w:rsidRPr="005D5FE7" w:rsidRDefault="003B7461"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1. Solicitud de acceso a la información.</w:t>
      </w:r>
      <w:r w:rsidRPr="005D5FE7">
        <w:rPr>
          <w:rFonts w:ascii="Palatino Linotype" w:eastAsia="Palatino Linotype" w:hAnsi="Palatino Linotype" w:cs="Palatino Linotype"/>
        </w:rPr>
        <w:t xml:space="preserve"> El </w:t>
      </w:r>
      <w:r w:rsidR="00C11DC2" w:rsidRPr="005D5FE7">
        <w:rPr>
          <w:rFonts w:ascii="Palatino Linotype" w:eastAsia="Palatino Linotype" w:hAnsi="Palatino Linotype" w:cs="Palatino Linotype"/>
          <w:b/>
        </w:rPr>
        <w:t>veintiséis</w:t>
      </w:r>
      <w:r w:rsidRPr="005D5FE7">
        <w:rPr>
          <w:rFonts w:ascii="Palatino Linotype" w:eastAsia="Palatino Linotype" w:hAnsi="Palatino Linotype" w:cs="Palatino Linotype"/>
          <w:b/>
        </w:rPr>
        <w:t xml:space="preserve"> de </w:t>
      </w:r>
      <w:r w:rsidR="00C11DC2" w:rsidRPr="005D5FE7">
        <w:rPr>
          <w:rFonts w:ascii="Palatino Linotype" w:eastAsia="Palatino Linotype" w:hAnsi="Palatino Linotype" w:cs="Palatino Linotype"/>
          <w:b/>
        </w:rPr>
        <w:t>abril</w:t>
      </w:r>
      <w:r w:rsidRPr="005D5FE7">
        <w:rPr>
          <w:rFonts w:ascii="Palatino Linotype" w:eastAsia="Palatino Linotype" w:hAnsi="Palatino Linotype" w:cs="Palatino Linotype"/>
          <w:b/>
        </w:rPr>
        <w:t xml:space="preserve"> de dos mil veintidós,</w:t>
      </w:r>
      <w:r w:rsidRPr="005D5FE7">
        <w:rPr>
          <w:rFonts w:ascii="Palatino Linotype" w:eastAsia="Palatino Linotype" w:hAnsi="Palatino Linotype" w:cs="Palatino Linotype"/>
        </w:rPr>
        <w:t xml:space="preserve"> el </w:t>
      </w:r>
      <w:r w:rsidRPr="005D5FE7">
        <w:rPr>
          <w:rFonts w:ascii="Palatino Linotype" w:eastAsia="Palatino Linotype" w:hAnsi="Palatino Linotype" w:cs="Palatino Linotype"/>
          <w:b/>
        </w:rPr>
        <w:t xml:space="preserve">RECURRENTE </w:t>
      </w:r>
      <w:r w:rsidRPr="005D5FE7">
        <w:rPr>
          <w:rFonts w:ascii="Palatino Linotype" w:eastAsia="Palatino Linotype" w:hAnsi="Palatino Linotype" w:cs="Palatino Linotype"/>
        </w:rPr>
        <w:t>presentó a través del Sistema de Acceso a la Información Mexiquense (</w:t>
      </w:r>
      <w:r w:rsidRPr="005D5FE7">
        <w:rPr>
          <w:rFonts w:ascii="Palatino Linotype" w:eastAsia="Palatino Linotype" w:hAnsi="Palatino Linotype" w:cs="Palatino Linotype"/>
          <w:b/>
        </w:rPr>
        <w:t>SAIMEX),</w:t>
      </w:r>
      <w:r w:rsidRPr="005D5FE7">
        <w:rPr>
          <w:rFonts w:ascii="Palatino Linotype" w:eastAsia="Palatino Linotype" w:hAnsi="Palatino Linotype" w:cs="Palatino Linotype"/>
        </w:rPr>
        <w:t xml:space="preserve"> la solicitud de acceso a la información pública registrada con el número </w:t>
      </w:r>
      <w:r w:rsidRPr="005D5FE7">
        <w:rPr>
          <w:rFonts w:ascii="Palatino Linotype" w:eastAsia="Palatino Linotype" w:hAnsi="Palatino Linotype" w:cs="Palatino Linotype"/>
          <w:b/>
        </w:rPr>
        <w:t>0</w:t>
      </w:r>
      <w:r w:rsidR="000939F3" w:rsidRPr="005D5FE7">
        <w:rPr>
          <w:rFonts w:ascii="Palatino Linotype" w:eastAsia="Palatino Linotype" w:hAnsi="Palatino Linotype" w:cs="Palatino Linotype"/>
          <w:b/>
        </w:rPr>
        <w:t>0</w:t>
      </w:r>
      <w:r w:rsidR="00002520" w:rsidRPr="005D5FE7">
        <w:rPr>
          <w:rFonts w:ascii="Palatino Linotype" w:eastAsia="Palatino Linotype" w:hAnsi="Palatino Linotype" w:cs="Palatino Linotype"/>
          <w:b/>
        </w:rPr>
        <w:t>110</w:t>
      </w:r>
      <w:r w:rsidRPr="005D5FE7">
        <w:rPr>
          <w:rFonts w:ascii="Palatino Linotype" w:eastAsia="Palatino Linotype" w:hAnsi="Palatino Linotype" w:cs="Palatino Linotype"/>
          <w:b/>
        </w:rPr>
        <w:t>/</w:t>
      </w:r>
      <w:r w:rsidR="00002520" w:rsidRPr="005D5FE7">
        <w:rPr>
          <w:rFonts w:ascii="Palatino Linotype" w:eastAsia="Palatino Linotype" w:hAnsi="Palatino Linotype" w:cs="Palatino Linotype"/>
          <w:b/>
        </w:rPr>
        <w:t>TECAMAC</w:t>
      </w:r>
      <w:r w:rsidRPr="005D5FE7">
        <w:rPr>
          <w:rFonts w:ascii="Palatino Linotype" w:eastAsia="Palatino Linotype" w:hAnsi="Palatino Linotype" w:cs="Palatino Linotype"/>
          <w:b/>
        </w:rPr>
        <w:t xml:space="preserve">/IP/2022, </w:t>
      </w:r>
      <w:r w:rsidRPr="005D5FE7">
        <w:rPr>
          <w:rFonts w:ascii="Palatino Linotype" w:eastAsia="Palatino Linotype" w:hAnsi="Palatino Linotype" w:cs="Palatino Linotype"/>
        </w:rPr>
        <w:t xml:space="preserve">mediante la cual requirió la información siguiente: </w:t>
      </w:r>
    </w:p>
    <w:p w14:paraId="6A0EC0C0" w14:textId="0309ADEB" w:rsidR="00CD3170" w:rsidRPr="005D5FE7" w:rsidRDefault="003B7461" w:rsidP="00DE313A">
      <w:pPr>
        <w:spacing w:before="240" w:after="240"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5D5FE7">
        <w:rPr>
          <w:rFonts w:ascii="Palatino Linotype" w:eastAsia="Palatino Linotype" w:hAnsi="Palatino Linotype" w:cs="Palatino Linotype"/>
          <w:i/>
          <w:sz w:val="22"/>
          <w:szCs w:val="22"/>
        </w:rPr>
        <w:t>“</w:t>
      </w:r>
      <w:r w:rsidR="00002520" w:rsidRPr="005D5FE7">
        <w:rPr>
          <w:rFonts w:ascii="Palatino Linotype" w:eastAsia="Palatino Linotype" w:hAnsi="Palatino Linotype" w:cs="Palatino Linotype"/>
          <w:i/>
          <w:sz w:val="22"/>
          <w:szCs w:val="22"/>
        </w:rPr>
        <w:t>Solicito en versión pública todos los recibos de nómina del personal de la Tesorería Municipal y/o Secretaria de Finanzas del Ayuntamiento de Tecámac; esta información es para una estadística de un trabajo escolar que estoy realizando y lo comparo con diferentes municipios del Estado de México. Gracias</w:t>
      </w:r>
      <w:r w:rsidR="000939F3"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i/>
          <w:sz w:val="22"/>
          <w:szCs w:val="22"/>
        </w:rPr>
        <w:t>”</w:t>
      </w:r>
      <w:r w:rsidR="00556A5C" w:rsidRPr="005D5FE7">
        <w:rPr>
          <w:rFonts w:ascii="Palatino Linotype" w:eastAsia="Palatino Linotype" w:hAnsi="Palatino Linotype" w:cs="Palatino Linotype"/>
          <w:i/>
          <w:sz w:val="22"/>
          <w:szCs w:val="22"/>
        </w:rPr>
        <w:t xml:space="preserve"> </w:t>
      </w:r>
      <w:r w:rsidRPr="005D5FE7">
        <w:rPr>
          <w:rFonts w:ascii="Palatino Linotype" w:eastAsia="Palatino Linotype" w:hAnsi="Palatino Linotype" w:cs="Palatino Linotype"/>
          <w:i/>
          <w:sz w:val="22"/>
          <w:szCs w:val="22"/>
        </w:rPr>
        <w:t>(Sic)</w:t>
      </w:r>
    </w:p>
    <w:p w14:paraId="12A67935" w14:textId="3D921CEC" w:rsidR="00CD3170" w:rsidRPr="005D5FE7" w:rsidRDefault="003B7461"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Modalidad de Entrega:</w:t>
      </w:r>
      <w:r w:rsidRPr="005D5FE7">
        <w:rPr>
          <w:rFonts w:ascii="Palatino Linotype" w:eastAsia="Palatino Linotype" w:hAnsi="Palatino Linotype" w:cs="Palatino Linotype"/>
        </w:rPr>
        <w:t xml:space="preserve"> </w:t>
      </w:r>
      <w:r w:rsidR="00C11DC2" w:rsidRPr="005D5FE7">
        <w:rPr>
          <w:rFonts w:ascii="Palatino Linotype" w:eastAsia="Palatino Linotype" w:hAnsi="Palatino Linotype" w:cs="Palatino Linotype"/>
        </w:rPr>
        <w:t>A</w:t>
      </w:r>
      <w:r w:rsidRPr="005D5FE7">
        <w:rPr>
          <w:rFonts w:ascii="Palatino Linotype" w:eastAsia="Palatino Linotype" w:hAnsi="Palatino Linotype" w:cs="Palatino Linotype"/>
        </w:rPr>
        <w:t xml:space="preserve"> través del Sistema de Acceso a la Información Mexiquense (SAIMEX).</w:t>
      </w:r>
    </w:p>
    <w:p w14:paraId="1784AB7E" w14:textId="5CD99C2C" w:rsidR="00CD3170" w:rsidRPr="005D5FE7" w:rsidRDefault="003B7461" w:rsidP="00B77680">
      <w:pPr>
        <w:spacing w:before="240" w:after="240" w:line="360" w:lineRule="auto"/>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rPr>
        <w:t>2</w:t>
      </w:r>
      <w:r w:rsidRPr="005D5FE7">
        <w:rPr>
          <w:rFonts w:ascii="Palatino Linotype" w:eastAsia="Palatino Linotype" w:hAnsi="Palatino Linotype" w:cs="Palatino Linotype"/>
          <w:i/>
          <w:sz w:val="22"/>
          <w:szCs w:val="22"/>
        </w:rPr>
        <w:t xml:space="preserve">. </w:t>
      </w:r>
      <w:r w:rsidRPr="005D5FE7">
        <w:rPr>
          <w:rFonts w:ascii="Palatino Linotype" w:eastAsia="Palatino Linotype" w:hAnsi="Palatino Linotype" w:cs="Palatino Linotype"/>
          <w:b/>
        </w:rPr>
        <w:t xml:space="preserve">Respuesta. </w:t>
      </w:r>
      <w:r w:rsidRPr="005D5FE7">
        <w:rPr>
          <w:rFonts w:ascii="Palatino Linotype" w:eastAsia="Palatino Linotype" w:hAnsi="Palatino Linotype" w:cs="Palatino Linotype"/>
        </w:rPr>
        <w:t xml:space="preserve"> El </w:t>
      </w:r>
      <w:r w:rsidR="004D6ABC" w:rsidRPr="005D5FE7">
        <w:rPr>
          <w:rFonts w:ascii="Palatino Linotype" w:eastAsia="Palatino Linotype" w:hAnsi="Palatino Linotype" w:cs="Palatino Linotype"/>
          <w:b/>
        </w:rPr>
        <w:t>seis</w:t>
      </w:r>
      <w:r w:rsidRPr="005D5FE7">
        <w:rPr>
          <w:rFonts w:ascii="Palatino Linotype" w:eastAsia="Palatino Linotype" w:hAnsi="Palatino Linotype" w:cs="Palatino Linotype"/>
          <w:b/>
        </w:rPr>
        <w:t xml:space="preserve"> de </w:t>
      </w:r>
      <w:r w:rsidR="004D6ABC" w:rsidRPr="005D5FE7">
        <w:rPr>
          <w:rFonts w:ascii="Palatino Linotype" w:eastAsia="Palatino Linotype" w:hAnsi="Palatino Linotype" w:cs="Palatino Linotype"/>
          <w:b/>
        </w:rPr>
        <w:t>mayo</w:t>
      </w:r>
      <w:r w:rsidRPr="005D5FE7">
        <w:rPr>
          <w:rFonts w:ascii="Palatino Linotype" w:eastAsia="Palatino Linotype" w:hAnsi="Palatino Linotype" w:cs="Palatino Linotype"/>
          <w:b/>
        </w:rPr>
        <w:t xml:space="preserve"> de dos mil veintidós</w:t>
      </w:r>
      <w:r w:rsidRPr="005D5FE7">
        <w:rPr>
          <w:rFonts w:ascii="Palatino Linotype" w:eastAsia="Palatino Linotype" w:hAnsi="Palatino Linotype" w:cs="Palatino Linotype"/>
        </w:rPr>
        <w:t xml:space="preserve">, 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xml:space="preserve"> respondió a la solicitud de información en los términos siguientes:</w:t>
      </w:r>
    </w:p>
    <w:p w14:paraId="232557CA" w14:textId="602E484D" w:rsidR="00CD3170" w:rsidRPr="005D5FE7" w:rsidRDefault="00CA7477" w:rsidP="00B77680">
      <w:pPr>
        <w:spacing w:before="240" w:after="240" w:line="276" w:lineRule="auto"/>
        <w:ind w:left="851" w:right="616"/>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lastRenderedPageBreak/>
        <w:t>“</w:t>
      </w:r>
      <w:r w:rsidR="006A2150" w:rsidRPr="005D5FE7">
        <w:rPr>
          <w:rFonts w:ascii="Palatino Linotype" w:eastAsia="Palatino Linotype" w:hAnsi="Palatino Linotype" w:cs="Palatino Linotype"/>
          <w:i/>
          <w:sz w:val="22"/>
          <w:szCs w:val="22"/>
        </w:rPr>
        <w:t>SE ADJUNTA A LA PRESENTE OFICIO DE CONTESTACIÓN EN TIEMPO Y FORMA</w:t>
      </w:r>
      <w:r w:rsidR="003B7461" w:rsidRPr="005D5FE7">
        <w:rPr>
          <w:rFonts w:ascii="Palatino Linotype" w:eastAsia="Palatino Linotype" w:hAnsi="Palatino Linotype" w:cs="Palatino Linotype"/>
          <w:b/>
          <w:i/>
          <w:sz w:val="22"/>
          <w:szCs w:val="22"/>
        </w:rPr>
        <w:t>.”</w:t>
      </w:r>
      <w:r w:rsidRPr="005D5FE7">
        <w:rPr>
          <w:rFonts w:ascii="Palatino Linotype" w:eastAsia="Palatino Linotype" w:hAnsi="Palatino Linotype" w:cs="Palatino Linotype"/>
          <w:b/>
          <w:i/>
          <w:sz w:val="22"/>
          <w:szCs w:val="22"/>
        </w:rPr>
        <w:t xml:space="preserve"> </w:t>
      </w:r>
      <w:r w:rsidR="003B7461" w:rsidRPr="005D5FE7">
        <w:rPr>
          <w:rFonts w:ascii="Palatino Linotype" w:eastAsia="Palatino Linotype" w:hAnsi="Palatino Linotype" w:cs="Palatino Linotype"/>
          <w:b/>
          <w:i/>
          <w:sz w:val="22"/>
          <w:szCs w:val="22"/>
        </w:rPr>
        <w:t>(</w:t>
      </w:r>
      <w:r w:rsidR="003B7461" w:rsidRPr="005D5FE7">
        <w:rPr>
          <w:rFonts w:ascii="Palatino Linotype" w:eastAsia="Palatino Linotype" w:hAnsi="Palatino Linotype" w:cs="Palatino Linotype"/>
          <w:i/>
          <w:sz w:val="22"/>
          <w:szCs w:val="22"/>
        </w:rPr>
        <w:t>Sic)</w:t>
      </w:r>
    </w:p>
    <w:p w14:paraId="6A989480" w14:textId="7D3D477B" w:rsidR="006A2150" w:rsidRPr="005D5FE7" w:rsidRDefault="006A2150" w:rsidP="00182C59">
      <w:pPr>
        <w:spacing w:before="240" w:after="240" w:line="360" w:lineRule="auto"/>
        <w:ind w:left="851" w:right="616"/>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Pronunciamiento al que adjuntó el archivo electrónico identificado como </w:t>
      </w:r>
      <w:r w:rsidRPr="005D5FE7">
        <w:rPr>
          <w:rFonts w:ascii="Palatino Linotype" w:eastAsia="Palatino Linotype" w:hAnsi="Palatino Linotype" w:cs="Palatino Linotype"/>
          <w:b/>
          <w:i/>
        </w:rPr>
        <w:t xml:space="preserve">“SOLICITUD 110.pdf” </w:t>
      </w:r>
      <w:r w:rsidR="00E37D62" w:rsidRPr="005D5FE7">
        <w:rPr>
          <w:rFonts w:ascii="Palatino Linotype" w:eastAsia="Palatino Linotype" w:hAnsi="Palatino Linotype" w:cs="Palatino Linotype"/>
        </w:rPr>
        <w:t xml:space="preserve">integrado por los siguientes documentos: </w:t>
      </w:r>
    </w:p>
    <w:p w14:paraId="475E06F2" w14:textId="79FEDB5D" w:rsidR="00E37D62" w:rsidRPr="005D5FE7" w:rsidRDefault="00E37D62" w:rsidP="00E37D62">
      <w:pPr>
        <w:pStyle w:val="Prrafodelista"/>
        <w:numPr>
          <w:ilvl w:val="0"/>
          <w:numId w:val="9"/>
        </w:numPr>
        <w:spacing w:before="240" w:after="240" w:line="360" w:lineRule="auto"/>
        <w:ind w:right="616"/>
        <w:jc w:val="both"/>
        <w:rPr>
          <w:rFonts w:ascii="Palatino Linotype" w:eastAsia="Palatino Linotype" w:hAnsi="Palatino Linotype" w:cs="Palatino Linotype"/>
        </w:rPr>
      </w:pPr>
      <w:r w:rsidRPr="005D5FE7">
        <w:rPr>
          <w:rFonts w:ascii="Palatino Linotype" w:eastAsia="Palatino Linotype" w:hAnsi="Palatino Linotype" w:cs="Palatino Linotype"/>
        </w:rPr>
        <w:t>Oficio número TM/SE/DA/SRH/125/2022 del tres de mayo de dos mil veintid</w:t>
      </w:r>
      <w:r w:rsidR="00756888" w:rsidRPr="005D5FE7">
        <w:rPr>
          <w:rFonts w:ascii="Palatino Linotype" w:eastAsia="Palatino Linotype" w:hAnsi="Palatino Linotype" w:cs="Palatino Linotype"/>
        </w:rPr>
        <w:t>ós, suscrito y signado por la Subdirectora de Recursos Humanos por medio del cual remite recibos de nómina de la Tesorera M</w:t>
      </w:r>
      <w:r w:rsidR="008B0DEA" w:rsidRPr="005D5FE7">
        <w:rPr>
          <w:rFonts w:ascii="Palatino Linotype" w:eastAsia="Palatino Linotype" w:hAnsi="Palatino Linotype" w:cs="Palatino Linotype"/>
        </w:rPr>
        <w:t xml:space="preserve">unicipal. </w:t>
      </w:r>
    </w:p>
    <w:p w14:paraId="2790D317" w14:textId="6B8F6EE0" w:rsidR="008B0DEA" w:rsidRPr="005D5FE7" w:rsidRDefault="008B0DEA" w:rsidP="00E37D62">
      <w:pPr>
        <w:pStyle w:val="Prrafodelista"/>
        <w:numPr>
          <w:ilvl w:val="0"/>
          <w:numId w:val="9"/>
        </w:numPr>
        <w:spacing w:before="240" w:after="240" w:line="360" w:lineRule="auto"/>
        <w:ind w:right="616"/>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Versión pública de los recibos de nómina de la Tesorera Municipal del primero de enero al </w:t>
      </w:r>
      <w:r w:rsidR="00D93C55" w:rsidRPr="005D5FE7">
        <w:rPr>
          <w:rFonts w:ascii="Palatino Linotype" w:eastAsia="Palatino Linotype" w:hAnsi="Palatino Linotype" w:cs="Palatino Linotype"/>
        </w:rPr>
        <w:t>quince de abril de dos mil veintidós.</w:t>
      </w:r>
    </w:p>
    <w:p w14:paraId="2D6F7A00" w14:textId="779C50FB" w:rsidR="00CD3170" w:rsidRPr="005D5FE7" w:rsidRDefault="003B7461" w:rsidP="00B77680">
      <w:pPr>
        <w:spacing w:before="240" w:after="24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3. Interposición del recurso de revisión.  </w:t>
      </w:r>
      <w:r w:rsidRPr="005D5FE7">
        <w:rPr>
          <w:rFonts w:ascii="Palatino Linotype" w:eastAsia="Palatino Linotype" w:hAnsi="Palatino Linotype" w:cs="Palatino Linotype"/>
        </w:rPr>
        <w:t xml:space="preserve">El </w:t>
      </w:r>
      <w:r w:rsidR="00182C59" w:rsidRPr="005D5FE7">
        <w:rPr>
          <w:rFonts w:ascii="Palatino Linotype" w:eastAsia="Palatino Linotype" w:hAnsi="Palatino Linotype" w:cs="Palatino Linotype"/>
          <w:b/>
        </w:rPr>
        <w:t xml:space="preserve">dieciocho </w:t>
      </w:r>
      <w:r w:rsidRPr="005D5FE7">
        <w:rPr>
          <w:rFonts w:ascii="Palatino Linotype" w:eastAsia="Palatino Linotype" w:hAnsi="Palatino Linotype" w:cs="Palatino Linotype"/>
          <w:b/>
        </w:rPr>
        <w:t xml:space="preserve">de </w:t>
      </w:r>
      <w:r w:rsidR="00C11DC2" w:rsidRPr="005D5FE7">
        <w:rPr>
          <w:rFonts w:ascii="Palatino Linotype" w:eastAsia="Palatino Linotype" w:hAnsi="Palatino Linotype" w:cs="Palatino Linotype"/>
          <w:b/>
        </w:rPr>
        <w:t>mayo</w:t>
      </w:r>
      <w:r w:rsidRPr="005D5FE7">
        <w:rPr>
          <w:rFonts w:ascii="Palatino Linotype" w:eastAsia="Palatino Linotype" w:hAnsi="Palatino Linotype" w:cs="Palatino Linotype"/>
          <w:b/>
        </w:rPr>
        <w:t xml:space="preserve"> de dos mil veintidós </w:t>
      </w:r>
      <w:r w:rsidRPr="005D5FE7">
        <w:rPr>
          <w:rFonts w:ascii="Palatino Linotype" w:eastAsia="Palatino Linotype" w:hAnsi="Palatino Linotype" w:cs="Palatino Linotype"/>
        </w:rPr>
        <w:t xml:space="preserve">el </w:t>
      </w:r>
      <w:r w:rsidRPr="005D5FE7">
        <w:rPr>
          <w:rFonts w:ascii="Palatino Linotype" w:eastAsia="Palatino Linotype" w:hAnsi="Palatino Linotype" w:cs="Palatino Linotype"/>
          <w:b/>
        </w:rPr>
        <w:t xml:space="preserve">RECURRENTE </w:t>
      </w:r>
      <w:r w:rsidRPr="005D5FE7">
        <w:rPr>
          <w:rFonts w:ascii="Palatino Linotype" w:eastAsia="Palatino Linotype" w:hAnsi="Palatino Linotype" w:cs="Palatino Linotype"/>
        </w:rPr>
        <w:t>inconforme con la respuesta, interpuso el recurso de revisión en el que expresó lo siguiente:</w:t>
      </w:r>
    </w:p>
    <w:p w14:paraId="55CD5211" w14:textId="759D933C" w:rsidR="00CD3170" w:rsidRPr="005D5FE7"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5D5FE7">
        <w:rPr>
          <w:rFonts w:ascii="Palatino Linotype" w:eastAsia="Palatino Linotype" w:hAnsi="Palatino Linotype" w:cs="Palatino Linotype"/>
          <w:b/>
        </w:rPr>
        <w:t xml:space="preserve">Acto impugnado: </w:t>
      </w:r>
    </w:p>
    <w:p w14:paraId="40D243D5" w14:textId="60C18EBA" w:rsidR="00CD3170" w:rsidRPr="005D5FE7"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00FE4A02" w:rsidRPr="005D5FE7">
        <w:rPr>
          <w:rFonts w:ascii="Palatino Linotype" w:eastAsia="Palatino Linotype" w:hAnsi="Palatino Linotype" w:cs="Palatino Linotype"/>
          <w:i/>
          <w:sz w:val="22"/>
          <w:szCs w:val="22"/>
        </w:rPr>
        <w:t>Se dio información incompleta</w:t>
      </w:r>
      <w:r w:rsidR="00837220"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i/>
          <w:sz w:val="22"/>
          <w:szCs w:val="22"/>
        </w:rPr>
        <w:t>" (Sic)</w:t>
      </w:r>
    </w:p>
    <w:p w14:paraId="3F0A2C29" w14:textId="77777777" w:rsidR="00CD3170" w:rsidRPr="005D5FE7"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5D5FE7">
        <w:rPr>
          <w:rFonts w:ascii="Palatino Linotype" w:eastAsia="Palatino Linotype" w:hAnsi="Palatino Linotype" w:cs="Palatino Linotype"/>
          <w:b/>
        </w:rPr>
        <w:t>Razones o motivos de inconformidad</w:t>
      </w:r>
      <w:r w:rsidRPr="005D5FE7">
        <w:rPr>
          <w:rFonts w:ascii="Palatino Linotype" w:eastAsia="Palatino Linotype" w:hAnsi="Palatino Linotype" w:cs="Palatino Linotype"/>
          <w:b/>
          <w:sz w:val="22"/>
          <w:szCs w:val="22"/>
        </w:rPr>
        <w:t xml:space="preserve">: </w:t>
      </w:r>
    </w:p>
    <w:p w14:paraId="044CF45E" w14:textId="7088BDFB" w:rsidR="00CD3170" w:rsidRPr="005D5FE7"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00FE4A02" w:rsidRPr="005D5FE7">
        <w:rPr>
          <w:rFonts w:ascii="Palatino Linotype" w:eastAsia="Palatino Linotype" w:hAnsi="Palatino Linotype" w:cs="Palatino Linotype"/>
          <w:i/>
          <w:sz w:val="22"/>
          <w:szCs w:val="22"/>
        </w:rPr>
        <w:t>Pedí los recibos en versión pública del PERSONAL DE LA TESORERÍA MUNICIPAL DE TECAMAC y solo me mandaron el recibo de la Tesorera</w:t>
      </w:r>
      <w:r w:rsidR="00C11DC2"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i/>
          <w:sz w:val="22"/>
          <w:szCs w:val="22"/>
        </w:rPr>
        <w:t>" (Sic)</w:t>
      </w:r>
    </w:p>
    <w:p w14:paraId="17477AF7" w14:textId="77777777" w:rsidR="00CD3170" w:rsidRPr="005D5FE7"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77777777" w:rsidR="00CD3170" w:rsidRPr="005D5FE7" w:rsidRDefault="003B7461"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lastRenderedPageBreak/>
        <w:t>4. Turno.</w:t>
      </w:r>
      <w:r w:rsidRPr="005D5FE7">
        <w:rPr>
          <w:rFonts w:ascii="Palatino Linotype" w:eastAsia="Palatino Linotype" w:hAnsi="Palatino Linotype" w:cs="Palatino Linotype"/>
          <w:b/>
          <w:sz w:val="28"/>
          <w:szCs w:val="28"/>
        </w:rPr>
        <w:t xml:space="preserve"> </w:t>
      </w:r>
      <w:r w:rsidRPr="005D5FE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D5FE7">
        <w:rPr>
          <w:rFonts w:ascii="Palatino Linotype" w:eastAsia="Palatino Linotype" w:hAnsi="Palatino Linotype" w:cs="Palatino Linotype"/>
          <w:b/>
        </w:rPr>
        <w:t xml:space="preserve">Guadalupe Ramírez Peña, </w:t>
      </w:r>
      <w:r w:rsidRPr="005D5FE7">
        <w:rPr>
          <w:rFonts w:ascii="Palatino Linotype" w:eastAsia="Palatino Linotype" w:hAnsi="Palatino Linotype" w:cs="Palatino Linotype"/>
        </w:rPr>
        <w:t xml:space="preserve">a efecto de que analizara sobre su admisión o su </w:t>
      </w:r>
      <w:proofErr w:type="spellStart"/>
      <w:r w:rsidRPr="005D5FE7">
        <w:rPr>
          <w:rFonts w:ascii="Palatino Linotype" w:eastAsia="Palatino Linotype" w:hAnsi="Palatino Linotype" w:cs="Palatino Linotype"/>
        </w:rPr>
        <w:t>desechamiento</w:t>
      </w:r>
      <w:proofErr w:type="spellEnd"/>
      <w:r w:rsidRPr="005D5FE7">
        <w:rPr>
          <w:rFonts w:ascii="Palatino Linotype" w:eastAsia="Palatino Linotype" w:hAnsi="Palatino Linotype" w:cs="Palatino Linotype"/>
        </w:rPr>
        <w:t>.</w:t>
      </w:r>
    </w:p>
    <w:p w14:paraId="3E2723D1" w14:textId="2B29A1FE" w:rsidR="00CD3170" w:rsidRPr="005D5FE7" w:rsidRDefault="003B7461" w:rsidP="00B77680">
      <w:pPr>
        <w:spacing w:before="240" w:after="240" w:line="360" w:lineRule="auto"/>
        <w:jc w:val="both"/>
        <w:rPr>
          <w:rFonts w:ascii="Palatino Linotype" w:eastAsia="Palatino Linotype" w:hAnsi="Palatino Linotype" w:cs="Palatino Linotype"/>
          <w:b/>
        </w:rPr>
      </w:pPr>
      <w:r w:rsidRPr="005D5FE7">
        <w:rPr>
          <w:rFonts w:ascii="Palatino Linotype" w:eastAsia="Palatino Linotype" w:hAnsi="Palatino Linotype" w:cs="Palatino Linotype"/>
          <w:b/>
        </w:rPr>
        <w:t>5.</w:t>
      </w:r>
      <w:r w:rsidRPr="005D5FE7">
        <w:rPr>
          <w:rFonts w:ascii="Palatino Linotype" w:eastAsia="Palatino Linotype" w:hAnsi="Palatino Linotype" w:cs="Palatino Linotype"/>
          <w:b/>
          <w:i/>
        </w:rPr>
        <w:t xml:space="preserve"> </w:t>
      </w:r>
      <w:r w:rsidRPr="005D5FE7">
        <w:rPr>
          <w:rFonts w:ascii="Palatino Linotype" w:eastAsia="Palatino Linotype" w:hAnsi="Palatino Linotype" w:cs="Palatino Linotype"/>
          <w:b/>
        </w:rPr>
        <w:t>Admisión del Recurso de revisión.</w:t>
      </w:r>
      <w:r w:rsidRPr="005D5FE7">
        <w:rPr>
          <w:rFonts w:ascii="Palatino Linotype" w:eastAsia="Palatino Linotype" w:hAnsi="Palatino Linotype" w:cs="Palatino Linotype"/>
          <w:sz w:val="28"/>
          <w:szCs w:val="28"/>
        </w:rPr>
        <w:t xml:space="preserve"> El</w:t>
      </w:r>
      <w:r w:rsidRPr="005D5FE7">
        <w:rPr>
          <w:rFonts w:ascii="Palatino Linotype" w:eastAsia="Palatino Linotype" w:hAnsi="Palatino Linotype" w:cs="Palatino Linotype"/>
          <w:b/>
        </w:rPr>
        <w:t xml:space="preserve"> </w:t>
      </w:r>
      <w:r w:rsidR="00892710" w:rsidRPr="005D5FE7">
        <w:rPr>
          <w:rFonts w:ascii="Palatino Linotype" w:eastAsia="Palatino Linotype" w:hAnsi="Palatino Linotype" w:cs="Palatino Linotype"/>
          <w:b/>
        </w:rPr>
        <w:t>veinticuatro</w:t>
      </w:r>
      <w:r w:rsidRPr="005D5FE7">
        <w:rPr>
          <w:rFonts w:ascii="Palatino Linotype" w:eastAsia="Palatino Linotype" w:hAnsi="Palatino Linotype" w:cs="Palatino Linotype"/>
          <w:b/>
        </w:rPr>
        <w:t xml:space="preserve"> de </w:t>
      </w:r>
      <w:r w:rsidR="00C11DC2" w:rsidRPr="005D5FE7">
        <w:rPr>
          <w:rFonts w:ascii="Palatino Linotype" w:eastAsia="Palatino Linotype" w:hAnsi="Palatino Linotype" w:cs="Palatino Linotype"/>
          <w:b/>
        </w:rPr>
        <w:t>mayo</w:t>
      </w:r>
      <w:r w:rsidRPr="005D5FE7">
        <w:rPr>
          <w:rFonts w:ascii="Palatino Linotype" w:eastAsia="Palatino Linotype" w:hAnsi="Palatino Linotype" w:cs="Palatino Linotype"/>
          <w:b/>
        </w:rPr>
        <w:t xml:space="preserve"> de dos mil veintidós, </w:t>
      </w:r>
      <w:r w:rsidRPr="005D5FE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xml:space="preserve"> presentara su informe justificado.</w:t>
      </w:r>
    </w:p>
    <w:p w14:paraId="7E95EE27" w14:textId="64E77A12" w:rsidR="00CD3170" w:rsidRPr="005D5FE7" w:rsidRDefault="003B7461" w:rsidP="00B77680">
      <w:pPr>
        <w:widowControl w:val="0"/>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6. Manifestaciones</w:t>
      </w:r>
      <w:r w:rsidRPr="005D5FE7">
        <w:rPr>
          <w:rFonts w:ascii="Palatino Linotype" w:eastAsia="Palatino Linotype" w:hAnsi="Palatino Linotype" w:cs="Palatino Linotype"/>
        </w:rPr>
        <w:t xml:space="preserve">. </w:t>
      </w:r>
      <w:r w:rsidR="00FB3C63" w:rsidRPr="005D5FE7">
        <w:rPr>
          <w:rFonts w:ascii="Palatino Linotype" w:eastAsia="Palatino Linotype" w:hAnsi="Palatino Linotype" w:cs="Palatino Linotype"/>
        </w:rPr>
        <w:t>E</w:t>
      </w:r>
      <w:r w:rsidRPr="005D5FE7">
        <w:rPr>
          <w:rFonts w:ascii="Palatino Linotype" w:eastAsia="Palatino Linotype" w:hAnsi="Palatino Linotype" w:cs="Palatino Linotype"/>
        </w:rPr>
        <w:t xml:space="preserve">l </w:t>
      </w:r>
      <w:r w:rsidRPr="005D5FE7">
        <w:rPr>
          <w:rFonts w:ascii="Palatino Linotype" w:eastAsia="Palatino Linotype" w:hAnsi="Palatino Linotype" w:cs="Palatino Linotype"/>
          <w:b/>
        </w:rPr>
        <w:t xml:space="preserve">SUJETO OBLIGADO </w:t>
      </w:r>
      <w:r w:rsidR="00FB3C63" w:rsidRPr="005D5FE7">
        <w:rPr>
          <w:rFonts w:ascii="Palatino Linotype" w:eastAsia="Palatino Linotype" w:hAnsi="Palatino Linotype" w:cs="Palatino Linotype"/>
        </w:rPr>
        <w:t xml:space="preserve">no rindió informe justificado para manifestar lo que a su derecho asistiera y conviniera, por su parte, el </w:t>
      </w:r>
      <w:r w:rsidR="00FB3C63" w:rsidRPr="005D5FE7">
        <w:rPr>
          <w:rFonts w:ascii="Palatino Linotype" w:eastAsia="Palatino Linotype" w:hAnsi="Palatino Linotype" w:cs="Palatino Linotype"/>
          <w:b/>
        </w:rPr>
        <w:t xml:space="preserve">RECURRENTE </w:t>
      </w:r>
      <w:r w:rsidR="00C11DC2" w:rsidRPr="005D5FE7">
        <w:rPr>
          <w:rFonts w:ascii="Palatino Linotype" w:eastAsia="Palatino Linotype" w:hAnsi="Palatino Linotype" w:cs="Palatino Linotype"/>
        </w:rPr>
        <w:t xml:space="preserve">no realizó manifestaciones, no formuló alegatos ni ofreció ningún medio de prueba. </w:t>
      </w:r>
    </w:p>
    <w:p w14:paraId="752527FD" w14:textId="099447AE" w:rsidR="00CD3170" w:rsidRPr="005D5FE7" w:rsidRDefault="00892710" w:rsidP="00B77680">
      <w:pPr>
        <w:widowControl w:val="0"/>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noProof/>
          <w:lang w:val="es-MX"/>
        </w:rPr>
        <w:drawing>
          <wp:inline distT="0" distB="0" distL="0" distR="0" wp14:anchorId="188E9057" wp14:editId="55972A1E">
            <wp:extent cx="5612130" cy="2014855"/>
            <wp:effectExtent l="19050" t="19050" r="26670"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014855"/>
                    </a:xfrm>
                    <a:prstGeom prst="rect">
                      <a:avLst/>
                    </a:prstGeom>
                    <a:ln w="3175">
                      <a:solidFill>
                        <a:schemeClr val="tx1"/>
                      </a:solidFill>
                    </a:ln>
                  </pic:spPr>
                </pic:pic>
              </a:graphicData>
            </a:graphic>
          </wp:inline>
        </w:drawing>
      </w:r>
    </w:p>
    <w:p w14:paraId="0EFC41CE" w14:textId="636BEA95" w:rsidR="00786A8D" w:rsidRPr="005D5FE7" w:rsidRDefault="007002C4" w:rsidP="00B77680">
      <w:pPr>
        <w:widowControl w:val="0"/>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lastRenderedPageBreak/>
        <w:t>7</w:t>
      </w:r>
      <w:r w:rsidR="003B7461" w:rsidRPr="005D5FE7">
        <w:rPr>
          <w:rFonts w:ascii="Palatino Linotype" w:eastAsia="Palatino Linotype" w:hAnsi="Palatino Linotype" w:cs="Palatino Linotype"/>
          <w:b/>
        </w:rPr>
        <w:t>.</w:t>
      </w:r>
      <w:r w:rsidR="009457BD" w:rsidRPr="005D5FE7">
        <w:rPr>
          <w:rFonts w:ascii="Palatino Linotype" w:eastAsia="Palatino Linotype" w:hAnsi="Palatino Linotype" w:cs="Palatino Linotype"/>
        </w:rPr>
        <w:t xml:space="preserve"> </w:t>
      </w:r>
      <w:r w:rsidR="00786A8D" w:rsidRPr="005D5FE7">
        <w:rPr>
          <w:rFonts w:ascii="Palatino Linotype" w:eastAsia="Palatino Linotype" w:hAnsi="Palatino Linotype" w:cs="Palatino Linotype"/>
          <w:b/>
        </w:rPr>
        <w:t xml:space="preserve">Ampliación del plazo para emitir resolución. </w:t>
      </w:r>
      <w:r w:rsidR="00786A8D" w:rsidRPr="005D5FE7">
        <w:rPr>
          <w:rFonts w:ascii="Palatino Linotype" w:eastAsia="Palatino Linotype" w:hAnsi="Palatino Linotype" w:cs="Palatino Linotype"/>
        </w:rPr>
        <w:t xml:space="preserve">El </w:t>
      </w:r>
      <w:r w:rsidR="00FD1E57" w:rsidRPr="005D5FE7">
        <w:rPr>
          <w:rFonts w:ascii="Palatino Linotype" w:eastAsia="Palatino Linotype" w:hAnsi="Palatino Linotype" w:cs="Palatino Linotype"/>
          <w:b/>
        </w:rPr>
        <w:t>veintisiete</w:t>
      </w:r>
      <w:r w:rsidR="00786A8D" w:rsidRPr="005D5FE7">
        <w:rPr>
          <w:rFonts w:ascii="Palatino Linotype" w:eastAsia="Palatino Linotype" w:hAnsi="Palatino Linotype" w:cs="Palatino Linotype"/>
          <w:b/>
        </w:rPr>
        <w:t xml:space="preserve"> de </w:t>
      </w:r>
      <w:r w:rsidR="00FD1E57" w:rsidRPr="005D5FE7">
        <w:rPr>
          <w:rFonts w:ascii="Palatino Linotype" w:eastAsia="Palatino Linotype" w:hAnsi="Palatino Linotype" w:cs="Palatino Linotype"/>
          <w:b/>
        </w:rPr>
        <w:t>septiembre</w:t>
      </w:r>
      <w:r w:rsidR="00786A8D" w:rsidRPr="005D5FE7">
        <w:rPr>
          <w:rFonts w:ascii="Palatino Linotype" w:eastAsia="Palatino Linotype" w:hAnsi="Palatino Linotype" w:cs="Palatino Linotype"/>
          <w:b/>
        </w:rPr>
        <w:t xml:space="preserve"> de dos mil veintidós</w:t>
      </w:r>
      <w:r w:rsidR="00786A8D" w:rsidRPr="005D5FE7">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77777777"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DEA6D9" w14:textId="33BB3B64"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Por ello, es menester precisar </w:t>
      </w:r>
      <w:r w:rsidR="00157B96" w:rsidRPr="005D5FE7">
        <w:rPr>
          <w:rFonts w:ascii="Palatino Linotype" w:eastAsia="Palatino Linotype" w:hAnsi="Palatino Linotype" w:cs="Palatino Linotype"/>
        </w:rPr>
        <w:t>que,</w:t>
      </w:r>
      <w:r w:rsidRPr="005D5FE7">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703121" w14:textId="77777777"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5D5FE7" w:rsidRDefault="00786A8D" w:rsidP="00B77680">
      <w:pPr>
        <w:spacing w:before="240" w:after="240" w:line="360" w:lineRule="auto"/>
        <w:jc w:val="both"/>
        <w:rPr>
          <w:rFonts w:ascii="Palatino Linotype" w:eastAsia="Palatino Linotype" w:hAnsi="Palatino Linotype" w:cs="Palatino Linotype"/>
          <w:strike/>
        </w:rPr>
      </w:pPr>
      <w:r w:rsidRPr="005D5FE7">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152B3" w:rsidRPr="005D5FE7">
        <w:rPr>
          <w:rFonts w:ascii="Palatino Linotype" w:eastAsia="Palatino Linotype" w:hAnsi="Palatino Linotype" w:cs="Palatino Linotype"/>
        </w:rPr>
        <w:t>,</w:t>
      </w:r>
      <w:r w:rsidRPr="005D5FE7">
        <w:rPr>
          <w:rFonts w:ascii="Palatino Linotype" w:eastAsia="Palatino Linotype" w:hAnsi="Palatino Linotype" w:cs="Palatino Linotype"/>
        </w:rPr>
        <w:t xml:space="preserve"> atentos a los siguientes criterios: </w:t>
      </w:r>
    </w:p>
    <w:p w14:paraId="6D3F33BE" w14:textId="77777777" w:rsidR="00786A8D" w:rsidRPr="005D5FE7"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5D5FE7"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Actividad Procesal del interesado. Acciones u omisiones del interesado.</w:t>
      </w:r>
    </w:p>
    <w:p w14:paraId="17A0BF35" w14:textId="77777777" w:rsidR="00786A8D" w:rsidRPr="005D5FE7"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5D5FE7" w:rsidRDefault="00786A8D" w:rsidP="00B77680">
      <w:pPr>
        <w:spacing w:before="240" w:after="240" w:line="360" w:lineRule="auto"/>
        <w:ind w:left="567"/>
        <w:jc w:val="both"/>
        <w:rPr>
          <w:rFonts w:ascii="Palatino Linotype" w:eastAsia="Palatino Linotype" w:hAnsi="Palatino Linotype" w:cs="Palatino Linotype"/>
        </w:rPr>
      </w:pPr>
      <w:r w:rsidRPr="005D5FE7">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5D5FE7" w:rsidRDefault="00786A8D" w:rsidP="00B77680">
      <w:pPr>
        <w:spacing w:before="240" w:after="240" w:line="360" w:lineRule="auto"/>
        <w:jc w:val="both"/>
        <w:rPr>
          <w:rFonts w:ascii="Palatino Linotype" w:eastAsia="Palatino Linotype" w:hAnsi="Palatino Linotype" w:cs="Palatino Linotype"/>
          <w:b/>
        </w:rPr>
      </w:pPr>
      <w:r w:rsidRPr="005D5FE7">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5D5FE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D5FE7">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8117A5" w14:textId="77777777"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 </w:t>
      </w:r>
      <w:r w:rsidRPr="005D5FE7">
        <w:rPr>
          <w:rFonts w:ascii="Palatino Linotype" w:eastAsia="Palatino Linotype" w:hAnsi="Palatino Linotype" w:cs="Palatino Linotype"/>
          <w:i/>
        </w:rPr>
        <w:t>“PLAZO RAZONABLE PARA RESOLVER. DIMENSIÓN Y EFECTOS DE ESTE CONCEPTO CUANDO SE ADUCE EXCESIVA CARGA DE TRABAJO.”</w:t>
      </w:r>
      <w:r w:rsidRPr="005D5FE7">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5D5FE7">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5D5FE7" w:rsidRDefault="00786A8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42AB526C" w:rsidR="009457BD" w:rsidRPr="005D5FE7" w:rsidRDefault="009457BD"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8. Cierre de instrucción. </w:t>
      </w:r>
      <w:r w:rsidRPr="005D5FE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0F0B8D" w:rsidRPr="005D5FE7">
        <w:rPr>
          <w:rFonts w:ascii="Palatino Linotype" w:eastAsia="Palatino Linotype" w:hAnsi="Palatino Linotype" w:cs="Palatino Linotype"/>
          <w:b/>
        </w:rPr>
        <w:t>veintisiete</w:t>
      </w:r>
      <w:r w:rsidRPr="005D5FE7">
        <w:rPr>
          <w:rFonts w:ascii="Palatino Linotype" w:eastAsia="Palatino Linotype" w:hAnsi="Palatino Linotype" w:cs="Palatino Linotype"/>
          <w:b/>
        </w:rPr>
        <w:t xml:space="preserve"> de </w:t>
      </w:r>
      <w:r w:rsidR="000F0B8D" w:rsidRPr="005D5FE7">
        <w:rPr>
          <w:rFonts w:ascii="Palatino Linotype" w:eastAsia="Palatino Linotype" w:hAnsi="Palatino Linotype" w:cs="Palatino Linotype"/>
          <w:b/>
        </w:rPr>
        <w:t>septiembre</w:t>
      </w:r>
      <w:r w:rsidRPr="005D5FE7">
        <w:rPr>
          <w:rFonts w:ascii="Palatino Linotype" w:eastAsia="Palatino Linotype" w:hAnsi="Palatino Linotype" w:cs="Palatino Linotype"/>
          <w:b/>
        </w:rPr>
        <w:t xml:space="preserve"> de dos mil veintidós</w:t>
      </w:r>
      <w:r w:rsidRPr="005D5FE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5D5FE7" w:rsidRDefault="003B7461" w:rsidP="00B77680">
      <w:pPr>
        <w:widowControl w:val="0"/>
        <w:spacing w:before="240" w:after="240" w:line="360" w:lineRule="auto"/>
        <w:jc w:val="both"/>
        <w:rPr>
          <w:rFonts w:ascii="Palatino Linotype" w:eastAsia="Palatino Linotype" w:hAnsi="Palatino Linotype" w:cs="Palatino Linotype"/>
          <w:b/>
        </w:rPr>
      </w:pPr>
      <w:r w:rsidRPr="005D5FE7">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5D5FE7">
        <w:rPr>
          <w:rFonts w:ascii="Palatino Linotype" w:eastAsia="Palatino Linotype" w:hAnsi="Palatino Linotype" w:cs="Palatino Linotype"/>
          <w:b/>
        </w:rPr>
        <w:t xml:space="preserve"> </w:t>
      </w:r>
    </w:p>
    <w:p w14:paraId="72201378" w14:textId="347E58D2" w:rsidR="00CD3170" w:rsidRPr="005D5FE7" w:rsidRDefault="003B7461" w:rsidP="00B77680">
      <w:pPr>
        <w:widowControl w:val="0"/>
        <w:spacing w:before="240" w:after="240" w:line="360" w:lineRule="auto"/>
        <w:jc w:val="center"/>
        <w:rPr>
          <w:rFonts w:ascii="Palatino Linotype" w:eastAsia="Palatino Linotype" w:hAnsi="Palatino Linotype" w:cs="Palatino Linotype"/>
          <w:b/>
        </w:rPr>
      </w:pPr>
      <w:r w:rsidRPr="005D5FE7">
        <w:rPr>
          <w:rFonts w:ascii="Palatino Linotype" w:eastAsia="Palatino Linotype" w:hAnsi="Palatino Linotype" w:cs="Palatino Linotype"/>
          <w:b/>
        </w:rPr>
        <w:t>II. C O N S I D E R A N D O</w:t>
      </w:r>
      <w:r w:rsidR="00786A8D" w:rsidRPr="005D5FE7">
        <w:rPr>
          <w:rFonts w:ascii="Palatino Linotype" w:eastAsia="Palatino Linotype" w:hAnsi="Palatino Linotype" w:cs="Palatino Linotype"/>
          <w:b/>
        </w:rPr>
        <w:t xml:space="preserve"> S</w:t>
      </w:r>
    </w:p>
    <w:p w14:paraId="5397DF80" w14:textId="77777777" w:rsidR="00CD3170" w:rsidRPr="005D5FE7" w:rsidRDefault="003B7461"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Primero. Competencia.</w:t>
      </w:r>
      <w:r w:rsidRPr="005D5FE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5D5FE7">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Pr="005D5FE7" w:rsidRDefault="003B7461" w:rsidP="00B77680">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5D5FE7">
        <w:rPr>
          <w:rFonts w:ascii="Palatino Linotype" w:eastAsia="Palatino Linotype" w:hAnsi="Palatino Linotype" w:cs="Palatino Linotype"/>
          <w:b/>
        </w:rPr>
        <w:t>Segundo. Oportunidad y Procedibilidad del Recurso de Revisión</w:t>
      </w:r>
      <w:r w:rsidRPr="005D5FE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2BE43" w14:textId="22361FC0" w:rsidR="008625B2" w:rsidRPr="005D5FE7" w:rsidRDefault="003B7461" w:rsidP="00B77680">
      <w:pPr>
        <w:spacing w:before="240" w:after="240" w:line="360" w:lineRule="auto"/>
        <w:ind w:right="49"/>
        <w:jc w:val="both"/>
        <w:rPr>
          <w:rFonts w:ascii="Palatino Linotype" w:hAnsi="Palatino Linotype" w:cs="Arial"/>
        </w:rPr>
      </w:pPr>
      <w:r w:rsidRPr="005D5FE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xml:space="preserve"> respondió a la solicitud de información el </w:t>
      </w:r>
      <w:r w:rsidR="00497801" w:rsidRPr="005D5FE7">
        <w:rPr>
          <w:rFonts w:ascii="Palatino Linotype" w:eastAsia="Palatino Linotype" w:hAnsi="Palatino Linotype" w:cs="Palatino Linotype"/>
          <w:b/>
        </w:rPr>
        <w:t xml:space="preserve">seis </w:t>
      </w:r>
      <w:r w:rsidRPr="005D5FE7">
        <w:rPr>
          <w:rFonts w:ascii="Palatino Linotype" w:eastAsia="Palatino Linotype" w:hAnsi="Palatino Linotype" w:cs="Palatino Linotype"/>
          <w:b/>
        </w:rPr>
        <w:t xml:space="preserve">de </w:t>
      </w:r>
      <w:r w:rsidR="00497801" w:rsidRPr="005D5FE7">
        <w:rPr>
          <w:rFonts w:ascii="Palatino Linotype" w:eastAsia="Palatino Linotype" w:hAnsi="Palatino Linotype" w:cs="Palatino Linotype"/>
          <w:b/>
        </w:rPr>
        <w:t>mayo</w:t>
      </w:r>
      <w:r w:rsidRPr="005D5FE7">
        <w:rPr>
          <w:rFonts w:ascii="Palatino Linotype" w:eastAsia="Palatino Linotype" w:hAnsi="Palatino Linotype" w:cs="Palatino Linotype"/>
          <w:b/>
        </w:rPr>
        <w:t xml:space="preserve"> de dos mil veintidós, </w:t>
      </w:r>
      <w:r w:rsidRPr="005D5FE7">
        <w:rPr>
          <w:rFonts w:ascii="Palatino Linotype" w:eastAsia="Palatino Linotype" w:hAnsi="Palatino Linotype" w:cs="Palatino Linotype"/>
        </w:rPr>
        <w:t xml:space="preserve">mientras que el recurso de revisión se interpuso el </w:t>
      </w:r>
      <w:r w:rsidR="00497801" w:rsidRPr="005D5FE7">
        <w:rPr>
          <w:rFonts w:ascii="Palatino Linotype" w:eastAsia="Palatino Linotype" w:hAnsi="Palatino Linotype" w:cs="Palatino Linotype"/>
          <w:b/>
        </w:rPr>
        <w:t>dieciocho</w:t>
      </w:r>
      <w:r w:rsidR="009457BD" w:rsidRPr="005D5FE7">
        <w:rPr>
          <w:rFonts w:ascii="Palatino Linotype" w:eastAsia="Palatino Linotype" w:hAnsi="Palatino Linotype" w:cs="Palatino Linotype"/>
          <w:b/>
        </w:rPr>
        <w:t xml:space="preserve"> </w:t>
      </w:r>
      <w:r w:rsidRPr="005D5FE7">
        <w:rPr>
          <w:rFonts w:ascii="Palatino Linotype" w:eastAsia="Palatino Linotype" w:hAnsi="Palatino Linotype" w:cs="Palatino Linotype"/>
          <w:b/>
        </w:rPr>
        <w:t xml:space="preserve">de </w:t>
      </w:r>
      <w:r w:rsidR="00157B96" w:rsidRPr="005D5FE7">
        <w:rPr>
          <w:rFonts w:ascii="Palatino Linotype" w:eastAsia="Palatino Linotype" w:hAnsi="Palatino Linotype" w:cs="Palatino Linotype"/>
          <w:b/>
        </w:rPr>
        <w:t>mayo</w:t>
      </w:r>
      <w:r w:rsidRPr="005D5FE7">
        <w:rPr>
          <w:rFonts w:ascii="Palatino Linotype" w:eastAsia="Palatino Linotype" w:hAnsi="Palatino Linotype" w:cs="Palatino Linotype"/>
          <w:b/>
        </w:rPr>
        <w:t xml:space="preserve"> de dos mil veintidós</w:t>
      </w:r>
      <w:r w:rsidRPr="005D5FE7">
        <w:rPr>
          <w:rFonts w:ascii="Palatino Linotype" w:eastAsia="Palatino Linotype" w:hAnsi="Palatino Linotype" w:cs="Palatino Linotype"/>
        </w:rPr>
        <w:t xml:space="preserve">, esto es, </w:t>
      </w:r>
      <w:r w:rsidR="00963BE1" w:rsidRPr="005D5FE7">
        <w:rPr>
          <w:rFonts w:ascii="Palatino Linotype" w:hAnsi="Palatino Linotype"/>
        </w:rPr>
        <w:t xml:space="preserve">el </w:t>
      </w:r>
      <w:r w:rsidR="004A3A70" w:rsidRPr="005D5FE7">
        <w:rPr>
          <w:rFonts w:ascii="Palatino Linotype" w:hAnsi="Palatino Linotype"/>
        </w:rPr>
        <w:t>octavo</w:t>
      </w:r>
      <w:r w:rsidR="008625B2" w:rsidRPr="005D5FE7">
        <w:rPr>
          <w:rFonts w:ascii="Palatino Linotype" w:hAnsi="Palatino Linotype"/>
        </w:rPr>
        <w:t xml:space="preserve"> </w:t>
      </w:r>
      <w:r w:rsidR="008625B2" w:rsidRPr="005D5FE7">
        <w:rPr>
          <w:rFonts w:ascii="Palatino Linotype" w:hAnsi="Palatino Linotype" w:cs="Arial"/>
        </w:rPr>
        <w:t>día hábil posterior en que tuvo conocimiento de la respuesta impugnada.</w:t>
      </w:r>
    </w:p>
    <w:p w14:paraId="62B9C5C3" w14:textId="2150BA28" w:rsidR="008625B2" w:rsidRPr="005D5FE7" w:rsidRDefault="008625B2" w:rsidP="00B77680">
      <w:pPr>
        <w:spacing w:before="240" w:after="240" w:line="360" w:lineRule="auto"/>
        <w:jc w:val="both"/>
        <w:rPr>
          <w:rFonts w:ascii="Palatino Linotype" w:hAnsi="Palatino Linotype"/>
        </w:rPr>
      </w:pPr>
      <w:r w:rsidRPr="005D5FE7">
        <w:rPr>
          <w:rFonts w:ascii="Palatino Linotype" w:hAnsi="Palatino Linotype" w:cs="Arial"/>
        </w:rPr>
        <w:t xml:space="preserve">En este sentido, </w:t>
      </w:r>
      <w:r w:rsidRPr="005D5FE7">
        <w:rPr>
          <w:rFonts w:ascii="Palatino Linotype" w:hAnsi="Palatino Linotype"/>
        </w:rPr>
        <w:t>al considerar la fecha en que se formuló la solicitud</w:t>
      </w:r>
      <w:r w:rsidR="009152B3" w:rsidRPr="005D5FE7">
        <w:rPr>
          <w:rFonts w:ascii="Palatino Linotype" w:hAnsi="Palatino Linotype"/>
        </w:rPr>
        <w:t xml:space="preserve"> y la fecha en que respondió a e</w:t>
      </w:r>
      <w:r w:rsidRPr="005D5FE7">
        <w:rPr>
          <w:rFonts w:ascii="Palatino Linotype" w:hAnsi="Palatino Linotype"/>
        </w:rPr>
        <w:t xml:space="preserve">sta el </w:t>
      </w:r>
      <w:r w:rsidRPr="005D5FE7">
        <w:rPr>
          <w:rFonts w:ascii="Palatino Linotype" w:hAnsi="Palatino Linotype"/>
          <w:b/>
          <w:bCs/>
        </w:rPr>
        <w:t>Sujeto Obligado</w:t>
      </w:r>
      <w:r w:rsidRPr="005D5FE7">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7CA0AA8D" w14:textId="469D076D" w:rsidR="00CD3170" w:rsidRPr="005D5FE7" w:rsidRDefault="003B7461" w:rsidP="00B77680">
      <w:pPr>
        <w:spacing w:before="240" w:after="240" w:line="360" w:lineRule="auto"/>
        <w:jc w:val="both"/>
        <w:rPr>
          <w:rFonts w:ascii="Palatino Linotype" w:eastAsia="Palatino Linotype" w:hAnsi="Palatino Linotype" w:cs="Palatino Linotype"/>
          <w:b/>
        </w:rPr>
      </w:pPr>
      <w:r w:rsidRPr="005D5FE7">
        <w:rPr>
          <w:rFonts w:ascii="Palatino Linotype" w:eastAsia="Palatino Linotype" w:hAnsi="Palatino Linotype" w:cs="Palatino Linotype"/>
        </w:rPr>
        <w:lastRenderedPageBreak/>
        <w:t>Asimismo, se acreditan los elementos formales exigidos por el artículo 180 de la Ley de Transparencia y Acceso a la Información Pública del Estado de México y Municipios, en atención a que fueron presentados mediante el formato visible en el</w:t>
      </w:r>
      <w:r w:rsidRPr="005D5FE7">
        <w:rPr>
          <w:rFonts w:ascii="Palatino Linotype" w:eastAsia="Palatino Linotype" w:hAnsi="Palatino Linotype" w:cs="Palatino Linotype"/>
          <w:b/>
        </w:rPr>
        <w:t xml:space="preserve"> SAIMEX. </w:t>
      </w:r>
    </w:p>
    <w:p w14:paraId="3ABBD736" w14:textId="0EC76BAB" w:rsidR="00CD3170" w:rsidRPr="005D5FE7" w:rsidRDefault="003B7461"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Finalmente, se advierte que resulta procedente la interposición del recurso, según lo manifestado por el </w:t>
      </w:r>
      <w:r w:rsidRPr="005D5FE7">
        <w:rPr>
          <w:rFonts w:ascii="Palatino Linotype" w:eastAsia="Palatino Linotype" w:hAnsi="Palatino Linotype" w:cs="Palatino Linotype"/>
          <w:b/>
        </w:rPr>
        <w:t>RECURRENTE</w:t>
      </w:r>
      <w:r w:rsidRPr="005D5FE7">
        <w:rPr>
          <w:rFonts w:ascii="Palatino Linotype" w:eastAsia="Palatino Linotype" w:hAnsi="Palatino Linotype" w:cs="Palatino Linotype"/>
        </w:rPr>
        <w:t xml:space="preserve"> en sus motivos de inconformidad, de acu</w:t>
      </w:r>
      <w:r w:rsidR="002C16D4" w:rsidRPr="005D5FE7">
        <w:rPr>
          <w:rFonts w:ascii="Palatino Linotype" w:eastAsia="Palatino Linotype" w:hAnsi="Palatino Linotype" w:cs="Palatino Linotype"/>
        </w:rPr>
        <w:t xml:space="preserve">erdo al artículo 179, fracción </w:t>
      </w:r>
      <w:r w:rsidR="00DA34E9" w:rsidRPr="005D5FE7">
        <w:rPr>
          <w:rFonts w:ascii="Palatino Linotype" w:eastAsia="Palatino Linotype" w:hAnsi="Palatino Linotype" w:cs="Palatino Linotype"/>
        </w:rPr>
        <w:t>V</w:t>
      </w:r>
      <w:r w:rsidRPr="005D5FE7">
        <w:rPr>
          <w:rFonts w:ascii="Palatino Linotype" w:eastAsia="Palatino Linotype" w:hAnsi="Palatino Linotype" w:cs="Palatino Linotype"/>
        </w:rPr>
        <w:t xml:space="preserve"> del ordenamiento legal citado, que a la letra dice: </w:t>
      </w:r>
    </w:p>
    <w:p w14:paraId="533C1359" w14:textId="77777777" w:rsidR="00CD3170" w:rsidRPr="005D5FE7" w:rsidRDefault="003B7461" w:rsidP="00B77680">
      <w:pPr>
        <w:tabs>
          <w:tab w:val="left" w:pos="7088"/>
        </w:tabs>
        <w:spacing w:before="240" w:after="240"/>
        <w:ind w:left="851" w:right="616"/>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Artículo 179.</w:t>
      </w:r>
      <w:r w:rsidRPr="005D5FE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AC5C3AE" w14:textId="77777777" w:rsidR="00CD3170" w:rsidRPr="005D5FE7" w:rsidRDefault="003B7461"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w:t>
      </w:r>
    </w:p>
    <w:p w14:paraId="4FF0B48A" w14:textId="4A376174" w:rsidR="00CD3170" w:rsidRPr="005D5FE7" w:rsidRDefault="00DA34E9"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V</w:t>
      </w:r>
      <w:r w:rsidR="003B7461" w:rsidRPr="005D5FE7">
        <w:rPr>
          <w:rFonts w:ascii="Palatino Linotype" w:eastAsia="Palatino Linotype" w:hAnsi="Palatino Linotype" w:cs="Palatino Linotype"/>
          <w:b/>
          <w:i/>
          <w:sz w:val="22"/>
          <w:szCs w:val="22"/>
        </w:rPr>
        <w:t xml:space="preserve">. </w:t>
      </w:r>
      <w:r w:rsidR="00963BE1" w:rsidRPr="005D5FE7">
        <w:rPr>
          <w:rFonts w:ascii="Palatino Linotype" w:eastAsia="Palatino Linotype" w:hAnsi="Palatino Linotype" w:cs="Palatino Linotype"/>
          <w:b/>
          <w:i/>
          <w:sz w:val="22"/>
          <w:szCs w:val="22"/>
        </w:rPr>
        <w:t xml:space="preserve">La </w:t>
      </w:r>
      <w:r w:rsidRPr="005D5FE7">
        <w:rPr>
          <w:rFonts w:ascii="Palatino Linotype" w:eastAsia="Palatino Linotype" w:hAnsi="Palatino Linotype" w:cs="Palatino Linotype"/>
          <w:b/>
          <w:i/>
          <w:sz w:val="22"/>
          <w:szCs w:val="22"/>
        </w:rPr>
        <w:t>entrega de información incompleta</w:t>
      </w:r>
      <w:r w:rsidR="002C16D4" w:rsidRPr="005D5FE7">
        <w:rPr>
          <w:rFonts w:ascii="Palatino Linotype" w:eastAsia="Palatino Linotype" w:hAnsi="Palatino Linotype" w:cs="Palatino Linotype"/>
          <w:i/>
          <w:sz w:val="22"/>
          <w:szCs w:val="22"/>
        </w:rPr>
        <w:t xml:space="preserve">; </w:t>
      </w:r>
      <w:r w:rsidR="003B7461" w:rsidRPr="005D5FE7">
        <w:rPr>
          <w:rFonts w:ascii="Palatino Linotype" w:eastAsia="Palatino Linotype" w:hAnsi="Palatino Linotype" w:cs="Palatino Linotype"/>
          <w:i/>
          <w:sz w:val="22"/>
          <w:szCs w:val="22"/>
        </w:rPr>
        <w:t xml:space="preserve"> </w:t>
      </w:r>
    </w:p>
    <w:p w14:paraId="604AF32A" w14:textId="77777777" w:rsidR="00CD3170" w:rsidRPr="005D5FE7" w:rsidRDefault="003B7461"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w:t>
      </w:r>
      <w:r w:rsidRPr="005D5FE7">
        <w:rPr>
          <w:rFonts w:ascii="Palatino Linotype" w:eastAsia="Palatino Linotype" w:hAnsi="Palatino Linotype" w:cs="Palatino Linotype"/>
          <w:i/>
          <w:sz w:val="22"/>
          <w:szCs w:val="22"/>
        </w:rPr>
        <w:t>”</w:t>
      </w:r>
    </w:p>
    <w:p w14:paraId="365F74B7" w14:textId="77777777" w:rsidR="00CD3170" w:rsidRPr="005D5FE7" w:rsidRDefault="003B7461" w:rsidP="00B77680">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TERCERO. Materia de la revisión. </w:t>
      </w:r>
      <w:r w:rsidRPr="005D5FE7">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5D5FE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D5FE7">
        <w:rPr>
          <w:rFonts w:ascii="Palatino Linotype" w:eastAsia="Palatino Linotype" w:hAnsi="Palatino Linotype" w:cs="Palatino Linotype"/>
        </w:rPr>
        <w:t xml:space="preserve">de </w:t>
      </w:r>
      <w:r w:rsidRPr="005D5FE7">
        <w:rPr>
          <w:rFonts w:ascii="Palatino Linotype" w:eastAsia="Palatino Linotype" w:hAnsi="Palatino Linotype" w:cs="Palatino Linotype"/>
          <w:sz w:val="36"/>
        </w:rPr>
        <w:t>la</w:t>
      </w:r>
      <w:r w:rsidRPr="005D5FE7">
        <w:rPr>
          <w:rFonts w:ascii="Palatino Linotype" w:eastAsia="Palatino Linotype" w:hAnsi="Palatino Linotype" w:cs="Palatino Linotype"/>
        </w:rPr>
        <w:t xml:space="preserve"> </w:t>
      </w:r>
      <w:r w:rsidRPr="005D5FE7">
        <w:rPr>
          <w:rFonts w:ascii="Palatino Linotype" w:eastAsia="Palatino Linotype" w:hAnsi="Palatino Linotype" w:cs="Palatino Linotype"/>
          <w:b/>
        </w:rPr>
        <w:t>RECURRENTE</w:t>
      </w:r>
      <w:r w:rsidRPr="005D5FE7">
        <w:rPr>
          <w:rFonts w:ascii="Palatino Linotype" w:eastAsia="Palatino Linotype" w:hAnsi="Palatino Linotype" w:cs="Palatino Linotype"/>
        </w:rPr>
        <w:t>, o en su defecto, en caso de ser procedente, ordenar la entrega de información.</w:t>
      </w:r>
    </w:p>
    <w:p w14:paraId="019805CB" w14:textId="77777777" w:rsidR="005364C6" w:rsidRPr="005D5FE7" w:rsidRDefault="003B7461" w:rsidP="005364C6">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CUARTO. Estudio del asunto. </w:t>
      </w:r>
      <w:r w:rsidR="005364C6" w:rsidRPr="005D5FE7">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w:t>
      </w:r>
      <w:r w:rsidR="005364C6" w:rsidRPr="005D5FE7">
        <w:rPr>
          <w:rFonts w:ascii="Palatino Linotype" w:eastAsia="Palatino Linotype" w:hAnsi="Palatino Linotype" w:cs="Palatino Linotype"/>
        </w:rPr>
        <w:lastRenderedPageBreak/>
        <w:t>Interno, específicamente a nivel Constitucional, tal y como lo prevén los arábigos 1 párrafos primero, segundo y tercero y 6 apartado A fracciones I, II, III, IV, V, VI y VII que a la letra señalan:</w:t>
      </w:r>
    </w:p>
    <w:p w14:paraId="4022F398" w14:textId="77777777" w:rsidR="005364C6" w:rsidRPr="005D5FE7" w:rsidRDefault="005364C6" w:rsidP="005364C6">
      <w:pPr>
        <w:tabs>
          <w:tab w:val="left" w:pos="709"/>
        </w:tabs>
        <w:ind w:left="851" w:right="850"/>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D5FE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5D5FE7" w:rsidRDefault="005364C6" w:rsidP="005364C6">
      <w:pPr>
        <w:tabs>
          <w:tab w:val="left" w:pos="709"/>
        </w:tabs>
        <w:ind w:left="851" w:right="850"/>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5D5FE7" w:rsidRDefault="005364C6" w:rsidP="005364C6">
      <w:pPr>
        <w:tabs>
          <w:tab w:val="left" w:pos="709"/>
        </w:tabs>
        <w:ind w:left="851" w:right="850"/>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D5FE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5D5FE7" w:rsidRDefault="005364C6" w:rsidP="005364C6">
      <w:pPr>
        <w:tabs>
          <w:tab w:val="left" w:pos="709"/>
        </w:tabs>
        <w:ind w:left="851" w:right="850"/>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197C811D" w14:textId="77777777" w:rsidR="005364C6" w:rsidRPr="005D5FE7" w:rsidRDefault="005364C6" w:rsidP="005364C6">
      <w:pPr>
        <w:ind w:left="851" w:right="90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“Artículo 6o.</w:t>
      </w:r>
    </w:p>
    <w:p w14:paraId="5871E796" w14:textId="77777777" w:rsidR="005364C6" w:rsidRPr="005D5FE7" w:rsidRDefault="005364C6" w:rsidP="005364C6">
      <w:pPr>
        <w:ind w:left="851" w:right="90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24CE4C39"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A. Para el ejercicio del derecho de acceso a la información, la Federación y </w:t>
      </w:r>
      <w:r w:rsidRPr="005D5FE7">
        <w:rPr>
          <w:rFonts w:ascii="Palatino Linotype" w:eastAsia="Palatino Linotype" w:hAnsi="Palatino Linotype" w:cs="Palatino Linotype"/>
          <w:b/>
          <w:i/>
          <w:sz w:val="22"/>
          <w:szCs w:val="22"/>
          <w:u w:val="single"/>
        </w:rPr>
        <w:t>las entidades federativas</w:t>
      </w:r>
      <w:r w:rsidRPr="005D5FE7">
        <w:rPr>
          <w:rFonts w:ascii="Palatino Linotype" w:eastAsia="Palatino Linotype" w:hAnsi="Palatino Linotype" w:cs="Palatino Linotype"/>
          <w:b/>
          <w:i/>
          <w:sz w:val="22"/>
          <w:szCs w:val="22"/>
        </w:rPr>
        <w:t>,</w:t>
      </w:r>
      <w:r w:rsidRPr="005D5FE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w:t>
      </w:r>
    </w:p>
    <w:p w14:paraId="01402CCF"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I. </w:t>
      </w:r>
      <w:r w:rsidRPr="005D5FE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D5FE7">
        <w:rPr>
          <w:rFonts w:ascii="Palatino Linotype" w:eastAsia="Palatino Linotype" w:hAnsi="Palatino Linotype" w:cs="Palatino Linotype"/>
          <w:i/>
          <w:sz w:val="22"/>
          <w:szCs w:val="22"/>
        </w:rPr>
        <w:t xml:space="preserve"> Ejecutivo, Legislativo </w:t>
      </w:r>
      <w:r w:rsidRPr="005D5FE7">
        <w:rPr>
          <w:rFonts w:ascii="Palatino Linotype" w:eastAsia="Palatino Linotype" w:hAnsi="Palatino Linotype" w:cs="Palatino Linotype"/>
          <w:b/>
          <w:i/>
          <w:sz w:val="22"/>
          <w:szCs w:val="22"/>
          <w:u w:val="single"/>
        </w:rPr>
        <w:t>y Judicial</w:t>
      </w:r>
      <w:r w:rsidRPr="005D5FE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D5FE7">
        <w:rPr>
          <w:rFonts w:ascii="Palatino Linotype" w:eastAsia="Palatino Linotype" w:hAnsi="Palatino Linotype" w:cs="Palatino Linotype"/>
          <w:b/>
          <w:i/>
          <w:sz w:val="22"/>
          <w:szCs w:val="22"/>
        </w:rPr>
        <w:t>es pública y sólo podrá ser reservada temporalmente por razones de interés público y seguridad nacional,</w:t>
      </w:r>
      <w:r w:rsidRPr="005D5FE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lastRenderedPageBreak/>
        <w:t> </w:t>
      </w:r>
    </w:p>
    <w:p w14:paraId="2961E990" w14:textId="77777777" w:rsidR="005364C6" w:rsidRPr="005D5FE7" w:rsidRDefault="005364C6" w:rsidP="005364C6">
      <w:pPr>
        <w:ind w:left="851" w:right="851"/>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w:t>
      </w:r>
    </w:p>
    <w:p w14:paraId="2E3F9E43"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III. </w:t>
      </w:r>
      <w:r w:rsidRPr="005D5FE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D5FE7">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w:t>
      </w:r>
    </w:p>
    <w:p w14:paraId="0169CD3D"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IV. </w:t>
      </w:r>
      <w:r w:rsidRPr="005D5FE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5D5FE7" w:rsidRDefault="005364C6" w:rsidP="005364C6">
      <w:pPr>
        <w:ind w:left="851" w:right="851"/>
        <w:jc w:val="both"/>
        <w:rPr>
          <w:rFonts w:ascii="Palatino Linotype" w:eastAsia="Palatino Linotype" w:hAnsi="Palatino Linotype" w:cs="Palatino Linotype"/>
          <w:i/>
          <w:sz w:val="22"/>
          <w:szCs w:val="22"/>
        </w:rPr>
      </w:pPr>
    </w:p>
    <w:p w14:paraId="58A34ED5"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V. </w:t>
      </w:r>
      <w:r w:rsidRPr="005D5FE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w:t>
      </w:r>
    </w:p>
    <w:p w14:paraId="795C90E9"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VI. </w:t>
      </w:r>
      <w:r w:rsidRPr="005D5FE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w:t>
      </w:r>
    </w:p>
    <w:p w14:paraId="2790B11E"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VII. </w:t>
      </w:r>
      <w:r w:rsidRPr="005D5FE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5D5FE7" w:rsidRDefault="005364C6" w:rsidP="005364C6">
      <w:pPr>
        <w:ind w:right="851"/>
        <w:jc w:val="both"/>
        <w:rPr>
          <w:rFonts w:ascii="Palatino Linotype" w:eastAsia="Palatino Linotype" w:hAnsi="Palatino Linotype" w:cs="Palatino Linotype"/>
          <w:i/>
          <w:sz w:val="22"/>
          <w:szCs w:val="22"/>
        </w:rPr>
      </w:pPr>
    </w:p>
    <w:p w14:paraId="718F8637" w14:textId="77777777" w:rsidR="005364C6" w:rsidRPr="005D5FE7" w:rsidRDefault="005364C6" w:rsidP="005364C6">
      <w:pPr>
        <w:tabs>
          <w:tab w:val="left" w:pos="709"/>
        </w:tabs>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7777777" w:rsidR="005364C6" w:rsidRPr="005D5FE7" w:rsidRDefault="005364C6" w:rsidP="005364C6">
      <w:pPr>
        <w:spacing w:before="12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 xml:space="preserve">En primer lugar, es conveniente analizar si la respuesta del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47B3B9" w14:textId="77777777" w:rsidR="005364C6" w:rsidRPr="005D5FE7" w:rsidRDefault="005364C6" w:rsidP="005364C6">
      <w:pPr>
        <w:spacing w:before="240"/>
        <w:ind w:left="709" w:right="760"/>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Artículo 4.</w:t>
      </w:r>
      <w:r w:rsidRPr="005D5FE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5D5FE7" w:rsidRDefault="005364C6" w:rsidP="005364C6">
      <w:pPr>
        <w:ind w:left="709" w:right="760"/>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D5FE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5D5FE7" w:rsidRDefault="005364C6" w:rsidP="005364C6">
      <w:pPr>
        <w:ind w:left="709" w:right="760"/>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D5FE7">
        <w:rPr>
          <w:rFonts w:ascii="Palatino Linotype" w:eastAsia="Palatino Linotype" w:hAnsi="Palatino Linotype" w:cs="Palatino Linotype"/>
          <w:i/>
          <w:sz w:val="22"/>
          <w:szCs w:val="22"/>
        </w:rPr>
        <w:t>.”(Sic)</w:t>
      </w:r>
    </w:p>
    <w:p w14:paraId="4AF55D85" w14:textId="77777777" w:rsidR="005364C6" w:rsidRPr="005D5FE7" w:rsidRDefault="005364C6" w:rsidP="005364C6">
      <w:pPr>
        <w:ind w:left="709" w:right="760"/>
        <w:jc w:val="both"/>
        <w:rPr>
          <w:rFonts w:ascii="Palatino Linotype" w:eastAsia="Palatino Linotype" w:hAnsi="Palatino Linotype" w:cs="Palatino Linotype"/>
          <w:i/>
        </w:rPr>
      </w:pPr>
    </w:p>
    <w:p w14:paraId="42119B59" w14:textId="77777777" w:rsidR="005364C6" w:rsidRPr="005D5FE7" w:rsidRDefault="005364C6" w:rsidP="005364C6">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sidRPr="005D5FE7">
        <w:rPr>
          <w:rFonts w:ascii="Palatino Linotype" w:eastAsia="Palatino Linotype" w:hAnsi="Palatino Linotype" w:cs="Palatino Linotype"/>
        </w:rPr>
        <w:lastRenderedPageBreak/>
        <w:t>interés del solicitante; como así lo establece el artículo 12 de la Ley de Transparencia y Acceso a la Información Pública del Estado de México y Municipios, el cual a la letra dice:</w:t>
      </w:r>
    </w:p>
    <w:p w14:paraId="38816B9E" w14:textId="77777777" w:rsidR="005364C6" w:rsidRPr="005D5FE7" w:rsidRDefault="005364C6" w:rsidP="005364C6">
      <w:pPr>
        <w:ind w:left="567" w:right="758"/>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Artículo 12.-</w:t>
      </w:r>
      <w:r w:rsidRPr="005D5FE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5D5FE7" w:rsidRDefault="005364C6" w:rsidP="005364C6">
      <w:pPr>
        <w:ind w:left="567" w:right="758"/>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D5FE7">
        <w:rPr>
          <w:rFonts w:ascii="Palatino Linotype" w:eastAsia="Palatino Linotype" w:hAnsi="Palatino Linotype" w:cs="Palatino Linotype"/>
          <w:i/>
          <w:sz w:val="22"/>
          <w:szCs w:val="22"/>
        </w:rPr>
        <w:t xml:space="preserve">. </w:t>
      </w:r>
      <w:r w:rsidRPr="005D5FE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5D5FE7" w:rsidRDefault="005364C6" w:rsidP="005364C6">
      <w:pPr>
        <w:spacing w:line="360" w:lineRule="auto"/>
        <w:ind w:right="-93"/>
        <w:jc w:val="both"/>
        <w:rPr>
          <w:rFonts w:ascii="Palatino Linotype" w:eastAsia="Palatino Linotype" w:hAnsi="Palatino Linotype" w:cs="Palatino Linotype"/>
        </w:rPr>
      </w:pPr>
    </w:p>
    <w:p w14:paraId="2085528A" w14:textId="77777777" w:rsidR="005364C6" w:rsidRPr="005D5FE7" w:rsidRDefault="005364C6" w:rsidP="005364C6">
      <w:pPr>
        <w:spacing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BC4250" w14:textId="77777777" w:rsidR="005364C6" w:rsidRPr="005D5FE7" w:rsidRDefault="005364C6" w:rsidP="005364C6">
      <w:pPr>
        <w:spacing w:line="360" w:lineRule="auto"/>
        <w:jc w:val="both"/>
        <w:rPr>
          <w:rFonts w:ascii="Palatino Linotype" w:eastAsia="Palatino Linotype" w:hAnsi="Palatino Linotype" w:cs="Palatino Linotype"/>
        </w:rPr>
      </w:pPr>
    </w:p>
    <w:p w14:paraId="1248CA29" w14:textId="77777777" w:rsidR="005364C6" w:rsidRPr="005D5FE7" w:rsidRDefault="005364C6" w:rsidP="005364C6">
      <w:pPr>
        <w:spacing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E5E95DC" w14:textId="74F1FCEE" w:rsidR="005364C6" w:rsidRPr="005D5FE7" w:rsidRDefault="005364C6" w:rsidP="005364C6">
      <w:pPr>
        <w:spacing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 xml:space="preserve">Por otra parte, conviene mencionar que la Ley de Transparencia vigente en el Estado de México refiere: </w:t>
      </w:r>
    </w:p>
    <w:p w14:paraId="3DA81514"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Artículo 18.</w:t>
      </w:r>
      <w:r w:rsidRPr="005D5FE7">
        <w:rPr>
          <w:rFonts w:ascii="Palatino Linotype" w:eastAsia="Palatino Linotype" w:hAnsi="Palatino Linotype" w:cs="Palatino Linotype"/>
          <w:i/>
          <w:sz w:val="22"/>
          <w:szCs w:val="22"/>
        </w:rPr>
        <w:t xml:space="preserve"> </w:t>
      </w:r>
      <w:r w:rsidRPr="005D5FE7">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5D5FE7">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5D5FE7" w:rsidRDefault="005364C6" w:rsidP="005364C6">
      <w:pPr>
        <w:ind w:left="851" w:right="851"/>
        <w:jc w:val="both"/>
        <w:rPr>
          <w:rFonts w:ascii="Palatino Linotype" w:eastAsia="Palatino Linotype" w:hAnsi="Palatino Linotype" w:cs="Palatino Linotype"/>
          <w:b/>
          <w:i/>
          <w:sz w:val="22"/>
          <w:szCs w:val="22"/>
        </w:rPr>
      </w:pPr>
    </w:p>
    <w:p w14:paraId="756570C5"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Artículo 19. </w:t>
      </w:r>
      <w:r w:rsidRPr="005D5FE7">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5D5FE7">
        <w:rPr>
          <w:rFonts w:ascii="Palatino Linotype" w:eastAsia="Palatino Linotype" w:hAnsi="Palatino Linotype" w:cs="Palatino Linotype"/>
          <w:i/>
          <w:sz w:val="22"/>
          <w:szCs w:val="22"/>
        </w:rPr>
        <w:t>.</w:t>
      </w:r>
    </w:p>
    <w:p w14:paraId="4FA4382A" w14:textId="77777777" w:rsidR="005364C6" w:rsidRPr="005D5FE7" w:rsidRDefault="005364C6" w:rsidP="005364C6">
      <w:pPr>
        <w:ind w:left="851" w:right="851"/>
        <w:jc w:val="both"/>
        <w:rPr>
          <w:rFonts w:ascii="Palatino Linotype" w:eastAsia="Palatino Linotype" w:hAnsi="Palatino Linotype" w:cs="Palatino Linotype"/>
          <w:i/>
          <w:sz w:val="22"/>
          <w:szCs w:val="22"/>
        </w:rPr>
      </w:pPr>
    </w:p>
    <w:p w14:paraId="6A0B942C"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5D5FE7" w:rsidRDefault="005364C6" w:rsidP="005364C6">
      <w:pPr>
        <w:ind w:left="851" w:right="851"/>
        <w:jc w:val="both"/>
        <w:rPr>
          <w:rFonts w:ascii="Palatino Linotype" w:eastAsia="Palatino Linotype" w:hAnsi="Palatino Linotype" w:cs="Palatino Linotype"/>
          <w:i/>
          <w:sz w:val="22"/>
          <w:szCs w:val="22"/>
        </w:rPr>
      </w:pPr>
    </w:p>
    <w:p w14:paraId="1393A0D4"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5D5FE7"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5D5FE7" w:rsidRDefault="005364C6" w:rsidP="005364C6">
      <w:pPr>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Énfasis añadido.</w:t>
      </w:r>
    </w:p>
    <w:p w14:paraId="74E3A054" w14:textId="77777777" w:rsidR="005364C6" w:rsidRPr="005D5FE7" w:rsidRDefault="005364C6" w:rsidP="005364C6">
      <w:pPr>
        <w:spacing w:line="360" w:lineRule="auto"/>
        <w:jc w:val="both"/>
        <w:rPr>
          <w:rFonts w:ascii="Palatino Linotype" w:eastAsia="Palatino Linotype" w:hAnsi="Palatino Linotype" w:cs="Palatino Linotype"/>
        </w:rPr>
      </w:pPr>
    </w:p>
    <w:p w14:paraId="5B8ABF42" w14:textId="2FBF44AA" w:rsidR="005364C6" w:rsidRPr="005D5FE7" w:rsidRDefault="005364C6" w:rsidP="005364C6">
      <w:pPr>
        <w:spacing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w:t>
      </w:r>
      <w:r w:rsidR="00DE313A" w:rsidRPr="005D5FE7">
        <w:rPr>
          <w:rFonts w:ascii="Palatino Linotype" w:eastAsia="Palatino Linotype" w:hAnsi="Palatino Linotype" w:cs="Palatino Linotype"/>
        </w:rPr>
        <w:t>l Estado de México y Municipios.</w:t>
      </w:r>
    </w:p>
    <w:p w14:paraId="74D833D8" w14:textId="77777777" w:rsidR="005364C6" w:rsidRPr="005D5FE7" w:rsidRDefault="005364C6" w:rsidP="005364C6">
      <w:pPr>
        <w:spacing w:line="360" w:lineRule="auto"/>
        <w:jc w:val="both"/>
        <w:rPr>
          <w:rFonts w:ascii="Palatino Linotype" w:eastAsia="Palatino Linotype" w:hAnsi="Palatino Linotype" w:cs="Palatino Linotype"/>
        </w:rPr>
      </w:pPr>
    </w:p>
    <w:p w14:paraId="2549E2C0" w14:textId="77777777" w:rsidR="005364C6" w:rsidRPr="005D5FE7" w:rsidRDefault="005364C6" w:rsidP="005364C6">
      <w:pPr>
        <w:spacing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5D5FE7"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 xml:space="preserve">Artículo 3. </w:t>
      </w:r>
      <w:r w:rsidRPr="005D5FE7">
        <w:rPr>
          <w:rFonts w:ascii="Palatino Linotype" w:eastAsia="Palatino Linotype" w:hAnsi="Palatino Linotype" w:cs="Palatino Linotype"/>
          <w:i/>
          <w:sz w:val="22"/>
          <w:szCs w:val="22"/>
        </w:rPr>
        <w:t>Para los efectos de la presente Ley se entenderá por:</w:t>
      </w:r>
    </w:p>
    <w:p w14:paraId="2830E00E"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761034BA"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XI. Documento:</w:t>
      </w:r>
      <w:r w:rsidRPr="005D5FE7">
        <w:rPr>
          <w:rFonts w:ascii="Palatino Linotype" w:eastAsia="Palatino Linotype" w:hAnsi="Palatino Linotype" w:cs="Palatino Linotype"/>
          <w:i/>
          <w:sz w:val="22"/>
          <w:szCs w:val="22"/>
        </w:rPr>
        <w:t xml:space="preserve"> Los expedientes, reportes, estudios, actas</w:t>
      </w:r>
      <w:r w:rsidRPr="005D5FE7">
        <w:rPr>
          <w:rFonts w:ascii="Palatino Linotype" w:eastAsia="Palatino Linotype" w:hAnsi="Palatino Linotype" w:cs="Palatino Linotype"/>
          <w:b/>
          <w:i/>
          <w:sz w:val="22"/>
          <w:szCs w:val="22"/>
        </w:rPr>
        <w:t>,</w:t>
      </w:r>
      <w:r w:rsidRPr="005D5FE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5D5FE7">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5D5FE7">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5D5FE7">
        <w:rPr>
          <w:rFonts w:ascii="Palatino Linotype" w:eastAsia="Palatino Linotype" w:hAnsi="Palatino Linotype" w:cs="Palatino Linotype"/>
          <w:b/>
          <w:i/>
          <w:sz w:val="22"/>
          <w:szCs w:val="22"/>
          <w:u w:val="single"/>
        </w:rPr>
        <w:t>electrónico, informático</w:t>
      </w:r>
      <w:r w:rsidRPr="005D5FE7">
        <w:rPr>
          <w:rFonts w:ascii="Palatino Linotype" w:eastAsia="Palatino Linotype" w:hAnsi="Palatino Linotype" w:cs="Palatino Linotype"/>
          <w:i/>
          <w:sz w:val="22"/>
          <w:szCs w:val="22"/>
        </w:rPr>
        <w:t xml:space="preserve"> u holográfico…” (Sic)</w:t>
      </w:r>
    </w:p>
    <w:p w14:paraId="66C3B3E3" w14:textId="77777777" w:rsidR="005364C6" w:rsidRPr="005D5FE7"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5D5FE7" w:rsidRDefault="005364C6" w:rsidP="005364C6">
      <w:pPr>
        <w:spacing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7FA063" w14:textId="77777777" w:rsidR="005364C6" w:rsidRPr="005D5FE7" w:rsidRDefault="005364C6" w:rsidP="005364C6">
      <w:pPr>
        <w:ind w:left="851" w:right="899"/>
        <w:jc w:val="both"/>
        <w:rPr>
          <w:rFonts w:ascii="Palatino Linotype" w:eastAsia="Palatino Linotype" w:hAnsi="Palatino Linotype" w:cs="Palatino Linotype"/>
        </w:rPr>
      </w:pPr>
    </w:p>
    <w:p w14:paraId="2038BD86" w14:textId="77777777" w:rsidR="005364C6" w:rsidRPr="005D5FE7" w:rsidRDefault="005364C6" w:rsidP="005364C6">
      <w:pPr>
        <w:ind w:left="851" w:right="899"/>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sz w:val="22"/>
          <w:szCs w:val="22"/>
        </w:rPr>
        <w:t>“</w:t>
      </w:r>
      <w:r w:rsidRPr="005D5FE7">
        <w:rPr>
          <w:rFonts w:ascii="Palatino Linotype" w:eastAsia="Palatino Linotype" w:hAnsi="Palatino Linotype" w:cs="Palatino Linotype"/>
          <w:b/>
          <w:i/>
          <w:sz w:val="22"/>
          <w:szCs w:val="22"/>
        </w:rPr>
        <w:t>CRITERIO 0002-11</w:t>
      </w:r>
    </w:p>
    <w:p w14:paraId="3BCB8310"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D5FE7">
        <w:rPr>
          <w:rFonts w:ascii="Palatino Linotype" w:eastAsia="Palatino Linotype" w:hAnsi="Palatino Linotype" w:cs="Palatino Linotype"/>
          <w:i/>
          <w:sz w:val="22"/>
          <w:szCs w:val="22"/>
        </w:rPr>
        <w:t xml:space="preserve"> De conformidad </w:t>
      </w:r>
      <w:r w:rsidRPr="005D5FE7">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AFC927"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C491D8"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BD98B" w14:textId="77777777" w:rsidR="005364C6" w:rsidRPr="005D5FE7" w:rsidRDefault="005364C6" w:rsidP="005364C6">
      <w:pPr>
        <w:ind w:left="851" w:right="899"/>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8758DAD" w14:textId="77777777" w:rsidR="005364C6" w:rsidRPr="005D5FE7" w:rsidRDefault="005364C6" w:rsidP="005364C6">
      <w:pPr>
        <w:spacing w:before="280" w:after="28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De ahí que 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D5FE7">
        <w:rPr>
          <w:rFonts w:ascii="Palatino Linotype" w:eastAsia="Palatino Linotype" w:hAnsi="Palatino Linotype" w:cs="Palatino Linotype"/>
          <w:vertAlign w:val="superscript"/>
        </w:rPr>
        <w:footnoteReference w:id="1"/>
      </w:r>
      <w:r w:rsidRPr="005D5FE7">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D5FE7">
        <w:rPr>
          <w:rFonts w:ascii="Palatino Linotype" w:eastAsia="Palatino Linotype" w:hAnsi="Palatino Linotype" w:cs="Palatino Linotype"/>
          <w:vertAlign w:val="superscript"/>
        </w:rPr>
        <w:footnoteReference w:id="2"/>
      </w:r>
      <w:r w:rsidRPr="005D5FE7">
        <w:rPr>
          <w:rFonts w:ascii="Palatino Linotype" w:eastAsia="Palatino Linotype" w:hAnsi="Palatino Linotype" w:cs="Palatino Linotype"/>
        </w:rPr>
        <w:t xml:space="preserve">, como pudiera tratarse de </w:t>
      </w:r>
      <w:r w:rsidRPr="005D5FE7">
        <w:rPr>
          <w:rFonts w:ascii="Palatino Linotype" w:eastAsia="Palatino Linotype" w:hAnsi="Palatino Linotype" w:cs="Palatino Linotype"/>
        </w:rPr>
        <w:lastRenderedPageBreak/>
        <w:t>aquella relacionada con las obligaciones de transparencia señaladas en los artículos 92 y 100 de la Ley de la Materia.</w:t>
      </w:r>
    </w:p>
    <w:p w14:paraId="60C8FA24" w14:textId="391475BD" w:rsidR="005364C6" w:rsidRPr="005D5FE7" w:rsidRDefault="005364C6" w:rsidP="005364C6">
      <w:pPr>
        <w:spacing w:before="280" w:after="280" w:line="360" w:lineRule="auto"/>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rPr>
        <w:t xml:space="preserve">Bajo ese contexto, es conveniente reiterar que el entonces solicitante requirió al </w:t>
      </w:r>
      <w:r w:rsidRPr="005D5FE7">
        <w:rPr>
          <w:rFonts w:ascii="Palatino Linotype" w:eastAsia="Palatino Linotype" w:hAnsi="Palatino Linotype" w:cs="Palatino Linotype"/>
          <w:b/>
        </w:rPr>
        <w:t xml:space="preserve">SUJETO OBLIGADO </w:t>
      </w:r>
      <w:r w:rsidRPr="005D5FE7">
        <w:rPr>
          <w:rFonts w:ascii="Palatino Linotype" w:eastAsia="Palatino Linotype" w:hAnsi="Palatino Linotype" w:cs="Palatino Linotype"/>
        </w:rPr>
        <w:t xml:space="preserve">la versión pública </w:t>
      </w:r>
      <w:r w:rsidR="00B02456" w:rsidRPr="005D5FE7">
        <w:rPr>
          <w:rFonts w:ascii="Palatino Linotype" w:eastAsia="Palatino Linotype" w:hAnsi="Palatino Linotype" w:cs="Palatino Linotype"/>
        </w:rPr>
        <w:t xml:space="preserve">los recibos de nómina del personal de la Tesorería Municipal y/o Secretaría de Finanzas del Ayuntamiento de Tecámac. </w:t>
      </w:r>
    </w:p>
    <w:p w14:paraId="1E31768C" w14:textId="37FFE8DD" w:rsidR="005364C6" w:rsidRPr="005D5FE7" w:rsidRDefault="005364C6" w:rsidP="005364C6">
      <w:pPr>
        <w:spacing w:before="280" w:after="280" w:line="360" w:lineRule="auto"/>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rPr>
        <w:t xml:space="preserve">En su respuesta, </w:t>
      </w:r>
      <w:r w:rsidR="002E7B3E" w:rsidRPr="005D5FE7">
        <w:rPr>
          <w:rFonts w:ascii="Palatino Linotype" w:eastAsia="Palatino Linotype" w:hAnsi="Palatino Linotype" w:cs="Palatino Linotype"/>
        </w:rPr>
        <w:t xml:space="preserve">el </w:t>
      </w:r>
      <w:r w:rsidR="002E7B3E" w:rsidRPr="005D5FE7">
        <w:rPr>
          <w:rFonts w:ascii="Palatino Linotype" w:eastAsia="Palatino Linotype" w:hAnsi="Palatino Linotype" w:cs="Palatino Linotype"/>
          <w:b/>
        </w:rPr>
        <w:t xml:space="preserve">SUJETO OBLIGADO </w:t>
      </w:r>
      <w:r w:rsidR="002E7B3E" w:rsidRPr="005D5FE7">
        <w:rPr>
          <w:rFonts w:ascii="Palatino Linotype" w:eastAsia="Palatino Linotype" w:hAnsi="Palatino Linotype" w:cs="Palatino Linotype"/>
        </w:rPr>
        <w:t>entregó</w:t>
      </w:r>
      <w:r w:rsidR="00DC7295" w:rsidRPr="005D5FE7">
        <w:rPr>
          <w:rFonts w:ascii="Palatino Linotype" w:eastAsia="Palatino Linotype" w:hAnsi="Palatino Linotype" w:cs="Palatino Linotype"/>
        </w:rPr>
        <w:t xml:space="preserve"> versión pública de</w:t>
      </w:r>
      <w:r w:rsidR="002E7B3E" w:rsidRPr="005D5FE7">
        <w:rPr>
          <w:rFonts w:ascii="Palatino Linotype" w:eastAsia="Palatino Linotype" w:hAnsi="Palatino Linotype" w:cs="Palatino Linotype"/>
        </w:rPr>
        <w:t xml:space="preserve"> los recibos de nómina de </w:t>
      </w:r>
      <w:r w:rsidR="00705337" w:rsidRPr="005D5FE7">
        <w:rPr>
          <w:rFonts w:ascii="Palatino Linotype" w:eastAsia="Palatino Linotype" w:hAnsi="Palatino Linotype" w:cs="Palatino Linotype"/>
        </w:rPr>
        <w:t xml:space="preserve">la Tesorera Municipal de la primera quincena de enero a la primera quincena de abril de dos mil veintidós. </w:t>
      </w:r>
    </w:p>
    <w:p w14:paraId="275EC937" w14:textId="77777777" w:rsidR="008B36C6" w:rsidRPr="005D5FE7" w:rsidRDefault="00DC7295" w:rsidP="00DA0C5E">
      <w:pPr>
        <w:shd w:val="clear" w:color="auto" w:fill="FFFFFF"/>
        <w:spacing w:after="12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t>Inconforme con la respuesta, el</w:t>
      </w:r>
      <w:r w:rsidRPr="005D5FE7">
        <w:rPr>
          <w:rFonts w:ascii="Palatino Linotype" w:eastAsia="Palatino Linotype" w:hAnsi="Palatino Linotype" w:cs="Palatino Linotype"/>
          <w:b/>
        </w:rPr>
        <w:t xml:space="preserve"> RECURRENTE  </w:t>
      </w:r>
      <w:r w:rsidRPr="005D5FE7">
        <w:rPr>
          <w:rFonts w:ascii="Palatino Linotype" w:eastAsia="Palatino Linotype" w:hAnsi="Palatino Linotype" w:cs="Palatino Linotype"/>
        </w:rPr>
        <w:t>interpuso el recurso de revisión en el que manifestó como razones o motivos de inconformidad que pidió los recibos del personal de la Tesorería Municipal de Tecámac</w:t>
      </w:r>
      <w:r w:rsidR="008B36C6" w:rsidRPr="005D5FE7">
        <w:rPr>
          <w:rFonts w:ascii="Palatino Linotype" w:eastAsia="Palatino Linotype" w:hAnsi="Palatino Linotype" w:cs="Palatino Linotype"/>
        </w:rPr>
        <w:t xml:space="preserve"> y sólo le mandaron los recibos de la Tesorera. </w:t>
      </w:r>
    </w:p>
    <w:p w14:paraId="3508E9D5" w14:textId="20B0347E" w:rsidR="00880D9C" w:rsidRPr="005D5FE7" w:rsidRDefault="00880D9C" w:rsidP="00880D9C">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Derivado de lo anterior, resulta importante precisar que el </w:t>
      </w:r>
      <w:r w:rsidRPr="005D5FE7">
        <w:rPr>
          <w:rFonts w:ascii="Palatino Linotype" w:eastAsia="Palatino Linotype" w:hAnsi="Palatino Linotype" w:cs="Palatino Linotype"/>
          <w:b/>
        </w:rPr>
        <w:t>RECURRENTE</w:t>
      </w:r>
      <w:r w:rsidRPr="005D5FE7">
        <w:rPr>
          <w:rFonts w:ascii="Palatino Linotype" w:eastAsia="Palatino Linotype" w:hAnsi="Palatino Linotype" w:cs="Palatino Linotype"/>
        </w:rPr>
        <w:t xml:space="preserve"> no se inconformó por la totalidad de los puntos que conforman su solicitud de información, ya que al momento de interponer el recurso de revisión </w:t>
      </w:r>
      <w:r w:rsidR="009C2130" w:rsidRPr="005D5FE7">
        <w:rPr>
          <w:rFonts w:ascii="Palatino Linotype" w:eastAsia="Palatino Linotype" w:hAnsi="Palatino Linotype" w:cs="Palatino Linotype"/>
        </w:rPr>
        <w:t>no se pronunci</w:t>
      </w:r>
      <w:r w:rsidR="008852D4" w:rsidRPr="005D5FE7">
        <w:rPr>
          <w:rFonts w:ascii="Palatino Linotype" w:eastAsia="Palatino Linotype" w:hAnsi="Palatino Linotype" w:cs="Palatino Linotype"/>
        </w:rPr>
        <w:t xml:space="preserve">ó sobre </w:t>
      </w:r>
      <w:r w:rsidR="009C2130" w:rsidRPr="005D5FE7">
        <w:rPr>
          <w:rFonts w:ascii="Palatino Linotype" w:eastAsia="Palatino Linotype" w:hAnsi="Palatino Linotype" w:cs="Palatino Linotype"/>
        </w:rPr>
        <w:t>los recibos de nómina</w:t>
      </w:r>
      <w:r w:rsidR="008852D4" w:rsidRPr="005D5FE7">
        <w:rPr>
          <w:rFonts w:ascii="Palatino Linotype" w:eastAsia="Palatino Linotype" w:hAnsi="Palatino Linotype" w:cs="Palatino Linotype"/>
        </w:rPr>
        <w:t xml:space="preserve"> de la Tesorera Municipal</w:t>
      </w:r>
      <w:r w:rsidR="009C2130" w:rsidRPr="005D5FE7">
        <w:rPr>
          <w:rFonts w:ascii="Palatino Linotype" w:eastAsia="Palatino Linotype" w:hAnsi="Palatino Linotype" w:cs="Palatino Linotype"/>
        </w:rPr>
        <w:t xml:space="preserve">, ni del periodo del cual </w:t>
      </w:r>
      <w:r w:rsidRPr="005D5FE7">
        <w:rPr>
          <w:rFonts w:ascii="Palatino Linotype" w:eastAsia="Palatino Linotype" w:hAnsi="Palatino Linotype" w:cs="Palatino Linotype"/>
        </w:rPr>
        <w:t xml:space="preserve">el </w:t>
      </w:r>
      <w:r w:rsidRPr="005D5FE7">
        <w:rPr>
          <w:rFonts w:ascii="Palatino Linotype" w:eastAsia="Palatino Linotype" w:hAnsi="Palatino Linotype" w:cs="Palatino Linotype"/>
          <w:b/>
        </w:rPr>
        <w:t xml:space="preserve">SUJETO OBLIGADO </w:t>
      </w:r>
      <w:r w:rsidR="00F82151" w:rsidRPr="005D5FE7">
        <w:rPr>
          <w:rFonts w:ascii="Palatino Linotype" w:eastAsia="Palatino Linotype" w:hAnsi="Palatino Linotype" w:cs="Palatino Linotype"/>
        </w:rPr>
        <w:t>entregó información</w:t>
      </w:r>
      <w:r w:rsidRPr="005D5FE7">
        <w:rPr>
          <w:rFonts w:ascii="Palatino Linotype" w:eastAsia="Palatino Linotype" w:hAnsi="Palatino Linotype" w:cs="Palatino Linotype"/>
        </w:rPr>
        <w:t xml:space="preserve">. </w:t>
      </w:r>
    </w:p>
    <w:p w14:paraId="31FF72B0" w14:textId="77777777" w:rsidR="00880D9C" w:rsidRPr="005D5FE7" w:rsidRDefault="00880D9C" w:rsidP="00880D9C">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En ese sentido debe señalarse que el análisis del presente recurso no versará sobre la información sobre la que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w:t>
      </w:r>
      <w:r w:rsidRPr="005D5FE7">
        <w:rPr>
          <w:rFonts w:ascii="Palatino Linotype" w:eastAsia="Palatino Linotype" w:hAnsi="Palatino Linotype" w:cs="Palatino Linotype"/>
        </w:rPr>
        <w:lastRenderedPageBreak/>
        <w:t>atendidos. Sirve de apoyo a lo anterior, por analogía, la Tesis Jurisprudencial Número 3ª./J.7/91, publicada en el Semanario Judicial de la Federación y su Gaceta bajo el número de registro 174,177, que establece lo siguiente:</w:t>
      </w:r>
    </w:p>
    <w:p w14:paraId="2FDF8967" w14:textId="77777777" w:rsidR="00880D9C" w:rsidRPr="005D5FE7" w:rsidRDefault="00880D9C" w:rsidP="00880D9C">
      <w:pPr>
        <w:spacing w:before="240" w:after="240" w:line="276" w:lineRule="auto"/>
        <w:ind w:left="567" w:right="567"/>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sz w:val="22"/>
          <w:szCs w:val="22"/>
        </w:rPr>
        <w:t xml:space="preserve"> “</w:t>
      </w:r>
      <w:r w:rsidRPr="005D5FE7">
        <w:rPr>
          <w:rFonts w:ascii="Palatino Linotype" w:eastAsia="Palatino Linotype" w:hAnsi="Palatino Linotype" w:cs="Palatino Linotype"/>
          <w:b/>
          <w:i/>
          <w:sz w:val="22"/>
          <w:szCs w:val="22"/>
        </w:rPr>
        <w:t>REVISIÓN EN AMPARO. LOS RESOLUTIVOS NO COMBATIDOS DEBEN DECLARARSE FIRMES</w:t>
      </w:r>
      <w:r w:rsidRPr="005D5FE7">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2DA7087D" w14:textId="77777777" w:rsidR="00880D9C" w:rsidRPr="005D5FE7" w:rsidRDefault="00880D9C" w:rsidP="00880D9C">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Esto es, la parte de la solicitud sobre la que no se expresó inconformidad, debe declararse consentida por el hoy </w:t>
      </w:r>
      <w:r w:rsidRPr="005D5FE7">
        <w:rPr>
          <w:rFonts w:ascii="Palatino Linotype" w:eastAsia="Palatino Linotype" w:hAnsi="Palatino Linotype" w:cs="Palatino Linotype"/>
          <w:b/>
        </w:rPr>
        <w:t>RECURRENTE</w:t>
      </w:r>
      <w:r w:rsidRPr="005D5FE7">
        <w:rPr>
          <w:rFonts w:ascii="Palatino Linotype" w:eastAsia="Palatino Linotype" w:hAnsi="Palatino Linotype" w:cs="Palatino Linotype"/>
        </w:rPr>
        <w:t xml:space="preserve">, ya que no pueden producirse efectos jurídicos tendentes a revocar, confirmar o modificar la parte de la respuesta con relación a la parte de la solicitud que no fue motivo de inconformidad ya que se infiere un consentimiento del </w:t>
      </w:r>
      <w:r w:rsidRPr="005D5FE7">
        <w:rPr>
          <w:rFonts w:ascii="Palatino Linotype" w:eastAsia="Palatino Linotype" w:hAnsi="Palatino Linotype" w:cs="Palatino Linotype"/>
          <w:b/>
        </w:rPr>
        <w:t>RECURRENTE</w:t>
      </w:r>
      <w:r w:rsidRPr="005D5FE7">
        <w:rPr>
          <w:rFonts w:ascii="Palatino Linotype" w:eastAsia="Palatino Linotype" w:hAnsi="Palatino Linotype" w:cs="Palatino Linotype"/>
        </w:rPr>
        <w:t xml:space="preserve"> ante la falta de impugnación eficaz.</w:t>
      </w:r>
    </w:p>
    <w:p w14:paraId="7BFD759A" w14:textId="77777777" w:rsidR="00880D9C" w:rsidRPr="005D5FE7" w:rsidRDefault="00880D9C" w:rsidP="00880D9C">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45959F1D" w14:textId="77777777" w:rsidR="00880D9C" w:rsidRPr="005D5FE7" w:rsidRDefault="00880D9C" w:rsidP="00880D9C">
      <w:pPr>
        <w:spacing w:before="240" w:after="240" w:line="276" w:lineRule="auto"/>
        <w:ind w:left="567" w:right="567"/>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ACTOS CONSENTIDOS. SON LOS QUE NO SE IMPUGNAN MEDIANTE EL RECURSO IDÓNEO</w:t>
      </w:r>
      <w:r w:rsidRPr="005D5FE7">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14:paraId="5EA68353" w14:textId="1B8B2B1A" w:rsidR="00880D9C" w:rsidRPr="005D5FE7" w:rsidRDefault="006F4D53" w:rsidP="00DA0C5E">
      <w:pPr>
        <w:shd w:val="clear" w:color="auto" w:fill="FFFFFF"/>
        <w:spacing w:after="12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 xml:space="preserve">Ahora bien, por cuanto hace a los recibos de nómina del personal adscrito a la Tesorería Municipal y/o Secretaría de Finanzas del Ayuntamiento de Tecámac, es de señalar que de la respuesta del </w:t>
      </w:r>
      <w:r w:rsidRPr="005D5FE7">
        <w:rPr>
          <w:rFonts w:ascii="Palatino Linotype" w:eastAsia="Palatino Linotype" w:hAnsi="Palatino Linotype" w:cs="Palatino Linotype"/>
          <w:b/>
        </w:rPr>
        <w:t xml:space="preserve">SUJETO OBLIGADO </w:t>
      </w:r>
      <w:r w:rsidRPr="005D5FE7">
        <w:rPr>
          <w:rFonts w:ascii="Palatino Linotype" w:eastAsia="Palatino Linotype" w:hAnsi="Palatino Linotype" w:cs="Palatino Linotype"/>
        </w:rPr>
        <w:t xml:space="preserve">se advierte que como parte integrante de su estructura orgánica, se encuentra la Tesorería Municipal. </w:t>
      </w:r>
    </w:p>
    <w:p w14:paraId="45014B07" w14:textId="65B24502" w:rsidR="006F4D53" w:rsidRPr="005D5FE7" w:rsidRDefault="006F4D53" w:rsidP="00DA0C5E">
      <w:pPr>
        <w:shd w:val="clear" w:color="auto" w:fill="FFFFFF"/>
        <w:spacing w:after="12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Aunado a lo anterior, </w:t>
      </w:r>
      <w:r w:rsidR="002F3C26" w:rsidRPr="005D5FE7">
        <w:rPr>
          <w:rFonts w:ascii="Palatino Linotype" w:eastAsia="Palatino Linotype" w:hAnsi="Palatino Linotype" w:cs="Palatino Linotype"/>
        </w:rPr>
        <w:t>el Bando Municipal de Tecámac en su art</w:t>
      </w:r>
      <w:r w:rsidR="003012C8" w:rsidRPr="005D5FE7">
        <w:rPr>
          <w:rFonts w:ascii="Palatino Linotype" w:eastAsia="Palatino Linotype" w:hAnsi="Palatino Linotype" w:cs="Palatino Linotype"/>
        </w:rPr>
        <w:t xml:space="preserve">ículo establece: </w:t>
      </w:r>
    </w:p>
    <w:p w14:paraId="25C9C50B" w14:textId="074FD157" w:rsidR="003012C8" w:rsidRPr="005D5FE7" w:rsidRDefault="00546AC7" w:rsidP="00546AC7">
      <w:pPr>
        <w:shd w:val="clear" w:color="auto" w:fill="FFFFFF"/>
        <w:spacing w:after="120" w:line="276" w:lineRule="auto"/>
        <w:ind w:left="851" w:right="616"/>
        <w:jc w:val="both"/>
        <w:rPr>
          <w:rFonts w:ascii="Palatino Linotype" w:hAnsi="Palatino Linotype"/>
          <w:i/>
          <w:sz w:val="22"/>
          <w:szCs w:val="22"/>
        </w:rPr>
      </w:pPr>
      <w:r w:rsidRPr="005D5FE7">
        <w:rPr>
          <w:rFonts w:ascii="Palatino Linotype" w:hAnsi="Palatino Linotype"/>
          <w:b/>
          <w:i/>
          <w:sz w:val="22"/>
          <w:szCs w:val="22"/>
        </w:rPr>
        <w:t>“</w:t>
      </w:r>
      <w:r w:rsidR="003012C8" w:rsidRPr="005D5FE7">
        <w:rPr>
          <w:rFonts w:ascii="Palatino Linotype" w:hAnsi="Palatino Linotype"/>
          <w:b/>
          <w:i/>
          <w:sz w:val="22"/>
          <w:szCs w:val="22"/>
        </w:rPr>
        <w:t>Artículo 39.</w:t>
      </w:r>
      <w:r w:rsidR="003012C8" w:rsidRPr="005D5FE7">
        <w:rPr>
          <w:rFonts w:ascii="Palatino Linotype" w:hAnsi="Palatino Linotype"/>
          <w:i/>
          <w:sz w:val="22"/>
          <w:szCs w:val="22"/>
        </w:rPr>
        <w:t xml:space="preserve"> Para el cumplimiento de sus funciones la Presidencia Municipal se auxiliará de los demás integrantes del Ayuntamiento, las Comisiones Edilicias y tendrá bajo su mando las siguientes dependencias de la administración pública municipal centralizada:</w:t>
      </w:r>
    </w:p>
    <w:p w14:paraId="2B29B3BA" w14:textId="77777777" w:rsidR="003012C8" w:rsidRPr="005D5FE7" w:rsidRDefault="003012C8" w:rsidP="00546AC7">
      <w:pPr>
        <w:shd w:val="clear" w:color="auto" w:fill="FFFFFF"/>
        <w:spacing w:after="120" w:line="276" w:lineRule="auto"/>
        <w:ind w:left="851" w:right="616"/>
        <w:jc w:val="both"/>
        <w:rPr>
          <w:rFonts w:ascii="Palatino Linotype" w:hAnsi="Palatino Linotype"/>
          <w:i/>
          <w:sz w:val="22"/>
          <w:szCs w:val="22"/>
        </w:rPr>
      </w:pPr>
      <w:r w:rsidRPr="005D5FE7">
        <w:rPr>
          <w:rFonts w:ascii="Palatino Linotype" w:hAnsi="Palatino Linotype"/>
          <w:i/>
          <w:sz w:val="22"/>
          <w:szCs w:val="22"/>
        </w:rPr>
        <w:t xml:space="preserve">I. Presidencia Municipal; a. Secretaría Técnica de la Presidencia Municipal; </w:t>
      </w:r>
    </w:p>
    <w:p w14:paraId="61A1BC32" w14:textId="77777777" w:rsidR="003012C8" w:rsidRPr="005D5FE7" w:rsidRDefault="003012C8" w:rsidP="00546AC7">
      <w:pPr>
        <w:shd w:val="clear" w:color="auto" w:fill="FFFFFF"/>
        <w:spacing w:after="120" w:line="276" w:lineRule="auto"/>
        <w:ind w:left="851" w:right="616"/>
        <w:jc w:val="both"/>
        <w:rPr>
          <w:rFonts w:ascii="Palatino Linotype" w:hAnsi="Palatino Linotype"/>
          <w:i/>
          <w:sz w:val="22"/>
          <w:szCs w:val="22"/>
        </w:rPr>
      </w:pPr>
      <w:r w:rsidRPr="005D5FE7">
        <w:rPr>
          <w:rFonts w:ascii="Palatino Linotype" w:hAnsi="Palatino Linotype"/>
          <w:i/>
          <w:sz w:val="22"/>
          <w:szCs w:val="22"/>
        </w:rPr>
        <w:t xml:space="preserve">II. Secretaría del Ayuntamiento; </w:t>
      </w:r>
    </w:p>
    <w:p w14:paraId="4DBEE434" w14:textId="77777777" w:rsidR="003012C8" w:rsidRPr="005D5FE7" w:rsidRDefault="003012C8" w:rsidP="00546AC7">
      <w:pPr>
        <w:shd w:val="clear" w:color="auto" w:fill="FFFFFF"/>
        <w:spacing w:after="120" w:line="276" w:lineRule="auto"/>
        <w:ind w:left="851" w:right="616"/>
        <w:jc w:val="both"/>
        <w:rPr>
          <w:rFonts w:ascii="Palatino Linotype" w:hAnsi="Palatino Linotype"/>
          <w:b/>
          <w:i/>
          <w:sz w:val="22"/>
          <w:szCs w:val="22"/>
          <w:u w:val="single"/>
        </w:rPr>
      </w:pPr>
      <w:r w:rsidRPr="005D5FE7">
        <w:rPr>
          <w:rFonts w:ascii="Palatino Linotype" w:hAnsi="Palatino Linotype"/>
          <w:b/>
          <w:i/>
          <w:sz w:val="22"/>
          <w:szCs w:val="22"/>
          <w:u w:val="single"/>
        </w:rPr>
        <w:t xml:space="preserve">III. Tesorería Municipal; </w:t>
      </w:r>
    </w:p>
    <w:p w14:paraId="76F989C0" w14:textId="2F4574FC" w:rsidR="003012C8" w:rsidRPr="005D5FE7" w:rsidRDefault="003012C8" w:rsidP="00546AC7">
      <w:pPr>
        <w:shd w:val="clear" w:color="auto" w:fill="FFFFFF"/>
        <w:spacing w:after="120" w:line="276" w:lineRule="auto"/>
        <w:ind w:left="851" w:right="616"/>
        <w:jc w:val="both"/>
        <w:rPr>
          <w:rFonts w:ascii="Palatino Linotype" w:hAnsi="Palatino Linotype"/>
          <w:i/>
          <w:sz w:val="22"/>
          <w:szCs w:val="22"/>
        </w:rPr>
      </w:pPr>
      <w:r w:rsidRPr="005D5FE7">
        <w:rPr>
          <w:rFonts w:ascii="Palatino Linotype" w:hAnsi="Palatino Linotype"/>
          <w:i/>
          <w:sz w:val="22"/>
          <w:szCs w:val="22"/>
        </w:rPr>
        <w:t>IV. Contraloría Municipal;</w:t>
      </w:r>
    </w:p>
    <w:p w14:paraId="1C1EB087" w14:textId="46E44194" w:rsidR="00546AC7" w:rsidRPr="005D5FE7" w:rsidRDefault="00546AC7" w:rsidP="00546AC7">
      <w:pPr>
        <w:shd w:val="clear" w:color="auto" w:fill="FFFFFF"/>
        <w:spacing w:after="120" w:line="276" w:lineRule="auto"/>
        <w:ind w:left="851" w:right="616"/>
        <w:jc w:val="both"/>
        <w:rPr>
          <w:rFonts w:ascii="Palatino Linotype" w:eastAsia="Palatino Linotype" w:hAnsi="Palatino Linotype" w:cs="Palatino Linotype"/>
          <w:i/>
          <w:sz w:val="22"/>
          <w:szCs w:val="22"/>
        </w:rPr>
      </w:pPr>
      <w:r w:rsidRPr="005D5FE7">
        <w:rPr>
          <w:rFonts w:ascii="Palatino Linotype" w:hAnsi="Palatino Linotype"/>
          <w:i/>
          <w:sz w:val="22"/>
          <w:szCs w:val="22"/>
        </w:rPr>
        <w:t>…”</w:t>
      </w:r>
    </w:p>
    <w:p w14:paraId="6C9485A7" w14:textId="3D7545BE" w:rsidR="00A132DE" w:rsidRPr="005D5FE7" w:rsidRDefault="00DC7295" w:rsidP="00DA0C5E">
      <w:pPr>
        <w:shd w:val="clear" w:color="auto" w:fill="FFFFFF"/>
        <w:spacing w:after="120" w:line="360" w:lineRule="auto"/>
        <w:ind w:right="49"/>
        <w:jc w:val="both"/>
        <w:rPr>
          <w:rFonts w:ascii="Palatino Linotype" w:eastAsia="Palatino Linotype" w:hAnsi="Palatino Linotype" w:cs="Palatino Linotype"/>
          <w:i/>
        </w:rPr>
      </w:pPr>
      <w:r w:rsidRPr="005D5FE7">
        <w:rPr>
          <w:rFonts w:ascii="Palatino Linotype" w:eastAsia="Palatino Linotype" w:hAnsi="Palatino Linotype" w:cs="Palatino Linotype"/>
        </w:rPr>
        <w:t xml:space="preserve"> </w:t>
      </w:r>
    </w:p>
    <w:p w14:paraId="57014E82" w14:textId="567D52A2" w:rsidR="00612146" w:rsidRPr="005D5FE7" w:rsidRDefault="00612146" w:rsidP="00DA0C5E">
      <w:pPr>
        <w:shd w:val="clear" w:color="auto" w:fill="FFFFFF"/>
        <w:spacing w:after="12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t>Ahora bien, por cuanto hace al personal adscrito a la Tesorería Municipal, es de señalar</w:t>
      </w:r>
      <w:r w:rsidR="009C5ED6" w:rsidRPr="005D5FE7">
        <w:rPr>
          <w:rFonts w:ascii="Palatino Linotype" w:eastAsia="Palatino Linotype" w:hAnsi="Palatino Linotype" w:cs="Palatino Linotype"/>
        </w:rPr>
        <w:t xml:space="preserve"> que</w:t>
      </w:r>
      <w:r w:rsidRPr="005D5FE7">
        <w:rPr>
          <w:rFonts w:ascii="Palatino Linotype" w:eastAsia="Palatino Linotype" w:hAnsi="Palatino Linotype" w:cs="Palatino Linotype"/>
        </w:rPr>
        <w:t xml:space="preserve"> </w:t>
      </w:r>
      <w:r w:rsidR="00C47E6D" w:rsidRPr="005D5FE7">
        <w:rPr>
          <w:rFonts w:ascii="Palatino Linotype" w:eastAsia="Palatino Linotype" w:hAnsi="Palatino Linotype" w:cs="Palatino Linotype"/>
        </w:rPr>
        <w:t>de acuerdo</w:t>
      </w:r>
      <w:r w:rsidR="009C5ED6" w:rsidRPr="005D5FE7">
        <w:rPr>
          <w:rFonts w:ascii="Palatino Linotype" w:eastAsia="Palatino Linotype" w:hAnsi="Palatino Linotype" w:cs="Palatino Linotype"/>
        </w:rPr>
        <w:t xml:space="preserve"> con</w:t>
      </w:r>
      <w:r w:rsidR="00C47E6D" w:rsidRPr="005D5FE7">
        <w:rPr>
          <w:rFonts w:ascii="Palatino Linotype" w:eastAsia="Palatino Linotype" w:hAnsi="Palatino Linotype" w:cs="Palatino Linotype"/>
        </w:rPr>
        <w:t xml:space="preserve">  los registros en el Portal de Información Pública de Oficio (IPOMEX) del </w:t>
      </w:r>
      <w:r w:rsidR="00C47E6D" w:rsidRPr="005D5FE7">
        <w:rPr>
          <w:rFonts w:ascii="Palatino Linotype" w:eastAsia="Palatino Linotype" w:hAnsi="Palatino Linotype" w:cs="Palatino Linotype"/>
          <w:b/>
        </w:rPr>
        <w:t xml:space="preserve">SUJETO OBLIGADO, </w:t>
      </w:r>
      <w:r w:rsidR="00C73FBA" w:rsidRPr="005D5FE7">
        <w:rPr>
          <w:rFonts w:ascii="Palatino Linotype" w:eastAsia="Palatino Linotype" w:hAnsi="Palatino Linotype" w:cs="Palatino Linotype"/>
        </w:rPr>
        <w:t>en la fracción II</w:t>
      </w:r>
      <w:r w:rsidR="00B53765" w:rsidRPr="005D5FE7">
        <w:rPr>
          <w:rFonts w:ascii="Palatino Linotype" w:eastAsia="Palatino Linotype" w:hAnsi="Palatino Linotype" w:cs="Palatino Linotype"/>
        </w:rPr>
        <w:t xml:space="preserve"> A relativa a </w:t>
      </w:r>
      <w:r w:rsidR="00B53765" w:rsidRPr="005D5FE7">
        <w:rPr>
          <w:rFonts w:ascii="Palatino Linotype" w:eastAsia="Palatino Linotype" w:hAnsi="Palatino Linotype" w:cs="Palatino Linotype"/>
          <w:i/>
        </w:rPr>
        <w:t>“Estructura orgánica”</w:t>
      </w:r>
      <w:r w:rsidR="00B53765" w:rsidRPr="005D5FE7">
        <w:rPr>
          <w:rStyle w:val="Refdenotaalpie"/>
          <w:rFonts w:ascii="Palatino Linotype" w:eastAsia="Palatino Linotype" w:hAnsi="Palatino Linotype" w:cs="Palatino Linotype"/>
          <w:i/>
        </w:rPr>
        <w:footnoteReference w:id="3"/>
      </w:r>
      <w:r w:rsidR="00B53765" w:rsidRPr="005D5FE7">
        <w:rPr>
          <w:rFonts w:ascii="Palatino Linotype" w:eastAsia="Palatino Linotype" w:hAnsi="Palatino Linotype" w:cs="Palatino Linotype"/>
          <w:i/>
        </w:rPr>
        <w:t xml:space="preserve"> </w:t>
      </w:r>
      <w:r w:rsidR="00B53765" w:rsidRPr="005D5FE7">
        <w:rPr>
          <w:rFonts w:ascii="Palatino Linotype" w:eastAsia="Palatino Linotype" w:hAnsi="Palatino Linotype" w:cs="Palatino Linotype"/>
        </w:rPr>
        <w:t xml:space="preserve">se advierte que dependen de la Tesorería Municipal, las siguientes áreas o unidades administrativas: </w:t>
      </w:r>
    </w:p>
    <w:p w14:paraId="77D33462" w14:textId="77777777" w:rsidR="00A54136" w:rsidRPr="005D5FE7" w:rsidRDefault="00A54136" w:rsidP="00DA0C5E">
      <w:pPr>
        <w:shd w:val="clear" w:color="auto" w:fill="FFFFFF"/>
        <w:spacing w:after="120" w:line="360" w:lineRule="auto"/>
        <w:ind w:right="49"/>
        <w:jc w:val="both"/>
        <w:rPr>
          <w:rFonts w:ascii="Palatino Linotype" w:eastAsia="Palatino Linotype" w:hAnsi="Palatino Linotype" w:cs="Palatino Linotype"/>
        </w:rPr>
      </w:pPr>
    </w:p>
    <w:p w14:paraId="656C99DA" w14:textId="4F94D308" w:rsidR="00B53765" w:rsidRPr="005D5FE7" w:rsidRDefault="007164BA" w:rsidP="00DA0C5E">
      <w:pPr>
        <w:shd w:val="clear" w:color="auto" w:fill="FFFFFF"/>
        <w:spacing w:after="12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noProof/>
          <w:lang w:val="es-MX"/>
        </w:rPr>
        <w:drawing>
          <wp:inline distT="0" distB="0" distL="0" distR="0" wp14:anchorId="1B70A822" wp14:editId="4049FD13">
            <wp:extent cx="5612130" cy="35052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505200"/>
                    </a:xfrm>
                    <a:prstGeom prst="rect">
                      <a:avLst/>
                    </a:prstGeom>
                  </pic:spPr>
                </pic:pic>
              </a:graphicData>
            </a:graphic>
          </wp:inline>
        </w:drawing>
      </w:r>
    </w:p>
    <w:p w14:paraId="20980B1E" w14:textId="2276DC7B" w:rsidR="009209EE" w:rsidRPr="005D5FE7" w:rsidRDefault="00A54136" w:rsidP="005364C6">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En este entendido, se advierte que </w:t>
      </w:r>
      <w:r w:rsidR="000907DE" w:rsidRPr="005D5FE7">
        <w:rPr>
          <w:rFonts w:ascii="Palatino Linotype" w:eastAsia="Palatino Linotype" w:hAnsi="Palatino Linotype" w:cs="Palatino Linotype"/>
        </w:rPr>
        <w:t xml:space="preserve">la Tesorería Municipal cuenta </w:t>
      </w:r>
      <w:r w:rsidR="001C61DA" w:rsidRPr="005D5FE7">
        <w:rPr>
          <w:rFonts w:ascii="Palatino Linotype" w:eastAsia="Palatino Linotype" w:hAnsi="Palatino Linotype" w:cs="Palatino Linotype"/>
        </w:rPr>
        <w:t>con distintas áreas administrativas y por lo tanto con personal adscrito para</w:t>
      </w:r>
      <w:r w:rsidR="009C5ED6" w:rsidRPr="005D5FE7">
        <w:rPr>
          <w:rFonts w:ascii="Palatino Linotype" w:eastAsia="Palatino Linotype" w:hAnsi="Palatino Linotype" w:cs="Palatino Linotype"/>
        </w:rPr>
        <w:t xml:space="preserve"> el ejercicio de sus funciones y atribuciones. </w:t>
      </w:r>
    </w:p>
    <w:p w14:paraId="02B9F68A" w14:textId="1E599103" w:rsidR="00B8235B" w:rsidRPr="005D5FE7" w:rsidRDefault="001C61DA" w:rsidP="00B8235B">
      <w:pPr>
        <w:pBdr>
          <w:top w:val="nil"/>
          <w:left w:val="nil"/>
          <w:bottom w:val="nil"/>
          <w:right w:val="nil"/>
          <w:between w:val="nil"/>
        </w:pBdr>
        <w:shd w:val="clear" w:color="auto" w:fill="FFFFFF"/>
        <w:spacing w:before="240" w:after="240" w:line="360" w:lineRule="auto"/>
        <w:contextualSpacing/>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Ahora bien, es importante reiterar que </w:t>
      </w:r>
      <w:r w:rsidR="00795A13" w:rsidRPr="005D5FE7">
        <w:rPr>
          <w:rFonts w:ascii="Palatino Linotype" w:eastAsia="Palatino Linotype" w:hAnsi="Palatino Linotype" w:cs="Palatino Linotype"/>
        </w:rPr>
        <w:t xml:space="preserve">el </w:t>
      </w:r>
      <w:r w:rsidR="00795A13" w:rsidRPr="005D5FE7">
        <w:rPr>
          <w:rFonts w:ascii="Palatino Linotype" w:eastAsia="Palatino Linotype" w:hAnsi="Palatino Linotype" w:cs="Palatino Linotype"/>
          <w:b/>
        </w:rPr>
        <w:t>RECUR</w:t>
      </w:r>
      <w:r w:rsidR="00CE2A87" w:rsidRPr="005D5FE7">
        <w:rPr>
          <w:rFonts w:ascii="Palatino Linotype" w:eastAsia="Palatino Linotype" w:hAnsi="Palatino Linotype" w:cs="Palatino Linotype"/>
          <w:b/>
        </w:rPr>
        <w:t>R</w:t>
      </w:r>
      <w:r w:rsidR="00795A13" w:rsidRPr="005D5FE7">
        <w:rPr>
          <w:rFonts w:ascii="Palatino Linotype" w:eastAsia="Palatino Linotype" w:hAnsi="Palatino Linotype" w:cs="Palatino Linotype"/>
          <w:b/>
        </w:rPr>
        <w:t xml:space="preserve">ENTE </w:t>
      </w:r>
      <w:r w:rsidR="00795A13" w:rsidRPr="005D5FE7">
        <w:rPr>
          <w:rFonts w:ascii="Palatino Linotype" w:eastAsia="Palatino Linotype" w:hAnsi="Palatino Linotype" w:cs="Palatino Linotype"/>
        </w:rPr>
        <w:t>solici</w:t>
      </w:r>
      <w:r w:rsidR="00740AD1" w:rsidRPr="005D5FE7">
        <w:rPr>
          <w:rFonts w:ascii="Palatino Linotype" w:eastAsia="Palatino Linotype" w:hAnsi="Palatino Linotype" w:cs="Palatino Linotype"/>
        </w:rPr>
        <w:t>tó</w:t>
      </w:r>
      <w:r w:rsidR="00795A13" w:rsidRPr="005D5FE7">
        <w:rPr>
          <w:rFonts w:ascii="Palatino Linotype" w:eastAsia="Palatino Linotype" w:hAnsi="Palatino Linotype" w:cs="Palatino Linotype"/>
        </w:rPr>
        <w:t xml:space="preserve"> la versión pública de los recibos de nómina del personal adscrito a la Tesorería M</w:t>
      </w:r>
      <w:r w:rsidR="00B8235B" w:rsidRPr="005D5FE7">
        <w:rPr>
          <w:rFonts w:ascii="Palatino Linotype" w:eastAsia="Palatino Linotype" w:hAnsi="Palatino Linotype" w:cs="Palatino Linotype"/>
        </w:rPr>
        <w:t xml:space="preserve">unicipal, por lo que conviene referir que </w:t>
      </w:r>
      <w:r w:rsidR="00B8235B" w:rsidRPr="005D5FE7">
        <w:rPr>
          <w:rFonts w:ascii="Palatino Linotype" w:hAnsi="Palatino Linotype" w:cs="Tahoma"/>
        </w:rPr>
        <w:t xml:space="preserve">el artículo 147 de la Constitución Política del Estado Libre y Soberano de México, establece que los trabajadores al servicio del Estado y los miembros de los Ayuntamientos, recibirán una remuneración adecuada e </w:t>
      </w:r>
      <w:r w:rsidR="00B8235B" w:rsidRPr="005D5FE7">
        <w:rPr>
          <w:rFonts w:ascii="Palatino Linotype" w:hAnsi="Palatino Linotype" w:cs="Tahoma"/>
        </w:rPr>
        <w:lastRenderedPageBreak/>
        <w:t>irrenunciable por el desempeño de su empleo, cargo o comisión, que será determinada en el presupuesto de egresos que corresponda.</w:t>
      </w:r>
    </w:p>
    <w:p w14:paraId="3333ACE1" w14:textId="77777777" w:rsidR="00B8235B" w:rsidRPr="005D5FE7" w:rsidRDefault="00B8235B" w:rsidP="00B8235B">
      <w:pPr>
        <w:spacing w:before="240" w:after="240" w:line="360" w:lineRule="auto"/>
        <w:contextualSpacing/>
        <w:jc w:val="both"/>
        <w:rPr>
          <w:rFonts w:ascii="Palatino Linotype" w:hAnsi="Palatino Linotype" w:cs="Tahoma"/>
        </w:rPr>
      </w:pPr>
    </w:p>
    <w:p w14:paraId="607BF5AD" w14:textId="77777777" w:rsidR="00B8235B" w:rsidRPr="005D5FE7" w:rsidRDefault="00B8235B" w:rsidP="00B8235B">
      <w:pPr>
        <w:spacing w:before="240" w:after="240" w:line="360" w:lineRule="auto"/>
        <w:contextualSpacing/>
        <w:jc w:val="both"/>
        <w:rPr>
          <w:rFonts w:ascii="Palatino Linotype" w:hAnsi="Palatino Linotype" w:cs="Tahoma"/>
        </w:rPr>
      </w:pPr>
      <w:r w:rsidRPr="005D5FE7">
        <w:rPr>
          <w:rFonts w:ascii="Palatino Linotype" w:hAnsi="Palatino Linotype" w:cs="Tahoma"/>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E8CD8B3" w14:textId="77777777" w:rsidR="00B8235B" w:rsidRPr="005D5FE7" w:rsidRDefault="00B8235B" w:rsidP="00B8235B">
      <w:pPr>
        <w:spacing w:before="240" w:after="240" w:line="360" w:lineRule="auto"/>
        <w:contextualSpacing/>
        <w:jc w:val="both"/>
        <w:rPr>
          <w:rFonts w:ascii="Palatino Linotype" w:hAnsi="Palatino Linotype" w:cs="Tahoma"/>
        </w:rPr>
      </w:pPr>
    </w:p>
    <w:p w14:paraId="4C61FF40" w14:textId="77777777" w:rsidR="00B8235B" w:rsidRPr="005D5FE7" w:rsidRDefault="00B8235B" w:rsidP="00B8235B">
      <w:pPr>
        <w:spacing w:before="240" w:after="240" w:line="360" w:lineRule="auto"/>
        <w:contextualSpacing/>
        <w:jc w:val="both"/>
        <w:rPr>
          <w:rFonts w:ascii="Palatino Linotype" w:hAnsi="Palatino Linotype" w:cs="Tahoma"/>
        </w:rPr>
      </w:pPr>
      <w:r w:rsidRPr="005D5FE7">
        <w:rPr>
          <w:rFonts w:ascii="Palatino Linotype" w:hAnsi="Palatino Linotype" w:cs="Tahoma"/>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668A2B3D" w14:textId="77777777" w:rsidR="00B8235B" w:rsidRPr="005D5FE7" w:rsidRDefault="00B8235B" w:rsidP="00B8235B">
      <w:pPr>
        <w:spacing w:before="240" w:after="240" w:line="360" w:lineRule="auto"/>
        <w:jc w:val="both"/>
        <w:rPr>
          <w:rFonts w:ascii="Palatino Linotype" w:hAnsi="Palatino Linotype" w:cs="Tahoma"/>
        </w:rPr>
      </w:pPr>
    </w:p>
    <w:p w14:paraId="5DA9C010" w14:textId="77777777" w:rsidR="00B8235B" w:rsidRPr="005D5FE7" w:rsidRDefault="00B8235B" w:rsidP="00B8235B">
      <w:pPr>
        <w:spacing w:before="240" w:after="240" w:line="276" w:lineRule="auto"/>
        <w:ind w:left="851" w:right="900"/>
        <w:jc w:val="both"/>
        <w:rPr>
          <w:rFonts w:ascii="Palatino Linotype" w:hAnsi="Palatino Linotype" w:cs="Tahoma"/>
          <w:i/>
          <w:sz w:val="22"/>
          <w:szCs w:val="22"/>
        </w:rPr>
      </w:pPr>
      <w:r w:rsidRPr="005D5FE7">
        <w:rPr>
          <w:rFonts w:ascii="Palatino Linotype" w:hAnsi="Palatino Linotype" w:cs="Tahoma"/>
          <w:b/>
          <w:i/>
          <w:sz w:val="22"/>
          <w:szCs w:val="22"/>
        </w:rPr>
        <w:t>ARTÍCULO 220 K.-</w:t>
      </w:r>
      <w:r w:rsidRPr="005D5FE7">
        <w:rPr>
          <w:rFonts w:ascii="Palatino Linotype" w:hAnsi="Palatino Linotype" w:cs="Tahoma"/>
          <w:i/>
          <w:sz w:val="22"/>
          <w:szCs w:val="22"/>
        </w:rPr>
        <w:t xml:space="preserve"> La institución o dependencia pública tiene la obligación de conservar y exhibir en el proceso los documentos que a continuación se precisan:</w:t>
      </w:r>
    </w:p>
    <w:p w14:paraId="543A1E25" w14:textId="77777777" w:rsidR="00B8235B" w:rsidRPr="005D5FE7" w:rsidRDefault="00B8235B" w:rsidP="00B8235B">
      <w:pPr>
        <w:spacing w:before="240" w:after="240" w:line="276" w:lineRule="auto"/>
        <w:ind w:left="851" w:right="900"/>
        <w:jc w:val="both"/>
        <w:rPr>
          <w:rFonts w:ascii="Palatino Linotype" w:hAnsi="Palatino Linotype" w:cs="Tahoma"/>
          <w:i/>
          <w:sz w:val="22"/>
          <w:szCs w:val="22"/>
        </w:rPr>
      </w:pPr>
      <w:r w:rsidRPr="005D5FE7">
        <w:rPr>
          <w:rFonts w:ascii="Palatino Linotype" w:hAnsi="Palatino Linotype" w:cs="Tahoma"/>
          <w:i/>
          <w:sz w:val="22"/>
          <w:szCs w:val="22"/>
        </w:rPr>
        <w:t>I. Contratos, Nombramientos o Formato Único de Movimientos de Personal, cuando no exista Convenio de condiciones generales de trabajo aplicable;</w:t>
      </w:r>
    </w:p>
    <w:p w14:paraId="54A366B4" w14:textId="77777777" w:rsidR="00B8235B" w:rsidRPr="005D5FE7" w:rsidRDefault="00B8235B" w:rsidP="00B8235B">
      <w:pPr>
        <w:spacing w:before="240" w:after="240" w:line="276" w:lineRule="auto"/>
        <w:ind w:left="851" w:right="900"/>
        <w:jc w:val="both"/>
        <w:rPr>
          <w:rFonts w:ascii="Palatino Linotype" w:hAnsi="Palatino Linotype" w:cs="Tahoma"/>
          <w:i/>
          <w:sz w:val="22"/>
          <w:szCs w:val="22"/>
        </w:rPr>
      </w:pPr>
      <w:r w:rsidRPr="005D5FE7">
        <w:rPr>
          <w:rFonts w:ascii="Palatino Linotype" w:hAnsi="Palatino Linotype" w:cs="Tahoma"/>
          <w:i/>
          <w:sz w:val="22"/>
          <w:szCs w:val="22"/>
        </w:rPr>
        <w:t xml:space="preserve">II. </w:t>
      </w:r>
      <w:r w:rsidRPr="005D5FE7">
        <w:rPr>
          <w:rFonts w:ascii="Palatino Linotype" w:hAnsi="Palatino Linotype" w:cs="Tahoma"/>
          <w:b/>
          <w:i/>
          <w:sz w:val="22"/>
          <w:szCs w:val="22"/>
          <w:u w:val="single"/>
        </w:rPr>
        <w:t>Recibos de pagos</w:t>
      </w:r>
      <w:r w:rsidRPr="005D5FE7">
        <w:rPr>
          <w:rFonts w:ascii="Palatino Linotype" w:hAnsi="Palatino Linotype" w:cs="Tahoma"/>
          <w:i/>
          <w:sz w:val="22"/>
          <w:szCs w:val="22"/>
        </w:rPr>
        <w:t xml:space="preserve"> de salarios o las constancias documentales del pago de salario cuando sea por depósito o mediante información electrónica;</w:t>
      </w:r>
    </w:p>
    <w:p w14:paraId="1BA7EB7F" w14:textId="77777777" w:rsidR="00B8235B" w:rsidRPr="005D5FE7" w:rsidRDefault="00B8235B" w:rsidP="00B8235B">
      <w:pPr>
        <w:spacing w:before="240" w:after="240" w:line="276" w:lineRule="auto"/>
        <w:ind w:left="851" w:right="900"/>
        <w:jc w:val="both"/>
        <w:rPr>
          <w:rFonts w:ascii="Palatino Linotype" w:hAnsi="Palatino Linotype" w:cs="Tahoma"/>
          <w:i/>
          <w:sz w:val="22"/>
          <w:szCs w:val="22"/>
        </w:rPr>
      </w:pPr>
      <w:r w:rsidRPr="005D5FE7">
        <w:rPr>
          <w:rFonts w:ascii="Palatino Linotype" w:hAnsi="Palatino Linotype" w:cs="Tahoma"/>
          <w:i/>
          <w:sz w:val="22"/>
          <w:szCs w:val="22"/>
        </w:rPr>
        <w:t>III. Controles de asistencia o la información magnética o electrónica de asistencia de los servidores públicos;</w:t>
      </w:r>
    </w:p>
    <w:p w14:paraId="14023464" w14:textId="77777777" w:rsidR="00B8235B" w:rsidRPr="005D5FE7" w:rsidRDefault="00B8235B" w:rsidP="00B8235B">
      <w:pPr>
        <w:spacing w:before="240" w:after="240" w:line="276" w:lineRule="auto"/>
        <w:ind w:left="851" w:right="900"/>
        <w:jc w:val="both"/>
        <w:rPr>
          <w:rFonts w:ascii="Palatino Linotype" w:hAnsi="Palatino Linotype" w:cs="Tahoma"/>
          <w:i/>
          <w:sz w:val="22"/>
          <w:szCs w:val="22"/>
        </w:rPr>
      </w:pPr>
      <w:r w:rsidRPr="005D5FE7">
        <w:rPr>
          <w:rFonts w:ascii="Palatino Linotype" w:hAnsi="Palatino Linotype" w:cs="Tahoma"/>
          <w:i/>
          <w:sz w:val="22"/>
          <w:szCs w:val="22"/>
        </w:rPr>
        <w:t>IV. Recibos o las constancias de depósito o del medio de información magnética o electrónica que sean utilizadas para el pago de salarios, prima vacacional, aguinaldo y demás prestaciones establecidas en la presente ley; y</w:t>
      </w:r>
    </w:p>
    <w:p w14:paraId="33A09E38" w14:textId="77777777" w:rsidR="00B8235B" w:rsidRPr="005D5FE7" w:rsidRDefault="00B8235B" w:rsidP="00B8235B">
      <w:pPr>
        <w:spacing w:before="240" w:after="240" w:line="276" w:lineRule="auto"/>
        <w:ind w:left="851" w:right="900"/>
        <w:jc w:val="both"/>
        <w:rPr>
          <w:rFonts w:ascii="Palatino Linotype" w:hAnsi="Palatino Linotype" w:cs="Tahoma"/>
          <w:i/>
          <w:sz w:val="22"/>
          <w:szCs w:val="22"/>
        </w:rPr>
      </w:pPr>
      <w:r w:rsidRPr="005D5FE7">
        <w:rPr>
          <w:rFonts w:ascii="Palatino Linotype" w:hAnsi="Palatino Linotype" w:cs="Tahoma"/>
          <w:i/>
          <w:sz w:val="22"/>
          <w:szCs w:val="22"/>
        </w:rPr>
        <w:t>V. Los demás que señalen las leyes.</w:t>
      </w:r>
    </w:p>
    <w:p w14:paraId="33E2A588" w14:textId="77777777" w:rsidR="00B8235B" w:rsidRPr="005D5FE7" w:rsidRDefault="00B8235B" w:rsidP="00B8235B">
      <w:pPr>
        <w:spacing w:before="240" w:after="240" w:line="276" w:lineRule="auto"/>
        <w:ind w:left="851" w:right="900"/>
        <w:jc w:val="both"/>
        <w:rPr>
          <w:rFonts w:ascii="Palatino Linotype" w:hAnsi="Palatino Linotype" w:cs="Tahoma"/>
          <w:i/>
          <w:sz w:val="22"/>
          <w:szCs w:val="22"/>
        </w:rPr>
      </w:pPr>
      <w:r w:rsidRPr="005D5FE7">
        <w:rPr>
          <w:rFonts w:ascii="Palatino Linotype" w:hAnsi="Palatino Linotype" w:cs="Tahoma"/>
          <w:i/>
          <w:sz w:val="22"/>
          <w:szCs w:val="22"/>
        </w:rPr>
        <w:lastRenderedPageBreak/>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8F52E6C" w14:textId="77777777" w:rsidR="00B8235B" w:rsidRPr="005D5FE7" w:rsidRDefault="00B8235B" w:rsidP="00B8235B">
      <w:pPr>
        <w:spacing w:before="240" w:after="240" w:line="360" w:lineRule="auto"/>
        <w:contextualSpacing/>
        <w:jc w:val="both"/>
        <w:rPr>
          <w:rFonts w:ascii="Palatino Linotype" w:hAnsi="Palatino Linotype" w:cs="Tahoma"/>
        </w:rPr>
      </w:pPr>
      <w:r w:rsidRPr="005D5FE7">
        <w:rPr>
          <w:rFonts w:ascii="Palatino Linotype" w:hAnsi="Palatino Linotype" w:cs="Tahoma"/>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11029AD0" w14:textId="77777777" w:rsidR="00B8235B" w:rsidRPr="005D5FE7" w:rsidRDefault="00B8235B" w:rsidP="00B8235B">
      <w:pPr>
        <w:spacing w:before="240" w:after="240" w:line="360" w:lineRule="auto"/>
        <w:contextualSpacing/>
        <w:jc w:val="both"/>
        <w:rPr>
          <w:rFonts w:ascii="Palatino Linotype" w:hAnsi="Palatino Linotype" w:cs="Tahoma"/>
        </w:rPr>
      </w:pPr>
    </w:p>
    <w:p w14:paraId="2BF9CC2B" w14:textId="77777777" w:rsidR="00B8235B" w:rsidRPr="005D5FE7" w:rsidRDefault="00B8235B" w:rsidP="00B8235B">
      <w:pPr>
        <w:tabs>
          <w:tab w:val="right" w:pos="8505"/>
        </w:tabs>
        <w:spacing w:before="240" w:after="240" w:line="360" w:lineRule="auto"/>
        <w:jc w:val="both"/>
      </w:pPr>
      <w:r w:rsidRPr="005D5FE7">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w:t>
      </w:r>
      <w:r w:rsidRPr="005D5FE7">
        <w:t xml:space="preserve"> </w:t>
      </w:r>
      <w:r w:rsidRPr="005D5FE7">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291A66B6" w14:textId="77777777" w:rsidR="00B8235B" w:rsidRPr="005D5FE7" w:rsidRDefault="00B8235B" w:rsidP="00B8235B">
      <w:pPr>
        <w:spacing w:before="240" w:after="240"/>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rPr>
        <w:t>“</w:t>
      </w:r>
      <w:r w:rsidRPr="005D5FE7">
        <w:rPr>
          <w:rFonts w:ascii="Palatino Linotype" w:eastAsia="Palatino Linotype" w:hAnsi="Palatino Linotype" w:cs="Palatino Linotype"/>
          <w:b/>
          <w:i/>
          <w:sz w:val="22"/>
          <w:szCs w:val="22"/>
        </w:rPr>
        <w:t xml:space="preserve">Artículo 4. </w:t>
      </w:r>
      <w:r w:rsidRPr="005D5FE7">
        <w:rPr>
          <w:rFonts w:ascii="Palatino Linotype" w:eastAsia="Palatino Linotype" w:hAnsi="Palatino Linotype" w:cs="Palatino Linotype"/>
          <w:i/>
          <w:sz w:val="22"/>
          <w:szCs w:val="22"/>
        </w:rPr>
        <w:t>Son sujetos de fiscalización:</w:t>
      </w:r>
    </w:p>
    <w:p w14:paraId="74E32CD4" w14:textId="77777777" w:rsidR="00B8235B" w:rsidRPr="005D5FE7" w:rsidRDefault="00B8235B" w:rsidP="00B8235B">
      <w:pPr>
        <w:spacing w:before="240" w:after="240"/>
        <w:ind w:left="851" w:right="851"/>
        <w:jc w:val="both"/>
        <w:rPr>
          <w:i/>
          <w:sz w:val="22"/>
          <w:szCs w:val="22"/>
        </w:rPr>
      </w:pPr>
      <w:r w:rsidRPr="005D5FE7">
        <w:rPr>
          <w:rFonts w:ascii="Palatino Linotype" w:eastAsia="Palatino Linotype" w:hAnsi="Palatino Linotype" w:cs="Palatino Linotype"/>
          <w:i/>
          <w:sz w:val="22"/>
          <w:szCs w:val="22"/>
        </w:rPr>
        <w:t>…</w:t>
      </w:r>
    </w:p>
    <w:p w14:paraId="4A3BC39E" w14:textId="77777777" w:rsidR="00B8235B" w:rsidRPr="005D5FE7" w:rsidRDefault="00B8235B" w:rsidP="00B8235B">
      <w:pPr>
        <w:numPr>
          <w:ilvl w:val="0"/>
          <w:numId w:val="8"/>
        </w:numPr>
        <w:spacing w:before="240" w:after="240"/>
        <w:ind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Los municipios del Estado de México…” (Sic)</w:t>
      </w:r>
    </w:p>
    <w:p w14:paraId="71CC4EF3" w14:textId="77777777" w:rsidR="00B8235B" w:rsidRPr="005D5FE7" w:rsidRDefault="00B8235B" w:rsidP="00B8235B">
      <w:pPr>
        <w:spacing w:before="240" w:after="240"/>
        <w:ind w:left="851" w:right="851"/>
        <w:jc w:val="both"/>
        <w:rPr>
          <w:b/>
        </w:rPr>
      </w:pPr>
    </w:p>
    <w:p w14:paraId="45FDB637" w14:textId="6BC318B3" w:rsidR="00B8235B" w:rsidRPr="005D5FE7" w:rsidRDefault="00B8235B" w:rsidP="00B8235B">
      <w:pPr>
        <w:spacing w:before="240" w:after="24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Asimismo, el ordenamiento legal referido señala en su artículo 8, fracción XI, que el Órgano Superior de Fiscalización del Estado de México, tiene co</w:t>
      </w:r>
      <w:r w:rsidR="0031287A" w:rsidRPr="005D5FE7">
        <w:rPr>
          <w:rFonts w:ascii="Palatino Linotype" w:eastAsia="Palatino Linotype" w:hAnsi="Palatino Linotype" w:cs="Palatino Linotype"/>
        </w:rPr>
        <w:t>mo una de sus atribuciones el emitir los lineamientos para el control y evaluación necesarios para la fiscalización de los informes trimestrales</w:t>
      </w:r>
      <w:r w:rsidRPr="005D5FE7">
        <w:rPr>
          <w:rFonts w:ascii="Palatino Linotype" w:eastAsia="Palatino Linotype" w:hAnsi="Palatino Linotype" w:cs="Palatino Linotype"/>
        </w:rPr>
        <w:t>, como así se advierte a continuación:</w:t>
      </w:r>
    </w:p>
    <w:p w14:paraId="2047912C" w14:textId="77777777" w:rsidR="00B8235B" w:rsidRPr="005D5FE7" w:rsidRDefault="00B8235B" w:rsidP="00B8235B">
      <w:pPr>
        <w:spacing w:before="240" w:after="240"/>
        <w:ind w:left="851" w:right="851"/>
        <w:jc w:val="both"/>
        <w:rPr>
          <w:i/>
          <w:sz w:val="22"/>
          <w:szCs w:val="22"/>
        </w:rPr>
      </w:pPr>
      <w:r w:rsidRPr="005D5FE7">
        <w:rPr>
          <w:rFonts w:ascii="Palatino Linotype" w:eastAsia="Palatino Linotype" w:hAnsi="Palatino Linotype" w:cs="Palatino Linotype"/>
          <w:b/>
          <w:i/>
          <w:sz w:val="22"/>
          <w:szCs w:val="22"/>
        </w:rPr>
        <w:t xml:space="preserve">“Artículo 8. </w:t>
      </w:r>
      <w:r w:rsidRPr="005D5FE7">
        <w:rPr>
          <w:rFonts w:ascii="Palatino Linotype" w:eastAsia="Palatino Linotype" w:hAnsi="Palatino Linotype" w:cs="Palatino Linotype"/>
          <w:i/>
          <w:sz w:val="22"/>
          <w:szCs w:val="22"/>
        </w:rPr>
        <w:t>El Órgano Superior tendrá las siguientes atribuciones:</w:t>
      </w:r>
    </w:p>
    <w:p w14:paraId="7498FE00" w14:textId="77777777" w:rsidR="00B8235B" w:rsidRPr="005D5FE7" w:rsidRDefault="00B8235B" w:rsidP="00B8235B">
      <w:pPr>
        <w:spacing w:before="240" w:after="240"/>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2C554EF8" w14:textId="77777777" w:rsidR="00B8235B" w:rsidRPr="005D5FE7" w:rsidRDefault="00B8235B" w:rsidP="00B8235B">
      <w:pPr>
        <w:spacing w:before="240" w:after="240"/>
        <w:ind w:left="851" w:right="851"/>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i/>
          <w:sz w:val="22"/>
          <w:szCs w:val="22"/>
        </w:rPr>
        <w:t>XI. Establecer los lineamientos</w:t>
      </w:r>
      <w:r w:rsidRPr="005D5FE7">
        <w:rPr>
          <w:rFonts w:ascii="Palatino Linotype" w:eastAsia="Palatino Linotype" w:hAnsi="Palatino Linotype" w:cs="Palatino Linotype"/>
          <w:i/>
          <w:sz w:val="22"/>
          <w:szCs w:val="22"/>
        </w:rPr>
        <w:t xml:space="preserve">, criterios, procedimientos, métodos y sistemas </w:t>
      </w:r>
      <w:r w:rsidRPr="005D5FE7">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sz w:val="22"/>
          <w:szCs w:val="22"/>
        </w:rPr>
        <w:t>” (</w:t>
      </w:r>
      <w:r w:rsidRPr="005D5FE7">
        <w:rPr>
          <w:rFonts w:ascii="Palatino Linotype" w:eastAsia="Palatino Linotype" w:hAnsi="Palatino Linotype" w:cs="Palatino Linotype"/>
          <w:i/>
          <w:sz w:val="22"/>
          <w:szCs w:val="22"/>
        </w:rPr>
        <w:t>Sic)</w:t>
      </w:r>
    </w:p>
    <w:p w14:paraId="57B9FD2F" w14:textId="77777777" w:rsidR="00DE313A" w:rsidRPr="005D5FE7" w:rsidRDefault="00DE313A" w:rsidP="00B8235B">
      <w:pPr>
        <w:spacing w:before="240" w:after="240" w:line="360" w:lineRule="auto"/>
        <w:ind w:right="49"/>
        <w:jc w:val="both"/>
        <w:rPr>
          <w:rFonts w:ascii="Palatino Linotype" w:eastAsia="Palatino Linotype" w:hAnsi="Palatino Linotype" w:cs="Palatino Linotype"/>
        </w:rPr>
      </w:pPr>
    </w:p>
    <w:p w14:paraId="649774E8" w14:textId="77777777" w:rsidR="00B8235B" w:rsidRPr="005D5FE7" w:rsidRDefault="00B8235B" w:rsidP="00B8235B">
      <w:pPr>
        <w:spacing w:before="240" w:after="24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Es así que, el Órgano Superior de Fiscalización del Estado de México en cumplimiento a la disposición jurídica previamente señalada y en ejercicio de sus atribuciones emitió los Lineamientos para la Integración y Entrega del Informe Trimestral Municipal 2022, en los que se ubica el módulo cuatro relativo a la información de la nómina, como se advierte en las siguientes imágenes. </w:t>
      </w:r>
    </w:p>
    <w:p w14:paraId="216CE257" w14:textId="29E2A71A" w:rsidR="00B8235B" w:rsidRPr="005D5FE7" w:rsidRDefault="00B8235B" w:rsidP="00B8235B">
      <w:pPr>
        <w:spacing w:before="240" w:after="240" w:line="360" w:lineRule="auto"/>
        <w:ind w:right="49"/>
        <w:jc w:val="both"/>
        <w:rPr>
          <w:rFonts w:ascii="Palatino Linotype" w:eastAsia="Palatino Linotype" w:hAnsi="Palatino Linotype" w:cs="Palatino Linotype"/>
        </w:rPr>
      </w:pPr>
      <w:r w:rsidRPr="005D5FE7">
        <w:rPr>
          <w:noProof/>
          <w:lang w:val="es-MX"/>
        </w:rPr>
        <w:lastRenderedPageBreak/>
        <mc:AlternateContent>
          <mc:Choice Requires="wps">
            <w:drawing>
              <wp:anchor distT="0" distB="0" distL="114300" distR="114300" simplePos="0" relativeHeight="251660288" behindDoc="0" locked="0" layoutInCell="1" allowOverlap="1" wp14:anchorId="2563A3F1" wp14:editId="7731687C">
                <wp:simplePos x="0" y="0"/>
                <wp:positionH relativeFrom="margin">
                  <wp:align>left</wp:align>
                </wp:positionH>
                <wp:positionV relativeFrom="paragraph">
                  <wp:posOffset>2656840</wp:posOffset>
                </wp:positionV>
                <wp:extent cx="2409825" cy="866775"/>
                <wp:effectExtent l="57150" t="38100" r="85725" b="104775"/>
                <wp:wrapNone/>
                <wp:docPr id="10" name="Rectángulo 10"/>
                <wp:cNvGraphicFramePr/>
                <a:graphic xmlns:a="http://schemas.openxmlformats.org/drawingml/2006/main">
                  <a:graphicData uri="http://schemas.microsoft.com/office/word/2010/wordprocessingShape">
                    <wps:wsp>
                      <wps:cNvSpPr/>
                      <wps:spPr>
                        <a:xfrm>
                          <a:off x="0" y="0"/>
                          <a:ext cx="2409825" cy="8667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F828E" id="Rectángulo 10" o:spid="_x0000_s1026" style="position:absolute;margin-left:0;margin-top:209.2pt;width:189.75pt;height:68.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" filled="f" strokecolor="red" strokeweight="2.25pt">
                <v:shadow on="t" color="black" opacity="22937f" origin=",.5" offset="0,.63889mm"/>
                <w10:wrap anchorx="margin"/>
              </v:rect>
            </w:pict>
          </mc:Fallback>
        </mc:AlternateContent>
      </w:r>
      <w:r w:rsidRPr="005D5FE7">
        <w:rPr>
          <w:noProof/>
          <w:lang w:val="es-MX"/>
        </w:rPr>
        <w:drawing>
          <wp:inline distT="0" distB="0" distL="0" distR="0" wp14:anchorId="46A61512" wp14:editId="6C8333F8">
            <wp:extent cx="5441950" cy="3568700"/>
            <wp:effectExtent l="0" t="0" r="6350" b="0"/>
            <wp:docPr id="2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23986" t="26966" r="3143" b="13258"/>
                    <a:stretch>
                      <a:fillRect/>
                    </a:stretch>
                  </pic:blipFill>
                  <pic:spPr>
                    <a:xfrm>
                      <a:off x="0" y="0"/>
                      <a:ext cx="5441950" cy="3568700"/>
                    </a:xfrm>
                    <a:prstGeom prst="rect">
                      <a:avLst/>
                    </a:prstGeom>
                    <a:ln/>
                  </pic:spPr>
                </pic:pic>
              </a:graphicData>
            </a:graphic>
          </wp:inline>
        </w:drawing>
      </w:r>
    </w:p>
    <w:p w14:paraId="6933F952" w14:textId="77777777" w:rsidR="00B8235B" w:rsidRPr="005D5FE7" w:rsidRDefault="00B8235B" w:rsidP="00B8235B">
      <w:pPr>
        <w:spacing w:before="240" w:after="240" w:line="360" w:lineRule="auto"/>
        <w:contextualSpacing/>
        <w:jc w:val="both"/>
        <w:rPr>
          <w:rFonts w:ascii="Palatino Linotype" w:hAnsi="Palatino Linotype" w:cs="Arial"/>
        </w:rPr>
      </w:pPr>
      <w:r w:rsidRPr="005D5FE7">
        <w:rPr>
          <w:noProof/>
          <w:lang w:val="es-MX"/>
        </w:rPr>
        <w:lastRenderedPageBreak/>
        <w:drawing>
          <wp:inline distT="0" distB="0" distL="0" distR="0" wp14:anchorId="006DA889" wp14:editId="09E73191">
            <wp:extent cx="5600700" cy="7369342"/>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623" t="19010" r="36354" b="13096"/>
                    <a:stretch/>
                  </pic:blipFill>
                  <pic:spPr bwMode="auto">
                    <a:xfrm>
                      <a:off x="0" y="0"/>
                      <a:ext cx="5609305" cy="7380664"/>
                    </a:xfrm>
                    <a:prstGeom prst="rect">
                      <a:avLst/>
                    </a:prstGeom>
                    <a:ln>
                      <a:noFill/>
                    </a:ln>
                    <a:extLst>
                      <a:ext uri="{53640926-AAD7-44D8-BBD7-CCE9431645EC}">
                        <a14:shadowObscured xmlns:a14="http://schemas.microsoft.com/office/drawing/2010/main"/>
                      </a:ext>
                    </a:extLst>
                  </pic:spPr>
                </pic:pic>
              </a:graphicData>
            </a:graphic>
          </wp:inline>
        </w:drawing>
      </w:r>
    </w:p>
    <w:p w14:paraId="09F0B734" w14:textId="77777777" w:rsidR="00B8235B" w:rsidRPr="005D5FE7" w:rsidRDefault="00B8235B" w:rsidP="00B8235B">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 xml:space="preserve">En observancia a las imágenes anteriores, se acredita que 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debió generar la información solicitada y remitirla al Órgano Superior de Fiscalización del Estado de México, para su respectiva revisión y fiscalización.</w:t>
      </w:r>
    </w:p>
    <w:p w14:paraId="72B0F564" w14:textId="45DB59D6" w:rsidR="00B8235B" w:rsidRPr="005D5FE7" w:rsidRDefault="00B8235B" w:rsidP="00B8235B">
      <w:pPr>
        <w:spacing w:before="240" w:after="240" w:line="360" w:lineRule="auto"/>
        <w:ind w:right="51"/>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En resumen, </w:t>
      </w:r>
      <w:r w:rsidR="00486F75" w:rsidRPr="005D5FE7">
        <w:rPr>
          <w:rFonts w:ascii="Palatino Linotype" w:eastAsia="Palatino Linotype" w:hAnsi="Palatino Linotype" w:cs="Palatino Linotype"/>
        </w:rPr>
        <w:t xml:space="preserve">Comprobante Fiscales Digitales </w:t>
      </w:r>
      <w:r w:rsidR="00E36D84" w:rsidRPr="005D5FE7">
        <w:rPr>
          <w:rFonts w:ascii="Palatino Linotype" w:eastAsia="Palatino Linotype" w:hAnsi="Palatino Linotype" w:cs="Palatino Linotype"/>
        </w:rPr>
        <w:t xml:space="preserve">por Internet por Concepto de Nómina, también conocidos como </w:t>
      </w:r>
      <w:r w:rsidRPr="005D5FE7">
        <w:rPr>
          <w:rFonts w:ascii="Palatino Linotype" w:eastAsia="Palatino Linotype" w:hAnsi="Palatino Linotype" w:cs="Palatino Linotype"/>
        </w:rPr>
        <w:t xml:space="preserve">recibos de pago o de nómina, son los documentos idóneos </w:t>
      </w:r>
      <w:r w:rsidR="00E36D84" w:rsidRPr="005D5FE7">
        <w:rPr>
          <w:rFonts w:ascii="Palatino Linotype" w:eastAsia="Palatino Linotype" w:hAnsi="Palatino Linotype" w:cs="Palatino Linotype"/>
        </w:rPr>
        <w:t xml:space="preserve">para satisfacer el derecho de acceso a la información del </w:t>
      </w:r>
      <w:r w:rsidR="00DE313A" w:rsidRPr="005D5FE7">
        <w:rPr>
          <w:rFonts w:ascii="Palatino Linotype" w:eastAsia="Palatino Linotype" w:hAnsi="Palatino Linotype" w:cs="Palatino Linotype"/>
        </w:rPr>
        <w:t>Particular</w:t>
      </w:r>
      <w:r w:rsidRPr="005D5FE7">
        <w:rPr>
          <w:rFonts w:ascii="Palatino Linotype" w:eastAsia="Palatino Linotype" w:hAnsi="Palatino Linotype" w:cs="Palatino Linotype"/>
        </w:rPr>
        <w:t xml:space="preserve">; por lo que resulta procedente ordenar al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xml:space="preserve"> su entrega salvaguardando los datos personales que contenga, de c</w:t>
      </w:r>
      <w:r w:rsidR="00B67606" w:rsidRPr="005D5FE7">
        <w:rPr>
          <w:rFonts w:ascii="Palatino Linotype" w:eastAsia="Palatino Linotype" w:hAnsi="Palatino Linotype" w:cs="Palatino Linotype"/>
        </w:rPr>
        <w:t>onformidad con el considerando Q</w:t>
      </w:r>
      <w:r w:rsidRPr="005D5FE7">
        <w:rPr>
          <w:rFonts w:ascii="Palatino Linotype" w:eastAsia="Palatino Linotype" w:hAnsi="Palatino Linotype" w:cs="Palatino Linotype"/>
        </w:rPr>
        <w:t xml:space="preserve">uinto. </w:t>
      </w:r>
    </w:p>
    <w:p w14:paraId="09C303AE" w14:textId="77777777" w:rsidR="00B8235B" w:rsidRPr="005D5FE7" w:rsidRDefault="00B8235B" w:rsidP="00B8235B">
      <w:pPr>
        <w:spacing w:before="240" w:after="240" w:line="360" w:lineRule="auto"/>
        <w:contextualSpacing/>
        <w:jc w:val="both"/>
        <w:rPr>
          <w:rFonts w:ascii="Palatino Linotype" w:eastAsia="Palatino Linotype" w:hAnsi="Palatino Linotype" w:cs="Palatino Linotype"/>
        </w:rPr>
      </w:pPr>
      <w:r w:rsidRPr="005D5FE7">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8FE7A09" w14:textId="77777777" w:rsidR="007F4C40" w:rsidRPr="005D5FE7" w:rsidRDefault="007F4C40" w:rsidP="00B8235B">
      <w:pPr>
        <w:spacing w:before="240" w:after="240" w:line="360" w:lineRule="auto"/>
        <w:contextualSpacing/>
        <w:jc w:val="both"/>
        <w:rPr>
          <w:rFonts w:ascii="Palatino Linotype" w:eastAsia="Palatino Linotype" w:hAnsi="Palatino Linotype" w:cs="Palatino Linotype"/>
        </w:rPr>
      </w:pPr>
    </w:p>
    <w:p w14:paraId="1823CF90"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u w:val="single"/>
        </w:rPr>
      </w:pPr>
      <w:r w:rsidRPr="005D5FE7">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5D5FE7">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5D5FE7">
        <w:rPr>
          <w:rFonts w:ascii="Palatino Linotype" w:eastAsia="Palatino Linotype" w:hAnsi="Palatino Linotype" w:cs="Palatino Linotype"/>
          <w:b/>
          <w:i/>
          <w:sz w:val="22"/>
          <w:szCs w:val="22"/>
          <w:u w:val="single"/>
        </w:rPr>
        <w:t xml:space="preserve">que reciba y ejerza </w:t>
      </w:r>
      <w:r w:rsidRPr="005D5FE7">
        <w:rPr>
          <w:rFonts w:ascii="Palatino Linotype" w:eastAsia="Palatino Linotype" w:hAnsi="Palatino Linotype" w:cs="Palatino Linotype"/>
          <w:b/>
          <w:i/>
          <w:sz w:val="22"/>
          <w:szCs w:val="22"/>
          <w:u w:val="single"/>
        </w:rPr>
        <w:lastRenderedPageBreak/>
        <w:t>recursos públicos</w:t>
      </w:r>
      <w:r w:rsidRPr="005D5FE7">
        <w:rPr>
          <w:rFonts w:ascii="Palatino Linotype" w:eastAsia="Palatino Linotype" w:hAnsi="Palatino Linotype" w:cs="Palatino Linotype"/>
          <w:i/>
          <w:sz w:val="22"/>
          <w:szCs w:val="22"/>
        </w:rPr>
        <w:t xml:space="preserve"> o realice actos de autoridad </w:t>
      </w:r>
      <w:r w:rsidRPr="005D5FE7">
        <w:rPr>
          <w:rFonts w:ascii="Palatino Linotype" w:eastAsia="Palatino Linotype" w:hAnsi="Palatino Linotype" w:cs="Palatino Linotype"/>
          <w:b/>
          <w:i/>
          <w:sz w:val="22"/>
          <w:szCs w:val="22"/>
          <w:u w:val="single"/>
        </w:rPr>
        <w:t>en el ámbito de competencia del Estado de México y sus municipios</w:t>
      </w:r>
      <w:r w:rsidRPr="005D5FE7">
        <w:rPr>
          <w:rFonts w:ascii="Palatino Linotype" w:eastAsia="Palatino Linotype" w:hAnsi="Palatino Linotype" w:cs="Palatino Linotype"/>
          <w:i/>
          <w:sz w:val="22"/>
          <w:szCs w:val="22"/>
          <w:u w:val="single"/>
        </w:rPr>
        <w:t>.</w:t>
      </w:r>
    </w:p>
    <w:p w14:paraId="30DE89C6"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64584F30"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2AE2D19C"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b/>
          <w:i/>
          <w:sz w:val="22"/>
          <w:szCs w:val="22"/>
          <w:u w:val="single"/>
        </w:rPr>
      </w:pPr>
      <w:r w:rsidRPr="005D5FE7">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5A901A19"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65461569"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b/>
          <w:i/>
          <w:sz w:val="22"/>
          <w:szCs w:val="22"/>
          <w:u w:val="single"/>
        </w:rPr>
      </w:pPr>
      <w:r w:rsidRPr="005D5FE7">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CB03F4D"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5D5FE7">
        <w:rPr>
          <w:rFonts w:ascii="Palatino Linotype" w:eastAsia="Palatino Linotype" w:hAnsi="Palatino Linotype" w:cs="Palatino Linotype"/>
          <w:b/>
          <w:i/>
          <w:sz w:val="22"/>
          <w:szCs w:val="22"/>
        </w:rPr>
        <w:t xml:space="preserve"> [Sic]</w:t>
      </w:r>
    </w:p>
    <w:p w14:paraId="6753AE98" w14:textId="77777777" w:rsidR="00B8235B" w:rsidRPr="005D5FE7" w:rsidRDefault="00B8235B" w:rsidP="00B8235B">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5D5FE7">
        <w:rPr>
          <w:rFonts w:ascii="Palatino Linotype" w:eastAsia="Palatino Linotype" w:hAnsi="Palatino Linotype" w:cs="Palatino Linotype"/>
          <w:b/>
        </w:rPr>
        <w:t>01/2003</w:t>
      </w:r>
      <w:r w:rsidRPr="005D5FE7">
        <w:rPr>
          <w:rFonts w:ascii="Palatino Linotype" w:eastAsia="Palatino Linotype" w:hAnsi="Palatino Linotype" w:cs="Palatino Linotype"/>
        </w:rPr>
        <w:t xml:space="preserve"> y </w:t>
      </w:r>
      <w:r w:rsidRPr="005D5FE7">
        <w:rPr>
          <w:rFonts w:ascii="Palatino Linotype" w:eastAsia="Palatino Linotype" w:hAnsi="Palatino Linotype" w:cs="Palatino Linotype"/>
          <w:b/>
        </w:rPr>
        <w:t>02/2003</w:t>
      </w:r>
      <w:r w:rsidRPr="005D5FE7">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7F8DF863" w14:textId="77777777" w:rsidR="00B8235B" w:rsidRPr="005D5FE7" w:rsidRDefault="00B8235B" w:rsidP="00DE313A">
      <w:pPr>
        <w:spacing w:before="240" w:after="240" w:line="276" w:lineRule="auto"/>
        <w:ind w:left="851" w:right="851"/>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i/>
          <w:sz w:val="22"/>
          <w:szCs w:val="22"/>
        </w:rPr>
        <w:t>“Criterio 01/2003.</w:t>
      </w:r>
    </w:p>
    <w:p w14:paraId="047EEEEC"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D5FE7">
        <w:rPr>
          <w:rFonts w:ascii="Palatino Linotype" w:eastAsia="Palatino Linotype" w:hAnsi="Palatino Linotype" w:cs="Palatino Linotype"/>
          <w:i/>
          <w:sz w:val="22"/>
          <w:szCs w:val="22"/>
        </w:rPr>
        <w:t xml:space="preserve"> </w:t>
      </w:r>
    </w:p>
    <w:p w14:paraId="14A07814"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u w:val="single"/>
        </w:rPr>
      </w:pPr>
      <w:r w:rsidRPr="005D5FE7">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w:t>
      </w:r>
      <w:r w:rsidRPr="005D5FE7">
        <w:rPr>
          <w:rFonts w:ascii="Palatino Linotype" w:eastAsia="Palatino Linotype" w:hAnsi="Palatino Linotype" w:cs="Palatino Linotype"/>
          <w:i/>
          <w:sz w:val="22"/>
          <w:szCs w:val="22"/>
        </w:rPr>
        <w:lastRenderedPageBreak/>
        <w:t xml:space="preserve">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D5FE7">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D5FE7">
        <w:rPr>
          <w:rFonts w:ascii="Palatino Linotype" w:eastAsia="Palatino Linotype" w:hAnsi="Palatino Linotype" w:cs="Palatino Linotype"/>
          <w:i/>
          <w:sz w:val="22"/>
          <w:szCs w:val="22"/>
          <w:u w:val="single"/>
        </w:rPr>
        <w:t>…”</w:t>
      </w:r>
    </w:p>
    <w:p w14:paraId="6B2B4E69"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rPr>
      </w:pPr>
    </w:p>
    <w:p w14:paraId="776C065B" w14:textId="77777777" w:rsidR="00B8235B" w:rsidRPr="005D5FE7" w:rsidRDefault="00B8235B" w:rsidP="00DE313A">
      <w:pPr>
        <w:spacing w:before="240" w:after="240" w:line="276" w:lineRule="auto"/>
        <w:ind w:left="851" w:right="851"/>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i/>
          <w:sz w:val="22"/>
          <w:szCs w:val="22"/>
        </w:rPr>
        <w:t>“Criterio 02/2003.</w:t>
      </w:r>
    </w:p>
    <w:p w14:paraId="063CC6C6" w14:textId="77777777" w:rsidR="00B8235B" w:rsidRPr="005D5FE7" w:rsidRDefault="00B8235B" w:rsidP="00DE313A">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D5FE7">
        <w:rPr>
          <w:rFonts w:ascii="Palatino Linotype" w:eastAsia="Palatino Linotype" w:hAnsi="Palatino Linotype" w:cs="Palatino Linotype"/>
          <w:i/>
          <w:sz w:val="22"/>
          <w:szCs w:val="22"/>
        </w:rPr>
        <w:t xml:space="preserve"> </w:t>
      </w:r>
    </w:p>
    <w:p w14:paraId="64A25B31" w14:textId="77777777" w:rsidR="00B8235B" w:rsidRPr="005D5FE7" w:rsidRDefault="00B8235B" w:rsidP="00DE313A">
      <w:pPr>
        <w:spacing w:before="240" w:after="240" w:line="276" w:lineRule="auto"/>
        <w:ind w:left="851" w:right="851"/>
        <w:contextualSpacing/>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D5FE7">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D5FE7">
        <w:rPr>
          <w:rFonts w:ascii="Palatino Linotype" w:eastAsia="Palatino Linotype" w:hAnsi="Palatino Linotype" w:cs="Palatino Linotype"/>
          <w:i/>
          <w:sz w:val="22"/>
          <w:szCs w:val="22"/>
        </w:rPr>
        <w:t xml:space="preserve"> el sistema de compensación…” </w:t>
      </w:r>
      <w:r w:rsidRPr="005D5FE7">
        <w:rPr>
          <w:rFonts w:ascii="Palatino Linotype" w:eastAsia="Palatino Linotype" w:hAnsi="Palatino Linotype" w:cs="Palatino Linotype"/>
          <w:b/>
          <w:i/>
          <w:sz w:val="22"/>
          <w:szCs w:val="22"/>
        </w:rPr>
        <w:t>[Sic]</w:t>
      </w:r>
    </w:p>
    <w:p w14:paraId="06B385B1" w14:textId="77777777" w:rsidR="00DE313A" w:rsidRPr="005D5FE7" w:rsidRDefault="00DE313A" w:rsidP="0063531A">
      <w:pPr>
        <w:spacing w:before="240" w:after="240" w:line="360" w:lineRule="auto"/>
        <w:contextualSpacing/>
        <w:jc w:val="both"/>
        <w:rPr>
          <w:rFonts w:ascii="Palatino Linotype" w:eastAsia="Palatino Linotype" w:hAnsi="Palatino Linotype" w:cs="Palatino Linotype"/>
        </w:rPr>
      </w:pPr>
    </w:p>
    <w:p w14:paraId="5BD936F0" w14:textId="533F1483" w:rsidR="0063531A" w:rsidRPr="005D5FE7" w:rsidRDefault="0063531A" w:rsidP="0063531A">
      <w:pPr>
        <w:spacing w:before="240" w:after="240" w:line="360" w:lineRule="auto"/>
        <w:contextualSpacing/>
        <w:jc w:val="both"/>
        <w:rPr>
          <w:rFonts w:ascii="Palatino Linotype" w:eastAsia="Palatino Linotype" w:hAnsi="Palatino Linotype" w:cs="Palatino Linotype"/>
        </w:rPr>
      </w:pPr>
      <w:r w:rsidRPr="005D5FE7">
        <w:rPr>
          <w:rFonts w:ascii="Palatino Linotype" w:eastAsia="Palatino Linotype" w:hAnsi="Palatino Linotype" w:cs="Palatino Linotype"/>
        </w:rPr>
        <w:t>Finalmente, cabe señalar que</w:t>
      </w:r>
      <w:r w:rsidR="00B67606" w:rsidRPr="005D5FE7">
        <w:rPr>
          <w:rFonts w:ascii="Palatino Linotype" w:eastAsia="Palatino Linotype" w:hAnsi="Palatino Linotype" w:cs="Palatino Linotype"/>
        </w:rPr>
        <w:t>,</w:t>
      </w:r>
      <w:r w:rsidRPr="005D5FE7">
        <w:rPr>
          <w:rFonts w:ascii="Palatino Linotype" w:eastAsia="Palatino Linotype" w:hAnsi="Palatino Linotype" w:cs="Palatino Linotype"/>
        </w:rPr>
        <w:t xml:space="preserve"> si bien el </w:t>
      </w:r>
      <w:r w:rsidRPr="005D5FE7">
        <w:rPr>
          <w:rFonts w:ascii="Palatino Linotype" w:eastAsia="Palatino Linotype" w:hAnsi="Palatino Linotype" w:cs="Palatino Linotype"/>
          <w:b/>
        </w:rPr>
        <w:t xml:space="preserve">RECURRENTE </w:t>
      </w:r>
      <w:r w:rsidRPr="005D5FE7">
        <w:rPr>
          <w:rFonts w:ascii="Palatino Linotype" w:eastAsia="Palatino Linotype" w:hAnsi="Palatino Linotype" w:cs="Palatino Linotype"/>
        </w:rPr>
        <w:t xml:space="preserve">al momento de </w:t>
      </w:r>
      <w:r w:rsidR="00DE313A" w:rsidRPr="005D5FE7">
        <w:rPr>
          <w:rFonts w:ascii="Palatino Linotype" w:eastAsia="Palatino Linotype" w:hAnsi="Palatino Linotype" w:cs="Palatino Linotype"/>
        </w:rPr>
        <w:t xml:space="preserve">formular la solicitud no señaló </w:t>
      </w:r>
      <w:r w:rsidRPr="005D5FE7">
        <w:rPr>
          <w:rFonts w:ascii="Palatino Linotype" w:eastAsia="Palatino Linotype" w:hAnsi="Palatino Linotype" w:cs="Palatino Linotype"/>
        </w:rPr>
        <w:t xml:space="preserve">temporalidad sobre la cual requiere la información, también lo </w:t>
      </w:r>
      <w:r w:rsidRPr="005D5FE7">
        <w:rPr>
          <w:rFonts w:ascii="Palatino Linotype" w:eastAsia="Palatino Linotype" w:hAnsi="Palatino Linotype" w:cs="Palatino Linotype"/>
        </w:rPr>
        <w:lastRenderedPageBreak/>
        <w:t xml:space="preserve">es que derivado del análisis </w:t>
      </w:r>
      <w:r w:rsidR="00C13FAB" w:rsidRPr="005D5FE7">
        <w:rPr>
          <w:rFonts w:ascii="Palatino Linotype" w:eastAsia="Palatino Linotype" w:hAnsi="Palatino Linotype" w:cs="Palatino Linotype"/>
        </w:rPr>
        <w:t xml:space="preserve">a las constancias que integran el expediente del recurso de revisión que ahora se resuelve, se advierte que el particular consintió el periodo sobre el cual el </w:t>
      </w:r>
      <w:r w:rsidR="00C13FAB" w:rsidRPr="005D5FE7">
        <w:rPr>
          <w:rFonts w:ascii="Palatino Linotype" w:eastAsia="Palatino Linotype" w:hAnsi="Palatino Linotype" w:cs="Palatino Linotype"/>
          <w:b/>
        </w:rPr>
        <w:t xml:space="preserve">SUJETO OBLIGADO </w:t>
      </w:r>
      <w:r w:rsidR="00C13FAB" w:rsidRPr="005D5FE7">
        <w:rPr>
          <w:rFonts w:ascii="Palatino Linotype" w:eastAsia="Palatino Linotype" w:hAnsi="Palatino Linotype" w:cs="Palatino Linotype"/>
        </w:rPr>
        <w:t xml:space="preserve">entregó </w:t>
      </w:r>
      <w:r w:rsidR="009E4CEF" w:rsidRPr="005D5FE7">
        <w:rPr>
          <w:rFonts w:ascii="Palatino Linotype" w:eastAsia="Palatino Linotype" w:hAnsi="Palatino Linotype" w:cs="Palatino Linotype"/>
        </w:rPr>
        <w:t>los recibos de nómina de la Tesorera Municipal, por lo que, es</w:t>
      </w:r>
      <w:r w:rsidRPr="005D5FE7">
        <w:rPr>
          <w:rFonts w:ascii="Palatino Linotype" w:eastAsia="Palatino Linotype" w:hAnsi="Palatino Linotype" w:cs="Palatino Linotype"/>
        </w:rPr>
        <w:t xml:space="preserve"> procedente es ordenar la entrega de los </w:t>
      </w:r>
      <w:r w:rsidR="009E4CEF" w:rsidRPr="005D5FE7">
        <w:rPr>
          <w:rFonts w:ascii="Palatino Linotype" w:eastAsia="Palatino Linotype" w:hAnsi="Palatino Linotype" w:cs="Palatino Linotype"/>
        </w:rPr>
        <w:t>recibos de nómina del personal adscrito a la Tesorería Municipal</w:t>
      </w:r>
      <w:r w:rsidR="0094483E" w:rsidRPr="005D5FE7">
        <w:rPr>
          <w:rFonts w:ascii="Palatino Linotype" w:eastAsia="Palatino Linotype" w:hAnsi="Palatino Linotype" w:cs="Palatino Linotype"/>
        </w:rPr>
        <w:t xml:space="preserve"> del primero de enero al quince de abril de dos mil veintidós</w:t>
      </w:r>
      <w:r w:rsidRPr="005D5FE7">
        <w:rPr>
          <w:rFonts w:ascii="Palatino Linotype" w:eastAsia="Palatino Linotype" w:hAnsi="Palatino Linotype" w:cs="Palatino Linotype"/>
        </w:rPr>
        <w:t xml:space="preserve">. </w:t>
      </w:r>
    </w:p>
    <w:p w14:paraId="42FAF242" w14:textId="77777777" w:rsidR="0001596F" w:rsidRPr="005D5FE7" w:rsidRDefault="0001596F" w:rsidP="0063531A">
      <w:pPr>
        <w:spacing w:before="240" w:after="240" w:line="360" w:lineRule="auto"/>
        <w:jc w:val="both"/>
        <w:rPr>
          <w:rFonts w:ascii="Palatino Linotype" w:eastAsia="Palatino Linotype" w:hAnsi="Palatino Linotype" w:cs="Palatino Linotype"/>
          <w:b/>
        </w:rPr>
      </w:pPr>
    </w:p>
    <w:p w14:paraId="1A107696"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QUINTO. Versión Pública. </w:t>
      </w:r>
      <w:r w:rsidRPr="005D5FE7">
        <w:rPr>
          <w:rFonts w:ascii="Palatino Linotype" w:eastAsia="Palatino Linotype" w:hAnsi="Palatino Linotype" w:cs="Palatino Linotype"/>
        </w:rPr>
        <w:t>Cómo fue debidamente apuntado, el Sujeto Obligado debe satisfacer la solicitud de acceso a la información; sin embargo, en caso de que la misma contenga datos personales, deberá clasificarlos, observando las formalidades siguientes:</w:t>
      </w:r>
    </w:p>
    <w:p w14:paraId="04A21557" w14:textId="77777777" w:rsidR="0063531A" w:rsidRPr="005D5FE7" w:rsidRDefault="0063531A" w:rsidP="0063531A">
      <w:pPr>
        <w:shd w:val="clear" w:color="auto" w:fill="FFFFFF"/>
        <w:spacing w:before="240" w:after="24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59194A99" w14:textId="77777777" w:rsidR="0063531A" w:rsidRPr="005D5FE7" w:rsidRDefault="0063531A" w:rsidP="0063531A">
      <w:pPr>
        <w:shd w:val="clear" w:color="auto" w:fill="FFFFFF"/>
        <w:spacing w:before="240" w:after="240" w:line="360" w:lineRule="auto"/>
        <w:ind w:right="51"/>
        <w:jc w:val="both"/>
        <w:rPr>
          <w:rFonts w:ascii="Palatino Linotype" w:eastAsia="Palatino Linotype" w:hAnsi="Palatino Linotype" w:cs="Palatino Linotype"/>
        </w:rPr>
      </w:pPr>
      <w:r w:rsidRPr="005D5FE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A4FBEED" w14:textId="77777777" w:rsidR="0063531A" w:rsidRPr="005D5FE7" w:rsidRDefault="0063531A" w:rsidP="0063531A">
      <w:pPr>
        <w:shd w:val="clear" w:color="auto" w:fill="FFFFFF"/>
        <w:spacing w:before="240" w:after="240" w:line="360" w:lineRule="auto"/>
        <w:ind w:right="51"/>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Al respecto, los artículos 3 fracciones IX, XX, XXI, XXXII y XLV; 6, 49 fracción VIII, 91, 137, 143 Fracción I, de la Ley de Transparencia y Acceso a la Información Pública del Estado de México y Municipios vigente establecen:</w:t>
      </w:r>
    </w:p>
    <w:p w14:paraId="205C60CB"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b/>
          <w:i/>
          <w:sz w:val="22"/>
          <w:szCs w:val="22"/>
        </w:rPr>
        <w:t> “Artículo 3. Para los efectos de la presente Ley se entenderá por:</w:t>
      </w:r>
    </w:p>
    <w:p w14:paraId="12FA054B"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i/>
          <w:sz w:val="22"/>
          <w:szCs w:val="22"/>
        </w:rPr>
        <w:t>(…)</w:t>
      </w:r>
    </w:p>
    <w:p w14:paraId="1CA9D4E8"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b/>
          <w:i/>
          <w:sz w:val="22"/>
          <w:szCs w:val="22"/>
        </w:rPr>
        <w:t>IX. Datos personales:</w:t>
      </w:r>
      <w:r w:rsidRPr="005D5FE7">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5986C6"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17942024"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XX. Información clasificada:</w:t>
      </w:r>
      <w:r w:rsidRPr="005D5FE7">
        <w:rPr>
          <w:rFonts w:ascii="Palatino Linotype" w:eastAsia="Palatino Linotype" w:hAnsi="Palatino Linotype" w:cs="Palatino Linotype"/>
          <w:i/>
          <w:sz w:val="22"/>
          <w:szCs w:val="22"/>
        </w:rPr>
        <w:t> Aquella considerada por la presente Ley como reservada o confidencial;</w:t>
      </w:r>
    </w:p>
    <w:p w14:paraId="28A1C020"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XXI. Información confidencial:</w:t>
      </w:r>
      <w:r w:rsidRPr="005D5FE7">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544432"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1BC91153"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XXXII. Protección de Datos Personales:</w:t>
      </w:r>
      <w:r w:rsidRPr="005D5FE7">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BAA6ADB"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23D214E6"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b/>
          <w:i/>
          <w:sz w:val="22"/>
          <w:szCs w:val="22"/>
        </w:rPr>
        <w:t>XLV. Versión pública</w:t>
      </w:r>
      <w:r w:rsidRPr="005D5FE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D787E04"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b/>
          <w:i/>
          <w:sz w:val="22"/>
          <w:szCs w:val="22"/>
        </w:rPr>
        <w:t> Artículo 6.</w:t>
      </w:r>
      <w:r w:rsidRPr="005D5FE7">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w:t>
      </w:r>
      <w:r w:rsidRPr="005D5FE7">
        <w:rPr>
          <w:rFonts w:ascii="Palatino Linotype" w:eastAsia="Palatino Linotype" w:hAnsi="Palatino Linotype" w:cs="Palatino Linotype"/>
          <w:i/>
          <w:sz w:val="22"/>
          <w:szCs w:val="22"/>
        </w:rPr>
        <w:lastRenderedPageBreak/>
        <w:t>de acceso, rectificación, cancelación u oposición; los principios, procedimientos, medidas de seguridad en el tratamiento y demás disposiciones en materia de datos personales, se deberá estar a lo dispuesto en las leyes de la materia.</w:t>
      </w:r>
    </w:p>
    <w:p w14:paraId="22873DB7"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w:t>
      </w:r>
      <w:r w:rsidRPr="005D5FE7">
        <w:rPr>
          <w:rFonts w:ascii="Palatino Linotype" w:eastAsia="Palatino Linotype" w:hAnsi="Palatino Linotype" w:cs="Palatino Linotype"/>
          <w:b/>
          <w:i/>
          <w:sz w:val="22"/>
          <w:szCs w:val="22"/>
        </w:rPr>
        <w:t>Artículo 49.</w:t>
      </w:r>
      <w:r w:rsidRPr="005D5FE7">
        <w:rPr>
          <w:rFonts w:ascii="Palatino Linotype" w:eastAsia="Palatino Linotype" w:hAnsi="Palatino Linotype" w:cs="Palatino Linotype"/>
          <w:i/>
          <w:sz w:val="22"/>
          <w:szCs w:val="22"/>
        </w:rPr>
        <w:t> Los Comités de Transparencia tendrán las siguientes atribuciones:</w:t>
      </w:r>
    </w:p>
    <w:p w14:paraId="39575C4A"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677C4F4F"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VIII</w:t>
      </w:r>
      <w:r w:rsidRPr="005D5FE7">
        <w:rPr>
          <w:rFonts w:ascii="Palatino Linotype" w:eastAsia="Palatino Linotype" w:hAnsi="Palatino Linotype" w:cs="Palatino Linotype"/>
          <w:i/>
          <w:sz w:val="22"/>
          <w:szCs w:val="22"/>
        </w:rPr>
        <w:t>. Aprobar, modificar o revocar la clasificación de la información;</w:t>
      </w:r>
    </w:p>
    <w:p w14:paraId="26FB6E08"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16B8E4B4"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 xml:space="preserve">Artículo 91. </w:t>
      </w:r>
      <w:r w:rsidRPr="005D5FE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E2A7EEB"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p>
    <w:p w14:paraId="4F53D9AF"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b/>
          <w:i/>
          <w:sz w:val="22"/>
          <w:szCs w:val="22"/>
        </w:rPr>
        <w:t>Artículo 137</w:t>
      </w:r>
      <w:r w:rsidRPr="005D5FE7">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AE90AAA"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b/>
          <w:i/>
          <w:sz w:val="22"/>
          <w:szCs w:val="22"/>
        </w:rPr>
        <w:t>Artículo 143</w:t>
      </w:r>
      <w:r w:rsidRPr="005D5FE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94AF659" w14:textId="77777777" w:rsidR="0063531A" w:rsidRPr="005D5FE7" w:rsidRDefault="0063531A" w:rsidP="0001596F">
      <w:pPr>
        <w:shd w:val="clear" w:color="auto" w:fill="FFFFFF"/>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1E879E9" w14:textId="77777777" w:rsidR="0063531A" w:rsidRPr="005D5FE7" w:rsidRDefault="0063531A" w:rsidP="0063531A">
      <w:pPr>
        <w:spacing w:before="240" w:after="240" w:line="360" w:lineRule="auto"/>
        <w:ind w:right="50"/>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w:t>
      </w:r>
      <w:r w:rsidRPr="005D5FE7">
        <w:rPr>
          <w:rFonts w:ascii="Palatino Linotype" w:eastAsia="Palatino Linotype" w:hAnsi="Palatino Linotype" w:cs="Palatino Linotype"/>
        </w:rPr>
        <w:lastRenderedPageBreak/>
        <w:t>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E99B19E" w14:textId="77777777" w:rsidR="0063531A" w:rsidRPr="005D5FE7" w:rsidRDefault="0063531A" w:rsidP="0063531A">
      <w:pPr>
        <w:spacing w:before="240" w:after="240" w:line="360" w:lineRule="auto"/>
        <w:ind w:right="50"/>
        <w:jc w:val="both"/>
        <w:rPr>
          <w:rFonts w:ascii="Palatino Linotype" w:eastAsia="Palatino Linotype" w:hAnsi="Palatino Linotype" w:cs="Palatino Linotype"/>
        </w:rPr>
      </w:pPr>
      <w:r w:rsidRPr="005D5FE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93FC94D" w14:textId="77777777" w:rsidR="0063531A" w:rsidRPr="005D5FE7" w:rsidRDefault="0063531A" w:rsidP="0063531A">
      <w:pPr>
        <w:spacing w:before="240" w:after="240" w:line="360" w:lineRule="auto"/>
        <w:ind w:right="50"/>
        <w:jc w:val="both"/>
        <w:rPr>
          <w:rFonts w:ascii="Palatino Linotype" w:eastAsia="Palatino Linotype" w:hAnsi="Palatino Linotype" w:cs="Palatino Linotype"/>
        </w:rPr>
      </w:pPr>
      <w:r w:rsidRPr="005D5FE7">
        <w:rPr>
          <w:rFonts w:ascii="Palatino Linotype" w:eastAsia="Palatino Linotype" w:hAnsi="Palatino Linotype" w:cs="Palatino Linotype"/>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F1A4CB8" w14:textId="77777777" w:rsidR="0063531A" w:rsidRPr="005D5FE7" w:rsidRDefault="0063531A" w:rsidP="0001596F">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“Artículo 49.</w:t>
      </w:r>
      <w:r w:rsidRPr="005D5FE7">
        <w:rPr>
          <w:rFonts w:ascii="Palatino Linotype" w:eastAsia="Palatino Linotype" w:hAnsi="Palatino Linotype" w:cs="Palatino Linotype"/>
          <w:i/>
          <w:sz w:val="22"/>
          <w:szCs w:val="22"/>
        </w:rPr>
        <w:t xml:space="preserve"> </w:t>
      </w:r>
      <w:r w:rsidRPr="005D5FE7">
        <w:rPr>
          <w:rFonts w:ascii="Palatino Linotype" w:eastAsia="Palatino Linotype" w:hAnsi="Palatino Linotype" w:cs="Palatino Linotype"/>
          <w:b/>
          <w:i/>
          <w:sz w:val="22"/>
          <w:szCs w:val="22"/>
        </w:rPr>
        <w:t>Los Comités de Transparencia</w:t>
      </w:r>
      <w:r w:rsidRPr="005D5FE7">
        <w:rPr>
          <w:rFonts w:ascii="Palatino Linotype" w:eastAsia="Palatino Linotype" w:hAnsi="Palatino Linotype" w:cs="Palatino Linotype"/>
          <w:i/>
          <w:sz w:val="22"/>
          <w:szCs w:val="22"/>
        </w:rPr>
        <w:t xml:space="preserve"> tendrán las siguientes atribuciones:</w:t>
      </w:r>
    </w:p>
    <w:p w14:paraId="7EFDD5BA" w14:textId="77777777" w:rsidR="0063531A" w:rsidRPr="005D5FE7" w:rsidRDefault="0063531A" w:rsidP="0001596F">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VIII. Aprobar, modificar o revocar la clasificación de la información</w:t>
      </w:r>
      <w:r w:rsidRPr="005D5FE7">
        <w:rPr>
          <w:rFonts w:ascii="Palatino Linotype" w:eastAsia="Palatino Linotype" w:hAnsi="Palatino Linotype" w:cs="Palatino Linotype"/>
          <w:i/>
          <w:sz w:val="22"/>
          <w:szCs w:val="22"/>
        </w:rPr>
        <w:t>…”</w:t>
      </w:r>
    </w:p>
    <w:p w14:paraId="6AFD4B2F" w14:textId="77777777" w:rsidR="0063531A" w:rsidRPr="005D5FE7" w:rsidRDefault="0063531A" w:rsidP="0001596F">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Artículo 53.</w:t>
      </w:r>
      <w:r w:rsidRPr="005D5FE7">
        <w:rPr>
          <w:rFonts w:ascii="Palatino Linotype" w:eastAsia="Palatino Linotype" w:hAnsi="Palatino Linotype" w:cs="Palatino Linotype"/>
          <w:i/>
          <w:sz w:val="22"/>
          <w:szCs w:val="22"/>
        </w:rPr>
        <w:t xml:space="preserve"> Las </w:t>
      </w:r>
      <w:r w:rsidRPr="005D5FE7">
        <w:rPr>
          <w:rFonts w:ascii="Palatino Linotype" w:eastAsia="Palatino Linotype" w:hAnsi="Palatino Linotype" w:cs="Palatino Linotype"/>
          <w:b/>
          <w:i/>
          <w:sz w:val="22"/>
          <w:szCs w:val="22"/>
        </w:rPr>
        <w:t>Unidades de Transparencia</w:t>
      </w:r>
      <w:r w:rsidRPr="005D5FE7">
        <w:rPr>
          <w:rFonts w:ascii="Palatino Linotype" w:eastAsia="Palatino Linotype" w:hAnsi="Palatino Linotype" w:cs="Palatino Linotype"/>
          <w:i/>
          <w:sz w:val="22"/>
          <w:szCs w:val="22"/>
        </w:rPr>
        <w:t xml:space="preserve"> tendrán las siguientes </w:t>
      </w:r>
      <w:r w:rsidRPr="005D5FE7">
        <w:rPr>
          <w:rFonts w:ascii="Palatino Linotype" w:eastAsia="Palatino Linotype" w:hAnsi="Palatino Linotype" w:cs="Palatino Linotype"/>
          <w:b/>
          <w:i/>
          <w:sz w:val="22"/>
          <w:szCs w:val="22"/>
        </w:rPr>
        <w:t>funciones</w:t>
      </w:r>
      <w:r w:rsidRPr="005D5FE7">
        <w:rPr>
          <w:rFonts w:ascii="Palatino Linotype" w:eastAsia="Palatino Linotype" w:hAnsi="Palatino Linotype" w:cs="Palatino Linotype"/>
          <w:i/>
          <w:sz w:val="22"/>
          <w:szCs w:val="22"/>
        </w:rPr>
        <w:t>:</w:t>
      </w:r>
    </w:p>
    <w:p w14:paraId="123A4BC7" w14:textId="77777777" w:rsidR="0063531A" w:rsidRPr="005D5FE7" w:rsidRDefault="0063531A" w:rsidP="0001596F">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lastRenderedPageBreak/>
        <w:t>X. Presentar ante el Comité, el proyecto de clasificación de información</w:t>
      </w:r>
      <w:r w:rsidRPr="005D5FE7">
        <w:rPr>
          <w:rFonts w:ascii="Palatino Linotype" w:eastAsia="Palatino Linotype" w:hAnsi="Palatino Linotype" w:cs="Palatino Linotype"/>
          <w:i/>
          <w:sz w:val="22"/>
          <w:szCs w:val="22"/>
        </w:rPr>
        <w:t xml:space="preserve">…” </w:t>
      </w:r>
    </w:p>
    <w:p w14:paraId="6179D4F4" w14:textId="77777777" w:rsidR="0063531A" w:rsidRPr="005D5FE7" w:rsidRDefault="0063531A" w:rsidP="0001596F">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“Artículo 59.</w:t>
      </w:r>
      <w:r w:rsidRPr="005D5FE7">
        <w:rPr>
          <w:rFonts w:ascii="Palatino Linotype" w:eastAsia="Palatino Linotype" w:hAnsi="Palatino Linotype" w:cs="Palatino Linotype"/>
          <w:i/>
          <w:sz w:val="22"/>
          <w:szCs w:val="22"/>
        </w:rPr>
        <w:t xml:space="preserve"> Los </w:t>
      </w:r>
      <w:r w:rsidRPr="005D5FE7">
        <w:rPr>
          <w:rFonts w:ascii="Palatino Linotype" w:eastAsia="Palatino Linotype" w:hAnsi="Palatino Linotype" w:cs="Palatino Linotype"/>
          <w:b/>
          <w:i/>
          <w:sz w:val="22"/>
          <w:szCs w:val="22"/>
        </w:rPr>
        <w:t>servidores públicos habilitados</w:t>
      </w:r>
      <w:r w:rsidRPr="005D5FE7">
        <w:rPr>
          <w:rFonts w:ascii="Palatino Linotype" w:eastAsia="Palatino Linotype" w:hAnsi="Palatino Linotype" w:cs="Palatino Linotype"/>
          <w:i/>
          <w:sz w:val="22"/>
          <w:szCs w:val="22"/>
        </w:rPr>
        <w:t xml:space="preserve"> tendrán las </w:t>
      </w:r>
      <w:r w:rsidRPr="005D5FE7">
        <w:rPr>
          <w:rFonts w:ascii="Palatino Linotype" w:eastAsia="Palatino Linotype" w:hAnsi="Palatino Linotype" w:cs="Palatino Linotype"/>
          <w:b/>
          <w:i/>
          <w:sz w:val="22"/>
          <w:szCs w:val="22"/>
        </w:rPr>
        <w:t>funciones</w:t>
      </w:r>
      <w:r w:rsidRPr="005D5FE7">
        <w:rPr>
          <w:rFonts w:ascii="Palatino Linotype" w:eastAsia="Palatino Linotype" w:hAnsi="Palatino Linotype" w:cs="Palatino Linotype"/>
          <w:i/>
          <w:sz w:val="22"/>
          <w:szCs w:val="22"/>
        </w:rPr>
        <w:t xml:space="preserve"> siguientes:</w:t>
      </w:r>
    </w:p>
    <w:p w14:paraId="19EB6F4E" w14:textId="77777777" w:rsidR="0063531A" w:rsidRPr="005D5FE7" w:rsidRDefault="0063531A" w:rsidP="0001596F">
      <w:pPr>
        <w:spacing w:before="240" w:after="240" w:line="276" w:lineRule="auto"/>
        <w:ind w:left="851" w:right="85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D5FE7">
        <w:rPr>
          <w:rFonts w:ascii="Palatino Linotype" w:eastAsia="Palatino Linotype" w:hAnsi="Palatino Linotype" w:cs="Palatino Linotype"/>
          <w:i/>
          <w:sz w:val="22"/>
          <w:szCs w:val="22"/>
        </w:rPr>
        <w:t>, la cual tendrá los fundamentos y argumentos en que se basa dicha propuesta…”</w:t>
      </w:r>
    </w:p>
    <w:p w14:paraId="120AA740"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DBEEE3C"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60C63F2C" w14:textId="77777777" w:rsidR="0063531A" w:rsidRPr="005D5FE7" w:rsidRDefault="0063531A" w:rsidP="0063531A">
      <w:pPr>
        <w:spacing w:before="240" w:after="240"/>
        <w:ind w:left="993" w:right="1041"/>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Artículo 149.</w:t>
      </w:r>
      <w:r w:rsidRPr="005D5FE7">
        <w:rPr>
          <w:rFonts w:ascii="Palatino Linotype" w:eastAsia="Palatino Linotype" w:hAnsi="Palatino Linotype" w:cs="Palatino Linotype"/>
          <w:i/>
          <w:sz w:val="22"/>
          <w:szCs w:val="22"/>
        </w:rPr>
        <w:t xml:space="preserve"> El </w:t>
      </w:r>
      <w:r w:rsidRPr="005D5FE7">
        <w:rPr>
          <w:rFonts w:ascii="Palatino Linotype" w:eastAsia="Palatino Linotype" w:hAnsi="Palatino Linotype" w:cs="Palatino Linotype"/>
          <w:b/>
          <w:i/>
          <w:sz w:val="22"/>
          <w:szCs w:val="22"/>
        </w:rPr>
        <w:t>acuerdo que clasifique la información como confidencial</w:t>
      </w:r>
      <w:r w:rsidRPr="005D5FE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307270D9" w14:textId="77777777" w:rsidR="0063531A" w:rsidRPr="005D5FE7" w:rsidRDefault="0063531A" w:rsidP="0063531A">
      <w:pPr>
        <w:spacing w:before="240" w:after="240" w:line="360" w:lineRule="auto"/>
        <w:ind w:right="49"/>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Es decir, el Sujeto Obligado a través de su Comité de Transparencia, deberá elaborar acuerdo que contenga un razonamiento lógico con el que se demuestre que la información que se testa de las versiones públicas que se sirva elaborar, encuadra </w:t>
      </w:r>
      <w:r w:rsidRPr="005D5FE7">
        <w:rPr>
          <w:rFonts w:ascii="Palatino Linotype" w:eastAsia="Palatino Linotype" w:hAnsi="Palatino Linotype" w:cs="Palatino Linotype"/>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16003F5"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El artículo 143, fracción I, de la Ley de Transparencia y Acceso a la Información Pública del Estado de México y Municipios, establece que deberá omitirse, eliminarse o suprimirse la información </w:t>
      </w:r>
      <w:r w:rsidRPr="005D5FE7">
        <w:rPr>
          <w:rFonts w:ascii="Palatino Linotype" w:eastAsia="Palatino Linotype" w:hAnsi="Palatino Linotype" w:cs="Palatino Linotype"/>
          <w:b/>
        </w:rPr>
        <w:t>confidencial</w:t>
      </w:r>
      <w:r w:rsidRPr="005D5FE7">
        <w:rPr>
          <w:rFonts w:ascii="Palatino Linotype" w:eastAsia="Palatino Linotype" w:hAnsi="Palatino Linotype" w:cs="Palatino Linotype"/>
        </w:rPr>
        <w:t xml:space="preserve">. </w:t>
      </w:r>
    </w:p>
    <w:p w14:paraId="4B84A0A6"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5D5FE7">
        <w:rPr>
          <w:rFonts w:ascii="Palatino Linotype" w:eastAsia="Palatino Linotype" w:hAnsi="Palatino Linotype" w:cs="Palatino Linotype"/>
          <w:b/>
        </w:rPr>
        <w:t>SUJETO OBLIGADO</w:t>
      </w:r>
      <w:r w:rsidRPr="005D5FE7">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A13E78E"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Así, respecto de los documentos que </w:t>
      </w:r>
      <w:r w:rsidRPr="005D5FE7">
        <w:rPr>
          <w:rFonts w:ascii="Palatino Linotype" w:eastAsia="Palatino Linotype" w:hAnsi="Palatino Linotype" w:cs="Palatino Linotype"/>
          <w:b/>
        </w:rPr>
        <w:t xml:space="preserve">EL SUJETO OBLIGADO </w:t>
      </w:r>
      <w:r w:rsidRPr="005D5FE7">
        <w:rPr>
          <w:rFonts w:ascii="Palatino Linotype" w:eastAsia="Palatino Linotype" w:hAnsi="Palatino Linotype" w:cs="Palatino Linotype"/>
        </w:rPr>
        <w:t xml:space="preserve">ha de entregar en </w:t>
      </w:r>
      <w:r w:rsidRPr="005D5FE7">
        <w:rPr>
          <w:rFonts w:ascii="Palatino Linotype" w:eastAsia="Palatino Linotype" w:hAnsi="Palatino Linotype" w:cs="Palatino Linotype"/>
          <w:b/>
        </w:rPr>
        <w:t>versión pública</w:t>
      </w:r>
      <w:r w:rsidRPr="005D5FE7">
        <w:rPr>
          <w:rFonts w:ascii="Palatino Linotype" w:eastAsia="Palatino Linotype" w:hAnsi="Palatino Linotype" w:cs="Palatino Linotype"/>
        </w:rPr>
        <w:t xml:space="preserve">, se deberá omitir, eliminar o suprimir la información personal de </w:t>
      </w:r>
      <w:r w:rsidRPr="005D5FE7">
        <w:rPr>
          <w:rFonts w:ascii="Palatino Linotype" w:eastAsia="Palatino Linotype" w:hAnsi="Palatino Linotype" w:cs="Palatino Linotype"/>
        </w:rPr>
        <w:lastRenderedPageBreak/>
        <w:t xml:space="preserve">los servidores públicos, como Registro Federal de Contribuyentes (RFC), Clave única de Registro de Población (CURP), clave del Instituto de Seguridad Social del Estado de México y Municipios (ISSEMyM), </w:t>
      </w:r>
      <w:r w:rsidRPr="005D5FE7">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sidRPr="005D5FE7">
        <w:rPr>
          <w:rFonts w:ascii="Palatino Linotype" w:eastAsia="Palatino Linotype" w:hAnsi="Palatino Linotype" w:cs="Palatino Linotype"/>
        </w:rPr>
        <w:t>, número de cuenta o cualquier otro dato que ponga en riesgo la vida, seguridad y salud de dichas personas.</w:t>
      </w:r>
    </w:p>
    <w:p w14:paraId="28A717F7"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5D5FE7">
        <w:rPr>
          <w:rFonts w:ascii="Palatino Linotype" w:eastAsia="Palatino Linotype" w:hAnsi="Palatino Linotype" w:cs="Palatino Linotype"/>
        </w:rPr>
        <w:t>homoclave</w:t>
      </w:r>
      <w:proofErr w:type="spellEnd"/>
      <w:r w:rsidRPr="005D5FE7">
        <w:rPr>
          <w:rFonts w:ascii="Palatino Linotype" w:eastAsia="Palatino Linotype" w:hAnsi="Palatino Linotype" w:cs="Palatino Linotype"/>
        </w:rPr>
        <w:t>; la cual, para su obtención es necesario acreditar personalidad, fecha de nacimiento entre otros con documentos oficiales.</w:t>
      </w:r>
    </w:p>
    <w:p w14:paraId="2D4F2F5B" w14:textId="77777777" w:rsidR="0063531A" w:rsidRPr="005D5FE7" w:rsidRDefault="0063531A" w:rsidP="0063531A">
      <w:pPr>
        <w:spacing w:before="240" w:after="240" w:line="360" w:lineRule="auto"/>
        <w:jc w:val="both"/>
        <w:rPr>
          <w:rFonts w:ascii="Palatino Linotype" w:eastAsia="Palatino Linotype" w:hAnsi="Palatino Linotype" w:cs="Palatino Linotype"/>
          <w:b/>
        </w:rPr>
      </w:pPr>
      <w:r w:rsidRPr="005D5FE7">
        <w:rPr>
          <w:rFonts w:ascii="Palatino Linotype" w:eastAsia="Palatino Linotype" w:hAnsi="Palatino Linotype" w:cs="Palatino Linotype"/>
        </w:rPr>
        <w:t>Al respecto, es aplicable el Criterio 19/17 de la Segunda Época, emitido por el INAI, que dice:</w:t>
      </w:r>
      <w:r w:rsidRPr="005D5FE7">
        <w:rPr>
          <w:rFonts w:ascii="Palatino Linotype" w:eastAsia="Palatino Linotype" w:hAnsi="Palatino Linotype" w:cs="Palatino Linotype"/>
          <w:b/>
        </w:rPr>
        <w:t xml:space="preserve"> </w:t>
      </w:r>
    </w:p>
    <w:p w14:paraId="51D87A9E" w14:textId="77777777" w:rsidR="0063531A" w:rsidRPr="005D5FE7" w:rsidRDefault="0063531A" w:rsidP="0063531A">
      <w:pPr>
        <w:tabs>
          <w:tab w:val="left" w:pos="7655"/>
        </w:tabs>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Registro Federal de Contribuyentes (RFC) de personas físicas. El RFC es una clave</w:t>
      </w:r>
      <w:r w:rsidRPr="005D5FE7">
        <w:rPr>
          <w:rFonts w:ascii="Palatino Linotype" w:eastAsia="Palatino Linotype" w:hAnsi="Palatino Linotype" w:cs="Palatino Linotype"/>
          <w:i/>
          <w:sz w:val="22"/>
          <w:szCs w:val="22"/>
        </w:rPr>
        <w:t xml:space="preserve"> de carácter fiscal, única e irrepetible, </w:t>
      </w:r>
      <w:r w:rsidRPr="005D5FE7">
        <w:rPr>
          <w:rFonts w:ascii="Palatino Linotype" w:eastAsia="Palatino Linotype" w:hAnsi="Palatino Linotype" w:cs="Palatino Linotype"/>
          <w:b/>
          <w:i/>
          <w:sz w:val="22"/>
          <w:szCs w:val="22"/>
        </w:rPr>
        <w:t>que permite identificar al titular, su edad y fecha de nacimiento</w:t>
      </w:r>
      <w:r w:rsidRPr="005D5FE7">
        <w:rPr>
          <w:rFonts w:ascii="Palatino Linotype" w:eastAsia="Palatino Linotype" w:hAnsi="Palatino Linotype" w:cs="Palatino Linotype"/>
          <w:i/>
          <w:sz w:val="22"/>
          <w:szCs w:val="22"/>
        </w:rPr>
        <w:t xml:space="preserve">, por lo que </w:t>
      </w:r>
      <w:r w:rsidRPr="005D5FE7">
        <w:rPr>
          <w:rFonts w:ascii="Palatino Linotype" w:eastAsia="Palatino Linotype" w:hAnsi="Palatino Linotype" w:cs="Palatino Linotype"/>
          <w:b/>
          <w:i/>
          <w:sz w:val="22"/>
          <w:szCs w:val="22"/>
        </w:rPr>
        <w:t>es un dato personal de carácter confidencial</w:t>
      </w:r>
      <w:r w:rsidRPr="005D5FE7">
        <w:rPr>
          <w:rFonts w:ascii="Palatino Linotype" w:eastAsia="Palatino Linotype" w:hAnsi="Palatino Linotype" w:cs="Palatino Linotype"/>
          <w:i/>
          <w:sz w:val="22"/>
          <w:szCs w:val="22"/>
        </w:rPr>
        <w:t>.</w:t>
      </w:r>
    </w:p>
    <w:p w14:paraId="78E4E0F4" w14:textId="77777777" w:rsidR="0063531A" w:rsidRPr="005D5FE7" w:rsidRDefault="0063531A" w:rsidP="0063531A">
      <w:pPr>
        <w:tabs>
          <w:tab w:val="left" w:pos="7655"/>
        </w:tabs>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Resoluciones:</w:t>
      </w:r>
    </w:p>
    <w:p w14:paraId="7F96DD82" w14:textId="77777777" w:rsidR="0063531A" w:rsidRPr="005D5FE7" w:rsidRDefault="0063531A" w:rsidP="0063531A">
      <w:pPr>
        <w:tabs>
          <w:tab w:val="left" w:pos="7655"/>
        </w:tabs>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RRA 0189/17. Morena. 08 de febrero de 2017. Por unanimidad. Comisionado Ponente Joel Salas Suárez.</w:t>
      </w:r>
    </w:p>
    <w:p w14:paraId="59BCC195" w14:textId="77777777" w:rsidR="0063531A" w:rsidRPr="005D5FE7" w:rsidRDefault="0063531A" w:rsidP="0063531A">
      <w:pPr>
        <w:tabs>
          <w:tab w:val="left" w:pos="7655"/>
        </w:tabs>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lastRenderedPageBreak/>
        <w:t xml:space="preserve">• RRA 0677/17. Universidad Nacional Autónoma de México. 08 de marzo de 2017. Por unanimidad. Comisionado Ponente </w:t>
      </w:r>
      <w:proofErr w:type="spellStart"/>
      <w:r w:rsidRPr="005D5FE7">
        <w:rPr>
          <w:rFonts w:ascii="Palatino Linotype" w:eastAsia="Palatino Linotype" w:hAnsi="Palatino Linotype" w:cs="Palatino Linotype"/>
          <w:i/>
          <w:sz w:val="22"/>
          <w:szCs w:val="22"/>
        </w:rPr>
        <w:t>Rosendoevgueni</w:t>
      </w:r>
      <w:proofErr w:type="spellEnd"/>
      <w:r w:rsidRPr="005D5FE7">
        <w:rPr>
          <w:rFonts w:ascii="Palatino Linotype" w:eastAsia="Palatino Linotype" w:hAnsi="Palatino Linotype" w:cs="Palatino Linotype"/>
          <w:i/>
          <w:sz w:val="22"/>
          <w:szCs w:val="22"/>
        </w:rPr>
        <w:t xml:space="preserve"> Monterrey </w:t>
      </w:r>
      <w:proofErr w:type="spellStart"/>
      <w:r w:rsidRPr="005D5FE7">
        <w:rPr>
          <w:rFonts w:ascii="Palatino Linotype" w:eastAsia="Palatino Linotype" w:hAnsi="Palatino Linotype" w:cs="Palatino Linotype"/>
          <w:i/>
          <w:sz w:val="22"/>
          <w:szCs w:val="22"/>
        </w:rPr>
        <w:t>Chepov</w:t>
      </w:r>
      <w:proofErr w:type="spellEnd"/>
      <w:r w:rsidRPr="005D5FE7">
        <w:rPr>
          <w:rFonts w:ascii="Palatino Linotype" w:eastAsia="Palatino Linotype" w:hAnsi="Palatino Linotype" w:cs="Palatino Linotype"/>
          <w:i/>
          <w:sz w:val="22"/>
          <w:szCs w:val="22"/>
        </w:rPr>
        <w:t xml:space="preserve">. </w:t>
      </w:r>
    </w:p>
    <w:p w14:paraId="395B469F" w14:textId="77777777" w:rsidR="0063531A" w:rsidRPr="005D5FE7" w:rsidRDefault="0063531A" w:rsidP="0063531A">
      <w:pPr>
        <w:tabs>
          <w:tab w:val="left" w:pos="7655"/>
        </w:tabs>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7DB12543" w14:textId="77777777" w:rsidR="0063531A" w:rsidRPr="005D5FE7" w:rsidRDefault="0063531A" w:rsidP="0063531A">
      <w:pPr>
        <w:tabs>
          <w:tab w:val="left" w:pos="7655"/>
        </w:tabs>
        <w:spacing w:before="240" w:after="240"/>
        <w:ind w:left="851" w:right="902"/>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sz w:val="22"/>
          <w:szCs w:val="22"/>
        </w:rPr>
        <w:t>(Énfasis añadido)</w:t>
      </w:r>
    </w:p>
    <w:p w14:paraId="0FEF83F0"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72A546C1"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Por cuanto hace a la CURP</w:t>
      </w:r>
      <w:r w:rsidRPr="005D5FE7">
        <w:rPr>
          <w:rFonts w:ascii="Palatino Linotype" w:eastAsia="Palatino Linotype" w:hAnsi="Palatino Linotype" w:cs="Palatino Linotype"/>
          <w:b/>
        </w:rPr>
        <w:t xml:space="preserve">, </w:t>
      </w:r>
      <w:r w:rsidRPr="005D5FE7">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9985FA3"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Lo anterior, tiene sustento en los artículos 86 y 91 de la Ley General de Población, la cual señala lo siguiente:</w:t>
      </w:r>
    </w:p>
    <w:p w14:paraId="7599BE10"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 xml:space="preserve">Artículo 86. </w:t>
      </w:r>
      <w:r w:rsidRPr="005D5FE7">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261D6174"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lastRenderedPageBreak/>
        <w:t>Artículo 91. Al incorporar a una persona en el Registro Nacional de Población</w:t>
      </w:r>
      <w:r w:rsidRPr="005D5FE7">
        <w:rPr>
          <w:rFonts w:ascii="Palatino Linotype" w:eastAsia="Palatino Linotype" w:hAnsi="Palatino Linotype" w:cs="Palatino Linotype"/>
          <w:i/>
          <w:sz w:val="22"/>
          <w:szCs w:val="22"/>
        </w:rPr>
        <w:t xml:space="preserve">, se le asignará una clave </w:t>
      </w:r>
      <w:r w:rsidRPr="005D5FE7">
        <w:rPr>
          <w:rFonts w:ascii="Palatino Linotype" w:eastAsia="Palatino Linotype" w:hAnsi="Palatino Linotype" w:cs="Palatino Linotype"/>
          <w:b/>
          <w:i/>
          <w:sz w:val="22"/>
          <w:szCs w:val="22"/>
        </w:rPr>
        <w:t>que se denominará Clave Única de Registro de Población</w:t>
      </w:r>
      <w:r w:rsidRPr="005D5FE7">
        <w:rPr>
          <w:rFonts w:ascii="Palatino Linotype" w:eastAsia="Palatino Linotype" w:hAnsi="Palatino Linotype" w:cs="Palatino Linotype"/>
          <w:i/>
          <w:sz w:val="22"/>
          <w:szCs w:val="22"/>
        </w:rPr>
        <w:t xml:space="preserve">. </w:t>
      </w:r>
      <w:r w:rsidRPr="005D5FE7">
        <w:rPr>
          <w:rFonts w:ascii="Palatino Linotype" w:eastAsia="Palatino Linotype" w:hAnsi="Palatino Linotype" w:cs="Palatino Linotype"/>
          <w:b/>
          <w:i/>
          <w:sz w:val="22"/>
          <w:szCs w:val="22"/>
        </w:rPr>
        <w:t>Esta servirá para</w:t>
      </w:r>
      <w:r w:rsidRPr="005D5FE7">
        <w:rPr>
          <w:rFonts w:ascii="Palatino Linotype" w:eastAsia="Palatino Linotype" w:hAnsi="Palatino Linotype" w:cs="Palatino Linotype"/>
          <w:i/>
          <w:sz w:val="22"/>
          <w:szCs w:val="22"/>
        </w:rPr>
        <w:t xml:space="preserve"> registrarla e </w:t>
      </w:r>
      <w:r w:rsidRPr="005D5FE7">
        <w:rPr>
          <w:rFonts w:ascii="Palatino Linotype" w:eastAsia="Palatino Linotype" w:hAnsi="Palatino Linotype" w:cs="Palatino Linotype"/>
          <w:b/>
          <w:i/>
          <w:sz w:val="22"/>
          <w:szCs w:val="22"/>
        </w:rPr>
        <w:t>identificarla en forma individual</w:t>
      </w:r>
      <w:r w:rsidRPr="005D5FE7">
        <w:rPr>
          <w:rFonts w:ascii="Palatino Linotype" w:eastAsia="Palatino Linotype" w:hAnsi="Palatino Linotype" w:cs="Palatino Linotype"/>
          <w:i/>
          <w:sz w:val="22"/>
          <w:szCs w:val="22"/>
        </w:rPr>
        <w:t xml:space="preserve">.” </w:t>
      </w:r>
    </w:p>
    <w:p w14:paraId="50305982" w14:textId="77777777" w:rsidR="0063531A" w:rsidRPr="005D5FE7" w:rsidRDefault="0063531A" w:rsidP="0063531A">
      <w:pPr>
        <w:spacing w:before="240" w:after="240"/>
        <w:ind w:left="851" w:right="902"/>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sz w:val="22"/>
          <w:szCs w:val="22"/>
        </w:rPr>
        <w:t>(Énfasis añadido)</w:t>
      </w:r>
    </w:p>
    <w:p w14:paraId="69E6BD2C"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3F41EDE"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Al respecto, el INAI, a través del Criterio 18/17 de la Segunda Época, señala literalmente lo siguiente:</w:t>
      </w:r>
    </w:p>
    <w:p w14:paraId="57511B57"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Clave Única de Registro de Población (CURP).</w:t>
      </w:r>
      <w:r w:rsidRPr="005D5FE7">
        <w:rPr>
          <w:rFonts w:ascii="Palatino Linotype" w:eastAsia="Palatino Linotype" w:hAnsi="Palatino Linotype" w:cs="Palatino Linotype"/>
          <w:i/>
          <w:sz w:val="22"/>
          <w:szCs w:val="22"/>
        </w:rPr>
        <w:t xml:space="preserve"> </w:t>
      </w:r>
      <w:r w:rsidRPr="005D5FE7">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5D5FE7">
        <w:rPr>
          <w:rFonts w:ascii="Palatino Linotype" w:eastAsia="Palatino Linotype" w:hAnsi="Palatino Linotype" w:cs="Palatino Linotype"/>
          <w:i/>
          <w:sz w:val="22"/>
          <w:szCs w:val="22"/>
        </w:rPr>
        <w:t xml:space="preserve"> de la misma, </w:t>
      </w:r>
      <w:r w:rsidRPr="005D5FE7">
        <w:rPr>
          <w:rFonts w:ascii="Palatino Linotype" w:eastAsia="Palatino Linotype" w:hAnsi="Palatino Linotype" w:cs="Palatino Linotype"/>
          <w:b/>
          <w:i/>
          <w:sz w:val="22"/>
          <w:szCs w:val="22"/>
        </w:rPr>
        <w:t>como lo son su nombre, apellidos, fecha de nacimiento, lugar de nacimiento y sexo</w:t>
      </w:r>
      <w:r w:rsidRPr="005D5FE7">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5D5FE7">
        <w:rPr>
          <w:rFonts w:ascii="Palatino Linotype" w:eastAsia="Palatino Linotype" w:hAnsi="Palatino Linotype" w:cs="Palatino Linotype"/>
          <w:b/>
          <w:i/>
          <w:sz w:val="22"/>
          <w:szCs w:val="22"/>
        </w:rPr>
        <w:t>por lo que la CURP está considerada como información confidencial</w:t>
      </w:r>
      <w:r w:rsidRPr="005D5FE7">
        <w:rPr>
          <w:rFonts w:ascii="Palatino Linotype" w:eastAsia="Palatino Linotype" w:hAnsi="Palatino Linotype" w:cs="Palatino Linotype"/>
          <w:i/>
          <w:sz w:val="22"/>
          <w:szCs w:val="22"/>
        </w:rPr>
        <w:t xml:space="preserve">. </w:t>
      </w:r>
    </w:p>
    <w:p w14:paraId="5D92B9A3"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Resoluciones:</w:t>
      </w:r>
    </w:p>
    <w:p w14:paraId="60E884AB"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5D5FE7">
        <w:rPr>
          <w:rFonts w:ascii="Palatino Linotype" w:eastAsia="Palatino Linotype" w:hAnsi="Palatino Linotype" w:cs="Palatino Linotype"/>
          <w:i/>
          <w:sz w:val="22"/>
          <w:szCs w:val="22"/>
        </w:rPr>
        <w:t>Rosendoevgueni</w:t>
      </w:r>
      <w:proofErr w:type="spellEnd"/>
      <w:r w:rsidRPr="005D5FE7">
        <w:rPr>
          <w:rFonts w:ascii="Palatino Linotype" w:eastAsia="Palatino Linotype" w:hAnsi="Palatino Linotype" w:cs="Palatino Linotype"/>
          <w:i/>
          <w:sz w:val="22"/>
          <w:szCs w:val="22"/>
        </w:rPr>
        <w:t xml:space="preserve"> Monterrey </w:t>
      </w:r>
      <w:proofErr w:type="spellStart"/>
      <w:r w:rsidRPr="005D5FE7">
        <w:rPr>
          <w:rFonts w:ascii="Palatino Linotype" w:eastAsia="Palatino Linotype" w:hAnsi="Palatino Linotype" w:cs="Palatino Linotype"/>
          <w:i/>
          <w:sz w:val="22"/>
          <w:szCs w:val="22"/>
        </w:rPr>
        <w:t>Chepov</w:t>
      </w:r>
      <w:proofErr w:type="spellEnd"/>
      <w:r w:rsidRPr="005D5FE7">
        <w:rPr>
          <w:rFonts w:ascii="Palatino Linotype" w:eastAsia="Palatino Linotype" w:hAnsi="Palatino Linotype" w:cs="Palatino Linotype"/>
          <w:i/>
          <w:sz w:val="22"/>
          <w:szCs w:val="22"/>
        </w:rPr>
        <w:t>.</w:t>
      </w:r>
    </w:p>
    <w:p w14:paraId="533687E2"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lastRenderedPageBreak/>
        <w:t xml:space="preserve">• RRA 0937/17. Senado de la República. 15 de marzo de 2017. Por unanimidad. Comisionada Ponente Ximena Puente de la Mora. </w:t>
      </w:r>
    </w:p>
    <w:p w14:paraId="6E07DB4A"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3E749F31" w14:textId="77777777" w:rsidR="0063531A" w:rsidRPr="005D5FE7" w:rsidRDefault="0063531A" w:rsidP="0063531A">
      <w:pPr>
        <w:spacing w:before="240" w:after="240"/>
        <w:ind w:left="851" w:right="902"/>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sz w:val="22"/>
          <w:szCs w:val="22"/>
        </w:rPr>
        <w:t>(Énfasis añadido)</w:t>
      </w:r>
    </w:p>
    <w:p w14:paraId="1B0BF7A4"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5280414"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B314144"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lastRenderedPageBreak/>
        <w:t xml:space="preserve">Respecto de los </w:t>
      </w:r>
      <w:r w:rsidRPr="005D5FE7">
        <w:rPr>
          <w:rFonts w:ascii="Palatino Linotype" w:eastAsia="Palatino Linotype" w:hAnsi="Palatino Linotype" w:cs="Palatino Linotype"/>
          <w:b/>
        </w:rPr>
        <w:t>préstamos o descuentos</w:t>
      </w:r>
      <w:r w:rsidRPr="005D5FE7">
        <w:rPr>
          <w:rFonts w:ascii="Palatino Linotype" w:eastAsia="Palatino Linotype" w:hAnsi="Palatino Linotype" w:cs="Palatino Linotype"/>
        </w:rPr>
        <w:t xml:space="preserve"> </w:t>
      </w:r>
      <w:r w:rsidRPr="005D5FE7">
        <w:rPr>
          <w:rFonts w:ascii="Palatino Linotype" w:eastAsia="Palatino Linotype" w:hAnsi="Palatino Linotype" w:cs="Palatino Linotype"/>
          <w:b/>
        </w:rPr>
        <w:t>de carácter personal</w:t>
      </w:r>
      <w:r w:rsidRPr="005D5FE7">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BA1AAEB"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Por su parte, el artículo 84 de la Ley del Trabajo de los Servidores Públicos del Estado y Municipios, señala:</w:t>
      </w:r>
    </w:p>
    <w:p w14:paraId="5426AB59" w14:textId="77777777" w:rsidR="0063531A" w:rsidRPr="005D5FE7" w:rsidRDefault="0063531A" w:rsidP="0063531A">
      <w:pPr>
        <w:spacing w:before="240" w:after="240"/>
        <w:ind w:left="851" w:right="902"/>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i/>
          <w:sz w:val="22"/>
          <w:szCs w:val="22"/>
        </w:rPr>
        <w:t>“</w:t>
      </w:r>
      <w:r w:rsidRPr="005D5FE7">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6A885517"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I. Gravámenes fiscales relacionados con el sueldo;</w:t>
      </w:r>
    </w:p>
    <w:p w14:paraId="0B353271"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II. Deudas contraídas con las instituciones públicas o dependencias</w:t>
      </w:r>
      <w:r w:rsidRPr="005D5FE7">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12DCDFC9"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III. Cuotas sindicales</w:t>
      </w:r>
      <w:r w:rsidRPr="005D5FE7">
        <w:rPr>
          <w:rFonts w:ascii="Palatino Linotype" w:eastAsia="Palatino Linotype" w:hAnsi="Palatino Linotype" w:cs="Palatino Linotype"/>
          <w:i/>
          <w:sz w:val="22"/>
          <w:szCs w:val="22"/>
        </w:rPr>
        <w:t>;</w:t>
      </w:r>
    </w:p>
    <w:p w14:paraId="3E81E77A"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89A1BC6"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6B283658" w14:textId="77777777" w:rsidR="0063531A" w:rsidRPr="005D5FE7" w:rsidRDefault="0063531A" w:rsidP="0063531A">
      <w:pPr>
        <w:spacing w:before="240" w:after="240"/>
        <w:ind w:left="851" w:right="902"/>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i/>
          <w:sz w:val="22"/>
          <w:szCs w:val="22"/>
        </w:rPr>
        <w:t>VI. Obligaciones a cargo del servidor público con las que haya consentido</w:t>
      </w:r>
      <w:r w:rsidRPr="005D5FE7">
        <w:rPr>
          <w:rFonts w:ascii="Palatino Linotype" w:eastAsia="Palatino Linotype" w:hAnsi="Palatino Linotype" w:cs="Palatino Linotype"/>
          <w:i/>
          <w:sz w:val="22"/>
          <w:szCs w:val="22"/>
        </w:rPr>
        <w:t>, derivadas de la adquisición o del uso de habitaciones consideradas como de interés social;</w:t>
      </w:r>
    </w:p>
    <w:p w14:paraId="00B9CFC0"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i/>
          <w:sz w:val="22"/>
          <w:szCs w:val="22"/>
        </w:rPr>
        <w:t>VII. Faltas de puntualidad o de asistencia injustificadas;</w:t>
      </w:r>
    </w:p>
    <w:p w14:paraId="73639CF0" w14:textId="77777777" w:rsidR="0063531A" w:rsidRPr="005D5FE7" w:rsidRDefault="0063531A" w:rsidP="0063531A">
      <w:pPr>
        <w:spacing w:before="240" w:after="240"/>
        <w:ind w:left="851" w:right="902"/>
        <w:jc w:val="both"/>
        <w:rPr>
          <w:rFonts w:ascii="Palatino Linotype" w:eastAsia="Palatino Linotype" w:hAnsi="Palatino Linotype" w:cs="Palatino Linotype"/>
          <w:i/>
          <w:sz w:val="22"/>
          <w:szCs w:val="22"/>
        </w:rPr>
      </w:pPr>
      <w:r w:rsidRPr="005D5FE7">
        <w:rPr>
          <w:rFonts w:ascii="Palatino Linotype" w:eastAsia="Palatino Linotype" w:hAnsi="Palatino Linotype" w:cs="Palatino Linotype"/>
          <w:b/>
          <w:i/>
          <w:sz w:val="22"/>
          <w:szCs w:val="22"/>
        </w:rPr>
        <w:t>VIII. Pensiones alimenticias ordenadas por la autoridad judicial;</w:t>
      </w:r>
      <w:r w:rsidRPr="005D5FE7">
        <w:rPr>
          <w:rFonts w:ascii="Palatino Linotype" w:eastAsia="Palatino Linotype" w:hAnsi="Palatino Linotype" w:cs="Palatino Linotype"/>
          <w:i/>
          <w:sz w:val="22"/>
          <w:szCs w:val="22"/>
        </w:rPr>
        <w:t xml:space="preserve"> o</w:t>
      </w:r>
    </w:p>
    <w:p w14:paraId="4F889920" w14:textId="77777777" w:rsidR="0063531A" w:rsidRPr="005D5FE7" w:rsidRDefault="0063531A" w:rsidP="0063531A">
      <w:pPr>
        <w:spacing w:before="240" w:after="240"/>
        <w:ind w:left="851" w:right="902"/>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46674242" w14:textId="77777777" w:rsidR="0063531A" w:rsidRPr="005D5FE7" w:rsidRDefault="0063531A" w:rsidP="0063531A">
      <w:pPr>
        <w:spacing w:before="240" w:after="240"/>
        <w:ind w:left="851" w:right="902"/>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265AB75" w14:textId="77777777" w:rsidR="0063531A" w:rsidRPr="005D5FE7" w:rsidRDefault="0063531A" w:rsidP="0063531A">
      <w:pPr>
        <w:spacing w:before="240" w:after="240"/>
        <w:ind w:left="851" w:right="902"/>
        <w:jc w:val="both"/>
        <w:rPr>
          <w:rFonts w:ascii="Palatino Linotype" w:eastAsia="Palatino Linotype" w:hAnsi="Palatino Linotype" w:cs="Palatino Linotype"/>
          <w:sz w:val="22"/>
          <w:szCs w:val="22"/>
        </w:rPr>
      </w:pPr>
      <w:r w:rsidRPr="005D5FE7">
        <w:rPr>
          <w:rFonts w:ascii="Palatino Linotype" w:eastAsia="Palatino Linotype" w:hAnsi="Palatino Linotype" w:cs="Palatino Linotype"/>
          <w:sz w:val="22"/>
          <w:szCs w:val="22"/>
        </w:rPr>
        <w:t>(Énfasis añadido)</w:t>
      </w:r>
    </w:p>
    <w:p w14:paraId="116F53F1"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5D5FE7">
        <w:rPr>
          <w:rFonts w:ascii="Palatino Linotype" w:eastAsia="Palatino Linotype" w:hAnsi="Palatino Linotype" w:cs="Palatino Linotype"/>
          <w:b/>
        </w:rPr>
        <w:t>únicamente inciden en su vida privada</w:t>
      </w:r>
      <w:r w:rsidRPr="005D5FE7">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76F3ED03"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 xml:space="preserve">Por lo tanto, es importante insistir que </w:t>
      </w:r>
      <w:r w:rsidRPr="005D5FE7">
        <w:rPr>
          <w:rFonts w:ascii="Palatino Linotype" w:eastAsia="Palatino Linotype" w:hAnsi="Palatino Linotype" w:cs="Palatino Linotype"/>
          <w:b/>
        </w:rPr>
        <w:t>EL SUJETO OBLIGADO</w:t>
      </w:r>
      <w:r w:rsidRPr="005D5FE7">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5D5FE7">
        <w:rPr>
          <w:rFonts w:ascii="Palatino Linotype" w:eastAsia="Palatino Linotype" w:hAnsi="Palatino Linotype" w:cs="Palatino Linotype"/>
          <w:b/>
        </w:rPr>
        <w:t xml:space="preserve"> </w:t>
      </w:r>
      <w:r w:rsidRPr="005D5FE7">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5D5FE7">
        <w:rPr>
          <w:rFonts w:ascii="Palatino Linotype" w:eastAsia="Palatino Linotype" w:hAnsi="Palatino Linotype" w:cs="Palatino Linotype"/>
        </w:rPr>
        <w:lastRenderedPageBreak/>
        <w:t>documentación respectiva, es decir, si no se exponen de manera puntual las razones de ello se estaría violentando desde un inicio el derecho de acceso a la información del solicitante.</w:t>
      </w:r>
    </w:p>
    <w:p w14:paraId="06D8803C" w14:textId="728F162B" w:rsidR="0063531A" w:rsidRPr="005D5FE7" w:rsidRDefault="0063531A" w:rsidP="0063531A">
      <w:pPr>
        <w:spacing w:before="240" w:after="240" w:line="360" w:lineRule="auto"/>
        <w:jc w:val="both"/>
        <w:rPr>
          <w:rFonts w:ascii="Palatino Linotype" w:eastAsia="Palatino Linotype" w:hAnsi="Palatino Linotype" w:cs="Palatino Linotype"/>
          <w:b/>
          <w:i/>
          <w:sz w:val="22"/>
          <w:szCs w:val="22"/>
        </w:rPr>
      </w:pPr>
      <w:r w:rsidRPr="005D5FE7">
        <w:rPr>
          <w:rFonts w:ascii="Palatino Linotype" w:eastAsia="Palatino Linotype" w:hAnsi="Palatino Linotype" w:cs="Palatino Linotype"/>
        </w:rPr>
        <w:t xml:space="preserve">En mérito de lo expuesto en líneas anteriores, resultan fundadas las razones o motivos de inconformidad hechos valer por la </w:t>
      </w:r>
      <w:r w:rsidRPr="005D5FE7">
        <w:rPr>
          <w:rFonts w:ascii="Palatino Linotype" w:eastAsia="Palatino Linotype" w:hAnsi="Palatino Linotype" w:cs="Palatino Linotype"/>
          <w:b/>
        </w:rPr>
        <w:t>RECURRENTE</w:t>
      </w:r>
      <w:r w:rsidRPr="005D5FE7">
        <w:rPr>
          <w:rFonts w:ascii="Palatino Linotype" w:eastAsia="Palatino Linotype" w:hAnsi="Palatino Linotype" w:cs="Palatino Linotype"/>
        </w:rPr>
        <w:t xml:space="preserve"> en el recurso de revisión </w:t>
      </w:r>
      <w:r w:rsidRPr="005D5FE7">
        <w:rPr>
          <w:rFonts w:ascii="Palatino Linotype" w:eastAsia="Palatino Linotype" w:hAnsi="Palatino Linotype" w:cs="Palatino Linotype"/>
          <w:b/>
        </w:rPr>
        <w:t>0</w:t>
      </w:r>
      <w:r w:rsidR="00350944" w:rsidRPr="005D5FE7">
        <w:rPr>
          <w:rFonts w:ascii="Palatino Linotype" w:eastAsia="Palatino Linotype" w:hAnsi="Palatino Linotype" w:cs="Palatino Linotype"/>
          <w:b/>
        </w:rPr>
        <w:t>8429</w:t>
      </w:r>
      <w:r w:rsidRPr="005D5FE7">
        <w:rPr>
          <w:rFonts w:ascii="Palatino Linotype" w:eastAsia="Palatino Linotype" w:hAnsi="Palatino Linotype" w:cs="Palatino Linotype"/>
          <w:b/>
        </w:rPr>
        <w:t>/INFOEM/IP/RR/2022</w:t>
      </w:r>
      <w:r w:rsidRPr="005D5FE7">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5D5FE7">
        <w:rPr>
          <w:rFonts w:ascii="Palatino Linotype" w:eastAsia="Palatino Linotype" w:hAnsi="Palatino Linotype" w:cs="Palatino Linotype"/>
          <w:b/>
        </w:rPr>
        <w:t xml:space="preserve">MODIFICA </w:t>
      </w:r>
      <w:r w:rsidRPr="005D5FE7">
        <w:rPr>
          <w:rFonts w:ascii="Palatino Linotype" w:eastAsia="Palatino Linotype" w:hAnsi="Palatino Linotype" w:cs="Palatino Linotype"/>
        </w:rPr>
        <w:t xml:space="preserve">la respuesta del </w:t>
      </w:r>
      <w:r w:rsidRPr="005D5FE7">
        <w:rPr>
          <w:rFonts w:ascii="Palatino Linotype" w:eastAsia="Palatino Linotype" w:hAnsi="Palatino Linotype" w:cs="Palatino Linotype"/>
          <w:b/>
        </w:rPr>
        <w:t xml:space="preserve">SUJETO OBLIGADO </w:t>
      </w:r>
      <w:r w:rsidRPr="005D5FE7">
        <w:rPr>
          <w:rFonts w:ascii="Palatino Linotype" w:eastAsia="Palatino Linotype" w:hAnsi="Palatino Linotype" w:cs="Palatino Linotype"/>
        </w:rPr>
        <w:t xml:space="preserve">a la solicitud de información </w:t>
      </w:r>
      <w:r w:rsidRPr="005D5FE7">
        <w:rPr>
          <w:rFonts w:ascii="Palatino Linotype" w:eastAsia="Palatino Linotype" w:hAnsi="Palatino Linotype" w:cs="Palatino Linotype"/>
          <w:b/>
        </w:rPr>
        <w:t>0011</w:t>
      </w:r>
      <w:r w:rsidR="002A49D9" w:rsidRPr="005D5FE7">
        <w:rPr>
          <w:rFonts w:ascii="Palatino Linotype" w:eastAsia="Palatino Linotype" w:hAnsi="Palatino Linotype" w:cs="Palatino Linotype"/>
          <w:b/>
        </w:rPr>
        <w:t>0</w:t>
      </w:r>
      <w:r w:rsidRPr="005D5FE7">
        <w:rPr>
          <w:rFonts w:ascii="Palatino Linotype" w:eastAsia="Palatino Linotype" w:hAnsi="Palatino Linotype" w:cs="Palatino Linotype"/>
          <w:b/>
        </w:rPr>
        <w:t>/</w:t>
      </w:r>
      <w:r w:rsidR="002A49D9" w:rsidRPr="005D5FE7">
        <w:rPr>
          <w:rFonts w:ascii="Palatino Linotype" w:eastAsia="Palatino Linotype" w:hAnsi="Palatino Linotype" w:cs="Palatino Linotype"/>
          <w:b/>
        </w:rPr>
        <w:t>TECAMAC</w:t>
      </w:r>
      <w:r w:rsidRPr="005D5FE7">
        <w:rPr>
          <w:rFonts w:ascii="Palatino Linotype" w:eastAsia="Palatino Linotype" w:hAnsi="Palatino Linotype" w:cs="Palatino Linotype"/>
          <w:b/>
        </w:rPr>
        <w:t xml:space="preserve">/IP/2022. </w:t>
      </w:r>
    </w:p>
    <w:p w14:paraId="24A929A6" w14:textId="7B3C7209" w:rsidR="00E977FC" w:rsidRPr="005D5FE7" w:rsidRDefault="00E977FC" w:rsidP="005364C6">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rPr>
        <w:t>Así, con fundamento en lo prescrito en los</w:t>
      </w:r>
      <w:r w:rsidRPr="005D5FE7">
        <w:t xml:space="preserve"> </w:t>
      </w:r>
      <w:r w:rsidRPr="005D5FE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68B6B39" w14:textId="77777777" w:rsidR="00CD3170" w:rsidRPr="005D5FE7" w:rsidRDefault="003B7461" w:rsidP="00B77680">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D5FE7">
        <w:rPr>
          <w:rFonts w:ascii="Palatino Linotype" w:eastAsia="Palatino Linotype" w:hAnsi="Palatino Linotype" w:cs="Palatino Linotype"/>
          <w:b/>
        </w:rPr>
        <w:t>R E S U E L V E:</w:t>
      </w:r>
    </w:p>
    <w:p w14:paraId="11601BFE" w14:textId="5C497841"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PRIMERO. </w:t>
      </w:r>
      <w:r w:rsidRPr="005D5FE7">
        <w:rPr>
          <w:rFonts w:ascii="Palatino Linotype" w:eastAsia="Palatino Linotype" w:hAnsi="Palatino Linotype" w:cs="Palatino Linotype"/>
        </w:rPr>
        <w:t xml:space="preserve">Resultan fundados los motivos de inconformidad hechos valer por el </w:t>
      </w:r>
      <w:r w:rsidRPr="005D5FE7">
        <w:rPr>
          <w:rFonts w:ascii="Palatino Linotype" w:eastAsia="Palatino Linotype" w:hAnsi="Palatino Linotype" w:cs="Palatino Linotype"/>
          <w:b/>
        </w:rPr>
        <w:t xml:space="preserve">RECURRENTE </w:t>
      </w:r>
      <w:r w:rsidRPr="005D5FE7">
        <w:rPr>
          <w:rFonts w:ascii="Palatino Linotype" w:eastAsia="Palatino Linotype" w:hAnsi="Palatino Linotype" w:cs="Palatino Linotype"/>
        </w:rPr>
        <w:t xml:space="preserve">en el recurso de revisión </w:t>
      </w:r>
      <w:r w:rsidRPr="005D5FE7">
        <w:rPr>
          <w:rFonts w:ascii="Palatino Linotype" w:eastAsia="Palatino Linotype" w:hAnsi="Palatino Linotype" w:cs="Palatino Linotype"/>
          <w:b/>
        </w:rPr>
        <w:t>0</w:t>
      </w:r>
      <w:r w:rsidR="00AE485B" w:rsidRPr="005D5FE7">
        <w:rPr>
          <w:rFonts w:ascii="Palatino Linotype" w:eastAsia="Palatino Linotype" w:hAnsi="Palatino Linotype" w:cs="Palatino Linotype"/>
          <w:b/>
        </w:rPr>
        <w:t>8429</w:t>
      </w:r>
      <w:r w:rsidRPr="005D5FE7">
        <w:rPr>
          <w:rFonts w:ascii="Palatino Linotype" w:eastAsia="Palatino Linotype" w:hAnsi="Palatino Linotype" w:cs="Palatino Linotype"/>
          <w:b/>
        </w:rPr>
        <w:t xml:space="preserve">/INFOEM/IP/RR/2022, </w:t>
      </w:r>
      <w:r w:rsidRPr="005D5FE7">
        <w:rPr>
          <w:rFonts w:ascii="Palatino Linotype" w:eastAsia="Palatino Linotype" w:hAnsi="Palatino Linotype" w:cs="Palatino Linotype"/>
        </w:rPr>
        <w:t xml:space="preserve">en términos del Considerando Cuarto de la presente resolución. </w:t>
      </w:r>
    </w:p>
    <w:p w14:paraId="2F1E905A"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SEGUNDO. S</w:t>
      </w:r>
      <w:r w:rsidRPr="005D5FE7">
        <w:rPr>
          <w:rFonts w:ascii="Palatino Linotype" w:eastAsia="Palatino Linotype" w:hAnsi="Palatino Linotype" w:cs="Palatino Linotype"/>
        </w:rPr>
        <w:t xml:space="preserve">e </w:t>
      </w:r>
      <w:r w:rsidRPr="005D5FE7">
        <w:rPr>
          <w:rFonts w:ascii="Palatino Linotype" w:eastAsia="Palatino Linotype" w:hAnsi="Palatino Linotype" w:cs="Palatino Linotype"/>
          <w:b/>
        </w:rPr>
        <w:t>MODIFICA</w:t>
      </w:r>
      <w:r w:rsidRPr="005D5FE7">
        <w:rPr>
          <w:rFonts w:ascii="Palatino Linotype" w:eastAsia="Palatino Linotype" w:hAnsi="Palatino Linotype" w:cs="Palatino Linotype"/>
        </w:rPr>
        <w:t xml:space="preserve"> la respuesta emitida por el </w:t>
      </w:r>
      <w:r w:rsidRPr="005D5FE7">
        <w:rPr>
          <w:rFonts w:ascii="Palatino Linotype" w:eastAsia="Palatino Linotype" w:hAnsi="Palatino Linotype" w:cs="Palatino Linotype"/>
          <w:b/>
        </w:rPr>
        <w:t xml:space="preserve">SUJETO OBLIGADO </w:t>
      </w:r>
      <w:r w:rsidRPr="005D5FE7">
        <w:rPr>
          <w:rFonts w:ascii="Palatino Linotype" w:eastAsia="Palatino Linotype" w:hAnsi="Palatino Linotype" w:cs="Palatino Linotype"/>
        </w:rPr>
        <w:t>y se ordena, haga entrega vía Sistema de Acceso a la Información Mexiquense (SAIMEX), en versión pública, la siguiente información:</w:t>
      </w:r>
    </w:p>
    <w:p w14:paraId="4294A58F" w14:textId="5538312D" w:rsidR="0063531A" w:rsidRPr="005D5FE7" w:rsidRDefault="00AE485B" w:rsidP="0063531A">
      <w:pPr>
        <w:numPr>
          <w:ilvl w:val="0"/>
          <w:numId w:val="7"/>
        </w:numPr>
        <w:pBdr>
          <w:top w:val="nil"/>
          <w:left w:val="nil"/>
          <w:bottom w:val="nil"/>
          <w:right w:val="nil"/>
          <w:between w:val="nil"/>
        </w:pBdr>
        <w:spacing w:before="240" w:after="240" w:line="276" w:lineRule="auto"/>
        <w:ind w:right="616"/>
        <w:jc w:val="both"/>
        <w:rPr>
          <w:rFonts w:ascii="Palatino Linotype" w:eastAsia="Palatino Linotype" w:hAnsi="Palatino Linotype" w:cs="Palatino Linotype"/>
          <w:i/>
        </w:rPr>
      </w:pPr>
      <w:r w:rsidRPr="005D5FE7">
        <w:rPr>
          <w:rFonts w:ascii="Palatino Linotype" w:eastAsia="Palatino Linotype" w:hAnsi="Palatino Linotype" w:cs="Palatino Linotype"/>
          <w:i/>
        </w:rPr>
        <w:lastRenderedPageBreak/>
        <w:t>Recibos de nómina del personal adscrito a la Tesorería M</w:t>
      </w:r>
      <w:r w:rsidR="00350944" w:rsidRPr="005D5FE7">
        <w:rPr>
          <w:rFonts w:ascii="Palatino Linotype" w:eastAsia="Palatino Linotype" w:hAnsi="Palatino Linotype" w:cs="Palatino Linotype"/>
          <w:i/>
        </w:rPr>
        <w:t xml:space="preserve">unicipal del primero de enero al quince de abril de dos mil veintidós. </w:t>
      </w:r>
    </w:p>
    <w:p w14:paraId="5BA0491F" w14:textId="77777777" w:rsidR="0063531A" w:rsidRPr="005D5FE7" w:rsidRDefault="0063531A" w:rsidP="0063531A">
      <w:pPr>
        <w:pBdr>
          <w:top w:val="nil"/>
          <w:left w:val="nil"/>
          <w:bottom w:val="nil"/>
          <w:right w:val="nil"/>
          <w:between w:val="nil"/>
        </w:pBdr>
        <w:spacing w:before="240" w:after="240"/>
        <w:ind w:left="851" w:right="709"/>
        <w:jc w:val="both"/>
        <w:rPr>
          <w:rFonts w:ascii="Palatino Linotype" w:eastAsia="Palatino Linotype" w:hAnsi="Palatino Linotype" w:cs="Palatino Linotype"/>
          <w:i/>
        </w:rPr>
      </w:pPr>
      <w:r w:rsidRPr="005D5FE7">
        <w:rPr>
          <w:rFonts w:ascii="Palatino Linotype" w:eastAsia="Palatino Linotype" w:hAnsi="Palatino Linotype" w:cs="Palatino Linotype"/>
          <w:i/>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2F2212DD"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TERCERO.</w:t>
      </w:r>
      <w:r w:rsidRPr="005D5FE7">
        <w:rPr>
          <w:rFonts w:ascii="Palatino Linotype" w:eastAsia="Palatino Linotype" w:hAnsi="Palatino Linotype" w:cs="Palatino Linotype"/>
          <w:b/>
          <w:sz w:val="28"/>
          <w:szCs w:val="28"/>
        </w:rPr>
        <w:t xml:space="preserve"> </w:t>
      </w:r>
      <w:r w:rsidRPr="005D5FE7">
        <w:rPr>
          <w:rFonts w:ascii="Palatino Linotype" w:eastAsia="Palatino Linotype" w:hAnsi="Palatino Linotype" w:cs="Palatino Linotype"/>
          <w:b/>
        </w:rPr>
        <w:t xml:space="preserve">Notifíquese, vía SAIMEX </w:t>
      </w:r>
      <w:r w:rsidRPr="005D5FE7">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493A71A4"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CUARTO. </w:t>
      </w:r>
      <w:r w:rsidRPr="005D5FE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2673BF" w14:textId="77777777" w:rsidR="0063531A" w:rsidRPr="005D5FE7" w:rsidRDefault="0063531A" w:rsidP="0063531A">
      <w:pPr>
        <w:spacing w:before="240" w:after="240" w:line="360" w:lineRule="auto"/>
        <w:jc w:val="both"/>
        <w:rPr>
          <w:rFonts w:ascii="Palatino Linotype" w:eastAsia="Palatino Linotype" w:hAnsi="Palatino Linotype" w:cs="Palatino Linotype"/>
        </w:rPr>
      </w:pPr>
      <w:r w:rsidRPr="005D5FE7">
        <w:rPr>
          <w:rFonts w:ascii="Palatino Linotype" w:eastAsia="Palatino Linotype" w:hAnsi="Palatino Linotype" w:cs="Palatino Linotype"/>
          <w:b/>
        </w:rPr>
        <w:t xml:space="preserve">QUINTO. Notifíquese </w:t>
      </w:r>
      <w:r w:rsidRPr="005D5FE7">
        <w:rPr>
          <w:rFonts w:ascii="Palatino Linotype" w:eastAsia="Palatino Linotype" w:hAnsi="Palatino Linotype" w:cs="Palatino Linotype"/>
        </w:rPr>
        <w:t>vía Sistema de Acceso a la Información Mexiquense (SAIMEX),</w:t>
      </w:r>
      <w:r w:rsidRPr="005D5FE7">
        <w:rPr>
          <w:rFonts w:ascii="Palatino Linotype" w:eastAsia="Palatino Linotype" w:hAnsi="Palatino Linotype" w:cs="Palatino Linotype"/>
          <w:b/>
        </w:rPr>
        <w:t xml:space="preserve"> </w:t>
      </w:r>
      <w:r w:rsidRPr="005D5FE7">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0DB0325" w14:textId="5D5087C8" w:rsidR="00CD3170" w:rsidRPr="005D5FE7" w:rsidRDefault="003B7461" w:rsidP="00B77680">
      <w:pPr>
        <w:spacing w:before="240" w:after="240" w:line="360" w:lineRule="auto"/>
        <w:jc w:val="both"/>
        <w:rPr>
          <w:rFonts w:ascii="Palatino Linotype" w:eastAsia="Palatino Linotype" w:hAnsi="Palatino Linotype" w:cs="Palatino Linotype"/>
          <w:sz w:val="20"/>
          <w:szCs w:val="20"/>
        </w:rPr>
      </w:pPr>
      <w:r w:rsidRPr="005D5FE7">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77FC" w:rsidRPr="005D5FE7">
        <w:rPr>
          <w:rFonts w:ascii="Palatino Linotype" w:eastAsia="Palatino Linotype" w:hAnsi="Palatino Linotype" w:cs="Palatino Linotype"/>
        </w:rPr>
        <w:t xml:space="preserve">TRIGÉSIMA </w:t>
      </w:r>
      <w:r w:rsidR="009C17CE" w:rsidRPr="005D5FE7">
        <w:rPr>
          <w:rFonts w:ascii="Palatino Linotype" w:eastAsia="Palatino Linotype" w:hAnsi="Palatino Linotype" w:cs="Palatino Linotype"/>
        </w:rPr>
        <w:t>SEXTA</w:t>
      </w:r>
      <w:r w:rsidRPr="005D5FE7">
        <w:rPr>
          <w:rFonts w:ascii="Palatino Linotype" w:eastAsia="Palatino Linotype" w:hAnsi="Palatino Linotype" w:cs="Palatino Linotype"/>
        </w:rPr>
        <w:t xml:space="preserve"> SESIÓN ORDINARIA </w:t>
      </w:r>
      <w:r w:rsidR="007002C4" w:rsidRPr="005D5FE7">
        <w:rPr>
          <w:rFonts w:ascii="Palatino Linotype" w:eastAsia="Palatino Linotype" w:hAnsi="Palatino Linotype" w:cs="Palatino Linotype"/>
        </w:rPr>
        <w:t xml:space="preserve">CELEBRADA EL </w:t>
      </w:r>
      <w:r w:rsidR="009C17CE" w:rsidRPr="005D5FE7">
        <w:rPr>
          <w:rFonts w:ascii="Palatino Linotype" w:eastAsia="Palatino Linotype" w:hAnsi="Palatino Linotype" w:cs="Palatino Linotype"/>
        </w:rPr>
        <w:t>CINCO</w:t>
      </w:r>
      <w:r w:rsidR="00B06DE3" w:rsidRPr="005D5FE7">
        <w:rPr>
          <w:rFonts w:ascii="Palatino Linotype" w:eastAsia="Palatino Linotype" w:hAnsi="Palatino Linotype" w:cs="Palatino Linotype"/>
        </w:rPr>
        <w:t xml:space="preserve"> DE </w:t>
      </w:r>
      <w:r w:rsidR="009C17CE" w:rsidRPr="005D5FE7">
        <w:rPr>
          <w:rFonts w:ascii="Palatino Linotype" w:eastAsia="Palatino Linotype" w:hAnsi="Palatino Linotype" w:cs="Palatino Linotype"/>
        </w:rPr>
        <w:t>OCTU</w:t>
      </w:r>
      <w:r w:rsidR="00B06DE3" w:rsidRPr="005D5FE7">
        <w:rPr>
          <w:rFonts w:ascii="Palatino Linotype" w:eastAsia="Palatino Linotype" w:hAnsi="Palatino Linotype" w:cs="Palatino Linotype"/>
        </w:rPr>
        <w:t>BRE</w:t>
      </w:r>
      <w:r w:rsidRPr="005D5FE7">
        <w:rPr>
          <w:rFonts w:ascii="Palatino Linotype" w:eastAsia="Palatino Linotype" w:hAnsi="Palatino Linotype" w:cs="Palatino Linotype"/>
        </w:rPr>
        <w:t xml:space="preserve"> DE DOS MIL VEINTIDÓS, ANTE EL S</w:t>
      </w:r>
      <w:bookmarkStart w:id="4" w:name="_GoBack"/>
      <w:bookmarkEnd w:id="4"/>
      <w:r w:rsidRPr="005D5FE7">
        <w:rPr>
          <w:rFonts w:ascii="Palatino Linotype" w:eastAsia="Palatino Linotype" w:hAnsi="Palatino Linotype" w:cs="Palatino Linotype"/>
        </w:rPr>
        <w:t>ECRETARIO TÉCNICO DEL PLENO, ALEXIS TAPIA RAMÍREZ.</w:t>
      </w:r>
    </w:p>
    <w:p w14:paraId="0D146C19"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6383C3C3"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50F9F105"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1FA03D36"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615905C6"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2F3F6FDF"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2FB389EA"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15BEAFED"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4F6FC960"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0E8D3D26"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5B6F830A"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6003053A"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6EEC5FCE"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7D244497"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73683E47"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012A1984"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472189D6"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6CB1A903"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76ADCE53"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04D13846"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69687B1E"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684815BF"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p w14:paraId="30773726" w14:textId="77777777" w:rsidR="00CD3170" w:rsidRPr="005D5FE7" w:rsidRDefault="00CD3170" w:rsidP="00B77680">
      <w:pPr>
        <w:spacing w:before="240" w:after="240"/>
        <w:jc w:val="both"/>
        <w:rPr>
          <w:rFonts w:ascii="Palatino Linotype" w:eastAsia="Palatino Linotype" w:hAnsi="Palatino Linotype" w:cs="Palatino Linotype"/>
          <w:sz w:val="20"/>
          <w:szCs w:val="20"/>
        </w:rPr>
      </w:pPr>
    </w:p>
    <w:sectPr w:rsidR="00CD3170" w:rsidRPr="005D5FE7">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AA5D" w14:textId="77777777" w:rsidR="00A827D9" w:rsidRDefault="00A827D9">
      <w:r>
        <w:separator/>
      </w:r>
    </w:p>
  </w:endnote>
  <w:endnote w:type="continuationSeparator" w:id="0">
    <w:p w14:paraId="5CB6F292" w14:textId="77777777" w:rsidR="00A827D9" w:rsidRDefault="00A8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49C2FF7E" w:rsidR="0094483E" w:rsidRDefault="009448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1BD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1BD6">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06C6C967" w14:textId="77777777" w:rsidR="0094483E" w:rsidRDefault="0094483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5DEBA7CA" w:rsidR="0094483E" w:rsidRDefault="009448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1BD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1BD6">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2D4E0CFB" w14:textId="77777777" w:rsidR="0094483E" w:rsidRDefault="0094483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3FEEE" w14:textId="77777777" w:rsidR="00A827D9" w:rsidRDefault="00A827D9">
      <w:r>
        <w:separator/>
      </w:r>
    </w:p>
  </w:footnote>
  <w:footnote w:type="continuationSeparator" w:id="0">
    <w:p w14:paraId="48532356" w14:textId="77777777" w:rsidR="00A827D9" w:rsidRDefault="00A827D9">
      <w:r>
        <w:continuationSeparator/>
      </w:r>
    </w:p>
  </w:footnote>
  <w:footnote w:id="1">
    <w:p w14:paraId="19311E2F" w14:textId="77777777" w:rsidR="0094483E" w:rsidRDefault="0094483E"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94483E" w:rsidRDefault="0094483E"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F29AD8E" w14:textId="234D3039" w:rsidR="0094483E" w:rsidRDefault="0094483E">
      <w:pPr>
        <w:pStyle w:val="Textonotapie"/>
      </w:pPr>
      <w:r>
        <w:rPr>
          <w:rStyle w:val="Refdenotaalpie"/>
        </w:rPr>
        <w:footnoteRef/>
      </w:r>
      <w:r>
        <w:t xml:space="preserve"> </w:t>
      </w:r>
      <w:hyperlink r:id="rId1" w:history="1">
        <w:r w:rsidRPr="005E2ABF">
          <w:rPr>
            <w:rStyle w:val="Hipervnculo"/>
          </w:rPr>
          <w:t>https://ipomex.org.mx/ipo3/lgt/indice/TECAMAC/organigramas.web?token=03AIIukzixUDJEu1C0rbeB5NUxF8tZkPIRBb6BzmS3ZMRzuaeQ-6I4OE4KnrmemmZIkJSBWRZTo21yqCpprr7NL5Z5LarSSkuBo9s62dyMQcooj0CMvpLbmWwdMUZwQOffgqJbiTpYVyYfFOfX_BWg6xnI4ZymJY9RQNj6tO41oYGHrvO1hFsW7pTqzVv0y439IK5Dx38wJoy_nCKU1tAZ6pYo45Qvhr7GmZIvawWMYMimjWHzL2_juO0O5vVLlUDjHWkXBr8JvmekYYaaZk8XST6XsPtUIzLI3A9uKy_GlZrhF3SR345D2Lbn-Cnk4wuYZJkyKb5v5UIitnGi1m64UxzHCvTcZO6GBW-mCEt_SYVIkac7V-nCcrKA46ZUSu7Se21q3vAm-vMHIaS4hexWsMLO9yrF1XfYswyTzXp20z8-Rmm8OBuVLInTPZf1UgZSfLR2vAj5i0gGMs0CvYRTOiW6boVVTqYheJpLfJOlV6bCJPqn5QwdXwBnJzoBkdE0muieDf60KhXv</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94483E" w:rsidRDefault="0094483E">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94483E" w14:paraId="58BC5DF6" w14:textId="77777777">
      <w:tc>
        <w:tcPr>
          <w:tcW w:w="2489" w:type="dxa"/>
          <w:shd w:val="clear" w:color="auto" w:fill="auto"/>
        </w:tcPr>
        <w:p w14:paraId="03F1490F" w14:textId="77777777" w:rsidR="0094483E" w:rsidRDefault="0094483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1EA0DD62" w:rsidR="0094483E" w:rsidRDefault="0094483E" w:rsidP="004D6ABC">
          <w:pPr>
            <w:ind w:right="175"/>
            <w:jc w:val="both"/>
            <w:rPr>
              <w:rFonts w:ascii="Palatino Linotype" w:eastAsia="Palatino Linotype" w:hAnsi="Palatino Linotype" w:cs="Palatino Linotype"/>
              <w:b/>
            </w:rPr>
          </w:pPr>
          <w:r>
            <w:rPr>
              <w:rFonts w:ascii="Palatino Linotype" w:eastAsia="Palatino Linotype" w:hAnsi="Palatino Linotype" w:cs="Palatino Linotype"/>
              <w:b/>
            </w:rPr>
            <w:t>08429/INFOEM/IP/RR/2022</w:t>
          </w:r>
        </w:p>
      </w:tc>
    </w:tr>
    <w:tr w:rsidR="0094483E" w14:paraId="194CC28D" w14:textId="77777777">
      <w:trPr>
        <w:trHeight w:val="228"/>
      </w:trPr>
      <w:tc>
        <w:tcPr>
          <w:tcW w:w="2489" w:type="dxa"/>
          <w:shd w:val="clear" w:color="auto" w:fill="auto"/>
          <w:vAlign w:val="center"/>
        </w:tcPr>
        <w:p w14:paraId="4D6D7E1C" w14:textId="77777777" w:rsidR="0094483E" w:rsidRDefault="0094483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04C04D0C" w:rsidR="0094483E" w:rsidRDefault="0094483E" w:rsidP="004D6ABC">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Tecámac</w:t>
          </w:r>
        </w:p>
      </w:tc>
    </w:tr>
    <w:tr w:rsidR="0094483E" w14:paraId="11FFAA96" w14:textId="77777777">
      <w:trPr>
        <w:trHeight w:val="311"/>
      </w:trPr>
      <w:tc>
        <w:tcPr>
          <w:tcW w:w="2489" w:type="dxa"/>
          <w:shd w:val="clear" w:color="auto" w:fill="auto"/>
          <w:vAlign w:val="center"/>
        </w:tcPr>
        <w:p w14:paraId="30D05F09" w14:textId="77777777" w:rsidR="0094483E" w:rsidRDefault="0094483E">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94483E" w:rsidRDefault="0094483E">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94483E" w:rsidRDefault="0094483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586E1B86" w:rsidR="0094483E" w:rsidRDefault="0094483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4"/>
      <w:tblW w:w="6095" w:type="dxa"/>
      <w:tblInd w:w="3261" w:type="dxa"/>
      <w:tblLayout w:type="fixed"/>
      <w:tblLook w:val="0400" w:firstRow="0" w:lastRow="0" w:firstColumn="0" w:lastColumn="0" w:noHBand="0" w:noVBand="1"/>
    </w:tblPr>
    <w:tblGrid>
      <w:gridCol w:w="2551"/>
      <w:gridCol w:w="3544"/>
    </w:tblGrid>
    <w:tr w:rsidR="0094483E" w14:paraId="1DA60B77" w14:textId="77777777">
      <w:tc>
        <w:tcPr>
          <w:tcW w:w="2551" w:type="dxa"/>
          <w:shd w:val="clear" w:color="auto" w:fill="auto"/>
          <w:vAlign w:val="center"/>
        </w:tcPr>
        <w:p w14:paraId="7EAC29B7" w14:textId="77777777" w:rsidR="0094483E" w:rsidRDefault="0094483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2B526016" w:rsidR="0094483E" w:rsidRDefault="0094483E" w:rsidP="00A320B2">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08429/INFOEM/IP/RR/2022</w:t>
          </w:r>
        </w:p>
      </w:tc>
    </w:tr>
    <w:tr w:rsidR="0094483E" w14:paraId="253D352A" w14:textId="77777777">
      <w:trPr>
        <w:trHeight w:val="130"/>
      </w:trPr>
      <w:tc>
        <w:tcPr>
          <w:tcW w:w="2551" w:type="dxa"/>
          <w:shd w:val="clear" w:color="auto" w:fill="auto"/>
          <w:vAlign w:val="center"/>
        </w:tcPr>
        <w:p w14:paraId="06128A55" w14:textId="77777777" w:rsidR="0094483E" w:rsidRDefault="0094483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69608000" w:rsidR="0094483E" w:rsidRDefault="001F1BD6" w:rsidP="001F1BD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 XXXXXX </w:t>
          </w:r>
          <w:proofErr w:type="spellStart"/>
          <w:r>
            <w:rPr>
              <w:rFonts w:ascii="Palatino Linotype" w:eastAsia="Palatino Linotype" w:hAnsi="Palatino Linotype" w:cs="Palatino Linotype"/>
              <w:b/>
            </w:rPr>
            <w:t>XXXXXX</w:t>
          </w:r>
          <w:proofErr w:type="spellEnd"/>
        </w:p>
      </w:tc>
    </w:tr>
    <w:tr w:rsidR="0094483E" w14:paraId="302DA94C" w14:textId="77777777">
      <w:trPr>
        <w:trHeight w:val="228"/>
      </w:trPr>
      <w:tc>
        <w:tcPr>
          <w:tcW w:w="2551" w:type="dxa"/>
          <w:shd w:val="clear" w:color="auto" w:fill="auto"/>
          <w:vAlign w:val="center"/>
        </w:tcPr>
        <w:p w14:paraId="382D413C" w14:textId="77777777" w:rsidR="0094483E" w:rsidRDefault="0094483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42844B5A" w:rsidR="0094483E" w:rsidRDefault="0094483E" w:rsidP="00A320B2">
          <w:pPr>
            <w:ind w:left="-45" w:right="176"/>
            <w:jc w:val="both"/>
            <w:rPr>
              <w:rFonts w:ascii="Palatino Linotype" w:eastAsia="Palatino Linotype" w:hAnsi="Palatino Linotype" w:cs="Palatino Linotype"/>
              <w:b/>
            </w:rPr>
          </w:pPr>
          <w:r>
            <w:rPr>
              <w:noProof/>
              <w:lang w:val="es-MX"/>
            </w:rPr>
            <w:drawing>
              <wp:anchor distT="0" distB="0" distL="0" distR="0" simplePos="0" relativeHeight="251659264" behindDoc="1" locked="0" layoutInCell="1" hidden="0" allowOverlap="1" wp14:anchorId="66296E85" wp14:editId="0680B4EF">
                <wp:simplePos x="0" y="0"/>
                <wp:positionH relativeFrom="column">
                  <wp:posOffset>-4630420</wp:posOffset>
                </wp:positionH>
                <wp:positionV relativeFrom="paragraph">
                  <wp:posOffset>-607695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rPr>
            <w:t>Ayuntamiento de Tecámac</w:t>
          </w:r>
        </w:p>
      </w:tc>
    </w:tr>
    <w:tr w:rsidR="0094483E" w14:paraId="4FD3402E" w14:textId="77777777">
      <w:tc>
        <w:tcPr>
          <w:tcW w:w="2551" w:type="dxa"/>
          <w:shd w:val="clear" w:color="auto" w:fill="auto"/>
          <w:vAlign w:val="center"/>
        </w:tcPr>
        <w:p w14:paraId="62C49E53" w14:textId="77777777" w:rsidR="0094483E" w:rsidRDefault="0094483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94483E" w:rsidRDefault="0094483E">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94483E" w:rsidRDefault="0094483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77E204D"/>
    <w:multiLevelType w:val="multilevel"/>
    <w:tmpl w:val="C096ADE8"/>
    <w:lvl w:ilvl="0">
      <w:start w:val="1"/>
      <w:numFmt w:val="bullet"/>
      <w:lvlText w:val="-"/>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2"/>
  </w:num>
  <w:num w:numId="4">
    <w:abstractNumId w:val="7"/>
  </w:num>
  <w:num w:numId="5">
    <w:abstractNumId w:val="0"/>
  </w:num>
  <w:num w:numId="6">
    <w:abstractNumId w:val="3"/>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2520"/>
    <w:rsid w:val="0001596F"/>
    <w:rsid w:val="00045FB5"/>
    <w:rsid w:val="000907DE"/>
    <w:rsid w:val="000939F3"/>
    <w:rsid w:val="000B10A5"/>
    <w:rsid w:val="000F0B8D"/>
    <w:rsid w:val="001144E9"/>
    <w:rsid w:val="0011597D"/>
    <w:rsid w:val="00136CC8"/>
    <w:rsid w:val="00136E14"/>
    <w:rsid w:val="00157B96"/>
    <w:rsid w:val="00182C59"/>
    <w:rsid w:val="001C61DA"/>
    <w:rsid w:val="001D534C"/>
    <w:rsid w:val="001E2E75"/>
    <w:rsid w:val="001E6805"/>
    <w:rsid w:val="001F1BD6"/>
    <w:rsid w:val="002378E0"/>
    <w:rsid w:val="00247ED3"/>
    <w:rsid w:val="00262E1D"/>
    <w:rsid w:val="002A49D9"/>
    <w:rsid w:val="002C16D4"/>
    <w:rsid w:val="002D35EA"/>
    <w:rsid w:val="002E7B3E"/>
    <w:rsid w:val="002F3C26"/>
    <w:rsid w:val="003012C8"/>
    <w:rsid w:val="00301BEB"/>
    <w:rsid w:val="0031287A"/>
    <w:rsid w:val="0033613E"/>
    <w:rsid w:val="00350944"/>
    <w:rsid w:val="00384863"/>
    <w:rsid w:val="00385990"/>
    <w:rsid w:val="003B243A"/>
    <w:rsid w:val="003B3674"/>
    <w:rsid w:val="003B7461"/>
    <w:rsid w:val="003E4652"/>
    <w:rsid w:val="00401A55"/>
    <w:rsid w:val="00411D7A"/>
    <w:rsid w:val="00413EDD"/>
    <w:rsid w:val="0042091A"/>
    <w:rsid w:val="00425AF3"/>
    <w:rsid w:val="00435BB9"/>
    <w:rsid w:val="00441AD4"/>
    <w:rsid w:val="004708BC"/>
    <w:rsid w:val="00470968"/>
    <w:rsid w:val="00472A8C"/>
    <w:rsid w:val="00475802"/>
    <w:rsid w:val="0048465A"/>
    <w:rsid w:val="00486F75"/>
    <w:rsid w:val="00497801"/>
    <w:rsid w:val="004A00A1"/>
    <w:rsid w:val="004A3A70"/>
    <w:rsid w:val="004B4867"/>
    <w:rsid w:val="004C6588"/>
    <w:rsid w:val="004D6ABC"/>
    <w:rsid w:val="004D6D23"/>
    <w:rsid w:val="00512B6F"/>
    <w:rsid w:val="0051646B"/>
    <w:rsid w:val="005215EA"/>
    <w:rsid w:val="00526FAA"/>
    <w:rsid w:val="005364C6"/>
    <w:rsid w:val="00546AC7"/>
    <w:rsid w:val="005557BC"/>
    <w:rsid w:val="00556A5C"/>
    <w:rsid w:val="00593E69"/>
    <w:rsid w:val="005A086E"/>
    <w:rsid w:val="005A31F1"/>
    <w:rsid w:val="005A6F57"/>
    <w:rsid w:val="005B3D00"/>
    <w:rsid w:val="005C60CE"/>
    <w:rsid w:val="005D5FE7"/>
    <w:rsid w:val="005F1017"/>
    <w:rsid w:val="00612146"/>
    <w:rsid w:val="00615EF6"/>
    <w:rsid w:val="00631228"/>
    <w:rsid w:val="006319F8"/>
    <w:rsid w:val="0063531A"/>
    <w:rsid w:val="006641CC"/>
    <w:rsid w:val="006733F5"/>
    <w:rsid w:val="0068554E"/>
    <w:rsid w:val="00694AF5"/>
    <w:rsid w:val="006A2150"/>
    <w:rsid w:val="006A59AA"/>
    <w:rsid w:val="006B032B"/>
    <w:rsid w:val="006F2685"/>
    <w:rsid w:val="006F4D53"/>
    <w:rsid w:val="007002C4"/>
    <w:rsid w:val="00705337"/>
    <w:rsid w:val="00707D0B"/>
    <w:rsid w:val="007164BA"/>
    <w:rsid w:val="00724AF2"/>
    <w:rsid w:val="00726009"/>
    <w:rsid w:val="00732C38"/>
    <w:rsid w:val="007401F8"/>
    <w:rsid w:val="00740AD1"/>
    <w:rsid w:val="0074663B"/>
    <w:rsid w:val="007473EA"/>
    <w:rsid w:val="00756888"/>
    <w:rsid w:val="00766FC9"/>
    <w:rsid w:val="007821C1"/>
    <w:rsid w:val="00786A8D"/>
    <w:rsid w:val="00795A13"/>
    <w:rsid w:val="007A5F2A"/>
    <w:rsid w:val="007F4C40"/>
    <w:rsid w:val="00800B5C"/>
    <w:rsid w:val="00814B68"/>
    <w:rsid w:val="00821B6E"/>
    <w:rsid w:val="00822C7E"/>
    <w:rsid w:val="00837220"/>
    <w:rsid w:val="008625B2"/>
    <w:rsid w:val="00873709"/>
    <w:rsid w:val="00880D9C"/>
    <w:rsid w:val="008852D4"/>
    <w:rsid w:val="00892710"/>
    <w:rsid w:val="008A201E"/>
    <w:rsid w:val="008A30CB"/>
    <w:rsid w:val="008B0DEA"/>
    <w:rsid w:val="008B36C6"/>
    <w:rsid w:val="008F4B37"/>
    <w:rsid w:val="00905EA1"/>
    <w:rsid w:val="009152B3"/>
    <w:rsid w:val="009209EE"/>
    <w:rsid w:val="0094483E"/>
    <w:rsid w:val="009457BD"/>
    <w:rsid w:val="00963BE1"/>
    <w:rsid w:val="00982EB9"/>
    <w:rsid w:val="009A61D6"/>
    <w:rsid w:val="009B3CCE"/>
    <w:rsid w:val="009C17CE"/>
    <w:rsid w:val="009C2130"/>
    <w:rsid w:val="009C5ED6"/>
    <w:rsid w:val="009D20DB"/>
    <w:rsid w:val="009E4CEF"/>
    <w:rsid w:val="009F37C7"/>
    <w:rsid w:val="00A053B9"/>
    <w:rsid w:val="00A132DE"/>
    <w:rsid w:val="00A140B8"/>
    <w:rsid w:val="00A320B2"/>
    <w:rsid w:val="00A44B39"/>
    <w:rsid w:val="00A467FC"/>
    <w:rsid w:val="00A54136"/>
    <w:rsid w:val="00A67ABE"/>
    <w:rsid w:val="00A827D9"/>
    <w:rsid w:val="00A85D55"/>
    <w:rsid w:val="00A916A6"/>
    <w:rsid w:val="00A92637"/>
    <w:rsid w:val="00AA5DB0"/>
    <w:rsid w:val="00AB1008"/>
    <w:rsid w:val="00AC6A10"/>
    <w:rsid w:val="00AE485B"/>
    <w:rsid w:val="00AF2898"/>
    <w:rsid w:val="00B02456"/>
    <w:rsid w:val="00B06DE3"/>
    <w:rsid w:val="00B1709E"/>
    <w:rsid w:val="00B20855"/>
    <w:rsid w:val="00B53765"/>
    <w:rsid w:val="00B67606"/>
    <w:rsid w:val="00B67B86"/>
    <w:rsid w:val="00B77680"/>
    <w:rsid w:val="00B7792A"/>
    <w:rsid w:val="00B8235B"/>
    <w:rsid w:val="00BA3747"/>
    <w:rsid w:val="00BB6807"/>
    <w:rsid w:val="00BC5C5E"/>
    <w:rsid w:val="00BD1EA4"/>
    <w:rsid w:val="00BE2055"/>
    <w:rsid w:val="00C11DC2"/>
    <w:rsid w:val="00C13FAB"/>
    <w:rsid w:val="00C15BED"/>
    <w:rsid w:val="00C25AED"/>
    <w:rsid w:val="00C34488"/>
    <w:rsid w:val="00C41B43"/>
    <w:rsid w:val="00C47E6D"/>
    <w:rsid w:val="00C6338F"/>
    <w:rsid w:val="00C73FBA"/>
    <w:rsid w:val="00CA7477"/>
    <w:rsid w:val="00CB1E71"/>
    <w:rsid w:val="00CD3170"/>
    <w:rsid w:val="00CE2A87"/>
    <w:rsid w:val="00D15501"/>
    <w:rsid w:val="00D23913"/>
    <w:rsid w:val="00D23D4E"/>
    <w:rsid w:val="00D93C55"/>
    <w:rsid w:val="00DA0C5E"/>
    <w:rsid w:val="00DA34E9"/>
    <w:rsid w:val="00DC7295"/>
    <w:rsid w:val="00DD13C4"/>
    <w:rsid w:val="00DE10DE"/>
    <w:rsid w:val="00DE313A"/>
    <w:rsid w:val="00DF1E5F"/>
    <w:rsid w:val="00E075A5"/>
    <w:rsid w:val="00E153F2"/>
    <w:rsid w:val="00E15B79"/>
    <w:rsid w:val="00E36D84"/>
    <w:rsid w:val="00E37D62"/>
    <w:rsid w:val="00E40ACA"/>
    <w:rsid w:val="00E66D03"/>
    <w:rsid w:val="00E93BB2"/>
    <w:rsid w:val="00E977FC"/>
    <w:rsid w:val="00EC38DD"/>
    <w:rsid w:val="00EC4F4C"/>
    <w:rsid w:val="00EE0883"/>
    <w:rsid w:val="00F21534"/>
    <w:rsid w:val="00F42305"/>
    <w:rsid w:val="00F74315"/>
    <w:rsid w:val="00F82151"/>
    <w:rsid w:val="00FB119E"/>
    <w:rsid w:val="00FB3C63"/>
    <w:rsid w:val="00FC7AE4"/>
    <w:rsid w:val="00FD1E57"/>
    <w:rsid w:val="00FD5A0D"/>
    <w:rsid w:val="00FE4A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TECAMAC/organigramas.web?token=03AIIukzixUDJEu1C0rbeB5NUxF8tZkPIRBb6BzmS3ZMRzuaeQ-6I4OE4KnrmemmZIkJSBWRZTo21yqCpprr7NL5Z5LarSSkuBo9s62dyMQcooj0CMvpLbmWwdMUZwQOffgqJbiTpYVyYfFOfX_BWg6xnI4ZymJY9RQNj6tO41oYGHrvO1hFsW7pTqzVv0y439IK5Dx38wJoy_nCKU1tAZ6pYo45Qvhr7GmZIvawWMYMimjWHzL2_juO0O5vVLlUDjHWkXBr8JvmekYYaaZk8XST6XsPtUIzLI3A9uKy_GlZrhF3SR345D2Lbn-Cnk4wuYZJkyKb5v5UIitnGi1m64UxzHCvTcZO6GBW-mCEt_SYVIkac7V-nCcrKA46ZUSu7Se21q3vAm-vMHIaS4hexWsMLO9yrF1XfYswyTzXp20z8-Rmm8OBuVLInTPZf1UgZSfLR2vAj5i0gGMs0CvYRTOiW6boVVTqYheJpLfJOlV6bCJPqn5QwdXwBnJzoBkdE0muieDf60KhX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A19812-2B13-4D91-9FD3-02CC370A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9882</Words>
  <Characters>54356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2022-10-07T16:44:00Z</cp:lastPrinted>
  <dcterms:created xsi:type="dcterms:W3CDTF">2022-11-03T01:24:00Z</dcterms:created>
  <dcterms:modified xsi:type="dcterms:W3CDTF">2022-11-03T01:24:00Z</dcterms:modified>
</cp:coreProperties>
</file>