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114" w:rsidRDefault="00DE4D0B">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ocho de junio de dos mil veintidós.</w:t>
      </w:r>
      <w:r w:rsidR="00996928">
        <w:rPr>
          <w:rFonts w:ascii="Palatino Linotype" w:eastAsia="Palatino Linotype" w:hAnsi="Palatino Linotype" w:cs="Palatino Linotype"/>
          <w:sz w:val="24"/>
          <w:szCs w:val="24"/>
        </w:rPr>
        <w:t xml:space="preserve"> </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03264/INFOEM/IP/RR/2022</w:t>
      </w:r>
      <w:r>
        <w:rPr>
          <w:rFonts w:ascii="Palatino Linotype" w:eastAsia="Palatino Linotype" w:hAnsi="Palatino Linotype" w:cs="Palatino Linotype"/>
          <w:sz w:val="24"/>
          <w:szCs w:val="24"/>
        </w:rPr>
        <w:t xml:space="preserve">, interpuesto por </w:t>
      </w:r>
      <w:r w:rsidR="00613367">
        <w:rPr>
          <w:rFonts w:ascii="Palatino Linotype" w:eastAsia="Palatino Linotype" w:hAnsi="Palatino Linotype" w:cs="Palatino Linotype"/>
          <w:b/>
          <w:sz w:val="24"/>
          <w:szCs w:val="24"/>
        </w:rPr>
        <w:t>XXXXX XXXXX XXXXX XXXXX</w:t>
      </w:r>
      <w:r>
        <w:rPr>
          <w:rFonts w:ascii="Palatino Linotype" w:eastAsia="Palatino Linotype" w:hAnsi="Palatino Linotype" w:cs="Palatino Linotype"/>
          <w:sz w:val="24"/>
          <w:szCs w:val="24"/>
        </w:rPr>
        <w:t xml:space="preserve">,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00138/ECATEPEC/IP/</w:t>
      </w:r>
      <w:bookmarkStart w:id="0" w:name="_GoBack"/>
      <w:bookmarkEnd w:id="0"/>
      <w:r>
        <w:rPr>
          <w:rFonts w:ascii="Palatino Linotype" w:eastAsia="Palatino Linotype" w:hAnsi="Palatino Linotype" w:cs="Palatino Linotype"/>
          <w:b/>
          <w:sz w:val="24"/>
          <w:szCs w:val="24"/>
        </w:rPr>
        <w:t>2022,</w:t>
      </w:r>
      <w:r>
        <w:rPr>
          <w:rFonts w:ascii="Palatino Linotype" w:eastAsia="Palatino Linotype" w:hAnsi="Palatino Linotype" w:cs="Palatino Linotype"/>
          <w:sz w:val="24"/>
          <w:szCs w:val="24"/>
        </w:rPr>
        <w:t xml:space="preserve"> por parte del </w:t>
      </w:r>
      <w:r>
        <w:rPr>
          <w:rFonts w:ascii="Palatino Linotype" w:eastAsia="Palatino Linotype" w:hAnsi="Palatino Linotype" w:cs="Palatino Linotype"/>
          <w:b/>
          <w:sz w:val="24"/>
          <w:szCs w:val="24"/>
        </w:rPr>
        <w:t>Ayuntamiento de Ecatepec de Morelos</w:t>
      </w:r>
      <w:r>
        <w:rPr>
          <w:rFonts w:ascii="Palatino Linotype" w:eastAsia="Palatino Linotype" w:hAnsi="Palatino Linotype" w:cs="Palatino Linotype"/>
          <w:sz w:val="24"/>
          <w:szCs w:val="24"/>
        </w:rPr>
        <w:t xml:space="preserve">,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rsidR="000B3114" w:rsidRDefault="00DE4D0B">
      <w:pPr>
        <w:spacing w:before="240" w:after="24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 N T E C E D E N T E S</w:t>
      </w:r>
    </w:p>
    <w:p w:rsidR="000B3114" w:rsidRDefault="00DE4D0B">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1. SOLICITUD. </w:t>
      </w:r>
      <w:r>
        <w:rPr>
          <w:rFonts w:ascii="Palatino Linotype" w:eastAsia="Palatino Linotype" w:hAnsi="Palatino Linotype" w:cs="Palatino Linotype"/>
          <w:sz w:val="24"/>
          <w:szCs w:val="24"/>
        </w:rPr>
        <w:t xml:space="preserve">Con fecha dieciocho de febrero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Palatino Linotype" w:eastAsia="Palatino Linotype" w:hAnsi="Palatino Linotype" w:cs="Palatino Linotype"/>
          <w:b/>
          <w:color w:val="FF0000"/>
        </w:rPr>
        <w:t> </w:t>
      </w:r>
      <w:r>
        <w:rPr>
          <w:rFonts w:ascii="Palatino Linotype" w:eastAsia="Palatino Linotype" w:hAnsi="Palatino Linotype" w:cs="Palatino Linotype"/>
          <w:b/>
          <w:sz w:val="24"/>
          <w:szCs w:val="24"/>
        </w:rPr>
        <w:t xml:space="preserve">00138/ECATEPEC/IP/2022, </w:t>
      </w:r>
      <w:r>
        <w:rPr>
          <w:rFonts w:ascii="Palatino Linotype" w:eastAsia="Palatino Linotype" w:hAnsi="Palatino Linotype" w:cs="Palatino Linotype"/>
          <w:sz w:val="24"/>
          <w:szCs w:val="24"/>
        </w:rPr>
        <w:t>mediante la cual solicitó información en el tenor siguiente:</w:t>
      </w:r>
    </w:p>
    <w:p w:rsidR="000B3114" w:rsidRDefault="00DE4D0B">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“Se me entregue toda la información relacionada </w:t>
      </w:r>
      <w:r>
        <w:rPr>
          <w:rFonts w:ascii="Palatino Linotype" w:eastAsia="Palatino Linotype" w:hAnsi="Palatino Linotype" w:cs="Palatino Linotype"/>
          <w:b/>
          <w:i/>
          <w:color w:val="000000"/>
        </w:rPr>
        <w:t>con el diferendo con el Municipio de Acolman por el asunto de límites territoriales</w:t>
      </w:r>
      <w:r>
        <w:rPr>
          <w:rFonts w:ascii="Palatino Linotype" w:eastAsia="Palatino Linotype" w:hAnsi="Palatino Linotype" w:cs="Palatino Linotype"/>
          <w:i/>
          <w:color w:val="000000"/>
        </w:rPr>
        <w:t>. Requiero que el periodo de la información abarque del año 2000 a la fecha. “(Sic)</w:t>
      </w:r>
    </w:p>
    <w:p w:rsidR="000B3114" w:rsidRDefault="00DE4D0B">
      <w:pPr>
        <w:spacing w:before="120" w:after="12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w:t>
      </w:r>
    </w:p>
    <w:p w:rsidR="000B3114" w:rsidRDefault="00DE4D0B">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sz w:val="24"/>
          <w:szCs w:val="24"/>
        </w:rPr>
        <w:lastRenderedPageBreak/>
        <w:t xml:space="preserve">2. DE LA RESPUESTA DEL SUJETO OBLIGADO. </w:t>
      </w:r>
      <w:r>
        <w:rPr>
          <w:rFonts w:ascii="Palatino Linotype" w:eastAsia="Palatino Linotype" w:hAnsi="Palatino Linotype" w:cs="Palatino Linotype"/>
          <w:sz w:val="24"/>
          <w:szCs w:val="24"/>
        </w:rPr>
        <w:t xml:space="preserve">Con fecha veintiuno de febrero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rPr>
          <w:rFonts w:ascii="Palatino Linotype" w:eastAsia="Palatino Linotype" w:hAnsi="Palatino Linotype" w:cs="Palatino Linotype"/>
        </w:rPr>
        <w:t xml:space="preserve"> </w:t>
      </w:r>
    </w:p>
    <w:p w:rsidR="000B3114" w:rsidRDefault="00DE4D0B">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“Por medio del presente escrito informo a usted que este H. Ayuntamiento Constitucional de Ecatepec de Morelos, no es Sujeto Obligado para dar atención a su requerimiento, por lo que le sugerimos dirija su petición al municipio de Acolman del Estado de México, Así mismo le informamos que puede consultar los siguientes links: https://www.acolman.gob.mx › Directorio › Transparen... https://www.acolman.gob.mx https://www.ipomex.org.mx › ipo3 › lgt › indice › acol... https://www.ipomex.org.mx › ACOLMAN › art_92_vii Toda vez que la antes mencionada es la dependencia encargada de brindarle atención a su requerimiento.</w:t>
      </w:r>
    </w:p>
    <w:p w:rsidR="000B3114" w:rsidRDefault="00DE4D0B">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0B3114" w:rsidRDefault="00DE4D0B">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Lic. Brianda Eunice Iberri Estrada.” (Sic)</w:t>
      </w:r>
    </w:p>
    <w:p w:rsidR="000B3114" w:rsidRDefault="000B3114">
      <w:pPr>
        <w:spacing w:before="160" w:after="0" w:line="360" w:lineRule="auto"/>
        <w:jc w:val="both"/>
        <w:rPr>
          <w:rFonts w:ascii="Palatino Linotype" w:eastAsia="Palatino Linotype" w:hAnsi="Palatino Linotype" w:cs="Palatino Linotype"/>
          <w:color w:val="000000"/>
          <w:sz w:val="24"/>
          <w:szCs w:val="24"/>
        </w:rPr>
      </w:pPr>
    </w:p>
    <w:p w:rsidR="000B3114" w:rsidRDefault="00DE4D0B">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adjuntó para tal efecto el archivo electrónico denominado:</w:t>
      </w:r>
      <w:r w:rsidR="00075782">
        <w:rPr>
          <w:rFonts w:ascii="Palatino Linotype" w:eastAsia="Palatino Linotype" w:hAnsi="Palatino Linotype" w:cs="Palatino Linotype"/>
          <w:color w:val="000000"/>
          <w:sz w:val="24"/>
          <w:szCs w:val="24"/>
        </w:rPr>
        <w:t xml:space="preserve"> </w:t>
      </w:r>
    </w:p>
    <w:p w:rsidR="000B3114" w:rsidRDefault="000B3114">
      <w:pPr>
        <w:spacing w:after="0" w:line="360" w:lineRule="auto"/>
        <w:jc w:val="both"/>
        <w:rPr>
          <w:rFonts w:ascii="Palatino Linotype" w:eastAsia="Palatino Linotype" w:hAnsi="Palatino Linotype" w:cs="Palatino Linotype"/>
          <w:sz w:val="24"/>
          <w:szCs w:val="24"/>
        </w:rPr>
      </w:pPr>
    </w:p>
    <w:p w:rsidR="000B3114" w:rsidRDefault="00DE4D0B">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w:t>
      </w:r>
      <w:hyperlink r:id="rId8">
        <w:r>
          <w:rPr>
            <w:rFonts w:ascii="Palatino Linotype" w:eastAsia="Palatino Linotype" w:hAnsi="Palatino Linotype" w:cs="Palatino Linotype"/>
            <w:color w:val="000000"/>
            <w:sz w:val="24"/>
            <w:szCs w:val="24"/>
          </w:rPr>
          <w:t>138.pdf</w:t>
        </w:r>
      </w:hyperlink>
      <w:r>
        <w:rPr>
          <w:rFonts w:ascii="Palatino Linotype" w:eastAsia="Palatino Linotype" w:hAnsi="Palatino Linotype" w:cs="Palatino Linotype"/>
          <w:color w:val="000000"/>
          <w:sz w:val="24"/>
          <w:szCs w:val="24"/>
        </w:rPr>
        <w:t>”, mediante el cual el Titular de la Unidad de Transparencia notificó al solicitante la incompetencia para conocer sobre la información solicitada, orientando al mismo ante el Sujeto Obligado competente, como se observa a continuación:</w:t>
      </w:r>
    </w:p>
    <w:p w:rsidR="000B3114" w:rsidRDefault="00DE4D0B">
      <w:pPr>
        <w:spacing w:after="0" w:line="360" w:lineRule="auto"/>
        <w:jc w:val="both"/>
      </w:pPr>
      <w:r>
        <w:rPr>
          <w:noProof/>
          <w:lang w:eastAsia="es-MX"/>
        </w:rPr>
        <mc:AlternateContent>
          <mc:Choice Requires="wpg">
            <w:drawing>
              <wp:anchor distT="0" distB="0" distL="114300" distR="114300" simplePos="0" relativeHeight="251658240" behindDoc="0" locked="0" layoutInCell="1" hidden="0" allowOverlap="1">
                <wp:simplePos x="0" y="0"/>
                <wp:positionH relativeFrom="column">
                  <wp:posOffset>-12699</wp:posOffset>
                </wp:positionH>
                <wp:positionV relativeFrom="paragraph">
                  <wp:posOffset>50800</wp:posOffset>
                </wp:positionV>
                <wp:extent cx="5629275" cy="1431925"/>
                <wp:effectExtent l="0" t="0" r="0" b="0"/>
                <wp:wrapNone/>
                <wp:docPr id="62" name="Conector recto de flecha 62"/>
                <wp:cNvGraphicFramePr/>
                <a:graphic xmlns:a="http://schemas.openxmlformats.org/drawingml/2006/main">
                  <a:graphicData uri="http://schemas.microsoft.com/office/word/2010/wordprocessingShape">
                    <wps:wsp>
                      <wps:cNvCnPr/>
                      <wps:spPr>
                        <a:xfrm>
                          <a:off x="2536125" y="3068800"/>
                          <a:ext cx="5619750" cy="14224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cx="http://schemas.microsoft.com/office/drawing/2014/chartex">
            <w:drawing>
              <wp:anchor allowOverlap="1" behindDoc="0" distB="0" distT="0" distL="114300" distR="114300" hidden="0" layoutInCell="1" locked="0" relativeHeight="0" simplePos="0">
                <wp:simplePos x="0" y="0"/>
                <wp:positionH relativeFrom="column">
                  <wp:posOffset>-12699</wp:posOffset>
                </wp:positionH>
                <wp:positionV relativeFrom="paragraph">
                  <wp:posOffset>50800</wp:posOffset>
                </wp:positionV>
                <wp:extent cx="5629275" cy="1431925"/>
                <wp:effectExtent b="0" l="0" r="0" t="0"/>
                <wp:wrapNone/>
                <wp:docPr id="62"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629275" cy="1431925"/>
                        </a:xfrm>
                        <a:prstGeom prst="rect"/>
                        <a:ln/>
                      </pic:spPr>
                    </pic:pic>
                  </a:graphicData>
                </a:graphic>
              </wp:anchor>
            </w:drawing>
          </mc:Fallback>
        </mc:AlternateContent>
      </w:r>
    </w:p>
    <w:p w:rsidR="000B3114" w:rsidRDefault="000B3114">
      <w:pPr>
        <w:spacing w:after="0" w:line="360" w:lineRule="auto"/>
        <w:jc w:val="both"/>
      </w:pPr>
    </w:p>
    <w:p w:rsidR="000B3114" w:rsidRDefault="00DE4D0B">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p>
    <w:p w:rsidR="000B3114" w:rsidRDefault="000B3114">
      <w:pPr>
        <w:spacing w:after="0" w:line="360" w:lineRule="auto"/>
        <w:jc w:val="both"/>
        <w:rPr>
          <w:rFonts w:ascii="Palatino Linotype" w:eastAsia="Palatino Linotype" w:hAnsi="Palatino Linotype" w:cs="Palatino Linotype"/>
          <w:color w:val="000000"/>
          <w:sz w:val="24"/>
          <w:szCs w:val="24"/>
        </w:rPr>
      </w:pPr>
    </w:p>
    <w:p w:rsidR="000B3114" w:rsidRDefault="000B3114">
      <w:pPr>
        <w:tabs>
          <w:tab w:val="left" w:pos="6946"/>
        </w:tabs>
        <w:spacing w:after="240" w:line="360" w:lineRule="auto"/>
        <w:jc w:val="both"/>
        <w:rPr>
          <w:rFonts w:ascii="Palatino Linotype" w:eastAsia="Palatino Linotype" w:hAnsi="Palatino Linotype" w:cs="Palatino Linotype"/>
          <w:b/>
          <w:sz w:val="24"/>
          <w:szCs w:val="24"/>
        </w:rPr>
      </w:pPr>
    </w:p>
    <w:p w:rsidR="000B3114" w:rsidRDefault="000B3114">
      <w:pPr>
        <w:tabs>
          <w:tab w:val="left" w:pos="6946"/>
        </w:tabs>
        <w:spacing w:before="240" w:after="240" w:line="360" w:lineRule="auto"/>
        <w:jc w:val="both"/>
        <w:rPr>
          <w:rFonts w:ascii="Palatino Linotype" w:eastAsia="Palatino Linotype" w:hAnsi="Palatino Linotype" w:cs="Palatino Linotype"/>
          <w:b/>
          <w:sz w:val="24"/>
          <w:szCs w:val="24"/>
        </w:rPr>
      </w:pPr>
    </w:p>
    <w:p w:rsidR="000B3114" w:rsidRDefault="00DE4D0B">
      <w:pPr>
        <w:tabs>
          <w:tab w:val="left" w:pos="6946"/>
        </w:tabs>
        <w:spacing w:before="240" w:after="240" w:line="360" w:lineRule="auto"/>
        <w:jc w:val="both"/>
        <w:rPr>
          <w:rFonts w:ascii="Palatino Linotype" w:eastAsia="Palatino Linotype" w:hAnsi="Palatino Linotype" w:cs="Palatino Linotype"/>
          <w:b/>
          <w:sz w:val="24"/>
          <w:szCs w:val="24"/>
        </w:rPr>
      </w:pPr>
      <w:r>
        <w:rPr>
          <w:noProof/>
          <w:lang w:eastAsia="es-MX"/>
        </w:rPr>
        <w:drawing>
          <wp:inline distT="0" distB="0" distL="0" distR="0">
            <wp:extent cx="5340066" cy="4574724"/>
            <wp:effectExtent l="0" t="0" r="0" b="0"/>
            <wp:docPr id="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44153" t="16964" r="21364" b="17971"/>
                    <a:stretch>
                      <a:fillRect/>
                    </a:stretch>
                  </pic:blipFill>
                  <pic:spPr>
                    <a:xfrm>
                      <a:off x="0" y="0"/>
                      <a:ext cx="5340066" cy="4574724"/>
                    </a:xfrm>
                    <a:prstGeom prst="rect">
                      <a:avLst/>
                    </a:prstGeom>
                    <a:ln/>
                  </pic:spPr>
                </pic:pic>
              </a:graphicData>
            </a:graphic>
          </wp:inline>
        </w:drawing>
      </w:r>
    </w:p>
    <w:p w:rsidR="000B3114" w:rsidRDefault="00DE4D0B">
      <w:pPr>
        <w:tabs>
          <w:tab w:val="left" w:pos="6946"/>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4"/>
          <w:szCs w:val="24"/>
        </w:rPr>
        <w:t xml:space="preserve">3. RECURSO DE REVISIÓN. </w:t>
      </w:r>
      <w:r>
        <w:rPr>
          <w:rFonts w:ascii="Palatino Linotype" w:eastAsia="Palatino Linotype" w:hAnsi="Palatino Linotype" w:cs="Palatino Linotype"/>
          <w:sz w:val="24"/>
          <w:szCs w:val="24"/>
        </w:rPr>
        <w:t xml:space="preserve">Inconforme con la respuesta,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interpuso el recurso de revisión materia del presente estudio el día </w:t>
      </w:r>
      <w:r>
        <w:rPr>
          <w:rFonts w:ascii="Palatino Linotype" w:eastAsia="Palatino Linotype" w:hAnsi="Palatino Linotype" w:cs="Palatino Linotype"/>
          <w:b/>
          <w:sz w:val="24"/>
          <w:szCs w:val="24"/>
        </w:rPr>
        <w:t>tres de marzo de dos mil veintidós</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en el que expresó lo siguiente:</w:t>
      </w:r>
      <w:r>
        <w:rPr>
          <w:rFonts w:ascii="Palatino Linotype" w:eastAsia="Palatino Linotype" w:hAnsi="Palatino Linotype" w:cs="Palatino Linotype"/>
        </w:rPr>
        <w:t xml:space="preserve"> </w:t>
      </w:r>
    </w:p>
    <w:p w:rsidR="000B3114" w:rsidRDefault="00DE4D0B">
      <w:pPr>
        <w:ind w:left="567" w:right="900"/>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rsidR="000B3114" w:rsidRDefault="00DE4D0B">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“por tratarse de un asunto que involucra a l Municipio de Ecatepec si debe contar con la información, por lo que reitero la solicitud” (Sic)</w:t>
      </w:r>
    </w:p>
    <w:p w:rsidR="000B3114" w:rsidRDefault="00DE4D0B">
      <w:pPr>
        <w:spacing w:before="240" w:after="240"/>
        <w:ind w:left="567" w:right="851"/>
        <w:jc w:val="both"/>
        <w:rPr>
          <w:rFonts w:ascii="Palatino Linotype" w:eastAsia="Palatino Linotype" w:hAnsi="Palatino Linotype" w:cs="Palatino Linotype"/>
        </w:rPr>
      </w:pPr>
      <w:r>
        <w:rPr>
          <w:rFonts w:ascii="Palatino Linotype" w:eastAsia="Palatino Linotype" w:hAnsi="Palatino Linotype" w:cs="Palatino Linotype"/>
          <w:b/>
        </w:rPr>
        <w:lastRenderedPageBreak/>
        <w:t>b) Razones o motivos de inconformidad</w:t>
      </w:r>
      <w:r>
        <w:rPr>
          <w:rFonts w:ascii="Palatino Linotype" w:eastAsia="Palatino Linotype" w:hAnsi="Palatino Linotype" w:cs="Palatino Linotype"/>
        </w:rPr>
        <w:t xml:space="preserve">: </w:t>
      </w:r>
    </w:p>
    <w:p w:rsidR="000B3114" w:rsidRDefault="00DE4D0B">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“la negativa a entregar la información redirigiendo a otras autoridades.” (Sic)</w:t>
      </w:r>
    </w:p>
    <w:p w:rsidR="000B3114" w:rsidRDefault="00DE4D0B">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a efecto de que analizara sobre su admisión o su desechamiento.</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5.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ocho de marzo de dos mil veintidós,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rsidR="000B3114" w:rsidRDefault="00DE4D0B">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202124"/>
          <w:sz w:val="24"/>
          <w:szCs w:val="24"/>
        </w:rPr>
        <w:t xml:space="preserve">6. </w:t>
      </w:r>
      <w:r>
        <w:rPr>
          <w:rFonts w:ascii="Palatino Linotype" w:eastAsia="Palatino Linotype" w:hAnsi="Palatino Linotype" w:cs="Palatino Linotype"/>
          <w:b/>
          <w:sz w:val="24"/>
          <w:szCs w:val="24"/>
        </w:rPr>
        <w:t xml:space="preserve">INFORME JUSTIFICADO O MANIFESTACIONES. </w:t>
      </w:r>
      <w:r>
        <w:rPr>
          <w:rFonts w:ascii="Palatino Linotype" w:eastAsia="Palatino Linotype" w:hAnsi="Palatino Linotype" w:cs="Palatino Linotype"/>
          <w:sz w:val="24"/>
          <w:szCs w:val="24"/>
        </w:rPr>
        <w:t xml:space="preserve">El quince de marzo de dos mil veintidós,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del siguiente archivo electrónico: </w:t>
      </w:r>
    </w:p>
    <w:p w:rsidR="000B3114" w:rsidRDefault="00DE4D0B">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w:t>
      </w:r>
      <w:hyperlink r:id="rId11">
        <w:r>
          <w:rPr>
            <w:rFonts w:ascii="Palatino Linotype" w:eastAsia="Palatino Linotype" w:hAnsi="Palatino Linotype" w:cs="Palatino Linotype"/>
            <w:sz w:val="24"/>
            <w:szCs w:val="24"/>
          </w:rPr>
          <w:t>RR03264-2021.pdf</w:t>
        </w:r>
      </w:hyperlink>
      <w:r>
        <w:rPr>
          <w:rFonts w:ascii="Palatino Linotype" w:eastAsia="Palatino Linotype" w:hAnsi="Palatino Linotype" w:cs="Palatino Linotype"/>
          <w:sz w:val="24"/>
          <w:szCs w:val="24"/>
        </w:rPr>
        <w:t>”:</w:t>
      </w:r>
      <w:r>
        <w:rPr>
          <w:rFonts w:ascii="Palatino Linotype" w:eastAsia="Palatino Linotype" w:hAnsi="Palatino Linotype" w:cs="Palatino Linotype"/>
          <w:color w:val="000000"/>
          <w:sz w:val="24"/>
          <w:szCs w:val="24"/>
        </w:rPr>
        <w:t xml:space="preserve"> por medio del cual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a través de su Director de Desarrollo Urbano y Obras Públicas, informó que en referencia al </w:t>
      </w:r>
      <w:r>
        <w:rPr>
          <w:rFonts w:ascii="Palatino Linotype" w:eastAsia="Palatino Linotype" w:hAnsi="Palatino Linotype" w:cs="Palatino Linotype"/>
          <w:color w:val="000000"/>
          <w:sz w:val="24"/>
          <w:szCs w:val="24"/>
        </w:rPr>
        <w:lastRenderedPageBreak/>
        <w:t>diferendo limítrofe con el Municipio de Acolman, después de haber realizado una búsqueda exhaustiva  y razonable en los archivos de la subdirección de desarrollo urbano no se encontró información referente al tema solicitado desde el año 2010, como se advierte a continuación:</w:t>
      </w:r>
    </w:p>
    <w:p w:rsidR="000B3114" w:rsidRDefault="000B3114">
      <w:pPr>
        <w:spacing w:line="360" w:lineRule="auto"/>
        <w:jc w:val="both"/>
        <w:rPr>
          <w:rFonts w:ascii="Palatino Linotype" w:eastAsia="Palatino Linotype" w:hAnsi="Palatino Linotype" w:cs="Palatino Linotype"/>
          <w:color w:val="000000"/>
          <w:sz w:val="24"/>
          <w:szCs w:val="24"/>
        </w:rPr>
      </w:pPr>
    </w:p>
    <w:p w:rsidR="000B3114" w:rsidRDefault="00DE4D0B">
      <w:pPr>
        <w:spacing w:line="360" w:lineRule="auto"/>
        <w:jc w:val="both"/>
        <w:rPr>
          <w:rFonts w:ascii="Palatino Linotype" w:eastAsia="Palatino Linotype" w:hAnsi="Palatino Linotype" w:cs="Palatino Linotype"/>
          <w:color w:val="000000"/>
          <w:sz w:val="24"/>
          <w:szCs w:val="24"/>
        </w:rPr>
      </w:pPr>
      <w:r>
        <w:rPr>
          <w:noProof/>
          <w:lang w:eastAsia="es-MX"/>
        </w:rPr>
        <w:drawing>
          <wp:inline distT="0" distB="0" distL="0" distR="0">
            <wp:extent cx="5554527" cy="4980930"/>
            <wp:effectExtent l="0" t="0" r="0" b="0"/>
            <wp:docPr id="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39740" t="16529" r="18563" b="4931"/>
                    <a:stretch>
                      <a:fillRect/>
                    </a:stretch>
                  </pic:blipFill>
                  <pic:spPr>
                    <a:xfrm>
                      <a:off x="0" y="0"/>
                      <a:ext cx="5554527" cy="4980930"/>
                    </a:xfrm>
                    <a:prstGeom prst="rect">
                      <a:avLst/>
                    </a:prstGeom>
                    <a:ln/>
                  </pic:spPr>
                </pic:pic>
              </a:graphicData>
            </a:graphic>
          </wp:inline>
        </w:drawing>
      </w:r>
    </w:p>
    <w:p w:rsidR="000B3114" w:rsidRDefault="000B3114">
      <w:pPr>
        <w:spacing w:line="360" w:lineRule="auto"/>
        <w:jc w:val="both"/>
        <w:rPr>
          <w:rFonts w:ascii="Palatino Linotype" w:eastAsia="Palatino Linotype" w:hAnsi="Palatino Linotype" w:cs="Palatino Linotype"/>
          <w:color w:val="000000"/>
          <w:sz w:val="24"/>
          <w:szCs w:val="24"/>
        </w:rPr>
      </w:pPr>
    </w:p>
    <w:p w:rsidR="000B3114" w:rsidRDefault="00DE4D0B">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Archivo electrónico que se puso a la vista de</w:t>
      </w:r>
      <w:r>
        <w:rPr>
          <w:rFonts w:ascii="Palatino Linotype" w:eastAsia="Palatino Linotype" w:hAnsi="Palatino Linotype" w:cs="Palatino Linotype"/>
          <w:sz w:val="24"/>
          <w:szCs w:val="24"/>
        </w:rPr>
        <w:t xml:space="preserve">l </w:t>
      </w:r>
      <w:r>
        <w:rPr>
          <w:rFonts w:ascii="Palatino Linotype" w:eastAsia="Palatino Linotype" w:hAnsi="Palatino Linotype" w:cs="Palatino Linotype"/>
          <w:color w:val="000000"/>
          <w:sz w:val="24"/>
          <w:szCs w:val="24"/>
        </w:rPr>
        <w:t xml:space="preserve">RECURRENTE, en términos de la fracción III del artículo 185 de la Ley de Transparencia y Acceso a la Información Pública del Estado de México y Municipios; para que en el término de tres días manifestara lo que a su derecho convenga; sin que 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hiciera manifestación alguna.</w:t>
      </w:r>
    </w:p>
    <w:p w:rsidR="000B3114" w:rsidRDefault="00DE4D0B">
      <w:pPr>
        <w:widowControl w:val="0"/>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7.AMPLIACIÓN DEL PLAZO PARA EMITIR RESOLUCIÓN.</w:t>
      </w:r>
      <w:r>
        <w:rPr>
          <w:rFonts w:ascii="Palatino Linotype" w:eastAsia="Palatino Linotype" w:hAnsi="Palatino Linotype" w:cs="Palatino Linotype"/>
          <w:sz w:val="24"/>
          <w:szCs w:val="24"/>
        </w:rPr>
        <w:t xml:space="preserve"> El </w:t>
      </w:r>
      <w:r>
        <w:rPr>
          <w:rFonts w:ascii="Palatino Linotype" w:eastAsia="Palatino Linotype" w:hAnsi="Palatino Linotype" w:cs="Palatino Linotype"/>
          <w:b/>
          <w:sz w:val="24"/>
          <w:szCs w:val="24"/>
        </w:rPr>
        <w:t>dieciséis de mayo de dos mil veintidós</w:t>
      </w:r>
      <w:r>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a fin de aminorar los efectos que conlleva.</w:t>
      </w:r>
    </w:p>
    <w:p w:rsidR="000B3114" w:rsidRDefault="00DE4D0B">
      <w:pP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8. CIERRE DE INSTRUCCIÓN. </w:t>
      </w:r>
      <w:r>
        <w:rPr>
          <w:rFonts w:ascii="Palatino Linotype" w:eastAsia="Palatino Linotype" w:hAnsi="Palatino Linotype" w:cs="Palatino Linotype"/>
          <w:color w:val="000000"/>
          <w:sz w:val="24"/>
          <w:szCs w:val="24"/>
        </w:rPr>
        <w:t xml:space="preserve">El veinte de mayo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rsidR="000B3114" w:rsidRDefault="00DE4D0B">
      <w:pPr>
        <w:widowControl w:val="0"/>
        <w:spacing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rsidR="000B3114" w:rsidRDefault="00DE4D0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 OPORTUNIDAD Y PROCEDIBILIDAD DEL RECURSO DE REVISIÓN</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remitió la respuesta a la solicitud de información el día </w:t>
      </w:r>
      <w:r>
        <w:rPr>
          <w:rFonts w:ascii="Palatino Linotype" w:eastAsia="Palatino Linotype" w:hAnsi="Palatino Linotype" w:cs="Palatino Linotype"/>
          <w:b/>
          <w:sz w:val="24"/>
          <w:szCs w:val="24"/>
        </w:rPr>
        <w:t xml:space="preserve">veintiuno de febrero de dos mil veintidós, </w:t>
      </w:r>
      <w:r>
        <w:rPr>
          <w:rFonts w:ascii="Palatino Linotype" w:eastAsia="Palatino Linotype" w:hAnsi="Palatino Linotype" w:cs="Palatino Linotype"/>
          <w:sz w:val="24"/>
          <w:szCs w:val="24"/>
        </w:rPr>
        <w:t xml:space="preserve">mientras que el recurso de revisión interpuesto por la parte </w:t>
      </w:r>
      <w:r>
        <w:rPr>
          <w:rFonts w:ascii="Palatino Linotype" w:eastAsia="Palatino Linotype" w:hAnsi="Palatino Linotype" w:cs="Palatino Linotype"/>
          <w:b/>
          <w:sz w:val="24"/>
          <w:szCs w:val="24"/>
        </w:rPr>
        <w:lastRenderedPageBreak/>
        <w:t>RECURRENTE</w:t>
      </w:r>
      <w:r>
        <w:rPr>
          <w:rFonts w:ascii="Palatino Linotype" w:eastAsia="Palatino Linotype" w:hAnsi="Palatino Linotype" w:cs="Palatino Linotype"/>
          <w:sz w:val="24"/>
          <w:szCs w:val="24"/>
        </w:rPr>
        <w:t xml:space="preserve">, se tuvo por presentado el día </w:t>
      </w:r>
      <w:r>
        <w:rPr>
          <w:rFonts w:ascii="Palatino Linotype" w:eastAsia="Palatino Linotype" w:hAnsi="Palatino Linotype" w:cs="Palatino Linotype"/>
          <w:b/>
          <w:sz w:val="24"/>
          <w:szCs w:val="24"/>
        </w:rPr>
        <w:t>tres de marzo de dos mil veintidós</w:t>
      </w:r>
      <w:r>
        <w:rPr>
          <w:rFonts w:ascii="Palatino Linotype" w:eastAsia="Palatino Linotype" w:hAnsi="Palatino Linotype" w:cs="Palatino Linotype"/>
          <w:sz w:val="24"/>
          <w:szCs w:val="24"/>
        </w:rPr>
        <w:t>; esto es, al séptimo día hábil en que tuvo conocimiento de la respuesta impugnada.</w:t>
      </w:r>
    </w:p>
    <w:p w:rsidR="000B3114" w:rsidRDefault="00DE4D0B">
      <w:pPr>
        <w:spacing w:before="240" w:after="240" w:line="360" w:lineRule="auto"/>
        <w:jc w:val="both"/>
        <w:rPr>
          <w:rFonts w:ascii="Palatino Linotype" w:eastAsia="Palatino Linotype" w:hAnsi="Palatino Linotype" w:cs="Palatino Linotype"/>
          <w:sz w:val="24"/>
          <w:szCs w:val="24"/>
        </w:rPr>
      </w:pPr>
      <w:bookmarkStart w:id="1" w:name="_heading=h.3znysh7" w:colFirst="0" w:colLast="0"/>
      <w:bookmarkEnd w:id="1"/>
      <w:r>
        <w:rPr>
          <w:rFonts w:ascii="Palatino Linotype" w:eastAsia="Palatino Linotype" w:hAnsi="Palatino Linotype" w:cs="Palatino Linotype"/>
          <w:sz w:val="24"/>
          <w:szCs w:val="24"/>
        </w:rPr>
        <w:t xml:space="preserve">Luego entonces, al considerar la fecha en que se formuló la solicitud y la fecha en que respondió a esta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la fecha en que se interpuso el recurso de revisión, se concluye que el presente recurso de revisión se encuentra dentro de los márgenes temporales previstos las disposiciones legales referidas.</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rsidR="000B3114" w:rsidRDefault="00DE4D0B">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sus razones o motivos de inconformidad, de acuerdo al artículo 179, fracción IV de la Ley de Transparencia y Acceso a la Información Pública del Estado de México y Municipios; que a la letra dice:</w:t>
      </w:r>
    </w:p>
    <w:p w:rsidR="000B3114" w:rsidRDefault="00DE4D0B">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rsidR="000B3114" w:rsidRDefault="00DE4D0B">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 xml:space="preserve">IV. La declaración de incompetencia por el sujeto obligado;” (Sic) </w:t>
      </w:r>
    </w:p>
    <w:p w:rsidR="000B3114" w:rsidRDefault="00DE4D0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w:t>
      </w:r>
      <w:r>
        <w:rPr>
          <w:rFonts w:ascii="Palatino Linotype" w:eastAsia="Palatino Linotype" w:hAnsi="Palatino Linotype" w:cs="Palatino Linotype"/>
          <w:sz w:val="24"/>
          <w:szCs w:val="24"/>
        </w:rPr>
        <w:lastRenderedPageBreak/>
        <w:t xml:space="preserve">que este Organismo Garante de Transparencia y Acceso a la Información se pronunciará será: verificar si la respuesta otorgada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adecuada y suficiente para satisfacer el derecho de acceso a la información pública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rsidR="000B3114" w:rsidRDefault="00DE4D0B">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color w:val="000000"/>
          <w:sz w:val="24"/>
          <w:szCs w:val="24"/>
        </w:rPr>
        <w:t xml:space="preserve">Del análisis de la solicitud de información, motivo del recurso de revisión que ahora se resuelve se advierte que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requirió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le proporcione, toda la información relacionada con el </w:t>
      </w:r>
      <w:r>
        <w:rPr>
          <w:rFonts w:ascii="Palatino Linotype" w:eastAsia="Palatino Linotype" w:hAnsi="Palatino Linotype" w:cs="Palatino Linotype"/>
          <w:b/>
          <w:i/>
          <w:color w:val="000000"/>
          <w:sz w:val="24"/>
          <w:szCs w:val="24"/>
        </w:rPr>
        <w:t>diferendo con el Municipio de Acolman por el asunto de límites territoriales.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Requiere</w:t>
      </w:r>
      <w:r>
        <w:rPr>
          <w:rFonts w:ascii="Palatino Linotype" w:eastAsia="Palatino Linotype" w:hAnsi="Palatino Linotype" w:cs="Palatino Linotype"/>
          <w:color w:val="000000"/>
          <w:sz w:val="24"/>
          <w:szCs w:val="24"/>
        </w:rPr>
        <w:t xml:space="preserve"> que el periodo de la información abarque del año 2000 a la fecha.</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En respuesta,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sz w:val="24"/>
          <w:szCs w:val="24"/>
        </w:rPr>
        <w:t xml:space="preserve">señaló en lo medular que no es competente para conocer de la información solicitada, orientando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competente es el Ayuntamiento de Acolman, proporcionando diversos links. </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Ante la respuesta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se inconformó en lo medular por la negativa de la información solicitada. </w:t>
      </w:r>
    </w:p>
    <w:p w:rsidR="000B3114" w:rsidRDefault="00DE4D0B">
      <w:pPr>
        <w:spacing w:before="240" w:after="240" w:line="360" w:lineRule="auto"/>
        <w:jc w:val="both"/>
        <w:rPr>
          <w:rFonts w:ascii="Palatino Linotype" w:eastAsia="Palatino Linotype" w:hAnsi="Palatino Linotype" w:cs="Palatino Linotype"/>
          <w:color w:val="FF9900"/>
          <w:sz w:val="24"/>
          <w:szCs w:val="24"/>
        </w:rPr>
      </w:pPr>
      <w:r>
        <w:rPr>
          <w:rFonts w:ascii="Palatino Linotype" w:eastAsia="Palatino Linotype" w:hAnsi="Palatino Linotype" w:cs="Palatino Linotype"/>
          <w:sz w:val="24"/>
          <w:szCs w:val="24"/>
        </w:rPr>
        <w:t xml:space="preserve">Una vez notificado el Recurso de Revisión,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rindió su informe justificado en donde señaló a través su </w:t>
      </w:r>
      <w:r>
        <w:rPr>
          <w:rFonts w:ascii="Palatino Linotype" w:eastAsia="Palatino Linotype" w:hAnsi="Palatino Linotype" w:cs="Palatino Linotype"/>
          <w:color w:val="000000"/>
          <w:sz w:val="24"/>
          <w:szCs w:val="24"/>
        </w:rPr>
        <w:t xml:space="preserve">Director de Desarrollo Urbano y Obras Públicas, que en referencia al diferendo limítrofe con el Municipio de Acolman, después de haber realizado una búsqueda exhaustiva  y razonable en los </w:t>
      </w:r>
      <w:r>
        <w:rPr>
          <w:rFonts w:ascii="Palatino Linotype" w:eastAsia="Palatino Linotype" w:hAnsi="Palatino Linotype" w:cs="Palatino Linotype"/>
          <w:color w:val="000000"/>
          <w:sz w:val="24"/>
          <w:szCs w:val="24"/>
        </w:rPr>
        <w:lastRenderedPageBreak/>
        <w:t xml:space="preserve">archivos de la subdirección de desarrollo urbano no se encontró información referente al tema solicitado </w:t>
      </w:r>
      <w:r>
        <w:rPr>
          <w:rFonts w:ascii="Palatino Linotype" w:eastAsia="Palatino Linotype" w:hAnsi="Palatino Linotype" w:cs="Palatino Linotype"/>
          <w:sz w:val="24"/>
          <w:szCs w:val="24"/>
        </w:rPr>
        <w:t>desde el año 2010.</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tal contexto, del análisis de las constancias que integran el expediente en que se actúa, así como de la materia sobre la que versa la solicitud de acceso a la información pública, se advierten que los motivos de inconformidad acontecen parcialmente fundados para revocar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razón de las consideraciones de derecho que a continuación se exponen:</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conveniente analizar si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B3114" w:rsidRDefault="00DE4D0B">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B3114" w:rsidRDefault="00DE4D0B">
      <w:pPr>
        <w:ind w:left="851" w:right="900"/>
        <w:jc w:val="both"/>
        <w:rPr>
          <w:rFonts w:ascii="Palatino Linotype" w:eastAsia="Palatino Linotype" w:hAnsi="Palatino Linotype" w:cs="Palatino Linotype"/>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w:t>
      </w:r>
      <w:r>
        <w:rPr>
          <w:rFonts w:ascii="Palatino Linotype" w:eastAsia="Palatino Linotype" w:hAnsi="Palatino Linotype" w:cs="Palatino Linotype"/>
          <w:i/>
        </w:rPr>
        <w:lastRenderedPageBreak/>
        <w:t>la materia, privilegiando el principio de máxima publicidad de la información. Solo podrá ser clasificada excepcionalmente como reservada temporalmente por razones de interés público, en los términos de las causas legítimas y estrictamente necesarias previstas por esta Ley.”(Sic)</w:t>
      </w:r>
    </w:p>
    <w:p w:rsidR="000B3114" w:rsidRDefault="00DE4D0B">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B3114" w:rsidRDefault="00DE4D0B">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0B3114" w:rsidRDefault="00DE4D0B">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Aunado a ello el artículo 24 de la Ley de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B3114" w:rsidRDefault="00DE4D0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sz w:val="24"/>
          <w:szCs w:val="24"/>
        </w:rPr>
        <w:t>cualquier otro registro que documente el ejercicio de las facultades, funciones y competencias de los Sujetos Obligados</w:t>
      </w:r>
      <w:r>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Pr>
          <w:rFonts w:ascii="Palatino Linotype" w:eastAsia="Palatino Linotype" w:hAnsi="Palatino Linotype" w:cs="Palatino Linotype"/>
        </w:rPr>
        <w:t xml:space="preserve"> </w:t>
      </w:r>
    </w:p>
    <w:p w:rsidR="000B3114" w:rsidRDefault="00DE4D0B">
      <w:pPr>
        <w:ind w:left="1276"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rsidR="000B3114" w:rsidRDefault="00DE4D0B">
      <w:pPr>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rsidR="000B3114" w:rsidRDefault="00DE4D0B">
      <w:pPr>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i/>
        </w:rPr>
        <w:lastRenderedPageBreak/>
        <w:t>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 (Sic)</w:t>
      </w:r>
    </w:p>
    <w:p w:rsidR="000B3114" w:rsidRDefault="00DE4D0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B3114" w:rsidRDefault="00DE4D0B">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rsidR="000B3114" w:rsidRDefault="00DE4D0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B3114" w:rsidRDefault="00DE4D0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rsidR="000B3114" w:rsidRDefault="00DE4D0B">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rsidR="000B3114" w:rsidRDefault="00DE4D0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0B3114" w:rsidRDefault="00DE4D0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3) Que se trate de información registrada en cualquier soporte documental, que en ejercicio de las atribuciones conferidas, se encuentre en posesión de los Sujetos Obligados.”(Sic)</w:t>
      </w:r>
    </w:p>
    <w:p w:rsidR="000B3114" w:rsidRDefault="000B3114">
      <w:pPr>
        <w:spacing w:line="360" w:lineRule="auto"/>
        <w:jc w:val="both"/>
        <w:rPr>
          <w:rFonts w:ascii="Palatino Linotype" w:eastAsia="Palatino Linotype" w:hAnsi="Palatino Linotype" w:cs="Palatino Linotype"/>
          <w:sz w:val="24"/>
          <w:szCs w:val="24"/>
        </w:rPr>
      </w:pPr>
    </w:p>
    <w:p w:rsidR="000B3114" w:rsidRDefault="00DE4D0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Con base en lo precedente</w:t>
      </w:r>
      <w:r>
        <w:rPr>
          <w:rFonts w:ascii="Palatino Linotype" w:eastAsia="Palatino Linotype" w:hAnsi="Palatino Linotype" w:cs="Palatino Linotype"/>
          <w:sz w:val="24"/>
          <w:szCs w:val="24"/>
        </w:rPr>
        <w:t>, se reitera que la información proporcionada por el Sujeto Obligado en su respuesta, no cumple con lo establecido por los artículos 4, 12, 24 último párrafo y 162 de la Ley de Transparencia y Acceso a la Información Pública del Estado de México y Municipios, de conformidad con los puntos siguientes:</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Respecto de la naturaleza de la información, es pertinente mencionar respecto de los límites territoriales que el artículo 112 de la Constitución Política del Estado Libre y Soberano del Estado de México, dispone lo siguiente:</w:t>
      </w:r>
    </w:p>
    <w:p w:rsidR="000B3114" w:rsidRDefault="00DE4D0B">
      <w:pPr>
        <w:spacing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“Artículo 112.- La base de la división territorial y de la organización política y administrativa del Estado, es el municipio libre. Las facultades que la Constitución de la República y el presente ordenamiento otorgan al gobierno municipal se ejercerá por el ayuntamiento de manera exclusiva y no habrá autoridad intermedia alguna entre éste y el gobierno del Estado.</w:t>
      </w:r>
    </w:p>
    <w:p w:rsidR="000B3114" w:rsidRDefault="00DE4D0B">
      <w:pPr>
        <w:spacing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Los municipios del Estado, su denominación y la de sus cabeceras, serán los que señale la ley de la materia.” (Sic)</w:t>
      </w:r>
    </w:p>
    <w:p w:rsidR="000B3114" w:rsidRDefault="000B3114">
      <w:pPr>
        <w:spacing w:after="120"/>
        <w:ind w:left="851" w:right="851"/>
        <w:jc w:val="both"/>
        <w:rPr>
          <w:rFonts w:ascii="Palatino Linotype" w:eastAsia="Palatino Linotype" w:hAnsi="Palatino Linotype" w:cs="Palatino Linotype"/>
          <w:i/>
        </w:rPr>
      </w:pP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 base a la disposición legal referida, el municipio tiene la libertad de establecer la base de su división territorial, ante ello viene a colación lo establecido por los artículos 4, 7 y 8 de la Ley Orgánica Municipal del Estado de México, los que disponen: </w:t>
      </w:r>
    </w:p>
    <w:p w:rsidR="000B3114" w:rsidRDefault="00DE4D0B">
      <w:pPr>
        <w:spacing w:after="120"/>
        <w:ind w:left="851" w:right="851"/>
        <w:jc w:val="both"/>
        <w:rPr>
          <w:rFonts w:ascii="Palatino Linotype" w:eastAsia="Palatino Linotype" w:hAnsi="Palatino Linotype" w:cs="Palatino Linotype"/>
          <w:b/>
          <w:i/>
          <w:highlight w:val="magenta"/>
        </w:rPr>
      </w:pPr>
      <w:r>
        <w:rPr>
          <w:rFonts w:ascii="Palatino Linotype" w:eastAsia="Palatino Linotype" w:hAnsi="Palatino Linotype" w:cs="Palatino Linotype"/>
          <w:i/>
        </w:rPr>
        <w:lastRenderedPageBreak/>
        <w:t xml:space="preserve">“Artículo 4.- La creación y supresión de municipios, la modificación de su territorio, cambios en su denominación o ubicación de sus cabeceras municipales, así como la solución de conflictos sobre límites intermunicipales, </w:t>
      </w:r>
      <w:r>
        <w:rPr>
          <w:rFonts w:ascii="Palatino Linotype" w:eastAsia="Palatino Linotype" w:hAnsi="Palatino Linotype" w:cs="Palatino Linotype"/>
          <w:b/>
          <w:i/>
        </w:rPr>
        <w:t>corresponden a la Legislatura del Estado.</w:t>
      </w:r>
    </w:p>
    <w:p w:rsidR="000B3114" w:rsidRDefault="00DE4D0B">
      <w:pPr>
        <w:spacing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Artículo 7.- La extensión territorial de los municipios del Estado, comprenderá la superficie y límites reconocidos para cada uno de ellos.” (Sic)</w:t>
      </w:r>
    </w:p>
    <w:p w:rsidR="000B3114" w:rsidRDefault="00DE4D0B">
      <w:pPr>
        <w:spacing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Artículo 8.- La división territorial de los municipios se integra por la cabecera municipal, y por las delegaciones, subdelegaciones, colonias, sectores y manzanas, con la denominación, extensión y límites que establezcan los ayuntamientos.” (Sic)</w:t>
      </w:r>
    </w:p>
    <w:p w:rsidR="000B3114" w:rsidRDefault="00DE4D0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procedente se advierte que la Legislatura del Estado de México, es la competente para la modificación de los territorios de los municipios del Estado de México, entre ellos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así como la solución de conflictos sobre diferendos limítrofes intermunicipales. </w:t>
      </w:r>
    </w:p>
    <w:p w:rsidR="000B3114" w:rsidRDefault="00DE4D0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contexto, se debe mencionar que la Legislatura del Estado de México es perteneciente al Poder Legislativo, quien a su vez cuenta con la Comisión de Límites del Gobierno del Estado de México, quien encuentra sus atribuciones en la </w:t>
      </w:r>
      <w:r>
        <w:rPr>
          <w:rFonts w:ascii="Palatino Linotype" w:eastAsia="Palatino Linotype" w:hAnsi="Palatino Linotype" w:cs="Palatino Linotype"/>
          <w:i/>
          <w:sz w:val="24"/>
          <w:szCs w:val="24"/>
        </w:rPr>
        <w:t xml:space="preserve">Ley Reglamentaria de Las Fracciones XXV y XXVI del Artículo 61 de la Constitución Política del Estado Libre y Soberano de México, </w:t>
      </w:r>
      <w:r>
        <w:rPr>
          <w:rFonts w:ascii="Palatino Linotype" w:eastAsia="Palatino Linotype" w:hAnsi="Palatino Linotype" w:cs="Palatino Linotype"/>
          <w:sz w:val="24"/>
          <w:szCs w:val="24"/>
        </w:rPr>
        <w:t>instrumento normativo que en sus artículos 19 fracciones I, III, VII yXI, y del 40 al 60, establece el procedimiento para la solución de diferendos limítrofes intermunicipales y faculta para conocer a la referida Comisión sobre los diferendos de límites territoriales, preceptos legales que se reproducen para resolver el asunto que nos ocupa.</w:t>
      </w:r>
    </w:p>
    <w:p w:rsidR="000B3114" w:rsidRDefault="000B3114">
      <w:pPr>
        <w:spacing w:line="360" w:lineRule="auto"/>
        <w:jc w:val="both"/>
        <w:rPr>
          <w:rFonts w:ascii="Palatino Linotype" w:eastAsia="Palatino Linotype" w:hAnsi="Palatino Linotype" w:cs="Palatino Linotype"/>
          <w:sz w:val="24"/>
          <w:szCs w:val="24"/>
        </w:rPr>
      </w:pP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Artículo 19.- Para el cumplimiento de su objetivo, la Comisión Estatal tendrá las atribuciones siguientes:</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 Emitir opinión técnica sobre la extensión y límites del Estado y de sus Municipios a solicitud expresa de la Legislatura o del titular del Poder Ejecutivo;</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III. Promover la celebración de convenios amistosos para resolver los problemas de límites entre sus municipios y el Estado con otras entidades federativas, a fin de que el Poder Legislativo cuente con argumentos para dictaminar sobre los mismos;</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VII. Preparar el expediente técnico que coadyuve para el arreglo de los límites del estado con otras entidades federativas o con sus municipios en los casos que se planteen diferencias en esta materia;</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XI. Emitir dictámenes técnicos en materia de diferendos limítrofes entre los municipios del Estado…</w:t>
      </w:r>
    </w:p>
    <w:p w:rsidR="000B3114" w:rsidRDefault="000B3114">
      <w:pPr>
        <w:spacing w:after="0" w:line="240" w:lineRule="auto"/>
        <w:ind w:left="567" w:right="539"/>
        <w:jc w:val="both"/>
        <w:rPr>
          <w:rFonts w:ascii="Palatino Linotype" w:eastAsia="Palatino Linotype" w:hAnsi="Palatino Linotype" w:cs="Palatino Linotype"/>
          <w:i/>
          <w:color w:val="000000"/>
        </w:rPr>
      </w:pPr>
    </w:p>
    <w:p w:rsidR="000B3114" w:rsidRDefault="00DE4D0B">
      <w:pPr>
        <w:spacing w:after="0" w:line="240" w:lineRule="auto"/>
        <w:ind w:left="567" w:right="53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Artículo 40.- Las diferencias que se susciten sobre límites municipales serán resueltas por el Poder Legislativo del Estado, con el apoyo de la Comisión Estatal de conformidad con las disposiciones de esta ley.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Artículo 41.- El procedimiento para la solución de diferendos limítrofes intermunicipales, podrá ser iniciado por el o los municipios interesados o por la propia Legislatura a través de alguno de sus diputados.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Artículo 42.- La solicitud en la que uno o más municipios demanden la intervención de la Legislatura para la solución de un diferendo limítrofe, deberá dirigirse al Presidente de la Legislatura y contener los siguientes requisitos: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 Deberá estar formulada por el presidente municipal y síndico del o los municipios solicitantes, señalando el domicilio del Ayuntamiento;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II. El nombre de los profesionales que se encuentren facultados para representar al municipio en el desarrollo del procedimiento;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III. El acuerdo de cabildo en el cual se autorice al Presidente Municipal solicitar la intervención de la Legislatura para la solución del diferendo;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IV. El nombre del municipio o municipios respecto de los cuales se solicite la solución del diferendo limítrofe; y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V. Una exposición de motivos en la que se precise de manera clara los planteamientos y disposiciones en que funden su pretensión.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Artículo 43. Una vez recibida la solicitud el Presidente de la Legislatura, la turnará a la Comisión Legislativa quien la radicará a través de un acuerdo, señalando día y hora </w:t>
      </w:r>
      <w:r>
        <w:rPr>
          <w:rFonts w:ascii="Palatino Linotype" w:eastAsia="Palatino Linotype" w:hAnsi="Palatino Linotype" w:cs="Palatino Linotype"/>
          <w:i/>
          <w:color w:val="000000"/>
        </w:rPr>
        <w:lastRenderedPageBreak/>
        <w:t xml:space="preserve">dentro de los treinta días hábiles siguientes para una audiencia en la que comparezcan los municipios involucrados a exponer sus argumentos respecto del diferendo. </w:t>
      </w:r>
    </w:p>
    <w:p w:rsidR="000B3114" w:rsidRDefault="00DE4D0B">
      <w:pPr>
        <w:spacing w:after="0" w:line="240" w:lineRule="auto"/>
        <w:ind w:left="567" w:right="539"/>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 xml:space="preserve">Artículo 44.- </w:t>
      </w:r>
      <w:r>
        <w:rPr>
          <w:rFonts w:ascii="Palatino Linotype" w:eastAsia="Palatino Linotype" w:hAnsi="Palatino Linotype" w:cs="Palatino Linotype"/>
          <w:b/>
          <w:i/>
          <w:color w:val="000000"/>
        </w:rPr>
        <w:t xml:space="preserve">La Comisión Legislativa notificará por oficio a los municipios involucrados en el domicilio de sus Ayuntamientos; el auto de radicación y la fecha de la audiencia, corriéndoles traslado a los municipios respecto de los cuales se solicite la solución del diferendo, con copias de la solicitud presentada por el municipio o municipios promoventes.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Artículo 45.- La audiencia ante la Comisión Legislativa se desarrollará de la manera siguiente manera: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 El Presidente de la Comisión Legislativa exhortará a los municipios a que lleguen a un acuerdo amistoso;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II. El municipio o municipios promoventes expresarán sus planteamientos en relación al motivo del diferendo limítrofe;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III. El municipio o municipios citados expresarán sus puntos de vista y sus argumentos en relación al hecho; y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IV. La Comisión Legislativa requerirá a los municipios involucrados para que en un plazo de 30 días hábiles posteriores a la audiencia remitan, todas las pruebas que consideren son suficientes para acreditar sus manifestaciones. Fuera de este término no será admitida probanza alguna</w:t>
      </w:r>
      <w:r>
        <w:rPr>
          <w:rFonts w:ascii="Palatino Linotype" w:eastAsia="Palatino Linotype" w:hAnsi="Palatino Linotype" w:cs="Palatino Linotype"/>
          <w:i/>
          <w:color w:val="000000"/>
        </w:rPr>
        <w:t xml:space="preserve">.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Artículo 46.- En el desahogo del procedimiento se admitirán toda clase de pruebas excepto la confesional, las que no tengan relación directa con el asunto, las que resulten inútiles para la decisión del caso y aquellas que sean contrarias a derecho.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Artículo 47. </w:t>
      </w:r>
      <w:r>
        <w:rPr>
          <w:rFonts w:ascii="Palatino Linotype" w:eastAsia="Palatino Linotype" w:hAnsi="Palatino Linotype" w:cs="Palatino Linotype"/>
          <w:b/>
          <w:i/>
          <w:color w:val="000000"/>
        </w:rPr>
        <w:t>Transcurrido el término establecido por la fracción IV del artículo 45</w:t>
      </w:r>
      <w:r>
        <w:rPr>
          <w:rFonts w:ascii="Palatino Linotype" w:eastAsia="Palatino Linotype" w:hAnsi="Palatino Linotype" w:cs="Palatino Linotype"/>
          <w:i/>
          <w:color w:val="000000"/>
        </w:rPr>
        <w:t xml:space="preserve"> de esta Ley, la Comisión Legislativa admitirá las pruebas dando vista con las mismas a los municipios interesados y </w:t>
      </w:r>
      <w:r>
        <w:rPr>
          <w:rFonts w:ascii="Palatino Linotype" w:eastAsia="Palatino Linotype" w:hAnsi="Palatino Linotype" w:cs="Palatino Linotype"/>
          <w:b/>
          <w:i/>
          <w:color w:val="000000"/>
        </w:rPr>
        <w:t>ordenará su desahogo dentro del término de 60 días hábiles,</w:t>
      </w:r>
      <w:r>
        <w:rPr>
          <w:rFonts w:ascii="Palatino Linotype" w:eastAsia="Palatino Linotype" w:hAnsi="Palatino Linotype" w:cs="Palatino Linotype"/>
          <w:i/>
          <w:color w:val="000000"/>
        </w:rPr>
        <w:t xml:space="preserve"> dentro de los cuales deberán realizarse todas las diligencias necesarias. </w:t>
      </w:r>
    </w:p>
    <w:p w:rsidR="000B3114" w:rsidRDefault="00DE4D0B">
      <w:pPr>
        <w:spacing w:after="0" w:line="240" w:lineRule="auto"/>
        <w:ind w:left="567" w:right="53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Artículo 48.- Una vez recibidas las pruebas de los municipios, la Comisión Legislativa podrá solicitar a la Comisión Estatal, emita un dictamen técnico en relación al diferendo.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Artículo 49.- En cualquier etapa del procedimiento la Comisión Legislativa podrá requerir a los municipios involucrados, los informes o aclaraciones que determine necesarios, así como decretar el desahogo de las diligencias probatorias para auxiliar a esclarecer el asunto.</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Artículo 50.- La Comisión Legislativa podrá solicitar los informes necesarios y estudios técnicos que estime pertinentes, a cualquier autoridad o institución, para allegarse de elementos que le permitan esclarecer el asunto. </w:t>
      </w:r>
    </w:p>
    <w:p w:rsidR="000B3114" w:rsidRDefault="000B3114">
      <w:pPr>
        <w:spacing w:after="0" w:line="240" w:lineRule="auto"/>
        <w:ind w:left="567" w:right="539"/>
        <w:jc w:val="both"/>
        <w:rPr>
          <w:rFonts w:ascii="Palatino Linotype" w:eastAsia="Palatino Linotype" w:hAnsi="Palatino Linotype" w:cs="Palatino Linotype"/>
          <w:i/>
          <w:color w:val="000000"/>
        </w:rPr>
      </w:pP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Artículo 51.- Para favorecer el desarrollo del procedimiento, la Comisión Legislativa podrá solicitar, a través del Gobernador el apoyo e intervención de cualquiera de las dependencias del Ejecutivo Estatal.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Artículo 52.- La Comisión Legislativa podrá establecer un proceso metodológico que al interior de la misma permita el fácil análisis de la documentación, pruebas y soportes que presenten las partes interesadas.</w:t>
      </w:r>
    </w:p>
    <w:p w:rsidR="000B3114" w:rsidRDefault="00DE4D0B">
      <w:pPr>
        <w:spacing w:after="0" w:line="240" w:lineRule="auto"/>
        <w:ind w:left="567" w:right="539"/>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Artículo 53. Una vez concluido el periodo de desahogo de pruebas</w:t>
      </w:r>
      <w:r>
        <w:rPr>
          <w:rFonts w:ascii="Palatino Linotype" w:eastAsia="Palatino Linotype" w:hAnsi="Palatino Linotype" w:cs="Palatino Linotype"/>
          <w:b/>
          <w:i/>
          <w:color w:val="000000"/>
        </w:rPr>
        <w:t xml:space="preserve">, dentro de los siguientes treinta días hábiles, la comisión legislativa se reunirá para analizar y valorar las manifestaciones y las probanzas ofrecidas por los municipios y en su caso las diligencias ordenadas por la misma procediendo a elaborar el dictamen correspondiente, el cual deberá contener: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 El nombre de los municipios involucrados;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II. Una exposición precisa del diferendo limítrofe analizado;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III. El análisis y valoración de las pruebas presentadas por los municipios involucrados;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IV. Los fundamentos y motivos que sustenten el dictamen; y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V. El plano topográfico en el que se señalará el cuadro de construcción del polígono definido en coordenadas UTM (Universal Transversa de Mercator). </w:t>
      </w:r>
    </w:p>
    <w:p w:rsidR="000B3114" w:rsidRDefault="00DE4D0B">
      <w:pPr>
        <w:spacing w:after="0" w:line="240" w:lineRule="auto"/>
        <w:ind w:left="567" w:right="53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Artículo 54.- Una vez aprobado el dictamen por parte de la comisión, será turnado al Presidente de la Legislatura para que este lo presente ante el pleno en la primera sesión del inicio del periodo siguiente para su discusión y en su caso aprobación.</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Artículo 55.- Aprobado el dictamen por el Pleno de la Legislatura, emitirá el decreto correspondiente, el cual deberá contener los siguientes requisitos:</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 El nombre de los municipios involucrados;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II. Una exposición precisa del diferendo limítrofe analizado;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III. El análisis y valoración de las pruebas presentadas por los municipios involucrados;</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IV. Los fundamentos y motivos que sustenten el dictamen;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V. Las conclusiones y puntos resolutivos;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VI. Los alcances y efectos del decreto, fijando con precisión, en su caso, los órganos obligados a cumplirlo; el acto o actos respecto de los cuales opere; la mención precisa de los límites, y todos aquellos elementos necesarios para su plena eficacia en el ámbito que corresponda;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VII. El término en el que se deba dar cumplimiento al Decreto; y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VIII. El plano topográfico en el que se señalará el cuadro de construcción del polígono definido en coordenadas UTM (Universal Transversa de Mercator). </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Artículo 56.- Dentro del plazo señalado en el decreto, la Legislatura instruirá a la Comisión Estatal para que vigile que los municipios realicen el establecimiento material de los señalamientos oficiales, así como el amojonamiento que fijen los límites físicos </w:t>
      </w:r>
      <w:r>
        <w:rPr>
          <w:rFonts w:ascii="Palatino Linotype" w:eastAsia="Palatino Linotype" w:hAnsi="Palatino Linotype" w:cs="Palatino Linotype"/>
          <w:i/>
          <w:color w:val="000000"/>
        </w:rPr>
        <w:lastRenderedPageBreak/>
        <w:t xml:space="preserve">territoriales, debiéndose levantar acta circunstanciada de dicha diligencia, la cual obrara en el expediente de la legislatura. </w:t>
      </w:r>
    </w:p>
    <w:p w:rsidR="000B3114" w:rsidRDefault="00DE4D0B">
      <w:pPr>
        <w:spacing w:after="0" w:line="240" w:lineRule="auto"/>
        <w:ind w:left="567" w:right="539"/>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 xml:space="preserve">Artículo 57.- </w:t>
      </w:r>
      <w:r>
        <w:rPr>
          <w:rFonts w:ascii="Palatino Linotype" w:eastAsia="Palatino Linotype" w:hAnsi="Palatino Linotype" w:cs="Palatino Linotype"/>
          <w:b/>
          <w:i/>
          <w:color w:val="000000"/>
        </w:rPr>
        <w:t>Las resoluciones de la Legislatura, por las que se ponga fin a los diferendos de límites intermunicipales y los convenios que sean aprobados por ésta no admitirán recurso o medio de defensa legal alguno.</w:t>
      </w: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Artículo 58.- A partir de la aprobación del decreto que resuelva los diferendos limítrofes, todas las autoridades están obligadas a realizar las adecuaciones necesarias en el ámbito de sus atribuciones, que permitan el cabal cumplimiento del decreto. </w:t>
      </w:r>
    </w:p>
    <w:p w:rsidR="000B3114" w:rsidRDefault="000B3114">
      <w:pPr>
        <w:spacing w:after="0" w:line="240" w:lineRule="auto"/>
        <w:ind w:left="567" w:right="539"/>
        <w:jc w:val="both"/>
        <w:rPr>
          <w:rFonts w:ascii="Palatino Linotype" w:eastAsia="Palatino Linotype" w:hAnsi="Palatino Linotype" w:cs="Palatino Linotype"/>
          <w:i/>
          <w:color w:val="000000"/>
        </w:rPr>
      </w:pP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Artículo 59. Los municipios involucrados en un término que no deberá exceder de 90 días hábiles a partir de la publicación del Decreto, realizarán trabajos conjuntos de amojonamiento y señalización sobre la línea limítrofe aportando cada uno el 50% de los gastos generados, informando a las comisiones Estatal y Legislativa. </w:t>
      </w:r>
    </w:p>
    <w:p w:rsidR="000B3114" w:rsidRDefault="000B3114">
      <w:pPr>
        <w:spacing w:after="0" w:line="240" w:lineRule="auto"/>
        <w:ind w:left="567" w:right="539"/>
        <w:jc w:val="both"/>
        <w:rPr>
          <w:rFonts w:ascii="Palatino Linotype" w:eastAsia="Palatino Linotype" w:hAnsi="Palatino Linotype" w:cs="Palatino Linotype"/>
          <w:i/>
          <w:color w:val="000000"/>
        </w:rPr>
      </w:pPr>
    </w:p>
    <w:p w:rsidR="000B3114" w:rsidRDefault="00DE4D0B">
      <w:pPr>
        <w:spacing w:after="0" w:line="240" w:lineRule="auto"/>
        <w:ind w:left="567" w:right="53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Artículo 60.- Los municipios con el objeto de preservar los límites intermunicipales tendrán un derecho de vía de 4 metros para cada lado a lo largo de toda la franja que una los territorios de cada municipio.” (Sic)</w:t>
      </w:r>
    </w:p>
    <w:p w:rsidR="000B3114" w:rsidRDefault="000B3114">
      <w:pPr>
        <w:spacing w:after="0" w:line="240" w:lineRule="auto"/>
        <w:ind w:right="539"/>
        <w:jc w:val="both"/>
        <w:rPr>
          <w:rFonts w:ascii="Palatino Linotype" w:eastAsia="Palatino Linotype" w:hAnsi="Palatino Linotype" w:cs="Palatino Linotype"/>
          <w:i/>
          <w:color w:val="000000"/>
        </w:rPr>
      </w:pPr>
    </w:p>
    <w:p w:rsidR="000B3114" w:rsidRDefault="000B3114">
      <w:pPr>
        <w:spacing w:after="0" w:line="240" w:lineRule="auto"/>
        <w:ind w:right="539"/>
        <w:jc w:val="both"/>
        <w:rPr>
          <w:rFonts w:ascii="Palatino Linotype" w:eastAsia="Palatino Linotype" w:hAnsi="Palatino Linotype" w:cs="Palatino Linotype"/>
          <w:i/>
          <w:color w:val="000000"/>
        </w:rPr>
      </w:pPr>
    </w:p>
    <w:p w:rsidR="000B3114" w:rsidRDefault="00DE4D0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los preceptos legales anteriores, también se advierte que la Comisión referida deberá hacer del conocimiento de la resolución que emita la legislatura que ponga fin al </w:t>
      </w:r>
      <w:r>
        <w:rPr>
          <w:rFonts w:ascii="Palatino Linotype" w:eastAsia="Palatino Linotype" w:hAnsi="Palatino Linotype" w:cs="Palatino Linotype"/>
          <w:b/>
          <w:i/>
          <w:color w:val="000000"/>
        </w:rPr>
        <w:t>diferendo de límite intermunicipales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sz w:val="24"/>
          <w:szCs w:val="24"/>
        </w:rPr>
        <w:t xml:space="preserve">a los municipios involucrados, para que estos dentro del término que no exceda de noventa días hábiles siguientes a la publicación del decreto, den cumplimiento a esté, lo cual deberá ser informado por los municipios involucrados a la Comisión Estatal y Legislativa. </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Determinado lo anterior se procedió a la búsqueda de la información solicitada encontrándose una nota periodística en la página electrónica o web del Sol de Toluca</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 en donde se puede leer lo siguiente:</w:t>
      </w:r>
    </w:p>
    <w:p w:rsidR="000B3114" w:rsidRDefault="00DE4D0B">
      <w:pPr>
        <w:spacing w:before="240" w:after="240" w:line="360" w:lineRule="auto"/>
        <w:jc w:val="both"/>
        <w:rPr>
          <w:rFonts w:ascii="Palatino Linotype" w:eastAsia="Palatino Linotype" w:hAnsi="Palatino Linotype" w:cs="Palatino Linotype"/>
          <w:sz w:val="24"/>
          <w:szCs w:val="24"/>
        </w:rPr>
      </w:pPr>
      <w:r>
        <w:rPr>
          <w:noProof/>
          <w:lang w:eastAsia="es-MX"/>
        </w:rPr>
        <w:lastRenderedPageBreak/>
        <w:drawing>
          <wp:inline distT="0" distB="0" distL="0" distR="0">
            <wp:extent cx="5581598" cy="2188497"/>
            <wp:effectExtent l="0" t="0" r="0" b="0"/>
            <wp:docPr id="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6604" t="30231" r="41915" b="19072"/>
                    <a:stretch>
                      <a:fillRect/>
                    </a:stretch>
                  </pic:blipFill>
                  <pic:spPr>
                    <a:xfrm>
                      <a:off x="0" y="0"/>
                      <a:ext cx="5581598" cy="2188497"/>
                    </a:xfrm>
                    <a:prstGeom prst="rect">
                      <a:avLst/>
                    </a:prstGeom>
                    <a:ln/>
                  </pic:spPr>
                </pic:pic>
              </a:graphicData>
            </a:graphic>
          </wp:inline>
        </w:drawing>
      </w:r>
    </w:p>
    <w:p w:rsidR="000B3114" w:rsidRDefault="00DE4D0B">
      <w:pPr>
        <w:spacing w:before="240" w:after="240" w:line="360" w:lineRule="auto"/>
        <w:jc w:val="both"/>
        <w:rPr>
          <w:rFonts w:ascii="Palatino Linotype" w:eastAsia="Palatino Linotype" w:hAnsi="Palatino Linotype" w:cs="Palatino Linotype"/>
          <w:sz w:val="24"/>
          <w:szCs w:val="24"/>
        </w:rPr>
      </w:pPr>
      <w:r>
        <w:rPr>
          <w:noProof/>
          <w:lang w:eastAsia="es-MX"/>
        </w:rPr>
        <w:drawing>
          <wp:inline distT="0" distB="0" distL="0" distR="0">
            <wp:extent cx="5478755" cy="4586581"/>
            <wp:effectExtent l="0" t="0" r="0" b="0"/>
            <wp:docPr id="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6605" t="19574" r="40930" b="9925"/>
                    <a:stretch>
                      <a:fillRect/>
                    </a:stretch>
                  </pic:blipFill>
                  <pic:spPr>
                    <a:xfrm>
                      <a:off x="0" y="0"/>
                      <a:ext cx="5478755" cy="4586581"/>
                    </a:xfrm>
                    <a:prstGeom prst="rect">
                      <a:avLst/>
                    </a:prstGeom>
                    <a:ln/>
                  </pic:spPr>
                </pic:pic>
              </a:graphicData>
            </a:graphic>
          </wp:inline>
        </w:drawing>
      </w:r>
    </w:p>
    <w:p w:rsidR="000B3114" w:rsidRDefault="00DE4D0B">
      <w:pPr>
        <w:spacing w:before="240" w:after="240" w:line="360" w:lineRule="auto"/>
        <w:jc w:val="both"/>
        <w:rPr>
          <w:rFonts w:ascii="Palatino Linotype" w:eastAsia="Palatino Linotype" w:hAnsi="Palatino Linotype" w:cs="Palatino Linotype"/>
          <w:sz w:val="24"/>
          <w:szCs w:val="24"/>
          <w:highlight w:val="yellow"/>
        </w:rPr>
      </w:pPr>
      <w:r>
        <w:rPr>
          <w:noProof/>
          <w:lang w:eastAsia="es-MX"/>
        </w:rPr>
        <w:lastRenderedPageBreak/>
        <w:drawing>
          <wp:inline distT="0" distB="0" distL="0" distR="0">
            <wp:extent cx="5555086" cy="3687964"/>
            <wp:effectExtent l="0" t="0" r="0" b="0"/>
            <wp:docPr id="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6969" t="19139" r="42650"/>
                    <a:stretch>
                      <a:fillRect/>
                    </a:stretch>
                  </pic:blipFill>
                  <pic:spPr>
                    <a:xfrm>
                      <a:off x="0" y="0"/>
                      <a:ext cx="5555086" cy="3687964"/>
                    </a:xfrm>
                    <a:prstGeom prst="rect">
                      <a:avLst/>
                    </a:prstGeom>
                    <a:ln/>
                  </pic:spPr>
                </pic:pic>
              </a:graphicData>
            </a:graphic>
          </wp:inline>
        </w:drawing>
      </w:r>
    </w:p>
    <w:p w:rsidR="000B3114" w:rsidRDefault="00DE4D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 base a lo anterior, podemos concluir que la existencia de un diferendo limítrofe entre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con el ayuntamiento de Acolman, sirve de sustento a lo anterior </w:t>
      </w:r>
      <w:r>
        <w:rPr>
          <w:rFonts w:ascii="Palatino Linotype" w:eastAsia="Palatino Linotype" w:hAnsi="Palatino Linotype" w:cs="Palatino Linotype"/>
          <w:color w:val="000000"/>
          <w:sz w:val="24"/>
          <w:szCs w:val="24"/>
        </w:rPr>
        <w:t>las siguientes tesis jurisprudenciales</w:t>
      </w:r>
      <w:r>
        <w:rPr>
          <w:rFonts w:ascii="Palatino Linotype" w:eastAsia="Palatino Linotype" w:hAnsi="Palatino Linotype" w:cs="Palatino Linotype"/>
          <w:sz w:val="24"/>
          <w:szCs w:val="24"/>
        </w:rPr>
        <w:t>:</w:t>
      </w:r>
    </w:p>
    <w:p w:rsidR="000B3114" w:rsidRDefault="000B3114">
      <w:pPr>
        <w:spacing w:line="360" w:lineRule="auto"/>
        <w:ind w:left="567" w:right="616"/>
        <w:jc w:val="center"/>
        <w:rPr>
          <w:rFonts w:ascii="Palatino Linotype" w:eastAsia="Palatino Linotype" w:hAnsi="Palatino Linotype" w:cs="Palatino Linotype"/>
          <w:b/>
          <w:i/>
        </w:rPr>
      </w:pPr>
    </w:p>
    <w:p w:rsidR="000B3114" w:rsidRDefault="00DE4D0B">
      <w:pPr>
        <w:spacing w:after="0" w:line="240" w:lineRule="auto"/>
        <w:ind w:left="567" w:right="616"/>
        <w:jc w:val="center"/>
        <w:rPr>
          <w:rFonts w:ascii="Palatino Linotype" w:eastAsia="Palatino Linotype" w:hAnsi="Palatino Linotype" w:cs="Palatino Linotype"/>
          <w:b/>
          <w:i/>
        </w:rPr>
      </w:pPr>
      <w:r>
        <w:rPr>
          <w:rFonts w:ascii="Palatino Linotype" w:eastAsia="Palatino Linotype" w:hAnsi="Palatino Linotype" w:cs="Palatino Linotype"/>
          <w:b/>
          <w:i/>
        </w:rPr>
        <w:t>“HECHOS NOTORIOS. CONCEPTOS GENERAL Y JURÍDICO</w:t>
      </w:r>
    </w:p>
    <w:p w:rsidR="000B3114" w:rsidRDefault="00DE4D0B">
      <w:pPr>
        <w:spacing w:after="0" w:line="24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 xml:space="preserve">Conforme al artículo </w:t>
      </w:r>
      <w:hyperlink r:id="rId16">
        <w:r>
          <w:rPr>
            <w:rFonts w:ascii="Palatino Linotype" w:eastAsia="Palatino Linotype" w:hAnsi="Palatino Linotype" w:cs="Palatino Linotype"/>
            <w:b/>
            <w:i/>
          </w:rPr>
          <w:t>88 del Código Federal de Procedimientos Civiles</w:t>
        </w:r>
      </w:hyperlink>
      <w:r>
        <w:rPr>
          <w:rFonts w:ascii="Palatino Linotype" w:eastAsia="Palatino Linotype" w:hAnsi="Palatino Linotype" w:cs="Palatino Linotype"/>
          <w:b/>
          <w:i/>
        </w:rPr>
        <w:t xml:space="preserve"> los tribunales pueden invocar hechos notorios aunque no hayan sido alegados ni probados por las partes.</w:t>
      </w:r>
      <w:r>
        <w:rPr>
          <w:rFonts w:ascii="Palatino Linotype" w:eastAsia="Palatino Linotype" w:hAnsi="Palatino Linotype" w:cs="Palatino Linotype"/>
          <w:i/>
        </w:rPr>
        <w:t xml:space="preserve"> Por hechos notorios deben entenderse, en general, aquellos que por el conocimiento humano se consideran ciertos e indiscutibles, ya sea que pertenezcan a la historia, a la ciencia, a la naturaleza</w:t>
      </w:r>
      <w:r>
        <w:rPr>
          <w:rFonts w:ascii="Palatino Linotype" w:eastAsia="Palatino Linotype" w:hAnsi="Palatino Linotype" w:cs="Palatino Linotype"/>
          <w:b/>
          <w:i/>
        </w:rPr>
        <w:t>, a las vicisitudes de la vida pública actual o a circunstancias comúnmente conocidas en un determinado lugar</w:t>
      </w:r>
      <w:r>
        <w:rPr>
          <w:rFonts w:ascii="Palatino Linotype" w:eastAsia="Palatino Linotype" w:hAnsi="Palatino Linotype" w:cs="Palatino Linotype"/>
          <w:i/>
        </w:rPr>
        <w:t xml:space="preserve">, </w:t>
      </w:r>
      <w:r>
        <w:rPr>
          <w:rFonts w:ascii="Palatino Linotype" w:eastAsia="Palatino Linotype" w:hAnsi="Palatino Linotype" w:cs="Palatino Linotype"/>
          <w:b/>
          <w:i/>
        </w:rPr>
        <w:t>de modo que toda persona de ese medio esté en condiciones de saberlo</w:t>
      </w:r>
      <w:r>
        <w:rPr>
          <w:rFonts w:ascii="Palatino Linotype" w:eastAsia="Palatino Linotype" w:hAnsi="Palatino Linotype" w:cs="Palatino Linotype"/>
          <w:i/>
        </w:rPr>
        <w:t xml:space="preserve">; y desde el punto de vista jurídico, hecho notorio es cualquier acontecimiento de dominio público conocido por todos o casi todos los miembros de un círculo social en el momento </w:t>
      </w:r>
      <w:r>
        <w:rPr>
          <w:rFonts w:ascii="Palatino Linotype" w:eastAsia="Palatino Linotype" w:hAnsi="Palatino Linotype" w:cs="Palatino Linotype"/>
          <w:i/>
        </w:rPr>
        <w:lastRenderedPageBreak/>
        <w:t>en que va a pronunciarse la decisión judicial, respecto del cual no hay duda ni discusión; de manera que al ser notorio la ley exime de su prueba, por ser del conocimiento público en el medio social donde ocurrió o donde se tramita el procedimiento.</w:t>
      </w:r>
    </w:p>
    <w:p w:rsidR="000B3114" w:rsidRDefault="000B3114">
      <w:pPr>
        <w:spacing w:after="0" w:line="240" w:lineRule="auto"/>
        <w:ind w:left="567" w:right="616"/>
        <w:rPr>
          <w:rFonts w:ascii="Palatino Linotype" w:eastAsia="Palatino Linotype" w:hAnsi="Palatino Linotype" w:cs="Palatino Linotype"/>
          <w:i/>
        </w:rPr>
      </w:pPr>
    </w:p>
    <w:p w:rsidR="000B3114" w:rsidRDefault="00DE4D0B">
      <w:pPr>
        <w:spacing w:after="0" w:line="24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Controversia constitucional 24/2005. Cámara de Diputados del Congreso de la Unión. 9 de marzo de 2006. Once votos. Ponente: José Ramón Cossío Díaz. Secretarios: Raúl Manuel Mejía Garza y Laura Patricia Rojas Zamudio.</w:t>
      </w:r>
    </w:p>
    <w:p w:rsidR="000B3114" w:rsidRDefault="00DE4D0B">
      <w:pPr>
        <w:spacing w:after="0" w:line="24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El Tribunal Pleno, el dieciséis de mayo en curso, aprobó, con el número 74/2006, la tesis jurisprudencial que antecede. México, Distrito Federal, a dieciséis de mayo de dos mil seis.</w:t>
      </w:r>
    </w:p>
    <w:p w:rsidR="000B3114" w:rsidRDefault="00DE4D0B">
      <w:pPr>
        <w:spacing w:after="0" w:line="24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Nota: Esta tesis fue objeto de la denuncia relativa a la contradicción de tesis 91/2014, desechada por notoriamente improcedente, mediante acuerdo de 24 de marzo de 2014.”</w:t>
      </w:r>
    </w:p>
    <w:p w:rsidR="000B3114" w:rsidRDefault="000B3114">
      <w:pPr>
        <w:spacing w:line="240" w:lineRule="auto"/>
        <w:ind w:left="567" w:right="616"/>
        <w:jc w:val="both"/>
        <w:rPr>
          <w:rFonts w:ascii="Palatino Linotype" w:eastAsia="Palatino Linotype" w:hAnsi="Palatino Linotype" w:cs="Palatino Linotype"/>
          <w:i/>
        </w:rPr>
      </w:pPr>
    </w:p>
    <w:p w:rsidR="000B3114" w:rsidRDefault="00DE4D0B">
      <w:pPr>
        <w:widowControl w:val="0"/>
        <w:pBdr>
          <w:top w:val="nil"/>
          <w:left w:val="nil"/>
          <w:bottom w:val="nil"/>
          <w:right w:val="nil"/>
          <w:between w:val="nil"/>
        </w:pBdr>
        <w:shd w:val="clear" w:color="auto" w:fill="FFFFFF"/>
        <w:spacing w:after="120" w:line="24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PÁGINAS WEB O ELECTRÓNICAS. SU CONTENIDO ES UN HECHO NOTORIO Y SUSCEPTIBLE DE SER VALORADO EN UNA DECISIÓN JUDICIAL.</w:t>
      </w:r>
      <w:r>
        <w:rPr>
          <w:color w:val="000000"/>
        </w:rPr>
        <w:t xml:space="preserve"> </w:t>
      </w:r>
      <w:r>
        <w:rPr>
          <w:rFonts w:ascii="Palatino Linotype" w:eastAsia="Palatino Linotype" w:hAnsi="Palatino Linotype" w:cs="Palatino Linotype"/>
          <w:i/>
          <w:color w:val="000000"/>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Mardygras, S.A. de C.V. 7 de diciembre de 2012. Unanimidad de votos. Ponente: Neófito López Ramos. Secretaria: Ana Lilia Osorno Arroyo. HECHO NOTORIO. LO CONSTITUYEN LOS DATOS QUE APARECEN EN LAS PÁGINAS </w:t>
      </w:r>
      <w:r>
        <w:rPr>
          <w:rFonts w:ascii="Palatino Linotype" w:eastAsia="Palatino Linotype" w:hAnsi="Palatino Linotype" w:cs="Palatino Linotype"/>
          <w:i/>
          <w:color w:val="000000"/>
        </w:rPr>
        <w:lastRenderedPageBreak/>
        <w:t>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Pag.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 (Sic)</w:t>
      </w:r>
    </w:p>
    <w:p w:rsidR="000B3114" w:rsidRDefault="00DE4D0B">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Luego entonces el Ayuntamiento de Ecatepec de Morelos deberá hacer de nuevo una búsqueda exhaustiva y razonable en términos del artículo 162 de la Ley de la Materia, que señala:</w:t>
      </w:r>
    </w:p>
    <w:p w:rsidR="000B3114" w:rsidRDefault="000B3114">
      <w:pPr>
        <w:spacing w:after="0" w:line="360" w:lineRule="auto"/>
        <w:ind w:right="51"/>
        <w:jc w:val="both"/>
        <w:rPr>
          <w:rFonts w:ascii="Palatino Linotype" w:eastAsia="Palatino Linotype" w:hAnsi="Palatino Linotype" w:cs="Palatino Linotype"/>
          <w:sz w:val="24"/>
          <w:szCs w:val="24"/>
        </w:rPr>
      </w:pPr>
    </w:p>
    <w:p w:rsidR="000B3114" w:rsidRDefault="00DE4D0B">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rsidR="000B3114" w:rsidRDefault="00DE4D0B">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Ya que una de las áreas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de manera enunciativa más no limitativa que no se pronunció fue la Presidencia Municipal y Sindicatura, en términos del artículo 6 de la Ley Reglamentaria de las Fracciones XXV y XXVI del Artículo 61 de la Constitución Política del Estado Libre y Soberano de México, que señala:</w:t>
      </w:r>
    </w:p>
    <w:p w:rsidR="000B3114" w:rsidRDefault="00DE4D0B">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6. </w:t>
      </w:r>
      <w:r>
        <w:rPr>
          <w:rFonts w:ascii="Palatino Linotype" w:eastAsia="Palatino Linotype" w:hAnsi="Palatino Linotype" w:cs="Palatino Linotype"/>
          <w:b/>
          <w:i/>
        </w:rPr>
        <w:t>En la substanciación de los procedimientos que establece esta ley</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los municipios serán representados por las personas titulares de la </w:t>
      </w:r>
      <w:r>
        <w:rPr>
          <w:rFonts w:ascii="Palatino Linotype" w:eastAsia="Palatino Linotype" w:hAnsi="Palatino Linotype" w:cs="Palatino Linotype"/>
          <w:b/>
          <w:i/>
          <w:u w:val="single"/>
        </w:rPr>
        <w:t>Presidencia Municipal y la Sindicatura del Ayuntamiento</w:t>
      </w:r>
      <w:r>
        <w:rPr>
          <w:rFonts w:ascii="Palatino Linotype" w:eastAsia="Palatino Linotype" w:hAnsi="Palatino Linotype" w:cs="Palatino Linotype"/>
          <w:i/>
        </w:rPr>
        <w:t xml:space="preserve"> correspondiente, sin que puedan delegar esta representación.</w:t>
      </w:r>
    </w:p>
    <w:p w:rsidR="000B3114" w:rsidRDefault="00DE4D0B">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Los procedimientos para la creación o supresión y fijación o precisión de los límites municipales se regirán bajo los principios de sencillez, celeridad, colaboración, publicidad, gratuidad y buena fe.”(Sic)</w:t>
      </w:r>
    </w:p>
    <w:p w:rsidR="000B3114" w:rsidRDefault="000B3114">
      <w:pPr>
        <w:spacing w:after="0" w:line="360" w:lineRule="auto"/>
        <w:ind w:right="51"/>
        <w:jc w:val="both"/>
        <w:rPr>
          <w:rFonts w:ascii="Palatino Linotype" w:eastAsia="Palatino Linotype" w:hAnsi="Palatino Linotype" w:cs="Palatino Linotype"/>
          <w:i/>
          <w:color w:val="FF0000"/>
          <w:sz w:val="30"/>
          <w:szCs w:val="30"/>
        </w:rPr>
      </w:pPr>
    </w:p>
    <w:p w:rsidR="000B3114" w:rsidRDefault="00DE4D0B">
      <w:pPr>
        <w:spacing w:after="0" w:line="360" w:lineRule="auto"/>
        <w:ind w:right="51"/>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Luego entonces la manifestación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través </w:t>
      </w:r>
      <w:r>
        <w:rPr>
          <w:rFonts w:ascii="Palatino Linotype" w:eastAsia="Palatino Linotype" w:hAnsi="Palatino Linotype" w:cs="Palatino Linotype"/>
          <w:color w:val="000000"/>
          <w:sz w:val="24"/>
          <w:szCs w:val="24"/>
        </w:rPr>
        <w:t>Director de Desarrollo Urbano y Obras Públicas, efectivamente no es competente para conocer de la información requerida, lo que se robustece con lo señalado por el artículo 54 y 57 del Bando Municipal del Ayuntamiento de Ecatepec de Morelos, que señalan:</w:t>
      </w:r>
    </w:p>
    <w:p w:rsidR="000B3114" w:rsidRDefault="00DE4D0B">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“Artículo 54. La Dirección de Desarrollo Urbano y Obras Públicas tendrá las funciones de planeación, programación, presupuestación, ejecución, supervisión y conservación de las obras públicas municipales y los servicios relacionados con las mismas, llevando el control y vigilancia de estas, conforme a lo establecido en la Ley Orgánica Municipal del Estado de México, el Libro Décimo Segundo del Código Administrativo del Estado de México y su Reglamento, el presente Bando Municipal y demás ordenamientos legales aplicables vigentes. Tratándose de recursos Federales, cuando la normatividad así lo indique, se aplicará la Ley de Obras Públicas y Servicios Relacionados con las Mismas</w:t>
      </w:r>
    </w:p>
    <w:p w:rsidR="000B3114" w:rsidRDefault="00DE4D0B">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rsidR="000B3114" w:rsidRDefault="00DE4D0B">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57. En materia de urbanismo, la Dirección de Desarrollo Urbano y Obras Públicas de conformidad con las disposiciones jurídicas aplicables, así como en relación al Plan Municipal de Desarrollo Urbano, tendrá la facultad de: a. Controlar y supervisar el desarrollo de los asentamientos humanos, incluyendo los que sean sujetos al régimen condominal; </w:t>
      </w:r>
    </w:p>
    <w:p w:rsidR="000B3114" w:rsidRDefault="00DE4D0B">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b. Tramitar los cambios de uso de suelo, de densidad e intensidad y altura de las edificaciones, autorizar las licencias de construcción, licencias de uso de suelo y permisos de anuncios que tengan por objeto promocionar o publicitar un bien o servicio de acuerdo al reglamento interno vigente; </w:t>
      </w:r>
    </w:p>
    <w:p w:rsidR="000B3114" w:rsidRDefault="00DE4D0B">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c. Supervisar coordinadamente con las autoridades correspondientes, la ejecución de la infraestructura primaría y equipamiento de los fraccionamientos, conjuntos urbanos, subdivisiones y lotificaciones en condominio autorizados por el Gobierno del Estado de México.” (Sic)</w:t>
      </w:r>
    </w:p>
    <w:p w:rsidR="000B3114" w:rsidRDefault="000B3114">
      <w:pPr>
        <w:ind w:left="851" w:right="899"/>
        <w:jc w:val="both"/>
        <w:rPr>
          <w:rFonts w:ascii="Palatino Linotype" w:eastAsia="Palatino Linotype" w:hAnsi="Palatino Linotype" w:cs="Palatino Linotype"/>
          <w:i/>
        </w:rPr>
      </w:pPr>
    </w:p>
    <w:p w:rsidR="000B3114" w:rsidRDefault="00DE4D0B">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consiguiente,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rsidR="000B3114" w:rsidRDefault="00DE4D0B">
      <w:pPr>
        <w:spacing w:before="80" w:after="240"/>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lastRenderedPageBreak/>
        <w:t xml:space="preserve">“Congruencia y exhaustividad. Sus alcances para garantizar el derecho de acceso a la información. </w:t>
      </w:r>
      <w:r>
        <w:rPr>
          <w:rFonts w:ascii="Palatino Linotype" w:eastAsia="Palatino Linotype" w:hAnsi="Palatino Linotype" w:cs="Palatino Linotype"/>
          <w:i/>
          <w:color w:val="00000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rPr>
        <w:t xml:space="preserve">; mientras que </w:t>
      </w:r>
      <w:r>
        <w:rPr>
          <w:rFonts w:ascii="Palatino Linotype" w:eastAsia="Palatino Linotype" w:hAnsi="Palatino Linotype" w:cs="Palatino Linotype"/>
          <w:b/>
          <w:i/>
          <w:color w:val="000000"/>
        </w:rPr>
        <w:t>la exhaustividad significa que dicha respuesta se refiera expresamente a cada uno de los puntos solicitados</w:t>
      </w:r>
      <w:r>
        <w:rPr>
          <w:rFonts w:ascii="Palatino Linotype" w:eastAsia="Palatino Linotype" w:hAnsi="Palatino Linotype" w:cs="Palatino Linotype"/>
          <w:i/>
          <w:color w:val="000000"/>
        </w:rPr>
        <w:t>. Por lo anterior, los sujetos obligados cumplirán con los principios de congruencia y exhaustividad, cuando las respuestas que emitan guarden una relación lógica con lo solicitado y atiendan de manera puntual y expresa, cada uno de los contenidos de información.”(Sic)</w:t>
      </w:r>
    </w:p>
    <w:p w:rsidR="000B3114" w:rsidRDefault="000B3114">
      <w:pPr>
        <w:spacing w:after="0" w:line="360" w:lineRule="auto"/>
        <w:ind w:right="51"/>
        <w:jc w:val="both"/>
        <w:rPr>
          <w:rFonts w:ascii="Palatino Linotype" w:eastAsia="Palatino Linotype" w:hAnsi="Palatino Linotype" w:cs="Palatino Linotype"/>
          <w:sz w:val="24"/>
          <w:szCs w:val="24"/>
        </w:rPr>
      </w:pPr>
    </w:p>
    <w:p w:rsidR="000B3114" w:rsidRDefault="00DE4D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Razones por las cuales lo procedente es ordenar la entrega de toda la información relacionada con el diferendo con el Municipio de Acolman por el asunto de límites territoriales desde primero de enero del año 2000 al dieciocho de febrero del año 2022, y en versión pública de acuerdo a lo señalado por el considerando quinto del presente fallo. </w:t>
      </w:r>
    </w:p>
    <w:p w:rsidR="000B3114" w:rsidRDefault="000B3114">
      <w:pPr>
        <w:spacing w:after="0" w:line="360" w:lineRule="auto"/>
        <w:jc w:val="both"/>
        <w:rPr>
          <w:rFonts w:ascii="Palatino Linotype" w:eastAsia="Palatino Linotype" w:hAnsi="Palatino Linotype" w:cs="Palatino Linotype"/>
          <w:sz w:val="24"/>
          <w:szCs w:val="24"/>
        </w:rPr>
      </w:pPr>
    </w:p>
    <w:p w:rsidR="000B3114" w:rsidRDefault="00DE4D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el supuesto de que la información que se ordena aún este en proceso; es decir, que no ha causado estado,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deberá estarse a lo siguiente:</w:t>
      </w:r>
    </w:p>
    <w:p w:rsidR="000B3114" w:rsidRDefault="000B3114">
      <w:pPr>
        <w:spacing w:line="360" w:lineRule="auto"/>
        <w:jc w:val="both"/>
        <w:rPr>
          <w:rFonts w:ascii="Palatino Linotype" w:eastAsia="Palatino Linotype" w:hAnsi="Palatino Linotype" w:cs="Palatino Linotype"/>
          <w:sz w:val="24"/>
          <w:szCs w:val="24"/>
        </w:rPr>
      </w:pPr>
    </w:p>
    <w:p w:rsidR="000B3114" w:rsidRDefault="00DE4D0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importante destacar que conforme a lo previsto en los artículos 6, apartado A, fracción I, de la Constitución Política de los Estados Unidos Mexicanos y 5, fracción I, de la Constitución Política del Estado Libre y Soberano de México, toda la información en posesión de cualquier autoridad, entidad, órgano y organismos de </w:t>
      </w:r>
      <w:r>
        <w:rPr>
          <w:rFonts w:ascii="Palatino Linotype" w:eastAsia="Palatino Linotype" w:hAnsi="Palatino Linotype" w:cs="Palatino Linotype"/>
          <w:sz w:val="24"/>
          <w:szCs w:val="24"/>
        </w:rPr>
        <w:lastRenderedPageBreak/>
        <w:t>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B3114" w:rsidRDefault="00DE4D0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todo lo anterior, la reserva de la información implica una clasificación, la cual debe entenderse como el proceso mediante el cual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determina que la información en su poder actualizar alguno de los supuestos de reserva o confidencialidad, de conformidad con las normas aplicables.</w:t>
      </w:r>
    </w:p>
    <w:p w:rsidR="000B3114" w:rsidRDefault="00DE4D0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ahí que, en lo que concierne a la información clasificada como reservada la Ley de Transparencia vigente en nuestra entidad establece en su artículo 140 una serie de hipótesis en las cuales radica la posibilidad de tal clasificación de información, que son:</w:t>
      </w:r>
    </w:p>
    <w:p w:rsidR="000B3114" w:rsidRDefault="00DE4D0B">
      <w:pPr>
        <w:spacing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Artículo 140.</w:t>
      </w:r>
      <w:r>
        <w:rPr>
          <w:rFonts w:ascii="Palatino Linotype" w:eastAsia="Palatino Linotype" w:hAnsi="Palatino Linotype" w:cs="Palatino Linotype"/>
          <w:i/>
        </w:rPr>
        <w:t xml:space="preserve"> El acceso a la información pública será restringido excepcionalmente, cuando por razones de interés público, ésta sea clasificada como reservada, conforme a los criterios siguientes: </w:t>
      </w:r>
    </w:p>
    <w:p w:rsidR="000B3114" w:rsidRDefault="00DE4D0B">
      <w:pPr>
        <w:spacing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Comprometa la seguridad pública y cuente con un propósito genuino y un efecto demostrable; </w:t>
      </w:r>
    </w:p>
    <w:p w:rsidR="000B3114" w:rsidRDefault="00DE4D0B">
      <w:pPr>
        <w:spacing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Pueda menoscabar la conducción de las negociaciones y relaciones internacionales; </w:t>
      </w:r>
    </w:p>
    <w:p w:rsidR="000B3114" w:rsidRDefault="00DE4D0B">
      <w:pPr>
        <w:spacing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III.</w:t>
      </w:r>
      <w:r>
        <w:rPr>
          <w:rFonts w:ascii="Palatino Linotype" w:eastAsia="Palatino Linotype" w:hAnsi="Palatino Linotype" w:cs="Palatino Linotype"/>
          <w:i/>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0B3114" w:rsidRDefault="00DE4D0B">
      <w:pPr>
        <w:spacing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xml:space="preserve"> Ponga en riesgo la vida, la seguridad o la salud de una persona física; </w:t>
      </w:r>
    </w:p>
    <w:p w:rsidR="000B3114" w:rsidRDefault="00DE4D0B">
      <w:pPr>
        <w:spacing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w:t>
      </w:r>
      <w:r>
        <w:rPr>
          <w:rFonts w:ascii="Palatino Linotype" w:eastAsia="Palatino Linotype" w:hAnsi="Palatino Linotype" w:cs="Palatino Linotype"/>
          <w:i/>
        </w:rPr>
        <w:t xml:space="preserve">. Aquella cuya divulgación obstruya o pueda causar un serio perjuicio a: </w:t>
      </w:r>
    </w:p>
    <w:p w:rsidR="000B3114" w:rsidRDefault="00DE4D0B">
      <w:pPr>
        <w:spacing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1.</w:t>
      </w:r>
      <w:r>
        <w:rPr>
          <w:rFonts w:ascii="Palatino Linotype" w:eastAsia="Palatino Linotype" w:hAnsi="Palatino Linotype" w:cs="Palatino Linotype"/>
          <w:i/>
        </w:rPr>
        <w:t xml:space="preserve"> Las actividades de fiscalización, verificación, inspección, comprobación y auditoría sobre el cumplimiento de las Leyes; o </w:t>
      </w:r>
    </w:p>
    <w:p w:rsidR="000B3114" w:rsidRDefault="00DE4D0B">
      <w:pPr>
        <w:spacing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2.</w:t>
      </w:r>
      <w:r>
        <w:rPr>
          <w:rFonts w:ascii="Palatino Linotype" w:eastAsia="Palatino Linotype" w:hAnsi="Palatino Linotype" w:cs="Palatino Linotype"/>
          <w:i/>
        </w:rPr>
        <w:t xml:space="preserve"> La recaudación de las contribuciones. </w:t>
      </w:r>
    </w:p>
    <w:p w:rsidR="000B3114" w:rsidRDefault="00DE4D0B">
      <w:pPr>
        <w:spacing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VI.</w:t>
      </w:r>
      <w:r>
        <w:rPr>
          <w:rFonts w:ascii="Palatino Linotype" w:eastAsia="Palatino Linotype" w:hAnsi="Palatino Linotype" w:cs="Palatino Linotype"/>
          <w:i/>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0B3114" w:rsidRDefault="00DE4D0B">
      <w:pPr>
        <w:spacing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VII</w:t>
      </w:r>
      <w:r>
        <w:rPr>
          <w:rFonts w:ascii="Palatino Linotype" w:eastAsia="Palatino Linotype" w:hAnsi="Palatino Linotype" w:cs="Palatino Linotype"/>
          <w:i/>
        </w:rPr>
        <w:t xml:space="preserve">. La que contengan las opiniones, recomendaciones o puntos de vista que formen parte del proceso deliberativo de los servidores públicos, hasta en tanto sea adoptada la decisión definitiva, la cual deberá estar documentada; </w:t>
      </w:r>
    </w:p>
    <w:p w:rsidR="000B3114" w:rsidRDefault="00DE4D0B">
      <w:pPr>
        <w:spacing w:after="120"/>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VIII. Vulnere la conducción de los expedientes judiciales o de los procedimientos administrativos seguidos en forma de juicio, en tanto no hayan quedado firmes; </w:t>
      </w:r>
    </w:p>
    <w:p w:rsidR="000B3114" w:rsidRDefault="00DE4D0B">
      <w:pPr>
        <w:spacing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IX.</w:t>
      </w:r>
      <w:r>
        <w:rPr>
          <w:rFonts w:ascii="Palatino Linotype" w:eastAsia="Palatino Linotype" w:hAnsi="Palatino Linotype" w:cs="Palatino Linotype"/>
          <w:i/>
        </w:rPr>
        <w:t xml:space="preserve"> Se encuentre contenida dentro de las investigaciones de hechos que la Ley señale como delitos y se tramiten ante el Ministerio Público; </w:t>
      </w:r>
    </w:p>
    <w:p w:rsidR="000B3114" w:rsidRDefault="00DE4D0B">
      <w:pPr>
        <w:spacing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w:t>
      </w:r>
      <w:r>
        <w:rPr>
          <w:rFonts w:ascii="Palatino Linotype" w:eastAsia="Palatino Linotype" w:hAnsi="Palatino Linotype" w:cs="Palatino Linotype"/>
          <w:i/>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0B3114" w:rsidRDefault="00DE4D0B">
      <w:pPr>
        <w:spacing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Cuando se trate de información sobre estudios y proyectos cuya divulgación pueda causar daños al interés del Estado o suponga un riesgo para su </w:t>
      </w:r>
      <w:r>
        <w:rPr>
          <w:rFonts w:ascii="Palatino Linotype" w:eastAsia="Palatino Linotype" w:hAnsi="Palatino Linotype" w:cs="Palatino Linotype"/>
          <w:i/>
        </w:rPr>
        <w:lastRenderedPageBreak/>
        <w:t xml:space="preserve">realización,siempre que esté directamente relacionado con procesos o procedimientos administrativos o judiciales que no hayan quedado firmes; y </w:t>
      </w:r>
    </w:p>
    <w:p w:rsidR="000B3114" w:rsidRDefault="00DE4D0B">
      <w:pPr>
        <w:spacing w:after="120"/>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XI.</w:t>
      </w:r>
      <w:r>
        <w:rPr>
          <w:rFonts w:ascii="Palatino Linotype" w:eastAsia="Palatino Linotype" w:hAnsi="Palatino Linotype" w:cs="Palatino Linotype"/>
          <w:i/>
        </w:rPr>
        <w:t xml:space="preserve"> Las que por disposición expresa de una ley tengan tal carácter, siempre que sean acordes con las bases, principios y disposiciones establecidos en esta Ley y no la contravengan; así como las previstas en tratados internacionales.” (Sic)</w:t>
      </w:r>
    </w:p>
    <w:p w:rsidR="000B3114" w:rsidRDefault="000B3114">
      <w:pPr>
        <w:spacing w:line="360" w:lineRule="auto"/>
        <w:jc w:val="both"/>
        <w:rPr>
          <w:rFonts w:ascii="Palatino Linotype" w:eastAsia="Palatino Linotype" w:hAnsi="Palatino Linotype" w:cs="Palatino Linotype"/>
          <w:sz w:val="24"/>
          <w:szCs w:val="24"/>
        </w:rPr>
      </w:pPr>
    </w:p>
    <w:p w:rsidR="000B3114" w:rsidRDefault="00DE4D0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Del precepto legal antes referido, se advierte que la Ley de Transparencia vigente en nuestra entidad establece que la información pública será restringida excepcionalmente cuando por razones de interés público, ésta sea clasificada como reservada, estableciendo una serie de supuestos entre los que se encuentran cuando afecte o vulnere la conducción o los derechos del debido proceso en los procedimientos judiciales o administrativos, incluidos los expedientes judiciales en tanto no hayan quedado firmes, hasta en tanto sea adoptada la decisión definitiva</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la cual deberá estar documentada, o el daño que pueda producirse con la publicación de la información sea mayor al interés público, siempre y cuando esté directamente relacionado con procesos o procedimientos administrativos o judiciales que no hayan quedado firmes.</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Una vez precisado lo anterior, se procede a realizar los siguientes cuestionamientos para determinar la procedencia de la entrega de la información requerida por el recurrente.</w:t>
      </w:r>
    </w:p>
    <w:p w:rsidR="000B3114" w:rsidRDefault="00DE4D0B">
      <w:pPr>
        <w:spacing w:before="240"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Primera cuestión: ¿Pueden ser restringidos los Principios establecidos en el artículo 6 de la Constitución Federal respecto del derecho de acceso a la información?</w:t>
      </w:r>
    </w:p>
    <w:p w:rsidR="000B3114" w:rsidRDefault="000B3114">
      <w:pPr>
        <w:spacing w:after="0" w:line="360" w:lineRule="auto"/>
        <w:jc w:val="both"/>
        <w:rPr>
          <w:rFonts w:ascii="Palatino Linotype" w:eastAsia="Palatino Linotype" w:hAnsi="Palatino Linotype" w:cs="Palatino Linotype"/>
          <w:sz w:val="24"/>
          <w:szCs w:val="24"/>
        </w:rPr>
      </w:pPr>
    </w:p>
    <w:p w:rsidR="000B3114" w:rsidRDefault="00DE4D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El artículo 6 de la Constitución General de la República, establece una serie de principios y bases sobre las cuales se erige el reconocimiento y ejercicio del derecho humano del acceso a la información pública. </w:t>
      </w:r>
    </w:p>
    <w:p w:rsidR="000B3114" w:rsidRDefault="000B3114">
      <w:pPr>
        <w:spacing w:line="360" w:lineRule="auto"/>
        <w:jc w:val="both"/>
        <w:rPr>
          <w:rFonts w:ascii="Palatino Linotype" w:eastAsia="Palatino Linotype" w:hAnsi="Palatino Linotype" w:cs="Palatino Linotype"/>
          <w:sz w:val="24"/>
          <w:szCs w:val="24"/>
        </w:rPr>
      </w:pPr>
    </w:p>
    <w:p w:rsidR="000B3114" w:rsidRDefault="00DE4D0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En este sentido, en la fracción I del citado artículo, establece que es pública la información que posea cualquier ente estatal, con </w:t>
      </w:r>
      <w:r>
        <w:rPr>
          <w:rFonts w:ascii="Palatino Linotype" w:eastAsia="Palatino Linotype" w:hAnsi="Palatino Linotype" w:cs="Palatino Linotype"/>
          <w:b/>
          <w:color w:val="000000"/>
          <w:sz w:val="24"/>
          <w:szCs w:val="24"/>
        </w:rPr>
        <w:t>excepción de reserva temporal</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por razón de interés público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en los términos que fijen las leyes;</w:t>
      </w:r>
      <w:r>
        <w:rPr>
          <w:rFonts w:ascii="Palatino Linotype" w:eastAsia="Palatino Linotype" w:hAnsi="Palatino Linotype" w:cs="Palatino Linotype"/>
          <w:color w:val="000000"/>
          <w:sz w:val="24"/>
          <w:szCs w:val="24"/>
        </w:rPr>
        <w:t xml:space="preserve"> y en la fracción segunda se ordena, que la referente a la vida privada y datos personales, sea protegida.</w:t>
      </w:r>
    </w:p>
    <w:p w:rsidR="000B3114" w:rsidRDefault="000B311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0B3114" w:rsidRDefault="00DE4D0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lo tanto, se puede determinar que, a rango constitucional </w:t>
      </w:r>
      <w:r>
        <w:rPr>
          <w:rFonts w:ascii="Palatino Linotype" w:eastAsia="Palatino Linotype" w:hAnsi="Palatino Linotype" w:cs="Palatino Linotype"/>
          <w:b/>
          <w:color w:val="000000"/>
          <w:sz w:val="24"/>
          <w:szCs w:val="24"/>
        </w:rPr>
        <w:t xml:space="preserve">el ejercicio del poder público debe operar bajo la máxima publicidad y accesibilidad, </w:t>
      </w:r>
      <w:r>
        <w:rPr>
          <w:rFonts w:ascii="Palatino Linotype" w:eastAsia="Palatino Linotype" w:hAnsi="Palatino Linotype" w:cs="Palatino Linotype"/>
          <w:b/>
          <w:sz w:val="24"/>
          <w:szCs w:val="24"/>
        </w:rPr>
        <w:t>sólo</w:t>
      </w:r>
      <w:r>
        <w:rPr>
          <w:rFonts w:ascii="Palatino Linotype" w:eastAsia="Palatino Linotype" w:hAnsi="Palatino Linotype" w:cs="Palatino Linotype"/>
          <w:b/>
          <w:color w:val="000000"/>
          <w:sz w:val="24"/>
          <w:szCs w:val="24"/>
        </w:rPr>
        <w:t xml:space="preserve"> limitada por circunstancias específicas establecidas por la ley</w:t>
      </w:r>
      <w:r>
        <w:rPr>
          <w:rFonts w:ascii="Palatino Linotype" w:eastAsia="Palatino Linotype" w:hAnsi="Palatino Linotype" w:cs="Palatino Linotype"/>
          <w:color w:val="000000"/>
          <w:sz w:val="24"/>
          <w:szCs w:val="24"/>
        </w:rPr>
        <w:t>, y que pudieran implicar que la divulgación de la información atente contra los derechos de terceros o la protección de la seguridad nacional, el orden público, la salud o moral públicas.</w:t>
      </w:r>
    </w:p>
    <w:p w:rsidR="000B3114" w:rsidRDefault="000B311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0B3114" w:rsidRDefault="00DE4D0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tenemos que como sucede con el ejercicio de otros derechos fundamentales, </w:t>
      </w:r>
      <w:r>
        <w:rPr>
          <w:rFonts w:ascii="Palatino Linotype" w:eastAsia="Palatino Linotype" w:hAnsi="Palatino Linotype" w:cs="Palatino Linotype"/>
          <w:b/>
          <w:sz w:val="24"/>
          <w:szCs w:val="24"/>
          <w:u w:val="single"/>
        </w:rPr>
        <w:t>el derecho al acceso a la información, se encuentra sujeto a determinadas restricciones; sin embargo, a efecto de no ser excesivas, que lleguen al grado de anular el ejercicio del derecho fundamental, están condicionadas a diversos aspectos,</w:t>
      </w:r>
      <w:r>
        <w:rPr>
          <w:rFonts w:ascii="Palatino Linotype" w:eastAsia="Palatino Linotype" w:hAnsi="Palatino Linotype" w:cs="Palatino Linotype"/>
          <w:sz w:val="24"/>
          <w:szCs w:val="24"/>
        </w:rPr>
        <w:t xml:space="preserve"> de modo que, como lo indica la propia Convención Americana de Derechos Humanos en su artículo 13.2, para que una restricción al derecho a la información pública pueda ser aplicable, debe demostrarse que ha cumplido con las </w:t>
      </w:r>
      <w:r>
        <w:rPr>
          <w:rFonts w:ascii="Palatino Linotype" w:eastAsia="Palatino Linotype" w:hAnsi="Palatino Linotype" w:cs="Palatino Linotype"/>
          <w:sz w:val="24"/>
          <w:szCs w:val="24"/>
        </w:rPr>
        <w:lastRenderedPageBreak/>
        <w:t>condiciones de: i)</w:t>
      </w:r>
      <w:r>
        <w:rPr>
          <w:rFonts w:ascii="Palatino Linotype" w:eastAsia="Palatino Linotype" w:hAnsi="Palatino Linotype" w:cs="Palatino Linotype"/>
          <w:i/>
          <w:sz w:val="24"/>
          <w:szCs w:val="24"/>
        </w:rPr>
        <w:t>carácter excepcional, ii) consagración legal, iii) objetivos legítimos, iii) necesidad y proporcionalidad.</w:t>
      </w:r>
    </w:p>
    <w:p w:rsidR="000B3114" w:rsidRDefault="00DE4D0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Respecto de estas excepciones, la </w:t>
      </w:r>
      <w:r>
        <w:rPr>
          <w:rFonts w:ascii="Palatino Linotype" w:eastAsia="Palatino Linotype" w:hAnsi="Palatino Linotype" w:cs="Palatino Linotype"/>
          <w:b/>
          <w:sz w:val="24"/>
          <w:szCs w:val="24"/>
        </w:rPr>
        <w:t xml:space="preserve">Corte Interamericana al resolver el </w:t>
      </w:r>
      <w:r>
        <w:rPr>
          <w:rFonts w:ascii="Palatino Linotype" w:eastAsia="Palatino Linotype" w:hAnsi="Palatino Linotype" w:cs="Palatino Linotype"/>
          <w:b/>
          <w:i/>
          <w:sz w:val="24"/>
          <w:szCs w:val="24"/>
        </w:rPr>
        <w:t>Caso de Clade Reyes y Otros (sentencia del 19 de septiembre de 2006)</w:t>
      </w:r>
      <w:r>
        <w:rPr>
          <w:rFonts w:ascii="Palatino Linotype" w:eastAsia="Palatino Linotype" w:hAnsi="Palatino Linotype" w:cs="Palatino Linotype"/>
          <w:sz w:val="24"/>
          <w:szCs w:val="24"/>
        </w:rPr>
        <w:t xml:space="preserve">  preciso que,  el establecimiento de </w:t>
      </w:r>
      <w:r>
        <w:rPr>
          <w:rFonts w:ascii="Palatino Linotype" w:eastAsia="Palatino Linotype" w:hAnsi="Palatino Linotype" w:cs="Palatino Linotype"/>
          <w:b/>
          <w:sz w:val="24"/>
          <w:szCs w:val="24"/>
          <w:u w:val="single"/>
        </w:rPr>
        <w:t>restricciones al derecho de acceso a la información bajo control del Estado, a través de la práctica de las autoridades, sin cumplimiento de los requisitos establecidos en la Convención Americana, crea un campo fértil para la actuación discrecional y arbitraria en la clasificación de informaciones como secretas, reservadas</w:t>
      </w:r>
      <w:r>
        <w:rPr>
          <w:rFonts w:ascii="Palatino Linotype" w:eastAsia="Palatino Linotype" w:hAnsi="Palatino Linotype" w:cs="Palatino Linotype"/>
          <w:sz w:val="24"/>
          <w:szCs w:val="24"/>
        </w:rPr>
        <w:t xml:space="preserve"> o confidenciales y genera inseguridad jurídica respecto del ejercicio de dicho derecho, así como del alcance de las facultades estatales para restringirlo; es por ello que, en atención al principio de máxima divulgación, toda excepción que precisen los entes públicos debe sujetarse a  una serie de parámetros jurídicos. </w:t>
      </w:r>
    </w:p>
    <w:p w:rsidR="000B3114" w:rsidRDefault="00DE4D0B">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Además, en la misma sentencia el tribunal interamericano puntualizó que la ley debe garantizar un acceso a la información pública que sea efectivo y lo más amplio posible, además de que, </w:t>
      </w:r>
      <w:r>
        <w:rPr>
          <w:rFonts w:ascii="Palatino Linotype" w:eastAsia="Palatino Linotype" w:hAnsi="Palatino Linotype" w:cs="Palatino Linotype"/>
          <w:b/>
          <w:sz w:val="24"/>
          <w:szCs w:val="24"/>
          <w:u w:val="single"/>
        </w:rPr>
        <w:t xml:space="preserve">en caso de contemplar excepciones, éstas no deben convertirse en la práctica en la regla general, sino deben ser la excepción sujetas a estudios casuísticos. </w:t>
      </w:r>
    </w:p>
    <w:p w:rsidR="000B3114" w:rsidRDefault="000B3114">
      <w:pPr>
        <w:spacing w:after="0" w:line="360" w:lineRule="auto"/>
        <w:jc w:val="both"/>
        <w:rPr>
          <w:rFonts w:ascii="Palatino Linotype" w:eastAsia="Palatino Linotype" w:hAnsi="Palatino Linotype" w:cs="Palatino Linotype"/>
          <w:sz w:val="24"/>
          <w:szCs w:val="24"/>
        </w:rPr>
      </w:pPr>
    </w:p>
    <w:p w:rsidR="000B3114" w:rsidRDefault="00DE4D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esa medida, la Relatoría para la Libertad de Expresión de la Comisión Interamericana de Derechos Humanos, </w:t>
      </w:r>
      <w:r>
        <w:rPr>
          <w:rFonts w:ascii="Palatino Linotype" w:eastAsia="Palatino Linotype" w:hAnsi="Palatino Linotype" w:cs="Palatino Linotype"/>
          <w:b/>
          <w:sz w:val="24"/>
          <w:szCs w:val="24"/>
        </w:rPr>
        <w:t xml:space="preserve">ha sostenido que las limitaciones impuestas al derecho de acceso a la información, como cualquier otra limitación </w:t>
      </w:r>
      <w:r>
        <w:rPr>
          <w:rFonts w:ascii="Palatino Linotype" w:eastAsia="Palatino Linotype" w:hAnsi="Palatino Linotype" w:cs="Palatino Linotype"/>
          <w:b/>
          <w:sz w:val="24"/>
          <w:szCs w:val="24"/>
        </w:rPr>
        <w:lastRenderedPageBreak/>
        <w:t>que se imponga a cualquiera de las derivaciones del derecho a la libertad de expresión, deben ser necesarias en una sociedad democrática para satisfacer un interés público imperativo; debiendo escoger la que restrinja en menor escala el derecho protegido</w:t>
      </w:r>
      <w:r>
        <w:rPr>
          <w:rFonts w:ascii="Palatino Linotype" w:eastAsia="Palatino Linotype" w:hAnsi="Palatino Linotype" w:cs="Palatino Linotype"/>
          <w:sz w:val="24"/>
          <w:szCs w:val="24"/>
        </w:rPr>
        <w:t>, y observando que ésta:  (i) sea conducente para alcanzar su logro, (ii) sea proporcional al interés que la justifica, e (iii) interfiera en la menor medida posible en el ejercicio efectivo del derecho.</w:t>
      </w:r>
    </w:p>
    <w:p w:rsidR="000B3114" w:rsidRDefault="000B3114">
      <w:pPr>
        <w:spacing w:line="360" w:lineRule="auto"/>
        <w:jc w:val="both"/>
        <w:rPr>
          <w:rFonts w:ascii="Palatino Linotype" w:eastAsia="Palatino Linotype" w:hAnsi="Palatino Linotype" w:cs="Palatino Linotype"/>
          <w:sz w:val="24"/>
          <w:szCs w:val="24"/>
        </w:rPr>
      </w:pPr>
    </w:p>
    <w:p w:rsidR="000B3114" w:rsidRDefault="00DE4D0B">
      <w:pPr>
        <w:spacing w:line="360" w:lineRule="auto"/>
        <w:jc w:val="both"/>
        <w:rPr>
          <w:rFonts w:ascii="Palatino Linotype" w:eastAsia="Palatino Linotype" w:hAnsi="Palatino Linotype" w:cs="Palatino Linotype"/>
          <w:b/>
          <w:sz w:val="24"/>
          <w:szCs w:val="24"/>
          <w:u w:val="single"/>
        </w:rPr>
      </w:pPr>
      <w:r>
        <w:rPr>
          <w:rFonts w:ascii="Palatino Linotype" w:eastAsia="Palatino Linotype" w:hAnsi="Palatino Linotype" w:cs="Palatino Linotype"/>
          <w:sz w:val="24"/>
          <w:szCs w:val="24"/>
        </w:rPr>
        <w:t xml:space="preserve">De esta forma, del principio de máxima publicidad tanto en el ámbito internos como en la óptica internacional, deriva el que </w:t>
      </w:r>
      <w:r>
        <w:rPr>
          <w:rFonts w:ascii="Palatino Linotype" w:eastAsia="Palatino Linotype" w:hAnsi="Palatino Linotype" w:cs="Palatino Linotype"/>
          <w:b/>
          <w:sz w:val="24"/>
          <w:szCs w:val="24"/>
          <w:u w:val="single"/>
        </w:rPr>
        <w:t xml:space="preserve">las normas que limitan el derecho de acceso a la información deben ser interpretadas de manera restrictiva y que toda limitación debe estar debidamente sujeta a una serie de parámetros con los cuales se permita determinar la menor limitación posible al derecho de acceso. </w:t>
      </w:r>
    </w:p>
    <w:p w:rsidR="000B3114" w:rsidRDefault="000B3114">
      <w:pPr>
        <w:spacing w:before="160" w:after="0" w:line="360" w:lineRule="auto"/>
        <w:ind w:right="51"/>
        <w:jc w:val="both"/>
        <w:rPr>
          <w:rFonts w:ascii="Palatino Linotype" w:eastAsia="Palatino Linotype" w:hAnsi="Palatino Linotype" w:cs="Palatino Linotype"/>
          <w:sz w:val="24"/>
          <w:szCs w:val="24"/>
        </w:rPr>
      </w:pPr>
    </w:p>
    <w:p w:rsidR="000B3114" w:rsidRDefault="00DE4D0B">
      <w:pPr>
        <w:spacing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Segunda cuestión: ¿Cuál es el marco legal que contempla el conjunto de limitaciones excepcionales al Derecho de Acceso a la información Pública en México en los casos en concreto?</w:t>
      </w:r>
    </w:p>
    <w:p w:rsidR="000B3114" w:rsidRDefault="00DE4D0B">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Bajo este panorama, en congruencia con el marco constitucional y convencional, la Ley General de Transparencia y de forma equivalente la Ley de Transparencia y Acceso a la Información Pública del Estado de México y Municipios, establecen dos supuestos bajo los cuales una autoridad del estado puede restringir el Derecho de acceso a la información pública ejercido por los particulares, dichas hipótesis de </w:t>
      </w:r>
      <w:r>
        <w:rPr>
          <w:rFonts w:ascii="Palatino Linotype" w:eastAsia="Palatino Linotype" w:hAnsi="Palatino Linotype" w:cs="Palatino Linotype"/>
          <w:color w:val="000000"/>
          <w:sz w:val="24"/>
          <w:szCs w:val="24"/>
        </w:rPr>
        <w:lastRenderedPageBreak/>
        <w:t>restricción las podemos delimitar en dos conjuntos, el primero como información: “</w:t>
      </w:r>
      <w:r>
        <w:rPr>
          <w:rFonts w:ascii="Palatino Linotype" w:eastAsia="Palatino Linotype" w:hAnsi="Palatino Linotype" w:cs="Palatino Linotype"/>
          <w:b/>
          <w:color w:val="000000"/>
          <w:sz w:val="24"/>
          <w:szCs w:val="24"/>
        </w:rPr>
        <w:t>Confidencial”</w:t>
      </w:r>
      <w:r>
        <w:rPr>
          <w:rFonts w:ascii="Palatino Linotype" w:eastAsia="Palatino Linotype" w:hAnsi="Palatino Linotype" w:cs="Palatino Linotype"/>
          <w:color w:val="000000"/>
          <w:sz w:val="24"/>
          <w:szCs w:val="24"/>
        </w:rPr>
        <w:t xml:space="preserve"> y el segundo como información “</w:t>
      </w:r>
      <w:r>
        <w:rPr>
          <w:rFonts w:ascii="Palatino Linotype" w:eastAsia="Palatino Linotype" w:hAnsi="Palatino Linotype" w:cs="Palatino Linotype"/>
          <w:b/>
          <w:color w:val="000000"/>
          <w:sz w:val="24"/>
          <w:szCs w:val="24"/>
        </w:rPr>
        <w:t>Reservada</w:t>
      </w:r>
      <w:r>
        <w:rPr>
          <w:rFonts w:ascii="Palatino Linotype" w:eastAsia="Palatino Linotype" w:hAnsi="Palatino Linotype" w:cs="Palatino Linotype"/>
          <w:color w:val="000000"/>
          <w:sz w:val="24"/>
          <w:szCs w:val="24"/>
        </w:rPr>
        <w:t xml:space="preserve">”.  </w:t>
      </w:r>
    </w:p>
    <w:p w:rsidR="000B3114" w:rsidRDefault="000B3114">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p>
    <w:p w:rsidR="000B3114" w:rsidRDefault="00DE4D0B">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este sentido, para proteger la vida privada y los datos personales –considerados como uno de los límites constitucionalmente legítimos–</w:t>
      </w:r>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color w:val="000000"/>
          <w:sz w:val="24"/>
          <w:szCs w:val="24"/>
        </w:rPr>
        <w:t>el artículo 116 de la legislación general reproducido de forma simétrica en el análogo 143 de ley local en la materia, se establece como criterio de clasificación el de “</w:t>
      </w:r>
      <w:r>
        <w:rPr>
          <w:rFonts w:ascii="Palatino Linotype" w:eastAsia="Palatino Linotype" w:hAnsi="Palatino Linotype" w:cs="Palatino Linotype"/>
          <w:b/>
          <w:color w:val="000000"/>
          <w:sz w:val="24"/>
          <w:szCs w:val="24"/>
        </w:rPr>
        <w:t>información confidencial</w:t>
      </w:r>
      <w:r>
        <w:rPr>
          <w:rFonts w:ascii="Palatino Linotype" w:eastAsia="Palatino Linotype" w:hAnsi="Palatino Linotype" w:cs="Palatino Linotype"/>
          <w:color w:val="000000"/>
          <w:sz w:val="24"/>
          <w:szCs w:val="24"/>
        </w:rPr>
        <w:t xml:space="preserve">”, el cual restringe el acceso a la información pública que contenga datos personales o haga referencia a la vida privada de una persona física que requieran el consentimiento de estos para su difusión, distribución o comercialización. </w:t>
      </w:r>
    </w:p>
    <w:p w:rsidR="000B3114" w:rsidRDefault="00DE4D0B">
      <w:pPr>
        <w:shd w:val="clear" w:color="auto" w:fill="FFFFFF"/>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otro lado, para proteger el interés público, ambas legislaciones de manera homogénea en los numerales 113 y 140 de la ley general y de la ley local respectivamente, consideran la posibilidad de restringir el derecho de acceso a la información pública ejercido por los particulares, estableciendo la posibilidad de catalogar la información pública que obra en su poder </w:t>
      </w:r>
      <w:r>
        <w:rPr>
          <w:rFonts w:ascii="Palatino Linotype" w:eastAsia="Palatino Linotype" w:hAnsi="Palatino Linotype" w:cs="Palatino Linotype"/>
          <w:b/>
          <w:sz w:val="24"/>
          <w:szCs w:val="24"/>
        </w:rPr>
        <w:t>con la calidad de reservada.</w:t>
      </w:r>
      <w:r>
        <w:rPr>
          <w:rFonts w:ascii="Palatino Linotype" w:eastAsia="Palatino Linotype" w:hAnsi="Palatino Linotype" w:cs="Palatino Linotype"/>
          <w:sz w:val="24"/>
          <w:szCs w:val="24"/>
        </w:rPr>
        <w:t xml:space="preserve"> </w:t>
      </w:r>
    </w:p>
    <w:p w:rsidR="000B3114" w:rsidRDefault="00DE4D0B">
      <w:pPr>
        <w:shd w:val="clear" w:color="auto" w:fill="FFFFFF"/>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 la información que sea clasificada como reservada, podrá permanecer con tal carácter hasta por un periodo de cinco años; previendo, además, que podrá ser desclasificada cuando se extingan las causas que dieron origen a su clasificación o haya transcurrido el periodo de reserva.</w:t>
      </w:r>
    </w:p>
    <w:p w:rsidR="000B3114" w:rsidRDefault="00DE4D0B">
      <w:pPr>
        <w:shd w:val="clear" w:color="auto" w:fill="FFFFFF"/>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la misma lógica, los numerales en comento precisan un catálogo generoso de lineamientos bajo los cuales deberá reservarse la información, lo cual procederá </w:t>
      </w:r>
      <w:r>
        <w:rPr>
          <w:rFonts w:ascii="Palatino Linotype" w:eastAsia="Palatino Linotype" w:hAnsi="Palatino Linotype" w:cs="Palatino Linotype"/>
          <w:sz w:val="24"/>
          <w:szCs w:val="24"/>
        </w:rPr>
        <w:lastRenderedPageBreak/>
        <w:t xml:space="preserve">cuando la difusión de la información pueda, entre otras en las aplicables en el presente caso: </w:t>
      </w:r>
    </w:p>
    <w:p w:rsidR="000B3114" w:rsidRDefault="00DE4D0B">
      <w:pPr>
        <w:numPr>
          <w:ilvl w:val="0"/>
          <w:numId w:val="4"/>
        </w:num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u w:val="single"/>
        </w:rPr>
        <w:t>Pueda causar daño u obstruya</w:t>
      </w:r>
      <w:r>
        <w:rPr>
          <w:rFonts w:ascii="Palatino Linotype" w:eastAsia="Palatino Linotype" w:hAnsi="Palatino Linotype" w:cs="Palatino Linotype"/>
          <w:color w:val="000000"/>
          <w:sz w:val="24"/>
          <w:szCs w:val="24"/>
        </w:rPr>
        <w:t xml:space="preserve"> la prevención o persecución de los delitos, altere el proceso de investigación de las carpetas de investigación, </w:t>
      </w:r>
      <w:r>
        <w:rPr>
          <w:rFonts w:ascii="Palatino Linotype" w:eastAsia="Palatino Linotype" w:hAnsi="Palatino Linotype" w:cs="Palatino Linotype"/>
          <w:b/>
          <w:color w:val="000000"/>
          <w:sz w:val="24"/>
          <w:szCs w:val="24"/>
        </w:rPr>
        <w:t>afecte o vulnere la conducción</w:t>
      </w:r>
      <w:r>
        <w:rPr>
          <w:rFonts w:ascii="Palatino Linotype" w:eastAsia="Palatino Linotype" w:hAnsi="Palatino Linotype" w:cs="Palatino Linotype"/>
          <w:color w:val="000000"/>
          <w:sz w:val="24"/>
          <w:szCs w:val="24"/>
        </w:rPr>
        <w:t xml:space="preserve"> o los derechos </w:t>
      </w:r>
      <w:r>
        <w:rPr>
          <w:rFonts w:ascii="Palatino Linotype" w:eastAsia="Palatino Linotype" w:hAnsi="Palatino Linotype" w:cs="Palatino Linotype"/>
          <w:b/>
          <w:color w:val="000000"/>
          <w:sz w:val="24"/>
          <w:szCs w:val="24"/>
        </w:rPr>
        <w:t>del debido proceso en los procedimientos</w:t>
      </w:r>
      <w:r>
        <w:rPr>
          <w:rFonts w:ascii="Palatino Linotype" w:eastAsia="Palatino Linotype" w:hAnsi="Palatino Linotype" w:cs="Palatino Linotype"/>
          <w:color w:val="000000"/>
          <w:sz w:val="24"/>
          <w:szCs w:val="24"/>
        </w:rPr>
        <w:t xml:space="preserve"> judiciales o </w:t>
      </w:r>
      <w:r>
        <w:rPr>
          <w:rFonts w:ascii="Palatino Linotype" w:eastAsia="Palatino Linotype" w:hAnsi="Palatino Linotype" w:cs="Palatino Linotype"/>
          <w:b/>
          <w:color w:val="000000"/>
          <w:sz w:val="24"/>
          <w:szCs w:val="24"/>
        </w:rPr>
        <w:t>administrativos,</w:t>
      </w:r>
      <w:r>
        <w:rPr>
          <w:rFonts w:ascii="Palatino Linotype" w:eastAsia="Palatino Linotype" w:hAnsi="Palatino Linotype" w:cs="Palatino Linotype"/>
          <w:color w:val="000000"/>
          <w:sz w:val="24"/>
          <w:szCs w:val="24"/>
        </w:rPr>
        <w:t xml:space="preserve"> incluidos los de quejas, denuncias, inconformidades, responsabilidades administrativas y resarcitorias </w:t>
      </w:r>
      <w:r>
        <w:rPr>
          <w:rFonts w:ascii="Palatino Linotype" w:eastAsia="Palatino Linotype" w:hAnsi="Palatino Linotype" w:cs="Palatino Linotype"/>
          <w:b/>
          <w:color w:val="000000"/>
          <w:sz w:val="24"/>
          <w:szCs w:val="24"/>
        </w:rPr>
        <w:t>en tanto no hayan quedado firmes</w:t>
      </w:r>
      <w:r>
        <w:rPr>
          <w:rFonts w:ascii="Palatino Linotype" w:eastAsia="Palatino Linotype" w:hAnsi="Palatino Linotype" w:cs="Palatino Linotype"/>
          <w:color w:val="000000"/>
          <w:sz w:val="24"/>
          <w:szCs w:val="24"/>
        </w:rPr>
        <w:t xml:space="preserve"> o afecte la administración de justicia o la seguridad de un denunciante, querellante o testigo, así como sus familias, en los términos de las disposiciones jurídicas aplicables.</w:t>
      </w:r>
    </w:p>
    <w:p w:rsidR="000B3114" w:rsidRDefault="000B3114">
      <w:pPr>
        <w:pBdr>
          <w:top w:val="nil"/>
          <w:left w:val="nil"/>
          <w:bottom w:val="nil"/>
          <w:right w:val="nil"/>
          <w:between w:val="nil"/>
        </w:pBdr>
        <w:shd w:val="clear" w:color="auto" w:fill="FFFFFF"/>
        <w:spacing w:after="0" w:line="360" w:lineRule="auto"/>
        <w:ind w:left="1068"/>
        <w:jc w:val="both"/>
        <w:rPr>
          <w:rFonts w:ascii="Palatino Linotype" w:eastAsia="Palatino Linotype" w:hAnsi="Palatino Linotype" w:cs="Palatino Linotype"/>
          <w:color w:val="000000"/>
          <w:sz w:val="24"/>
          <w:szCs w:val="24"/>
        </w:rPr>
      </w:pPr>
    </w:p>
    <w:p w:rsidR="000B3114" w:rsidRDefault="00DE4D0B">
      <w:pPr>
        <w:numPr>
          <w:ilvl w:val="0"/>
          <w:numId w:val="3"/>
        </w:num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Vulnere la conducción de los expedientes</w:t>
      </w:r>
      <w:r>
        <w:rPr>
          <w:rFonts w:ascii="Palatino Linotype" w:eastAsia="Palatino Linotype" w:hAnsi="Palatino Linotype" w:cs="Palatino Linotype"/>
          <w:color w:val="000000"/>
          <w:sz w:val="24"/>
          <w:szCs w:val="24"/>
        </w:rPr>
        <w:t xml:space="preserve"> judiciales o </w:t>
      </w:r>
      <w:r>
        <w:rPr>
          <w:rFonts w:ascii="Palatino Linotype" w:eastAsia="Palatino Linotype" w:hAnsi="Palatino Linotype" w:cs="Palatino Linotype"/>
          <w:b/>
          <w:color w:val="000000"/>
          <w:sz w:val="24"/>
          <w:szCs w:val="24"/>
        </w:rPr>
        <w:t>de los procedimientos administrativos seguidos en forma de juicio, en tanto no hayan quedado firmes</w:t>
      </w:r>
      <w:r>
        <w:rPr>
          <w:rFonts w:ascii="Palatino Linotype" w:eastAsia="Palatino Linotype" w:hAnsi="Palatino Linotype" w:cs="Palatino Linotype"/>
          <w:color w:val="000000"/>
          <w:sz w:val="24"/>
          <w:szCs w:val="24"/>
        </w:rPr>
        <w:t>;</w:t>
      </w:r>
    </w:p>
    <w:p w:rsidR="000B3114" w:rsidRDefault="000B3114">
      <w:pPr>
        <w:pBdr>
          <w:top w:val="nil"/>
          <w:left w:val="nil"/>
          <w:bottom w:val="nil"/>
          <w:right w:val="nil"/>
          <w:between w:val="nil"/>
        </w:pBdr>
        <w:shd w:val="clear" w:color="auto" w:fill="FFFFFF"/>
        <w:spacing w:after="0" w:line="360" w:lineRule="auto"/>
        <w:ind w:left="1068"/>
        <w:jc w:val="both"/>
        <w:rPr>
          <w:rFonts w:ascii="Palatino Linotype" w:eastAsia="Palatino Linotype" w:hAnsi="Palatino Linotype" w:cs="Palatino Linotype"/>
          <w:color w:val="000000"/>
          <w:sz w:val="24"/>
          <w:szCs w:val="24"/>
        </w:rPr>
      </w:pPr>
    </w:p>
    <w:p w:rsidR="000B3114" w:rsidRDefault="00DE4D0B">
      <w:pPr>
        <w:numPr>
          <w:ilvl w:val="0"/>
          <w:numId w:val="3"/>
        </w:num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u w:val="single"/>
        </w:rPr>
        <w:t xml:space="preserve">El daño que pueda producirse con la publicación de la información sea mayor que el interés público </w:t>
      </w:r>
      <w:r>
        <w:rPr>
          <w:rFonts w:ascii="Palatino Linotype" w:eastAsia="Palatino Linotype" w:hAnsi="Palatino Linotype" w:cs="Palatino Linotype"/>
          <w:color w:val="000000"/>
          <w:sz w:val="24"/>
          <w:szCs w:val="24"/>
        </w:rPr>
        <w:t xml:space="preserve">de conocer la información de referencia, siempre que esté directamente relacionado con procesos o </w:t>
      </w:r>
      <w:r>
        <w:rPr>
          <w:rFonts w:ascii="Palatino Linotype" w:eastAsia="Palatino Linotype" w:hAnsi="Palatino Linotype" w:cs="Palatino Linotype"/>
          <w:b/>
          <w:color w:val="000000"/>
          <w:sz w:val="24"/>
          <w:szCs w:val="24"/>
        </w:rPr>
        <w:t>procedimientos administrativos o judiciales que no hayan quedado firmes;</w:t>
      </w:r>
    </w:p>
    <w:p w:rsidR="000B3114" w:rsidRDefault="000B3114">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p>
    <w:p w:rsidR="000B3114" w:rsidRDefault="00DE4D0B">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Las hipótesis contenidas en las fracciones que se transcriben, para su actualización manifiestan dos momentos para poder restringir el derecho de acceso a la información pública, a saber: </w:t>
      </w:r>
    </w:p>
    <w:p w:rsidR="000B3114" w:rsidRDefault="000B3114">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p>
    <w:p w:rsidR="000B3114" w:rsidRDefault="00DE4D0B">
      <w:pPr>
        <w:numPr>
          <w:ilvl w:val="0"/>
          <w:numId w:val="5"/>
        </w:numPr>
        <w:pBdr>
          <w:top w:val="nil"/>
          <w:left w:val="nil"/>
          <w:bottom w:val="nil"/>
          <w:right w:val="nil"/>
          <w:between w:val="nil"/>
        </w:pBdr>
        <w:shd w:val="clear" w:color="auto" w:fill="FFFFFF"/>
        <w:spacing w:after="0" w:line="360" w:lineRule="auto"/>
        <w:ind w:hanging="72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primer lugar, que la información solicitada se encuentre en un procedimiento vivo; y</w:t>
      </w:r>
    </w:p>
    <w:p w:rsidR="000B3114" w:rsidRDefault="00DE4D0B">
      <w:pPr>
        <w:numPr>
          <w:ilvl w:val="0"/>
          <w:numId w:val="5"/>
        </w:numPr>
        <w:pBdr>
          <w:top w:val="nil"/>
          <w:left w:val="nil"/>
          <w:bottom w:val="nil"/>
          <w:right w:val="nil"/>
          <w:between w:val="nil"/>
        </w:pBdr>
        <w:shd w:val="clear" w:color="auto" w:fill="FFFFFF"/>
        <w:spacing w:after="0" w:line="360" w:lineRule="auto"/>
        <w:ind w:hanging="72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Como segundo requisito, que el operador jurídico que posee la información, demuestre que su publicidad vulnera, transgrede y pone en riesgo la conducción de expedientes administrativos y demostrar que el daño que pueda producirse con la publicación de la información sea mayor que el interés público.</w:t>
      </w:r>
    </w:p>
    <w:p w:rsidR="000B3114" w:rsidRDefault="000B3114">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p>
    <w:p w:rsidR="000B3114" w:rsidRDefault="00DE4D0B">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bookmarkStart w:id="2" w:name="_heading=h.2et92p0" w:colFirst="0" w:colLast="0"/>
      <w:bookmarkEnd w:id="2"/>
      <w:r>
        <w:rPr>
          <w:rFonts w:ascii="Palatino Linotype" w:eastAsia="Palatino Linotype" w:hAnsi="Palatino Linotype" w:cs="Palatino Linotype"/>
          <w:color w:val="000000"/>
          <w:sz w:val="24"/>
          <w:szCs w:val="24"/>
          <w:highlight w:val="white"/>
        </w:rPr>
        <w:t>Ahora bien, para el caso de que la información que se ordena se encuentre en proceso en términos de lo señalado por el artículo 140 fracción VIII que señala como información reservada toda aquella que vulnere la conducción de los expedientes judiciales o de los procedimientos administrativos seguidos en forma de juicio, en tanto no hayan quedado firmes; no es aplicable en el presente caso en particular, pues si bien la información pública generada que</w:t>
      </w:r>
      <w:r>
        <w:rPr>
          <w:rFonts w:ascii="Palatino Linotype" w:eastAsia="Palatino Linotype" w:hAnsi="Palatino Linotype" w:cs="Palatino Linotype"/>
          <w:color w:val="000000"/>
          <w:sz w:val="24"/>
          <w:szCs w:val="24"/>
        </w:rPr>
        <w:t xml:space="preserve"> se ubique dentro de un procedimiento judicial o administrativo que no haya quedado firme tiene naturaleza de reservada, la presente no actualiza la hipótesis señalada por causas de interés público o trascendencia social del caso relacionado con la información correspondiente al conflicto diferendo limítr</w:t>
      </w:r>
      <w:r w:rsidR="00B61375">
        <w:rPr>
          <w:rFonts w:ascii="Palatino Linotype" w:eastAsia="Palatino Linotype" w:hAnsi="Palatino Linotype" w:cs="Palatino Linotype"/>
          <w:color w:val="000000"/>
          <w:sz w:val="24"/>
          <w:szCs w:val="24"/>
        </w:rPr>
        <w:t xml:space="preserve">ofe con el municipio de </w:t>
      </w:r>
      <w:r w:rsidR="00B61375" w:rsidRPr="00D95463">
        <w:rPr>
          <w:rFonts w:ascii="Palatino Linotype" w:eastAsia="Palatino Linotype" w:hAnsi="Palatino Linotype" w:cs="Palatino Linotype"/>
          <w:color w:val="000000"/>
          <w:sz w:val="24"/>
          <w:szCs w:val="24"/>
        </w:rPr>
        <w:t xml:space="preserve">Acolman y </w:t>
      </w:r>
      <w:r w:rsidR="00B61375" w:rsidRPr="00D95463">
        <w:rPr>
          <w:rFonts w:ascii="Palatino Linotype" w:eastAsia="Palatino Linotype" w:hAnsi="Palatino Linotype" w:cs="Palatino Linotype"/>
          <w:color w:val="000000"/>
          <w:sz w:val="24"/>
          <w:szCs w:val="24"/>
        </w:rPr>
        <w:lastRenderedPageBreak/>
        <w:t>podrá ser entregada, para el caso que contenga datos personales, en una correcta versión pública en términos de lo señalado por el considerando quinto.</w:t>
      </w:r>
      <w:r w:rsidR="00B61375">
        <w:rPr>
          <w:rFonts w:ascii="Palatino Linotype" w:eastAsia="Palatino Linotype" w:hAnsi="Palatino Linotype" w:cs="Palatino Linotype"/>
          <w:color w:val="000000"/>
          <w:sz w:val="24"/>
          <w:szCs w:val="24"/>
        </w:rPr>
        <w:t xml:space="preserve"> </w:t>
      </w:r>
    </w:p>
    <w:p w:rsidR="000B3114" w:rsidRDefault="000B3114">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p>
    <w:p w:rsidR="000B3114" w:rsidRDefault="00DE4D0B">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Además, de consentir este </w:t>
      </w:r>
      <w:r>
        <w:rPr>
          <w:rFonts w:ascii="Palatino Linotype" w:eastAsia="Palatino Linotype" w:hAnsi="Palatino Linotype" w:cs="Palatino Linotype"/>
          <w:sz w:val="24"/>
          <w:szCs w:val="24"/>
        </w:rPr>
        <w:t>Organismo</w:t>
      </w:r>
      <w:r>
        <w:rPr>
          <w:rFonts w:ascii="Palatino Linotype" w:eastAsia="Palatino Linotype" w:hAnsi="Palatino Linotype" w:cs="Palatino Linotype"/>
          <w:color w:val="000000"/>
          <w:sz w:val="24"/>
          <w:szCs w:val="24"/>
        </w:rPr>
        <w:t xml:space="preserve"> Garante la reserva de la información solicitada, por el solo hecho de encontrarse inmersa en un procedimiento que no ha causado estado, se anularía por completo la posibilidad de la existencia de casos excepcionales en los cuales existen intereses superiores de la sociedad de conocer la información. </w:t>
      </w:r>
    </w:p>
    <w:p w:rsidR="000B3114" w:rsidRDefault="000B3114">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p>
    <w:p w:rsidR="000B3114" w:rsidRDefault="00DE4D0B">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 decir, conforme a lo expresado por la Corte Interamericana, ha de vigilarse en todo momento, que las excepciones no se conviertan en regla general, dado que el derecho a la información juega un papel determinante en un Estado democrático, a partir del cual, los gobernados pueden ejercer un control respecto del funcionamiento institucional de los poderes públicos.</w:t>
      </w:r>
    </w:p>
    <w:p w:rsidR="000B3114" w:rsidRDefault="000B3114">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p>
    <w:p w:rsidR="000B3114" w:rsidRDefault="00DE4D0B">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este sentido, la propia Suprema Corte de Justicia de la Nación (SCJN) al resolver la Acción de inconstitucionalidad 26/2006, concreto la tesis de jurisprudencia de rubro: </w:t>
      </w:r>
      <w:r>
        <w:rPr>
          <w:rFonts w:ascii="Palatino Linotype" w:eastAsia="Palatino Linotype" w:hAnsi="Palatino Linotype" w:cs="Palatino Linotype"/>
          <w:b/>
          <w:color w:val="000000"/>
          <w:sz w:val="24"/>
          <w:szCs w:val="24"/>
        </w:rPr>
        <w:t>“INFORMACIÓN RESERVADA. EXCEPCIÓN A LA PROHIBICIÓN DE SU DIVULGACIÓN”</w:t>
      </w:r>
      <w:r>
        <w:rPr>
          <w:rFonts w:ascii="Palatino Linotype" w:eastAsia="Palatino Linotype" w:hAnsi="Palatino Linotype" w:cs="Palatino Linotype"/>
          <w:color w:val="000000"/>
          <w:sz w:val="24"/>
          <w:szCs w:val="24"/>
        </w:rPr>
        <w:t xml:space="preserve">, de cuyo cuerpo, en el tema que interesa se precisa que: “…No obstante la imposibilidad de acceder a dicha información no puede considerarse como una regla absoluta, porque en aquellos supuestos en los cuales su difusión producirá mayores beneficios para la sociedad que los daños que </w:t>
      </w:r>
      <w:r>
        <w:rPr>
          <w:rFonts w:ascii="Palatino Linotype" w:eastAsia="Palatino Linotype" w:hAnsi="Palatino Linotype" w:cs="Palatino Linotype"/>
          <w:color w:val="000000"/>
          <w:sz w:val="24"/>
          <w:szCs w:val="24"/>
        </w:rPr>
        <w:lastRenderedPageBreak/>
        <w:t>pudieran provocarse con su divulgación, debe hacerse una excepción a la regla general, privilegiando la transparencia y difusión de la información respectiva.”</w:t>
      </w:r>
      <w:r>
        <w:rPr>
          <w:rFonts w:ascii="Palatino Linotype" w:eastAsia="Palatino Linotype" w:hAnsi="Palatino Linotype" w:cs="Palatino Linotype"/>
          <w:color w:val="000000"/>
          <w:sz w:val="24"/>
          <w:szCs w:val="24"/>
          <w:vertAlign w:val="superscript"/>
        </w:rPr>
        <w:footnoteReference w:id="3"/>
      </w:r>
    </w:p>
    <w:p w:rsidR="000B3114" w:rsidRDefault="000B3114">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p>
    <w:p w:rsidR="000B3114" w:rsidRDefault="00DE4D0B">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se puede desprender que la restricción para acceder a la información relacionada con expedientes administrativos que no hayan causado estado, no puede considerarse como una regla absoluta. Debe hacerse una excepción a esta regla privilegiando la transparencia y difusión de la información respectiva cuando su difusión producirá mayores beneficios para la sociedad que los daños que pudieran provocarse con su divulgación.</w:t>
      </w:r>
    </w:p>
    <w:p w:rsidR="000B3114" w:rsidRDefault="000B3114">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p>
    <w:p w:rsidR="000B3114" w:rsidRDefault="00DE4D0B">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esta razón, existe la posibilidad de que la información que referencia al expediente que contiene lo relacionado con los conflictos por límites territoriales del municipio de Ecatepec de Morelos con el Municipio de Acolman, ostente características tan especiales que el beneficio social y colectivo que otorga su acceso es tan grande que la reserva no resultaba ser una barrera infranqueable.</w:t>
      </w:r>
    </w:p>
    <w:p w:rsidR="000B3114" w:rsidRDefault="000B3114">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p>
    <w:p w:rsidR="000B3114" w:rsidRDefault="00DE4D0B">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razón de lo anterior, este </w:t>
      </w:r>
      <w:r>
        <w:rPr>
          <w:rFonts w:ascii="Palatino Linotype" w:eastAsia="Palatino Linotype" w:hAnsi="Palatino Linotype" w:cs="Palatino Linotype"/>
          <w:sz w:val="24"/>
          <w:szCs w:val="24"/>
        </w:rPr>
        <w:t>Organismo</w:t>
      </w:r>
      <w:r>
        <w:rPr>
          <w:rFonts w:ascii="Palatino Linotype" w:eastAsia="Palatino Linotype" w:hAnsi="Palatino Linotype" w:cs="Palatino Linotype"/>
          <w:color w:val="000000"/>
          <w:sz w:val="24"/>
          <w:szCs w:val="24"/>
        </w:rPr>
        <w:t xml:space="preserve"> Garante del Derecho de Acceso a la información </w:t>
      </w:r>
      <w:r>
        <w:rPr>
          <w:rFonts w:ascii="Palatino Linotype" w:eastAsia="Palatino Linotype" w:hAnsi="Palatino Linotype" w:cs="Palatino Linotype"/>
          <w:sz w:val="24"/>
          <w:szCs w:val="24"/>
        </w:rPr>
        <w:t>Pública</w:t>
      </w:r>
      <w:r>
        <w:rPr>
          <w:rFonts w:ascii="Palatino Linotype" w:eastAsia="Palatino Linotype" w:hAnsi="Palatino Linotype" w:cs="Palatino Linotype"/>
          <w:color w:val="000000"/>
          <w:sz w:val="24"/>
          <w:szCs w:val="24"/>
        </w:rPr>
        <w:t xml:space="preserve"> en la entidad Mexiquense, debe valorar de nueva cuenta a través de criterios razonables y ponderables el interés público en el presente caso, a fin de determinar si este interés público que reviste la información de mérito, resulta </w:t>
      </w:r>
      <w:r>
        <w:rPr>
          <w:rFonts w:ascii="Palatino Linotype" w:eastAsia="Palatino Linotype" w:hAnsi="Palatino Linotype" w:cs="Palatino Linotype"/>
          <w:color w:val="000000"/>
          <w:sz w:val="24"/>
          <w:szCs w:val="24"/>
        </w:rPr>
        <w:lastRenderedPageBreak/>
        <w:t>suficiente para restringir la necesidad de clasificar la información como reservada, o en su defecto, determinar si prevalece más el sigilo de la información.</w:t>
      </w:r>
      <w:r>
        <w:rPr>
          <w:noProof/>
          <w:lang w:eastAsia="es-MX"/>
        </w:rPr>
        <w:drawing>
          <wp:anchor distT="0" distB="0" distL="0" distR="0" simplePos="0" relativeHeight="251659264" behindDoc="1" locked="0" layoutInCell="1" hidden="0" allowOverlap="1">
            <wp:simplePos x="0" y="0"/>
            <wp:positionH relativeFrom="column">
              <wp:posOffset>-47623</wp:posOffset>
            </wp:positionH>
            <wp:positionV relativeFrom="paragraph">
              <wp:posOffset>-1028698</wp:posOffset>
            </wp:positionV>
            <wp:extent cx="1695450" cy="1028700"/>
            <wp:effectExtent l="0" t="0" r="0" b="0"/>
            <wp:wrapNone/>
            <wp:docPr id="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695450" cy="1028700"/>
                    </a:xfrm>
                    <a:prstGeom prst="rect">
                      <a:avLst/>
                    </a:prstGeom>
                    <a:ln/>
                  </pic:spPr>
                </pic:pic>
              </a:graphicData>
            </a:graphic>
          </wp:anchor>
        </w:drawing>
      </w:r>
    </w:p>
    <w:p w:rsidR="000B3114" w:rsidRDefault="000B3114">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p>
    <w:p w:rsidR="000B3114" w:rsidRDefault="00DE4D0B">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Tercera cuestión: ¿El interés público que envuelve la información referida resulta suficiente para restringir la necesidad de clasificar la información como reservada?</w:t>
      </w:r>
    </w:p>
    <w:p w:rsidR="000B3114" w:rsidRDefault="00DE4D0B">
      <w:pPr>
        <w:shd w:val="clear" w:color="auto" w:fill="FFFFFF"/>
        <w:spacing w:before="280" w:after="280" w:line="360" w:lineRule="auto"/>
        <w:jc w:val="both"/>
        <w:rPr>
          <w:rFonts w:ascii="Palatino Linotype" w:eastAsia="Palatino Linotype" w:hAnsi="Palatino Linotype" w:cs="Palatino Linotype"/>
          <w:b/>
          <w:i/>
          <w:sz w:val="24"/>
          <w:szCs w:val="24"/>
        </w:rPr>
      </w:pPr>
      <w:r>
        <w:rPr>
          <w:rFonts w:ascii="Palatino Linotype" w:eastAsia="Palatino Linotype" w:hAnsi="Palatino Linotype" w:cs="Palatino Linotype"/>
          <w:sz w:val="24"/>
          <w:szCs w:val="24"/>
        </w:rPr>
        <w:t>Entonces al hablar de una valoración de los beneficios o perjuicios de la divulgación señalada, debe fundarse en las consecuencias concretas que, potencialmente, resulten de la publicidad de la información, se deberá ponderar si la publicidad de la información tienen una trascendencia social y poder ser catalogada como información de interés público</w:t>
      </w:r>
      <w:r>
        <w:rPr>
          <w:rFonts w:ascii="Palatino Linotype" w:eastAsia="Palatino Linotype" w:hAnsi="Palatino Linotype" w:cs="Palatino Linotype"/>
          <w:b/>
          <w:i/>
          <w:sz w:val="24"/>
          <w:szCs w:val="24"/>
        </w:rPr>
        <w:t>.</w:t>
      </w:r>
      <w:r>
        <w:rPr>
          <w:rFonts w:ascii="Palatino Linotype" w:eastAsia="Palatino Linotype" w:hAnsi="Palatino Linotype" w:cs="Palatino Linotype"/>
          <w:b/>
          <w:sz w:val="24"/>
          <w:szCs w:val="24"/>
          <w:u w:val="single"/>
          <w:vertAlign w:val="superscript"/>
        </w:rPr>
        <w:t xml:space="preserve"> </w:t>
      </w:r>
      <w:r>
        <w:rPr>
          <w:rFonts w:ascii="Palatino Linotype" w:eastAsia="Palatino Linotype" w:hAnsi="Palatino Linotype" w:cs="Palatino Linotype"/>
          <w:b/>
          <w:sz w:val="24"/>
          <w:szCs w:val="24"/>
          <w:u w:val="single"/>
          <w:vertAlign w:val="superscript"/>
        </w:rPr>
        <w:footnoteReference w:id="4"/>
      </w:r>
    </w:p>
    <w:p w:rsidR="000B3114" w:rsidRDefault="00DE4D0B">
      <w:pPr>
        <w:shd w:val="clear" w:color="auto" w:fill="FFFFFF"/>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este Instituto considera procedente efectuar una prueba de interés público ante la colisión de derechos que se plantea en el presente recurso de revisión, por una parte: i) el derecho aducido por el Sujeto Obligado consistente en el derecho a la secrecía del expediente en virtud de no haber causado estado, frente al derecho ejercido por el particular consiéntete en el Derecho de Acceso a la Información Pública. Lo anterior, conforme a lo que mandata la Ley General de Transparencia y </w:t>
      </w:r>
      <w:r>
        <w:rPr>
          <w:rFonts w:ascii="Palatino Linotype" w:eastAsia="Palatino Linotype" w:hAnsi="Palatino Linotype" w:cs="Palatino Linotype"/>
          <w:sz w:val="24"/>
          <w:szCs w:val="24"/>
        </w:rPr>
        <w:lastRenderedPageBreak/>
        <w:t xml:space="preserve">Acceso a la Información Pública, la cual en su artículo 149 refiere la posibilidad, tratándose de colisión de derechos, la solución bajo el principio de proporcionalidad en observancia a las gradas de: idoneidad, necesidad y proporcionalidad (premisa que es replicada en el artículo 184 de la ley local en la materia), tal y como se precisa:  </w:t>
      </w:r>
    </w:p>
    <w:p w:rsidR="000B3114" w:rsidRDefault="00DE4D0B">
      <w:pPr>
        <w:shd w:val="clear" w:color="auto" w:fill="FFFFFF"/>
        <w:spacing w:before="280" w:after="280"/>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149. </w:t>
      </w:r>
      <w:r>
        <w:rPr>
          <w:rFonts w:ascii="Palatino Linotype" w:eastAsia="Palatino Linotype" w:hAnsi="Palatino Linotype" w:cs="Palatino Linotype"/>
          <w:b/>
          <w:i/>
        </w:rPr>
        <w:t xml:space="preserve">El organismo garante, al resolver el recurso de revisión, deberá aplicar una prueba de interés público con base en elementos de idoneidad, necesidad y proporcionalidad, cuando exista una </w:t>
      </w:r>
      <w:r>
        <w:rPr>
          <w:rFonts w:ascii="Palatino Linotype" w:eastAsia="Palatino Linotype" w:hAnsi="Palatino Linotype" w:cs="Palatino Linotype"/>
          <w:b/>
          <w:i/>
          <w:u w:val="single"/>
        </w:rPr>
        <w:t xml:space="preserve">colisión de derechos.” </w:t>
      </w:r>
      <w:r>
        <w:rPr>
          <w:rFonts w:ascii="Palatino Linotype" w:eastAsia="Palatino Linotype" w:hAnsi="Palatino Linotype" w:cs="Palatino Linotype"/>
          <w:b/>
          <w:i/>
        </w:rPr>
        <w:t>(Sic)</w:t>
      </w:r>
    </w:p>
    <w:p w:rsidR="000B3114" w:rsidRDefault="00DE4D0B">
      <w:pPr>
        <w:shd w:val="clear" w:color="auto" w:fill="FFFFFF"/>
        <w:spacing w:before="280" w:after="280"/>
        <w:ind w:left="993"/>
        <w:jc w:val="both"/>
        <w:rPr>
          <w:rFonts w:ascii="Palatino Linotype" w:eastAsia="Palatino Linotype" w:hAnsi="Palatino Linotype" w:cs="Palatino Linotype"/>
          <w:i/>
        </w:rPr>
      </w:pPr>
      <w:r>
        <w:rPr>
          <w:rFonts w:ascii="Palatino Linotype" w:eastAsia="Palatino Linotype" w:hAnsi="Palatino Linotype" w:cs="Palatino Linotype"/>
          <w:i/>
        </w:rPr>
        <w:t>Para estos efectos, se entenderá por:</w:t>
      </w:r>
    </w:p>
    <w:p w:rsidR="000B3114" w:rsidRDefault="00DE4D0B">
      <w:pPr>
        <w:pBdr>
          <w:top w:val="nil"/>
          <w:left w:val="nil"/>
          <w:bottom w:val="nil"/>
          <w:right w:val="nil"/>
          <w:between w:val="nil"/>
        </w:pBdr>
        <w:shd w:val="clear" w:color="auto" w:fill="FFFFFF"/>
        <w:spacing w:before="280" w:after="0"/>
        <w:ind w:left="993"/>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 Idoneidad:</w:t>
      </w:r>
      <w:r>
        <w:rPr>
          <w:rFonts w:ascii="Palatino Linotype" w:eastAsia="Palatino Linotype" w:hAnsi="Palatino Linotype" w:cs="Palatino Linotype"/>
          <w:i/>
          <w:color w:val="000000"/>
        </w:rPr>
        <w:t xml:space="preserve"> La legitimidad del derecho adoptado como preferente, que sea el adecuado para el logro de un fin constitucionalmente válido o apto para conseguir el fin pretendido;</w:t>
      </w:r>
    </w:p>
    <w:p w:rsidR="000B3114" w:rsidRDefault="000B3114">
      <w:pPr>
        <w:pBdr>
          <w:top w:val="nil"/>
          <w:left w:val="nil"/>
          <w:bottom w:val="nil"/>
          <w:right w:val="nil"/>
          <w:between w:val="nil"/>
        </w:pBdr>
        <w:shd w:val="clear" w:color="auto" w:fill="FFFFFF"/>
        <w:spacing w:after="0"/>
        <w:ind w:left="993"/>
        <w:jc w:val="both"/>
        <w:rPr>
          <w:rFonts w:ascii="Palatino Linotype" w:eastAsia="Palatino Linotype" w:hAnsi="Palatino Linotype" w:cs="Palatino Linotype"/>
          <w:i/>
          <w:color w:val="000000"/>
        </w:rPr>
      </w:pPr>
    </w:p>
    <w:p w:rsidR="000B3114" w:rsidRDefault="00DE4D0B">
      <w:pPr>
        <w:pBdr>
          <w:top w:val="nil"/>
          <w:left w:val="nil"/>
          <w:bottom w:val="nil"/>
          <w:right w:val="nil"/>
          <w:between w:val="nil"/>
        </w:pBdr>
        <w:shd w:val="clear" w:color="auto" w:fill="FFFFFF"/>
        <w:spacing w:after="0"/>
        <w:ind w:left="993"/>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II. Necesidad:</w:t>
      </w:r>
      <w:r>
        <w:rPr>
          <w:rFonts w:ascii="Palatino Linotype" w:eastAsia="Palatino Linotype" w:hAnsi="Palatino Linotype" w:cs="Palatino Linotype"/>
          <w:i/>
          <w:color w:val="000000"/>
        </w:rPr>
        <w:t xml:space="preserve"> La falta de un medio alternativo menos lesivo a la apertura de la información, para satisfacer el interés público, y </w:t>
      </w:r>
    </w:p>
    <w:p w:rsidR="000B3114" w:rsidRDefault="000B3114">
      <w:pPr>
        <w:pBdr>
          <w:top w:val="nil"/>
          <w:left w:val="nil"/>
          <w:bottom w:val="nil"/>
          <w:right w:val="nil"/>
          <w:between w:val="nil"/>
        </w:pBdr>
        <w:shd w:val="clear" w:color="auto" w:fill="FFFFFF"/>
        <w:spacing w:after="0"/>
        <w:ind w:left="993"/>
        <w:jc w:val="both"/>
        <w:rPr>
          <w:rFonts w:ascii="Palatino Linotype" w:eastAsia="Palatino Linotype" w:hAnsi="Palatino Linotype" w:cs="Palatino Linotype"/>
          <w:i/>
          <w:color w:val="000000"/>
        </w:rPr>
      </w:pPr>
    </w:p>
    <w:p w:rsidR="000B3114" w:rsidRDefault="00DE4D0B">
      <w:pPr>
        <w:pBdr>
          <w:top w:val="nil"/>
          <w:left w:val="nil"/>
          <w:bottom w:val="nil"/>
          <w:right w:val="nil"/>
          <w:between w:val="nil"/>
        </w:pBdr>
        <w:shd w:val="clear" w:color="auto" w:fill="FFFFFF"/>
        <w:spacing w:after="280"/>
        <w:ind w:left="993"/>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III. Proporcionalidad:</w:t>
      </w:r>
      <w:r>
        <w:rPr>
          <w:rFonts w:ascii="Palatino Linotype" w:eastAsia="Palatino Linotype" w:hAnsi="Palatino Linotype" w:cs="Palatino Linotype"/>
          <w:i/>
          <w:color w:val="000000"/>
        </w:rPr>
        <w:t xml:space="preserve"> El equilibrio entre perjuicio y beneficio a favor del interés público, a fin de que la decisión tomada represente un beneficio mayor al perjuicio que podría causar a la población.” (Sic)</w:t>
      </w:r>
    </w:p>
    <w:p w:rsidR="000B3114" w:rsidRDefault="00DE4D0B">
      <w:pPr>
        <w:shd w:val="clear" w:color="auto" w:fill="FFFFFF"/>
        <w:spacing w:before="280" w:after="280" w:line="360" w:lineRule="auto"/>
        <w:jc w:val="both"/>
        <w:rPr>
          <w:rFonts w:ascii="Palatino Linotype" w:eastAsia="Palatino Linotype" w:hAnsi="Palatino Linotype" w:cs="Palatino Linotype"/>
          <w:b/>
          <w:i/>
          <w:sz w:val="24"/>
          <w:szCs w:val="24"/>
        </w:rPr>
      </w:pPr>
      <w:r>
        <w:rPr>
          <w:rFonts w:ascii="Palatino Linotype" w:eastAsia="Palatino Linotype" w:hAnsi="Palatino Linotype" w:cs="Palatino Linotype"/>
          <w:sz w:val="24"/>
          <w:szCs w:val="24"/>
        </w:rPr>
        <w:t xml:space="preserve">Ahora bien, utilizando lo precisado en la parte inicial de este apartado, el contenido de ciertos derechos fundamentales no puede ser absoluto, y la colisión entre derechos fundamentales no puede resolverse apelando a reglas de prioridad entre normas, </w:t>
      </w:r>
      <w:r>
        <w:rPr>
          <w:rFonts w:ascii="Palatino Linotype" w:eastAsia="Palatino Linotype" w:hAnsi="Palatino Linotype" w:cs="Palatino Linotype"/>
          <w:b/>
          <w:sz w:val="24"/>
          <w:szCs w:val="24"/>
        </w:rPr>
        <w:t>s</w:t>
      </w:r>
      <w:r>
        <w:rPr>
          <w:rFonts w:ascii="Palatino Linotype" w:eastAsia="Palatino Linotype" w:hAnsi="Palatino Linotype" w:cs="Palatino Linotype"/>
          <w:b/>
          <w:i/>
          <w:sz w:val="24"/>
          <w:szCs w:val="24"/>
        </w:rPr>
        <w:t>ino mediante una ponderación que determine el derecho que ha de prevalecer</w:t>
      </w:r>
      <w:r>
        <w:rPr>
          <w:rFonts w:ascii="Palatino Linotype" w:eastAsia="Palatino Linotype" w:hAnsi="Palatino Linotype" w:cs="Palatino Linotype"/>
          <w:sz w:val="24"/>
          <w:szCs w:val="24"/>
        </w:rPr>
        <w:t xml:space="preserve"> en el caso concreto, esto conforme la doctrina de</w:t>
      </w:r>
      <w:r>
        <w:rPr>
          <w:rFonts w:ascii="Palatino Linotype" w:eastAsia="Palatino Linotype" w:hAnsi="Palatino Linotype" w:cs="Palatino Linotype"/>
          <w:b/>
          <w:sz w:val="24"/>
          <w:szCs w:val="24"/>
        </w:rPr>
        <w:t xml:space="preserve"> Riccardnao Guastini al señalar que “</w:t>
      </w:r>
      <w:r>
        <w:rPr>
          <w:rFonts w:ascii="Palatino Linotype" w:eastAsia="Palatino Linotype" w:hAnsi="Palatino Linotype" w:cs="Palatino Linotype"/>
          <w:i/>
          <w:sz w:val="24"/>
          <w:szCs w:val="24"/>
        </w:rPr>
        <w:t>La ponderación, por tanto, no es una “conciliación</w:t>
      </w:r>
      <w:r>
        <w:rPr>
          <w:rFonts w:ascii="Palatino Linotype" w:eastAsia="Palatino Linotype" w:hAnsi="Palatino Linotype" w:cs="Palatino Linotype"/>
          <w:sz w:val="24"/>
          <w:szCs w:val="24"/>
        </w:rPr>
        <w:t>”. No consiste en “</w:t>
      </w:r>
      <w:r>
        <w:rPr>
          <w:rFonts w:ascii="Palatino Linotype" w:eastAsia="Palatino Linotype" w:hAnsi="Palatino Linotype" w:cs="Palatino Linotype"/>
          <w:i/>
          <w:sz w:val="24"/>
          <w:szCs w:val="24"/>
        </w:rPr>
        <w:t>poner de acuerdo</w:t>
      </w:r>
      <w:r>
        <w:rPr>
          <w:rFonts w:ascii="Palatino Linotype" w:eastAsia="Palatino Linotype" w:hAnsi="Palatino Linotype" w:cs="Palatino Linotype"/>
          <w:sz w:val="24"/>
          <w:szCs w:val="24"/>
        </w:rPr>
        <w:t xml:space="preserve">” los dos principios en conflicto, o en encontrar un punto de “equilibrio” </w:t>
      </w:r>
      <w:r>
        <w:rPr>
          <w:rFonts w:ascii="Palatino Linotype" w:eastAsia="Palatino Linotype" w:hAnsi="Palatino Linotype" w:cs="Palatino Linotype"/>
          <w:sz w:val="24"/>
          <w:szCs w:val="24"/>
        </w:rPr>
        <w:lastRenderedPageBreak/>
        <w:t xml:space="preserve">entre ellos. No consiste en la aplicación o en el sacrificio parcial de dos principios. </w:t>
      </w:r>
      <w:r>
        <w:rPr>
          <w:rFonts w:ascii="Palatino Linotype" w:eastAsia="Palatino Linotype" w:hAnsi="Palatino Linotype" w:cs="Palatino Linotype"/>
          <w:b/>
          <w:i/>
          <w:sz w:val="24"/>
          <w:szCs w:val="24"/>
        </w:rPr>
        <w:t>Uno de los dos principios es aplicado, el otro es ciertamente acantonado.”</w:t>
      </w:r>
      <w:r>
        <w:rPr>
          <w:rFonts w:ascii="Palatino Linotype" w:eastAsia="Palatino Linotype" w:hAnsi="Palatino Linotype" w:cs="Palatino Linotype"/>
          <w:sz w:val="24"/>
          <w:szCs w:val="24"/>
          <w:vertAlign w:val="superscript"/>
        </w:rPr>
        <w:t xml:space="preserve"> </w:t>
      </w:r>
      <w:r>
        <w:rPr>
          <w:rFonts w:ascii="Palatino Linotype" w:eastAsia="Palatino Linotype" w:hAnsi="Palatino Linotype" w:cs="Palatino Linotype"/>
          <w:sz w:val="24"/>
          <w:szCs w:val="24"/>
          <w:vertAlign w:val="superscript"/>
        </w:rPr>
        <w:footnoteReference w:id="5"/>
      </w:r>
    </w:p>
    <w:p w:rsidR="000B3114" w:rsidRDefault="00DE4D0B">
      <w:pPr>
        <w:shd w:val="clear" w:color="auto" w:fill="FFFFFF"/>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cuanto a la metodología de ponderación de derechos, es necesario citar el siguiente criterio del Poder Judicial de la Federación, en el que se dispone lo siguiente: </w:t>
      </w:r>
    </w:p>
    <w:p w:rsidR="000B3114" w:rsidRDefault="00DE4D0B">
      <w:pPr>
        <w:shd w:val="clear" w:color="auto" w:fill="FFFFFF"/>
        <w:spacing w:after="0" w:line="240" w:lineRule="auto"/>
        <w:ind w:left="992" w:right="760"/>
        <w:jc w:val="both"/>
        <w:rPr>
          <w:i/>
        </w:rPr>
      </w:pPr>
      <w:r>
        <w:rPr>
          <w:i/>
        </w:rPr>
        <w:t xml:space="preserve">Época Novena Época  </w:t>
      </w:r>
    </w:p>
    <w:p w:rsidR="000B3114" w:rsidRDefault="00DE4D0B">
      <w:pPr>
        <w:shd w:val="clear" w:color="auto" w:fill="FFFFFF"/>
        <w:spacing w:after="0" w:line="240" w:lineRule="auto"/>
        <w:ind w:left="992" w:right="760"/>
        <w:jc w:val="both"/>
        <w:rPr>
          <w:i/>
        </w:rPr>
      </w:pPr>
      <w:r>
        <w:rPr>
          <w:i/>
        </w:rPr>
        <w:t xml:space="preserve">Registro 174338 </w:t>
      </w:r>
    </w:p>
    <w:p w:rsidR="000B3114" w:rsidRDefault="00DE4D0B">
      <w:pPr>
        <w:shd w:val="clear" w:color="auto" w:fill="FFFFFF"/>
        <w:spacing w:after="0" w:line="240" w:lineRule="auto"/>
        <w:ind w:left="992" w:right="760"/>
        <w:jc w:val="both"/>
        <w:rPr>
          <w:i/>
        </w:rPr>
      </w:pPr>
      <w:r>
        <w:rPr>
          <w:i/>
        </w:rPr>
        <w:t>Instancia Tribunales Colegiados de Circuito</w:t>
      </w:r>
    </w:p>
    <w:p w:rsidR="000B3114" w:rsidRDefault="00DE4D0B">
      <w:pPr>
        <w:shd w:val="clear" w:color="auto" w:fill="FFFFFF"/>
        <w:spacing w:after="0" w:line="240" w:lineRule="auto"/>
        <w:ind w:left="992" w:right="760"/>
        <w:jc w:val="both"/>
        <w:rPr>
          <w:i/>
        </w:rPr>
      </w:pPr>
      <w:r>
        <w:rPr>
          <w:i/>
        </w:rPr>
        <w:t xml:space="preserve"> Tipo de Tesis: Aislada </w:t>
      </w:r>
    </w:p>
    <w:p w:rsidR="000B3114" w:rsidRDefault="00DE4D0B">
      <w:pPr>
        <w:shd w:val="clear" w:color="auto" w:fill="FFFFFF"/>
        <w:spacing w:after="0" w:line="240" w:lineRule="auto"/>
        <w:ind w:left="992" w:right="760"/>
        <w:jc w:val="both"/>
        <w:rPr>
          <w:i/>
        </w:rPr>
      </w:pPr>
      <w:r>
        <w:rPr>
          <w:i/>
        </w:rPr>
        <w:t xml:space="preserve">Fuente Semanario Judicial de la Federación y su Gaceta </w:t>
      </w:r>
    </w:p>
    <w:p w:rsidR="000B3114" w:rsidRDefault="00DE4D0B">
      <w:pPr>
        <w:shd w:val="clear" w:color="auto" w:fill="FFFFFF"/>
        <w:spacing w:after="0" w:line="240" w:lineRule="auto"/>
        <w:ind w:left="992" w:right="760"/>
        <w:jc w:val="both"/>
        <w:rPr>
          <w:rFonts w:ascii="Palatino Linotype" w:eastAsia="Palatino Linotype" w:hAnsi="Palatino Linotype" w:cs="Palatino Linotype"/>
          <w:b/>
          <w:i/>
        </w:rPr>
      </w:pPr>
      <w:r>
        <w:rPr>
          <w:i/>
        </w:rPr>
        <w:t>Tomo XXIV. Agosto</w:t>
      </w:r>
    </w:p>
    <w:p w:rsidR="000B3114" w:rsidRDefault="00DE4D0B">
      <w:pPr>
        <w:shd w:val="clear" w:color="auto" w:fill="FFFFFF"/>
        <w:spacing w:after="0" w:line="240" w:lineRule="auto"/>
        <w:ind w:left="992" w:right="760"/>
        <w:jc w:val="both"/>
        <w:rPr>
          <w:rFonts w:ascii="Palatino Linotype" w:eastAsia="Palatino Linotype" w:hAnsi="Palatino Linotype" w:cs="Palatino Linotype"/>
          <w:i/>
        </w:rPr>
      </w:pPr>
      <w:r>
        <w:rPr>
          <w:rFonts w:ascii="Palatino Linotype" w:eastAsia="Palatino Linotype" w:hAnsi="Palatino Linotype" w:cs="Palatino Linotype"/>
          <w:i/>
        </w:rPr>
        <w:t xml:space="preserve">SUSPENSIÓN EN EL AMPARO. CONFORME A LA TEORÍA DE PONDERACIÓN DE PRINCIPIOS DEBE NEGARSE SI EL INTERÉS SOCIAL CONSTITUCIONALMENTE TUTELADO ES PREFERENTE AL DEL PARTICULAR. </w:t>
      </w:r>
    </w:p>
    <w:p w:rsidR="000B3114" w:rsidRDefault="00DE4D0B">
      <w:pPr>
        <w:shd w:val="clear" w:color="auto" w:fill="FFFFFF"/>
        <w:spacing w:after="0" w:line="240" w:lineRule="auto"/>
        <w:ind w:left="992" w:right="760"/>
        <w:jc w:val="both"/>
        <w:rPr>
          <w:rFonts w:ascii="Palatino Linotype" w:eastAsia="Palatino Linotype" w:hAnsi="Palatino Linotype" w:cs="Palatino Linotype"/>
          <w:b/>
          <w:i/>
        </w:rPr>
      </w:pPr>
      <w:r>
        <w:rPr>
          <w:rFonts w:ascii="Palatino Linotype" w:eastAsia="Palatino Linotype" w:hAnsi="Palatino Linotype" w:cs="Palatino Linotype"/>
          <w:b/>
          <w:i/>
        </w:rPr>
        <w:t>Cuando dos derechos fundamentales entran en colisión, se debe resolver el problema atendiendo a las características y naturaleza del caso concreto, conforme al criterio de proporcionalidad, ponderando los elementos o subprincipio</w:t>
      </w:r>
      <w:r>
        <w:rPr>
          <w:rFonts w:ascii="Palatino Linotype" w:eastAsia="Palatino Linotype" w:hAnsi="Palatino Linotype" w:cs="Palatino Linotype"/>
          <w:i/>
        </w:rPr>
        <w:t xml:space="preserve">s siguientes: a) </w:t>
      </w:r>
      <w:r>
        <w:rPr>
          <w:rFonts w:ascii="Palatino Linotype" w:eastAsia="Palatino Linotype" w:hAnsi="Palatino Linotype" w:cs="Palatino Linotype"/>
          <w:b/>
          <w:i/>
          <w:u w:val="single"/>
        </w:rPr>
        <w:t>idoneidad,</w:t>
      </w:r>
      <w:r>
        <w:rPr>
          <w:rFonts w:ascii="Palatino Linotype" w:eastAsia="Palatino Linotype" w:hAnsi="Palatino Linotype" w:cs="Palatino Linotype"/>
          <w:i/>
        </w:rPr>
        <w:t xml:space="preserve"> la cual es la legitimidad constitucional del principio adoptado como preferente, por resultar ser el adecuado para el logro de un fin constitucionalmente válido o apto para conseguir el objetivo pretendido; b) </w:t>
      </w:r>
      <w:r>
        <w:rPr>
          <w:rFonts w:ascii="Palatino Linotype" w:eastAsia="Palatino Linotype" w:hAnsi="Palatino Linotype" w:cs="Palatino Linotype"/>
          <w:b/>
          <w:i/>
          <w:u w:val="single"/>
        </w:rPr>
        <w:t>necesidad,</w:t>
      </w:r>
      <w:r>
        <w:rPr>
          <w:rFonts w:ascii="Palatino Linotype" w:eastAsia="Palatino Linotype" w:hAnsi="Palatino Linotype" w:cs="Palatino Linotype"/>
          <w:i/>
        </w:rPr>
        <w:t xml:space="preserve"> consistente en que no exista otro medio menos limitativo para satisfacer el fin del interés público y que sacrifique, en menor medida, los principios constitucionales afectados por el uso de esos medios; o sea, que resulte imprescindible la restricción, porque no exista un medio menos oneroso, en términos del sacrificio de otros principios constitucionales, para alcanzar el fin deseado y que afecten en menor grado los derechos fundamentales de los implicados; y c</w:t>
      </w:r>
      <w:r>
        <w:rPr>
          <w:rFonts w:ascii="Palatino Linotype" w:eastAsia="Palatino Linotype" w:hAnsi="Palatino Linotype" w:cs="Palatino Linotype"/>
          <w:b/>
          <w:i/>
          <w:u w:val="single"/>
        </w:rPr>
        <w:t>) el mandato de proporcionalidad</w:t>
      </w:r>
      <w:r>
        <w:rPr>
          <w:rFonts w:ascii="Palatino Linotype" w:eastAsia="Palatino Linotype" w:hAnsi="Palatino Linotype" w:cs="Palatino Linotype"/>
          <w:i/>
        </w:rPr>
        <w:t xml:space="preserve"> entre medios y fines </w:t>
      </w:r>
      <w:r>
        <w:rPr>
          <w:rFonts w:ascii="Palatino Linotype" w:eastAsia="Palatino Linotype" w:hAnsi="Palatino Linotype" w:cs="Palatino Linotype"/>
          <w:i/>
        </w:rPr>
        <w:lastRenderedPageBreak/>
        <w:t>implica que al elegir entre un perjuicio y un beneficio a favor de dos bienes tutelados, el principio satisfecho o que resulta privilegiado lo sea en mayor proporción que el sacrificado. Esto es que no se renuncie o sacrifiquen valores y principios con mayor peso o medida a aquel que se desea satisfacer. Así, el derecho o principio que debe prevalecer, en el caso, es aquel que optimice los intereses en conflicto y, por ende, privilegiándose el que resulte indispensable y que conlleve a un mayor beneficio o cause un menor daño. Consecuentemente, tratándose de la suspensión debe negarse dicha medida cautelar cuando el interés social constitucionalmente tutelado es preferente al del particular, ya que el derecho o principio a primar debe ser aquel que cause un menor daño y el que resulta indispensable privilegiarse, o sea, el que evidentemente conlleve a un mayor beneficio.” (Sic)</w:t>
      </w:r>
    </w:p>
    <w:p w:rsidR="000B3114" w:rsidRDefault="000B3114">
      <w:pPr>
        <w:shd w:val="clear" w:color="auto" w:fill="FFFFFF"/>
        <w:spacing w:after="280" w:line="360" w:lineRule="auto"/>
        <w:jc w:val="both"/>
        <w:rPr>
          <w:rFonts w:ascii="Palatino Linotype" w:eastAsia="Palatino Linotype" w:hAnsi="Palatino Linotype" w:cs="Palatino Linotype"/>
          <w:sz w:val="24"/>
          <w:szCs w:val="24"/>
        </w:rPr>
      </w:pPr>
    </w:p>
    <w:p w:rsidR="000B3114" w:rsidRDefault="00DE4D0B">
      <w:pPr>
        <w:shd w:val="clear" w:color="auto" w:fill="FFFFFF"/>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que se desprende que, cuando dos derechos fundamentales entran en colisión debe resolverse el problema atendiendo a las características y naturaleza del caso concreto, conforme al criterio de</w:t>
      </w:r>
      <w:r>
        <w:rPr>
          <w:rFonts w:ascii="Palatino Linotype" w:eastAsia="Palatino Linotype" w:hAnsi="Palatino Linotype" w:cs="Palatino Linotype"/>
          <w:b/>
          <w:sz w:val="24"/>
          <w:szCs w:val="24"/>
          <w:u w:val="single"/>
        </w:rPr>
        <w:t xml:space="preserve"> proporcionalidad, ponderando los elementos o subprincipios siguientes: a) Idoneidad. b) necesidad y c) proporcionalidad:</w:t>
      </w:r>
    </w:p>
    <w:p w:rsidR="000B3114" w:rsidRDefault="00DE4D0B">
      <w:pPr>
        <w:numPr>
          <w:ilvl w:val="0"/>
          <w:numId w:val="6"/>
        </w:numPr>
        <w:pBdr>
          <w:top w:val="nil"/>
          <w:left w:val="nil"/>
          <w:bottom w:val="nil"/>
          <w:right w:val="nil"/>
          <w:between w:val="nil"/>
        </w:pBdr>
        <w:shd w:val="clear" w:color="auto" w:fill="FFFFFF"/>
        <w:spacing w:before="280" w:after="280" w:line="24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Análisis en el caso en concreto de la primera grada de la ponderación: Idoneidad. </w:t>
      </w:r>
    </w:p>
    <w:p w:rsidR="000B3114" w:rsidRDefault="00DE4D0B">
      <w:pPr>
        <w:shd w:val="clear" w:color="auto" w:fill="FFFFFF"/>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Cabe recordar que, sin la intención de entrar en materia de los derechos que involucran el procedimiento que únicamente compete a la Comisión Legislativa de Límites Territoriales del Estado de México perteneciente al Poder Legislativo del Estado de México y a los Sujetos Obligados involucrados, esta autoridad se abocara a la publicidad de la información que se ordena por motivo de la existencia de un interés social que motiva y obliga hacerla del dominio público.</w:t>
      </w:r>
    </w:p>
    <w:p w:rsidR="000B3114" w:rsidRDefault="00DE4D0B">
      <w:pPr>
        <w:shd w:val="clear" w:color="auto" w:fill="FFFFFF"/>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Una vez puntualizado lo anterior, la presente solicitud de acceso a la información para este Órgano Garante del Derecho de Acceso a la Información evidencia el ejercicio del derecho de acceso a la información, en contraposición al derecho de sigilo que deben guardar los expedientes que se generan a raíz del procedimiento para la solución de diferendos limítrofes intermunicipales cuando aún no ha quedado firme o no haya concluido. </w:t>
      </w:r>
    </w:p>
    <w:p w:rsidR="000B3114" w:rsidRDefault="00DE4D0B">
      <w:pPr>
        <w:shd w:val="clear" w:color="auto" w:fill="FFFFFF"/>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Al respecto, ambos derechos se encuentran reconocidos en el plano constitucional, en igualdad de características para los gobernados. Sin embargo, en el presente caso, existe una trascendencia social del caso relacionado con la información correspondiente al conflicto diferendo limítrofe con el municipio de Acolman, en atención a los siguientes argumentos: </w:t>
      </w:r>
    </w:p>
    <w:p w:rsidR="000B3114" w:rsidRDefault="00DE4D0B">
      <w:pPr>
        <w:shd w:val="clear" w:color="auto" w:fill="FFFFFF"/>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Primero, es precedente la publicidad de la referida información en atención a la proyección pública de las partes, ya que de acuerdo al artículo 115 de la Constitución Política de los Estados Unidos Mexicanos, define al municipio como:</w:t>
      </w:r>
    </w:p>
    <w:p w:rsidR="000B3114" w:rsidRDefault="00DE4D0B">
      <w:pPr>
        <w:shd w:val="clear" w:color="auto" w:fill="FFFFFF"/>
        <w:spacing w:before="280" w:after="280"/>
        <w:ind w:left="993"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115</w:t>
      </w:r>
      <w:r>
        <w:rPr>
          <w:rFonts w:ascii="Palatino Linotype" w:eastAsia="Palatino Linotype" w:hAnsi="Palatino Linotype" w:cs="Palatino Linotype"/>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0B3114" w:rsidRDefault="00DE4D0B">
      <w:pPr>
        <w:shd w:val="clear" w:color="auto" w:fill="FFFFFF"/>
        <w:spacing w:before="280" w:after="280"/>
        <w:ind w:left="993" w:right="616"/>
        <w:jc w:val="both"/>
        <w:rPr>
          <w:rFonts w:ascii="Palatino Linotype" w:eastAsia="Palatino Linotype" w:hAnsi="Palatino Linotype" w:cs="Palatino Linotype"/>
          <w:i/>
        </w:rPr>
      </w:pPr>
      <w:r>
        <w:rPr>
          <w:rFonts w:ascii="Palatino Linotype" w:eastAsia="Palatino Linotype" w:hAnsi="Palatino Linotype" w:cs="Palatino Linotype"/>
          <w:b/>
          <w:i/>
          <w:u w:val="single"/>
        </w:rPr>
        <w:t>I. Cada Municipio será gobernado por un Ayuntamiento de elección popular directa, integrado por un Presidente o Presidenta Municipal y el número de regidurías y sindicaturas que la ley determine, de conformidad con el principio de paridad.</w:t>
      </w:r>
    </w:p>
    <w:p w:rsidR="000B3114" w:rsidRDefault="00DE4D0B">
      <w:pPr>
        <w:shd w:val="clear" w:color="auto" w:fill="FFFFFF"/>
        <w:spacing w:before="280" w:after="280"/>
        <w:ind w:left="993" w:right="616"/>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 La competencia que esta Constitución otorga al gobierno municipal se ejercerá por el Ayuntamiento de manera exclusiva y no habrá autoridad intermedia alguna entre éste y el gobierno del Estado. </w:t>
      </w:r>
    </w:p>
    <w:p w:rsidR="000B3114" w:rsidRDefault="00DE4D0B">
      <w:pPr>
        <w:shd w:val="clear" w:color="auto" w:fill="FFFFFF"/>
        <w:spacing w:before="280" w:after="280"/>
        <w:ind w:left="993" w:right="616"/>
        <w:jc w:val="both"/>
        <w:rPr>
          <w:rFonts w:ascii="Palatino Linotype" w:eastAsia="Palatino Linotype" w:hAnsi="Palatino Linotype" w:cs="Palatino Linotype"/>
          <w:i/>
        </w:rPr>
      </w:pPr>
      <w:r>
        <w:rPr>
          <w:rFonts w:ascii="Palatino Linotype" w:eastAsia="Palatino Linotype" w:hAnsi="Palatino Linotype" w:cs="Palatino Linotype"/>
          <w:b/>
          <w:i/>
        </w:rPr>
        <w:t>Las Constituciones de los estados deberán establecer la elección consecutiva para el mismo cargo de presidentes municipales, regidores y síndicos, por un período adicional, siempre y cuando el periodo del mandato de los ayuntamientos no sea superior a tres años</w:t>
      </w:r>
      <w:r>
        <w:rPr>
          <w:rFonts w:ascii="Palatino Linotype" w:eastAsia="Palatino Linotype" w:hAnsi="Palatino Linotype" w:cs="Palatino Linotype"/>
          <w:i/>
        </w:rPr>
        <w:t xml:space="preserve">. </w:t>
      </w:r>
    </w:p>
    <w:p w:rsidR="000B3114" w:rsidRDefault="00DE4D0B">
      <w:pPr>
        <w:shd w:val="clear" w:color="auto" w:fill="FFFFFF"/>
        <w:spacing w:before="280" w:after="0"/>
        <w:ind w:left="992"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La postulación sólo podrá ser realizada por el mismo partido o por cualquiera de los partidos integrantes de la coalición que lo hubieren postulado, salvo que hayan renunciado o perdido su militancia antes de la mitad de su mandato. </w:t>
      </w:r>
    </w:p>
    <w:p w:rsidR="000B3114" w:rsidRDefault="00DE4D0B">
      <w:pPr>
        <w:shd w:val="clear" w:color="auto" w:fill="FFFFFF"/>
        <w:spacing w:after="0"/>
        <w:ind w:left="992" w:right="616"/>
        <w:jc w:val="both"/>
        <w:rPr>
          <w:rFonts w:ascii="Palatino Linotype" w:eastAsia="Palatino Linotype" w:hAnsi="Palatino Linotype" w:cs="Palatino Linotype"/>
          <w:i/>
        </w:rPr>
      </w:pPr>
      <w:r>
        <w:rPr>
          <w:rFonts w:ascii="Palatino Linotype" w:eastAsia="Palatino Linotype" w:hAnsi="Palatino Linotype" w:cs="Palatino Linotype"/>
          <w:i/>
        </w:rPr>
        <w:t>…</w:t>
      </w:r>
    </w:p>
    <w:p w:rsidR="000B3114" w:rsidRDefault="00DE4D0B">
      <w:pPr>
        <w:shd w:val="clear" w:color="auto" w:fill="FFFFFF"/>
        <w:spacing w:after="0"/>
        <w:ind w:left="992"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II.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0B3114" w:rsidRDefault="00DE4D0B">
      <w:pPr>
        <w:shd w:val="clear" w:color="auto" w:fill="FFFFFF"/>
        <w:spacing w:after="0"/>
        <w:ind w:left="992"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El objeto de las leyes a que se refiere el párrafo anterior será establecer: </w:t>
      </w:r>
    </w:p>
    <w:p w:rsidR="000B3114" w:rsidRDefault="00DE4D0B">
      <w:pPr>
        <w:shd w:val="clear" w:color="auto" w:fill="FFFFFF"/>
        <w:spacing w:after="0"/>
        <w:ind w:left="992" w:right="616"/>
        <w:jc w:val="both"/>
        <w:rPr>
          <w:rFonts w:ascii="Palatino Linotype" w:eastAsia="Palatino Linotype" w:hAnsi="Palatino Linotype" w:cs="Palatino Linotype"/>
          <w:i/>
        </w:rPr>
      </w:pPr>
      <w:r>
        <w:rPr>
          <w:rFonts w:ascii="Palatino Linotype" w:eastAsia="Palatino Linotype" w:hAnsi="Palatino Linotype" w:cs="Palatino Linotype"/>
          <w:b/>
          <w:i/>
        </w:rPr>
        <w:t>a) 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r>
        <w:rPr>
          <w:rFonts w:ascii="Palatino Linotype" w:eastAsia="Palatino Linotype" w:hAnsi="Palatino Linotype" w:cs="Palatino Linotype"/>
          <w:i/>
        </w:rPr>
        <w:t>…(Sic)</w:t>
      </w:r>
    </w:p>
    <w:p w:rsidR="000B3114" w:rsidRDefault="000B3114">
      <w:pPr>
        <w:shd w:val="clear" w:color="auto" w:fill="FFFFFF"/>
        <w:spacing w:after="0" w:line="360" w:lineRule="auto"/>
        <w:jc w:val="both"/>
        <w:rPr>
          <w:rFonts w:ascii="Palatino Linotype" w:eastAsia="Palatino Linotype" w:hAnsi="Palatino Linotype" w:cs="Palatino Linotype"/>
          <w:sz w:val="24"/>
          <w:szCs w:val="24"/>
        </w:rPr>
      </w:pPr>
    </w:p>
    <w:p w:rsidR="000B3114" w:rsidRDefault="00DE4D0B">
      <w:pPr>
        <w:shd w:val="clear" w:color="auto" w:fill="FFFFFF"/>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que se robustece con lo señalado por el artículo 1 de la Ley Municipal del Estado de México, que señala:</w:t>
      </w:r>
    </w:p>
    <w:p w:rsidR="000B3114" w:rsidRDefault="000B3114">
      <w:pPr>
        <w:shd w:val="clear" w:color="auto" w:fill="FFFFFF"/>
        <w:spacing w:after="0" w:line="360" w:lineRule="auto"/>
        <w:jc w:val="both"/>
        <w:rPr>
          <w:rFonts w:ascii="Palatino Linotype" w:eastAsia="Palatino Linotype" w:hAnsi="Palatino Linotype" w:cs="Palatino Linotype"/>
          <w:sz w:val="24"/>
          <w:szCs w:val="24"/>
        </w:rPr>
      </w:pPr>
    </w:p>
    <w:p w:rsidR="000B3114" w:rsidRDefault="00DE4D0B">
      <w:pPr>
        <w:shd w:val="clear" w:color="auto" w:fill="FFFFFF"/>
        <w:spacing w:after="280"/>
        <w:ind w:left="993" w:right="758"/>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1.-</w:t>
      </w:r>
      <w:r>
        <w:rPr>
          <w:rFonts w:ascii="Palatino Linotype" w:eastAsia="Palatino Linotype" w:hAnsi="Palatino Linotype" w:cs="Palatino Linotype"/>
          <w:i/>
        </w:rPr>
        <w:t xml:space="preserve"> Esta Ley es de interés público y tiene por objeto regular las bases para la integración y organización del territorio, la población, el gobierno y la administración pública municipales. </w:t>
      </w:r>
    </w:p>
    <w:p w:rsidR="000B3114" w:rsidRDefault="00DE4D0B">
      <w:pPr>
        <w:shd w:val="clear" w:color="auto" w:fill="FFFFFF"/>
        <w:spacing w:before="280" w:after="280"/>
        <w:ind w:left="993" w:right="758"/>
        <w:jc w:val="both"/>
        <w:rPr>
          <w:rFonts w:ascii="Palatino Linotype" w:eastAsia="Palatino Linotype" w:hAnsi="Palatino Linotype" w:cs="Palatino Linotype"/>
          <w:b/>
          <w:i/>
        </w:rPr>
      </w:pPr>
      <w:r>
        <w:rPr>
          <w:rFonts w:ascii="Palatino Linotype" w:eastAsia="Palatino Linotype" w:hAnsi="Palatino Linotype" w:cs="Palatino Linotype"/>
          <w:b/>
          <w:i/>
        </w:rPr>
        <w:t>El municipio libre es la base de la división territorial y de la organización política del Estado, investido de personalidad jurídica propia, integrado por una comunidad establecida en un territorio, con un gobierno autónomo en su régimen interior y en la administración de su hacienda pública, en términos del Artículo 115 de la Constitución Política de los Estados Unidos Mexicanos.” (sic)</w:t>
      </w:r>
    </w:p>
    <w:p w:rsidR="000B3114" w:rsidRDefault="00DE4D0B">
      <w:pPr>
        <w:shd w:val="clear" w:color="auto" w:fill="FFFFFF"/>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se precisa la existencia de elementos objetivos que permiten demostrar la relevancia del asunto por virtud de tratarse de municipios que son conocidos por todos, es decir, son entes públicos ya que su esencia es realizar actividades de interés público.</w:t>
      </w:r>
    </w:p>
    <w:p w:rsidR="000B3114" w:rsidRDefault="00DE4D0B">
      <w:pPr>
        <w:shd w:val="clear" w:color="auto" w:fill="FFFFFF"/>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tal contexto, la única forma que tiene la ciudadanía en general de constatar el buen funcionamiento y actuar del Ayuntamiento de Ecatepec de Morelos y el Ayuntamiento de Acolman, es accediendo a esta actuación de dicha autoridad mediante el derecho de acceso a la información pública, lo que le permitirá valorar el desempeño y actuar en la documentación que contiene relacionado con los conflictos por límites territoriales del municipio de Ecatepec de Morelos con el Municipio de Acolman, al verse involucrados entes públicos. </w:t>
      </w:r>
    </w:p>
    <w:p w:rsidR="000B3114" w:rsidRDefault="00DE4D0B">
      <w:pPr>
        <w:shd w:val="clear" w:color="auto" w:fill="FFFFFF"/>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Ante este panorama, es que se considera que existe un inminente interés público de conocer la documentación que contiene el conflicto por límites territoriales del municipio de Ecatepec de Morelos con el Municipio de Acolman, pues el permitir el acceso a la misma fomentaría la transparencia de las actividades el Ayuntamiento </w:t>
      </w:r>
      <w:r>
        <w:rPr>
          <w:rFonts w:ascii="Palatino Linotype" w:eastAsia="Palatino Linotype" w:hAnsi="Palatino Linotype" w:cs="Palatino Linotype"/>
          <w:sz w:val="24"/>
          <w:szCs w:val="24"/>
        </w:rPr>
        <w:lastRenderedPageBreak/>
        <w:t>de Ecatepec de Morelos, promoviendo de manera implícita la responsabilidad de los funcionarios sobre su gestión pública, es decir, se  considera  que el derecho  de  acceso  a  la información  es  el  medio que colma el principio de  idoneidad  para  la  rendición  de  cuentas  por  parte  de  la autoridad  sobre  la  efectiva  investigación  de  hechos  que  son  de  la  más  alta relevancia, al estar relacionados  con el quehacer  público y el desempeño de los servidores públicos.</w:t>
      </w:r>
    </w:p>
    <w:p w:rsidR="000B3114" w:rsidRDefault="00DE4D0B">
      <w:pPr>
        <w:shd w:val="clear" w:color="auto" w:fill="FFFFFF"/>
        <w:spacing w:before="280" w:after="28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las autoridades, en el caso de mérito.</w:t>
      </w:r>
      <w:r>
        <w:rPr>
          <w:rFonts w:ascii="Palatino Linotype" w:eastAsia="Palatino Linotype" w:hAnsi="Palatino Linotype" w:cs="Palatino Linotype"/>
          <w:b/>
          <w:sz w:val="24"/>
          <w:szCs w:val="24"/>
        </w:rPr>
        <w:t xml:space="preserve"> </w:t>
      </w:r>
    </w:p>
    <w:p w:rsidR="000B3114" w:rsidRDefault="00DE4D0B">
      <w:pPr>
        <w:numPr>
          <w:ilvl w:val="0"/>
          <w:numId w:val="6"/>
        </w:numPr>
        <w:pBdr>
          <w:top w:val="nil"/>
          <w:left w:val="nil"/>
          <w:bottom w:val="nil"/>
          <w:right w:val="nil"/>
          <w:between w:val="nil"/>
        </w:pBdr>
        <w:shd w:val="clear" w:color="auto" w:fill="FFFFFF"/>
        <w:spacing w:before="280" w:after="280" w:line="24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Análisis de la segunda grada de la ponderación: Necesidad. </w:t>
      </w:r>
    </w:p>
    <w:p w:rsidR="000B3114" w:rsidRDefault="00DE4D0B">
      <w:pPr>
        <w:shd w:val="clear" w:color="auto" w:fill="FFFFFF"/>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Nuestra carta magna, así como diversos ordenamientos reconocen los principios bajo los cuales deben regirse los procedimientos administrativos, como lo es el principio de publicidad que implica el deber del dictaminador de procurar que el proceso se desarrolle con conocimiento público, es decir, se admite la posibilidad de que el desarrollo general del proceso y determinados actos procesales sean de conocimiento de cualquier interesado, este principio constituye una garantía de la administración de la justicia, a fin de demostrar que no existe algo escondido en el proceso, que preste a suspicacias de las partes o duda en cuanto a la imparcialidad de la autoridad señalada.</w:t>
      </w:r>
    </w:p>
    <w:p w:rsidR="000B3114" w:rsidRDefault="00DE4D0B">
      <w:pPr>
        <w:shd w:val="clear" w:color="auto" w:fill="FFFFFF"/>
        <w:spacing w:before="280" w:after="280" w:line="360" w:lineRule="auto"/>
        <w:jc w:val="both"/>
        <w:rPr>
          <w:rFonts w:ascii="Palatino Linotype" w:eastAsia="Palatino Linotype" w:hAnsi="Palatino Linotype" w:cs="Palatino Linotype"/>
          <w:color w:val="FF0000"/>
          <w:sz w:val="24"/>
          <w:szCs w:val="24"/>
        </w:rPr>
      </w:pPr>
      <w:r>
        <w:rPr>
          <w:rFonts w:ascii="Palatino Linotype" w:eastAsia="Palatino Linotype" w:hAnsi="Palatino Linotype" w:cs="Palatino Linotype"/>
          <w:sz w:val="24"/>
          <w:szCs w:val="24"/>
        </w:rPr>
        <w:lastRenderedPageBreak/>
        <w:t xml:space="preserve">En este sentido, la  Corte Interamericana de Derechos Humanos al resolver el </w:t>
      </w:r>
      <w:r>
        <w:rPr>
          <w:rFonts w:ascii="Palatino Linotype" w:eastAsia="Palatino Linotype" w:hAnsi="Palatino Linotype" w:cs="Palatino Linotype"/>
          <w:i/>
          <w:sz w:val="24"/>
          <w:szCs w:val="24"/>
        </w:rPr>
        <w:t>Caso Claude Reyes y otros vs. Chile</w:t>
      </w:r>
      <w:r>
        <w:rPr>
          <w:rFonts w:ascii="Palatino Linotype" w:eastAsia="Palatino Linotype" w:hAnsi="Palatino Linotype" w:cs="Palatino Linotype"/>
          <w:sz w:val="24"/>
          <w:szCs w:val="24"/>
          <w:vertAlign w:val="superscript"/>
        </w:rPr>
        <w:footnoteReference w:id="6"/>
      </w:r>
      <w:r>
        <w:rPr>
          <w:rFonts w:ascii="Palatino Linotype" w:eastAsia="Palatino Linotype" w:hAnsi="Palatino Linotype" w:cs="Palatino Linotype"/>
          <w:sz w:val="24"/>
          <w:szCs w:val="24"/>
        </w:rPr>
        <w:t>, estimó que el actuar del Estado debe encontrarse regido por los principios de publicidad y transparencia en la gestión pública haciendo posible que las personas que se encuentran bajo su jurisdicción ejerzan el control democrático de las gestiones estatales, de forma tal que, puedan cuestionar, indagar y considerar si se está dando un adecuado cumplimiento de las funciones públicas.</w:t>
      </w:r>
    </w:p>
    <w:p w:rsidR="000B3114" w:rsidRDefault="00DE4D0B">
      <w:pPr>
        <w:shd w:val="clear" w:color="auto" w:fill="FFFFFF"/>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la divulgación de la información en poder del Estado, que sea de interés público, juega un rol muy importante en una sociedad democrática, pues habilita a la sociedad civil para controlar las acciones del gobierno a quien ha confiado la protección de sus intereses, lo cual </w:t>
      </w:r>
      <w:r>
        <w:rPr>
          <w:rFonts w:ascii="Palatino Linotype" w:eastAsia="Palatino Linotype" w:hAnsi="Palatino Linotype" w:cs="Palatino Linotype"/>
          <w:b/>
          <w:sz w:val="24"/>
          <w:szCs w:val="24"/>
        </w:rPr>
        <w:t>es necesario para evitar abusos de los funcionarios gubernamentales, promover la rendición de cuentas y la transparencia dentro del Estado y permitir un debate público sólido e informado para asegurar la garantía de contar con recursos efectivos contra tales abusos.</w:t>
      </w:r>
    </w:p>
    <w:p w:rsidR="000B3114" w:rsidRDefault="00DE4D0B">
      <w:pPr>
        <w:shd w:val="clear" w:color="auto" w:fill="FFFFFF"/>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este sentido, este Instituto observa que también se actualiza el principio de necesidad, ya que no existe un medio menos oneroso para lograr el fin constitucionalmente válido, en tanto que el ejercicio del derecho de acceso a la información es la única vía para que cualquier persona acceda al multireferido expediente.</w:t>
      </w:r>
    </w:p>
    <w:p w:rsidR="000B3114" w:rsidRDefault="00DE4D0B">
      <w:pPr>
        <w:shd w:val="clear" w:color="auto" w:fill="FFFFFF"/>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La necesidad de hacer pública el multicitado expediente deriva de la trascendencia social al involucrar entes públicos como quedó demostrado.</w:t>
      </w:r>
    </w:p>
    <w:p w:rsidR="000B3114" w:rsidRDefault="00DE4D0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el acceso a la información de la documentación que contiene el conflicto por límites territoriales del municipio de Ecatepec de Morelos con el Municipio de Acolman,  es una aportación a la rendición de cuentas, que evidencia el actuar de la autoridad encarga del asunto como del SUJETO OBLIGADO en términos de su competencia y atribuciones.</w:t>
      </w:r>
    </w:p>
    <w:p w:rsidR="000B3114" w:rsidRDefault="00DE4D0B">
      <w:pPr>
        <w:numPr>
          <w:ilvl w:val="0"/>
          <w:numId w:val="6"/>
        </w:numPr>
        <w:pBdr>
          <w:top w:val="nil"/>
          <w:left w:val="nil"/>
          <w:bottom w:val="nil"/>
          <w:right w:val="nil"/>
          <w:between w:val="nil"/>
        </w:pBdr>
        <w:shd w:val="clear" w:color="auto" w:fill="FFFFFF"/>
        <w:spacing w:before="280" w:after="28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Finalmente, el análisis de la tercera grada de la ponderación: Proporcionalidad</w:t>
      </w:r>
    </w:p>
    <w:p w:rsidR="000B3114" w:rsidRDefault="00DE4D0B">
      <w:pPr>
        <w:shd w:val="clear" w:color="auto" w:fill="FFFFFF"/>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divulgar una decisión tomada por una autoridad derivado de un procedimiento que no ha concluido, pero que le reviste el carácter de interés público, permite conocer de alguna forma los elementos tomados en consideración por éste para resolver en tal o cual sentido u otorgar el beneficio del derecho a tal o cual persona y, por ende, se justifica en razón de que se satisface el interés público de valorar el desempeño, la eficiencia y eficacia del dictaminador en el caso que se analiza.</w:t>
      </w:r>
    </w:p>
    <w:p w:rsidR="000B3114" w:rsidRDefault="00DE4D0B">
      <w:pPr>
        <w:spacing w:line="360" w:lineRule="auto"/>
        <w:jc w:val="both"/>
        <w:rPr>
          <w:rFonts w:ascii="Palatino Linotype" w:eastAsia="Palatino Linotype" w:hAnsi="Palatino Linotype" w:cs="Palatino Linotype"/>
          <w:sz w:val="24"/>
          <w:szCs w:val="24"/>
          <w:highlight w:val="green"/>
        </w:rPr>
      </w:pPr>
      <w:r>
        <w:rPr>
          <w:rFonts w:ascii="Palatino Linotype" w:eastAsia="Palatino Linotype" w:hAnsi="Palatino Linotype" w:cs="Palatino Linotype"/>
          <w:sz w:val="24"/>
          <w:szCs w:val="24"/>
        </w:rPr>
        <w:t>Luego entonces, es posible advertir un margen de beneficio mayor al favorecer el derecho de acceso a la información, respecto de la secrecía a la información que contiene el conflicto de límites territoriales multicitado, pues favorece la rendición de cuentas a los ciudadanos, de manera que puedan valorar el desempeño del Ayuntamiento de Ecatepec de Morelos y fortalece el escrutinio ciudadano sobre sus actividades sustantivas.</w:t>
      </w:r>
    </w:p>
    <w:p w:rsidR="000B3114" w:rsidRDefault="00DE4D0B">
      <w:pPr>
        <w:shd w:val="clear" w:color="auto" w:fill="FFFFFF"/>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De tal suerte, que la intervención que subsume este ejercicio de ponderación apunta a la obtención de mayores efectos positivos para la sociedad y una afectación menor en el bien jurídico de secrecía, favoreciendo el control ciudadano. </w:t>
      </w:r>
    </w:p>
    <w:p w:rsidR="000B3114" w:rsidRDefault="00DE4D0B">
      <w:pPr>
        <w:shd w:val="clear" w:color="auto" w:fill="FFFFFF"/>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resumen, para el caso de que la información que se ordena actualice un supuesto de reserva, al encuadrar en alguna de  las excepciones a  la  publicidad  de  la información  establecida  en  la  Ley   General   de  Transparencia  y  Acceso   a  la Información Pública, replicada en el artículo 140 de la ley local, esta no es procedente por motivos de interés público, por consiguiente es procedente publicidad  pues su difusión contribuirá tanto a garantizar el ejercicio de acceso a la información, como a favorecer la rendición de cuentas a los  ciudadanos,  de  manera  que  puedan valorar el desempeño del Ayuntamiento de Ecatepec de Morelos, fortaleciendo el escrutinio ciudadano sobre sus actividades sustantivas, cumpliendo así con los ideales planteados en los  objetivos previstos en el artículo 2 de la Ley de Transparencia y Acceso a la información Pública del estado de México y Municipios.</w:t>
      </w:r>
    </w:p>
    <w:p w:rsidR="000B3114" w:rsidRDefault="00DE4D0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en el supuesto, de actualizarse la circunstancia fáctica de que, derivado de una búsqueda exhaustiva y razonable, por alguna razón, la información solicitada no obre en sus archivos, tendrá que realizar un Acuerdo de Inexistencia de la Información y notificarlo al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w:t>
      </w:r>
    </w:p>
    <w:p w:rsidR="000B3114" w:rsidRDefault="000B3114">
      <w:pPr>
        <w:spacing w:after="0" w:line="360" w:lineRule="auto"/>
        <w:jc w:val="both"/>
        <w:rPr>
          <w:rFonts w:ascii="Palatino Linotype" w:eastAsia="Palatino Linotype" w:hAnsi="Palatino Linotype" w:cs="Palatino Linotype"/>
          <w:sz w:val="24"/>
          <w:szCs w:val="24"/>
        </w:rPr>
      </w:pPr>
    </w:p>
    <w:p w:rsidR="000B3114" w:rsidRDefault="00DE4D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Dicho acuerdo deberá exponer las razones por las que se buscó la información, las áreas en las que se instruyó la búsqueda, los criterios y los métodos de búsqueda de la información utilizados, las respuestas otorgadas por los Servidores Públicos </w:t>
      </w:r>
      <w:r>
        <w:rPr>
          <w:rFonts w:ascii="Palatino Linotype" w:eastAsia="Palatino Linotype" w:hAnsi="Palatino Linotype" w:cs="Palatino Linotype"/>
          <w:sz w:val="24"/>
          <w:szCs w:val="24"/>
        </w:rPr>
        <w:lastRenderedPageBreak/>
        <w:t xml:space="preserve">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correspondiente, de acuerdo a los artículos 47 y 49, fracciones II y III, de la Ley de Transparencia y Acceso a la Información Pública del Estado de México y Municipios:</w:t>
      </w:r>
    </w:p>
    <w:p w:rsidR="000B3114" w:rsidRDefault="000B3114">
      <w:pPr>
        <w:spacing w:line="360" w:lineRule="auto"/>
        <w:jc w:val="both"/>
        <w:rPr>
          <w:rFonts w:ascii="Palatino Linotype" w:eastAsia="Palatino Linotype" w:hAnsi="Palatino Linotype" w:cs="Palatino Linotype"/>
          <w:sz w:val="24"/>
          <w:szCs w:val="24"/>
        </w:rPr>
      </w:pPr>
    </w:p>
    <w:p w:rsidR="000B3114" w:rsidRDefault="00DE4D0B">
      <w:pPr>
        <w:spacing w:after="0"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47.</w:t>
      </w:r>
      <w:r>
        <w:rPr>
          <w:rFonts w:ascii="Palatino Linotype" w:eastAsia="Palatino Linotype" w:hAnsi="Palatino Linotype" w:cs="Palatino Linotype"/>
          <w:i/>
        </w:rPr>
        <w:t xml:space="preserve"> El Comité de Transparencia será la autoridad máxima al interior del sujeto obligado en materia del derecho de acceso a la información.</w:t>
      </w:r>
    </w:p>
    <w:p w:rsidR="000B3114" w:rsidRDefault="000B3114">
      <w:pPr>
        <w:spacing w:after="0" w:line="360" w:lineRule="auto"/>
        <w:ind w:left="567" w:right="567"/>
        <w:jc w:val="both"/>
        <w:rPr>
          <w:rFonts w:ascii="Palatino Linotype" w:eastAsia="Palatino Linotype" w:hAnsi="Palatino Linotype" w:cs="Palatino Linotype"/>
          <w:i/>
        </w:rPr>
      </w:pPr>
    </w:p>
    <w:p w:rsidR="000B3114" w:rsidRDefault="00DE4D0B">
      <w:pPr>
        <w:spacing w:after="0"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0B3114" w:rsidRDefault="000B3114">
      <w:pPr>
        <w:spacing w:after="0" w:line="360" w:lineRule="auto"/>
        <w:ind w:left="567" w:right="567"/>
        <w:jc w:val="both"/>
        <w:rPr>
          <w:rFonts w:ascii="Palatino Linotype" w:eastAsia="Palatino Linotype" w:hAnsi="Palatino Linotype" w:cs="Palatino Linotype"/>
          <w:i/>
        </w:rPr>
      </w:pPr>
    </w:p>
    <w:p w:rsidR="000B3114" w:rsidRDefault="00DE4D0B">
      <w:pPr>
        <w:spacing w:after="0"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El Comité se reunirá en sesión ordinaria o extraordinaria las veces que estime necesario. El tipo de sesión se precisará en la convocatoria emitida.</w:t>
      </w:r>
    </w:p>
    <w:p w:rsidR="000B3114" w:rsidRDefault="000B3114">
      <w:pPr>
        <w:spacing w:after="0" w:line="360" w:lineRule="auto"/>
        <w:ind w:left="567" w:right="567"/>
        <w:jc w:val="both"/>
        <w:rPr>
          <w:rFonts w:ascii="Palatino Linotype" w:eastAsia="Palatino Linotype" w:hAnsi="Palatino Linotype" w:cs="Palatino Linotype"/>
          <w:i/>
        </w:rPr>
      </w:pPr>
    </w:p>
    <w:p w:rsidR="000B3114" w:rsidRDefault="00DE4D0B">
      <w:pPr>
        <w:spacing w:after="0"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Los integrantes del Comité de Transparencia tendrán acceso a la información para determinar su clasificación, conforme a la normatividad aplicable previamente establecida por los sujetos obligados para el resguardo o salvaguarda de la información.</w:t>
      </w:r>
    </w:p>
    <w:p w:rsidR="000B3114" w:rsidRDefault="000B3114">
      <w:pPr>
        <w:spacing w:after="0" w:line="360" w:lineRule="auto"/>
        <w:ind w:left="567" w:right="567"/>
        <w:jc w:val="both"/>
        <w:rPr>
          <w:rFonts w:ascii="Palatino Linotype" w:eastAsia="Palatino Linotype" w:hAnsi="Palatino Linotype" w:cs="Palatino Linotype"/>
          <w:i/>
        </w:rPr>
      </w:pPr>
    </w:p>
    <w:p w:rsidR="000B3114" w:rsidRDefault="00DE4D0B">
      <w:pPr>
        <w:spacing w:after="0"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En las sesiones y trabajos del Comité, podrán participar como invitados permanentes, los representantes de las áreas que decida el Comité, y contará con derecho de voz, pero no voto.</w:t>
      </w:r>
    </w:p>
    <w:p w:rsidR="000B3114" w:rsidRDefault="000B3114">
      <w:pPr>
        <w:spacing w:after="0" w:line="360" w:lineRule="auto"/>
        <w:ind w:left="567" w:right="567"/>
        <w:jc w:val="both"/>
        <w:rPr>
          <w:rFonts w:ascii="Palatino Linotype" w:eastAsia="Palatino Linotype" w:hAnsi="Palatino Linotype" w:cs="Palatino Linotype"/>
          <w:i/>
        </w:rPr>
      </w:pPr>
    </w:p>
    <w:p w:rsidR="000B3114" w:rsidRDefault="00DE4D0B">
      <w:pPr>
        <w:spacing w:after="0"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Los titulares de las unidades administrativas que propongan la reserva, confidencialidad o declaren la </w:t>
      </w:r>
      <w:r>
        <w:rPr>
          <w:rFonts w:ascii="Palatino Linotype" w:eastAsia="Palatino Linotype" w:hAnsi="Palatino Linotype" w:cs="Palatino Linotype"/>
          <w:i/>
          <w:u w:val="single"/>
        </w:rPr>
        <w:t>inexistencia</w:t>
      </w:r>
      <w:r>
        <w:rPr>
          <w:rFonts w:ascii="Palatino Linotype" w:eastAsia="Palatino Linotype" w:hAnsi="Palatino Linotype" w:cs="Palatino Linotype"/>
          <w:i/>
        </w:rPr>
        <w:t xml:space="preserve"> de información, acudirán a las sesiones de dicho Comité donde se discuta la propuesta correspondiente.”</w:t>
      </w:r>
    </w:p>
    <w:p w:rsidR="000B3114" w:rsidRDefault="000B3114">
      <w:pPr>
        <w:spacing w:after="0" w:line="360" w:lineRule="auto"/>
        <w:ind w:left="567" w:right="567"/>
        <w:jc w:val="both"/>
        <w:rPr>
          <w:rFonts w:ascii="Palatino Linotype" w:eastAsia="Palatino Linotype" w:hAnsi="Palatino Linotype" w:cs="Palatino Linotype"/>
          <w:i/>
        </w:rPr>
      </w:pPr>
    </w:p>
    <w:p w:rsidR="000B3114" w:rsidRDefault="00DE4D0B">
      <w:pPr>
        <w:spacing w:after="0"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49.</w:t>
      </w:r>
      <w:r>
        <w:rPr>
          <w:rFonts w:ascii="Palatino Linotype" w:eastAsia="Palatino Linotype" w:hAnsi="Palatino Linotype" w:cs="Palatino Linotype"/>
          <w:i/>
        </w:rPr>
        <w:t xml:space="preserve"> Los Comités de Transparencia tendrán las siguientes atribuciones:</w:t>
      </w:r>
    </w:p>
    <w:p w:rsidR="000B3114" w:rsidRDefault="00DE4D0B">
      <w:pPr>
        <w:spacing w:after="0"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0B3114" w:rsidRDefault="00DE4D0B">
      <w:pPr>
        <w:spacing w:after="0"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II. Confirmar, modificar o revocar las determinaciones que en materia de ampliación del plazo de respuesta, clasificación de la información y </w:t>
      </w:r>
      <w:r>
        <w:rPr>
          <w:rFonts w:ascii="Palatino Linotype" w:eastAsia="Palatino Linotype" w:hAnsi="Palatino Linotype" w:cs="Palatino Linotype"/>
          <w:i/>
          <w:u w:val="single"/>
        </w:rPr>
        <w:t xml:space="preserve">declaración de inexistencia </w:t>
      </w:r>
      <w:r>
        <w:rPr>
          <w:rFonts w:ascii="Palatino Linotype" w:eastAsia="Palatino Linotype" w:hAnsi="Palatino Linotype" w:cs="Palatino Linotype"/>
          <w:i/>
        </w:rPr>
        <w:t>o de incompetencia realicen los titulares de las áreas de los sujetos obligados;</w:t>
      </w:r>
    </w:p>
    <w:p w:rsidR="000B3114" w:rsidRDefault="00DE4D0B">
      <w:pPr>
        <w:spacing w:after="0"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0B3114" w:rsidRDefault="00DE4D0B">
      <w:pPr>
        <w:spacing w:after="0"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XIII. Dictaminar las declaratorias de inexistencia de la información que les remitan las unidades administrativas y resolver en consecuencia;” (Sic)</w:t>
      </w:r>
    </w:p>
    <w:p w:rsidR="000B3114" w:rsidRDefault="000B3114">
      <w:pPr>
        <w:spacing w:line="360" w:lineRule="auto"/>
        <w:jc w:val="both"/>
        <w:rPr>
          <w:rFonts w:ascii="Palatino Linotype" w:eastAsia="Palatino Linotype" w:hAnsi="Palatino Linotype" w:cs="Palatino Linotype"/>
          <w:i/>
          <w:sz w:val="24"/>
          <w:szCs w:val="24"/>
        </w:rPr>
      </w:pPr>
    </w:p>
    <w:p w:rsidR="000B3114" w:rsidRDefault="00DE4D0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Asimismo, el acuerdo de inexistencia deberá apegarse a lo dispuesto por los artículos 169 y 170, de la Ley de la materia que ordenan: </w:t>
      </w:r>
    </w:p>
    <w:p w:rsidR="000B3114" w:rsidRDefault="000B3114">
      <w:pPr>
        <w:spacing w:line="360" w:lineRule="auto"/>
        <w:jc w:val="both"/>
        <w:rPr>
          <w:rFonts w:ascii="Palatino Linotype" w:eastAsia="Palatino Linotype" w:hAnsi="Palatino Linotype" w:cs="Palatino Linotype"/>
          <w:sz w:val="24"/>
          <w:szCs w:val="24"/>
        </w:rPr>
      </w:pPr>
    </w:p>
    <w:p w:rsidR="000B3114" w:rsidRDefault="00DE4D0B">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169.</w:t>
      </w:r>
      <w:r>
        <w:rPr>
          <w:rFonts w:ascii="Palatino Linotype" w:eastAsia="Palatino Linotype" w:hAnsi="Palatino Linotype" w:cs="Palatino Linotype"/>
          <w:i/>
        </w:rPr>
        <w:t xml:space="preserve"> Cuando la información no se encuentre en los archivos del sujeto obligado, el Comité de Transparencia:</w:t>
      </w:r>
    </w:p>
    <w:p w:rsidR="000B3114" w:rsidRDefault="000B3114">
      <w:pPr>
        <w:spacing w:after="0" w:line="240" w:lineRule="auto"/>
        <w:ind w:left="567" w:right="567"/>
        <w:jc w:val="both"/>
        <w:rPr>
          <w:rFonts w:ascii="Palatino Linotype" w:eastAsia="Palatino Linotype" w:hAnsi="Palatino Linotype" w:cs="Palatino Linotype"/>
          <w:i/>
        </w:rPr>
      </w:pPr>
    </w:p>
    <w:p w:rsidR="000B3114" w:rsidRDefault="00DE4D0B">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 Analizará el caso y tomará las medidas necesarias para localizar la información;</w:t>
      </w:r>
    </w:p>
    <w:p w:rsidR="000B3114" w:rsidRDefault="000B3114">
      <w:pPr>
        <w:spacing w:after="0" w:line="240" w:lineRule="auto"/>
        <w:ind w:left="567" w:right="567"/>
        <w:jc w:val="both"/>
        <w:rPr>
          <w:rFonts w:ascii="Palatino Linotype" w:eastAsia="Palatino Linotype" w:hAnsi="Palatino Linotype" w:cs="Palatino Linotype"/>
          <w:i/>
        </w:rPr>
      </w:pPr>
    </w:p>
    <w:p w:rsidR="000B3114" w:rsidRDefault="00DE4D0B">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II. Expedirá una resolución que confirme la inexistencia del documento;</w:t>
      </w:r>
    </w:p>
    <w:p w:rsidR="000B3114" w:rsidRDefault="000B3114">
      <w:pPr>
        <w:spacing w:after="0" w:line="240" w:lineRule="auto"/>
        <w:ind w:left="567" w:right="567"/>
        <w:jc w:val="both"/>
        <w:rPr>
          <w:rFonts w:ascii="Palatino Linotype" w:eastAsia="Palatino Linotype" w:hAnsi="Palatino Linotype" w:cs="Palatino Linotype"/>
          <w:i/>
        </w:rPr>
      </w:pPr>
    </w:p>
    <w:p w:rsidR="000B3114" w:rsidRDefault="00DE4D0B">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0B3114" w:rsidRDefault="000B3114">
      <w:pPr>
        <w:spacing w:after="0" w:line="240" w:lineRule="auto"/>
        <w:ind w:left="567" w:right="567"/>
        <w:jc w:val="both"/>
        <w:rPr>
          <w:rFonts w:ascii="Palatino Linotype" w:eastAsia="Palatino Linotype" w:hAnsi="Palatino Linotype" w:cs="Palatino Linotype"/>
          <w:i/>
        </w:rPr>
      </w:pPr>
    </w:p>
    <w:p w:rsidR="000B3114" w:rsidRDefault="00DE4D0B">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IV. Notificará al órgano interno de control o equivalente del sujeto obligado quien, en su caso, deberá iniciar el procedimiento de responsabilidad administrativa que corresponda</w:t>
      </w:r>
      <w:r>
        <w:rPr>
          <w:rFonts w:ascii="Palatino Linotype" w:eastAsia="Palatino Linotype" w:hAnsi="Palatino Linotype" w:cs="Palatino Linotype"/>
          <w:i/>
        </w:rPr>
        <w:t>.</w:t>
      </w:r>
    </w:p>
    <w:p w:rsidR="000B3114" w:rsidRDefault="000B3114">
      <w:pPr>
        <w:spacing w:after="0" w:line="240" w:lineRule="auto"/>
        <w:ind w:left="567" w:right="567"/>
        <w:jc w:val="both"/>
        <w:rPr>
          <w:rFonts w:ascii="Palatino Linotype" w:eastAsia="Palatino Linotype" w:hAnsi="Palatino Linotype" w:cs="Palatino Linotype"/>
          <w:i/>
        </w:rPr>
      </w:pPr>
    </w:p>
    <w:p w:rsidR="000B3114" w:rsidRDefault="00DE4D0B">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La Unidad de Transparencia deberá notificarlo al solicitante por escrito, en un plazo que no exceda de quince días hábiles contados a partir del día siguiente a la presentación de la solicitud.</w:t>
      </w:r>
    </w:p>
    <w:p w:rsidR="000B3114" w:rsidRDefault="000B3114">
      <w:pPr>
        <w:spacing w:after="0" w:line="240" w:lineRule="auto"/>
        <w:ind w:left="567" w:right="567"/>
        <w:jc w:val="both"/>
        <w:rPr>
          <w:rFonts w:ascii="Palatino Linotype" w:eastAsia="Palatino Linotype" w:hAnsi="Palatino Linotype" w:cs="Palatino Linotype"/>
          <w:i/>
        </w:rPr>
      </w:pPr>
    </w:p>
    <w:p w:rsidR="000B3114" w:rsidRDefault="00DE4D0B">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Este plazo podrá ampliarse hasta por otros siete días hábiles, siempre que existan razones para ello, debiendo notificarse por escrito al solicitante.</w:t>
      </w:r>
    </w:p>
    <w:p w:rsidR="000B3114" w:rsidRDefault="000B3114">
      <w:pPr>
        <w:spacing w:after="0" w:line="240" w:lineRule="auto"/>
        <w:ind w:left="567" w:right="567"/>
        <w:jc w:val="both"/>
        <w:rPr>
          <w:rFonts w:ascii="Palatino Linotype" w:eastAsia="Palatino Linotype" w:hAnsi="Palatino Linotype" w:cs="Palatino Linotype"/>
          <w:i/>
        </w:rPr>
      </w:pPr>
    </w:p>
    <w:p w:rsidR="000B3114" w:rsidRDefault="00DE4D0B">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170.</w:t>
      </w:r>
      <w:r>
        <w:rPr>
          <w:rFonts w:ascii="Palatino Linotype" w:eastAsia="Palatino Linotype" w:hAnsi="Palatino Linotype" w:cs="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 (Sic)</w:t>
      </w:r>
    </w:p>
    <w:p w:rsidR="000B3114" w:rsidRDefault="000B3114">
      <w:pPr>
        <w:ind w:left="567" w:right="567"/>
        <w:jc w:val="both"/>
        <w:rPr>
          <w:rFonts w:ascii="Palatino Linotype" w:eastAsia="Palatino Linotype" w:hAnsi="Palatino Linotype" w:cs="Palatino Linotype"/>
          <w:sz w:val="24"/>
          <w:szCs w:val="24"/>
        </w:rPr>
      </w:pPr>
    </w:p>
    <w:p w:rsidR="000B3114" w:rsidRDefault="00DE4D0B">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0B3114" w:rsidRDefault="00DE4D0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ese contexto, de conformidad con los </w:t>
      </w:r>
      <w:r>
        <w:rPr>
          <w:rFonts w:ascii="Palatino Linotype" w:eastAsia="Palatino Linotype" w:hAnsi="Palatino Linotype" w:cs="Palatino Linotype"/>
          <w:b/>
          <w:sz w:val="24"/>
          <w:szCs w:val="24"/>
        </w:rPr>
        <w:t>criterios 12/10 y 04/19</w:t>
      </w:r>
      <w:r>
        <w:rPr>
          <w:rFonts w:ascii="Palatino Linotype" w:eastAsia="Palatino Linotype" w:hAnsi="Palatino Linotype" w:cs="Palatino Linotype"/>
          <w:sz w:val="24"/>
          <w:szCs w:val="24"/>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0B3114" w:rsidRDefault="00DE4D0B">
      <w:pPr>
        <w:numPr>
          <w:ilvl w:val="0"/>
          <w:numId w:val="1"/>
        </w:num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Motivación por las que se buscó la información, en determinadas unidades administrativas;</w:t>
      </w:r>
    </w:p>
    <w:p w:rsidR="000B3114" w:rsidRDefault="00DE4D0B">
      <w:pPr>
        <w:numPr>
          <w:ilvl w:val="0"/>
          <w:numId w:val="1"/>
        </w:num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Los criterios de búsqueda utilizados, y</w:t>
      </w:r>
    </w:p>
    <w:p w:rsidR="000B3114" w:rsidRDefault="00DE4D0B">
      <w:pPr>
        <w:numPr>
          <w:ilvl w:val="0"/>
          <w:numId w:val="1"/>
        </w:num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Las circunstancias que fueron tomadas en cuenta.</w:t>
      </w:r>
    </w:p>
    <w:p w:rsidR="000B3114" w:rsidRDefault="000B3114">
      <w:pPr>
        <w:pBdr>
          <w:top w:val="nil"/>
          <w:left w:val="nil"/>
          <w:bottom w:val="nil"/>
          <w:right w:val="nil"/>
          <w:between w:val="nil"/>
        </w:pBdr>
        <w:spacing w:after="0" w:line="360" w:lineRule="auto"/>
        <w:rPr>
          <w:color w:val="000000"/>
          <w:sz w:val="24"/>
          <w:szCs w:val="24"/>
        </w:rPr>
      </w:pPr>
    </w:p>
    <w:p w:rsidR="000B3114" w:rsidRDefault="00DE4D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tales circunstancias, se considera que para que los Sujetos Obligados justifiquen que realizaron una búsqueda exhaustiva y razonable, deben indicar de manera clara, lo siguiente:</w:t>
      </w:r>
    </w:p>
    <w:p w:rsidR="000B3114" w:rsidRDefault="000B3114">
      <w:pPr>
        <w:spacing w:after="0" w:line="360" w:lineRule="auto"/>
        <w:jc w:val="both"/>
        <w:rPr>
          <w:rFonts w:ascii="Palatino Linotype" w:eastAsia="Palatino Linotype" w:hAnsi="Palatino Linotype" w:cs="Palatino Linotype"/>
          <w:sz w:val="24"/>
          <w:szCs w:val="24"/>
        </w:rPr>
      </w:pPr>
    </w:p>
    <w:p w:rsidR="000B3114" w:rsidRDefault="00DE4D0B">
      <w:pPr>
        <w:numPr>
          <w:ilvl w:val="0"/>
          <w:numId w:val="7"/>
        </w:num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Las áreas donde se buscó la información;</w:t>
      </w:r>
    </w:p>
    <w:p w:rsidR="000B3114" w:rsidRDefault="00DE4D0B">
      <w:pPr>
        <w:numPr>
          <w:ilvl w:val="0"/>
          <w:numId w:val="7"/>
        </w:num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Tipo de archivos buscados (físicos o electrónicos);</w:t>
      </w:r>
    </w:p>
    <w:p w:rsidR="000B3114" w:rsidRDefault="00DE4D0B">
      <w:pPr>
        <w:numPr>
          <w:ilvl w:val="0"/>
          <w:numId w:val="7"/>
        </w:num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Los criterios de búsqueda utilizados, y </w:t>
      </w:r>
    </w:p>
    <w:p w:rsidR="000B3114" w:rsidRDefault="00DE4D0B">
      <w:pPr>
        <w:numPr>
          <w:ilvl w:val="0"/>
          <w:numId w:val="7"/>
        </w:num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Las circunstancias que fueron tomadas en cuenta.</w:t>
      </w:r>
    </w:p>
    <w:p w:rsidR="000B3114" w:rsidRDefault="00DE4D0B">
      <w:pPr>
        <w:shd w:val="clear" w:color="auto" w:fill="FFFFFF"/>
        <w:spacing w:before="280" w:after="280" w:line="360" w:lineRule="auto"/>
        <w:jc w:val="both"/>
        <w:rPr>
          <w:rFonts w:ascii="Palatino Linotype" w:eastAsia="Palatino Linotype" w:hAnsi="Palatino Linotype" w:cs="Palatino Linotype"/>
          <w:b/>
          <w:color w:val="000000"/>
          <w:sz w:val="24"/>
          <w:szCs w:val="24"/>
        </w:rPr>
      </w:pPr>
      <w:bookmarkStart w:id="3" w:name="_heading=h.gjdgxs" w:colFirst="0" w:colLast="0"/>
      <w:bookmarkEnd w:id="3"/>
      <w:r>
        <w:rPr>
          <w:rFonts w:ascii="Palatino Linotype" w:eastAsia="Palatino Linotype" w:hAnsi="Palatino Linotype" w:cs="Palatino Linotype"/>
          <w:b/>
          <w:color w:val="000000"/>
          <w:sz w:val="24"/>
          <w:szCs w:val="24"/>
        </w:rPr>
        <w:lastRenderedPageBreak/>
        <w:t xml:space="preserve">QUINTO. VERSIÓN PÚBLICA. </w:t>
      </w:r>
      <w:r>
        <w:rPr>
          <w:rFonts w:ascii="Palatino Linotype" w:eastAsia="Palatino Linotype" w:hAnsi="Palatino Linotype" w:cs="Palatino Linotype"/>
          <w:color w:val="000000"/>
          <w:sz w:val="24"/>
          <w:szCs w:val="24"/>
        </w:rPr>
        <w:t>Como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fue debidamente apuntado, el</w:t>
      </w:r>
      <w:r>
        <w:rPr>
          <w:rFonts w:ascii="Palatino Linotype" w:eastAsia="Palatino Linotype" w:hAnsi="Palatino Linotype" w:cs="Palatino Linotype"/>
          <w:b/>
          <w:color w:val="000000"/>
          <w:sz w:val="24"/>
          <w:szCs w:val="24"/>
        </w:rPr>
        <w:t> SUJETO OBLIGADO</w:t>
      </w:r>
      <w:r>
        <w:rPr>
          <w:rFonts w:ascii="Palatino Linotype" w:eastAsia="Palatino Linotype" w:hAnsi="Palatino Linotype" w:cs="Palatino Linotype"/>
          <w:color w:val="000000"/>
          <w:sz w:val="24"/>
          <w:szCs w:val="24"/>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rsidR="000B3114" w:rsidRDefault="00DE4D0B">
      <w:pPr>
        <w:shd w:val="clear" w:color="auto" w:fill="FFFFFF"/>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0B3114" w:rsidRDefault="00DE4D0B">
      <w:pPr>
        <w:shd w:val="clear" w:color="auto" w:fill="FFFFFF"/>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B3114" w:rsidRDefault="00DE4D0B">
      <w:pPr>
        <w:shd w:val="clear" w:color="auto" w:fill="FFFFFF"/>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0B3114" w:rsidRDefault="00DE4D0B">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 “Artículo 3. Para los efectos de la presente Ley se entenderá por:</w:t>
      </w:r>
    </w:p>
    <w:p w:rsidR="000B3114" w:rsidRDefault="00DE4D0B">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i/>
        </w:rPr>
        <w:t>(…)</w:t>
      </w:r>
    </w:p>
    <w:p w:rsidR="000B3114" w:rsidRDefault="00DE4D0B">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IX. Datos personales:</w:t>
      </w:r>
      <w:r>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rsidR="000B3114" w:rsidRDefault="00DE4D0B">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0B3114" w:rsidRDefault="00DE4D0B">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Aquella considerada por la presente Ley como reservada o confidencial;</w:t>
      </w:r>
    </w:p>
    <w:p w:rsidR="000B3114" w:rsidRDefault="00DE4D0B">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XXI. Información confidencial:</w:t>
      </w:r>
      <w:r>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B3114" w:rsidRDefault="00DE4D0B">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0B3114" w:rsidRDefault="00DE4D0B">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XXXII. Protección de Datos Personales:</w:t>
      </w:r>
      <w:r>
        <w:rPr>
          <w:rFonts w:ascii="Palatino Linotype" w:eastAsia="Palatino Linotype" w:hAnsi="Palatino Linotype" w:cs="Palatino Linotype"/>
          <w:i/>
        </w:rPr>
        <w:t> Derecho humano que tutela la privacidad de datos personales en poder de los sujetos obligados y sujetos particulares;</w:t>
      </w:r>
    </w:p>
    <w:p w:rsidR="000B3114" w:rsidRDefault="00DE4D0B">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0B3114" w:rsidRDefault="00DE4D0B">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Documento en el que se elimine, suprime o borra la información clasificada como reservada o confidencial para permitir su acceso.</w:t>
      </w:r>
    </w:p>
    <w:p w:rsidR="000B3114" w:rsidRDefault="00DE4D0B">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 Artículo 6.</w:t>
      </w:r>
      <w:r>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B3114" w:rsidRDefault="00DE4D0B">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Artículo 49.</w:t>
      </w:r>
      <w:r>
        <w:rPr>
          <w:rFonts w:ascii="Palatino Linotype" w:eastAsia="Palatino Linotype" w:hAnsi="Palatino Linotype" w:cs="Palatino Linotype"/>
          <w:i/>
        </w:rPr>
        <w:t> Los Comités de Transparencia tendrán las siguientes atribuciones:</w:t>
      </w:r>
    </w:p>
    <w:p w:rsidR="000B3114" w:rsidRDefault="00DE4D0B">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0B3114" w:rsidRDefault="00DE4D0B">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Aprobar, modificar o revocar la clasificación de la información;</w:t>
      </w:r>
    </w:p>
    <w:p w:rsidR="000B3114" w:rsidRDefault="00DE4D0B">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0B3114" w:rsidRDefault="00DE4D0B">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Artículo 91. </w:t>
      </w:r>
      <w:r>
        <w:rPr>
          <w:rFonts w:ascii="Palatino Linotype" w:eastAsia="Palatino Linotype" w:hAnsi="Palatino Linotype" w:cs="Palatino Linotype"/>
          <w:i/>
        </w:rPr>
        <w:t>El acceso a la información pública será restringido excepcionalmente, cuando ésta sea clasificada como reservada o confidencial.</w:t>
      </w:r>
    </w:p>
    <w:p w:rsidR="000B3114" w:rsidRDefault="00DE4D0B">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0B3114" w:rsidRDefault="00DE4D0B">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Artículo 137</w:t>
      </w:r>
      <w:r>
        <w:rPr>
          <w:rFonts w:ascii="Palatino Linotype" w:eastAsia="Palatino Linotype" w:hAnsi="Palatino Linotype" w:cs="Palatino Linotype"/>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B3114" w:rsidRDefault="000B3114">
      <w:pPr>
        <w:shd w:val="clear" w:color="auto" w:fill="FFFFFF"/>
        <w:ind w:left="851" w:right="851"/>
        <w:jc w:val="both"/>
        <w:rPr>
          <w:rFonts w:ascii="Palatino Linotype" w:eastAsia="Palatino Linotype" w:hAnsi="Palatino Linotype" w:cs="Palatino Linotype"/>
          <w:b/>
          <w:i/>
        </w:rPr>
      </w:pPr>
    </w:p>
    <w:p w:rsidR="000B3114" w:rsidRDefault="00DE4D0B">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rsidR="000B3114" w:rsidRDefault="00DE4D0B">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rsidR="000B3114" w:rsidRDefault="00DE4D0B">
      <w:pPr>
        <w:spacing w:before="240" w:after="24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deberá proceder a testar los datos personales que se encuentre contenidos en los documentos a entregar por parte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para satisfacer el derecho de acceso a la información pública del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w:t>
      </w:r>
      <w:r>
        <w:rPr>
          <w:rFonts w:ascii="Palatino Linotype" w:eastAsia="Palatino Linotype" w:hAnsi="Palatino Linotype" w:cs="Palatino Linotype"/>
          <w:sz w:val="24"/>
          <w:szCs w:val="24"/>
        </w:rPr>
        <w:lastRenderedPageBreak/>
        <w:t>que señala la fracción XII del artículo 4 de la Ley de Protección de Datos Personales en Posesión de Sujetos Obligados del Estado de México.</w:t>
      </w:r>
    </w:p>
    <w:p w:rsidR="000B3114" w:rsidRDefault="00DE4D0B">
      <w:pPr>
        <w:spacing w:before="240" w:after="24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B3114" w:rsidRDefault="00DE4D0B">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49.</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Comités de Transparencia</w:t>
      </w:r>
      <w:r>
        <w:rPr>
          <w:rFonts w:ascii="Palatino Linotype" w:eastAsia="Palatino Linotype" w:hAnsi="Palatino Linotype" w:cs="Palatino Linotype"/>
          <w:i/>
        </w:rPr>
        <w:t xml:space="preserve"> tendrán las siguientes atribuciones:</w:t>
      </w:r>
    </w:p>
    <w:p w:rsidR="000B3114" w:rsidRDefault="000B3114">
      <w:pPr>
        <w:spacing w:after="0"/>
        <w:ind w:left="851" w:right="851"/>
        <w:jc w:val="both"/>
        <w:rPr>
          <w:rFonts w:ascii="Palatino Linotype" w:eastAsia="Palatino Linotype" w:hAnsi="Palatino Linotype" w:cs="Palatino Linotype"/>
          <w:i/>
        </w:rPr>
      </w:pPr>
    </w:p>
    <w:p w:rsidR="000B3114" w:rsidRDefault="00DE4D0B">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VIII. Aprobar, modificar o revocar la clasificación de la información</w:t>
      </w:r>
      <w:r>
        <w:rPr>
          <w:rFonts w:ascii="Palatino Linotype" w:eastAsia="Palatino Linotype" w:hAnsi="Palatino Linotype" w:cs="Palatino Linotype"/>
          <w:i/>
        </w:rPr>
        <w:t>…”</w:t>
      </w:r>
    </w:p>
    <w:p w:rsidR="000B3114" w:rsidRDefault="000B3114">
      <w:pPr>
        <w:spacing w:after="0"/>
        <w:ind w:left="851" w:right="851"/>
        <w:jc w:val="both"/>
        <w:rPr>
          <w:rFonts w:ascii="Palatino Linotype" w:eastAsia="Palatino Linotype" w:hAnsi="Palatino Linotype" w:cs="Palatino Linotype"/>
          <w:b/>
          <w:i/>
        </w:rPr>
      </w:pPr>
    </w:p>
    <w:p w:rsidR="000B3114" w:rsidRDefault="00DE4D0B">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53.</w:t>
      </w:r>
      <w:r>
        <w:rPr>
          <w:rFonts w:ascii="Palatino Linotype" w:eastAsia="Palatino Linotype" w:hAnsi="Palatino Linotype" w:cs="Palatino Linotype"/>
          <w:i/>
        </w:rPr>
        <w:t xml:space="preserve"> Las </w:t>
      </w:r>
      <w:r>
        <w:rPr>
          <w:rFonts w:ascii="Palatino Linotype" w:eastAsia="Palatino Linotype" w:hAnsi="Palatino Linotype" w:cs="Palatino Linotype"/>
          <w:b/>
          <w:i/>
        </w:rPr>
        <w:t>Unidades de Transparencia</w:t>
      </w:r>
      <w:r>
        <w:rPr>
          <w:rFonts w:ascii="Palatino Linotype" w:eastAsia="Palatino Linotype" w:hAnsi="Palatino Linotype" w:cs="Palatino Linotype"/>
          <w:i/>
        </w:rPr>
        <w:t xml:space="preserve"> tendrán las siguientes </w:t>
      </w:r>
      <w:r>
        <w:rPr>
          <w:rFonts w:ascii="Palatino Linotype" w:eastAsia="Palatino Linotype" w:hAnsi="Palatino Linotype" w:cs="Palatino Linotype"/>
          <w:b/>
          <w:i/>
        </w:rPr>
        <w:t>funciones</w:t>
      </w:r>
      <w:r>
        <w:rPr>
          <w:rFonts w:ascii="Palatino Linotype" w:eastAsia="Palatino Linotype" w:hAnsi="Palatino Linotype" w:cs="Palatino Linotype"/>
          <w:i/>
        </w:rPr>
        <w:t>:</w:t>
      </w:r>
    </w:p>
    <w:p w:rsidR="000B3114" w:rsidRDefault="000B3114">
      <w:pPr>
        <w:spacing w:after="0"/>
        <w:ind w:left="851" w:right="851"/>
        <w:jc w:val="both"/>
        <w:rPr>
          <w:rFonts w:ascii="Palatino Linotype" w:eastAsia="Palatino Linotype" w:hAnsi="Palatino Linotype" w:cs="Palatino Linotype"/>
          <w:i/>
        </w:rPr>
      </w:pPr>
    </w:p>
    <w:p w:rsidR="000B3114" w:rsidRDefault="00DE4D0B">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 Presentar ante el Comité, el proyecto de clasificación de información</w:t>
      </w:r>
      <w:r>
        <w:rPr>
          <w:rFonts w:ascii="Palatino Linotype" w:eastAsia="Palatino Linotype" w:hAnsi="Palatino Linotype" w:cs="Palatino Linotype"/>
          <w:i/>
        </w:rPr>
        <w:t xml:space="preserve">…” </w:t>
      </w:r>
    </w:p>
    <w:p w:rsidR="000B3114" w:rsidRDefault="000B3114">
      <w:pPr>
        <w:spacing w:after="0"/>
        <w:ind w:left="851" w:right="851"/>
        <w:jc w:val="both"/>
        <w:rPr>
          <w:rFonts w:ascii="Palatino Linotype" w:eastAsia="Palatino Linotype" w:hAnsi="Palatino Linotype" w:cs="Palatino Linotype"/>
          <w:i/>
        </w:rPr>
      </w:pPr>
    </w:p>
    <w:p w:rsidR="000B3114" w:rsidRDefault="00DE4D0B">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59.</w:t>
      </w:r>
      <w:r>
        <w:rPr>
          <w:rFonts w:ascii="Palatino Linotype" w:eastAsia="Palatino Linotype" w:hAnsi="Palatino Linotype" w:cs="Palatino Linotype"/>
          <w:i/>
        </w:rPr>
        <w:t xml:space="preserve"> Los </w:t>
      </w:r>
      <w:r>
        <w:rPr>
          <w:rFonts w:ascii="Palatino Linotype" w:eastAsia="Palatino Linotype" w:hAnsi="Palatino Linotype" w:cs="Palatino Linotype"/>
          <w:b/>
          <w:i/>
        </w:rPr>
        <w:t>servidores públicos habilitados</w:t>
      </w:r>
      <w:r>
        <w:rPr>
          <w:rFonts w:ascii="Palatino Linotype" w:eastAsia="Palatino Linotype" w:hAnsi="Palatino Linotype" w:cs="Palatino Linotype"/>
          <w:i/>
        </w:rPr>
        <w:t xml:space="preserve"> tendrán las </w:t>
      </w:r>
      <w:r>
        <w:rPr>
          <w:rFonts w:ascii="Palatino Linotype" w:eastAsia="Palatino Linotype" w:hAnsi="Palatino Linotype" w:cs="Palatino Linotype"/>
          <w:b/>
          <w:i/>
        </w:rPr>
        <w:t>funciones</w:t>
      </w:r>
      <w:r>
        <w:rPr>
          <w:rFonts w:ascii="Palatino Linotype" w:eastAsia="Palatino Linotype" w:hAnsi="Palatino Linotype" w:cs="Palatino Linotype"/>
          <w:i/>
        </w:rPr>
        <w:t xml:space="preserve"> siguientes:</w:t>
      </w:r>
    </w:p>
    <w:p w:rsidR="000B3114" w:rsidRDefault="000B3114">
      <w:pPr>
        <w:spacing w:after="0"/>
        <w:ind w:left="851" w:right="851"/>
        <w:jc w:val="both"/>
        <w:rPr>
          <w:rFonts w:ascii="Palatino Linotype" w:eastAsia="Palatino Linotype" w:hAnsi="Palatino Linotype" w:cs="Palatino Linotype"/>
          <w:b/>
          <w:i/>
        </w:rPr>
      </w:pPr>
    </w:p>
    <w:p w:rsidR="000B3114" w:rsidRDefault="00DE4D0B">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 Integrar y presentar al responsable de la Unidad de Transparencia la propuesta de clasificación de información</w:t>
      </w:r>
      <w:r>
        <w:rPr>
          <w:rFonts w:ascii="Palatino Linotype" w:eastAsia="Palatino Linotype" w:hAnsi="Palatino Linotype" w:cs="Palatino Linotype"/>
          <w:i/>
        </w:rPr>
        <w:t>, la cual tendrá los fundamentos y argumentos en que se basa dicha propuesta…”(Sic)</w:t>
      </w:r>
    </w:p>
    <w:p w:rsidR="000B3114" w:rsidRDefault="000B3114">
      <w:pPr>
        <w:spacing w:after="80"/>
        <w:ind w:left="851" w:right="851"/>
        <w:jc w:val="both"/>
        <w:rPr>
          <w:rFonts w:ascii="Palatino Linotype" w:eastAsia="Palatino Linotype" w:hAnsi="Palatino Linotype" w:cs="Palatino Linotype"/>
          <w:i/>
        </w:rPr>
      </w:pPr>
    </w:p>
    <w:p w:rsidR="000B3114" w:rsidRDefault="00DE4D0B">
      <w:pPr>
        <w:spacing w:before="8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Denotándose de dichos elementos normativos que el determinar la clasificación de la información es un trabajo en conjunto tanto de los Servidores Públicos </w:t>
      </w:r>
      <w:r>
        <w:rPr>
          <w:rFonts w:ascii="Palatino Linotype" w:eastAsia="Palatino Linotype" w:hAnsi="Palatino Linotype" w:cs="Palatino Linotype"/>
          <w:sz w:val="24"/>
          <w:szCs w:val="24"/>
        </w:rPr>
        <w:lastRenderedPageBreak/>
        <w:t xml:space="preserve">Habilitados, de las Unidades de Transparencia y del Comité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cuyo contenido es de la literalidad siguiente:</w:t>
      </w:r>
    </w:p>
    <w:p w:rsidR="000B3114" w:rsidRDefault="00DE4D0B">
      <w:pPr>
        <w:spacing w:before="240" w:after="240"/>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149.</w:t>
      </w:r>
      <w:r>
        <w:rPr>
          <w:rFonts w:ascii="Palatino Linotype" w:eastAsia="Palatino Linotype" w:hAnsi="Palatino Linotype" w:cs="Palatino Linotype"/>
          <w:i/>
        </w:rPr>
        <w:t xml:space="preserve"> El </w:t>
      </w:r>
      <w:r>
        <w:rPr>
          <w:rFonts w:ascii="Palatino Linotype" w:eastAsia="Palatino Linotype" w:hAnsi="Palatino Linotype" w:cs="Palatino Linotype"/>
          <w:b/>
          <w:i/>
        </w:rPr>
        <w:t>acuerdo que clasifique la información como confidencial</w:t>
      </w:r>
      <w:r>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Ley.”(Sic)</w:t>
      </w:r>
    </w:p>
    <w:p w:rsidR="000B3114" w:rsidRDefault="00DE4D0B">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decir,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rsidR="000B3114" w:rsidRDefault="00DE4D0B">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Pr>
          <w:rFonts w:ascii="Palatino Linotype" w:eastAsia="Palatino Linotype" w:hAnsi="Palatino Linotype" w:cs="Palatino Linotype"/>
          <w:b/>
          <w:color w:val="000000"/>
          <w:sz w:val="24"/>
          <w:szCs w:val="24"/>
          <w:u w:val="single"/>
        </w:rPr>
        <w:t>razones, motivos o circunstancias especiales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u w:val="single"/>
        </w:rPr>
        <w:t>que lo llevaron a concluir que el caso concreto, se ajustó a los supuestos previstos en la normatividad legal invocada como fundamento, para dichos efectos, debe proceder a su vez a realizar una prueba de daño</w:t>
      </w:r>
      <w:r>
        <w:rPr>
          <w:rFonts w:ascii="Palatino Linotype" w:eastAsia="Palatino Linotype" w:hAnsi="Palatino Linotype" w:cs="Palatino Linotype"/>
          <w:color w:val="000000"/>
          <w:sz w:val="24"/>
          <w:szCs w:val="24"/>
        </w:rPr>
        <w:t>,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0B3114" w:rsidRDefault="00DE4D0B">
      <w:pPr>
        <w:spacing w:before="240" w:after="240" w:line="360" w:lineRule="auto"/>
        <w:jc w:val="both"/>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rPr>
        <w:t xml:space="preserve">Al respecto, se destaca que la versión pública que elabore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w:t>
      </w:r>
      <w:r>
        <w:rPr>
          <w:rFonts w:ascii="Palatino Linotype" w:eastAsia="Palatino Linotype" w:hAnsi="Palatino Linotype" w:cs="Palatino Linotype"/>
          <w:sz w:val="24"/>
          <w:szCs w:val="24"/>
        </w:rPr>
        <w:lastRenderedPageBreak/>
        <w:t>Desclasificación de la Información, Así como para la elaboración de versiones públicas emitidos por el Consejo Nacional de Transparencia, con el cual sustentara la clasificación de datos y con ello la "versión pública" de los documentos materia de las solicitudes</w:t>
      </w:r>
      <w:r>
        <w:rPr>
          <w:rFonts w:ascii="Palatino Linotype" w:eastAsia="Palatino Linotype" w:hAnsi="Palatino Linotype" w:cs="Palatino Linotype"/>
          <w:sz w:val="24"/>
          <w:szCs w:val="24"/>
          <w:highlight w:val="white"/>
        </w:rPr>
        <w:t>.</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Efectivamente, cuando se clasifica información como confidencial o reservada es importante someterlo al Comité de Transparencia, quien debe confirmar, modificar o revocar la clasificación.</w:t>
      </w:r>
    </w:p>
    <w:p w:rsidR="000B3114" w:rsidRDefault="00DE4D0B">
      <w:pPr>
        <w:shd w:val="clear" w:color="auto" w:fill="FFFFFF"/>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sz w:val="24"/>
          <w:szCs w:val="24"/>
        </w:rPr>
        <w:t>RECURRENTE.</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w:t>
      </w:r>
      <w:r>
        <w:rPr>
          <w:rFonts w:ascii="Palatino Linotype" w:eastAsia="Palatino Linotype" w:hAnsi="Palatino Linotype" w:cs="Palatino Linotype"/>
          <w:sz w:val="24"/>
          <w:szCs w:val="24"/>
        </w:rPr>
        <w:lastRenderedPageBreak/>
        <w:t xml:space="preserve">de México y Municipios permite la elaboración de versiones públicas en las que se suprima aquella información relacionada con la vida privada de los servidores públicos. </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0B3114" w:rsidRDefault="00DE4D0B">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“Quincuagésimo sexto</w:t>
      </w:r>
      <w:r>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B3114" w:rsidRDefault="00DE4D0B">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rsidR="000B3114" w:rsidRDefault="00DE4D0B">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rsidR="000B3114" w:rsidRDefault="00DE4D0B">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II. El nombre de los servidores públicos en los documentos, y sus firmas autógrafas, cuando sean utilizados en el ejercicio de las facultades conferidas para el desempeño del servicio público, y </w:t>
      </w:r>
    </w:p>
    <w:p w:rsidR="000B3114" w:rsidRDefault="00DE4D0B">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rsidR="000B3114" w:rsidRDefault="00DE4D0B">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0B3114" w:rsidRDefault="00DE4D0B">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w:t>
      </w:r>
      <w:r>
        <w:rPr>
          <w:rFonts w:ascii="Palatino Linotype" w:eastAsia="Palatino Linotype" w:hAnsi="Palatino Linotype" w:cs="Palatino Linotype"/>
          <w:b/>
          <w:sz w:val="24"/>
          <w:szCs w:val="24"/>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Pr>
          <w:rFonts w:ascii="Palatino Linotype" w:eastAsia="Palatino Linotype" w:hAnsi="Palatino Linotype" w:cs="Palatino Linotype"/>
          <w:sz w:val="24"/>
          <w:szCs w:val="24"/>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568"/>
        <w:gridCol w:w="968"/>
        <w:gridCol w:w="3446"/>
      </w:tblGrid>
      <w:tr w:rsidR="000B3114" w:rsidTr="000B3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0B3114" w:rsidRDefault="00DE4D0B">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Parcial</w:t>
            </w:r>
          </w:p>
        </w:tc>
        <w:tc>
          <w:tcPr>
            <w:tcW w:w="4414" w:type="dxa"/>
            <w:gridSpan w:val="2"/>
          </w:tcPr>
          <w:p w:rsidR="000B3114" w:rsidRDefault="00DE4D0B">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Total</w:t>
            </w:r>
          </w:p>
        </w:tc>
      </w:tr>
      <w:tr w:rsidR="000B3114" w:rsidTr="000B3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B3114" w:rsidRDefault="00DE4D0B">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Concepto</w:t>
            </w:r>
          </w:p>
        </w:tc>
        <w:tc>
          <w:tcPr>
            <w:tcW w:w="3568" w:type="dxa"/>
          </w:tcPr>
          <w:p w:rsidR="000B3114" w:rsidRDefault="00DE4D0B">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rsidR="000B3114" w:rsidRDefault="00DE4D0B">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0B3114" w:rsidRDefault="00DE4D0B">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0B3114" w:rsidTr="000B3114">
        <w:tc>
          <w:tcPr>
            <w:cnfStyle w:val="001000000000" w:firstRow="0" w:lastRow="0" w:firstColumn="1" w:lastColumn="0" w:oddVBand="0" w:evenVBand="0" w:oddHBand="0" w:evenHBand="0" w:firstRowFirstColumn="0" w:firstRowLastColumn="0" w:lastRowFirstColumn="0" w:lastRowLastColumn="0"/>
            <w:tcW w:w="8828" w:type="dxa"/>
            <w:gridSpan w:val="4"/>
          </w:tcPr>
          <w:p w:rsidR="000B3114" w:rsidRDefault="00DE4D0B">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Sello oficial o logotipo del sujeto obligado</w:t>
            </w:r>
          </w:p>
        </w:tc>
      </w:tr>
      <w:tr w:rsidR="000B3114" w:rsidTr="000B3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B3114" w:rsidRDefault="00DE4D0B">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lastRenderedPageBreak/>
              <w:t>Fecha de clasificación</w:t>
            </w:r>
          </w:p>
        </w:tc>
        <w:tc>
          <w:tcPr>
            <w:tcW w:w="3568" w:type="dxa"/>
          </w:tcPr>
          <w:p w:rsidR="000B3114" w:rsidRDefault="00DE4D0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0B3114" w:rsidRDefault="00DE4D0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0B3114" w:rsidRDefault="00DE4D0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0B3114" w:rsidTr="000B3114">
        <w:tc>
          <w:tcPr>
            <w:cnfStyle w:val="001000000000" w:firstRow="0" w:lastRow="0" w:firstColumn="1" w:lastColumn="0" w:oddVBand="0" w:evenVBand="0" w:oddHBand="0" w:evenHBand="0" w:firstRowFirstColumn="0" w:firstRowLastColumn="0" w:lastRowFirstColumn="0" w:lastRowLastColumn="0"/>
            <w:tcW w:w="846" w:type="dxa"/>
          </w:tcPr>
          <w:p w:rsidR="000B3114" w:rsidRDefault="00DE4D0B">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Área</w:t>
            </w:r>
          </w:p>
        </w:tc>
        <w:tc>
          <w:tcPr>
            <w:tcW w:w="3568" w:type="dxa"/>
          </w:tcPr>
          <w:p w:rsidR="000B3114" w:rsidRDefault="00DE4D0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rsidR="000B3114" w:rsidRDefault="00DE4D0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0B3114" w:rsidRDefault="00DE4D0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0B3114" w:rsidTr="000B3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B3114" w:rsidRDefault="00DE4D0B">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Información reservada</w:t>
            </w:r>
          </w:p>
        </w:tc>
        <w:tc>
          <w:tcPr>
            <w:tcW w:w="3568" w:type="dxa"/>
          </w:tcPr>
          <w:p w:rsidR="000B3114" w:rsidRDefault="00DE4D0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rsidR="000B3114" w:rsidRDefault="00DE4D0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0B3114" w:rsidRDefault="00DE4D0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0B3114" w:rsidTr="000B3114">
        <w:tc>
          <w:tcPr>
            <w:cnfStyle w:val="001000000000" w:firstRow="0" w:lastRow="0" w:firstColumn="1" w:lastColumn="0" w:oddVBand="0" w:evenVBand="0" w:oddHBand="0" w:evenHBand="0" w:firstRowFirstColumn="0" w:firstRowLastColumn="0" w:lastRowFirstColumn="0" w:lastRowLastColumn="0"/>
            <w:tcW w:w="846" w:type="dxa"/>
          </w:tcPr>
          <w:p w:rsidR="000B3114" w:rsidRDefault="00DE4D0B">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3568" w:type="dxa"/>
          </w:tcPr>
          <w:p w:rsidR="000B3114" w:rsidRDefault="00DE4D0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0B3114" w:rsidRDefault="00DE4D0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0B3114" w:rsidRDefault="00DE4D0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0B3114" w:rsidTr="000B3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B3114" w:rsidRDefault="00DE4D0B">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Ampliación del periodo de reserva</w:t>
            </w:r>
          </w:p>
        </w:tc>
        <w:tc>
          <w:tcPr>
            <w:tcW w:w="3568" w:type="dxa"/>
          </w:tcPr>
          <w:p w:rsidR="000B3114" w:rsidRDefault="00DE4D0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0B3114" w:rsidRDefault="00DE4D0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0B3114" w:rsidRDefault="00DE4D0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0B3114" w:rsidTr="000B3114">
        <w:tc>
          <w:tcPr>
            <w:cnfStyle w:val="001000000000" w:firstRow="0" w:lastRow="0" w:firstColumn="1" w:lastColumn="0" w:oddVBand="0" w:evenVBand="0" w:oddHBand="0" w:evenHBand="0" w:firstRowFirstColumn="0" w:firstRowLastColumn="0" w:lastRowFirstColumn="0" w:lastRowLastColumn="0"/>
            <w:tcW w:w="846" w:type="dxa"/>
          </w:tcPr>
          <w:p w:rsidR="000B3114" w:rsidRDefault="00DE4D0B">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Confidencial</w:t>
            </w:r>
          </w:p>
        </w:tc>
        <w:tc>
          <w:tcPr>
            <w:tcW w:w="3568" w:type="dxa"/>
          </w:tcPr>
          <w:p w:rsidR="000B3114" w:rsidRDefault="00DE4D0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0B3114" w:rsidRDefault="00DE4D0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0B3114" w:rsidRDefault="00DE4D0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0B3114" w:rsidTr="000B3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B3114" w:rsidRDefault="00DE4D0B">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3568" w:type="dxa"/>
          </w:tcPr>
          <w:p w:rsidR="000B3114" w:rsidRDefault="00DE4D0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0B3114" w:rsidRDefault="00DE4D0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0B3114" w:rsidRDefault="00DE4D0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0B3114" w:rsidTr="000B3114">
        <w:tc>
          <w:tcPr>
            <w:cnfStyle w:val="001000000000" w:firstRow="0" w:lastRow="0" w:firstColumn="1" w:lastColumn="0" w:oddVBand="0" w:evenVBand="0" w:oddHBand="0" w:evenHBand="0" w:firstRowFirstColumn="0" w:firstRowLastColumn="0" w:lastRowFirstColumn="0" w:lastRowLastColumn="0"/>
            <w:tcW w:w="846" w:type="dxa"/>
          </w:tcPr>
          <w:p w:rsidR="000B3114" w:rsidRDefault="00DE4D0B">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Rúbrica del titular del área</w:t>
            </w:r>
          </w:p>
        </w:tc>
        <w:tc>
          <w:tcPr>
            <w:tcW w:w="3568" w:type="dxa"/>
          </w:tcPr>
          <w:p w:rsidR="000B3114" w:rsidRDefault="00DE4D0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rsidR="000B3114" w:rsidRDefault="00DE4D0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0B3114" w:rsidRDefault="00DE4D0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0B3114" w:rsidTr="000B3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B3114" w:rsidRDefault="00DE4D0B">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Fecha de desclasificación</w:t>
            </w:r>
          </w:p>
        </w:tc>
        <w:tc>
          <w:tcPr>
            <w:tcW w:w="3568" w:type="dxa"/>
          </w:tcPr>
          <w:p w:rsidR="000B3114" w:rsidRDefault="00DE4D0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rsidR="000B3114" w:rsidRDefault="00DE4D0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0B3114" w:rsidRDefault="00DE4D0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0B3114" w:rsidTr="000B3114">
        <w:tc>
          <w:tcPr>
            <w:cnfStyle w:val="001000000000" w:firstRow="0" w:lastRow="0" w:firstColumn="1" w:lastColumn="0" w:oddVBand="0" w:evenVBand="0" w:oddHBand="0" w:evenHBand="0" w:firstRowFirstColumn="0" w:firstRowLastColumn="0" w:lastRowFirstColumn="0" w:lastRowLastColumn="0"/>
            <w:tcW w:w="846" w:type="dxa"/>
          </w:tcPr>
          <w:p w:rsidR="000B3114" w:rsidRDefault="00DE4D0B">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Rúbrica y cargo del servidor público</w:t>
            </w:r>
          </w:p>
        </w:tc>
        <w:tc>
          <w:tcPr>
            <w:tcW w:w="3568" w:type="dxa"/>
          </w:tcPr>
          <w:p w:rsidR="000B3114" w:rsidRDefault="00DE4D0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rsidR="000B3114" w:rsidRDefault="00DE4D0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0B3114" w:rsidRDefault="00DE4D0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0B3114" w:rsidTr="000B3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B3114" w:rsidRDefault="000B3114">
            <w:pPr>
              <w:jc w:val="both"/>
              <w:rPr>
                <w:rFonts w:ascii="Palatino Linotype" w:eastAsia="Palatino Linotype" w:hAnsi="Palatino Linotype" w:cs="Palatino Linotype"/>
                <w:sz w:val="12"/>
                <w:szCs w:val="12"/>
              </w:rPr>
            </w:pPr>
          </w:p>
        </w:tc>
        <w:tc>
          <w:tcPr>
            <w:tcW w:w="3568" w:type="dxa"/>
          </w:tcPr>
          <w:p w:rsidR="000B3114" w:rsidRDefault="000B311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0B3114" w:rsidRDefault="00DE4D0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0B3114" w:rsidRDefault="00DE4D0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0B3114" w:rsidTr="000B3114">
        <w:tc>
          <w:tcPr>
            <w:cnfStyle w:val="001000000000" w:firstRow="0" w:lastRow="0" w:firstColumn="1" w:lastColumn="0" w:oddVBand="0" w:evenVBand="0" w:oddHBand="0" w:evenHBand="0" w:firstRowFirstColumn="0" w:firstRowLastColumn="0" w:lastRowFirstColumn="0" w:lastRowLastColumn="0"/>
            <w:tcW w:w="846" w:type="dxa"/>
          </w:tcPr>
          <w:p w:rsidR="000B3114" w:rsidRDefault="000B3114">
            <w:pPr>
              <w:jc w:val="both"/>
              <w:rPr>
                <w:rFonts w:ascii="Palatino Linotype" w:eastAsia="Palatino Linotype" w:hAnsi="Palatino Linotype" w:cs="Palatino Linotype"/>
                <w:sz w:val="12"/>
                <w:szCs w:val="12"/>
              </w:rPr>
            </w:pPr>
          </w:p>
        </w:tc>
        <w:tc>
          <w:tcPr>
            <w:tcW w:w="3568" w:type="dxa"/>
          </w:tcPr>
          <w:p w:rsidR="000B3114" w:rsidRDefault="000B311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0B3114" w:rsidRDefault="00DE4D0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0B3114" w:rsidRDefault="00DE4D0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0B3114" w:rsidRDefault="000B3114">
      <w:pPr>
        <w:spacing w:before="240" w:after="0" w:line="360" w:lineRule="auto"/>
        <w:jc w:val="both"/>
        <w:rPr>
          <w:rFonts w:ascii="Palatino Linotype" w:eastAsia="Palatino Linotype" w:hAnsi="Palatino Linotype" w:cs="Palatino Linotype"/>
          <w:sz w:val="24"/>
          <w:szCs w:val="24"/>
        </w:rPr>
      </w:pPr>
    </w:p>
    <w:p w:rsidR="000B3114" w:rsidRDefault="00DE4D0B">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B3114" w:rsidRDefault="00DE4D0B">
      <w:pPr>
        <w:pBdr>
          <w:top w:val="nil"/>
          <w:left w:val="nil"/>
          <w:bottom w:val="nil"/>
          <w:right w:val="nil"/>
          <w:between w:val="nil"/>
        </w:pBdr>
        <w:spacing w:before="240" w:after="240" w:line="360" w:lineRule="auto"/>
        <w:ind w:left="1080"/>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 E S U E L V E:</w:t>
      </w:r>
    </w:p>
    <w:p w:rsidR="000B3114" w:rsidRDefault="00DE4D0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Primero. </w:t>
      </w:r>
      <w:r>
        <w:rPr>
          <w:rFonts w:ascii="Palatino Linotype" w:eastAsia="Palatino Linotype" w:hAnsi="Palatino Linotype" w:cs="Palatino Linotype"/>
          <w:sz w:val="24"/>
          <w:szCs w:val="24"/>
        </w:rPr>
        <w:t xml:space="preserve">Resultan fundados los motivos de inconformidad hechos valer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 xml:space="preserve">03264/INFOEM/IP/RR/2022, </w:t>
      </w:r>
      <w:r>
        <w:rPr>
          <w:rFonts w:ascii="Palatino Linotype" w:eastAsia="Palatino Linotype" w:hAnsi="Palatino Linotype" w:cs="Palatino Linotype"/>
          <w:sz w:val="24"/>
          <w:szCs w:val="24"/>
        </w:rPr>
        <w:t xml:space="preserve">por lo que, en términos del considerando </w:t>
      </w: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y</w:t>
      </w:r>
      <w:r>
        <w:rPr>
          <w:rFonts w:ascii="Palatino Linotype" w:eastAsia="Palatino Linotype" w:hAnsi="Palatino Linotype" w:cs="Palatino Linotype"/>
          <w:b/>
          <w:sz w:val="24"/>
          <w:szCs w:val="24"/>
        </w:rPr>
        <w:t xml:space="preserve"> Quinto </w:t>
      </w:r>
      <w:r>
        <w:rPr>
          <w:rFonts w:ascii="Palatino Linotype" w:eastAsia="Palatino Linotype" w:hAnsi="Palatino Linotype" w:cs="Palatino Linotype"/>
          <w:sz w:val="24"/>
          <w:szCs w:val="24"/>
        </w:rPr>
        <w:t xml:space="preserve">de esta resolución, se </w:t>
      </w:r>
      <w:r>
        <w:rPr>
          <w:rFonts w:ascii="Palatino Linotype" w:eastAsia="Palatino Linotype" w:hAnsi="Palatino Linotype" w:cs="Palatino Linotype"/>
          <w:b/>
          <w:sz w:val="24"/>
          <w:szCs w:val="24"/>
        </w:rPr>
        <w:t xml:space="preserve">REVOCA </w:t>
      </w:r>
      <w:r>
        <w:rPr>
          <w:rFonts w:ascii="Palatino Linotype" w:eastAsia="Palatino Linotype" w:hAnsi="Palatino Linotype" w:cs="Palatino Linotype"/>
          <w:sz w:val="24"/>
          <w:szCs w:val="24"/>
        </w:rPr>
        <w:t xml:space="preserve">la respuesta emitida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rsidR="000B3114" w:rsidRDefault="00DE4D0B">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Se</w:t>
      </w:r>
      <w:r>
        <w:rPr>
          <w:rFonts w:ascii="Palatino Linotype" w:eastAsia="Palatino Linotype" w:hAnsi="Palatino Linotype" w:cs="Palatino Linotype"/>
          <w:b/>
          <w:sz w:val="24"/>
          <w:szCs w:val="24"/>
        </w:rPr>
        <w:t xml:space="preserve"> ORDENA </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que,</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en términos de los Considerandos Cuarto y Quinto de la presente resolución, haga entrega vía SAIMEX, en versión pública, previa búsqueda exhaustiva y razonable del documento o documentos en donde conste lo siguiente:</w:t>
      </w:r>
    </w:p>
    <w:p w:rsidR="000B3114" w:rsidRDefault="00DE4D0B">
      <w:pPr>
        <w:numPr>
          <w:ilvl w:val="0"/>
          <w:numId w:val="2"/>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4"/>
          <w:szCs w:val="24"/>
        </w:rPr>
      </w:pPr>
      <w:bookmarkStart w:id="4" w:name="_heading=h.30j0zll" w:colFirst="0" w:colLast="0"/>
      <w:bookmarkEnd w:id="4"/>
      <w:r>
        <w:rPr>
          <w:rFonts w:ascii="Palatino Linotype" w:eastAsia="Palatino Linotype" w:hAnsi="Palatino Linotype" w:cs="Palatino Linotype"/>
          <w:sz w:val="24"/>
          <w:szCs w:val="24"/>
        </w:rPr>
        <w:t>Toda la información relacionada con el diferendo con el Municipio de Acolman por el asunto de límites territoriales desde primero de enero del año dos mil al dieciocho de febrero del año dos mil veintidós.</w:t>
      </w:r>
    </w:p>
    <w:p w:rsidR="000B3114" w:rsidRDefault="00DE4D0B">
      <w:pPr>
        <w:spacing w:before="240" w:after="240" w:line="276" w:lineRule="auto"/>
        <w:ind w:right="49"/>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Debiendo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rsidR="000B3114" w:rsidRDefault="00DE4D0B">
      <w:pPr>
        <w:spacing w:line="276" w:lineRule="auto"/>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En el caso que, derivado de la búsqueda exhaustiva y razonable, por alguna razón no se localice en los archivos del SUJETO OBLIGADO, la información que se ordena, el SUJETO OBLIGADO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rsidR="000B3114" w:rsidRDefault="00DE4D0B">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8"/>
          <w:szCs w:val="28"/>
        </w:rPr>
      </w:pPr>
      <w:r>
        <w:rPr>
          <w:rFonts w:ascii="Palatino Linotype" w:eastAsia="Palatino Linotype" w:hAnsi="Palatino Linotype" w:cs="Palatino Linotype"/>
          <w:b/>
          <w:color w:val="000000"/>
          <w:sz w:val="24"/>
          <w:szCs w:val="24"/>
        </w:rPr>
        <w:t>Tercero.</w:t>
      </w:r>
      <w:r>
        <w:rPr>
          <w:rFonts w:ascii="Palatino Linotype" w:eastAsia="Palatino Linotype" w:hAnsi="Palatino Linotype" w:cs="Palatino Linotype"/>
          <w:b/>
          <w:color w:val="000000"/>
          <w:sz w:val="24"/>
          <w:szCs w:val="24"/>
          <w:highlight w:val="white"/>
        </w:rPr>
        <w:t xml:space="preserve"> Notifíquese vía SAIMEX, </w:t>
      </w:r>
      <w:r>
        <w:rPr>
          <w:rFonts w:ascii="Palatino Linotype" w:eastAsia="Palatino Linotype" w:hAnsi="Palatino Linotype" w:cs="Palatino Linotype"/>
          <w:color w:val="000000"/>
          <w:sz w:val="24"/>
          <w:szCs w:val="24"/>
          <w:highlight w:val="white"/>
        </w:rPr>
        <w:t xml:space="preserve">al Responsable de la Unidad de Transparencia del </w:t>
      </w:r>
      <w:r>
        <w:rPr>
          <w:rFonts w:ascii="Palatino Linotype" w:eastAsia="Palatino Linotype" w:hAnsi="Palatino Linotype" w:cs="Palatino Linotype"/>
          <w:b/>
          <w:color w:val="000000"/>
          <w:sz w:val="24"/>
          <w:szCs w:val="24"/>
          <w:highlight w:val="white"/>
        </w:rPr>
        <w:t>SUJETO OBLIGADO</w:t>
      </w:r>
      <w:r>
        <w:rPr>
          <w:rFonts w:ascii="Palatino Linotype" w:eastAsia="Palatino Linotype" w:hAnsi="Palatino Linotype" w:cs="Palatino Linotype"/>
          <w:color w:val="000000"/>
          <w:sz w:val="24"/>
          <w:szCs w:val="24"/>
          <w:highlight w:val="white"/>
        </w:rPr>
        <w:t xml:space="preserve"> la presente resolución, para que conforme al artículo 186, </w:t>
      </w:r>
      <w:r>
        <w:rPr>
          <w:rFonts w:ascii="Palatino Linotype" w:eastAsia="Palatino Linotype" w:hAnsi="Palatino Linotype" w:cs="Palatino Linotype"/>
          <w:color w:val="000000"/>
          <w:sz w:val="24"/>
          <w:szCs w:val="24"/>
          <w:highlight w:val="white"/>
        </w:rPr>
        <w:lastRenderedPageBreak/>
        <w:t>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0B3114" w:rsidRDefault="00DE4D0B">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 Notifíquese, vía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B3114" w:rsidRDefault="00DE4D0B">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w:t>
      </w:r>
      <w:r>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0B3114" w:rsidRDefault="00DE4D0B">
      <w:pPr>
        <w:spacing w:before="240" w:after="240" w:line="360" w:lineRule="auto"/>
        <w:jc w:val="both"/>
        <w:rPr>
          <w:rFonts w:ascii="Palatino Linotype" w:eastAsia="Palatino Linotype" w:hAnsi="Palatino Linotype" w:cs="Palatino Linotype"/>
          <w:sz w:val="24"/>
          <w:szCs w:val="24"/>
        </w:rPr>
        <w:sectPr w:rsidR="000B3114">
          <w:headerReference w:type="default" r:id="rId18"/>
          <w:footerReference w:type="default" r:id="rId19"/>
          <w:headerReference w:type="first" r:id="rId20"/>
          <w:footerReference w:type="first" r:id="rId21"/>
          <w:pgSz w:w="12240" w:h="15840"/>
          <w:pgMar w:top="2041" w:right="1750" w:bottom="1701" w:left="1701" w:header="709" w:footer="709" w:gutter="0"/>
          <w:pgNumType w:start="1"/>
          <w:cols w:space="720"/>
          <w:titlePg/>
        </w:sectPr>
      </w:pPr>
      <w:bookmarkStart w:id="5" w:name="_heading=h.1fob9te" w:colFirst="0" w:colLast="0"/>
      <w:bookmarkEnd w:id="5"/>
      <w:r>
        <w:rPr>
          <w:rFonts w:ascii="Palatino Linotype" w:eastAsia="Palatino Linotype" w:hAnsi="Palatino Linotype" w:cs="Palatino Linotype"/>
          <w:color w:val="222222"/>
          <w:sz w:val="24"/>
          <w:szCs w:val="24"/>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PARTICULAR, SHARON CRISTINA MORALES MARTÍNEZ, LUIS GUSTAVO PARRA NORIEGA Y GUADALUPE RAMÍREZ PEÑA; EN LA VIGÉSIMA </w:t>
      </w:r>
      <w:r w:rsidR="00D95463">
        <w:rPr>
          <w:rFonts w:ascii="Palatino Linotype" w:eastAsia="Palatino Linotype" w:hAnsi="Palatino Linotype" w:cs="Palatino Linotype"/>
          <w:color w:val="222222"/>
          <w:sz w:val="24"/>
          <w:szCs w:val="24"/>
          <w:highlight w:val="white"/>
        </w:rPr>
        <w:t xml:space="preserve">PRIMERA </w:t>
      </w:r>
      <w:r>
        <w:rPr>
          <w:rFonts w:ascii="Palatino Linotype" w:eastAsia="Palatino Linotype" w:hAnsi="Palatino Linotype" w:cs="Palatino Linotype"/>
          <w:color w:val="222222"/>
          <w:sz w:val="24"/>
          <w:szCs w:val="24"/>
          <w:highlight w:val="white"/>
        </w:rPr>
        <w:t>SESIÓ</w:t>
      </w:r>
      <w:r w:rsidR="00D95463">
        <w:rPr>
          <w:rFonts w:ascii="Palatino Linotype" w:eastAsia="Palatino Linotype" w:hAnsi="Palatino Linotype" w:cs="Palatino Linotype"/>
          <w:color w:val="222222"/>
          <w:sz w:val="24"/>
          <w:szCs w:val="24"/>
          <w:highlight w:val="white"/>
        </w:rPr>
        <w:t>N ORDINARIA CELEBRADA EL OCHO</w:t>
      </w:r>
      <w:r>
        <w:rPr>
          <w:rFonts w:ascii="Palatino Linotype" w:eastAsia="Palatino Linotype" w:hAnsi="Palatino Linotype" w:cs="Palatino Linotype"/>
          <w:sz w:val="24"/>
          <w:szCs w:val="24"/>
        </w:rPr>
        <w:t xml:space="preserve"> DE JUNIO DEL DOS MIL VEINTIDÓS, ANTE EL SECRETARIO TÉCNICO</w:t>
      </w:r>
      <w:r w:rsidR="00D95463">
        <w:rPr>
          <w:rFonts w:ascii="Palatino Linotype" w:eastAsia="Palatino Linotype" w:hAnsi="Palatino Linotype" w:cs="Palatino Linotype"/>
          <w:sz w:val="24"/>
          <w:szCs w:val="24"/>
        </w:rPr>
        <w:t xml:space="preserve"> DEL PLENO ALEXIS TAPIA RAMÍREZ.</w:t>
      </w:r>
    </w:p>
    <w:p w:rsidR="000B3114" w:rsidRDefault="000B3114">
      <w:pPr>
        <w:spacing w:before="240" w:after="240" w:line="360" w:lineRule="auto"/>
        <w:jc w:val="both"/>
        <w:rPr>
          <w:rFonts w:ascii="Palatino Linotype" w:eastAsia="Palatino Linotype" w:hAnsi="Palatino Linotype" w:cs="Palatino Linotype"/>
          <w:sz w:val="24"/>
          <w:szCs w:val="24"/>
        </w:rPr>
        <w:sectPr w:rsidR="000B3114">
          <w:headerReference w:type="first" r:id="rId22"/>
          <w:pgSz w:w="12240" w:h="15840"/>
          <w:pgMar w:top="2041" w:right="1750" w:bottom="1701" w:left="1701" w:header="709" w:footer="709" w:gutter="0"/>
          <w:pgNumType w:start="1"/>
          <w:cols w:space="720"/>
          <w:titlePg/>
        </w:sectPr>
      </w:pPr>
    </w:p>
    <w:p w:rsidR="000B3114" w:rsidRDefault="000B3114"/>
    <w:sectPr w:rsidR="000B3114">
      <w:headerReference w:type="default" r:id="rId23"/>
      <w:footerReference w:type="default" r:id="rId24"/>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2D6" w:rsidRDefault="001942D6">
      <w:pPr>
        <w:spacing w:after="0" w:line="240" w:lineRule="auto"/>
      </w:pPr>
      <w:r>
        <w:separator/>
      </w:r>
    </w:p>
  </w:endnote>
  <w:endnote w:type="continuationSeparator" w:id="0">
    <w:p w:rsidR="001942D6" w:rsidRDefault="00194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114" w:rsidRDefault="00DE4D0B">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13367">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13367">
      <w:rPr>
        <w:rFonts w:ascii="Arial" w:eastAsia="Arial" w:hAnsi="Arial" w:cs="Arial"/>
        <w:b/>
        <w:noProof/>
        <w:color w:val="000000"/>
        <w:sz w:val="20"/>
        <w:szCs w:val="20"/>
      </w:rPr>
      <w:t>66</w:t>
    </w:r>
    <w:r>
      <w:rPr>
        <w:rFonts w:ascii="Arial" w:eastAsia="Arial" w:hAnsi="Arial" w:cs="Arial"/>
        <w:b/>
        <w:color w:val="000000"/>
        <w:sz w:val="20"/>
        <w:szCs w:val="20"/>
      </w:rPr>
      <w:fldChar w:fldCharType="end"/>
    </w:r>
  </w:p>
  <w:p w:rsidR="000B3114" w:rsidRDefault="000B3114">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rPr>
    </w:pPr>
  </w:p>
  <w:p w:rsidR="000B3114" w:rsidRDefault="000B3114">
    <w:pPr>
      <w:pBdr>
        <w:top w:val="nil"/>
        <w:left w:val="nil"/>
        <w:bottom w:val="nil"/>
        <w:right w:val="nil"/>
        <w:between w:val="nil"/>
      </w:pBdr>
      <w:tabs>
        <w:tab w:val="center" w:pos="4419"/>
        <w:tab w:val="right" w:pos="8838"/>
      </w:tabs>
      <w:spacing w:after="0" w:line="240" w:lineRule="auto"/>
      <w:ind w:firstLine="708"/>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114" w:rsidRDefault="00DE4D0B" w:rsidP="00D95463">
    <w:pPr>
      <w:pBdr>
        <w:top w:val="nil"/>
        <w:left w:val="nil"/>
        <w:bottom w:val="nil"/>
        <w:right w:val="nil"/>
        <w:between w:val="nil"/>
      </w:pBdr>
      <w:tabs>
        <w:tab w:val="center" w:pos="4419"/>
        <w:tab w:val="right" w:pos="8838"/>
      </w:tabs>
      <w:spacing w:after="0" w:line="240" w:lineRule="auto"/>
      <w:jc w:val="right"/>
    </w:pPr>
    <w:r>
      <w:rPr>
        <w:rFonts w:ascii="Arial" w:eastAsia="Arial" w:hAnsi="Arial" w:cs="Arial"/>
        <w:b/>
        <w:color w:val="000000"/>
        <w:sz w:val="20"/>
        <w:szCs w:val="20"/>
      </w:rPr>
      <w:t xml:space="preserve">Página </w:t>
    </w:r>
    <w:r w:rsidR="00D95463">
      <w:rPr>
        <w:rFonts w:ascii="Arial" w:eastAsia="Arial" w:hAnsi="Arial" w:cs="Arial"/>
        <w:b/>
        <w:color w:val="000000"/>
        <w:sz w:val="20"/>
        <w:szCs w:val="20"/>
      </w:rPr>
      <w:t>65</w:t>
    </w:r>
    <w:r>
      <w:rPr>
        <w:rFonts w:ascii="Arial" w:eastAsia="Arial" w:hAnsi="Arial" w:cs="Arial"/>
        <w:color w:val="000000"/>
        <w:sz w:val="20"/>
        <w:szCs w:val="20"/>
      </w:rPr>
      <w:t xml:space="preserve"> de </w:t>
    </w:r>
    <w:r w:rsidR="00D95463">
      <w:rPr>
        <w:rFonts w:ascii="Arial" w:eastAsia="Arial" w:hAnsi="Arial" w:cs="Arial"/>
        <w:b/>
        <w:color w:val="000000"/>
        <w:sz w:val="20"/>
        <w:szCs w:val="20"/>
      </w:rPr>
      <w:t>65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114" w:rsidRDefault="00DE4D0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13367">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13367">
      <w:rPr>
        <w:rFonts w:ascii="Arial" w:eastAsia="Arial" w:hAnsi="Arial" w:cs="Arial"/>
        <w:b/>
        <w:noProof/>
        <w:color w:val="000000"/>
        <w:sz w:val="20"/>
        <w:szCs w:val="20"/>
      </w:rPr>
      <w:t>66</w:t>
    </w:r>
    <w:r>
      <w:rPr>
        <w:rFonts w:ascii="Arial" w:eastAsia="Arial" w:hAnsi="Arial" w:cs="Arial"/>
        <w:b/>
        <w:color w:val="000000"/>
        <w:sz w:val="20"/>
        <w:szCs w:val="20"/>
      </w:rPr>
      <w:fldChar w:fldCharType="end"/>
    </w:r>
  </w:p>
  <w:p w:rsidR="000B3114" w:rsidRDefault="000B311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2D6" w:rsidRDefault="001942D6">
      <w:pPr>
        <w:spacing w:after="0" w:line="240" w:lineRule="auto"/>
      </w:pPr>
      <w:r>
        <w:separator/>
      </w:r>
    </w:p>
  </w:footnote>
  <w:footnote w:type="continuationSeparator" w:id="0">
    <w:p w:rsidR="001942D6" w:rsidRDefault="001942D6">
      <w:pPr>
        <w:spacing w:after="0" w:line="240" w:lineRule="auto"/>
      </w:pPr>
      <w:r>
        <w:continuationSeparator/>
      </w:r>
    </w:p>
  </w:footnote>
  <w:footnote w:id="1">
    <w:p w:rsidR="000B3114" w:rsidRDefault="00DE4D0B">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0B3114" w:rsidRDefault="00DE4D0B">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0B3114" w:rsidRDefault="00DE4D0B">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rsidR="000B3114" w:rsidRDefault="00DE4D0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https://www.elsoldetoluca.com.mx/local/disputa-por-territorio-entre-ecatepec-y-acolman-8248295.html</w:t>
      </w:r>
    </w:p>
  </w:footnote>
  <w:footnote w:id="3">
    <w:p w:rsidR="000B3114" w:rsidRDefault="00DE4D0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Visible en: </w:t>
      </w:r>
      <w:hyperlink r:id="rId1">
        <w:r>
          <w:rPr>
            <w:i/>
            <w:color w:val="0563C1"/>
            <w:sz w:val="20"/>
            <w:szCs w:val="20"/>
            <w:u w:val="single"/>
          </w:rPr>
          <w:t>http://sjf.scjn.gob.mx/SJFSist/Documentos/Tesis/170/170722.pdf</w:t>
        </w:r>
      </w:hyperlink>
      <w:r>
        <w:rPr>
          <w:color w:val="000000"/>
          <w:sz w:val="20"/>
          <w:szCs w:val="20"/>
        </w:rPr>
        <w:t>. Consultado en fecha 18 de marzo de 2019.</w:t>
      </w:r>
    </w:p>
  </w:footnote>
  <w:footnote w:id="4">
    <w:p w:rsidR="000B3114" w:rsidRDefault="00DE4D0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Al respecto la fracd6n XII del artículo 3 de la ley General de Transparencia y Acceso a la Información Pública, define a la información de Interés público como:</w:t>
      </w:r>
    </w:p>
    <w:p w:rsidR="000B3114" w:rsidRDefault="000B3114">
      <w:pPr>
        <w:pBdr>
          <w:top w:val="nil"/>
          <w:left w:val="nil"/>
          <w:bottom w:val="nil"/>
          <w:right w:val="nil"/>
          <w:between w:val="nil"/>
        </w:pBdr>
        <w:spacing w:after="0" w:line="240" w:lineRule="auto"/>
        <w:rPr>
          <w:color w:val="000000"/>
          <w:sz w:val="20"/>
          <w:szCs w:val="20"/>
        </w:rPr>
      </w:pPr>
    </w:p>
    <w:p w:rsidR="000B3114" w:rsidRDefault="00DE4D0B">
      <w:pPr>
        <w:pBdr>
          <w:top w:val="nil"/>
          <w:left w:val="nil"/>
          <w:bottom w:val="nil"/>
          <w:right w:val="nil"/>
          <w:between w:val="nil"/>
        </w:pBdr>
        <w:spacing w:after="0" w:line="240" w:lineRule="auto"/>
        <w:rPr>
          <w:color w:val="000000"/>
          <w:sz w:val="20"/>
          <w:szCs w:val="20"/>
        </w:rPr>
      </w:pPr>
      <w:r>
        <w:rPr>
          <w:color w:val="000000"/>
          <w:sz w:val="20"/>
          <w:szCs w:val="20"/>
        </w:rPr>
        <w:t>Artículo 3. Para los efectos de la presente Ley se entenderá por:</w:t>
      </w:r>
    </w:p>
    <w:p w:rsidR="000B3114" w:rsidRDefault="00DE4D0B">
      <w:pPr>
        <w:pBdr>
          <w:top w:val="nil"/>
          <w:left w:val="nil"/>
          <w:bottom w:val="nil"/>
          <w:right w:val="nil"/>
          <w:between w:val="nil"/>
        </w:pBdr>
        <w:spacing w:after="0" w:line="240" w:lineRule="auto"/>
        <w:rPr>
          <w:color w:val="000000"/>
          <w:sz w:val="20"/>
          <w:szCs w:val="20"/>
        </w:rPr>
      </w:pPr>
      <w:r>
        <w:rPr>
          <w:color w:val="000000"/>
          <w:sz w:val="20"/>
          <w:szCs w:val="20"/>
        </w:rPr>
        <w:t>…</w:t>
      </w:r>
    </w:p>
    <w:p w:rsidR="000B3114" w:rsidRDefault="00DE4D0B">
      <w:pPr>
        <w:pBdr>
          <w:top w:val="nil"/>
          <w:left w:val="nil"/>
          <w:bottom w:val="nil"/>
          <w:right w:val="nil"/>
          <w:between w:val="nil"/>
        </w:pBdr>
        <w:spacing w:after="0" w:line="240" w:lineRule="auto"/>
        <w:rPr>
          <w:color w:val="000000"/>
          <w:sz w:val="20"/>
          <w:szCs w:val="20"/>
        </w:rPr>
      </w:pPr>
      <w:r>
        <w:rPr>
          <w:b/>
          <w:color w:val="000000"/>
          <w:sz w:val="20"/>
          <w:szCs w:val="20"/>
        </w:rPr>
        <w:t>XII. Información de interés público: Se refiere a la información que resulta relevante o beneficiosa para la sociedad y no simplemente de interés individual</w:t>
      </w:r>
      <w:r>
        <w:rPr>
          <w:color w:val="000000"/>
          <w:sz w:val="20"/>
          <w:szCs w:val="20"/>
        </w:rPr>
        <w:t>, cuya divulgación resulta útil para que el público comprenda las actividades que llevan a cabo los sujetos obligados;</w:t>
      </w:r>
    </w:p>
    <w:p w:rsidR="000B3114" w:rsidRDefault="00DE4D0B">
      <w:pPr>
        <w:pBdr>
          <w:top w:val="nil"/>
          <w:left w:val="nil"/>
          <w:bottom w:val="nil"/>
          <w:right w:val="nil"/>
          <w:between w:val="nil"/>
        </w:pBdr>
        <w:spacing w:after="0" w:line="240" w:lineRule="auto"/>
        <w:rPr>
          <w:color w:val="000000"/>
          <w:sz w:val="20"/>
          <w:szCs w:val="20"/>
        </w:rPr>
      </w:pPr>
      <w:r>
        <w:rPr>
          <w:color w:val="000000"/>
          <w:sz w:val="20"/>
          <w:szCs w:val="20"/>
        </w:rPr>
        <w:t>…</w:t>
      </w:r>
    </w:p>
    <w:p w:rsidR="000B3114" w:rsidRDefault="000B3114">
      <w:pPr>
        <w:pBdr>
          <w:top w:val="nil"/>
          <w:left w:val="nil"/>
          <w:bottom w:val="nil"/>
          <w:right w:val="nil"/>
          <w:between w:val="nil"/>
        </w:pBdr>
        <w:spacing w:after="0" w:line="240" w:lineRule="auto"/>
        <w:jc w:val="both"/>
        <w:rPr>
          <w:color w:val="000000"/>
          <w:sz w:val="20"/>
          <w:szCs w:val="20"/>
        </w:rPr>
      </w:pPr>
    </w:p>
  </w:footnote>
  <w:footnote w:id="5">
    <w:p w:rsidR="000B3114" w:rsidRDefault="00DE4D0B">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Michelle Zezza. LA RACIONALIDAD DE LA PONDERACIÓN JUDICIAL: ANÁLISIS DE LAS TEORÍAS DE ROBERT ALEXY Y RICCARDO GUASTINI” Universidad Carlos III de Madrid. 2006. Visible en: </w:t>
      </w:r>
      <w:hyperlink r:id="rId2">
        <w:r>
          <w:rPr>
            <w:color w:val="0563C1"/>
            <w:sz w:val="20"/>
            <w:szCs w:val="20"/>
            <w:u w:val="single"/>
          </w:rPr>
          <w:t>https://e-archivo.uc3m.es/bitstream/handle/10016/26545/WF-18-03.pdf</w:t>
        </w:r>
      </w:hyperlink>
      <w:r>
        <w:rPr>
          <w:color w:val="000000"/>
          <w:sz w:val="20"/>
          <w:szCs w:val="20"/>
        </w:rPr>
        <w:t>.</w:t>
      </w:r>
    </w:p>
    <w:p w:rsidR="000B3114" w:rsidRDefault="000B3114">
      <w:pPr>
        <w:pBdr>
          <w:top w:val="nil"/>
          <w:left w:val="nil"/>
          <w:bottom w:val="nil"/>
          <w:right w:val="nil"/>
          <w:between w:val="nil"/>
        </w:pBdr>
        <w:spacing w:after="0" w:line="240" w:lineRule="auto"/>
        <w:jc w:val="both"/>
        <w:rPr>
          <w:color w:val="000000"/>
          <w:sz w:val="20"/>
          <w:szCs w:val="20"/>
        </w:rPr>
      </w:pPr>
    </w:p>
    <w:p w:rsidR="000B3114" w:rsidRDefault="000B3114">
      <w:pPr>
        <w:pBdr>
          <w:top w:val="nil"/>
          <w:left w:val="nil"/>
          <w:bottom w:val="nil"/>
          <w:right w:val="nil"/>
          <w:between w:val="nil"/>
        </w:pBdr>
        <w:spacing w:after="0" w:line="240" w:lineRule="auto"/>
        <w:jc w:val="both"/>
        <w:rPr>
          <w:color w:val="000000"/>
          <w:sz w:val="20"/>
          <w:szCs w:val="20"/>
        </w:rPr>
      </w:pPr>
    </w:p>
  </w:footnote>
  <w:footnote w:id="6">
    <w:p w:rsidR="000B3114" w:rsidRDefault="00DE4D0B">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S</w:t>
      </w:r>
      <w:r>
        <w:rPr>
          <w:rFonts w:ascii="Palatino Linotype" w:eastAsia="Palatino Linotype" w:hAnsi="Palatino Linotype" w:cs="Palatino Linotype"/>
          <w:color w:val="000000"/>
          <w:sz w:val="16"/>
          <w:szCs w:val="16"/>
        </w:rPr>
        <w:t>entencia de fecha 19 de septiembre de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114" w:rsidRDefault="000B3114">
    <w:pPr>
      <w:widowControl w:val="0"/>
      <w:pBdr>
        <w:top w:val="nil"/>
        <w:left w:val="nil"/>
        <w:bottom w:val="nil"/>
        <w:right w:val="nil"/>
        <w:between w:val="nil"/>
      </w:pBdr>
      <w:spacing w:after="0" w:line="276" w:lineRule="auto"/>
      <w:rPr>
        <w:color w:val="000000"/>
      </w:rPr>
    </w:pPr>
  </w:p>
  <w:tbl>
    <w:tblPr>
      <w:tblStyle w:val="af0"/>
      <w:tblW w:w="10479" w:type="dxa"/>
      <w:tblInd w:w="-1281" w:type="dxa"/>
      <w:tblLayout w:type="fixed"/>
      <w:tblLook w:val="0400" w:firstRow="0" w:lastRow="0" w:firstColumn="0" w:lastColumn="0" w:noHBand="0" w:noVBand="1"/>
    </w:tblPr>
    <w:tblGrid>
      <w:gridCol w:w="5576"/>
      <w:gridCol w:w="4903"/>
    </w:tblGrid>
    <w:tr w:rsidR="000B3114">
      <w:trPr>
        <w:trHeight w:val="245"/>
      </w:trPr>
      <w:tc>
        <w:tcPr>
          <w:tcW w:w="5576" w:type="dxa"/>
        </w:tcPr>
        <w:p w:rsidR="000B3114" w:rsidRDefault="00DE4D0B">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903" w:type="dxa"/>
        </w:tcPr>
        <w:p w:rsidR="000B3114" w:rsidRDefault="00DE4D0B">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03264/INFOEM/IP/RR/2022</w:t>
          </w:r>
        </w:p>
      </w:tc>
    </w:tr>
    <w:tr w:rsidR="000B3114">
      <w:trPr>
        <w:trHeight w:val="262"/>
      </w:trPr>
      <w:tc>
        <w:tcPr>
          <w:tcW w:w="5576" w:type="dxa"/>
        </w:tcPr>
        <w:p w:rsidR="000B3114" w:rsidRDefault="00DE4D0B">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03" w:type="dxa"/>
        </w:tcPr>
        <w:p w:rsidR="000B3114" w:rsidRDefault="00DE4D0B">
          <w:pPr>
            <w:pBdr>
              <w:top w:val="nil"/>
              <w:left w:val="nil"/>
              <w:bottom w:val="nil"/>
              <w:right w:val="nil"/>
              <w:between w:val="nil"/>
            </w:pBdr>
            <w:ind w:left="432" w:right="214"/>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Ecatepec de Morelos.</w:t>
          </w:r>
        </w:p>
      </w:tc>
    </w:tr>
    <w:tr w:rsidR="000B3114">
      <w:trPr>
        <w:trHeight w:val="371"/>
      </w:trPr>
      <w:tc>
        <w:tcPr>
          <w:tcW w:w="5576" w:type="dxa"/>
        </w:tcPr>
        <w:p w:rsidR="000B3114" w:rsidRDefault="00DE4D0B">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903" w:type="dxa"/>
        </w:tcPr>
        <w:p w:rsidR="000B3114" w:rsidRDefault="00DE4D0B">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0B3114" w:rsidRDefault="00DE4D0B">
    <w:pPr>
      <w:pBdr>
        <w:top w:val="nil"/>
        <w:left w:val="nil"/>
        <w:bottom w:val="nil"/>
        <w:right w:val="nil"/>
        <w:between w:val="nil"/>
      </w:pBdr>
      <w:tabs>
        <w:tab w:val="center" w:pos="4419"/>
        <w:tab w:val="right" w:pos="8838"/>
        <w:tab w:val="left" w:pos="2326"/>
      </w:tabs>
      <w:spacing w:after="0" w:line="240" w:lineRule="auto"/>
      <w:rPr>
        <w:color w:val="000000"/>
      </w:rPr>
    </w:pPr>
    <w:r>
      <w:rPr>
        <w:color w:val="000000"/>
      </w:rPr>
      <w:tab/>
    </w:r>
    <w:r>
      <w:rPr>
        <w:noProof/>
        <w:lang w:eastAsia="es-MX"/>
      </w:rPr>
      <w:drawing>
        <wp:anchor distT="0" distB="0" distL="0" distR="0" simplePos="0" relativeHeight="251658240" behindDoc="1" locked="0" layoutInCell="1" hidden="0" allowOverlap="1">
          <wp:simplePos x="0" y="0"/>
          <wp:positionH relativeFrom="column">
            <wp:posOffset>-1057905</wp:posOffset>
          </wp:positionH>
          <wp:positionV relativeFrom="paragraph">
            <wp:posOffset>-1544950</wp:posOffset>
          </wp:positionV>
          <wp:extent cx="7809865" cy="10165715"/>
          <wp:effectExtent l="0" t="0" r="0" b="0"/>
          <wp:wrapNone/>
          <wp:docPr id="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114" w:rsidRDefault="000B3114">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f"/>
      <w:tblW w:w="10479" w:type="dxa"/>
      <w:tblInd w:w="-1281" w:type="dxa"/>
      <w:tblLayout w:type="fixed"/>
      <w:tblLook w:val="0400" w:firstRow="0" w:lastRow="0" w:firstColumn="0" w:lastColumn="0" w:noHBand="0" w:noVBand="1"/>
    </w:tblPr>
    <w:tblGrid>
      <w:gridCol w:w="5576"/>
      <w:gridCol w:w="4903"/>
    </w:tblGrid>
    <w:tr w:rsidR="000B3114">
      <w:trPr>
        <w:trHeight w:val="245"/>
      </w:trPr>
      <w:tc>
        <w:tcPr>
          <w:tcW w:w="5576" w:type="dxa"/>
        </w:tcPr>
        <w:p w:rsidR="000B3114" w:rsidRDefault="00DE4D0B">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903" w:type="dxa"/>
        </w:tcPr>
        <w:p w:rsidR="000B3114" w:rsidRDefault="00DE4D0B">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03264/INFOEM/IP/RR/2022</w:t>
          </w:r>
        </w:p>
      </w:tc>
    </w:tr>
    <w:tr w:rsidR="000B3114">
      <w:trPr>
        <w:trHeight w:val="211"/>
      </w:trPr>
      <w:tc>
        <w:tcPr>
          <w:tcW w:w="5576" w:type="dxa"/>
        </w:tcPr>
        <w:p w:rsidR="000B3114" w:rsidRDefault="00DE4D0B">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903" w:type="dxa"/>
        </w:tcPr>
        <w:p w:rsidR="000B3114" w:rsidRDefault="00613367">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XXXXX XXXXX XXXX</w:t>
          </w:r>
        </w:p>
      </w:tc>
    </w:tr>
    <w:tr w:rsidR="000B3114">
      <w:trPr>
        <w:trHeight w:val="262"/>
      </w:trPr>
      <w:tc>
        <w:tcPr>
          <w:tcW w:w="5576" w:type="dxa"/>
        </w:tcPr>
        <w:p w:rsidR="000B3114" w:rsidRDefault="00DE4D0B">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03" w:type="dxa"/>
        </w:tcPr>
        <w:p w:rsidR="000B3114" w:rsidRDefault="00DE4D0B">
          <w:pPr>
            <w:pBdr>
              <w:top w:val="nil"/>
              <w:left w:val="nil"/>
              <w:bottom w:val="nil"/>
              <w:right w:val="nil"/>
              <w:between w:val="nil"/>
            </w:pBdr>
            <w:ind w:left="432" w:right="214"/>
            <w:jc w:val="right"/>
            <w:rPr>
              <w:rFonts w:ascii="Palatino Linotype" w:eastAsia="Palatino Linotype" w:hAnsi="Palatino Linotype" w:cs="Palatino Linotype"/>
              <w:color w:val="000000"/>
            </w:rPr>
          </w:pPr>
          <w:r>
            <w:rPr>
              <w:rFonts w:ascii="Palatino Linotype" w:eastAsia="Palatino Linotype" w:hAnsi="Palatino Linotype" w:cs="Palatino Linotype"/>
            </w:rPr>
            <w:t>Ayuntamiento de Ecatepec de Morelos</w:t>
          </w:r>
          <w:r>
            <w:rPr>
              <w:rFonts w:ascii="Palatino Linotype" w:eastAsia="Palatino Linotype" w:hAnsi="Palatino Linotype" w:cs="Palatino Linotype"/>
              <w:color w:val="000000"/>
            </w:rPr>
            <w:t>.</w:t>
          </w:r>
        </w:p>
      </w:tc>
    </w:tr>
    <w:tr w:rsidR="000B3114">
      <w:trPr>
        <w:trHeight w:val="371"/>
      </w:trPr>
      <w:tc>
        <w:tcPr>
          <w:tcW w:w="5576" w:type="dxa"/>
        </w:tcPr>
        <w:p w:rsidR="000B3114" w:rsidRDefault="00DE4D0B">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903" w:type="dxa"/>
        </w:tcPr>
        <w:p w:rsidR="000B3114" w:rsidRDefault="00DE4D0B">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0B3114" w:rsidRDefault="00DE4D0B">
    <w:pPr>
      <w:pBdr>
        <w:top w:val="nil"/>
        <w:left w:val="nil"/>
        <w:bottom w:val="nil"/>
        <w:right w:val="nil"/>
        <w:between w:val="nil"/>
      </w:pBdr>
      <w:tabs>
        <w:tab w:val="center" w:pos="4419"/>
        <w:tab w:val="right" w:pos="8838"/>
      </w:tabs>
      <w:spacing w:after="0" w:line="240" w:lineRule="auto"/>
      <w:rPr>
        <w:color w:val="000000"/>
      </w:rPr>
    </w:pPr>
    <w:r>
      <w:rPr>
        <w:noProof/>
        <w:lang w:eastAsia="es-MX"/>
      </w:rPr>
      <w:drawing>
        <wp:anchor distT="0" distB="0" distL="0" distR="0" simplePos="0" relativeHeight="251659264" behindDoc="1" locked="0" layoutInCell="1" hidden="0" allowOverlap="1">
          <wp:simplePos x="0" y="0"/>
          <wp:positionH relativeFrom="column">
            <wp:posOffset>-1108070</wp:posOffset>
          </wp:positionH>
          <wp:positionV relativeFrom="paragraph">
            <wp:posOffset>-1559555</wp:posOffset>
          </wp:positionV>
          <wp:extent cx="7809865" cy="10165715"/>
          <wp:effectExtent l="0" t="0" r="0" b="0"/>
          <wp:wrapNone/>
          <wp:docPr id="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114" w:rsidRDefault="000B3114">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p w:rsidR="000B3114" w:rsidRDefault="000B3114">
    <w:pPr>
      <w:pBdr>
        <w:top w:val="nil"/>
        <w:left w:val="nil"/>
        <w:bottom w:val="nil"/>
        <w:right w:val="nil"/>
        <w:between w:val="nil"/>
      </w:pBdr>
      <w:tabs>
        <w:tab w:val="center" w:pos="4419"/>
        <w:tab w:val="right" w:pos="8838"/>
      </w:tabs>
      <w:spacing w:after="0"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114" w:rsidRDefault="000B3114">
    <w:pPr>
      <w:widowControl w:val="0"/>
      <w:pBdr>
        <w:top w:val="nil"/>
        <w:left w:val="nil"/>
        <w:bottom w:val="nil"/>
        <w:right w:val="nil"/>
        <w:between w:val="nil"/>
      </w:pBdr>
      <w:spacing w:after="0" w:line="276" w:lineRule="auto"/>
      <w:rPr>
        <w:color w:val="000000"/>
      </w:rPr>
    </w:pPr>
  </w:p>
  <w:p w:rsidR="000B3114" w:rsidRDefault="00DE4D0B">
    <w:pPr>
      <w:pBdr>
        <w:top w:val="nil"/>
        <w:left w:val="nil"/>
        <w:bottom w:val="nil"/>
        <w:right w:val="nil"/>
        <w:between w:val="nil"/>
      </w:pBdr>
      <w:tabs>
        <w:tab w:val="center" w:pos="4419"/>
        <w:tab w:val="right" w:pos="8838"/>
        <w:tab w:val="left" w:pos="2326"/>
      </w:tabs>
      <w:spacing w:after="0" w:line="240" w:lineRule="auto"/>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63F21"/>
    <w:multiLevelType w:val="multilevel"/>
    <w:tmpl w:val="0C600A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E63D64"/>
    <w:multiLevelType w:val="multilevel"/>
    <w:tmpl w:val="BCA823E6"/>
    <w:lvl w:ilvl="0">
      <w:start w:val="1"/>
      <w:numFmt w:val="bullet"/>
      <w:lvlText w:val="●"/>
      <w:lvlJc w:val="left"/>
      <w:pPr>
        <w:ind w:left="1068" w:hanging="360"/>
      </w:pPr>
      <w:rPr>
        <w:rFonts w:ascii="Noto Sans Symbols" w:eastAsia="Noto Sans Symbols" w:hAnsi="Noto Sans Symbols" w:cs="Noto Sans Symbols"/>
        <w:color w:val="00000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 w15:restartNumberingAfterBreak="0">
    <w:nsid w:val="2D315CF8"/>
    <w:multiLevelType w:val="multilevel"/>
    <w:tmpl w:val="D63EC07E"/>
    <w:lvl w:ilvl="0">
      <w:start w:val="1"/>
      <w:numFmt w:val="bullet"/>
      <w:lvlText w:val="●"/>
      <w:lvlJc w:val="left"/>
      <w:pPr>
        <w:ind w:left="1068" w:hanging="360"/>
      </w:pPr>
      <w:rPr>
        <w:rFonts w:ascii="Noto Sans Symbols" w:eastAsia="Noto Sans Symbols" w:hAnsi="Noto Sans Symbols" w:cs="Noto Sans Symbols"/>
        <w:color w:val="00000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 w15:restartNumberingAfterBreak="0">
    <w:nsid w:val="470550ED"/>
    <w:multiLevelType w:val="multilevel"/>
    <w:tmpl w:val="DA28F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03F48A7"/>
    <w:multiLevelType w:val="multilevel"/>
    <w:tmpl w:val="DC8A135C"/>
    <w:lvl w:ilvl="0">
      <w:start w:val="1"/>
      <w:numFmt w:val="low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15:restartNumberingAfterBreak="0">
    <w:nsid w:val="60736898"/>
    <w:multiLevelType w:val="multilevel"/>
    <w:tmpl w:val="CD1C221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A1132A4"/>
    <w:multiLevelType w:val="multilevel"/>
    <w:tmpl w:val="F4BA1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3"/>
  </w:num>
  <w:num w:numId="3">
    <w:abstractNumId w:val="2"/>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114"/>
    <w:rsid w:val="00075782"/>
    <w:rsid w:val="000B3114"/>
    <w:rsid w:val="001942D6"/>
    <w:rsid w:val="003764F5"/>
    <w:rsid w:val="00380654"/>
    <w:rsid w:val="00613367"/>
    <w:rsid w:val="00996928"/>
    <w:rsid w:val="00B61375"/>
    <w:rsid w:val="00D95463"/>
    <w:rsid w:val="00DE4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3B0014-98C6-4BC6-8094-94625C58B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0C3"/>
  </w:style>
  <w:style w:type="paragraph" w:styleId="Ttulo1">
    <w:name w:val="heading 1"/>
    <w:basedOn w:val="Normal"/>
    <w:next w:val="Normal"/>
    <w:link w:val="Ttulo1Car"/>
    <w:uiPriority w:val="9"/>
    <w:qFormat/>
    <w:rsid w:val="0005284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05284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8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D46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46B2"/>
  </w:style>
  <w:style w:type="paragraph" w:styleId="Piedepgina">
    <w:name w:val="footer"/>
    <w:basedOn w:val="Normal"/>
    <w:link w:val="PiedepginaCar"/>
    <w:uiPriority w:val="99"/>
    <w:unhideWhenUsed/>
    <w:rsid w:val="005D46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46B2"/>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46B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D46B2"/>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D46B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D46B2"/>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D46B2"/>
    <w:rPr>
      <w:vertAlign w:val="superscript"/>
    </w:rPr>
  </w:style>
  <w:style w:type="table" w:styleId="Tablaconcuadrcula">
    <w:name w:val="Table Grid"/>
    <w:basedOn w:val="Tablanormal"/>
    <w:uiPriority w:val="59"/>
    <w:rsid w:val="005D46B2"/>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D46B2"/>
  </w:style>
  <w:style w:type="character" w:styleId="nfasis">
    <w:name w:val="Emphasis"/>
    <w:basedOn w:val="Fuentedeprrafopredeter"/>
    <w:uiPriority w:val="20"/>
    <w:qFormat/>
    <w:rsid w:val="005D46B2"/>
    <w:rPr>
      <w:i/>
      <w:iCs/>
    </w:rPr>
  </w:style>
  <w:style w:type="paragraph" w:customStyle="1" w:styleId="j">
    <w:name w:val="j"/>
    <w:basedOn w:val="Normal"/>
    <w:rsid w:val="005D4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05284F"/>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05284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84F"/>
    <w:rPr>
      <w:rFonts w:ascii="Times New Roman" w:eastAsia="Times New Roman" w:hAnsi="Times New Roman" w:cs="Times New Roman"/>
      <w:b/>
      <w:bCs/>
      <w:sz w:val="27"/>
      <w:szCs w:val="27"/>
      <w:lang w:eastAsia="es-MX"/>
    </w:rPr>
  </w:style>
  <w:style w:type="character" w:customStyle="1" w:styleId="normaltextrun">
    <w:name w:val="normaltextrun"/>
    <w:basedOn w:val="Fuentedeprrafopredeter"/>
    <w:rsid w:val="0005284F"/>
  </w:style>
  <w:style w:type="paragraph" w:customStyle="1" w:styleId="paragraph">
    <w:name w:val="paragraph"/>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05284F"/>
  </w:style>
  <w:style w:type="character" w:styleId="Hipervnculo">
    <w:name w:val="Hyperlink"/>
    <w:basedOn w:val="Fuentedeprrafopredeter"/>
    <w:uiPriority w:val="99"/>
    <w:unhideWhenUsed/>
    <w:rsid w:val="0005284F"/>
    <w:rPr>
      <w:color w:val="0563C1" w:themeColor="hyperlink"/>
      <w:u w:val="single"/>
    </w:rPr>
  </w:style>
  <w:style w:type="paragraph" w:styleId="NormalWeb">
    <w:name w:val="Normal (Web)"/>
    <w:basedOn w:val="Normal"/>
    <w:uiPriority w:val="99"/>
    <w:unhideWhenUsed/>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ulorubro">
    <w:name w:val="titulorubro"/>
    <w:basedOn w:val="Fuentedeprrafopredeter"/>
    <w:rsid w:val="0005284F"/>
  </w:style>
  <w:style w:type="paragraph" w:styleId="Textoindependiente">
    <w:name w:val="Body Text"/>
    <w:basedOn w:val="Normal"/>
    <w:link w:val="TextoindependienteCar"/>
    <w:uiPriority w:val="99"/>
    <w:qFormat/>
    <w:rsid w:val="0005284F"/>
    <w:pPr>
      <w:autoSpaceDE w:val="0"/>
      <w:autoSpaceDN w:val="0"/>
      <w:adjustRightInd w:val="0"/>
      <w:spacing w:after="0" w:line="240" w:lineRule="auto"/>
      <w:ind w:left="93"/>
    </w:pPr>
    <w:rPr>
      <w:rFonts w:ascii="Times New Roman" w:hAnsi="Times New Roman" w:cs="Times New Roman"/>
      <w:sz w:val="23"/>
      <w:szCs w:val="23"/>
    </w:rPr>
  </w:style>
  <w:style w:type="character" w:customStyle="1" w:styleId="TextoindependienteCar">
    <w:name w:val="Texto independiente Car"/>
    <w:basedOn w:val="Fuentedeprrafopredeter"/>
    <w:link w:val="Textoindependiente"/>
    <w:uiPriority w:val="99"/>
    <w:rsid w:val="0005284F"/>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05284F"/>
    <w:pPr>
      <w:spacing w:after="0" w:line="240" w:lineRule="auto"/>
    </w:pPr>
    <w:rPr>
      <w:rFonts w:ascii="Segoe UI" w:eastAsia="Times New Roman" w:hAnsi="Segoe UI" w:cs="Segoe UI"/>
      <w:sz w:val="18"/>
      <w:szCs w:val="18"/>
      <w:lang w:val="es-ES" w:eastAsia="es-ES"/>
    </w:rPr>
  </w:style>
  <w:style w:type="character" w:customStyle="1" w:styleId="TextodegloboCar">
    <w:name w:val="Texto de globo Car"/>
    <w:basedOn w:val="Fuentedeprrafopredeter"/>
    <w:link w:val="Textodeglobo"/>
    <w:uiPriority w:val="99"/>
    <w:semiHidden/>
    <w:rsid w:val="0005284F"/>
    <w:rPr>
      <w:rFonts w:ascii="Segoe UI" w:eastAsia="Times New Roman" w:hAnsi="Segoe UI" w:cs="Segoe UI"/>
      <w:sz w:val="18"/>
      <w:szCs w:val="18"/>
      <w:lang w:val="es-ES" w:eastAsia="es-ES"/>
    </w:rPr>
  </w:style>
  <w:style w:type="paragraph" w:customStyle="1" w:styleId="Pa1">
    <w:name w:val="Pa1"/>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customStyle="1" w:styleId="Pa2">
    <w:name w:val="Pa2"/>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customStyle="1" w:styleId="Pa3">
    <w:name w:val="Pa3"/>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styleId="Sinespaciado">
    <w:name w:val="No Spacing"/>
    <w:aliases w:val="Francesa,INAI"/>
    <w:link w:val="SinespaciadoCar"/>
    <w:uiPriority w:val="1"/>
    <w:qFormat/>
    <w:rsid w:val="0005284F"/>
    <w:pPr>
      <w:spacing w:after="0" w:line="240" w:lineRule="auto"/>
    </w:pPr>
  </w:style>
  <w:style w:type="character" w:customStyle="1" w:styleId="SinespaciadoCar">
    <w:name w:val="Sin espaciado Car"/>
    <w:aliases w:val="Francesa Car,INAI Car"/>
    <w:link w:val="Sinespaciado"/>
    <w:uiPriority w:val="1"/>
    <w:locked/>
    <w:rsid w:val="0005284F"/>
  </w:style>
  <w:style w:type="table" w:styleId="Tabladelista1clara-nfasis1">
    <w:name w:val="List Table 1 Light Accent 1"/>
    <w:basedOn w:val="Tablanormal"/>
    <w:uiPriority w:val="46"/>
    <w:rsid w:val="0005284F"/>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tab-span">
    <w:name w:val="apple-tab-span"/>
    <w:basedOn w:val="Fuentedeprrafopredeter"/>
    <w:rsid w:val="0005284F"/>
  </w:style>
  <w:style w:type="character" w:styleId="Textoennegrita">
    <w:name w:val="Strong"/>
    <w:uiPriority w:val="22"/>
    <w:qFormat/>
    <w:rsid w:val="0005284F"/>
    <w:rPr>
      <w:b/>
      <w:bCs/>
    </w:rPr>
  </w:style>
  <w:style w:type="paragraph" w:customStyle="1" w:styleId="Texto">
    <w:name w:val="Texto"/>
    <w:basedOn w:val="Normal"/>
    <w:link w:val="TextoCar"/>
    <w:qFormat/>
    <w:rsid w:val="0005284F"/>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05284F"/>
    <w:rPr>
      <w:rFonts w:ascii="Arial" w:eastAsia="Times New Roman" w:hAnsi="Arial" w:cs="Arial"/>
      <w:sz w:val="18"/>
      <w:szCs w:val="18"/>
      <w:lang w:eastAsia="es-ES"/>
    </w:rPr>
  </w:style>
  <w:style w:type="paragraph" w:styleId="Textosinformato">
    <w:name w:val="Plain Text"/>
    <w:basedOn w:val="Normal"/>
    <w:link w:val="TextosinformatoCar"/>
    <w:rsid w:val="0005284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84F"/>
    <w:rPr>
      <w:rFonts w:ascii="Courier New" w:eastAsia="Times New Roman" w:hAnsi="Courier New" w:cs="Times New Roman"/>
      <w:sz w:val="20"/>
      <w:szCs w:val="20"/>
      <w:lang w:val="es-ES" w:eastAsia="es-ES"/>
    </w:rPr>
  </w:style>
  <w:style w:type="paragraph" w:customStyle="1" w:styleId="Default">
    <w:name w:val="Default"/>
    <w:rsid w:val="0005284F"/>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05284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q">
    <w:name w:val="q"/>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paragraph" w:styleId="Bibliografa">
    <w:name w:val="Bibliography"/>
    <w:basedOn w:val="Normal"/>
    <w:next w:val="Normal"/>
    <w:uiPriority w:val="37"/>
    <w:semiHidden/>
    <w:unhideWhenUsed/>
    <w:rsid w:val="0005284F"/>
    <w:pPr>
      <w:spacing w:after="0" w:line="240" w:lineRule="auto"/>
    </w:pPr>
    <w:rPr>
      <w:rFonts w:ascii="Times New Roman" w:eastAsia="Times New Roman" w:hAnsi="Times New Roman" w:cs="Times New Roman"/>
      <w:sz w:val="24"/>
      <w:szCs w:val="24"/>
      <w:lang w:val="es-ES" w:eastAsia="es-ES"/>
    </w:rPr>
  </w:style>
  <w:style w:type="character" w:customStyle="1" w:styleId="nacep">
    <w:name w:val="n_acep"/>
    <w:basedOn w:val="Fuentedeprrafopredeter"/>
    <w:rsid w:val="0005284F"/>
  </w:style>
  <w:style w:type="character" w:customStyle="1" w:styleId="m2871584667633129156gmail-apple-converted-space">
    <w:name w:val="m_2871584667633129156gmail-apple-converted-space"/>
    <w:basedOn w:val="Fuentedeprrafopredeter"/>
    <w:rsid w:val="0005284F"/>
  </w:style>
  <w:style w:type="character" w:customStyle="1" w:styleId="m2871584667633129156gmail-msofootnotereference">
    <w:name w:val="m_2871584667633129156gmail-msofootnotereference"/>
    <w:basedOn w:val="Fuentedeprrafopredeter"/>
    <w:rsid w:val="0005284F"/>
  </w:style>
  <w:style w:type="paragraph" w:customStyle="1" w:styleId="m2871584667633129156gmail-msofootnotetext">
    <w:name w:val="m_2871584667633129156gmail-msofootnotetext"/>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2">
    <w:name w:val="Body Text 2"/>
    <w:basedOn w:val="Normal"/>
    <w:link w:val="Textoindependiente2Car"/>
    <w:uiPriority w:val="99"/>
    <w:unhideWhenUsed/>
    <w:rsid w:val="0005284F"/>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05284F"/>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05284F"/>
    <w:rPr>
      <w:color w:val="954F72" w:themeColor="followedHyperlink"/>
      <w:u w:val="single"/>
    </w:rPr>
  </w:style>
  <w:style w:type="paragraph" w:styleId="Lista">
    <w:name w:val="List"/>
    <w:basedOn w:val="Normal"/>
    <w:uiPriority w:val="99"/>
    <w:unhideWhenUsed/>
    <w:rsid w:val="0005284F"/>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05284F"/>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uiPriority w:val="99"/>
    <w:unhideWhenUsed/>
    <w:rsid w:val="0005284F"/>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uiPriority w:val="99"/>
    <w:rsid w:val="0005284F"/>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05284F"/>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05284F"/>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05284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84F"/>
    <w:rPr>
      <w:rFonts w:ascii="Times New Roman" w:eastAsia="Times New Roman" w:hAnsi="Times New Roman" w:cs="Times New Roman"/>
      <w:sz w:val="24"/>
      <w:szCs w:val="24"/>
      <w:lang w:val="es-ES" w:eastAsia="es-ES"/>
    </w:rPr>
  </w:style>
  <w:style w:type="character" w:customStyle="1" w:styleId="u">
    <w:name w:val="u"/>
    <w:basedOn w:val="Fuentedeprrafopredeter"/>
    <w:rsid w:val="0005284F"/>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rsid w:val="0005284F"/>
    <w:rPr>
      <w:sz w:val="20"/>
      <w:szCs w:val="20"/>
    </w:rPr>
  </w:style>
  <w:style w:type="paragraph" w:customStyle="1" w:styleId="rtejustify">
    <w:name w:val="rtejustify"/>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
    <w:name w:val="j1"/>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
    <w:name w:val="d"/>
    <w:basedOn w:val="Fuentedeprrafopredeter"/>
    <w:rsid w:val="0005284F"/>
  </w:style>
  <w:style w:type="character" w:customStyle="1" w:styleId="m-7180717751901043621gmail-msofootnotereference">
    <w:name w:val="m_-7180717751901043621gmail-msofootnotereference"/>
    <w:basedOn w:val="Fuentedeprrafopredeter"/>
    <w:rsid w:val="0005284F"/>
  </w:style>
  <w:style w:type="character" w:customStyle="1" w:styleId="m-3579365149168697376gmail-msofootnotereference">
    <w:name w:val="m_-3579365149168697376gmail-msofootnotereference"/>
    <w:basedOn w:val="Fuentedeprrafopredeter"/>
    <w:rsid w:val="0005284F"/>
  </w:style>
  <w:style w:type="paragraph" w:customStyle="1" w:styleId="m-3579365149168697376gmail-msofootnotetext">
    <w:name w:val="m_-3579365149168697376gmail-msofootnotetext"/>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s">
    <w:name w:val="ams"/>
    <w:basedOn w:val="Fuentedeprrafopredeter"/>
    <w:rsid w:val="0005284F"/>
  </w:style>
  <w:style w:type="character" w:customStyle="1" w:styleId="apple-style-span">
    <w:name w:val="apple-style-span"/>
    <w:rsid w:val="0005284F"/>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pPr>
      <w:spacing w:after="0" w:line="240" w:lineRule="auto"/>
    </w:pPr>
    <w:rPr>
      <w:sz w:val="24"/>
      <w:szCs w:val="24"/>
    </w:rPr>
    <w:tblPr>
      <w:tblStyleRowBandSize w:val="1"/>
      <w:tblStyleColBandSize w:val="1"/>
      <w:tblCellMar>
        <w:left w:w="108" w:type="dxa"/>
        <w:right w:w="108"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70" w:type="dxa"/>
        <w:right w:w="70" w:type="dxa"/>
      </w:tblCellMar>
    </w:tblPr>
  </w:style>
  <w:style w:type="table" w:customStyle="1" w:styleId="a2">
    <w:basedOn w:val="TableNormal3"/>
    <w:tblPr>
      <w:tblStyleRowBandSize w:val="1"/>
      <w:tblStyleColBandSize w:val="1"/>
      <w:tblCellMar>
        <w:left w:w="70" w:type="dxa"/>
        <w:right w:w="70" w:type="dxa"/>
      </w:tblCellMar>
    </w:tblPr>
  </w:style>
  <w:style w:type="table" w:customStyle="1" w:styleId="a3">
    <w:basedOn w:val="TableNormal3"/>
    <w:pPr>
      <w:spacing w:after="0" w:line="240" w:lineRule="auto"/>
    </w:pPr>
    <w:rPr>
      <w:sz w:val="24"/>
      <w:szCs w:val="24"/>
    </w:rPr>
    <w:tblPr>
      <w:tblStyleRowBandSize w:val="1"/>
      <w:tblStyleColBandSize w:val="1"/>
      <w:tblCellMar>
        <w:left w:w="70" w:type="dxa"/>
        <w:right w:w="70"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4">
    <w:basedOn w:val="TableNormal3"/>
    <w:pPr>
      <w:spacing w:after="0" w:line="240" w:lineRule="auto"/>
    </w:pPr>
    <w:rPr>
      <w:sz w:val="24"/>
      <w:szCs w:val="24"/>
    </w:rPr>
    <w:tblPr>
      <w:tblStyleRowBandSize w:val="1"/>
      <w:tblStyleColBandSize w:val="1"/>
      <w:tblCellMar>
        <w:left w:w="70" w:type="dxa"/>
        <w:right w:w="70" w:type="dxa"/>
      </w:tblCellMar>
    </w:tblPr>
  </w:style>
  <w:style w:type="table" w:customStyle="1" w:styleId="a5">
    <w:basedOn w:val="TableNormal3"/>
    <w:pPr>
      <w:spacing w:after="0" w:line="240" w:lineRule="auto"/>
    </w:pPr>
    <w:rPr>
      <w:sz w:val="24"/>
      <w:szCs w:val="24"/>
    </w:rPr>
    <w:tblPr>
      <w:tblStyleRowBandSize w:val="1"/>
      <w:tblStyleColBandSize w:val="1"/>
      <w:tblCellMar>
        <w:left w:w="70" w:type="dxa"/>
        <w:right w:w="70" w:type="dxa"/>
      </w:tblCellMar>
    </w:tblPr>
  </w:style>
  <w:style w:type="table" w:customStyle="1" w:styleId="a6">
    <w:basedOn w:val="TableNormal3"/>
    <w:pPr>
      <w:spacing w:after="0" w:line="240" w:lineRule="auto"/>
    </w:pPr>
    <w:rPr>
      <w:sz w:val="24"/>
      <w:szCs w:val="24"/>
    </w:rPr>
    <w:tblPr>
      <w:tblStyleRowBandSize w:val="1"/>
      <w:tblStyleColBandSize w:val="1"/>
      <w:tblCellMar>
        <w:left w:w="70" w:type="dxa"/>
        <w:right w:w="70" w:type="dxa"/>
      </w:tblCellMar>
    </w:tblPr>
  </w:style>
  <w:style w:type="table" w:customStyle="1" w:styleId="a7">
    <w:basedOn w:val="TableNormal2"/>
    <w:pPr>
      <w:spacing w:after="0" w:line="240" w:lineRule="auto"/>
    </w:pPr>
    <w:rPr>
      <w:sz w:val="24"/>
      <w:szCs w:val="24"/>
    </w:rPr>
    <w:tblPr>
      <w:tblStyleRowBandSize w:val="1"/>
      <w:tblStyleColBandSize w:val="1"/>
      <w:tblCellMar>
        <w:left w:w="70" w:type="dxa"/>
        <w:right w:w="70"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8">
    <w:basedOn w:val="TableNormal2"/>
    <w:pPr>
      <w:spacing w:after="0" w:line="240" w:lineRule="auto"/>
    </w:pPr>
    <w:rPr>
      <w:sz w:val="24"/>
      <w:szCs w:val="24"/>
    </w:rPr>
    <w:tblPr>
      <w:tblStyleRowBandSize w:val="1"/>
      <w:tblStyleColBandSize w:val="1"/>
      <w:tblCellMar>
        <w:left w:w="70" w:type="dxa"/>
        <w:right w:w="70" w:type="dxa"/>
      </w:tblCellMar>
    </w:tblPr>
  </w:style>
  <w:style w:type="table" w:customStyle="1" w:styleId="a9">
    <w:basedOn w:val="TableNormal2"/>
    <w:pPr>
      <w:spacing w:after="0" w:line="240" w:lineRule="auto"/>
    </w:pPr>
    <w:rPr>
      <w:sz w:val="24"/>
      <w:szCs w:val="24"/>
    </w:rPr>
    <w:tblPr>
      <w:tblStyleRowBandSize w:val="1"/>
      <w:tblStyleColBandSize w:val="1"/>
      <w:tblCellMar>
        <w:left w:w="70" w:type="dxa"/>
        <w:right w:w="70" w:type="dxa"/>
      </w:tblCellMar>
    </w:tblPr>
  </w:style>
  <w:style w:type="table" w:customStyle="1" w:styleId="aa">
    <w:basedOn w:val="TableNormal2"/>
    <w:pPr>
      <w:spacing w:after="0" w:line="240" w:lineRule="auto"/>
    </w:pPr>
    <w:rPr>
      <w:sz w:val="24"/>
      <w:szCs w:val="24"/>
    </w:rPr>
    <w:tblPr>
      <w:tblStyleRowBandSize w:val="1"/>
      <w:tblStyleColBandSize w:val="1"/>
      <w:tblCellMar>
        <w:left w:w="70" w:type="dxa"/>
        <w:right w:w="70" w:type="dxa"/>
      </w:tblCellMar>
    </w:tblPr>
  </w:style>
  <w:style w:type="paragraph" w:customStyle="1" w:styleId="corte4fondo">
    <w:name w:val="corte4 fondo"/>
    <w:basedOn w:val="Normal"/>
    <w:link w:val="corte4fondoCar3"/>
    <w:qFormat/>
    <w:rsid w:val="0054568E"/>
    <w:pPr>
      <w:spacing w:after="0" w:line="360" w:lineRule="auto"/>
      <w:ind w:firstLine="709"/>
      <w:jc w:val="both"/>
    </w:pPr>
    <w:rPr>
      <w:rFonts w:ascii="Arial" w:eastAsia="Times New Roman" w:hAnsi="Arial" w:cs="Times New Roman"/>
      <w:sz w:val="30"/>
      <w:szCs w:val="20"/>
    </w:rPr>
  </w:style>
  <w:style w:type="character" w:customStyle="1" w:styleId="corte4fondoCar3">
    <w:name w:val="corte4 fondo Car3"/>
    <w:link w:val="corte4fondo"/>
    <w:locked/>
    <w:rsid w:val="0054568E"/>
    <w:rPr>
      <w:rFonts w:ascii="Arial" w:eastAsia="Times New Roman" w:hAnsi="Arial" w:cs="Times New Roman"/>
      <w:sz w:val="30"/>
      <w:szCs w:val="20"/>
    </w:rPr>
  </w:style>
  <w:style w:type="table" w:customStyle="1" w:styleId="ab">
    <w:basedOn w:val="TableNormal1"/>
    <w:pPr>
      <w:spacing w:after="0" w:line="240" w:lineRule="auto"/>
    </w:pPr>
    <w:rPr>
      <w:sz w:val="24"/>
      <w:szCs w:val="24"/>
    </w:rPr>
    <w:tblPr>
      <w:tblStyleRowBandSize w:val="1"/>
      <w:tblStyleColBandSize w:val="1"/>
      <w:tblCellMar>
        <w:left w:w="70" w:type="dxa"/>
        <w:right w:w="70"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c">
    <w:basedOn w:val="TableNormal1"/>
    <w:pPr>
      <w:spacing w:after="0" w:line="240" w:lineRule="auto"/>
    </w:pPr>
    <w:rPr>
      <w:sz w:val="24"/>
      <w:szCs w:val="24"/>
    </w:rPr>
    <w:tblPr>
      <w:tblStyleRowBandSize w:val="1"/>
      <w:tblStyleColBandSize w:val="1"/>
      <w:tblCellMar>
        <w:left w:w="70" w:type="dxa"/>
        <w:right w:w="70" w:type="dxa"/>
      </w:tblCellMar>
    </w:tblPr>
  </w:style>
  <w:style w:type="table" w:customStyle="1" w:styleId="ad">
    <w:basedOn w:val="TableNormal1"/>
    <w:pPr>
      <w:spacing w:after="0" w:line="240" w:lineRule="auto"/>
    </w:pPr>
    <w:rPr>
      <w:sz w:val="24"/>
      <w:szCs w:val="24"/>
    </w:rPr>
    <w:tblPr>
      <w:tblStyleRowBandSize w:val="1"/>
      <w:tblStyleColBandSize w:val="1"/>
      <w:tblCellMar>
        <w:left w:w="70" w:type="dxa"/>
        <w:right w:w="70" w:type="dxa"/>
      </w:tblCellMar>
    </w:tblPr>
  </w:style>
  <w:style w:type="table" w:customStyle="1" w:styleId="ae">
    <w:basedOn w:val="TableNormal0"/>
    <w:pPr>
      <w:spacing w:after="0" w:line="240" w:lineRule="auto"/>
    </w:pPr>
    <w:rPr>
      <w:sz w:val="24"/>
      <w:szCs w:val="24"/>
    </w:rPr>
    <w:tblPr>
      <w:tblStyleRowBandSize w:val="1"/>
      <w:tblStyleColBandSize w:val="1"/>
      <w:tblCellMar>
        <w:left w:w="70" w:type="dxa"/>
        <w:right w:w="70"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
    <w:basedOn w:val="TableNormal0"/>
    <w:pPr>
      <w:spacing w:after="0" w:line="240" w:lineRule="auto"/>
    </w:pPr>
    <w:rPr>
      <w:sz w:val="24"/>
      <w:szCs w:val="24"/>
    </w:rPr>
    <w:tblPr>
      <w:tblStyleRowBandSize w:val="1"/>
      <w:tblStyleColBandSize w:val="1"/>
      <w:tblCellMar>
        <w:left w:w="70" w:type="dxa"/>
        <w:right w:w="70" w:type="dxa"/>
      </w:tblCellMar>
    </w:tblPr>
  </w:style>
  <w:style w:type="table" w:customStyle="1" w:styleId="af0">
    <w:basedOn w:val="TableNormal0"/>
    <w:pPr>
      <w:spacing w:after="0" w:line="240" w:lineRule="auto"/>
    </w:pPr>
    <w:rPr>
      <w:sz w:val="24"/>
      <w:szCs w:val="24"/>
    </w:rPr>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41002.page" TargetMode="Externa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365245.page"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e-archivo.uc3m.es/bitstream/handle/10016/26545/WF-18-03.pdf" TargetMode="External"/><Relationship Id="rId1" Type="http://schemas.openxmlformats.org/officeDocument/2006/relationships/hyperlink" Target="http://sjf.scjn.gob.mx/SJFSist/Documentos/Tesis/170/1707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eKwZDGDkz9McMGZWPXQoBUkZqA==">AMUW2mV82xXyN/H0wGrQumbfnYj0WYGwAKmL3WhvpVfkEPCOJgAkguFFHRYi/L3e16nWT0C4Y2o1PwBEJVuAmvfU0lpcNCqfGBehVmlOWlDckdFoInxvT0XfI8NrDv8HdHdJuhC2jqzOpLWAIXu/B/Ggzo/vr8V4v5Cg++3McDNVzwcJKk3XsL/TP8RdkS/MiPiFDmXGbeXt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66</Pages>
  <Words>15845</Words>
  <Characters>87150</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Jhancarlo</cp:lastModifiedBy>
  <cp:revision>4</cp:revision>
  <dcterms:created xsi:type="dcterms:W3CDTF">2022-06-07T22:06:00Z</dcterms:created>
  <dcterms:modified xsi:type="dcterms:W3CDTF">2022-07-07T16:25:00Z</dcterms:modified>
</cp:coreProperties>
</file>