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D11180">
        <w:rPr>
          <w:rFonts w:ascii="Palatino Linotype" w:eastAsia="Palatino Linotype" w:hAnsi="Palatino Linotype" w:cs="Palatino Linotype"/>
          <w:b/>
        </w:rPr>
        <w:t>cuatro de mayo</w:t>
      </w:r>
      <w:r>
        <w:rPr>
          <w:rFonts w:ascii="Palatino Linotype" w:eastAsia="Palatino Linotype" w:hAnsi="Palatino Linotype" w:cs="Palatino Linotype"/>
          <w:b/>
        </w:rPr>
        <w:t xml:space="preserve"> del dos mil veintidós</w:t>
      </w:r>
      <w:r>
        <w:rPr>
          <w:rFonts w:ascii="Palatino Linotype" w:eastAsia="Palatino Linotype" w:hAnsi="Palatino Linotype" w:cs="Palatino Linotype"/>
        </w:rPr>
        <w:t>.</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D11180">
        <w:rPr>
          <w:rFonts w:ascii="Palatino Linotype" w:eastAsia="Palatino Linotype" w:hAnsi="Palatino Linotype" w:cs="Palatino Linotype"/>
          <w:b/>
        </w:rPr>
        <w:t>0184</w:t>
      </w:r>
      <w:r w:rsidR="00892A9B">
        <w:rPr>
          <w:rFonts w:ascii="Palatino Linotype" w:eastAsia="Palatino Linotype" w:hAnsi="Palatino Linotype" w:cs="Palatino Linotype"/>
          <w:b/>
        </w:rPr>
        <w:t>9</w:t>
      </w:r>
      <w:r w:rsidR="004B1308">
        <w:rPr>
          <w:rFonts w:ascii="Palatino Linotype" w:eastAsia="Palatino Linotype" w:hAnsi="Palatino Linotype" w:cs="Palatino Linotype"/>
          <w:b/>
        </w:rPr>
        <w:t>/INFOEM/IP/RR/2022</w:t>
      </w:r>
      <w:r>
        <w:rPr>
          <w:rFonts w:ascii="Palatino Linotype" w:eastAsia="Palatino Linotype" w:hAnsi="Palatino Linotype" w:cs="Palatino Linotype"/>
        </w:rPr>
        <w:t>, interpuesto por</w:t>
      </w:r>
      <w:r w:rsidR="00EF7AB1">
        <w:rPr>
          <w:rFonts w:ascii="Palatino Linotype" w:eastAsia="Palatino Linotype" w:hAnsi="Palatino Linotype" w:cs="Palatino Linotype"/>
          <w:b/>
        </w:rPr>
        <w:t xml:space="preserve"> xxxxx</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sidR="00AA368F">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892A9B">
        <w:rPr>
          <w:rFonts w:ascii="Palatino Linotype" w:eastAsia="Palatino Linotype" w:hAnsi="Palatino Linotype" w:cs="Palatino Linotype"/>
        </w:rPr>
        <w:t xml:space="preserve"> en contra de la respuesta del</w:t>
      </w:r>
      <w:r w:rsidR="004B1308">
        <w:rPr>
          <w:rFonts w:ascii="Palatino Linotype" w:eastAsia="Palatino Linotype" w:hAnsi="Palatino Linotype" w:cs="Palatino Linotype"/>
          <w:b/>
        </w:rPr>
        <w:t xml:space="preserve"> </w:t>
      </w:r>
      <w:r w:rsidR="00D11180">
        <w:rPr>
          <w:rFonts w:ascii="Palatino Linotype" w:eastAsia="Palatino Linotype" w:hAnsi="Palatino Linotype" w:cs="Palatino Linotype"/>
          <w:b/>
        </w:rPr>
        <w:t>Ayuntamiento de Atizapán de Zaragoza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w:t>
      </w:r>
      <w:bookmarkStart w:id="0" w:name="_GoBack"/>
      <w:bookmarkEnd w:id="0"/>
      <w:r>
        <w:rPr>
          <w:rFonts w:ascii="Palatino Linotype" w:eastAsia="Palatino Linotype" w:hAnsi="Palatino Linotype" w:cs="Palatino Linotype"/>
        </w:rPr>
        <w:t xml:space="preserve">olución con base en los siguientes: </w:t>
      </w:r>
    </w:p>
    <w:p w:rsidR="00913A86" w:rsidRDefault="002F08A5">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sidR="00D11180">
        <w:rPr>
          <w:rFonts w:ascii="Palatino Linotype" w:eastAsia="Palatino Linotype" w:hAnsi="Palatino Linotype" w:cs="Palatino Linotype"/>
          <w:b/>
        </w:rPr>
        <w:t>trece de en</w:t>
      </w:r>
      <w:r w:rsidR="004B1308">
        <w:rPr>
          <w:rFonts w:ascii="Palatino Linotype" w:eastAsia="Palatino Linotype" w:hAnsi="Palatino Linotype" w:cs="Palatino Linotype"/>
          <w:b/>
        </w:rPr>
        <w:t>ero de dos mil veintidós</w:t>
      </w:r>
      <w:r>
        <w:rPr>
          <w:rFonts w:ascii="Palatino Linotype" w:eastAsia="Palatino Linotype" w:hAnsi="Palatino Linotype" w:cs="Palatino Linotype"/>
          <w:b/>
        </w:rPr>
        <w:t xml:space="preserve">, </w:t>
      </w:r>
      <w:r w:rsidR="00AA368F">
        <w:rPr>
          <w:rFonts w:ascii="Palatino Linotype" w:eastAsia="Palatino Linotype" w:hAnsi="Palatino Linotype" w:cs="Palatino Linotype"/>
          <w:b/>
        </w:rPr>
        <w:t>el</w:t>
      </w:r>
      <w:r w:rsidR="00892A9B">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4B1308">
        <w:rPr>
          <w:rFonts w:ascii="Palatino Linotype" w:eastAsia="Palatino Linotype" w:hAnsi="Palatino Linotype" w:cs="Palatino Linotype"/>
        </w:rPr>
        <w:t xml:space="preserve"> pres</w:t>
      </w:r>
      <w:r w:rsidR="00717E50">
        <w:rPr>
          <w:rFonts w:ascii="Palatino Linotype" w:eastAsia="Palatino Linotype" w:hAnsi="Palatino Linotype" w:cs="Palatino Linotype"/>
        </w:rPr>
        <w:t>entó a través de la Plataforma Nacional de Trasparencia (PNT), la cual se encuentra vinculada al</w:t>
      </w:r>
      <w:r w:rsidR="004B1308">
        <w:rPr>
          <w:rFonts w:ascii="Palatino Linotype" w:eastAsia="Palatino Linotype" w:hAnsi="Palatino Linotype" w:cs="Palatino Linotype"/>
        </w:rPr>
        <w:t xml:space="preserve"> </w:t>
      </w:r>
      <w:r>
        <w:rPr>
          <w:rFonts w:ascii="Palatino Linotype" w:eastAsia="Palatino Linotype" w:hAnsi="Palatino Linotype" w:cs="Palatino Linotype"/>
        </w:rPr>
        <w:t xml:space="preserve">Sistema de Acceso a la Información Mexiquense, </w:t>
      </w:r>
      <w:r w:rsidR="00BA55DB">
        <w:rPr>
          <w:rFonts w:ascii="Palatino Linotype" w:eastAsia="Palatino Linotype" w:hAnsi="Palatino Linotype" w:cs="Palatino Linotype"/>
        </w:rPr>
        <w:t>(</w:t>
      </w:r>
      <w:r>
        <w:rPr>
          <w:rFonts w:ascii="Palatino Linotype" w:eastAsia="Palatino Linotype" w:hAnsi="Palatino Linotype" w:cs="Palatino Linotype"/>
          <w:b/>
        </w:rPr>
        <w:t>SAIMEX</w:t>
      </w:r>
      <w:r w:rsidR="00BA55DB">
        <w:rPr>
          <w:rFonts w:ascii="Palatino Linotype" w:eastAsia="Palatino Linotype" w:hAnsi="Palatino Linotype" w:cs="Palatino Linotype"/>
          <w:b/>
        </w:rPr>
        <w:t>)</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sidR="00BA55DB">
        <w:rPr>
          <w:rFonts w:ascii="Palatino Linotype" w:eastAsia="Palatino Linotype" w:hAnsi="Palatino Linotype" w:cs="Palatino Linotype"/>
          <w:b/>
        </w:rPr>
        <w:t xml:space="preserve">  </w:t>
      </w:r>
      <w:r w:rsidR="00BA55DB" w:rsidRPr="00BA55DB">
        <w:rPr>
          <w:rFonts w:ascii="Palatino Linotype" w:eastAsia="Palatino Linotype" w:hAnsi="Palatino Linotype" w:cs="Palatino Linotype"/>
          <w:b/>
          <w:bCs/>
        </w:rPr>
        <w:t>420736</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913A86" w:rsidRDefault="002F08A5" w:rsidP="00892A9B">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sidR="00B106F7" w:rsidRPr="00B106F7">
        <w:rPr>
          <w:rFonts w:ascii="Palatino Linotype" w:eastAsia="Palatino Linotype" w:hAnsi="Palatino Linotype" w:cs="Palatino Linotype"/>
          <w:i/>
          <w:sz w:val="22"/>
          <w:szCs w:val="22"/>
        </w:rPr>
        <w:t xml:space="preserve">Solicito lo siguiente en formato abierto PDF 1) Número total, ubicación y copia digitalizada del expediente para cada una de las podas autorizadas desde el 1 de enero de 2015 y hasta el 10 de julio de 2021 en la Unidad Habitacional San José de la Palma. 2) Conocer el numero total, ubicación, fecha, causa y monto de las sanciones emitidas en material ambiental por el Ayuntamiento por lo dispuesto en el Artículo 2.263, fracción IV del Codigo para la Biodiversidad del Estado de México y 274 fraccion X del Bando Municipal en la U.H San Jose de la Palma del 1 de enero de 2015 al 10 de julio de 2021. 3) Conocer el numero, ubicación y estatus del total de </w:t>
      </w:r>
      <w:r w:rsidR="00B106F7" w:rsidRPr="00B106F7">
        <w:rPr>
          <w:rFonts w:ascii="Palatino Linotype" w:eastAsia="Palatino Linotype" w:hAnsi="Palatino Linotype" w:cs="Palatino Linotype"/>
          <w:i/>
          <w:sz w:val="22"/>
          <w:szCs w:val="22"/>
        </w:rPr>
        <w:lastRenderedPageBreak/>
        <w:t>denuncias presentadas en la Dirección o Subdirección de Ecología del 1 de enero de 2015 al 10 de julio de 2021.</w:t>
      </w:r>
      <w:r w:rsidR="004B1308">
        <w:rPr>
          <w:rFonts w:ascii="Palatino Linotype" w:eastAsia="Palatino Linotype" w:hAnsi="Palatino Linotype" w:cs="Palatino Linotype"/>
          <w:i/>
          <w:sz w:val="22"/>
          <w:szCs w:val="22"/>
        </w:rPr>
        <w:t>” (Sic) (Énfasis añadido)</w:t>
      </w:r>
    </w:p>
    <w:p w:rsidR="00364BD3"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w:t>
      </w:r>
      <w:r w:rsidR="004B1308">
        <w:rPr>
          <w:rFonts w:ascii="Palatino Linotype" w:eastAsia="Palatino Linotype" w:hAnsi="Palatino Linotype" w:cs="Palatino Linotype"/>
          <w:b/>
        </w:rPr>
        <w:t xml:space="preserve">Respuesta. </w:t>
      </w:r>
      <w:r>
        <w:rPr>
          <w:rFonts w:ascii="Palatino Linotype" w:eastAsia="Palatino Linotype" w:hAnsi="Palatino Linotype" w:cs="Palatino Linotype"/>
        </w:rPr>
        <w:t>En fecha</w:t>
      </w:r>
      <w:r w:rsidR="00663D89">
        <w:rPr>
          <w:rFonts w:ascii="Palatino Linotype" w:eastAsia="Palatino Linotype" w:hAnsi="Palatino Linotype" w:cs="Palatino Linotype"/>
          <w:b/>
        </w:rPr>
        <w:t xml:space="preserve"> tres</w:t>
      </w:r>
      <w:r w:rsidR="004B1308">
        <w:rPr>
          <w:rFonts w:ascii="Palatino Linotype" w:eastAsia="Palatino Linotype" w:hAnsi="Palatino Linotype" w:cs="Palatino Linotype"/>
          <w:b/>
        </w:rPr>
        <w:t xml:space="preserv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w:t>
      </w:r>
      <w:r w:rsidR="00892A9B">
        <w:rPr>
          <w:rFonts w:ascii="Palatino Linotype" w:eastAsia="Palatino Linotype" w:hAnsi="Palatino Linotype" w:cs="Palatino Linotype"/>
        </w:rPr>
        <w:t xml:space="preserve">respuesta a </w:t>
      </w:r>
      <w:r>
        <w:rPr>
          <w:rFonts w:ascii="Palatino Linotype" w:eastAsia="Palatino Linotype" w:hAnsi="Palatino Linotype" w:cs="Palatino Linotype"/>
        </w:rPr>
        <w:t xml:space="preserve">la solicitud de información sustancialmente en los siguientes términos: </w:t>
      </w:r>
    </w:p>
    <w:p w:rsidR="00663D89" w:rsidRPr="00663D89" w:rsidRDefault="002F08A5" w:rsidP="00663D89">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663D89" w:rsidRPr="00663D8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63D89" w:rsidRPr="00663D89" w:rsidRDefault="00663D89" w:rsidP="00663D89">
      <w:pPr>
        <w:spacing w:before="240" w:after="240"/>
        <w:ind w:left="567" w:right="900"/>
        <w:jc w:val="both"/>
        <w:rPr>
          <w:rFonts w:ascii="Palatino Linotype" w:eastAsia="Palatino Linotype" w:hAnsi="Palatino Linotype" w:cs="Palatino Linotype"/>
          <w:i/>
          <w:sz w:val="22"/>
          <w:szCs w:val="22"/>
        </w:rPr>
      </w:pPr>
      <w:r w:rsidRPr="00663D89">
        <w:rPr>
          <w:rFonts w:ascii="Palatino Linotype" w:eastAsia="Palatino Linotype" w:hAnsi="Palatino Linotype" w:cs="Palatino Linotype"/>
          <w:i/>
          <w:sz w:val="22"/>
          <w:szCs w:val="22"/>
        </w:rPr>
        <w:t>Anexo respuesta</w:t>
      </w:r>
    </w:p>
    <w:p w:rsidR="00663D89" w:rsidRPr="00663D89" w:rsidRDefault="00663D89" w:rsidP="00663D89">
      <w:pPr>
        <w:spacing w:before="240" w:after="240"/>
        <w:ind w:left="567" w:right="900"/>
        <w:jc w:val="both"/>
        <w:rPr>
          <w:rFonts w:ascii="Palatino Linotype" w:eastAsia="Palatino Linotype" w:hAnsi="Palatino Linotype" w:cs="Palatino Linotype"/>
          <w:i/>
          <w:sz w:val="22"/>
          <w:szCs w:val="22"/>
        </w:rPr>
      </w:pPr>
      <w:r w:rsidRPr="00663D89">
        <w:rPr>
          <w:rFonts w:ascii="Palatino Linotype" w:eastAsia="Palatino Linotype" w:hAnsi="Palatino Linotype" w:cs="Palatino Linotype"/>
          <w:i/>
          <w:sz w:val="22"/>
          <w:szCs w:val="22"/>
        </w:rPr>
        <w:t>ATENTAMENTE</w:t>
      </w:r>
    </w:p>
    <w:p w:rsidR="004B1308" w:rsidRDefault="00663D89" w:rsidP="00663D89">
      <w:pPr>
        <w:spacing w:before="240" w:after="240"/>
        <w:ind w:left="567" w:right="900"/>
        <w:jc w:val="both"/>
        <w:rPr>
          <w:rFonts w:ascii="Palatino Linotype" w:eastAsia="Palatino Linotype" w:hAnsi="Palatino Linotype" w:cs="Palatino Linotype"/>
          <w:i/>
          <w:sz w:val="22"/>
          <w:szCs w:val="22"/>
        </w:rPr>
      </w:pPr>
      <w:r w:rsidRPr="00663D89">
        <w:rPr>
          <w:rFonts w:ascii="Palatino Linotype" w:eastAsia="Palatino Linotype" w:hAnsi="Palatino Linotype" w:cs="Palatino Linotype"/>
          <w:i/>
          <w:sz w:val="22"/>
          <w:szCs w:val="22"/>
        </w:rPr>
        <w:t>ING. KARLA IVONNE ROMERO SAUCEDO</w:t>
      </w:r>
      <w:r w:rsidR="002F08A5">
        <w:rPr>
          <w:rFonts w:ascii="Palatino Linotype" w:eastAsia="Palatino Linotype" w:hAnsi="Palatino Linotype" w:cs="Palatino Linotype"/>
          <w:i/>
          <w:sz w:val="22"/>
          <w:szCs w:val="22"/>
        </w:rPr>
        <w:t>”</w:t>
      </w:r>
      <w:r w:rsidR="00892A9B">
        <w:rPr>
          <w:rFonts w:ascii="Palatino Linotype" w:eastAsia="Palatino Linotype" w:hAnsi="Palatino Linotype" w:cs="Palatino Linotype"/>
          <w:i/>
          <w:sz w:val="22"/>
          <w:szCs w:val="22"/>
        </w:rPr>
        <w:t xml:space="preserve"> (Sic) </w:t>
      </w:r>
    </w:p>
    <w:p w:rsidR="00663D89" w:rsidRDefault="00663D89" w:rsidP="00663D89">
      <w:pPr>
        <w:spacing w:before="240" w:after="240"/>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rsidR="00663D89" w:rsidRDefault="00663D89" w:rsidP="00663D89">
      <w:pPr>
        <w:spacing w:before="240" w:after="240" w:line="360" w:lineRule="auto"/>
        <w:ind w:left="567" w:right="902"/>
        <w:jc w:val="both"/>
        <w:rPr>
          <w:rFonts w:ascii="Palatino Linotype" w:eastAsia="Palatino Linotype" w:hAnsi="Palatino Linotype" w:cs="Palatino Linotype"/>
          <w:sz w:val="22"/>
          <w:szCs w:val="22"/>
        </w:rPr>
      </w:pPr>
      <w:r w:rsidRPr="00663D89">
        <w:rPr>
          <w:rFonts w:ascii="Palatino Linotype" w:eastAsia="Palatino Linotype" w:hAnsi="Palatino Linotype" w:cs="Palatino Linotype"/>
          <w:b/>
          <w:i/>
          <w:szCs w:val="22"/>
        </w:rPr>
        <w:t xml:space="preserve">“TRANSPARENCIA.pdf”: </w:t>
      </w:r>
      <w:r w:rsidRPr="00663D89">
        <w:rPr>
          <w:rFonts w:ascii="Palatino Linotype" w:eastAsia="Palatino Linotype" w:hAnsi="Palatino Linotype" w:cs="Palatino Linotype"/>
          <w:szCs w:val="22"/>
        </w:rPr>
        <w:t>Documento de una foja mediante el cual el Coordinador Municipal de Protección Civil, Bomberos y Medio Ambiente del H. Ayuntamiento de Atizapán de Zaragoza refiere que dentro del territorio de Atizapán de Zaragoza no se localizaba la existencia de alguna colonia, poblado, fraccionamiento o unidad habitacional denominada “Unidad Habitacional San José de la Palma”, por lo que no era posible brindar la información solicitada</w:t>
      </w:r>
      <w:r>
        <w:rPr>
          <w:rFonts w:ascii="Palatino Linotype" w:eastAsia="Palatino Linotype" w:hAnsi="Palatino Linotype" w:cs="Palatino Linotype"/>
          <w:sz w:val="22"/>
          <w:szCs w:val="22"/>
        </w:rPr>
        <w:t xml:space="preserve">: </w:t>
      </w:r>
    </w:p>
    <w:p w:rsidR="00663D89" w:rsidRDefault="00663D89" w:rsidP="00663D89">
      <w:pPr>
        <w:spacing w:before="240" w:after="240" w:line="360" w:lineRule="auto"/>
        <w:ind w:left="567" w:right="902"/>
        <w:jc w:val="both"/>
        <w:rPr>
          <w:rFonts w:ascii="Palatino Linotype" w:eastAsia="Palatino Linotype" w:hAnsi="Palatino Linotype" w:cs="Palatino Linotype"/>
          <w:sz w:val="22"/>
          <w:szCs w:val="22"/>
        </w:rPr>
      </w:pPr>
    </w:p>
    <w:p w:rsidR="00663D89" w:rsidRDefault="00663D89" w:rsidP="00663D89">
      <w:pPr>
        <w:spacing w:before="240" w:after="240" w:line="360" w:lineRule="auto"/>
        <w:ind w:left="567" w:right="902"/>
        <w:jc w:val="both"/>
        <w:rPr>
          <w:rFonts w:ascii="Palatino Linotype" w:eastAsia="Palatino Linotype" w:hAnsi="Palatino Linotype" w:cs="Palatino Linotype"/>
          <w:sz w:val="22"/>
          <w:szCs w:val="22"/>
        </w:rPr>
      </w:pPr>
    </w:p>
    <w:p w:rsidR="00663D89" w:rsidRPr="00663D89" w:rsidRDefault="00663D89" w:rsidP="00663D89">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4690484" cy="7267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9578" cy="7281665"/>
                    </a:xfrm>
                    <a:prstGeom prst="rect">
                      <a:avLst/>
                    </a:prstGeom>
                    <a:noFill/>
                    <a:ln>
                      <a:noFill/>
                    </a:ln>
                  </pic:spPr>
                </pic:pic>
              </a:graphicData>
            </a:graphic>
          </wp:inline>
        </w:drawing>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materia del presente estudio el día </w:t>
      </w:r>
      <w:r w:rsidR="00AB3F4B">
        <w:rPr>
          <w:rFonts w:ascii="Palatino Linotype" w:eastAsia="Palatino Linotype" w:hAnsi="Palatino Linotype" w:cs="Palatino Linotype"/>
          <w:b/>
        </w:rPr>
        <w:t>veinticuatro</w:t>
      </w:r>
      <w:r w:rsidR="004B1308">
        <w:rPr>
          <w:rFonts w:ascii="Palatino Linotype" w:eastAsia="Palatino Linotype" w:hAnsi="Palatino Linotype" w:cs="Palatino Linotype"/>
          <w:b/>
        </w:rPr>
        <w:t xml:space="preserve"> de febrero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913A86" w:rsidRDefault="002F08A5">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913A86" w:rsidRDefault="00913A86">
      <w:pPr>
        <w:ind w:right="567"/>
        <w:jc w:val="both"/>
        <w:rPr>
          <w:rFonts w:ascii="Palatino Linotype" w:eastAsia="Palatino Linotype" w:hAnsi="Palatino Linotype" w:cs="Palatino Linotype"/>
          <w:i/>
          <w:sz w:val="22"/>
          <w:szCs w:val="22"/>
        </w:rPr>
      </w:pPr>
    </w:p>
    <w:p w:rsidR="00913A86" w:rsidRDefault="002F08A5">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AB3F4B" w:rsidRPr="00AB3F4B">
        <w:rPr>
          <w:rFonts w:ascii="Palatino Linotype" w:eastAsia="Palatino Linotype" w:hAnsi="Palatino Linotype" w:cs="Palatino Linotype"/>
          <w:i/>
          <w:sz w:val="22"/>
          <w:szCs w:val="22"/>
        </w:rPr>
        <w:t>falta informacion</w:t>
      </w:r>
      <w:r w:rsidR="004B1308">
        <w:rPr>
          <w:rFonts w:ascii="Palatino Linotype" w:eastAsia="Palatino Linotype" w:hAnsi="Palatino Linotype" w:cs="Palatino Linotype"/>
          <w:i/>
          <w:sz w:val="22"/>
          <w:szCs w:val="22"/>
        </w:rPr>
        <w:t>” (Sic)</w:t>
      </w:r>
    </w:p>
    <w:p w:rsidR="00913A86" w:rsidRDefault="002F08A5">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r w:rsidR="00AB3F4B">
        <w:rPr>
          <w:rFonts w:ascii="Palatino Linotype" w:eastAsia="Palatino Linotype" w:hAnsi="Palatino Linotype" w:cs="Palatino Linotype"/>
        </w:rPr>
        <w:t>El particular no expresó alguna manifestación en este rubro.</w:t>
      </w:r>
    </w:p>
    <w:p w:rsidR="00913A86" w:rsidRDefault="00913A86">
      <w:pPr>
        <w:ind w:right="49"/>
        <w:jc w:val="both"/>
        <w:rPr>
          <w:rFonts w:ascii="Palatino Linotype" w:eastAsia="Palatino Linotype" w:hAnsi="Palatino Linotype" w:cs="Palatino Linotype"/>
          <w:i/>
          <w:sz w:val="22"/>
          <w:szCs w:val="22"/>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525DA9" w:rsidRDefault="00525DA9">
      <w:pPr>
        <w:widowControl w:val="0"/>
        <w:spacing w:line="360" w:lineRule="auto"/>
        <w:ind w:right="49"/>
        <w:jc w:val="both"/>
        <w:rPr>
          <w:rFonts w:ascii="Palatino Linotype" w:eastAsia="Palatino Linotype" w:hAnsi="Palatino Linotype" w:cs="Palatino Linotype"/>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sidR="00525DA9">
        <w:rPr>
          <w:rFonts w:ascii="Palatino Linotype" w:eastAsia="Palatino Linotype" w:hAnsi="Palatino Linotype" w:cs="Palatino Linotype"/>
          <w:b/>
        </w:rPr>
        <w:t xml:space="preserve"> uno de marz</w:t>
      </w:r>
      <w:r w:rsidR="004B1308">
        <w:rPr>
          <w:rFonts w:ascii="Palatino Linotype" w:eastAsia="Palatino Linotype" w:hAnsi="Palatino Linotype" w:cs="Palatino Linotype"/>
          <w:b/>
        </w:rPr>
        <w:t>o de dos mil veintidós</w:t>
      </w:r>
      <w:r>
        <w:rPr>
          <w:rFonts w:ascii="Palatino Linotype" w:eastAsia="Palatino Linotype" w:hAnsi="Palatino Linotype" w:cs="Palatino Linotype"/>
          <w:b/>
        </w:rPr>
        <w:t xml:space="preserve">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913A86" w:rsidRDefault="00913A86">
      <w:pPr>
        <w:widowControl w:val="0"/>
        <w:spacing w:line="360" w:lineRule="auto"/>
        <w:ind w:right="49"/>
        <w:jc w:val="both"/>
        <w:rPr>
          <w:rFonts w:ascii="Palatino Linotype" w:eastAsia="Palatino Linotype" w:hAnsi="Palatino Linotype" w:cs="Palatino Linotype"/>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sidR="00AB3F4B">
        <w:rPr>
          <w:rFonts w:ascii="Palatino Linotype" w:eastAsia="Palatino Linotype" w:hAnsi="Palatino Linotype" w:cs="Palatino Linotype"/>
        </w:rPr>
        <w:t xml:space="preserve"> rindió</w:t>
      </w:r>
      <w:r w:rsidR="00525DA9">
        <w:rPr>
          <w:rFonts w:ascii="Palatino Linotype" w:eastAsia="Palatino Linotype" w:hAnsi="Palatino Linotype" w:cs="Palatino Linotype"/>
        </w:rPr>
        <w:t xml:space="preserve"> su informe justificado</w:t>
      </w:r>
      <w:r w:rsidR="00AB3F4B">
        <w:rPr>
          <w:rFonts w:ascii="Palatino Linotype" w:eastAsia="Palatino Linotype" w:hAnsi="Palatino Linotype" w:cs="Palatino Linotype"/>
        </w:rPr>
        <w:t xml:space="preserve"> en fecha ocho de </w:t>
      </w:r>
      <w:r w:rsidR="00AB3F4B">
        <w:rPr>
          <w:rFonts w:ascii="Palatino Linotype" w:eastAsia="Palatino Linotype" w:hAnsi="Palatino Linotype" w:cs="Palatino Linotype"/>
        </w:rPr>
        <w:lastRenderedPageBreak/>
        <w:t>marzo de dos mil veintidós mediante el archivo electrónico “</w:t>
      </w:r>
      <w:r w:rsidR="00AB3F4B" w:rsidRPr="00AB3F4B">
        <w:rPr>
          <w:rFonts w:ascii="Palatino Linotype" w:eastAsia="Palatino Linotype" w:hAnsi="Palatino Linotype" w:cs="Palatino Linotype"/>
          <w:b/>
          <w:i/>
        </w:rPr>
        <w:t>200001052055.pdf</w:t>
      </w:r>
      <w:r w:rsidR="00AB3F4B">
        <w:rPr>
          <w:rFonts w:ascii="Palatino Linotype" w:eastAsia="Palatino Linotype" w:hAnsi="Palatino Linotype" w:cs="Palatino Linotype"/>
          <w:b/>
          <w:i/>
        </w:rPr>
        <w:t>”</w:t>
      </w:r>
      <w:r w:rsidR="00525DA9">
        <w:rPr>
          <w:rFonts w:ascii="Palatino Linotype" w:eastAsia="Palatino Linotype" w:hAnsi="Palatino Linotype" w:cs="Palatino Linotype"/>
        </w:rPr>
        <w:t>,</w:t>
      </w:r>
      <w:r w:rsidR="00AB3F4B">
        <w:rPr>
          <w:rFonts w:ascii="Palatino Linotype" w:eastAsia="Palatino Linotype" w:hAnsi="Palatino Linotype" w:cs="Palatino Linotype"/>
        </w:rPr>
        <w:t xml:space="preserve"> el cual se compone de dos fojas y ratifica la respuesta inicialmente vertida,</w:t>
      </w:r>
      <w:r w:rsidR="00525DA9">
        <w:rPr>
          <w:rFonts w:ascii="Palatino Linotype" w:eastAsia="Palatino Linotype" w:hAnsi="Palatino Linotype" w:cs="Palatino Linotype"/>
        </w:rPr>
        <w:t xml:space="preserve"> </w:t>
      </w:r>
      <w:r>
        <w:rPr>
          <w:rFonts w:ascii="Palatino Linotype" w:eastAsia="Palatino Linotype" w:hAnsi="Palatino Linotype" w:cs="Palatino Linotype"/>
        </w:rPr>
        <w:t xml:space="preserve">asimismo cabe señalar que </w:t>
      </w:r>
      <w:r w:rsidR="00AA368F">
        <w:rPr>
          <w:rFonts w:ascii="Palatino Linotype" w:eastAsia="Palatino Linotype" w:hAnsi="Palatino Linotype" w:cs="Palatino Linotype"/>
          <w:b/>
        </w:rPr>
        <w:t>el</w:t>
      </w:r>
      <w:r w:rsidR="00525DA9">
        <w:rPr>
          <w:rFonts w:ascii="Palatino Linotype" w:eastAsia="Palatino Linotype" w:hAnsi="Palatino Linotype" w:cs="Palatino Linotype"/>
          <w:b/>
        </w:rPr>
        <w:t xml:space="preserve"> R</w:t>
      </w:r>
      <w:r w:rsidRPr="00525DA9">
        <w:rPr>
          <w:rFonts w:ascii="Palatino Linotype" w:eastAsia="Palatino Linotype" w:hAnsi="Palatino Linotype" w:cs="Palatino Linotype"/>
          <w:b/>
        </w:rPr>
        <w:t>ecurrente</w:t>
      </w:r>
      <w:r>
        <w:rPr>
          <w:rFonts w:ascii="Palatino Linotype" w:eastAsia="Palatino Linotype" w:hAnsi="Palatino Linotype" w:cs="Palatino Linotype"/>
        </w:rPr>
        <w:t xml:space="preserve"> fue omisa en emitir pronunciamientos, ofrecer </w:t>
      </w:r>
      <w:r w:rsidR="00F77528">
        <w:rPr>
          <w:rFonts w:ascii="Palatino Linotype" w:eastAsia="Palatino Linotype" w:hAnsi="Palatino Linotype" w:cs="Palatino Linotype"/>
          <w:noProof/>
          <w:lang w:val="es-MX"/>
        </w:rPr>
        <w:drawing>
          <wp:anchor distT="0" distB="0" distL="114300" distR="114300" simplePos="0" relativeHeight="251662336" behindDoc="0" locked="0" layoutInCell="1" allowOverlap="1" wp14:anchorId="5520E973" wp14:editId="6AA8CF4B">
            <wp:simplePos x="0" y="0"/>
            <wp:positionH relativeFrom="column">
              <wp:posOffset>643890</wp:posOffset>
            </wp:positionH>
            <wp:positionV relativeFrom="paragraph">
              <wp:posOffset>1338580</wp:posOffset>
            </wp:positionV>
            <wp:extent cx="4171950" cy="5353255"/>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535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rPr>
        <w:t>pruebas o alegatos, por lo que se tiene por precluido su derecho.</w:t>
      </w:r>
    </w:p>
    <w:p w:rsidR="00F77528" w:rsidRDefault="00F77528">
      <w:pPr>
        <w:widowControl w:val="0"/>
        <w:spacing w:line="360" w:lineRule="auto"/>
        <w:ind w:right="49"/>
        <w:jc w:val="both"/>
        <w:rPr>
          <w:rFonts w:ascii="Palatino Linotype" w:eastAsia="Palatino Linotype" w:hAnsi="Palatino Linotype" w:cs="Palatino Linotype"/>
        </w:rPr>
      </w:pPr>
    </w:p>
    <w:p w:rsidR="00AB3F4B" w:rsidRDefault="00AB3F4B" w:rsidP="00F77528">
      <w:pPr>
        <w:widowControl w:val="0"/>
        <w:spacing w:line="360" w:lineRule="auto"/>
        <w:ind w:right="49"/>
        <w:jc w:val="center"/>
        <w:rPr>
          <w:rFonts w:ascii="Palatino Linotype" w:eastAsia="Palatino Linotype" w:hAnsi="Palatino Linotype" w:cs="Palatino Linotype"/>
        </w:rPr>
      </w:pPr>
    </w:p>
    <w:p w:rsidR="00F77528" w:rsidRDefault="00F77528" w:rsidP="00F77528">
      <w:pPr>
        <w:widowControl w:val="0"/>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200525" cy="550619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3518" cy="5510117"/>
                    </a:xfrm>
                    <a:prstGeom prst="rect">
                      <a:avLst/>
                    </a:prstGeom>
                    <a:noFill/>
                    <a:ln>
                      <a:noFill/>
                    </a:ln>
                  </pic:spPr>
                </pic:pic>
              </a:graphicData>
            </a:graphic>
          </wp:inline>
        </w:drawing>
      </w:r>
    </w:p>
    <w:p w:rsidR="00AB3F4B" w:rsidRDefault="00AB3F4B">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Debe precisarse que una vez revisada la documentación remitida en informe justificado, se puso a la vista del particular mediante acuerdo de fecha </w:t>
      </w:r>
      <w:r w:rsidRPr="00AB3F4B">
        <w:rPr>
          <w:rFonts w:ascii="Palatino Linotype" w:eastAsia="Palatino Linotype" w:hAnsi="Palatino Linotype" w:cs="Palatino Linotype"/>
          <w:b/>
        </w:rPr>
        <w:t>veinte de abril de dos mil veintidós</w:t>
      </w:r>
      <w:r>
        <w:rPr>
          <w:rFonts w:ascii="Palatino Linotype" w:eastAsia="Palatino Linotype" w:hAnsi="Palatino Linotype" w:cs="Palatino Linotype"/>
        </w:rPr>
        <w:t>, el cual fue emitido por la Comisionada Ponente.</w:t>
      </w:r>
    </w:p>
    <w:p w:rsidR="00AB3F4B" w:rsidRDefault="00AB3F4B">
      <w:pPr>
        <w:widowControl w:val="0"/>
        <w:spacing w:line="360" w:lineRule="auto"/>
        <w:ind w:right="49"/>
        <w:jc w:val="both"/>
        <w:rPr>
          <w:rFonts w:ascii="Palatino Linotype" w:eastAsia="Palatino Linotype" w:hAnsi="Palatino Linotype" w:cs="Palatino Linotype"/>
        </w:rPr>
      </w:pPr>
    </w:p>
    <w:p w:rsidR="00AB3F4B" w:rsidRPr="00525DA9" w:rsidRDefault="00AB3F4B">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581650" cy="1876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1876425"/>
                    </a:xfrm>
                    <a:prstGeom prst="rect">
                      <a:avLst/>
                    </a:prstGeom>
                    <a:noFill/>
                    <a:ln>
                      <a:noFill/>
                    </a:ln>
                  </pic:spPr>
                </pic:pic>
              </a:graphicData>
            </a:graphic>
          </wp:inline>
        </w:drawing>
      </w:r>
    </w:p>
    <w:p w:rsidR="00913A86" w:rsidRDefault="00913A86">
      <w:pPr>
        <w:widowControl w:val="0"/>
        <w:spacing w:line="360" w:lineRule="auto"/>
        <w:ind w:right="49"/>
        <w:jc w:val="both"/>
        <w:rPr>
          <w:rFonts w:ascii="Palatino Linotype" w:eastAsia="Palatino Linotype" w:hAnsi="Palatino Linotype" w:cs="Palatino Linotype"/>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del plazo. </w:t>
      </w:r>
      <w:r>
        <w:rPr>
          <w:rFonts w:ascii="Palatino Linotype" w:eastAsia="Palatino Linotype" w:hAnsi="Palatino Linotype" w:cs="Palatino Linotype"/>
        </w:rPr>
        <w:t xml:space="preserve">En fecha </w:t>
      </w:r>
      <w:r w:rsidR="008D0E26">
        <w:rPr>
          <w:rFonts w:ascii="Palatino Linotype" w:eastAsia="Palatino Linotype" w:hAnsi="Palatino Linotype" w:cs="Palatino Linotype"/>
          <w:b/>
        </w:rPr>
        <w:t>veintiséis</w:t>
      </w:r>
      <w:r w:rsidR="0033050B">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este Instituto notificó a las partes el Acuerdo de Ampliación de Plazo para resolver el medio de impugnación que nos ocupa, en términos de lo dispuesto por el artículo 181, párrafo tercero de la Ley de Transparencia y Acceso a la Información Pública de</w:t>
      </w:r>
      <w:r w:rsidR="00882A69">
        <w:rPr>
          <w:rFonts w:ascii="Palatino Linotype" w:eastAsia="Palatino Linotype" w:hAnsi="Palatino Linotype" w:cs="Palatino Linotype"/>
        </w:rPr>
        <w:t>l Estado de México y Municipios</w:t>
      </w:r>
      <w:r>
        <w:rPr>
          <w:rFonts w:ascii="Palatino Linotype" w:eastAsia="Palatino Linotype" w:hAnsi="Palatino Linotype" w:cs="Palatino Linotype"/>
        </w:rPr>
        <w:t>, a fin de aminorar los efectos que conlleva.</w:t>
      </w:r>
    </w:p>
    <w:p w:rsidR="00525DA9" w:rsidRDefault="00525DA9">
      <w:pPr>
        <w:widowControl w:val="0"/>
        <w:spacing w:line="360" w:lineRule="auto"/>
        <w:ind w:right="49"/>
        <w:jc w:val="both"/>
        <w:rPr>
          <w:rFonts w:ascii="Palatino Linotype" w:eastAsia="Palatino Linotype" w:hAnsi="Palatino Linotype" w:cs="Palatino Linotype"/>
        </w:rPr>
      </w:pP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AB3F4B">
        <w:rPr>
          <w:rFonts w:ascii="Palatino Linotype" w:eastAsia="Palatino Linotype" w:hAnsi="Palatino Linotype" w:cs="Palatino Linotype"/>
          <w:b/>
        </w:rPr>
        <w:t>tres</w:t>
      </w:r>
      <w:r w:rsidR="00AB3F4B">
        <w:rPr>
          <w:rFonts w:ascii="Palatino Linotype" w:eastAsia="Palatino Linotype" w:hAnsi="Palatino Linotype" w:cs="Palatino Linotype"/>
          <w:b/>
          <w:color w:val="000000"/>
        </w:rPr>
        <w:t xml:space="preserve"> de mayo</w:t>
      </w:r>
      <w:r w:rsidRPr="00296B89">
        <w:rPr>
          <w:rFonts w:ascii="Palatino Linotype" w:eastAsia="Palatino Linotype" w:hAnsi="Palatino Linotype" w:cs="Palatino Linotype"/>
          <w:b/>
          <w:color w:val="000000"/>
        </w:rPr>
        <w:t xml:space="preserve"> </w:t>
      </w:r>
      <w:r w:rsidRPr="00296B89">
        <w:rPr>
          <w:rFonts w:ascii="Palatino Linotype" w:eastAsia="Palatino Linotype" w:hAnsi="Palatino Linotype" w:cs="Palatino Linotype"/>
          <w:b/>
        </w:rPr>
        <w:t>de dos mil veintidós</w:t>
      </w:r>
      <w:r w:rsidRPr="00296B89">
        <w:rPr>
          <w:rFonts w:ascii="Palatino Linotype" w:eastAsia="Palatino Linotype" w:hAnsi="Palatino Linotype" w:cs="Palatino Linotype"/>
        </w:rPr>
        <w:t>,</w:t>
      </w:r>
      <w:r>
        <w:rPr>
          <w:rFonts w:ascii="Palatino Linotype" w:eastAsia="Palatino Linotype" w:hAnsi="Palatino Linotype" w:cs="Palatino Linotype"/>
        </w:rPr>
        <w:t xml:space="preserve"> se procedió a decretar el cierre de instrucción respectivo y no existiendo diligencia pendiente de desahogo, se ordenó emitir la resolución que conforme a derecho proceda.</w:t>
      </w:r>
    </w:p>
    <w:p w:rsidR="00913A86" w:rsidRDefault="002F08A5">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913A86" w:rsidRDefault="002F08A5">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w:t>
      </w:r>
      <w:r w:rsidR="00B97CCE">
        <w:rPr>
          <w:rFonts w:ascii="Palatino Linotype" w:eastAsia="Palatino Linotype" w:hAnsi="Palatino Linotype" w:cs="Palatino Linotype"/>
        </w:rPr>
        <w:t xml:space="preserve">respuesta </w:t>
      </w:r>
      <w:r>
        <w:rPr>
          <w:rFonts w:ascii="Palatino Linotype" w:eastAsia="Palatino Linotype" w:hAnsi="Palatino Linotype" w:cs="Palatino Linotype"/>
        </w:rPr>
        <w:t xml:space="preserve">el día </w:t>
      </w:r>
      <w:r w:rsidR="00AB3F4B">
        <w:rPr>
          <w:rFonts w:ascii="Palatino Linotype" w:eastAsia="Palatino Linotype" w:hAnsi="Palatino Linotype" w:cs="Palatino Linotype"/>
          <w:b/>
        </w:rPr>
        <w:t>tres</w:t>
      </w:r>
      <w:r w:rsidR="00B97CCE">
        <w:rPr>
          <w:rFonts w:ascii="Palatino Linotype" w:eastAsia="Palatino Linotype" w:hAnsi="Palatino Linotype" w:cs="Palatino Linotype"/>
          <w:b/>
        </w:rPr>
        <w:t xml:space="preserve"> de febrero de dos mil veintidós</w:t>
      </w:r>
      <w:r>
        <w:rPr>
          <w:rFonts w:ascii="Palatino Linotype" w:eastAsia="Palatino Linotype" w:hAnsi="Palatino Linotype" w:cs="Palatino Linotype"/>
        </w:rPr>
        <w:t xml:space="preserve">, mientras que el solicitante presentó su recurso de revisión el día </w:t>
      </w:r>
      <w:r w:rsidR="00AB3F4B">
        <w:rPr>
          <w:rFonts w:ascii="Palatino Linotype" w:eastAsia="Palatino Linotype" w:hAnsi="Palatino Linotype" w:cs="Palatino Linotype"/>
          <w:b/>
        </w:rPr>
        <w:t>veinticuatro</w:t>
      </w:r>
      <w:r w:rsidR="00B97CCE">
        <w:rPr>
          <w:rFonts w:ascii="Palatino Linotype" w:eastAsia="Palatino Linotype" w:hAnsi="Palatino Linotype" w:cs="Palatino Linotype"/>
          <w:b/>
        </w:rPr>
        <w:t xml:space="preserve"> de febrero de dos mil veintidós</w:t>
      </w:r>
      <w:r>
        <w:rPr>
          <w:rFonts w:ascii="Palatino Linotype" w:eastAsia="Palatino Linotype" w:hAnsi="Palatino Linotype" w:cs="Palatino Linotype"/>
        </w:rPr>
        <w:t xml:space="preserve">, esto es, al </w:t>
      </w:r>
      <w:r w:rsidR="00AB3F4B">
        <w:rPr>
          <w:rFonts w:ascii="Palatino Linotype" w:eastAsia="Palatino Linotype" w:hAnsi="Palatino Linotype" w:cs="Palatino Linotype"/>
          <w:b/>
        </w:rPr>
        <w:t>décimo cuarto</w:t>
      </w:r>
      <w:r>
        <w:rPr>
          <w:rFonts w:ascii="Palatino Linotype" w:eastAsia="Palatino Linotype" w:hAnsi="Palatino Linotype" w:cs="Palatino Linotype"/>
          <w:b/>
        </w:rPr>
        <w:t xml:space="preserve"> día hábil</w:t>
      </w:r>
      <w:r>
        <w:rPr>
          <w:rFonts w:ascii="Palatino Linotype" w:eastAsia="Palatino Linotype" w:hAnsi="Palatino Linotype" w:cs="Palatino Linotype"/>
        </w:rPr>
        <w:t xml:space="preserve"> siguiente en que tuvo conocimiento de la respuesta impugnada, de tal forma, se considera que la interposición del presente medio de impugnación se encuentra dentro de los márgenes temporales previstos en el citado precepto legal.</w:t>
      </w:r>
    </w:p>
    <w:p w:rsidR="0018385E" w:rsidRDefault="0018385E" w:rsidP="0018385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Ahora bien,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8385E" w:rsidRDefault="0018385E" w:rsidP="0018385E">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913A86" w:rsidRDefault="002F08A5">
      <w:pPr>
        <w:spacing w:before="240" w:after="240" w:line="360" w:lineRule="auto"/>
        <w:ind w:right="49"/>
        <w:jc w:val="both"/>
        <w:rPr>
          <w:rFonts w:ascii="Quattrocento Sans" w:eastAsia="Quattrocento Sans" w:hAnsi="Quattrocento Sans" w:cs="Quattrocento Sans"/>
        </w:rPr>
      </w:pPr>
      <w:r>
        <w:rPr>
          <w:rFonts w:ascii="Palatino Linotype" w:eastAsia="Palatino Linotype" w:hAnsi="Palatino Linotype" w:cs="Palatino Linotype"/>
        </w:rPr>
        <w:t>Así las cosas,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w:t>
      </w:r>
      <w:r w:rsidR="00525DA9">
        <w:rPr>
          <w:rFonts w:ascii="Palatino Linotype" w:eastAsia="Palatino Linotype" w:hAnsi="Palatino Linotype" w:cs="Palatino Linotype"/>
        </w:rPr>
        <w:t>s artículos 176 y 179 fracción</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I </w:t>
      </w:r>
      <w:r>
        <w:rPr>
          <w:rFonts w:ascii="Palatino Linotype" w:eastAsia="Palatino Linotype" w:hAnsi="Palatino Linotype" w:cs="Palatino Linotype"/>
        </w:rPr>
        <w:t>del ordenamiento legal citado, que establecen los supuestos en que puede interponerse el recurso de revisión:</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913A86" w:rsidRPr="00525DA9" w:rsidRDefault="002F08A5" w:rsidP="00525DA9">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rsidR="00913A86"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rsidR="00913A86"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(Énfasis añadido)</w:t>
      </w:r>
    </w:p>
    <w:p w:rsidR="00913A86" w:rsidRDefault="002F08A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685DD5"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Previo al estudio del presente asunto, es conveniente recordar que la parte solicitante requirió al sujeto obligado en ambas solicitudes, le proporcionara lo siguiente:</w:t>
      </w:r>
    </w:p>
    <w:p w:rsidR="001E3BC9" w:rsidRDefault="00AB3F4B" w:rsidP="00967C21">
      <w:pPr>
        <w:pStyle w:val="Prrafodelista"/>
        <w:tabs>
          <w:tab w:val="left" w:pos="7513"/>
        </w:tabs>
        <w:spacing w:line="360" w:lineRule="auto"/>
        <w:ind w:left="567"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w:t>
      </w:r>
      <w:r w:rsidR="001E3BC9">
        <w:rPr>
          <w:rFonts w:ascii="Palatino Linotype" w:eastAsia="Palatino Linotype" w:hAnsi="Palatino Linotype" w:cs="Palatino Linotype"/>
          <w:color w:val="000000"/>
        </w:rPr>
        <w:t xml:space="preserve">n formato abierto PDF: </w:t>
      </w:r>
    </w:p>
    <w:p w:rsidR="001E3BC9" w:rsidRPr="00F77528" w:rsidRDefault="001E3BC9" w:rsidP="00F77528">
      <w:pPr>
        <w:pStyle w:val="Prrafodelista"/>
        <w:tabs>
          <w:tab w:val="left" w:pos="7513"/>
        </w:tabs>
        <w:spacing w:line="360" w:lineRule="auto"/>
        <w:ind w:left="567"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1.- </w:t>
      </w:r>
      <w:r w:rsidR="00AB3F4B" w:rsidRPr="00AB3F4B">
        <w:rPr>
          <w:rFonts w:ascii="Palatino Linotype" w:eastAsia="Palatino Linotype" w:hAnsi="Palatino Linotype" w:cs="Palatino Linotype"/>
          <w:color w:val="000000"/>
        </w:rPr>
        <w:t>Número total, ubicación y copia digitalizada del expediente para cada una de las podas autorizadas desde el 1 de enero de 2015 y hasta el 10 de julio de 2021 en la Unidad Habitacional San José</w:t>
      </w:r>
      <w:r>
        <w:rPr>
          <w:rFonts w:ascii="Palatino Linotype" w:eastAsia="Palatino Linotype" w:hAnsi="Palatino Linotype" w:cs="Palatino Linotype"/>
          <w:color w:val="000000"/>
        </w:rPr>
        <w:t xml:space="preserve"> de la Palma. </w:t>
      </w:r>
    </w:p>
    <w:p w:rsidR="001E3BC9" w:rsidRDefault="001E3BC9" w:rsidP="00967C21">
      <w:pPr>
        <w:pStyle w:val="Prrafodelista"/>
        <w:tabs>
          <w:tab w:val="left" w:pos="7513"/>
        </w:tabs>
        <w:spacing w:line="360" w:lineRule="auto"/>
        <w:ind w:left="567"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 Nú</w:t>
      </w:r>
      <w:r w:rsidR="00AB3F4B" w:rsidRPr="00AB3F4B">
        <w:rPr>
          <w:rFonts w:ascii="Palatino Linotype" w:eastAsia="Palatino Linotype" w:hAnsi="Palatino Linotype" w:cs="Palatino Linotype"/>
          <w:color w:val="000000"/>
        </w:rPr>
        <w:t xml:space="preserve">mero total, ubicación, fecha, causa y monto de las sanciones emitidas en material ambiental por el Ayuntamiento por lo dispuesto en el Artículo 2.263, fracción IV del Codigo para la Biodiversidad del Estado de México y 274 fraccion X del Bando Municipal en la U.H San </w:t>
      </w:r>
      <w:r w:rsidRPr="00AB3F4B">
        <w:rPr>
          <w:rFonts w:ascii="Palatino Linotype" w:eastAsia="Palatino Linotype" w:hAnsi="Palatino Linotype" w:cs="Palatino Linotype"/>
          <w:color w:val="000000"/>
        </w:rPr>
        <w:t>José</w:t>
      </w:r>
      <w:r w:rsidR="00AB3F4B" w:rsidRPr="00AB3F4B">
        <w:rPr>
          <w:rFonts w:ascii="Palatino Linotype" w:eastAsia="Palatino Linotype" w:hAnsi="Palatino Linotype" w:cs="Palatino Linotype"/>
          <w:color w:val="000000"/>
        </w:rPr>
        <w:t xml:space="preserve"> de la Palma del 1 de enero de 2015 al 10 de julio de 2021. </w:t>
      </w:r>
    </w:p>
    <w:p w:rsidR="001E3BC9" w:rsidRDefault="001E3BC9" w:rsidP="00967C21">
      <w:pPr>
        <w:pStyle w:val="Prrafodelista"/>
        <w:tabs>
          <w:tab w:val="left" w:pos="7513"/>
        </w:tabs>
        <w:spacing w:line="360" w:lineRule="auto"/>
        <w:ind w:left="567" w:right="851"/>
        <w:jc w:val="both"/>
        <w:rPr>
          <w:rFonts w:ascii="Palatino Linotype" w:eastAsia="Palatino Linotype" w:hAnsi="Palatino Linotype" w:cs="Palatino Linotype"/>
          <w:color w:val="000000"/>
        </w:rPr>
      </w:pPr>
    </w:p>
    <w:p w:rsidR="00967C21" w:rsidRDefault="001E3BC9" w:rsidP="00967C21">
      <w:pPr>
        <w:pStyle w:val="Prrafodelista"/>
        <w:tabs>
          <w:tab w:val="left" w:pos="7513"/>
        </w:tabs>
        <w:spacing w:line="360" w:lineRule="auto"/>
        <w:ind w:left="567"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3.- N</w:t>
      </w:r>
      <w:r w:rsidRPr="00AB3F4B">
        <w:rPr>
          <w:rFonts w:ascii="Palatino Linotype" w:eastAsia="Palatino Linotype" w:hAnsi="Palatino Linotype" w:cs="Palatino Linotype"/>
          <w:color w:val="000000"/>
        </w:rPr>
        <w:t>úmero</w:t>
      </w:r>
      <w:r w:rsidR="00AB3F4B" w:rsidRPr="00AB3F4B">
        <w:rPr>
          <w:rFonts w:ascii="Palatino Linotype" w:eastAsia="Palatino Linotype" w:hAnsi="Palatino Linotype" w:cs="Palatino Linotype"/>
          <w:color w:val="000000"/>
        </w:rPr>
        <w:t>, ubicación y estatus del total de denuncias presentadas en la Dirección o Subdirección de Ecología del 1 de enero de 2015 al 10 d</w:t>
      </w:r>
      <w:r>
        <w:rPr>
          <w:rFonts w:ascii="Palatino Linotype" w:eastAsia="Palatino Linotype" w:hAnsi="Palatino Linotype" w:cs="Palatino Linotype"/>
          <w:color w:val="000000"/>
        </w:rPr>
        <w:t>e julio de 2021.</w:t>
      </w:r>
    </w:p>
    <w:p w:rsidR="001E3BC9" w:rsidRPr="001E3BC9" w:rsidRDefault="001E3BC9" w:rsidP="001E3BC9">
      <w:pPr>
        <w:tabs>
          <w:tab w:val="left" w:pos="7513"/>
        </w:tabs>
        <w:spacing w:line="360" w:lineRule="auto"/>
        <w:ind w:right="851"/>
        <w:jc w:val="both"/>
        <w:rPr>
          <w:rFonts w:ascii="Palatino Linotype" w:eastAsia="Palatino Linotype" w:hAnsi="Palatino Linotype" w:cs="Palatino Linotype"/>
          <w:color w:val="000000"/>
        </w:rPr>
      </w:pPr>
    </w:p>
    <w:p w:rsidR="008D0E26" w:rsidRDefault="00296B89">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sidRPr="0018385E">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w:t>
      </w:r>
      <w:r w:rsidR="008D0E26">
        <w:rPr>
          <w:rFonts w:ascii="Palatino Linotype" w:eastAsia="Palatino Linotype" w:hAnsi="Palatino Linotype" w:cs="Palatino Linotype"/>
        </w:rPr>
        <w:t xml:space="preserve">lo siguiente: </w:t>
      </w:r>
    </w:p>
    <w:p w:rsidR="008D0E26" w:rsidRDefault="008D0E26">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81650" cy="1066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1066800"/>
                    </a:xfrm>
                    <a:prstGeom prst="rect">
                      <a:avLst/>
                    </a:prstGeom>
                    <a:noFill/>
                    <a:ln>
                      <a:noFill/>
                    </a:ln>
                  </pic:spPr>
                </pic:pic>
              </a:graphicData>
            </a:graphic>
          </wp:inline>
        </w:drawing>
      </w:r>
    </w:p>
    <w:p w:rsidR="000938A5" w:rsidRPr="000938A5" w:rsidRDefault="000938A5" w:rsidP="000938A5">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Conocida la respuesta</w:t>
      </w:r>
      <w:r w:rsidR="002F08A5">
        <w:rPr>
          <w:rFonts w:ascii="Palatino Linotype" w:eastAsia="Palatino Linotype" w:hAnsi="Palatino Linotype" w:cs="Palatino Linotype"/>
        </w:rPr>
        <w:t>, el particular, al no estar conforme con los términos de la misma, interpuso el recurso de revisión que nos ocupa, donde seña</w:t>
      </w:r>
      <w:r w:rsidR="00685DD5">
        <w:rPr>
          <w:rFonts w:ascii="Palatino Linotype" w:eastAsia="Palatino Linotype" w:hAnsi="Palatino Linotype" w:cs="Palatino Linotype"/>
        </w:rPr>
        <w:t>ló como acto impugnado</w:t>
      </w:r>
      <w:r w:rsidR="002F08A5">
        <w:rPr>
          <w:rFonts w:ascii="Palatino Linotype" w:eastAsia="Palatino Linotype" w:hAnsi="Palatino Linotype" w:cs="Palatino Linotype"/>
        </w:rPr>
        <w:t xml:space="preserve">: </w:t>
      </w:r>
      <w:r w:rsidRPr="000938A5">
        <w:rPr>
          <w:rFonts w:ascii="Palatino Linotype" w:eastAsia="Palatino Linotype" w:hAnsi="Palatino Linotype" w:cs="Palatino Linotype"/>
          <w:i/>
        </w:rPr>
        <w:t>“</w:t>
      </w:r>
      <w:r w:rsidR="00685DD5" w:rsidRPr="00685DD5">
        <w:rPr>
          <w:rFonts w:ascii="Palatino Linotype" w:eastAsia="Palatino Linotype" w:hAnsi="Palatino Linotype" w:cs="Palatino Linotype"/>
          <w:i/>
        </w:rPr>
        <w:t>falta informacion</w:t>
      </w:r>
      <w:r w:rsidRPr="000938A5">
        <w:rPr>
          <w:rFonts w:ascii="Palatino Linotype" w:eastAsia="Palatino Linotype" w:hAnsi="Palatino Linotype" w:cs="Palatino Linotype"/>
          <w:i/>
        </w:rPr>
        <w:t>”</w:t>
      </w:r>
    </w:p>
    <w:p w:rsidR="00E23C69" w:rsidRDefault="00093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admitido el recurso de revisión</w:t>
      </w:r>
      <w:r w:rsidR="002F08A5">
        <w:rPr>
          <w:rFonts w:ascii="Palatino Linotype" w:eastAsia="Palatino Linotype" w:hAnsi="Palatino Linotype" w:cs="Palatino Linotype"/>
        </w:rPr>
        <w:t xml:space="preserve">, </w:t>
      </w:r>
      <w:r>
        <w:rPr>
          <w:rFonts w:ascii="Palatino Linotype" w:eastAsia="Palatino Linotype" w:hAnsi="Palatino Linotype" w:cs="Palatino Linotype"/>
        </w:rPr>
        <w:t xml:space="preserve">debe precisarse que </w:t>
      </w:r>
      <w:r w:rsidR="002F08A5">
        <w:rPr>
          <w:rFonts w:ascii="Palatino Linotype" w:eastAsia="Palatino Linotype" w:hAnsi="Palatino Linotype" w:cs="Palatino Linotype"/>
        </w:rPr>
        <w:t xml:space="preserve">durante la etapa de manifestaciones, el </w:t>
      </w:r>
      <w:r w:rsidR="002F08A5">
        <w:rPr>
          <w:rFonts w:ascii="Palatino Linotype" w:eastAsia="Palatino Linotype" w:hAnsi="Palatino Linotype" w:cs="Palatino Linotype"/>
          <w:b/>
        </w:rPr>
        <w:t>Sujeto Obligado</w:t>
      </w:r>
      <w:r w:rsidR="00685DD5">
        <w:rPr>
          <w:rFonts w:ascii="Palatino Linotype" w:eastAsia="Palatino Linotype" w:hAnsi="Palatino Linotype" w:cs="Palatino Linotype"/>
        </w:rPr>
        <w:t xml:space="preserve"> al momento de rendir</w:t>
      </w:r>
      <w:r w:rsidR="002F08A5">
        <w:rPr>
          <w:rFonts w:ascii="Palatino Linotype" w:eastAsia="Palatino Linotype" w:hAnsi="Palatino Linotype" w:cs="Palatino Linotype"/>
        </w:rPr>
        <w:t xml:space="preserve"> su informe justificado, </w:t>
      </w:r>
      <w:r w:rsidR="00685DD5">
        <w:rPr>
          <w:rFonts w:ascii="Palatino Linotype" w:eastAsia="Palatino Linotype" w:hAnsi="Palatino Linotype" w:cs="Palatino Linotype"/>
        </w:rPr>
        <w:t xml:space="preserve">ratificó su respuesta inicial, </w:t>
      </w:r>
      <w:r w:rsidR="00E23C69">
        <w:rPr>
          <w:rFonts w:ascii="Palatino Linotype" w:eastAsia="Palatino Linotype" w:hAnsi="Palatino Linotype" w:cs="Palatino Linotype"/>
        </w:rPr>
        <w:t>a</w:t>
      </w:r>
      <w:r w:rsidR="00243757">
        <w:rPr>
          <w:rFonts w:ascii="Palatino Linotype" w:eastAsia="Palatino Linotype" w:hAnsi="Palatino Linotype" w:cs="Palatino Linotype"/>
        </w:rPr>
        <w:t>simismo</w:t>
      </w:r>
      <w:r w:rsidR="00882A69">
        <w:rPr>
          <w:rFonts w:ascii="Palatino Linotype" w:eastAsia="Palatino Linotype" w:hAnsi="Palatino Linotype" w:cs="Palatino Linotype"/>
        </w:rPr>
        <w:t>,</w:t>
      </w:r>
      <w:r w:rsidR="002F08A5">
        <w:rPr>
          <w:rFonts w:ascii="Palatino Linotype" w:eastAsia="Palatino Linotype" w:hAnsi="Palatino Linotype" w:cs="Palatino Linotype"/>
        </w:rPr>
        <w:t xml:space="preserve"> se tiene que </w:t>
      </w:r>
      <w:r w:rsidR="00E23C69">
        <w:rPr>
          <w:rFonts w:ascii="Palatino Linotype" w:eastAsia="Palatino Linotype" w:hAnsi="Palatino Linotype" w:cs="Palatino Linotype"/>
          <w:b/>
        </w:rPr>
        <w:t xml:space="preserve">la parte </w:t>
      </w:r>
      <w:r w:rsidR="002F08A5">
        <w:rPr>
          <w:rFonts w:ascii="Palatino Linotype" w:eastAsia="Palatino Linotype" w:hAnsi="Palatino Linotype" w:cs="Palatino Linotype"/>
          <w:b/>
        </w:rPr>
        <w:t>Recurrente</w:t>
      </w:r>
      <w:r w:rsidR="002F08A5">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rsidR="00685DD5" w:rsidRDefault="00FB48B8" w:rsidP="00685DD5">
      <w:pPr>
        <w:spacing w:line="360" w:lineRule="auto"/>
        <w:ind w:right="-93"/>
        <w:jc w:val="both"/>
        <w:rPr>
          <w:rFonts w:ascii="Palatino Linotype" w:eastAsia="Palatino Linotype" w:hAnsi="Palatino Linotype" w:cs="Palatino Linotype"/>
        </w:rPr>
      </w:pPr>
      <w:r w:rsidRPr="00FB48B8">
        <w:rPr>
          <w:rFonts w:ascii="Palatino Linotype" w:eastAsia="Calibri" w:hAnsi="Palatino Linotype" w:cs="Tahoma"/>
          <w:bCs/>
          <w:szCs w:val="22"/>
          <w:lang w:val="es-MX" w:eastAsia="en-US"/>
        </w:rPr>
        <w:t xml:space="preserve">Ahora bien, </w:t>
      </w:r>
      <w:r w:rsidR="00685DD5">
        <w:rPr>
          <w:rFonts w:ascii="Palatino Linotype" w:eastAsia="Calibri" w:hAnsi="Palatino Linotype" w:cs="Tahoma"/>
          <w:bCs/>
          <w:szCs w:val="22"/>
          <w:lang w:val="es-MX" w:eastAsia="en-US"/>
        </w:rPr>
        <w:t>sobre la información solicitada</w:t>
      </w:r>
      <w:r w:rsidR="00694155">
        <w:rPr>
          <w:rFonts w:ascii="Palatino Linotype" w:eastAsia="Palatino Linotype" w:hAnsi="Palatino Linotype" w:cs="Palatino Linotype"/>
        </w:rPr>
        <w:t xml:space="preserve">, </w:t>
      </w:r>
      <w:r w:rsidR="00685DD5">
        <w:rPr>
          <w:rFonts w:ascii="Palatino Linotype" w:eastAsia="Palatino Linotype" w:hAnsi="Palatino Linotype" w:cs="Palatino Linotype"/>
        </w:rPr>
        <w:t xml:space="preserve">debe precisarse que </w:t>
      </w:r>
      <w:r w:rsidR="00694155">
        <w:rPr>
          <w:rFonts w:ascii="Palatino Linotype" w:eastAsia="Palatino Linotype" w:hAnsi="Palatino Linotype" w:cs="Palatino Linotype"/>
        </w:rPr>
        <w:t xml:space="preserve">el </w:t>
      </w:r>
      <w:r w:rsidR="00694155" w:rsidRPr="00694155">
        <w:rPr>
          <w:rFonts w:ascii="Palatino Linotype" w:eastAsia="Palatino Linotype" w:hAnsi="Palatino Linotype" w:cs="Palatino Linotype"/>
          <w:b/>
        </w:rPr>
        <w:t xml:space="preserve">Sujeto Obligado </w:t>
      </w:r>
      <w:r w:rsidR="00694155">
        <w:rPr>
          <w:rFonts w:ascii="Palatino Linotype" w:eastAsia="Palatino Linotype" w:hAnsi="Palatino Linotype" w:cs="Palatino Linotype"/>
          <w:b/>
        </w:rPr>
        <w:t xml:space="preserve">carece de las atribuciones </w:t>
      </w:r>
      <w:r w:rsidR="00694155">
        <w:rPr>
          <w:rFonts w:ascii="Palatino Linotype" w:eastAsia="Palatino Linotype" w:hAnsi="Palatino Linotype" w:cs="Palatino Linotype"/>
        </w:rPr>
        <w:t xml:space="preserve">para </w:t>
      </w:r>
      <w:r w:rsidR="00685DD5">
        <w:rPr>
          <w:rFonts w:ascii="Palatino Linotype" w:eastAsia="Palatino Linotype" w:hAnsi="Palatino Linotype" w:cs="Palatino Linotype"/>
        </w:rPr>
        <w:t xml:space="preserve">conocer de los puntos 1 y 2 de la solicitud, ello en virtud de que conforme al Bando Municipal vigente en el municipio de Atizapán de Zaragoza, la unidad habitacional a la que se hace referencia no pertenece a esta </w:t>
      </w:r>
      <w:r w:rsidR="00685DD5">
        <w:rPr>
          <w:rFonts w:ascii="Palatino Linotype" w:eastAsia="Palatino Linotype" w:hAnsi="Palatino Linotype" w:cs="Palatino Linotype"/>
        </w:rPr>
        <w:lastRenderedPageBreak/>
        <w:t xml:space="preserve">demarcación municipal, por lo cual resulta pertinente traer a colación las siguientes capturas de pantalla: </w:t>
      </w:r>
    </w:p>
    <w:p w:rsidR="00685DD5" w:rsidRDefault="00685DD5" w:rsidP="00685DD5">
      <w:pPr>
        <w:spacing w:line="360" w:lineRule="auto"/>
        <w:ind w:right="-93"/>
        <w:jc w:val="both"/>
        <w:rPr>
          <w:rFonts w:ascii="Palatino Linotype" w:eastAsia="Palatino Linotype" w:hAnsi="Palatino Linotype" w:cs="Palatino Linotype"/>
        </w:rPr>
      </w:pPr>
    </w:p>
    <w:p w:rsidR="00685DD5" w:rsidRDefault="00685DD5" w:rsidP="00685DD5">
      <w:pPr>
        <w:spacing w:line="360" w:lineRule="auto"/>
        <w:ind w:right="-93"/>
        <w:jc w:val="center"/>
        <w:rPr>
          <w:rFonts w:ascii="Palatino Linotype" w:hAnsi="Palatino Linotype" w:cs="Tahoma"/>
          <w:bCs/>
          <w:szCs w:val="22"/>
          <w:lang w:val="es-MX" w:eastAsia="es-ES"/>
        </w:rPr>
      </w:pPr>
      <w:r>
        <w:rPr>
          <w:rFonts w:ascii="Palatino Linotype" w:hAnsi="Palatino Linotype" w:cs="Tahoma"/>
          <w:bCs/>
          <w:noProof/>
          <w:szCs w:val="22"/>
          <w:lang w:val="es-MX"/>
        </w:rPr>
        <w:drawing>
          <wp:inline distT="0" distB="0" distL="0" distR="0">
            <wp:extent cx="4457700" cy="3295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3295650"/>
                    </a:xfrm>
                    <a:prstGeom prst="rect">
                      <a:avLst/>
                    </a:prstGeom>
                    <a:noFill/>
                    <a:ln>
                      <a:noFill/>
                    </a:ln>
                  </pic:spPr>
                </pic:pic>
              </a:graphicData>
            </a:graphic>
          </wp:inline>
        </w:drawing>
      </w:r>
    </w:p>
    <w:p w:rsidR="00685DD5" w:rsidRDefault="00685DD5" w:rsidP="00685DD5">
      <w:pPr>
        <w:spacing w:line="360" w:lineRule="auto"/>
        <w:ind w:right="-93"/>
        <w:jc w:val="center"/>
        <w:rPr>
          <w:rFonts w:ascii="Palatino Linotype" w:hAnsi="Palatino Linotype" w:cs="Tahoma"/>
          <w:bCs/>
          <w:szCs w:val="22"/>
          <w:lang w:val="es-MX" w:eastAsia="es-ES"/>
        </w:rPr>
      </w:pPr>
    </w:p>
    <w:p w:rsidR="00685DD5" w:rsidRDefault="00685DD5" w:rsidP="00685DD5">
      <w:pPr>
        <w:spacing w:line="360" w:lineRule="auto"/>
        <w:ind w:right="-93"/>
        <w:jc w:val="center"/>
        <w:rPr>
          <w:rFonts w:ascii="Palatino Linotype" w:hAnsi="Palatino Linotype" w:cs="Tahoma"/>
          <w:bCs/>
          <w:szCs w:val="22"/>
          <w:lang w:val="es-MX" w:eastAsia="es-ES"/>
        </w:rPr>
      </w:pPr>
      <w:r>
        <w:rPr>
          <w:rFonts w:ascii="Palatino Linotype" w:hAnsi="Palatino Linotype" w:cs="Tahoma"/>
          <w:bCs/>
          <w:noProof/>
          <w:szCs w:val="22"/>
          <w:lang w:val="es-MX"/>
        </w:rPr>
        <w:lastRenderedPageBreak/>
        <w:drawing>
          <wp:inline distT="0" distB="0" distL="0" distR="0">
            <wp:extent cx="4370127" cy="6057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395" cy="6059658"/>
                    </a:xfrm>
                    <a:prstGeom prst="rect">
                      <a:avLst/>
                    </a:prstGeom>
                    <a:noFill/>
                    <a:ln>
                      <a:noFill/>
                    </a:ln>
                  </pic:spPr>
                </pic:pic>
              </a:graphicData>
            </a:graphic>
          </wp:inline>
        </w:drawing>
      </w:r>
    </w:p>
    <w:p w:rsidR="00685DD5" w:rsidRDefault="00685DD5" w:rsidP="00685DD5">
      <w:pPr>
        <w:spacing w:line="360" w:lineRule="auto"/>
        <w:ind w:right="-93"/>
        <w:jc w:val="center"/>
        <w:rPr>
          <w:rFonts w:ascii="Palatino Linotype" w:hAnsi="Palatino Linotype" w:cs="Tahoma"/>
          <w:bCs/>
          <w:szCs w:val="22"/>
          <w:lang w:val="es-MX" w:eastAsia="es-ES"/>
        </w:rPr>
      </w:pPr>
      <w:r>
        <w:rPr>
          <w:rFonts w:ascii="Palatino Linotype" w:hAnsi="Palatino Linotype" w:cs="Tahoma"/>
          <w:bCs/>
          <w:noProof/>
          <w:szCs w:val="22"/>
          <w:lang w:val="es-MX"/>
        </w:rPr>
        <w:lastRenderedPageBreak/>
        <w:drawing>
          <wp:inline distT="0" distB="0" distL="0" distR="0">
            <wp:extent cx="3381375" cy="57912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5791200"/>
                    </a:xfrm>
                    <a:prstGeom prst="rect">
                      <a:avLst/>
                    </a:prstGeom>
                    <a:noFill/>
                    <a:ln>
                      <a:noFill/>
                    </a:ln>
                  </pic:spPr>
                </pic:pic>
              </a:graphicData>
            </a:graphic>
          </wp:inline>
        </w:drawing>
      </w:r>
    </w:p>
    <w:p w:rsidR="00685DD5" w:rsidRDefault="00685DD5" w:rsidP="00685DD5">
      <w:pPr>
        <w:spacing w:line="360" w:lineRule="auto"/>
        <w:ind w:right="-93"/>
        <w:jc w:val="center"/>
        <w:rPr>
          <w:rFonts w:ascii="Palatino Linotype" w:hAnsi="Palatino Linotype" w:cs="Tahoma"/>
          <w:bCs/>
          <w:szCs w:val="22"/>
          <w:lang w:val="es-MX" w:eastAsia="es-ES"/>
        </w:rPr>
      </w:pPr>
      <w:r>
        <w:rPr>
          <w:rFonts w:ascii="Palatino Linotype" w:hAnsi="Palatino Linotype" w:cs="Tahoma"/>
          <w:bCs/>
          <w:noProof/>
          <w:szCs w:val="22"/>
          <w:lang w:val="es-MX"/>
        </w:rPr>
        <w:lastRenderedPageBreak/>
        <w:drawing>
          <wp:inline distT="0" distB="0" distL="0" distR="0">
            <wp:extent cx="3848100" cy="58007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5800725"/>
                    </a:xfrm>
                    <a:prstGeom prst="rect">
                      <a:avLst/>
                    </a:prstGeom>
                    <a:noFill/>
                    <a:ln>
                      <a:noFill/>
                    </a:ln>
                  </pic:spPr>
                </pic:pic>
              </a:graphicData>
            </a:graphic>
          </wp:inline>
        </w:drawing>
      </w:r>
    </w:p>
    <w:p w:rsidR="00685DD5" w:rsidRDefault="00685DD5" w:rsidP="00685DD5">
      <w:pPr>
        <w:spacing w:line="360" w:lineRule="auto"/>
        <w:ind w:right="-93"/>
        <w:jc w:val="center"/>
        <w:rPr>
          <w:rFonts w:ascii="Palatino Linotype" w:hAnsi="Palatino Linotype" w:cs="Tahoma"/>
          <w:bCs/>
          <w:szCs w:val="22"/>
          <w:lang w:val="es-MX" w:eastAsia="es-ES"/>
        </w:rPr>
      </w:pPr>
      <w:r>
        <w:rPr>
          <w:rFonts w:ascii="Palatino Linotype" w:hAnsi="Palatino Linotype" w:cs="Tahoma"/>
          <w:bCs/>
          <w:noProof/>
          <w:szCs w:val="22"/>
          <w:lang w:val="es-MX"/>
        </w:rPr>
        <w:lastRenderedPageBreak/>
        <w:drawing>
          <wp:inline distT="0" distB="0" distL="0" distR="0">
            <wp:extent cx="4000500" cy="5715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5715000"/>
                    </a:xfrm>
                    <a:prstGeom prst="rect">
                      <a:avLst/>
                    </a:prstGeom>
                    <a:noFill/>
                    <a:ln>
                      <a:noFill/>
                    </a:ln>
                  </pic:spPr>
                </pic:pic>
              </a:graphicData>
            </a:graphic>
          </wp:inline>
        </w:drawing>
      </w:r>
    </w:p>
    <w:p w:rsidR="00685DD5" w:rsidRDefault="00685DD5" w:rsidP="00685DD5">
      <w:pPr>
        <w:spacing w:line="360" w:lineRule="auto"/>
        <w:ind w:right="-93"/>
        <w:jc w:val="center"/>
        <w:rPr>
          <w:rFonts w:ascii="Palatino Linotype" w:hAnsi="Palatino Linotype" w:cs="Tahoma"/>
          <w:bCs/>
          <w:szCs w:val="22"/>
          <w:lang w:val="es-MX" w:eastAsia="es-ES"/>
        </w:rPr>
      </w:pPr>
      <w:r>
        <w:rPr>
          <w:rFonts w:ascii="Palatino Linotype" w:hAnsi="Palatino Linotype" w:cs="Tahoma"/>
          <w:bCs/>
          <w:noProof/>
          <w:szCs w:val="22"/>
          <w:lang w:val="es-MX"/>
        </w:rPr>
        <w:lastRenderedPageBreak/>
        <w:drawing>
          <wp:inline distT="0" distB="0" distL="0" distR="0">
            <wp:extent cx="4144238" cy="62484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6051" cy="6251134"/>
                    </a:xfrm>
                    <a:prstGeom prst="rect">
                      <a:avLst/>
                    </a:prstGeom>
                    <a:noFill/>
                    <a:ln>
                      <a:noFill/>
                    </a:ln>
                  </pic:spPr>
                </pic:pic>
              </a:graphicData>
            </a:graphic>
          </wp:inline>
        </w:drawing>
      </w:r>
    </w:p>
    <w:p w:rsidR="00685DD5" w:rsidRPr="00685DD5" w:rsidRDefault="00685DD5" w:rsidP="00685DD5">
      <w:pPr>
        <w:spacing w:line="360" w:lineRule="auto"/>
        <w:ind w:right="-93"/>
        <w:jc w:val="center"/>
        <w:rPr>
          <w:rFonts w:ascii="Palatino Linotype" w:hAnsi="Palatino Linotype" w:cs="Tahoma"/>
          <w:bCs/>
          <w:szCs w:val="22"/>
          <w:lang w:val="es-MX" w:eastAsia="es-ES"/>
        </w:rPr>
      </w:pPr>
      <w:r>
        <w:rPr>
          <w:rFonts w:ascii="Palatino Linotype" w:hAnsi="Palatino Linotype" w:cs="Tahoma"/>
          <w:bCs/>
          <w:noProof/>
          <w:szCs w:val="22"/>
          <w:lang w:val="es-MX"/>
        </w:rPr>
        <w:lastRenderedPageBreak/>
        <w:drawing>
          <wp:inline distT="0" distB="0" distL="0" distR="0">
            <wp:extent cx="3143250" cy="25622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0" cy="2562225"/>
                    </a:xfrm>
                    <a:prstGeom prst="rect">
                      <a:avLst/>
                    </a:prstGeom>
                    <a:noFill/>
                    <a:ln>
                      <a:noFill/>
                    </a:ln>
                  </pic:spPr>
                </pic:pic>
              </a:graphicData>
            </a:graphic>
          </wp:inline>
        </w:drawing>
      </w:r>
    </w:p>
    <w:p w:rsidR="00F77528" w:rsidRPr="00F77528" w:rsidRDefault="00F77528" w:rsidP="00F77528">
      <w:pPr>
        <w:spacing w:line="360" w:lineRule="auto"/>
        <w:jc w:val="both"/>
        <w:rPr>
          <w:rFonts w:ascii="Palatino Linotype" w:eastAsia="Palatino Linotype" w:hAnsi="Palatino Linotype" w:cs="Palatino Linotype"/>
          <w:lang w:val="es-MX"/>
        </w:rPr>
      </w:pPr>
      <w:r>
        <w:rPr>
          <w:rFonts w:ascii="Palatino Linotype" w:eastAsia="Palatino Linotype" w:hAnsi="Palatino Linotype" w:cs="Palatino Linotype"/>
        </w:rPr>
        <w:t>En este orden de ideas, resulta importante mencionar que</w:t>
      </w:r>
      <w:r>
        <w:rPr>
          <w:rFonts w:ascii="Palatino Linotype" w:eastAsia="Palatino Linotype" w:hAnsi="Palatino Linotype" w:cs="Palatino Linotype"/>
          <w:lang w:val="es-MX"/>
        </w:rPr>
        <w:t xml:space="preserve"> si bien es cierto</w:t>
      </w:r>
      <w:r w:rsidRPr="00F77528">
        <w:rPr>
          <w:rFonts w:ascii="Palatino Linotype" w:eastAsia="Palatino Linotype" w:hAnsi="Palatino Linotype" w:cs="Palatino Linotype"/>
          <w:lang w:val="es-MX"/>
        </w:rPr>
        <w:t>, se observa que la unidad habitacional no está contemplada entra las partes que conforman el ter</w:t>
      </w:r>
      <w:r>
        <w:rPr>
          <w:rFonts w:ascii="Palatino Linotype" w:eastAsia="Palatino Linotype" w:hAnsi="Palatino Linotype" w:cs="Palatino Linotype"/>
          <w:lang w:val="es-MX"/>
        </w:rPr>
        <w:t>ritorio municipal de Atizapán de Zaragoza, no menos cierto es que</w:t>
      </w:r>
      <w:r w:rsidRPr="00F77528">
        <w:rPr>
          <w:rFonts w:ascii="Palatino Linotype" w:eastAsia="Palatino Linotype" w:hAnsi="Palatino Linotype" w:cs="Palatino Linotype"/>
          <w:lang w:val="es-MX"/>
        </w:rPr>
        <w:t xml:space="preserve"> el Bando Municipal de Ixtapaluca vigente, en su artículo 25 contempla a </w:t>
      </w:r>
      <w:r w:rsidRPr="00F77528">
        <w:rPr>
          <w:rFonts w:ascii="Palatino Linotype" w:eastAsia="Palatino Linotype" w:hAnsi="Palatino Linotype" w:cs="Palatino Linotype"/>
          <w:b/>
          <w:lang w:val="es-MX"/>
        </w:rPr>
        <w:t>San José de la Palma</w:t>
      </w:r>
      <w:r w:rsidRPr="00F77528">
        <w:rPr>
          <w:rFonts w:ascii="Palatino Linotype" w:eastAsia="Palatino Linotype" w:hAnsi="Palatino Linotype" w:cs="Palatino Linotype"/>
          <w:lang w:val="es-MX"/>
        </w:rPr>
        <w:t xml:space="preserve"> como una colonia, localidad, conjunto urbano o fraccionamiento o propiedad en condominio perteneciente a la cabecera municipal Ixtapaluca, como se observa en las siguientes imágenes:</w:t>
      </w:r>
    </w:p>
    <w:p w:rsidR="00F77528" w:rsidRDefault="00F77528" w:rsidP="00F77528">
      <w:pPr>
        <w:spacing w:line="360" w:lineRule="auto"/>
        <w:jc w:val="both"/>
        <w:rPr>
          <w:rFonts w:ascii="Palatino Linotype" w:eastAsia="Palatino Linotype" w:hAnsi="Palatino Linotype" w:cs="Palatino Linotype"/>
          <w:lang w:val="es-MX"/>
        </w:rPr>
      </w:pPr>
    </w:p>
    <w:p w:rsidR="00F77528" w:rsidRDefault="00F77528" w:rsidP="00F77528">
      <w:pPr>
        <w:spacing w:line="360" w:lineRule="auto"/>
        <w:jc w:val="both"/>
        <w:rPr>
          <w:rFonts w:ascii="Palatino Linotype" w:eastAsia="Palatino Linotype" w:hAnsi="Palatino Linotype" w:cs="Palatino Linotype"/>
          <w:lang w:val="es-MX"/>
        </w:rPr>
      </w:pPr>
    </w:p>
    <w:p w:rsidR="00F77528" w:rsidRDefault="00F77528" w:rsidP="00F77528">
      <w:pPr>
        <w:spacing w:line="360" w:lineRule="auto"/>
        <w:jc w:val="both"/>
        <w:rPr>
          <w:rFonts w:ascii="Palatino Linotype" w:eastAsia="Palatino Linotype" w:hAnsi="Palatino Linotype" w:cs="Palatino Linotype"/>
          <w:lang w:val="es-MX"/>
        </w:rPr>
      </w:pPr>
    </w:p>
    <w:p w:rsidR="00F77528" w:rsidRDefault="00F77528" w:rsidP="00F77528">
      <w:pPr>
        <w:spacing w:line="360" w:lineRule="auto"/>
        <w:jc w:val="both"/>
        <w:rPr>
          <w:rFonts w:ascii="Palatino Linotype" w:eastAsia="Palatino Linotype" w:hAnsi="Palatino Linotype" w:cs="Palatino Linotype"/>
          <w:lang w:val="es-MX"/>
        </w:rPr>
      </w:pPr>
    </w:p>
    <w:p w:rsidR="00F77528" w:rsidRDefault="00F77528" w:rsidP="00F77528">
      <w:pPr>
        <w:spacing w:line="360" w:lineRule="auto"/>
        <w:jc w:val="both"/>
        <w:rPr>
          <w:rFonts w:ascii="Palatino Linotype" w:eastAsia="Palatino Linotype" w:hAnsi="Palatino Linotype" w:cs="Palatino Linotype"/>
          <w:lang w:val="es-MX"/>
        </w:rPr>
      </w:pPr>
    </w:p>
    <w:p w:rsidR="00F77528" w:rsidRPr="00F77528" w:rsidRDefault="00F77528" w:rsidP="00F77528">
      <w:pPr>
        <w:spacing w:line="360" w:lineRule="auto"/>
        <w:jc w:val="both"/>
        <w:rPr>
          <w:rFonts w:ascii="Palatino Linotype" w:eastAsia="Palatino Linotype" w:hAnsi="Palatino Linotype" w:cs="Palatino Linotype"/>
          <w:lang w:val="es-MX"/>
        </w:rPr>
      </w:pPr>
    </w:p>
    <w:p w:rsidR="00F77528" w:rsidRPr="00F77528" w:rsidRDefault="00F77528" w:rsidP="00F77528">
      <w:pPr>
        <w:spacing w:line="360" w:lineRule="auto"/>
        <w:jc w:val="center"/>
        <w:rPr>
          <w:rFonts w:ascii="Palatino Linotype" w:eastAsia="Palatino Linotype" w:hAnsi="Palatino Linotype" w:cs="Palatino Linotype"/>
          <w:lang w:val="es-MX"/>
        </w:rPr>
      </w:pPr>
      <w:r w:rsidRPr="00F77528">
        <w:rPr>
          <w:rFonts w:ascii="Palatino Linotype" w:eastAsia="Palatino Linotype" w:hAnsi="Palatino Linotype" w:cs="Palatino Linotype"/>
          <w:noProof/>
          <w:lang w:val="es-MX"/>
        </w:rPr>
        <w:lastRenderedPageBreak/>
        <w:drawing>
          <wp:inline distT="0" distB="0" distL="0" distR="0" wp14:anchorId="42C09410" wp14:editId="70FD14E2">
            <wp:extent cx="5658640" cy="79068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8640" cy="790685"/>
                    </a:xfrm>
                    <a:prstGeom prst="rect">
                      <a:avLst/>
                    </a:prstGeom>
                  </pic:spPr>
                </pic:pic>
              </a:graphicData>
            </a:graphic>
          </wp:inline>
        </w:drawing>
      </w:r>
    </w:p>
    <w:p w:rsidR="00F77528" w:rsidRPr="00F77528" w:rsidRDefault="00F77528" w:rsidP="00F77528">
      <w:pPr>
        <w:spacing w:line="360" w:lineRule="auto"/>
        <w:jc w:val="center"/>
        <w:rPr>
          <w:rFonts w:ascii="Palatino Linotype" w:eastAsia="Palatino Linotype" w:hAnsi="Palatino Linotype" w:cs="Palatino Linotype"/>
          <w:lang w:val="es-MX"/>
        </w:rPr>
      </w:pPr>
      <w:r w:rsidRPr="00F77528">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38171198" wp14:editId="680AD8D8">
                <wp:simplePos x="0" y="0"/>
                <wp:positionH relativeFrom="column">
                  <wp:posOffset>2896235</wp:posOffset>
                </wp:positionH>
                <wp:positionV relativeFrom="paragraph">
                  <wp:posOffset>1108075</wp:posOffset>
                </wp:positionV>
                <wp:extent cx="659219" cy="350875"/>
                <wp:effectExtent l="19050" t="57150" r="45720" b="49530"/>
                <wp:wrapNone/>
                <wp:docPr id="16" name="Flecha derecha 16"/>
                <wp:cNvGraphicFramePr/>
                <a:graphic xmlns:a="http://schemas.openxmlformats.org/drawingml/2006/main">
                  <a:graphicData uri="http://schemas.microsoft.com/office/word/2010/wordprocessingShape">
                    <wps:wsp>
                      <wps:cNvSpPr/>
                      <wps:spPr>
                        <a:xfrm>
                          <a:off x="0" y="0"/>
                          <a:ext cx="659219" cy="350875"/>
                        </a:xfrm>
                        <a:prstGeom prst="rightArrow">
                          <a:avLst/>
                        </a:prstGeom>
                        <a:solidFill>
                          <a:srgbClr val="002060"/>
                        </a:solid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C192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228.05pt;margin-top:87.25pt;width:51.9pt;height:27.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" adj="15852" fillcolor="#002060" strokecolor="#002060" strokeweight="2.25pt"/>
            </w:pict>
          </mc:Fallback>
        </mc:AlternateContent>
      </w:r>
      <w:r w:rsidRPr="00F77528">
        <w:rPr>
          <w:rFonts w:ascii="Palatino Linotype" w:eastAsia="Palatino Linotype" w:hAnsi="Palatino Linotype" w:cs="Palatino Linotype"/>
          <w:noProof/>
          <w:lang w:val="es-MX"/>
        </w:rPr>
        <w:drawing>
          <wp:inline distT="0" distB="0" distL="0" distR="0" wp14:anchorId="032DD481" wp14:editId="103DF9E9">
            <wp:extent cx="5613991" cy="3897550"/>
            <wp:effectExtent l="0" t="0" r="635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9452" cy="3901342"/>
                    </a:xfrm>
                    <a:prstGeom prst="rect">
                      <a:avLst/>
                    </a:prstGeom>
                  </pic:spPr>
                </pic:pic>
              </a:graphicData>
            </a:graphic>
          </wp:inline>
        </w:drawing>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debe precisarse que</w:t>
      </w:r>
      <w:r w:rsidR="00694155">
        <w:rPr>
          <w:rFonts w:ascii="Palatino Linotype" w:eastAsia="Palatino Linotype" w:hAnsi="Palatino Linotype" w:cs="Palatino Linotype"/>
        </w:rPr>
        <w:t xml:space="preserve"> en el presente asunto, nos encontramos ante una </w:t>
      </w:r>
      <w:r w:rsidR="00F77528">
        <w:rPr>
          <w:rFonts w:ascii="Palatino Linotype" w:eastAsia="Palatino Linotype" w:hAnsi="Palatino Linotype" w:cs="Palatino Linotype"/>
        </w:rPr>
        <w:t xml:space="preserve">notoria </w:t>
      </w:r>
      <w:r w:rsidR="00694155">
        <w:rPr>
          <w:rFonts w:ascii="Palatino Linotype" w:eastAsia="Palatino Linotype" w:hAnsi="Palatino Linotype" w:cs="Palatino Linotype"/>
        </w:rPr>
        <w:t>ausencia de facultades, es decir, una incompetencia, en ese sentido,</w:t>
      </w:r>
      <w:r>
        <w:rPr>
          <w:rFonts w:ascii="Palatino Linotype" w:eastAsia="Palatino Linotype" w:hAnsi="Palatino Linotype" w:cs="Palatino Linotype"/>
        </w:rPr>
        <w:t xml:space="preserv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Pr>
          <w:rFonts w:ascii="Palatino Linotype" w:eastAsia="Palatino Linotype" w:hAnsi="Palatino Linotype" w:cs="Palatino Linotype"/>
        </w:rPr>
        <w:lastRenderedPageBreak/>
        <w:t xml:space="preserve">cuando la misma no sea competencia del </w:t>
      </w:r>
      <w:r w:rsidRPr="00882A69">
        <w:rPr>
          <w:rFonts w:ascii="Palatino Linotype" w:eastAsia="Palatino Linotype" w:hAnsi="Palatino Linotype" w:cs="Palatino Linotype"/>
          <w:b/>
        </w:rPr>
        <w:t>Sujeto Obligado</w:t>
      </w:r>
      <w:r>
        <w:rPr>
          <w:rFonts w:ascii="Palatino Linotype" w:eastAsia="Palatino Linotype" w:hAnsi="Palatino Linotype" w:cs="Palatino Linotype"/>
        </w:rPr>
        <w:t xml:space="preserve"> ante el cual se formule la solicitud de acceso.</w:t>
      </w:r>
    </w:p>
    <w:p w:rsidR="00913A86" w:rsidRDefault="00882A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preciso señalar</w:t>
      </w:r>
      <w:r w:rsidR="002F08A5">
        <w:rPr>
          <w:rFonts w:ascii="Palatino Linotype" w:eastAsia="Palatino Linotype" w:hAnsi="Palatino Linotype" w:cs="Palatino Linotype"/>
        </w:rPr>
        <w:t xml:space="preserve"> que los Comités de Transparencia tienen entre sus atribuciones confirmar, modificar o revocar la declaración de incompetencia que realicen los titulares de las unidades administrativas.</w:t>
      </w:r>
    </w:p>
    <w:p w:rsidR="00913A86" w:rsidRDefault="00882A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w:t>
      </w:r>
      <w:r w:rsidR="002F08A5">
        <w:rPr>
          <w:rFonts w:ascii="Palatino Linotype" w:eastAsia="Palatino Linotype" w:hAnsi="Palatino Linotype" w:cs="Palatino Linotype"/>
        </w:rPr>
        <w:t>cuando las Unidades de Transparencia determinen la notoria incompetencia por parte de los Sujetos Obligados deberán comunicar al solicitante la misma dentro de los tres días posteriores a la recepción de la solicitud.</w:t>
      </w:r>
    </w:p>
    <w:p w:rsidR="00913A86" w:rsidRPr="00FB062A" w:rsidRDefault="002F08A5" w:rsidP="00FB06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logra observar, si bien la Ley de la materia, prevé el supuesto de incompetencia para que los Sujetos Obligados den atención a solicitudes de información, también lo es, que no se precisa en que consiste dicho concepto; sobre dicha situación, según Cabanellas, Guillermo (1993), en el “Diccionario Jurídico Elemental” (p. 32 y 161), precisó los siguientes conceptos:</w:t>
      </w:r>
    </w:p>
    <w:p w:rsidR="00913A86" w:rsidRDefault="002F08A5">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Competencia: </w:t>
      </w:r>
      <w:r>
        <w:rPr>
          <w:rFonts w:ascii="Palatino Linotype" w:eastAsia="Palatino Linotype" w:hAnsi="Palatino Linotype" w:cs="Palatino Linotype"/>
          <w:color w:val="000000"/>
          <w:sz w:val="22"/>
          <w:szCs w:val="22"/>
        </w:rPr>
        <w:t>La capacidad de una autoridad para conocer sobre una materia o asunto.</w:t>
      </w:r>
    </w:p>
    <w:p w:rsidR="00913A86" w:rsidRDefault="00913A86">
      <w:pPr>
        <w:spacing w:line="360" w:lineRule="auto"/>
        <w:ind w:left="780"/>
        <w:jc w:val="both"/>
        <w:rPr>
          <w:rFonts w:ascii="Palatino Linotype" w:eastAsia="Palatino Linotype" w:hAnsi="Palatino Linotype" w:cs="Palatino Linotype"/>
          <w:color w:val="000000"/>
          <w:sz w:val="22"/>
          <w:szCs w:val="22"/>
        </w:rPr>
      </w:pPr>
    </w:p>
    <w:p w:rsidR="00913A86" w:rsidRDefault="002F08A5">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Incompetencia:</w:t>
      </w:r>
      <w:r>
        <w:rPr>
          <w:rFonts w:ascii="Palatino Linotype" w:eastAsia="Palatino Linotype" w:hAnsi="Palatino Linotype" w:cs="Palatino Linotype"/>
          <w:color w:val="000000"/>
          <w:sz w:val="22"/>
          <w:szCs w:val="22"/>
        </w:rPr>
        <w:t xml:space="preserve"> Falta de Competencia.</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Pr="00F77528" w:rsidRDefault="002F08A5">
      <w:pPr>
        <w:spacing w:line="360" w:lineRule="auto"/>
        <w:jc w:val="both"/>
        <w:rPr>
          <w:rFonts w:ascii="Palatino Linotype" w:eastAsia="Palatino Linotype" w:hAnsi="Palatino Linotype" w:cs="Palatino Linotype"/>
          <w:color w:val="000000"/>
          <w:szCs w:val="22"/>
        </w:rPr>
      </w:pPr>
      <w:r w:rsidRPr="00F77528">
        <w:rPr>
          <w:rFonts w:ascii="Palatino Linotype" w:eastAsia="Palatino Linotype" w:hAnsi="Palatino Linotype" w:cs="Palatino Linotype"/>
          <w:color w:val="000000"/>
          <w:szCs w:val="22"/>
        </w:rPr>
        <w:t xml:space="preserve">Por lo que, </w:t>
      </w:r>
      <w:r w:rsidRPr="00F77528">
        <w:rPr>
          <w:rFonts w:ascii="Palatino Linotype" w:eastAsia="Palatino Linotype" w:hAnsi="Palatino Linotype" w:cs="Palatino Linotype"/>
          <w:b/>
          <w:color w:val="000000"/>
          <w:szCs w:val="22"/>
        </w:rPr>
        <w:t>la incompetencia</w:t>
      </w:r>
      <w:r w:rsidRPr="00F77528">
        <w:rPr>
          <w:rFonts w:ascii="Palatino Linotype" w:eastAsia="Palatino Linotype" w:hAnsi="Palatino Linotype" w:cs="Palatino Linotype"/>
          <w:color w:val="000000"/>
          <w:szCs w:val="22"/>
        </w:rPr>
        <w:t xml:space="preserve">, radica en la incapacidad de una autoridad para conocer de un tema o asunto; en el mismo sentido, conviene traer a cuenta tesis aislada número III.2o.P.11 K, publicada en el Semanario Judicial de la Federación y </w:t>
      </w:r>
      <w:r w:rsidRPr="00F77528">
        <w:rPr>
          <w:rFonts w:ascii="Palatino Linotype" w:eastAsia="Palatino Linotype" w:hAnsi="Palatino Linotype" w:cs="Palatino Linotype"/>
          <w:color w:val="000000"/>
          <w:szCs w:val="22"/>
        </w:rPr>
        <w:lastRenderedPageBreak/>
        <w:t xml:space="preserve">su Gaceta, Novena Época, Tomo XV, Mayo de 2002, Pág. 1243, ya que precisa lo siguiente: </w:t>
      </w:r>
    </w:p>
    <w:p w:rsidR="00913A86" w:rsidRPr="00764B98" w:rsidRDefault="002F08A5" w:rsidP="00764B98">
      <w:pPr>
        <w:spacing w:line="276" w:lineRule="auto"/>
        <w:ind w:left="567" w:right="567"/>
        <w:jc w:val="both"/>
        <w:rPr>
          <w:rFonts w:ascii="Palatino Linotype" w:eastAsia="Palatino Linotype" w:hAnsi="Palatino Linotype" w:cs="Palatino Linotype"/>
          <w:i/>
          <w:color w:val="000000"/>
          <w:sz w:val="22"/>
          <w:szCs w:val="22"/>
        </w:rPr>
      </w:pPr>
      <w:r w:rsidRPr="00764B98">
        <w:rPr>
          <w:rFonts w:ascii="Palatino Linotype" w:eastAsia="Palatino Linotype" w:hAnsi="Palatino Linotype" w:cs="Palatino Linotype"/>
          <w:b/>
          <w:i/>
          <w:color w:val="000000"/>
          <w:sz w:val="22"/>
          <w:szCs w:val="22"/>
        </w:rPr>
        <w:t xml:space="preserve">“LEGITIMACIÓN DE FUNCIONARIOS PÚBLICOS. LOS TRIBUNALES DE AMPARO, POR ESTAR VINCULADOS CON EL CONCEPTO DE COMPETENCIA A QUE SE REFIERE EL ARTÍCULO 16 CONSTITUCIONAL, NO PUEDEN CONOCER DE AQUÉLLA. </w:t>
      </w:r>
      <w:r w:rsidRPr="00764B98">
        <w:rPr>
          <w:rFonts w:ascii="Palatino Linotype" w:eastAsia="Palatino Linotype" w:hAnsi="Palatino Linotype" w:cs="Palatino Linotype"/>
          <w:i/>
          <w:color w:val="000000"/>
          <w:sz w:val="22"/>
          <w:szCs w:val="22"/>
        </w:rPr>
        <w:t>El artículo </w:t>
      </w:r>
      <w:hyperlink r:id="rId23">
        <w:r w:rsidRPr="00764B98">
          <w:rPr>
            <w:rFonts w:ascii="Palatino Linotype" w:eastAsia="Palatino Linotype" w:hAnsi="Palatino Linotype" w:cs="Palatino Linotype"/>
            <w:i/>
            <w:color w:val="0000FF"/>
            <w:sz w:val="22"/>
            <w:szCs w:val="22"/>
            <w:u w:val="single"/>
          </w:rPr>
          <w:t>16 constitucional</w:t>
        </w:r>
      </w:hyperlink>
      <w:r w:rsidRPr="00764B98">
        <w:rPr>
          <w:rFonts w:ascii="Palatino Linotype" w:eastAsia="Palatino Linotype" w:hAnsi="Palatino Linotype" w:cs="Palatino Linotype"/>
          <w:i/>
          <w:color w:val="000000"/>
          <w:sz w:val="22"/>
          <w:szCs w:val="22"/>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misma manera, resulta necesario traer a colación, el Criterio 13/17, emitido por el Instituto Nacional de Transparencia, Acceso a la Información y Protección de Datos Personales, que dispone lo siguiente: </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Pr="00764B98" w:rsidRDefault="002F08A5" w:rsidP="00764B98">
      <w:pPr>
        <w:spacing w:line="276" w:lineRule="auto"/>
        <w:ind w:left="567" w:right="851"/>
        <w:jc w:val="both"/>
        <w:rPr>
          <w:rFonts w:ascii="Palatino Linotype" w:eastAsia="Palatino Linotype" w:hAnsi="Palatino Linotype" w:cs="Palatino Linotype"/>
          <w:i/>
          <w:color w:val="000000"/>
          <w:sz w:val="22"/>
          <w:szCs w:val="20"/>
        </w:rPr>
      </w:pPr>
      <w:r w:rsidRPr="00764B98">
        <w:rPr>
          <w:rFonts w:ascii="Palatino Linotype" w:eastAsia="Palatino Linotype" w:hAnsi="Palatino Linotype" w:cs="Palatino Linotype"/>
          <w:i/>
          <w:color w:val="000000"/>
          <w:sz w:val="22"/>
          <w:szCs w:val="20"/>
        </w:rPr>
        <w:t>“</w:t>
      </w:r>
      <w:r w:rsidRPr="00764B98">
        <w:rPr>
          <w:rFonts w:ascii="Palatino Linotype" w:eastAsia="Palatino Linotype" w:hAnsi="Palatino Linotype" w:cs="Palatino Linotype"/>
          <w:b/>
          <w:i/>
          <w:color w:val="000000"/>
          <w:sz w:val="22"/>
          <w:szCs w:val="20"/>
        </w:rPr>
        <w:t xml:space="preserve">Incompetencia. </w:t>
      </w:r>
      <w:r w:rsidRPr="00764B98">
        <w:rPr>
          <w:rFonts w:ascii="Palatino Linotype" w:eastAsia="Palatino Linotype" w:hAnsi="Palatino Linotype" w:cs="Palatino Linotype"/>
          <w:i/>
          <w:color w:val="000000"/>
          <w:sz w:val="22"/>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 virtud, la </w:t>
      </w:r>
      <w:r>
        <w:rPr>
          <w:rFonts w:ascii="Palatino Linotype" w:eastAsia="Palatino Linotype" w:hAnsi="Palatino Linotype" w:cs="Palatino Linotype"/>
          <w:b/>
          <w:color w:val="000000"/>
        </w:rPr>
        <w:t xml:space="preserve">incompetencia </w:t>
      </w:r>
      <w:r>
        <w:rPr>
          <w:rFonts w:ascii="Palatino Linotype" w:eastAsia="Palatino Linotype" w:hAnsi="Palatino Linotype" w:cs="Palatino Linotype"/>
          <w:color w:val="000000"/>
        </w:rPr>
        <w:t xml:space="preserve">implica que de conformidad con las atribuciones conferidas al </w:t>
      </w:r>
      <w:r w:rsidRPr="00882A69">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habría razón por la cual éste deba contar con la </w:t>
      </w:r>
      <w:r>
        <w:rPr>
          <w:rFonts w:ascii="Palatino Linotype" w:eastAsia="Palatino Linotype" w:hAnsi="Palatino Linotype" w:cs="Palatino Linotype"/>
          <w:color w:val="000000"/>
        </w:rPr>
        <w:lastRenderedPageBreak/>
        <w:t>información solicitada, en cuyo caso, tendría que orientar al particular para que acuda a la instancia competente.</w:t>
      </w:r>
    </w:p>
    <w:p w:rsidR="00913A86" w:rsidRDefault="002F08A5" w:rsidP="00F7752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tiene que tal y como lo refiere el </w:t>
      </w:r>
      <w:r w:rsidRPr="00ED13AA">
        <w:rPr>
          <w:rFonts w:ascii="Palatino Linotype" w:eastAsia="Palatino Linotype" w:hAnsi="Palatino Linotype" w:cs="Palatino Linotype"/>
          <w:b/>
        </w:rPr>
        <w:t>Sujeto Obligado</w:t>
      </w:r>
      <w:r w:rsidR="00C7699D">
        <w:rPr>
          <w:rFonts w:ascii="Palatino Linotype" w:eastAsia="Palatino Linotype" w:hAnsi="Palatino Linotype" w:cs="Palatino Linotype"/>
        </w:rPr>
        <w:t xml:space="preserve">, </w:t>
      </w:r>
      <w:r w:rsidR="00F77528">
        <w:rPr>
          <w:rFonts w:ascii="Palatino Linotype" w:eastAsia="Palatino Linotype" w:hAnsi="Palatino Linotype" w:cs="Palatino Linotype"/>
        </w:rPr>
        <w:t>la unidad habitacional San José de la Palma, no pertenece a</w:t>
      </w:r>
      <w:r w:rsidR="00C7699D">
        <w:rPr>
          <w:rFonts w:ascii="Palatino Linotype" w:eastAsia="Palatino Linotype" w:hAnsi="Palatino Linotype" w:cs="Palatino Linotype"/>
        </w:rPr>
        <w:t>l</w:t>
      </w:r>
      <w:r w:rsidR="00ED13AA">
        <w:rPr>
          <w:rFonts w:ascii="Palatino Linotype" w:eastAsia="Palatino Linotype" w:hAnsi="Palatino Linotype" w:cs="Palatino Linotype"/>
        </w:rPr>
        <w:t xml:space="preserve"> </w:t>
      </w:r>
      <w:r w:rsidR="00F77528">
        <w:rPr>
          <w:rFonts w:ascii="Palatino Linotype" w:eastAsia="Palatino Linotype" w:hAnsi="Palatino Linotype" w:cs="Palatino Linotype"/>
        </w:rPr>
        <w:t xml:space="preserve">territorio del </w:t>
      </w:r>
      <w:r w:rsidR="00F77528">
        <w:rPr>
          <w:rFonts w:ascii="Palatino Linotype" w:eastAsia="Palatino Linotype" w:hAnsi="Palatino Linotype" w:cs="Palatino Linotype"/>
          <w:b/>
        </w:rPr>
        <w:t xml:space="preserve">Ayuntamiento de Atizapán de Zaragoza, por lo que consecuentemente </w:t>
      </w:r>
      <w:r w:rsidRPr="00ED13AA">
        <w:rPr>
          <w:rFonts w:ascii="Palatino Linotype" w:eastAsia="Palatino Linotype" w:hAnsi="Palatino Linotype" w:cs="Palatino Linotype"/>
          <w:b/>
        </w:rPr>
        <w:t>no es competente para generar o archivar la documentación correspondiente</w:t>
      </w:r>
      <w:r w:rsidR="00ED13AA">
        <w:rPr>
          <w:rFonts w:ascii="Palatino Linotype" w:eastAsia="Palatino Linotype" w:hAnsi="Palatino Linotype" w:cs="Palatino Linotype"/>
        </w:rPr>
        <w:t xml:space="preserve"> </w:t>
      </w:r>
      <w:r w:rsidR="00ED13AA" w:rsidRPr="00ED13AA">
        <w:rPr>
          <w:rFonts w:ascii="Palatino Linotype" w:eastAsia="Palatino Linotype" w:hAnsi="Palatino Linotype" w:cs="Palatino Linotype"/>
          <w:b/>
        </w:rPr>
        <w:t>a</w:t>
      </w:r>
      <w:r w:rsidR="00F77528">
        <w:rPr>
          <w:rFonts w:ascii="Palatino Linotype" w:eastAsia="Palatino Linotype" w:hAnsi="Palatino Linotype" w:cs="Palatino Linotype"/>
          <w:b/>
        </w:rPr>
        <w:t>l n</w:t>
      </w:r>
      <w:r w:rsidR="00F77528" w:rsidRPr="00F77528">
        <w:rPr>
          <w:rFonts w:ascii="Palatino Linotype" w:eastAsia="Palatino Linotype" w:hAnsi="Palatino Linotype" w:cs="Palatino Linotype"/>
          <w:b/>
        </w:rPr>
        <w:t>úmero total, ubicación y copia digitalizada del expediente para cada una de las podas autorizadas desde el 1 de enero de 2015</w:t>
      </w:r>
      <w:r w:rsidR="00F77528">
        <w:rPr>
          <w:rFonts w:ascii="Palatino Linotype" w:eastAsia="Palatino Linotype" w:hAnsi="Palatino Linotype" w:cs="Palatino Linotype"/>
          <w:b/>
        </w:rPr>
        <w:t xml:space="preserve"> y hasta el 10 de julio de 2021, así como del n</w:t>
      </w:r>
      <w:r w:rsidR="00F77528" w:rsidRPr="00F77528">
        <w:rPr>
          <w:rFonts w:ascii="Palatino Linotype" w:eastAsia="Palatino Linotype" w:hAnsi="Palatino Linotype" w:cs="Palatino Linotype"/>
          <w:b/>
        </w:rPr>
        <w:t>úmero total, ubicación, fecha, causa y monto de las sanciones emitidas en material ambiental por el Ayuntamiento por lo dispuesto en el Artículo 2.263, fracción IV del Codigo para la Biodiversidad del Estado de México y 274 fraccion X del Bando Municipal en la U.H San José de la Palma del 1 de enero</w:t>
      </w:r>
      <w:r w:rsidR="00F77528">
        <w:rPr>
          <w:rFonts w:ascii="Palatino Linotype" w:eastAsia="Palatino Linotype" w:hAnsi="Palatino Linotype" w:cs="Palatino Linotype"/>
          <w:b/>
        </w:rPr>
        <w:t xml:space="preserve"> de 2015 al 10 de julio de 2021; </w:t>
      </w:r>
      <w:r>
        <w:rPr>
          <w:rFonts w:ascii="Palatino Linotype" w:eastAsia="Palatino Linotype" w:hAnsi="Palatino Linotype" w:cs="Palatino Linotype"/>
        </w:rPr>
        <w:t>ya que esta es generad</w:t>
      </w:r>
      <w:r w:rsidR="00F77528">
        <w:rPr>
          <w:rFonts w:ascii="Palatino Linotype" w:eastAsia="Palatino Linotype" w:hAnsi="Palatino Linotype" w:cs="Palatino Linotype"/>
        </w:rPr>
        <w:t xml:space="preserve">a por el </w:t>
      </w:r>
      <w:r w:rsidR="00F77528" w:rsidRPr="00B63E6A">
        <w:rPr>
          <w:rFonts w:ascii="Palatino Linotype" w:eastAsia="Palatino Linotype" w:hAnsi="Palatino Linotype" w:cs="Palatino Linotype"/>
          <w:b/>
        </w:rPr>
        <w:t>Ayuntamiento de Ixtapaluca</w:t>
      </w:r>
      <w:r w:rsidR="00995E05">
        <w:rPr>
          <w:rFonts w:ascii="Palatino Linotype" w:eastAsia="Palatino Linotype" w:hAnsi="Palatino Linotype" w:cs="Palatino Linotype"/>
        </w:rPr>
        <w:t xml:space="preserve">; </w:t>
      </w:r>
      <w:r w:rsidR="00995E05" w:rsidRPr="00995E05">
        <w:rPr>
          <w:rFonts w:ascii="Palatino Linotype" w:eastAsia="Palatino Linotype" w:hAnsi="Palatino Linotype" w:cs="Palatino Linotype"/>
        </w:rPr>
        <w:t>en atención a ello se dejan a salvo los derechos del Particular para que; en caso de considerarlo conveniente a sus intereses s</w:t>
      </w:r>
      <w:r w:rsidR="00ED13AA">
        <w:rPr>
          <w:rFonts w:ascii="Palatino Linotype" w:eastAsia="Palatino Linotype" w:hAnsi="Palatino Linotype" w:cs="Palatino Linotype"/>
        </w:rPr>
        <w:t xml:space="preserve">olicite a dicho </w:t>
      </w:r>
      <w:r w:rsidR="00ED13AA" w:rsidRPr="00ED13AA">
        <w:rPr>
          <w:rFonts w:ascii="Palatino Linotype" w:eastAsia="Palatino Linotype" w:hAnsi="Palatino Linotype" w:cs="Palatino Linotype"/>
          <w:b/>
        </w:rPr>
        <w:t>Sujeto Obligado</w:t>
      </w:r>
      <w:r w:rsidR="00ED13AA">
        <w:rPr>
          <w:rFonts w:ascii="Palatino Linotype" w:eastAsia="Palatino Linotype" w:hAnsi="Palatino Linotype" w:cs="Palatino Linotype"/>
        </w:rPr>
        <w:t>, la información que requiera.</w:t>
      </w:r>
    </w:p>
    <w:p w:rsidR="00CC313B" w:rsidRPr="000A5DBF" w:rsidRDefault="00CC313B" w:rsidP="00CC313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tal como se mencionó en los antecedentes, en fecha </w:t>
      </w:r>
      <w:r>
        <w:rPr>
          <w:rFonts w:ascii="Palatino Linotype" w:eastAsia="Palatino Linotype" w:hAnsi="Palatino Linotype" w:cs="Palatino Linotype"/>
          <w:b/>
        </w:rPr>
        <w:t>tres de febrero</w:t>
      </w:r>
      <w:r w:rsidRPr="006F3461">
        <w:rPr>
          <w:rFonts w:ascii="Palatino Linotype" w:eastAsia="Palatino Linotype" w:hAnsi="Palatino Linotype" w:cs="Palatino Linotype"/>
          <w:b/>
        </w:rPr>
        <w:t xml:space="preserve"> de</w:t>
      </w:r>
      <w:r>
        <w:rPr>
          <w:rFonts w:ascii="Palatino Linotype" w:eastAsia="Palatino Linotype" w:hAnsi="Palatino Linotype" w:cs="Palatino Linotype"/>
          <w:b/>
        </w:rPr>
        <w:t>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la respuesta mediante la cual se advierte la notoria incompetencia para atender la solicitud de información, es de precisar que esta situación aconteció al </w:t>
      </w:r>
      <w:r>
        <w:rPr>
          <w:rFonts w:ascii="Palatino Linotype" w:eastAsia="Palatino Linotype" w:hAnsi="Palatino Linotype" w:cs="Palatino Linotype"/>
          <w:b/>
        </w:rPr>
        <w:t>décimo quinto día hábil</w:t>
      </w:r>
      <w:r>
        <w:rPr>
          <w:rFonts w:ascii="Palatino Linotype" w:eastAsia="Palatino Linotype" w:hAnsi="Palatino Linotype" w:cs="Palatino Linotype"/>
        </w:rPr>
        <w:t>, lo cual si bien es cierto, contraviene a lo establecido en el artículo 167 de la Ley de Transparencia y Acceso a la Información Pública del Estado de México y Municipios, el cual refiere que cuando las unidades de transparencia determinen la notoria incompetencia deben realizar lo siguiente:</w:t>
      </w:r>
    </w:p>
    <w:p w:rsidR="00CC313B" w:rsidRDefault="00CC313B" w:rsidP="00AA368F">
      <w:pPr>
        <w:numPr>
          <w:ilvl w:val="0"/>
          <w:numId w:val="4"/>
        </w:numPr>
        <w:spacing w:line="360" w:lineRule="auto"/>
        <w:ind w:right="851"/>
        <w:jc w:val="both"/>
        <w:rPr>
          <w:rFonts w:ascii="Palatino Linotype" w:eastAsia="Palatino Linotype" w:hAnsi="Palatino Linotype" w:cs="Palatino Linotype"/>
        </w:rPr>
      </w:pPr>
      <w:r>
        <w:rPr>
          <w:rFonts w:ascii="Palatino Linotype" w:eastAsia="Palatino Linotype" w:hAnsi="Palatino Linotype" w:cs="Palatino Linotype"/>
        </w:rPr>
        <w:lastRenderedPageBreak/>
        <w:t>Hacerlo del conocimiento del Particular, dentro de los tres días hábiles, posteriores a la presentación de la solicitud de información, y</w:t>
      </w:r>
    </w:p>
    <w:p w:rsidR="00CC313B" w:rsidRDefault="00CC313B" w:rsidP="00AA368F">
      <w:pPr>
        <w:spacing w:line="360" w:lineRule="auto"/>
        <w:ind w:left="720" w:right="851"/>
        <w:jc w:val="both"/>
        <w:rPr>
          <w:rFonts w:ascii="Palatino Linotype" w:eastAsia="Palatino Linotype" w:hAnsi="Palatino Linotype" w:cs="Palatino Linotype"/>
        </w:rPr>
      </w:pPr>
    </w:p>
    <w:p w:rsidR="00CC313B" w:rsidRDefault="00CC313B" w:rsidP="00AA368F">
      <w:pPr>
        <w:numPr>
          <w:ilvl w:val="0"/>
          <w:numId w:val="4"/>
        </w:numPr>
        <w:spacing w:line="360" w:lineRule="auto"/>
        <w:ind w:right="851"/>
        <w:jc w:val="both"/>
        <w:rPr>
          <w:rFonts w:ascii="Palatino Linotype" w:eastAsia="Palatino Linotype" w:hAnsi="Palatino Linotype" w:cs="Palatino Linotype"/>
        </w:rPr>
      </w:pPr>
      <w:r>
        <w:rPr>
          <w:rFonts w:ascii="Palatino Linotype" w:eastAsia="Palatino Linotype" w:hAnsi="Palatino Linotype" w:cs="Palatino Linotype"/>
        </w:rPr>
        <w:t>En caso de conocer el Sujeto Obligado competente, orientarlo a presentar la solicitud ante el mismo.</w:t>
      </w:r>
    </w:p>
    <w:p w:rsidR="00CC313B" w:rsidRDefault="00CC313B" w:rsidP="00CC313B">
      <w:pPr>
        <w:spacing w:line="360" w:lineRule="auto"/>
        <w:jc w:val="both"/>
        <w:rPr>
          <w:rFonts w:ascii="Palatino Linotype" w:eastAsia="Palatino Linotype" w:hAnsi="Palatino Linotype" w:cs="Palatino Linotype"/>
          <w:szCs w:val="22"/>
        </w:rPr>
      </w:pPr>
    </w:p>
    <w:p w:rsidR="00CC313B" w:rsidRPr="006F3461" w:rsidRDefault="00CC313B" w:rsidP="00CC313B">
      <w:pPr>
        <w:spacing w:line="360" w:lineRule="auto"/>
        <w:jc w:val="both"/>
        <w:rPr>
          <w:rFonts w:ascii="Palatino Linotype" w:eastAsia="Palatino Linotype" w:hAnsi="Palatino Linotype" w:cs="Palatino Linotype"/>
          <w:szCs w:val="22"/>
        </w:rPr>
      </w:pPr>
      <w:r w:rsidRPr="006F3461">
        <w:rPr>
          <w:rFonts w:ascii="Palatino Linotype" w:eastAsia="Palatino Linotype" w:hAnsi="Palatino Linotype" w:cs="Palatino Linotype"/>
          <w:szCs w:val="22"/>
        </w:rPr>
        <w:t xml:space="preserve">No menos cierto es que </w:t>
      </w:r>
      <w:r>
        <w:rPr>
          <w:rFonts w:ascii="Palatino Linotype" w:eastAsia="Palatino Linotype" w:hAnsi="Palatino Linotype" w:cs="Palatino Linotype"/>
          <w:szCs w:val="22"/>
        </w:rPr>
        <w:t xml:space="preserve">su pronunciamiento se encuentra dentro del plazo para otorgar respuesta a la solicitud,  previsto en el artículo 163, aunado a que </w:t>
      </w:r>
      <w:r w:rsidRPr="006F3461">
        <w:rPr>
          <w:rFonts w:ascii="Palatino Linotype" w:eastAsia="Palatino Linotype" w:hAnsi="Palatino Linotype" w:cs="Palatino Linotype"/>
          <w:szCs w:val="22"/>
        </w:rPr>
        <w:t xml:space="preserve">del análisis a lo remitido en respuesta por el </w:t>
      </w:r>
      <w:r w:rsidRPr="006F3461">
        <w:rPr>
          <w:rFonts w:ascii="Palatino Linotype" w:eastAsia="Palatino Linotype" w:hAnsi="Palatino Linotype" w:cs="Palatino Linotype"/>
          <w:b/>
          <w:szCs w:val="22"/>
        </w:rPr>
        <w:t>Sujeto Obligado</w:t>
      </w:r>
      <w:r w:rsidRPr="006F3461">
        <w:rPr>
          <w:rFonts w:ascii="Palatino Linotype" w:eastAsia="Palatino Linotype" w:hAnsi="Palatino Linotype" w:cs="Palatino Linotype"/>
          <w:szCs w:val="22"/>
        </w:rPr>
        <w:t>, se advierte que</w:t>
      </w:r>
      <w:r>
        <w:rPr>
          <w:rFonts w:ascii="Palatino Linotype" w:eastAsia="Palatino Linotype" w:hAnsi="Palatino Linotype" w:cs="Palatino Linotype"/>
          <w:szCs w:val="22"/>
        </w:rPr>
        <w:t xml:space="preserve"> es incompetente para dar respuesta a la solicitud de información</w:t>
      </w:r>
      <w:r w:rsidRPr="006F3461">
        <w:rPr>
          <w:rFonts w:ascii="Palatino Linotype" w:eastAsia="Palatino Linotype" w:hAnsi="Palatino Linotype" w:cs="Palatino Linotype"/>
          <w:szCs w:val="22"/>
        </w:rPr>
        <w:t xml:space="preserve">. Por lo que se exhorta al </w:t>
      </w:r>
      <w:r w:rsidRPr="00CC313B">
        <w:rPr>
          <w:rFonts w:ascii="Palatino Linotype" w:eastAsia="Palatino Linotype" w:hAnsi="Palatino Linotype" w:cs="Palatino Linotype"/>
          <w:b/>
          <w:szCs w:val="22"/>
        </w:rPr>
        <w:t>Sujeto Obligado</w:t>
      </w:r>
      <w:r w:rsidRPr="006F3461">
        <w:rPr>
          <w:rFonts w:ascii="Palatino Linotype" w:eastAsia="Palatino Linotype" w:hAnsi="Palatino Linotype" w:cs="Palatino Linotype"/>
          <w:szCs w:val="22"/>
        </w:rPr>
        <w:t xml:space="preserve"> a observar en estricto sentido los plazos establecidos por la legislación aplicable en la materia para </w:t>
      </w:r>
      <w:r>
        <w:rPr>
          <w:rFonts w:ascii="Palatino Linotype" w:eastAsia="Palatino Linotype" w:hAnsi="Palatino Linotype" w:cs="Palatino Linotype"/>
          <w:szCs w:val="22"/>
        </w:rPr>
        <w:t xml:space="preserve">manifestar su incompetencia al momento de </w:t>
      </w:r>
      <w:r w:rsidRPr="006F3461">
        <w:rPr>
          <w:rFonts w:ascii="Palatino Linotype" w:eastAsia="Palatino Linotype" w:hAnsi="Palatino Linotype" w:cs="Palatino Linotype"/>
          <w:szCs w:val="22"/>
        </w:rPr>
        <w:t>dar respuesta a las solicitudes de información que les corresponda atender.</w:t>
      </w:r>
    </w:p>
    <w:p w:rsidR="00CC313B" w:rsidRDefault="00CC313B" w:rsidP="00CC313B">
      <w:pPr>
        <w:spacing w:line="360" w:lineRule="auto"/>
        <w:jc w:val="both"/>
        <w:rPr>
          <w:rFonts w:ascii="Palatino Linotype" w:eastAsia="Palatino Linotype" w:hAnsi="Palatino Linotype" w:cs="Palatino Linotype"/>
        </w:rPr>
      </w:pPr>
    </w:p>
    <w:p w:rsidR="00B63E6A" w:rsidRPr="00B63E6A" w:rsidRDefault="00B63E6A" w:rsidP="00B63E6A">
      <w:pPr>
        <w:spacing w:line="360" w:lineRule="auto"/>
        <w:jc w:val="both"/>
        <w:rPr>
          <w:rFonts w:ascii="Palatino Linotype" w:eastAsia="Palatino Linotype" w:hAnsi="Palatino Linotype" w:cs="Palatino Linotype"/>
          <w:lang w:val="es-MX"/>
        </w:rPr>
      </w:pPr>
      <w:r w:rsidRPr="00B63E6A">
        <w:rPr>
          <w:rFonts w:ascii="Palatino Linotype" w:eastAsia="Palatino Linotype" w:hAnsi="Palatino Linotype" w:cs="Palatino Linotype"/>
          <w:lang w:val="es-MX"/>
        </w:rPr>
        <w:t>Por otra parte, resp</w:t>
      </w:r>
      <w:r>
        <w:rPr>
          <w:rFonts w:ascii="Palatino Linotype" w:eastAsia="Palatino Linotype" w:hAnsi="Palatino Linotype" w:cs="Palatino Linotype"/>
          <w:lang w:val="es-MX"/>
        </w:rPr>
        <w:t xml:space="preserve">ecto al tercer requerimiento, </w:t>
      </w:r>
      <w:r w:rsidRPr="00B63E6A">
        <w:rPr>
          <w:rFonts w:ascii="Palatino Linotype" w:eastAsia="Palatino Linotype" w:hAnsi="Palatino Linotype" w:cs="Palatino Linotype"/>
          <w:b/>
          <w:lang w:val="es-MX"/>
        </w:rPr>
        <w:t>la parte Recurrente</w:t>
      </w:r>
      <w:r w:rsidRPr="00B63E6A">
        <w:rPr>
          <w:rFonts w:ascii="Palatino Linotype" w:eastAsia="Palatino Linotype" w:hAnsi="Palatino Linotype" w:cs="Palatino Linotype"/>
          <w:lang w:val="es-MX"/>
        </w:rPr>
        <w:t xml:space="preserve"> solicitó conocer el número, ubicación y estatus del total de denuncias presentadas en la Dirección o Subdirección de Ecología durante el periodo comprendido del 1 de enero de 2015 al 10 de julio de 2021.</w:t>
      </w:r>
    </w:p>
    <w:p w:rsidR="00B63E6A" w:rsidRPr="00B63E6A" w:rsidRDefault="00B63E6A" w:rsidP="00B63E6A">
      <w:pPr>
        <w:spacing w:line="360" w:lineRule="auto"/>
        <w:jc w:val="both"/>
        <w:rPr>
          <w:rFonts w:ascii="Palatino Linotype" w:eastAsia="Palatino Linotype" w:hAnsi="Palatino Linotype" w:cs="Palatino Linotype"/>
          <w:lang w:val="es-MX"/>
        </w:rPr>
      </w:pPr>
    </w:p>
    <w:p w:rsidR="00B63E6A" w:rsidRPr="00B63E6A" w:rsidRDefault="00B63E6A" w:rsidP="00B63E6A">
      <w:pPr>
        <w:spacing w:line="360" w:lineRule="auto"/>
        <w:jc w:val="both"/>
        <w:rPr>
          <w:rFonts w:ascii="Palatino Linotype" w:eastAsia="Palatino Linotype" w:hAnsi="Palatino Linotype" w:cs="Palatino Linotype"/>
          <w:lang w:val="es-MX"/>
        </w:rPr>
      </w:pPr>
      <w:r w:rsidRPr="00B63E6A">
        <w:rPr>
          <w:rFonts w:ascii="Palatino Linotype" w:eastAsia="Palatino Linotype" w:hAnsi="Palatino Linotype" w:cs="Palatino Linotype"/>
          <w:lang w:val="es-MX"/>
        </w:rPr>
        <w:t xml:space="preserve">En dicho requerimiento no se advierte que se haga referencia a la unidad habitacional señalada en los puntos 1 y 2, por lo que el </w:t>
      </w:r>
      <w:r w:rsidRPr="00B63E6A">
        <w:rPr>
          <w:rFonts w:ascii="Palatino Linotype" w:eastAsia="Palatino Linotype" w:hAnsi="Palatino Linotype" w:cs="Palatino Linotype"/>
          <w:b/>
          <w:lang w:val="es-MX"/>
        </w:rPr>
        <w:t>Sujeto Obligado</w:t>
      </w:r>
      <w:r w:rsidRPr="00B63E6A">
        <w:rPr>
          <w:rFonts w:ascii="Palatino Linotype" w:eastAsia="Palatino Linotype" w:hAnsi="Palatino Linotype" w:cs="Palatino Linotype"/>
          <w:lang w:val="es-MX"/>
        </w:rPr>
        <w:t xml:space="preserve"> estuvo en posibilidad de pronunciarse al respecto, ya bien solicitando una aclaración para que se le especificara si su pretensión está relacionada con la unidad habitacional </w:t>
      </w:r>
      <w:r w:rsidRPr="00B63E6A">
        <w:rPr>
          <w:rFonts w:ascii="Palatino Linotype" w:eastAsia="Palatino Linotype" w:hAnsi="Palatino Linotype" w:cs="Palatino Linotype"/>
          <w:lang w:val="es-MX"/>
        </w:rPr>
        <w:lastRenderedPageBreak/>
        <w:t>mencionada, o si se planteaba respecto a la Dirección o Subdirección de Ecología del Sujeto Obligado.</w:t>
      </w:r>
    </w:p>
    <w:p w:rsidR="00B63E6A" w:rsidRPr="00B63E6A" w:rsidRDefault="00B63E6A" w:rsidP="00B63E6A">
      <w:pPr>
        <w:spacing w:line="360" w:lineRule="auto"/>
        <w:jc w:val="both"/>
        <w:rPr>
          <w:rFonts w:ascii="Palatino Linotype" w:eastAsia="Palatino Linotype" w:hAnsi="Palatino Linotype" w:cs="Palatino Linotype"/>
          <w:lang w:val="es-MX"/>
        </w:rPr>
      </w:pPr>
    </w:p>
    <w:p w:rsidR="00B63E6A" w:rsidRPr="00B63E6A" w:rsidRDefault="00B63E6A" w:rsidP="00B63E6A">
      <w:pPr>
        <w:spacing w:line="360" w:lineRule="auto"/>
        <w:jc w:val="both"/>
        <w:rPr>
          <w:rFonts w:ascii="Palatino Linotype" w:eastAsia="Palatino Linotype" w:hAnsi="Palatino Linotype" w:cs="Palatino Linotype"/>
          <w:lang w:val="es-MX"/>
        </w:rPr>
      </w:pPr>
      <w:r w:rsidRPr="00B63E6A">
        <w:rPr>
          <w:rFonts w:ascii="Palatino Linotype" w:eastAsia="Palatino Linotype" w:hAnsi="Palatino Linotype" w:cs="Palatino Linotype"/>
          <w:lang w:val="es-MX"/>
        </w:rPr>
        <w:t xml:space="preserve">De tal forma que, toda vez que no se observa que el tercer requerimiento esté relacionado con la </w:t>
      </w:r>
      <w:r w:rsidRPr="00B63E6A">
        <w:rPr>
          <w:rFonts w:ascii="Palatino Linotype" w:eastAsia="Palatino Linotype" w:hAnsi="Palatino Linotype" w:cs="Palatino Linotype"/>
          <w:b/>
          <w:lang w:val="es-MX"/>
        </w:rPr>
        <w:t>unidad habitación San José de la Palma</w:t>
      </w:r>
      <w:r w:rsidRPr="00B63E6A">
        <w:rPr>
          <w:rFonts w:ascii="Palatino Linotype" w:eastAsia="Palatino Linotype" w:hAnsi="Palatino Linotype" w:cs="Palatino Linotype"/>
          <w:lang w:val="es-MX"/>
        </w:rPr>
        <w:t xml:space="preserve">, se considera que el </w:t>
      </w:r>
      <w:r w:rsidRPr="00B63E6A">
        <w:rPr>
          <w:rFonts w:ascii="Palatino Linotype" w:eastAsia="Palatino Linotype" w:hAnsi="Palatino Linotype" w:cs="Palatino Linotype"/>
          <w:b/>
          <w:lang w:val="es-MX"/>
        </w:rPr>
        <w:t>Sujeto Obligado</w:t>
      </w:r>
      <w:r w:rsidRPr="00B63E6A">
        <w:rPr>
          <w:rFonts w:ascii="Palatino Linotype" w:eastAsia="Palatino Linotype" w:hAnsi="Palatino Linotype" w:cs="Palatino Linotype"/>
          <w:lang w:val="es-MX"/>
        </w:rPr>
        <w:t xml:space="preserve"> cuenta con atribuciones para atender dicha pretensión.</w:t>
      </w:r>
    </w:p>
    <w:p w:rsidR="00B63E6A" w:rsidRPr="00B63E6A" w:rsidRDefault="00B63E6A" w:rsidP="00B63E6A">
      <w:pPr>
        <w:spacing w:line="360" w:lineRule="auto"/>
        <w:jc w:val="both"/>
        <w:rPr>
          <w:rFonts w:ascii="Palatino Linotype" w:eastAsia="Palatino Linotype" w:hAnsi="Palatino Linotype" w:cs="Palatino Linotype"/>
          <w:lang w:val="es-MX"/>
        </w:rPr>
      </w:pPr>
    </w:p>
    <w:p w:rsidR="00B63E6A" w:rsidRPr="00B63E6A" w:rsidRDefault="00B63E6A" w:rsidP="00B63E6A">
      <w:pPr>
        <w:spacing w:line="360" w:lineRule="auto"/>
        <w:jc w:val="both"/>
        <w:rPr>
          <w:rFonts w:ascii="Palatino Linotype" w:eastAsia="Palatino Linotype" w:hAnsi="Palatino Linotype" w:cs="Palatino Linotype"/>
          <w:lang w:val="es-MX"/>
        </w:rPr>
      </w:pPr>
      <w:r w:rsidRPr="00B63E6A">
        <w:rPr>
          <w:rFonts w:ascii="Palatino Linotype" w:eastAsia="Palatino Linotype" w:hAnsi="Palatino Linotype" w:cs="Palatino Linotype"/>
          <w:lang w:val="es-MX"/>
        </w:rPr>
        <w:t>Lo anterior tiene su fundamento en los artículos 87 fracción VI y 96 Octies, fracciones II y VIII de la Ley Orgánica Municipal, que a la letra establecen lo siguiente:</w:t>
      </w:r>
    </w:p>
    <w:p w:rsidR="00B63E6A" w:rsidRPr="00B63E6A" w:rsidRDefault="00B63E6A" w:rsidP="00B63E6A">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sidRPr="00B63E6A">
        <w:rPr>
          <w:rFonts w:ascii="Palatino Linotype" w:eastAsia="Palatino Linotype" w:hAnsi="Palatino Linotype" w:cs="Palatino Linotype"/>
          <w:b/>
          <w:i/>
          <w:sz w:val="22"/>
          <w:szCs w:val="22"/>
        </w:rPr>
        <w:t>Artículo 87.-</w:t>
      </w:r>
      <w:r w:rsidRPr="00B63E6A">
        <w:rPr>
          <w:rFonts w:ascii="Palatino Linotype" w:eastAsia="Palatino Linotype" w:hAnsi="Palatino Linotype" w:cs="Palatino Linotype"/>
          <w:i/>
          <w:sz w:val="22"/>
          <w:szCs w:val="22"/>
        </w:rPr>
        <w:t xml:space="preserve"> Para el despacho, estudio y planeación de los diversos asuntos de la administración municipal, el ayuntamiento contará por lo menos con las siguientes Dependencias:</w:t>
      </w:r>
    </w:p>
    <w:p w:rsidR="00B63E6A" w:rsidRPr="00B63E6A" w:rsidRDefault="00B63E6A" w:rsidP="00B63E6A">
      <w:pPr>
        <w:spacing w:line="276" w:lineRule="auto"/>
        <w:ind w:left="567" w:right="616"/>
        <w:jc w:val="both"/>
        <w:rPr>
          <w:rFonts w:ascii="Palatino Linotype" w:eastAsia="Palatino Linotype" w:hAnsi="Palatino Linotype" w:cs="Palatino Linotype"/>
          <w:i/>
          <w:sz w:val="22"/>
          <w:szCs w:val="22"/>
          <w:lang w:val="es-MX"/>
        </w:rPr>
      </w:pPr>
      <w:r w:rsidRPr="00B63E6A">
        <w:rPr>
          <w:rFonts w:ascii="Palatino Linotype" w:eastAsia="Palatino Linotype" w:hAnsi="Palatino Linotype" w:cs="Palatino Linotype"/>
          <w:i/>
          <w:sz w:val="22"/>
          <w:szCs w:val="22"/>
          <w:lang w:val="es-MX"/>
        </w:rPr>
        <w:t>(…)</w:t>
      </w:r>
    </w:p>
    <w:p w:rsidR="00B63E6A" w:rsidRPr="00B63E6A" w:rsidRDefault="00B63E6A" w:rsidP="00B63E6A">
      <w:pPr>
        <w:spacing w:line="276" w:lineRule="auto"/>
        <w:ind w:left="567" w:right="616"/>
        <w:jc w:val="both"/>
        <w:rPr>
          <w:rFonts w:ascii="Palatino Linotype" w:eastAsia="Palatino Linotype" w:hAnsi="Palatino Linotype" w:cs="Palatino Linotype"/>
          <w:i/>
          <w:sz w:val="22"/>
          <w:szCs w:val="22"/>
          <w:lang w:val="es-MX"/>
        </w:rPr>
      </w:pPr>
      <w:r w:rsidRPr="00B63E6A">
        <w:rPr>
          <w:rFonts w:ascii="Palatino Linotype" w:eastAsia="Palatino Linotype" w:hAnsi="Palatino Linotype" w:cs="Palatino Linotype"/>
          <w:i/>
          <w:sz w:val="22"/>
          <w:szCs w:val="22"/>
          <w:lang w:val="es-MX"/>
        </w:rPr>
        <w:t>VI. La Dirección de Ecología o equivalente.</w:t>
      </w:r>
    </w:p>
    <w:p w:rsidR="00B63E6A" w:rsidRPr="00B63E6A" w:rsidRDefault="00B63E6A" w:rsidP="00B63E6A">
      <w:pPr>
        <w:spacing w:line="276" w:lineRule="auto"/>
        <w:ind w:left="567" w:right="616"/>
        <w:jc w:val="both"/>
        <w:rPr>
          <w:rFonts w:ascii="Palatino Linotype" w:eastAsia="Palatino Linotype" w:hAnsi="Palatino Linotype" w:cs="Palatino Linotype"/>
          <w:i/>
          <w:sz w:val="22"/>
          <w:szCs w:val="22"/>
          <w:lang w:val="es-MX"/>
        </w:rPr>
      </w:pPr>
      <w:r w:rsidRPr="00B63E6A">
        <w:rPr>
          <w:rFonts w:ascii="Palatino Linotype" w:eastAsia="Palatino Linotype" w:hAnsi="Palatino Linotype" w:cs="Palatino Linotype"/>
          <w:i/>
          <w:sz w:val="22"/>
          <w:szCs w:val="22"/>
          <w:lang w:val="es-MX"/>
        </w:rPr>
        <w:t>(…)</w:t>
      </w:r>
    </w:p>
    <w:p w:rsidR="00B63E6A" w:rsidRPr="00B63E6A" w:rsidRDefault="00B63E6A" w:rsidP="00B63E6A">
      <w:pPr>
        <w:spacing w:line="276" w:lineRule="auto"/>
        <w:ind w:left="567" w:right="616"/>
        <w:jc w:val="both"/>
        <w:rPr>
          <w:rFonts w:ascii="Palatino Linotype" w:eastAsia="Palatino Linotype" w:hAnsi="Palatino Linotype" w:cs="Palatino Linotype"/>
          <w:i/>
          <w:sz w:val="22"/>
          <w:szCs w:val="22"/>
          <w:lang w:val="es-MX"/>
        </w:rPr>
      </w:pPr>
    </w:p>
    <w:p w:rsidR="00B63E6A" w:rsidRPr="00B63E6A" w:rsidRDefault="00B63E6A" w:rsidP="00B63E6A">
      <w:pPr>
        <w:spacing w:line="276" w:lineRule="auto"/>
        <w:ind w:left="567" w:right="616"/>
        <w:jc w:val="both"/>
        <w:rPr>
          <w:rFonts w:ascii="Palatino Linotype" w:eastAsia="Palatino Linotype" w:hAnsi="Palatino Linotype" w:cs="Palatino Linotype"/>
          <w:bCs/>
          <w:i/>
          <w:sz w:val="22"/>
          <w:szCs w:val="22"/>
        </w:rPr>
      </w:pPr>
      <w:r w:rsidRPr="00B63E6A">
        <w:rPr>
          <w:rFonts w:ascii="Palatino Linotype" w:eastAsia="Palatino Linotype" w:hAnsi="Palatino Linotype" w:cs="Palatino Linotype"/>
          <w:b/>
          <w:i/>
          <w:sz w:val="22"/>
          <w:szCs w:val="22"/>
        </w:rPr>
        <w:t xml:space="preserve">Artículo 96. Octies. </w:t>
      </w:r>
      <w:r w:rsidRPr="00B63E6A">
        <w:rPr>
          <w:rFonts w:ascii="Palatino Linotype" w:eastAsia="Palatino Linotype" w:hAnsi="Palatino Linotype" w:cs="Palatino Linotype"/>
          <w:bCs/>
          <w:i/>
          <w:sz w:val="22"/>
          <w:szCs w:val="22"/>
        </w:rPr>
        <w:t>El Director de Ecología o el Titular de la Unidad Administrativa equivalente, tiene las atribuciones siguientes:</w:t>
      </w:r>
    </w:p>
    <w:p w:rsidR="00B63E6A" w:rsidRPr="00B63E6A" w:rsidRDefault="00B63E6A" w:rsidP="00B63E6A">
      <w:pPr>
        <w:spacing w:line="276" w:lineRule="auto"/>
        <w:ind w:left="567" w:right="616"/>
        <w:jc w:val="both"/>
        <w:rPr>
          <w:rFonts w:ascii="Palatino Linotype" w:eastAsia="Palatino Linotype" w:hAnsi="Palatino Linotype" w:cs="Palatino Linotype"/>
          <w:i/>
          <w:sz w:val="22"/>
          <w:szCs w:val="22"/>
          <w:lang w:val="es-MX"/>
        </w:rPr>
      </w:pPr>
      <w:r w:rsidRPr="00B63E6A">
        <w:rPr>
          <w:rFonts w:ascii="Palatino Linotype" w:eastAsia="Palatino Linotype" w:hAnsi="Palatino Linotype" w:cs="Palatino Linotype"/>
          <w:i/>
          <w:sz w:val="22"/>
          <w:szCs w:val="22"/>
          <w:lang w:val="es-MX"/>
        </w:rPr>
        <w:t>(…)</w:t>
      </w:r>
    </w:p>
    <w:p w:rsidR="00B63E6A" w:rsidRPr="00B63E6A" w:rsidRDefault="00B63E6A" w:rsidP="00B63E6A">
      <w:pPr>
        <w:spacing w:line="276" w:lineRule="auto"/>
        <w:ind w:left="567" w:right="616"/>
        <w:jc w:val="both"/>
        <w:rPr>
          <w:rFonts w:ascii="Palatino Linotype" w:eastAsia="Palatino Linotype" w:hAnsi="Palatino Linotype" w:cs="Palatino Linotype"/>
          <w:bCs/>
          <w:i/>
          <w:sz w:val="22"/>
          <w:szCs w:val="22"/>
        </w:rPr>
      </w:pPr>
      <w:r w:rsidRPr="00B63E6A">
        <w:rPr>
          <w:rFonts w:ascii="Palatino Linotype" w:eastAsia="Palatino Linotype" w:hAnsi="Palatino Linotype" w:cs="Palatino Linotype"/>
          <w:b/>
          <w:i/>
          <w:sz w:val="22"/>
          <w:szCs w:val="22"/>
        </w:rPr>
        <w:t xml:space="preserve">II. </w:t>
      </w:r>
      <w:r w:rsidRPr="00B63E6A">
        <w:rPr>
          <w:rFonts w:ascii="Palatino Linotype" w:eastAsia="Palatino Linotype" w:hAnsi="Palatino Linotype" w:cs="Palatino Linotype"/>
          <w:bCs/>
          <w:i/>
          <w:sz w:val="22"/>
          <w:szCs w:val="22"/>
        </w:rPr>
        <w:t>Aplicar y vigilar el cumplimiento de las disposiciones legales en materia de ecología y de protección al ambiente;</w:t>
      </w:r>
    </w:p>
    <w:p w:rsidR="00B63E6A" w:rsidRPr="00B63E6A" w:rsidRDefault="00B63E6A" w:rsidP="00B63E6A">
      <w:pPr>
        <w:spacing w:line="276" w:lineRule="auto"/>
        <w:ind w:left="567" w:right="616"/>
        <w:jc w:val="both"/>
        <w:rPr>
          <w:rFonts w:ascii="Palatino Linotype" w:eastAsia="Palatino Linotype" w:hAnsi="Palatino Linotype" w:cs="Palatino Linotype"/>
          <w:i/>
          <w:sz w:val="22"/>
          <w:szCs w:val="22"/>
          <w:lang w:val="es-MX"/>
        </w:rPr>
      </w:pPr>
      <w:r w:rsidRPr="00B63E6A">
        <w:rPr>
          <w:rFonts w:ascii="Palatino Linotype" w:eastAsia="Palatino Linotype" w:hAnsi="Palatino Linotype" w:cs="Palatino Linotype"/>
          <w:i/>
          <w:sz w:val="22"/>
          <w:szCs w:val="22"/>
          <w:lang w:val="es-MX"/>
        </w:rPr>
        <w:t>(…)</w:t>
      </w:r>
    </w:p>
    <w:p w:rsidR="00B63E6A" w:rsidRPr="00B63E6A" w:rsidRDefault="00B63E6A" w:rsidP="00B63E6A">
      <w:pPr>
        <w:spacing w:line="276" w:lineRule="auto"/>
        <w:ind w:left="567" w:right="616"/>
        <w:jc w:val="both"/>
        <w:rPr>
          <w:rFonts w:ascii="Palatino Linotype" w:eastAsia="Palatino Linotype" w:hAnsi="Palatino Linotype" w:cs="Palatino Linotype"/>
          <w:i/>
          <w:sz w:val="22"/>
          <w:szCs w:val="22"/>
          <w:lang w:val="es-MX"/>
        </w:rPr>
      </w:pPr>
      <w:r w:rsidRPr="00B63E6A">
        <w:rPr>
          <w:rFonts w:ascii="Palatino Linotype" w:eastAsia="Palatino Linotype" w:hAnsi="Palatino Linotype" w:cs="Palatino Linotype"/>
          <w:b/>
          <w:i/>
          <w:sz w:val="22"/>
          <w:szCs w:val="22"/>
        </w:rPr>
        <w:t xml:space="preserve">VIII. </w:t>
      </w:r>
      <w:r w:rsidRPr="00B63E6A">
        <w:rPr>
          <w:rFonts w:ascii="Palatino Linotype" w:eastAsia="Palatino Linotype" w:hAnsi="Palatino Linotype" w:cs="Palatino Linotype"/>
          <w:bCs/>
          <w:i/>
          <w:sz w:val="22"/>
          <w:szCs w:val="22"/>
        </w:rPr>
        <w:t>Las demás que le sean conferidas por el Presidente Municipal o por el Ayuntamiento y las establecidas en las disposiciones jurídicas aplicables.</w:t>
      </w:r>
    </w:p>
    <w:p w:rsidR="00B63E6A" w:rsidRPr="00B63E6A" w:rsidRDefault="00B63E6A" w:rsidP="00B63E6A">
      <w:pPr>
        <w:spacing w:line="276" w:lineRule="auto"/>
        <w:ind w:left="567" w:right="616"/>
        <w:jc w:val="both"/>
        <w:rPr>
          <w:rFonts w:ascii="Palatino Linotype" w:eastAsia="Palatino Linotype" w:hAnsi="Palatino Linotype" w:cs="Palatino Linotype"/>
          <w:i/>
          <w:sz w:val="22"/>
          <w:szCs w:val="22"/>
          <w:lang w:val="es-MX"/>
        </w:rPr>
      </w:pPr>
      <w:r w:rsidRPr="00B63E6A">
        <w:rPr>
          <w:rFonts w:ascii="Palatino Linotype" w:eastAsia="Palatino Linotype" w:hAnsi="Palatino Linotype" w:cs="Palatino Linotype"/>
          <w:i/>
          <w:sz w:val="22"/>
          <w:szCs w:val="22"/>
          <w:lang w:val="es-MX"/>
        </w:rPr>
        <w:t>(…)</w:t>
      </w:r>
      <w:r>
        <w:rPr>
          <w:rFonts w:ascii="Palatino Linotype" w:eastAsia="Palatino Linotype" w:hAnsi="Palatino Linotype" w:cs="Palatino Linotype"/>
          <w:i/>
          <w:sz w:val="22"/>
          <w:szCs w:val="22"/>
          <w:lang w:val="es-MX"/>
        </w:rPr>
        <w:t>”</w:t>
      </w:r>
    </w:p>
    <w:p w:rsidR="00CC313B" w:rsidRDefault="00CC313B" w:rsidP="00CC313B">
      <w:pPr>
        <w:spacing w:line="360" w:lineRule="auto"/>
        <w:jc w:val="both"/>
        <w:rPr>
          <w:rFonts w:ascii="Palatino Linotype" w:eastAsia="Palatino Linotype" w:hAnsi="Palatino Linotype" w:cs="Palatino Linotype"/>
        </w:rPr>
      </w:pPr>
    </w:p>
    <w:p w:rsidR="00ED13AA" w:rsidRDefault="00ED13AA">
      <w:pPr>
        <w:spacing w:line="360" w:lineRule="auto"/>
        <w:jc w:val="both"/>
        <w:rPr>
          <w:rFonts w:ascii="Palatino Linotype" w:eastAsia="Palatino Linotype" w:hAnsi="Palatino Linotype" w:cs="Palatino Linotype"/>
        </w:rPr>
      </w:pPr>
    </w:p>
    <w:p w:rsidR="000921AA" w:rsidRDefault="000921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el artículo 62 del Bando Municipal de Atizapán de Zaragoza, dispone lo siguiente: </w:t>
      </w:r>
    </w:p>
    <w:p w:rsidR="000921AA" w:rsidRPr="000921AA" w:rsidRDefault="000921AA" w:rsidP="000921AA">
      <w:pPr>
        <w:spacing w:before="240" w:after="240" w:line="276" w:lineRule="auto"/>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0921AA">
        <w:rPr>
          <w:rFonts w:ascii="Palatino Linotype" w:eastAsia="Palatino Linotype" w:hAnsi="Palatino Linotype" w:cs="Palatino Linotype"/>
          <w:i/>
          <w:sz w:val="22"/>
        </w:rPr>
        <w:t xml:space="preserve">SECCIÓN DÉCIMA </w:t>
      </w:r>
    </w:p>
    <w:p w:rsidR="000921AA" w:rsidRDefault="000921AA" w:rsidP="000921AA">
      <w:pPr>
        <w:spacing w:before="240" w:after="240" w:line="276" w:lineRule="auto"/>
        <w:ind w:left="567" w:right="851"/>
        <w:jc w:val="both"/>
        <w:rPr>
          <w:rFonts w:ascii="Palatino Linotype" w:eastAsia="Palatino Linotype" w:hAnsi="Palatino Linotype" w:cs="Palatino Linotype"/>
          <w:i/>
          <w:sz w:val="22"/>
        </w:rPr>
      </w:pPr>
      <w:r w:rsidRPr="000921AA">
        <w:rPr>
          <w:rFonts w:ascii="Palatino Linotype" w:eastAsia="Palatino Linotype" w:hAnsi="Palatino Linotype" w:cs="Palatino Linotype"/>
          <w:i/>
          <w:sz w:val="22"/>
        </w:rPr>
        <w:t xml:space="preserve">De la Coordinación Municipal de Protección Civil, Bomberos y Medio Ambiente </w:t>
      </w:r>
    </w:p>
    <w:p w:rsidR="000921AA" w:rsidRPr="000921AA" w:rsidRDefault="000921AA" w:rsidP="000921AA">
      <w:pPr>
        <w:spacing w:before="240" w:after="240" w:line="276" w:lineRule="auto"/>
        <w:ind w:left="567" w:right="851"/>
        <w:jc w:val="both"/>
        <w:rPr>
          <w:rFonts w:ascii="Palatino Linotype" w:eastAsia="Palatino Linotype" w:hAnsi="Palatino Linotype" w:cs="Palatino Linotype"/>
          <w:b/>
          <w:i/>
          <w:sz w:val="22"/>
          <w:u w:val="single"/>
        </w:rPr>
      </w:pPr>
      <w:r w:rsidRPr="000921AA">
        <w:rPr>
          <w:rFonts w:ascii="Palatino Linotype" w:eastAsia="Palatino Linotype" w:hAnsi="Palatino Linotype" w:cs="Palatino Linotype"/>
          <w:i/>
          <w:sz w:val="22"/>
        </w:rPr>
        <w:t xml:space="preserve">ARTÍCULO 62.- </w:t>
      </w:r>
      <w:r w:rsidRPr="000921AA">
        <w:rPr>
          <w:rFonts w:ascii="Palatino Linotype" w:eastAsia="Palatino Linotype" w:hAnsi="Palatino Linotype" w:cs="Palatino Linotype"/>
          <w:b/>
          <w:i/>
          <w:sz w:val="22"/>
          <w:u w:val="single"/>
        </w:rPr>
        <w:t xml:space="preserve">La Coordinación Municipal de Protección Civil, Bomberos y Medio Ambiente; será la responsable </w:t>
      </w:r>
      <w:r w:rsidRPr="000921AA">
        <w:rPr>
          <w:rFonts w:ascii="Palatino Linotype" w:eastAsia="Palatino Linotype" w:hAnsi="Palatino Linotype" w:cs="Palatino Linotype"/>
          <w:i/>
          <w:sz w:val="22"/>
        </w:rPr>
        <w:t>de</w:t>
      </w:r>
      <w:r w:rsidRPr="000921AA">
        <w:rPr>
          <w:rFonts w:ascii="Palatino Linotype" w:eastAsia="Palatino Linotype" w:hAnsi="Palatino Linotype" w:cs="Palatino Linotype"/>
          <w:b/>
          <w:i/>
          <w:sz w:val="22"/>
        </w:rPr>
        <w:t xml:space="preserve"> </w:t>
      </w:r>
      <w:r w:rsidRPr="000921AA">
        <w:rPr>
          <w:rFonts w:ascii="Palatino Linotype" w:eastAsia="Palatino Linotype" w:hAnsi="Palatino Linotype" w:cs="Palatino Linotype"/>
          <w:i/>
          <w:sz w:val="22"/>
        </w:rPr>
        <w:t xml:space="preserve">establecer las bases del Sistema Municipal 50 de Protección Civil y coordinar las acciones encaminadas a la protección de la vida e integridad física de las personas, a través de la capacitación y organización de la sociedad, para evitar y reducir los daños por accidentes, siniestros, desastres y catástrofes, así como fomentar la cultura de autoprotección, prevención y solidaridad en las tareas de auxilio entre la población y proteger la infraestructura urbana básica y </w:t>
      </w:r>
      <w:r w:rsidRPr="000921AA">
        <w:rPr>
          <w:rFonts w:ascii="Palatino Linotype" w:eastAsia="Palatino Linotype" w:hAnsi="Palatino Linotype" w:cs="Palatino Linotype"/>
          <w:b/>
          <w:i/>
          <w:sz w:val="22"/>
          <w:u w:val="single"/>
        </w:rPr>
        <w:t xml:space="preserve">de la formulación, ejecución y evaluación de los asuntos municipales en materia de conservación ecológica, protección al medio ambiente y cambio climático. </w:t>
      </w:r>
    </w:p>
    <w:p w:rsidR="000921AA" w:rsidRPr="000921AA" w:rsidRDefault="000921AA" w:rsidP="000921AA">
      <w:pPr>
        <w:spacing w:before="240" w:after="240" w:line="276" w:lineRule="auto"/>
        <w:ind w:left="567" w:right="851"/>
        <w:jc w:val="both"/>
        <w:rPr>
          <w:rFonts w:ascii="Palatino Linotype" w:eastAsia="Palatino Linotype" w:hAnsi="Palatino Linotype" w:cs="Palatino Linotype"/>
          <w:i/>
          <w:sz w:val="22"/>
        </w:rPr>
      </w:pPr>
      <w:r w:rsidRPr="000921AA">
        <w:rPr>
          <w:rFonts w:ascii="Palatino Linotype" w:eastAsia="Palatino Linotype" w:hAnsi="Palatino Linotype" w:cs="Palatino Linotype"/>
          <w:i/>
          <w:sz w:val="22"/>
        </w:rPr>
        <w:t xml:space="preserve">Ante la eventualidad de fenómenos naturales o antropogénicos la Coordinación Municipal de Protección Civil, Bomberos y Medio Ambiente; asumirá el mando general para dirigir e implementar acciones para la atención y la comunicación con autoridades de los tres niveles de gobierno. En coordinación con las áreas de la Administración Municipal acordará la instalación y operación de refugios temporales para atender a la población que resultara afectada en caso de emergencia mayor y/o desastre, emitirá las medidas necesarias para el restablecimiento a la normalidad de la población afectada, y en el ámbito de sus facultades podrá iniciar los procedimientos administrativos y aplicar las medidas de seguridad y sanciones establecidas en las diferentes disposiciones legales. </w:t>
      </w:r>
    </w:p>
    <w:p w:rsidR="000921AA" w:rsidRDefault="000921AA" w:rsidP="000921AA">
      <w:pPr>
        <w:spacing w:before="240" w:after="240" w:line="276" w:lineRule="auto"/>
        <w:ind w:left="567" w:right="851"/>
        <w:jc w:val="both"/>
        <w:rPr>
          <w:rFonts w:ascii="Palatino Linotype" w:eastAsia="Palatino Linotype" w:hAnsi="Palatino Linotype" w:cs="Palatino Linotype"/>
          <w:i/>
          <w:sz w:val="22"/>
        </w:rPr>
      </w:pPr>
      <w:r w:rsidRPr="000921AA">
        <w:rPr>
          <w:rFonts w:ascii="Palatino Linotype" w:eastAsia="Palatino Linotype" w:hAnsi="Palatino Linotype" w:cs="Palatino Linotype"/>
          <w:b/>
          <w:i/>
          <w:sz w:val="22"/>
          <w:u w:val="single"/>
        </w:rPr>
        <w:t>En el ámbito de su competencia coadyuvará en la planeación ordenada y responsable del crecimiento urbano, la administración del uso adecuado del suelo en la jurisdicción territorial y la observación de la normativa ambiental y en materia de protección ambiental vigente</w:t>
      </w:r>
      <w:r w:rsidRPr="000921AA">
        <w:rPr>
          <w:rFonts w:ascii="Palatino Linotype" w:eastAsia="Palatino Linotype" w:hAnsi="Palatino Linotype" w:cs="Palatino Linotype"/>
          <w:i/>
          <w:sz w:val="22"/>
        </w:rPr>
        <w:t>.</w:t>
      </w:r>
      <w:r>
        <w:rPr>
          <w:rFonts w:ascii="Palatino Linotype" w:eastAsia="Palatino Linotype" w:hAnsi="Palatino Linotype" w:cs="Palatino Linotype"/>
          <w:i/>
          <w:sz w:val="22"/>
        </w:rPr>
        <w:t>”</w:t>
      </w:r>
    </w:p>
    <w:p w:rsidR="000921AA" w:rsidRDefault="000921AA" w:rsidP="000921AA">
      <w:pPr>
        <w:spacing w:before="240" w:after="240" w:line="276" w:lineRule="auto"/>
        <w:ind w:left="567" w:right="851"/>
        <w:jc w:val="both"/>
        <w:rPr>
          <w:rFonts w:ascii="Palatino Linotype" w:eastAsia="Palatino Linotype" w:hAnsi="Palatino Linotype" w:cs="Palatino Linotype"/>
          <w:i/>
          <w:sz w:val="22"/>
        </w:rPr>
      </w:pPr>
      <w:r w:rsidRPr="000921AA">
        <w:rPr>
          <w:rFonts w:ascii="Palatino Linotype" w:eastAsia="Palatino Linotype" w:hAnsi="Palatino Linotype" w:cs="Palatino Linotype"/>
          <w:i/>
          <w:sz w:val="22"/>
        </w:rPr>
        <w:lastRenderedPageBreak/>
        <w:t>(Énfasis añadido)</w:t>
      </w:r>
    </w:p>
    <w:p w:rsidR="000921AA" w:rsidRDefault="000921AA" w:rsidP="000921AA">
      <w:pPr>
        <w:spacing w:before="240" w:after="240" w:line="360" w:lineRule="auto"/>
        <w:jc w:val="both"/>
        <w:rPr>
          <w:rFonts w:ascii="Palatino Linotype" w:eastAsia="Palatino Linotype" w:hAnsi="Palatino Linotype" w:cs="Palatino Linotype"/>
        </w:rPr>
      </w:pPr>
      <w:r w:rsidRPr="000921AA">
        <w:rPr>
          <w:rFonts w:ascii="Palatino Linotype" w:eastAsia="Palatino Linotype" w:hAnsi="Palatino Linotype" w:cs="Palatino Linotype"/>
        </w:rPr>
        <w:t>En armonía con lo citado anteriormente, resulta importante traer a colación el siguiente precepto legal localizado en el Reglamento Orgánico de la Administración Pública Municipal de Atizapán de Zaragoz</w:t>
      </w:r>
      <w:r>
        <w:rPr>
          <w:rFonts w:ascii="Palatino Linotype" w:eastAsia="Palatino Linotype" w:hAnsi="Palatino Linotype" w:cs="Palatino Linotype"/>
        </w:rPr>
        <w:t>a, Estado d</w:t>
      </w:r>
      <w:r w:rsidRPr="000921AA">
        <w:rPr>
          <w:rFonts w:ascii="Palatino Linotype" w:eastAsia="Palatino Linotype" w:hAnsi="Palatino Linotype" w:cs="Palatino Linotype"/>
        </w:rPr>
        <w:t>e México.</w:t>
      </w:r>
    </w:p>
    <w:p w:rsidR="000921AA" w:rsidRDefault="00EC4493" w:rsidP="00EC4493">
      <w:pPr>
        <w:spacing w:before="240" w:after="240" w:line="276" w:lineRule="auto"/>
        <w:ind w:left="567"/>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000921AA" w:rsidRPr="000921AA">
        <w:rPr>
          <w:rFonts w:ascii="Palatino Linotype" w:eastAsia="Palatino Linotype" w:hAnsi="Palatino Linotype" w:cs="Palatino Linotype"/>
          <w:i/>
          <w:sz w:val="22"/>
        </w:rPr>
        <w:t xml:space="preserve">ARTÍCULO 85.- La Coordinación de Gestión Integral de Riesgos, Protección Civil, Bomberos y Medio Ambiente tendrá las siguientes atribuciones: </w:t>
      </w:r>
    </w:p>
    <w:p w:rsidR="000921AA" w:rsidRDefault="000921AA" w:rsidP="00EC4493">
      <w:pPr>
        <w:spacing w:before="240" w:after="240" w:line="276" w:lineRule="auto"/>
        <w:ind w:left="567"/>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0921AA" w:rsidRPr="000921AA" w:rsidRDefault="000921AA" w:rsidP="00EC4493">
      <w:pPr>
        <w:spacing w:before="240" w:after="240" w:line="276" w:lineRule="auto"/>
        <w:ind w:left="567"/>
        <w:jc w:val="both"/>
        <w:rPr>
          <w:rFonts w:ascii="Palatino Linotype" w:eastAsia="Palatino Linotype" w:hAnsi="Palatino Linotype" w:cs="Palatino Linotype"/>
          <w:b/>
          <w:i/>
          <w:sz w:val="22"/>
        </w:rPr>
      </w:pPr>
      <w:r w:rsidRPr="000921AA">
        <w:rPr>
          <w:rFonts w:ascii="Palatino Linotype" w:eastAsia="Palatino Linotype" w:hAnsi="Palatino Linotype" w:cs="Palatino Linotype"/>
          <w:b/>
          <w:i/>
          <w:sz w:val="22"/>
        </w:rPr>
        <w:t xml:space="preserve">XVI. Imponer las sanciones correspondientes y las medidas de seguridad necesarias previa garantía de audiencia, en términos de lo dispuesto en las disposiciones legales aplicables; </w:t>
      </w:r>
    </w:p>
    <w:p w:rsidR="000921AA" w:rsidRPr="000921AA" w:rsidRDefault="000921AA" w:rsidP="00EC4493">
      <w:pPr>
        <w:spacing w:before="240" w:after="240" w:line="276" w:lineRule="auto"/>
        <w:ind w:left="567"/>
        <w:jc w:val="both"/>
        <w:rPr>
          <w:rFonts w:ascii="Palatino Linotype" w:eastAsia="Palatino Linotype" w:hAnsi="Palatino Linotype" w:cs="Palatino Linotype"/>
          <w:b/>
          <w:i/>
          <w:sz w:val="22"/>
        </w:rPr>
      </w:pPr>
      <w:r w:rsidRPr="000921AA">
        <w:rPr>
          <w:rFonts w:ascii="Palatino Linotype" w:eastAsia="Palatino Linotype" w:hAnsi="Palatino Linotype" w:cs="Palatino Linotype"/>
          <w:b/>
          <w:i/>
          <w:sz w:val="22"/>
        </w:rPr>
        <w:t xml:space="preserve">XVII. Proponer las acciones tendientes a Preservar, conservar y restaurar el medio ambiente en concordancia con las Leyes y Reglamentos Federales y Estatales en la materia; </w:t>
      </w:r>
    </w:p>
    <w:p w:rsidR="000921AA" w:rsidRPr="000921AA" w:rsidRDefault="000921AA" w:rsidP="00EC4493">
      <w:pPr>
        <w:spacing w:before="240" w:after="240" w:line="276" w:lineRule="auto"/>
        <w:ind w:left="567"/>
        <w:jc w:val="both"/>
        <w:rPr>
          <w:rFonts w:ascii="Palatino Linotype" w:eastAsia="Palatino Linotype" w:hAnsi="Palatino Linotype" w:cs="Palatino Linotype"/>
          <w:b/>
          <w:i/>
          <w:sz w:val="22"/>
        </w:rPr>
      </w:pPr>
      <w:r w:rsidRPr="000921AA">
        <w:rPr>
          <w:rFonts w:ascii="Palatino Linotype" w:eastAsia="Palatino Linotype" w:hAnsi="Palatino Linotype" w:cs="Palatino Linotype"/>
          <w:b/>
          <w:i/>
          <w:sz w:val="22"/>
        </w:rPr>
        <w:t xml:space="preserve">XVIII. Diseñar, formular y aplicar las políticas forestales del Municipio dentro del ámbito de su competencia; </w:t>
      </w:r>
    </w:p>
    <w:p w:rsidR="000921AA" w:rsidRDefault="000921AA" w:rsidP="00EC4493">
      <w:pPr>
        <w:spacing w:before="240" w:after="240" w:line="276" w:lineRule="auto"/>
        <w:ind w:left="567"/>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0921AA" w:rsidRDefault="000921AA" w:rsidP="00EC4493">
      <w:pPr>
        <w:spacing w:before="240" w:after="240" w:line="276" w:lineRule="auto"/>
        <w:ind w:left="567"/>
        <w:jc w:val="both"/>
        <w:rPr>
          <w:rFonts w:ascii="Palatino Linotype" w:eastAsia="Palatino Linotype" w:hAnsi="Palatino Linotype" w:cs="Palatino Linotype"/>
          <w:i/>
          <w:sz w:val="22"/>
        </w:rPr>
      </w:pPr>
      <w:r w:rsidRPr="000921AA">
        <w:rPr>
          <w:rFonts w:ascii="Palatino Linotype" w:eastAsia="Palatino Linotype" w:hAnsi="Palatino Linotype" w:cs="Palatino Linotype"/>
          <w:i/>
          <w:sz w:val="22"/>
        </w:rPr>
        <w:t xml:space="preserve">ARTÍCULO 86.- El titular de la Coordinación Municipal de Protección Civil, Bomberos y Medio Ambiente para el cumplimiento de sus atribuciones tendrá las siguientes facultades: </w:t>
      </w:r>
    </w:p>
    <w:p w:rsidR="00EC4493" w:rsidRDefault="00EC4493" w:rsidP="00EC4493">
      <w:pPr>
        <w:spacing w:before="240" w:after="240" w:line="276" w:lineRule="auto"/>
        <w:ind w:left="567"/>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EC4493" w:rsidRPr="00EC4493" w:rsidRDefault="000921AA" w:rsidP="00EC4493">
      <w:pPr>
        <w:spacing w:before="240" w:after="240" w:line="276" w:lineRule="auto"/>
        <w:ind w:left="567"/>
        <w:jc w:val="both"/>
        <w:rPr>
          <w:rFonts w:ascii="Palatino Linotype" w:eastAsia="Palatino Linotype" w:hAnsi="Palatino Linotype" w:cs="Palatino Linotype"/>
          <w:b/>
          <w:i/>
          <w:sz w:val="22"/>
        </w:rPr>
      </w:pPr>
      <w:r w:rsidRPr="00EC4493">
        <w:rPr>
          <w:rFonts w:ascii="Palatino Linotype" w:eastAsia="Palatino Linotype" w:hAnsi="Palatino Linotype" w:cs="Palatino Linotype"/>
          <w:b/>
          <w:i/>
          <w:sz w:val="22"/>
        </w:rPr>
        <w:t xml:space="preserve">XIV. Formular, conducir y evaluar la política ambiental municipal, en congruencia con la formulada por la Federación y el Estado; </w:t>
      </w:r>
    </w:p>
    <w:p w:rsidR="00EC4493" w:rsidRPr="00EC4493" w:rsidRDefault="000921AA" w:rsidP="00EC4493">
      <w:pPr>
        <w:spacing w:before="240" w:after="240" w:line="276" w:lineRule="auto"/>
        <w:ind w:left="567" w:right="851"/>
        <w:jc w:val="both"/>
        <w:rPr>
          <w:rFonts w:ascii="Palatino Linotype" w:eastAsia="Palatino Linotype" w:hAnsi="Palatino Linotype" w:cs="Palatino Linotype"/>
          <w:b/>
          <w:i/>
          <w:sz w:val="22"/>
        </w:rPr>
      </w:pPr>
      <w:r w:rsidRPr="00EC4493">
        <w:rPr>
          <w:rFonts w:ascii="Palatino Linotype" w:eastAsia="Palatino Linotype" w:hAnsi="Palatino Linotype" w:cs="Palatino Linotype"/>
          <w:b/>
          <w:i/>
          <w:sz w:val="22"/>
        </w:rPr>
        <w:t xml:space="preserve">XV. Aplicar los instrumentos de política ambiental previstos en la legislación de la materia. </w:t>
      </w:r>
    </w:p>
    <w:p w:rsidR="00EC4493" w:rsidRDefault="000921AA" w:rsidP="00EC4493">
      <w:pPr>
        <w:spacing w:before="240" w:after="240" w:line="276" w:lineRule="auto"/>
        <w:ind w:left="567" w:right="851"/>
        <w:jc w:val="both"/>
        <w:rPr>
          <w:rFonts w:ascii="Palatino Linotype" w:eastAsia="Palatino Linotype" w:hAnsi="Palatino Linotype" w:cs="Palatino Linotype"/>
          <w:b/>
          <w:i/>
          <w:sz w:val="22"/>
        </w:rPr>
      </w:pPr>
      <w:r w:rsidRPr="00EC4493">
        <w:rPr>
          <w:rFonts w:ascii="Palatino Linotype" w:eastAsia="Palatino Linotype" w:hAnsi="Palatino Linotype" w:cs="Palatino Linotype"/>
          <w:b/>
          <w:i/>
          <w:sz w:val="22"/>
        </w:rPr>
        <w:lastRenderedPageBreak/>
        <w:t xml:space="preserve">Preservar y restaurar el equilibrio ecológico, así como la protección al ambiente en bienes y zonas de jurisdicción municipal en las materias que no estén expresamente atribuidas a la Federación o al Estado; </w:t>
      </w:r>
    </w:p>
    <w:p w:rsidR="00EC4493" w:rsidRPr="00EC4493" w:rsidRDefault="00EC4493" w:rsidP="00EC4493">
      <w:pPr>
        <w:spacing w:before="240" w:after="240" w:line="276" w:lineRule="auto"/>
        <w:ind w:left="567"/>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w:t>
      </w:r>
    </w:p>
    <w:p w:rsidR="00EC4493" w:rsidRPr="00EC4493" w:rsidRDefault="000921AA" w:rsidP="00EC4493">
      <w:pPr>
        <w:spacing w:before="240" w:after="240" w:line="276" w:lineRule="auto"/>
        <w:ind w:left="567" w:right="851"/>
        <w:jc w:val="both"/>
        <w:rPr>
          <w:rFonts w:ascii="Palatino Linotype" w:eastAsia="Palatino Linotype" w:hAnsi="Palatino Linotype" w:cs="Palatino Linotype"/>
          <w:b/>
          <w:i/>
          <w:sz w:val="22"/>
        </w:rPr>
      </w:pPr>
      <w:r w:rsidRPr="00EC4493">
        <w:rPr>
          <w:rFonts w:ascii="Palatino Linotype" w:eastAsia="Palatino Linotype" w:hAnsi="Palatino Linotype" w:cs="Palatino Linotype"/>
          <w:b/>
          <w:i/>
          <w:sz w:val="22"/>
        </w:rPr>
        <w:t xml:space="preserve">XVII. Promover el establecimiento de estímulos a la población que desarrolle actividades protección y restauración ambiental, procurando que quienes dañen al ambiente o hagan uso indebido de los recursos naturales o alteren los ecosistemas, sean sancionados conforme a derecho; </w:t>
      </w:r>
    </w:p>
    <w:p w:rsidR="00EC4493" w:rsidRPr="00EC4493" w:rsidRDefault="00EC4493" w:rsidP="00EC4493">
      <w:pPr>
        <w:spacing w:before="240" w:after="240" w:line="276" w:lineRule="auto"/>
        <w:ind w:left="567" w:right="851"/>
        <w:jc w:val="both"/>
        <w:rPr>
          <w:rFonts w:ascii="Palatino Linotype" w:eastAsia="Palatino Linotype" w:hAnsi="Palatino Linotype" w:cs="Palatino Linotype"/>
          <w:b/>
          <w:i/>
          <w:sz w:val="22"/>
        </w:rPr>
      </w:pPr>
      <w:r w:rsidRPr="00EC4493">
        <w:rPr>
          <w:rFonts w:ascii="Palatino Linotype" w:eastAsia="Palatino Linotype" w:hAnsi="Palatino Linotype" w:cs="Palatino Linotype"/>
          <w:b/>
          <w:i/>
          <w:sz w:val="22"/>
        </w:rPr>
        <w:t>…</w:t>
      </w:r>
    </w:p>
    <w:p w:rsidR="00EC4493" w:rsidRPr="00EC4493" w:rsidRDefault="000921AA" w:rsidP="00EC4493">
      <w:pPr>
        <w:spacing w:before="240" w:after="240" w:line="276" w:lineRule="auto"/>
        <w:ind w:left="567" w:right="851"/>
        <w:jc w:val="both"/>
        <w:rPr>
          <w:rFonts w:ascii="Palatino Linotype" w:eastAsia="Palatino Linotype" w:hAnsi="Palatino Linotype" w:cs="Palatino Linotype"/>
          <w:b/>
          <w:i/>
          <w:sz w:val="22"/>
        </w:rPr>
      </w:pPr>
      <w:r w:rsidRPr="00EC4493">
        <w:rPr>
          <w:rFonts w:ascii="Palatino Linotype" w:eastAsia="Palatino Linotype" w:hAnsi="Palatino Linotype" w:cs="Palatino Linotype"/>
          <w:b/>
          <w:i/>
          <w:sz w:val="22"/>
        </w:rPr>
        <w:t xml:space="preserve">XX. Ordenar las visitas domiciliarias de inspección ambiental que considere pertinentes, a todas aquellas fuentes fijas de contaminación; así como supervisas en forma directa el ejercicio de sus actividades a efecto de comprobar el cumplimiento veraz de las disposiciones en la materia y de ser necesario aplicar las sanciones que la legislación establece para el caso de incumplimiento; </w:t>
      </w:r>
    </w:p>
    <w:p w:rsidR="00EC4493" w:rsidRPr="00EC4493" w:rsidRDefault="00EC4493" w:rsidP="00EC4493">
      <w:pPr>
        <w:spacing w:before="240" w:after="240" w:line="276" w:lineRule="auto"/>
        <w:ind w:left="567" w:right="851"/>
        <w:jc w:val="both"/>
        <w:rPr>
          <w:rFonts w:ascii="Palatino Linotype" w:eastAsia="Palatino Linotype" w:hAnsi="Palatino Linotype" w:cs="Palatino Linotype"/>
          <w:b/>
          <w:i/>
          <w:sz w:val="22"/>
        </w:rPr>
      </w:pPr>
      <w:r w:rsidRPr="00EC4493">
        <w:rPr>
          <w:rFonts w:ascii="Palatino Linotype" w:eastAsia="Palatino Linotype" w:hAnsi="Palatino Linotype" w:cs="Palatino Linotype"/>
          <w:b/>
          <w:i/>
          <w:sz w:val="22"/>
        </w:rPr>
        <w:t>…</w:t>
      </w:r>
    </w:p>
    <w:p w:rsidR="00EC4493" w:rsidRPr="00EC4493" w:rsidRDefault="000921AA" w:rsidP="00EC4493">
      <w:pPr>
        <w:spacing w:before="240" w:after="240" w:line="276" w:lineRule="auto"/>
        <w:ind w:left="567" w:right="851"/>
        <w:jc w:val="both"/>
        <w:rPr>
          <w:rFonts w:ascii="Palatino Linotype" w:eastAsia="Palatino Linotype" w:hAnsi="Palatino Linotype" w:cs="Palatino Linotype"/>
          <w:b/>
          <w:i/>
          <w:sz w:val="22"/>
        </w:rPr>
      </w:pPr>
      <w:r w:rsidRPr="00EC4493">
        <w:rPr>
          <w:rFonts w:ascii="Palatino Linotype" w:eastAsia="Palatino Linotype" w:hAnsi="Palatino Linotype" w:cs="Palatino Linotype"/>
          <w:b/>
          <w:i/>
          <w:sz w:val="22"/>
        </w:rPr>
        <w:t xml:space="preserve">XXV. Imponer debidamente fundada y motivada, en el ámbito de su competencia y previa garantía de audiencia, las sanciones correspondientes por infracciones a las disposiciones legales aplicables; </w:t>
      </w:r>
    </w:p>
    <w:p w:rsidR="00EC4493" w:rsidRDefault="000921AA" w:rsidP="00EC4493">
      <w:pPr>
        <w:spacing w:before="240" w:after="240" w:line="276" w:lineRule="auto"/>
        <w:ind w:left="567" w:right="851"/>
        <w:jc w:val="both"/>
        <w:rPr>
          <w:rFonts w:ascii="Palatino Linotype" w:eastAsia="Palatino Linotype" w:hAnsi="Palatino Linotype" w:cs="Palatino Linotype"/>
          <w:i/>
          <w:sz w:val="22"/>
        </w:rPr>
      </w:pPr>
      <w:r w:rsidRPr="000921AA">
        <w:rPr>
          <w:rFonts w:ascii="Palatino Linotype" w:eastAsia="Palatino Linotype" w:hAnsi="Palatino Linotype" w:cs="Palatino Linotype"/>
          <w:i/>
          <w:sz w:val="22"/>
        </w:rPr>
        <w:t xml:space="preserve">ARTÍCULO 87.- Para el estudio planeación y despacho de los asuntos de su competencia la Coordinación Municipal de Protección Civil, Bomberos y Medio Ambiente se integrará de la siguiente manera: I. Coordinación Municipal de Protección Civil, Bomberos y Medio Ambiente. </w:t>
      </w:r>
    </w:p>
    <w:p w:rsidR="00EC4493" w:rsidRDefault="00EC4493" w:rsidP="00EC4493">
      <w:pPr>
        <w:spacing w:before="240" w:after="240" w:line="276" w:lineRule="auto"/>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EC4493" w:rsidRPr="00051DB5" w:rsidRDefault="000921AA" w:rsidP="00EC4493">
      <w:pPr>
        <w:spacing w:before="240" w:after="240" w:line="276" w:lineRule="auto"/>
        <w:ind w:left="567" w:right="851"/>
        <w:jc w:val="both"/>
        <w:rPr>
          <w:rFonts w:ascii="Palatino Linotype" w:eastAsia="Palatino Linotype" w:hAnsi="Palatino Linotype" w:cs="Palatino Linotype"/>
          <w:b/>
          <w:i/>
          <w:sz w:val="22"/>
        </w:rPr>
      </w:pPr>
      <w:r w:rsidRPr="00051DB5">
        <w:rPr>
          <w:rFonts w:ascii="Palatino Linotype" w:eastAsia="Palatino Linotype" w:hAnsi="Palatino Linotype" w:cs="Palatino Linotype"/>
          <w:b/>
          <w:i/>
          <w:sz w:val="22"/>
        </w:rPr>
        <w:t xml:space="preserve">IV. Subdirección de Medio Ambiente </w:t>
      </w:r>
    </w:p>
    <w:p w:rsidR="00EC4493" w:rsidRDefault="000921AA" w:rsidP="00EC4493">
      <w:pPr>
        <w:spacing w:before="240" w:after="240" w:line="276" w:lineRule="auto"/>
        <w:ind w:left="567" w:right="851"/>
        <w:jc w:val="both"/>
        <w:rPr>
          <w:rFonts w:ascii="Palatino Linotype" w:eastAsia="Palatino Linotype" w:hAnsi="Palatino Linotype" w:cs="Palatino Linotype"/>
          <w:i/>
          <w:sz w:val="22"/>
        </w:rPr>
      </w:pPr>
      <w:r w:rsidRPr="000921AA">
        <w:rPr>
          <w:rFonts w:ascii="Palatino Linotype" w:eastAsia="Palatino Linotype" w:hAnsi="Palatino Linotype" w:cs="Palatino Linotype"/>
          <w:i/>
          <w:sz w:val="22"/>
        </w:rPr>
        <w:t xml:space="preserve">IV.I. Departamento de Educación Ambiental </w:t>
      </w:r>
    </w:p>
    <w:p w:rsidR="00EC4493" w:rsidRDefault="000921AA" w:rsidP="00EC4493">
      <w:pPr>
        <w:spacing w:before="240" w:after="240" w:line="276" w:lineRule="auto"/>
        <w:ind w:left="567" w:right="851"/>
        <w:jc w:val="both"/>
        <w:rPr>
          <w:rFonts w:ascii="Palatino Linotype" w:eastAsia="Palatino Linotype" w:hAnsi="Palatino Linotype" w:cs="Palatino Linotype"/>
          <w:i/>
          <w:sz w:val="22"/>
        </w:rPr>
      </w:pPr>
      <w:r w:rsidRPr="000921AA">
        <w:rPr>
          <w:rFonts w:ascii="Palatino Linotype" w:eastAsia="Palatino Linotype" w:hAnsi="Palatino Linotype" w:cs="Palatino Linotype"/>
          <w:i/>
          <w:sz w:val="22"/>
        </w:rPr>
        <w:lastRenderedPageBreak/>
        <w:t xml:space="preserve">IV.II. Departamento de Normatividad Ambiental </w:t>
      </w:r>
    </w:p>
    <w:p w:rsidR="00EC4493" w:rsidRDefault="000921AA" w:rsidP="00EC4493">
      <w:pPr>
        <w:spacing w:before="240" w:after="240" w:line="276" w:lineRule="auto"/>
        <w:ind w:left="567" w:right="851"/>
        <w:jc w:val="both"/>
        <w:rPr>
          <w:rFonts w:ascii="Palatino Linotype" w:eastAsia="Palatino Linotype" w:hAnsi="Palatino Linotype" w:cs="Palatino Linotype"/>
          <w:i/>
          <w:sz w:val="22"/>
        </w:rPr>
      </w:pPr>
      <w:r w:rsidRPr="000921AA">
        <w:rPr>
          <w:rFonts w:ascii="Palatino Linotype" w:eastAsia="Palatino Linotype" w:hAnsi="Palatino Linotype" w:cs="Palatino Linotype"/>
          <w:i/>
          <w:sz w:val="22"/>
        </w:rPr>
        <w:t xml:space="preserve">IV.III. Departamento de Vivero Municipal </w:t>
      </w:r>
    </w:p>
    <w:p w:rsidR="000921AA" w:rsidRDefault="000921AA" w:rsidP="00EC4493">
      <w:pPr>
        <w:spacing w:before="240" w:after="240" w:line="276" w:lineRule="auto"/>
        <w:ind w:left="567" w:right="851"/>
        <w:jc w:val="both"/>
        <w:rPr>
          <w:rFonts w:ascii="Palatino Linotype" w:eastAsia="Palatino Linotype" w:hAnsi="Palatino Linotype" w:cs="Palatino Linotype"/>
          <w:i/>
          <w:sz w:val="22"/>
        </w:rPr>
      </w:pPr>
      <w:r w:rsidRPr="000921AA">
        <w:rPr>
          <w:rFonts w:ascii="Palatino Linotype" w:eastAsia="Palatino Linotype" w:hAnsi="Palatino Linotype" w:cs="Palatino Linotype"/>
          <w:i/>
          <w:sz w:val="22"/>
        </w:rPr>
        <w:t>IV.IV. Departamento de Protección Animal</w:t>
      </w:r>
      <w:r w:rsidR="00EC4493">
        <w:rPr>
          <w:rFonts w:ascii="Palatino Linotype" w:eastAsia="Palatino Linotype" w:hAnsi="Palatino Linotype" w:cs="Palatino Linotype"/>
          <w:i/>
          <w:sz w:val="22"/>
        </w:rPr>
        <w:t xml:space="preserve">” </w:t>
      </w:r>
    </w:p>
    <w:p w:rsidR="00EC4493" w:rsidRPr="000921AA" w:rsidRDefault="00EC4493" w:rsidP="00EC4493">
      <w:pPr>
        <w:spacing w:before="240" w:after="240" w:line="276" w:lineRule="auto"/>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(Énfasis añadido)</w:t>
      </w:r>
    </w:p>
    <w:p w:rsidR="00EC4493" w:rsidRDefault="00AA368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robustecer este punto, resulta pertinente invocar el contenido del Manual de Organización y de Procedimientos de esta Coordinación, en análisis, obteniendo que le corresponden las siguientes atribuciones a la </w:t>
      </w:r>
      <w:r w:rsidRPr="00AA368F">
        <w:rPr>
          <w:rFonts w:ascii="Palatino Linotype" w:eastAsia="Palatino Linotype" w:hAnsi="Palatino Linotype" w:cs="Palatino Linotype"/>
          <w:b/>
        </w:rPr>
        <w:t>Subdirección de Medio Ambiente</w:t>
      </w:r>
      <w:r>
        <w:rPr>
          <w:rFonts w:ascii="Palatino Linotype" w:eastAsia="Palatino Linotype" w:hAnsi="Palatino Linotype" w:cs="Palatino Linotype"/>
          <w:b/>
        </w:rPr>
        <w:t xml:space="preserve">, la cual a su vez se subdivide para una mejor atención de los asuntos en materia ambiental, </w:t>
      </w:r>
      <w:r w:rsidRPr="00AA368F">
        <w:rPr>
          <w:rFonts w:ascii="Palatino Linotype" w:eastAsia="Palatino Linotype" w:hAnsi="Palatino Linotype" w:cs="Palatino Linotype"/>
        </w:rPr>
        <w:t>resultando de interés de nuestro análisis, las atribuciones del</w:t>
      </w:r>
      <w:r>
        <w:rPr>
          <w:rFonts w:ascii="Palatino Linotype" w:eastAsia="Palatino Linotype" w:hAnsi="Palatino Linotype" w:cs="Palatino Linotype"/>
          <w:b/>
        </w:rPr>
        <w:t xml:space="preserve"> Departamento de Protección Animal y el Departamento de Normatividad Ambiental, </w:t>
      </w:r>
      <w:r w:rsidRPr="00AA368F">
        <w:rPr>
          <w:rFonts w:ascii="Palatino Linotype" w:eastAsia="Palatino Linotype" w:hAnsi="Palatino Linotype" w:cs="Palatino Linotype"/>
        </w:rPr>
        <w:t>mismas que se insertan a continuación</w:t>
      </w:r>
      <w:r>
        <w:rPr>
          <w:rFonts w:ascii="Palatino Linotype" w:eastAsia="Palatino Linotype" w:hAnsi="Palatino Linotype" w:cs="Palatino Linotype"/>
        </w:rPr>
        <w:t xml:space="preserve"> para mejor proveer: </w:t>
      </w:r>
    </w:p>
    <w:p w:rsidR="00AA368F" w:rsidRDefault="00AA368F" w:rsidP="00AA368F">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177142" cy="641032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9527" cy="6438042"/>
                    </a:xfrm>
                    <a:prstGeom prst="rect">
                      <a:avLst/>
                    </a:prstGeom>
                    <a:noFill/>
                    <a:ln>
                      <a:noFill/>
                    </a:ln>
                  </pic:spPr>
                </pic:pic>
              </a:graphicData>
            </a:graphic>
          </wp:inline>
        </w:drawing>
      </w:r>
    </w:p>
    <w:p w:rsidR="00AA368F" w:rsidRDefault="00AA368F" w:rsidP="00AA368F">
      <w:pPr>
        <w:spacing w:before="240" w:after="240" w:line="360" w:lineRule="auto"/>
        <w:jc w:val="center"/>
        <w:rPr>
          <w:rFonts w:ascii="Palatino Linotype" w:eastAsia="Palatino Linotype" w:hAnsi="Palatino Linotype" w:cs="Palatino Linotype"/>
        </w:rPr>
      </w:pPr>
    </w:p>
    <w:p w:rsidR="00AA368F" w:rsidRDefault="00AA368F" w:rsidP="00AA368F">
      <w:pPr>
        <w:spacing w:before="240" w:after="240" w:line="360" w:lineRule="auto"/>
        <w:jc w:val="center"/>
        <w:rPr>
          <w:rFonts w:ascii="Palatino Linotype" w:eastAsia="Palatino Linotype" w:hAnsi="Palatino Linotype" w:cs="Palatino Linotype"/>
        </w:rPr>
      </w:pPr>
    </w:p>
    <w:p w:rsidR="00AA368F" w:rsidRDefault="00AA368F" w:rsidP="00AA368F">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3360" behindDoc="0" locked="0" layoutInCell="1" allowOverlap="1">
                <wp:simplePos x="0" y="0"/>
                <wp:positionH relativeFrom="column">
                  <wp:posOffset>796290</wp:posOffset>
                </wp:positionH>
                <wp:positionV relativeFrom="paragraph">
                  <wp:posOffset>1433830</wp:posOffset>
                </wp:positionV>
                <wp:extent cx="3028950" cy="190500"/>
                <wp:effectExtent l="57150" t="38100" r="76200" b="95250"/>
                <wp:wrapNone/>
                <wp:docPr id="23" name="Rectángulo 23"/>
                <wp:cNvGraphicFramePr/>
                <a:graphic xmlns:a="http://schemas.openxmlformats.org/drawingml/2006/main">
                  <a:graphicData uri="http://schemas.microsoft.com/office/word/2010/wordprocessingShape">
                    <wps:wsp>
                      <wps:cNvSpPr/>
                      <wps:spPr>
                        <a:xfrm>
                          <a:off x="0" y="0"/>
                          <a:ext cx="3028950" cy="1905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1A66E" id="Rectángulo 23" o:spid="_x0000_s1026" style="position:absolute;margin-left:62.7pt;margin-top:112.9pt;width:238.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rPr>
        <w:drawing>
          <wp:inline distT="0" distB="0" distL="0" distR="0">
            <wp:extent cx="4411592" cy="3990975"/>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2296" cy="3991612"/>
                    </a:xfrm>
                    <a:prstGeom prst="rect">
                      <a:avLst/>
                    </a:prstGeom>
                    <a:noFill/>
                    <a:ln>
                      <a:noFill/>
                    </a:ln>
                  </pic:spPr>
                </pic:pic>
              </a:graphicData>
            </a:graphic>
          </wp:inline>
        </w:drawing>
      </w:r>
    </w:p>
    <w:p w:rsidR="00AA368F" w:rsidRDefault="005B54BC" w:rsidP="00AA368F">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simplePos x="0" y="0"/>
                <wp:positionH relativeFrom="column">
                  <wp:posOffset>929640</wp:posOffset>
                </wp:positionH>
                <wp:positionV relativeFrom="paragraph">
                  <wp:posOffset>2417445</wp:posOffset>
                </wp:positionV>
                <wp:extent cx="3886200" cy="495300"/>
                <wp:effectExtent l="57150" t="38100" r="76200" b="95250"/>
                <wp:wrapNone/>
                <wp:docPr id="25" name="Rectángulo 25"/>
                <wp:cNvGraphicFramePr/>
                <a:graphic xmlns:a="http://schemas.openxmlformats.org/drawingml/2006/main">
                  <a:graphicData uri="http://schemas.microsoft.com/office/word/2010/wordprocessingShape">
                    <wps:wsp>
                      <wps:cNvSpPr/>
                      <wps:spPr>
                        <a:xfrm>
                          <a:off x="0" y="0"/>
                          <a:ext cx="3886200" cy="4953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3CAAF4" id="Rectángulo 25" o:spid="_x0000_s1026" style="position:absolute;margin-left:73.2pt;margin-top:190.35pt;width:306pt;height:3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" filled="f" strokecolor="#002060" strokeweight="2.25pt">
                <v:shadow on="t" color="black" opacity="22937f" origin=",.5" offset="0,.63889mm"/>
              </v:rect>
            </w:pict>
          </mc:Fallback>
        </mc:AlternateContent>
      </w:r>
      <w:r w:rsidR="00AA368F">
        <w:rPr>
          <w:rFonts w:ascii="Palatino Linotype" w:eastAsia="Palatino Linotype" w:hAnsi="Palatino Linotype" w:cs="Palatino Linotype"/>
          <w:noProof/>
          <w:lang w:val="es-MX"/>
        </w:rPr>
        <w:drawing>
          <wp:inline distT="0" distB="0" distL="0" distR="0">
            <wp:extent cx="4210050" cy="30575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3057525"/>
                    </a:xfrm>
                    <a:prstGeom prst="rect">
                      <a:avLst/>
                    </a:prstGeom>
                    <a:noFill/>
                    <a:ln>
                      <a:noFill/>
                    </a:ln>
                  </pic:spPr>
                </pic:pic>
              </a:graphicData>
            </a:graphic>
          </wp:inline>
        </w:drawing>
      </w:r>
    </w:p>
    <w:p w:rsidR="005C282B" w:rsidRPr="005C282B" w:rsidRDefault="005C282B" w:rsidP="005C282B">
      <w:pPr>
        <w:spacing w:line="360" w:lineRule="auto"/>
        <w:jc w:val="both"/>
        <w:rPr>
          <w:rFonts w:ascii="Palatino Linotype" w:eastAsia="Palatino Linotype" w:hAnsi="Palatino Linotype" w:cs="Palatino Linotype"/>
          <w:lang w:val="es-MX"/>
        </w:rPr>
      </w:pPr>
      <w:r>
        <w:rPr>
          <w:rFonts w:ascii="Palatino Linotype" w:eastAsia="Palatino Linotype" w:hAnsi="Palatino Linotype" w:cs="Palatino Linotype"/>
          <w:lang w:val="es-MX"/>
        </w:rPr>
        <w:lastRenderedPageBreak/>
        <w:t>Como puede observarse, la</w:t>
      </w:r>
      <w:r w:rsidRPr="005C282B">
        <w:rPr>
          <w:rFonts w:ascii="Palatino Linotype" w:eastAsia="Palatino Linotype" w:hAnsi="Palatino Linotype" w:cs="Palatino Linotype"/>
          <w:lang w:val="es-MX"/>
        </w:rPr>
        <w:t xml:space="preserve"> Coordinación Municipal de Protección Civil, Bomberos y Medio Ambiente del </w:t>
      </w:r>
      <w:r w:rsidRPr="005C282B">
        <w:rPr>
          <w:rFonts w:ascii="Palatino Linotype" w:eastAsia="Palatino Linotype" w:hAnsi="Palatino Linotype" w:cs="Palatino Linotype"/>
          <w:b/>
          <w:lang w:val="es-MX"/>
        </w:rPr>
        <w:t>Sujeto Obligado</w:t>
      </w:r>
      <w:r w:rsidRPr="005C282B">
        <w:rPr>
          <w:rFonts w:ascii="Palatino Linotype" w:eastAsia="Palatino Linotype" w:hAnsi="Palatino Linotype" w:cs="Palatino Linotype"/>
          <w:lang w:val="es-MX"/>
        </w:rPr>
        <w:t xml:space="preserve"> cuenta con atribuciones para</w:t>
      </w:r>
      <w:r>
        <w:rPr>
          <w:rFonts w:ascii="Palatino Linotype" w:eastAsia="Palatino Linotype" w:hAnsi="Palatino Linotype" w:cs="Palatino Linotype"/>
          <w:lang w:val="es-MX"/>
        </w:rPr>
        <w:t xml:space="preserve"> gestionar las denuncias ciudadanas, ya sea en materia ambiental o por maltrato animal</w:t>
      </w:r>
      <w:r w:rsidRPr="005C282B">
        <w:rPr>
          <w:rFonts w:ascii="Palatino Linotype" w:eastAsia="Palatino Linotype" w:hAnsi="Palatino Linotype" w:cs="Palatino Linotype"/>
          <w:lang w:val="es-MX"/>
        </w:rPr>
        <w:t>, así como de vigilar y sancionar diversas acciones o actividades violatorias a lo dispuesto en el Bando y otros cuerpos normativos; por lo que se colige que cuenta con las facultades para conocer respect</w:t>
      </w:r>
      <w:r>
        <w:rPr>
          <w:rFonts w:ascii="Palatino Linotype" w:eastAsia="Palatino Linotype" w:hAnsi="Palatino Linotype" w:cs="Palatino Linotype"/>
          <w:lang w:val="es-MX"/>
        </w:rPr>
        <w:t>o de las denuncias presentadas ante esta autoridad</w:t>
      </w:r>
      <w:r w:rsidRPr="005C282B">
        <w:rPr>
          <w:rFonts w:ascii="Palatino Linotype" w:eastAsia="Palatino Linotype" w:hAnsi="Palatino Linotype" w:cs="Palatino Linotype"/>
          <w:lang w:val="es-MX"/>
        </w:rPr>
        <w:t xml:space="preserve"> y el estado que guardan las mismas.</w:t>
      </w:r>
    </w:p>
    <w:p w:rsidR="005C282B" w:rsidRPr="005C282B" w:rsidRDefault="005C282B" w:rsidP="005C282B">
      <w:pPr>
        <w:spacing w:line="360" w:lineRule="auto"/>
        <w:jc w:val="both"/>
        <w:rPr>
          <w:rFonts w:ascii="Palatino Linotype" w:eastAsia="Palatino Linotype" w:hAnsi="Palatino Linotype" w:cs="Palatino Linotype"/>
          <w:lang w:val="es-MX"/>
        </w:rPr>
      </w:pPr>
    </w:p>
    <w:p w:rsidR="005C282B" w:rsidRPr="005C282B" w:rsidRDefault="005C282B" w:rsidP="005C282B">
      <w:pPr>
        <w:spacing w:line="360" w:lineRule="auto"/>
        <w:jc w:val="both"/>
        <w:rPr>
          <w:rFonts w:ascii="Palatino Linotype" w:eastAsia="Palatino Linotype" w:hAnsi="Palatino Linotype" w:cs="Palatino Linotype"/>
          <w:lang w:val="es-MX"/>
        </w:rPr>
      </w:pPr>
      <w:r w:rsidRPr="005C282B">
        <w:rPr>
          <w:rFonts w:ascii="Palatino Linotype" w:eastAsia="Palatino Linotype" w:hAnsi="Palatino Linotype" w:cs="Palatino Linotype"/>
          <w:lang w:val="es-MX"/>
        </w:rPr>
        <w:t>En esa tesitura, se debe traer a colación lo dispuesto en los artículos 18 y 19 de la Ley de Transparencia estatal, en los que se estipula lo siguiente:</w:t>
      </w:r>
    </w:p>
    <w:p w:rsidR="005C282B" w:rsidRPr="005C282B" w:rsidRDefault="005C282B" w:rsidP="005C282B">
      <w:pPr>
        <w:spacing w:line="360" w:lineRule="auto"/>
        <w:jc w:val="both"/>
        <w:rPr>
          <w:rFonts w:ascii="Palatino Linotype" w:eastAsia="Palatino Linotype" w:hAnsi="Palatino Linotype" w:cs="Palatino Linotype"/>
          <w:b/>
          <w:bCs/>
          <w:lang w:val="es-MX"/>
        </w:rPr>
      </w:pPr>
    </w:p>
    <w:p w:rsidR="005C282B" w:rsidRPr="005C282B" w:rsidRDefault="005C282B" w:rsidP="005C282B">
      <w:pPr>
        <w:ind w:left="567" w:right="616"/>
        <w:jc w:val="both"/>
        <w:rPr>
          <w:rFonts w:ascii="Palatino Linotype" w:eastAsia="Palatino Linotype" w:hAnsi="Palatino Linotype" w:cs="Palatino Linotype"/>
          <w:i/>
          <w:sz w:val="22"/>
          <w:szCs w:val="22"/>
          <w:lang w:val="es-MX"/>
        </w:rPr>
      </w:pPr>
      <w:r>
        <w:rPr>
          <w:rFonts w:ascii="Palatino Linotype" w:eastAsia="Palatino Linotype" w:hAnsi="Palatino Linotype" w:cs="Palatino Linotype"/>
          <w:b/>
          <w:bCs/>
          <w:i/>
          <w:sz w:val="22"/>
          <w:szCs w:val="22"/>
          <w:lang w:val="es-MX"/>
        </w:rPr>
        <w:t>“</w:t>
      </w:r>
      <w:r w:rsidRPr="005C282B">
        <w:rPr>
          <w:rFonts w:ascii="Palatino Linotype" w:eastAsia="Palatino Linotype" w:hAnsi="Palatino Linotype" w:cs="Palatino Linotype"/>
          <w:b/>
          <w:bCs/>
          <w:i/>
          <w:sz w:val="22"/>
          <w:szCs w:val="22"/>
          <w:lang w:val="es-MX"/>
        </w:rPr>
        <w:t xml:space="preserve">Artículo 18. </w:t>
      </w:r>
      <w:r w:rsidRPr="005C282B">
        <w:rPr>
          <w:rFonts w:ascii="Palatino Linotype" w:eastAsia="Palatino Linotype" w:hAnsi="Palatino Linotype" w:cs="Palatino Linotype"/>
          <w:i/>
          <w:sz w:val="22"/>
          <w:szCs w:val="22"/>
          <w:lang w:val="es-MX"/>
        </w:rPr>
        <w:t>Los sujetos obligados deberán documentar todo acto que derive del ejercicio de sus facultades, competencias o funciones, considerando desde su origen la eventual publicidad y reutilización de la información que generen.</w:t>
      </w:r>
    </w:p>
    <w:p w:rsidR="005C282B" w:rsidRPr="005C282B" w:rsidRDefault="005C282B" w:rsidP="005C282B">
      <w:pPr>
        <w:ind w:left="567" w:right="616"/>
        <w:jc w:val="both"/>
        <w:rPr>
          <w:rFonts w:ascii="Palatino Linotype" w:eastAsia="Palatino Linotype" w:hAnsi="Palatino Linotype" w:cs="Palatino Linotype"/>
          <w:b/>
          <w:bCs/>
          <w:i/>
          <w:sz w:val="22"/>
          <w:szCs w:val="22"/>
          <w:lang w:val="es-MX"/>
        </w:rPr>
      </w:pPr>
    </w:p>
    <w:p w:rsidR="005C282B" w:rsidRPr="005C282B" w:rsidRDefault="005C282B" w:rsidP="005C282B">
      <w:pPr>
        <w:ind w:left="567" w:right="616"/>
        <w:jc w:val="both"/>
        <w:rPr>
          <w:rFonts w:ascii="Palatino Linotype" w:eastAsia="Palatino Linotype" w:hAnsi="Palatino Linotype" w:cs="Palatino Linotype"/>
          <w:i/>
          <w:sz w:val="22"/>
          <w:szCs w:val="22"/>
          <w:lang w:val="es-MX"/>
        </w:rPr>
      </w:pPr>
      <w:r w:rsidRPr="005C282B">
        <w:rPr>
          <w:rFonts w:ascii="Palatino Linotype" w:eastAsia="Palatino Linotype" w:hAnsi="Palatino Linotype" w:cs="Palatino Linotype"/>
          <w:b/>
          <w:bCs/>
          <w:i/>
          <w:sz w:val="22"/>
          <w:szCs w:val="22"/>
          <w:lang w:val="es-MX"/>
        </w:rPr>
        <w:t xml:space="preserve">Artículo 19. </w:t>
      </w:r>
      <w:r w:rsidRPr="005C282B">
        <w:rPr>
          <w:rFonts w:ascii="Palatino Linotype" w:eastAsia="Palatino Linotype" w:hAnsi="Palatino Linotype" w:cs="Palatino Linotype"/>
          <w:i/>
          <w:sz w:val="22"/>
          <w:szCs w:val="22"/>
          <w:lang w:val="es-MX"/>
        </w:rPr>
        <w:t>Se presume que la información debe existir si se refiere a las facultades, competencias y funciones que los ordenamientos jurídicos aplicables otorgan a los sujetos obligados.</w:t>
      </w:r>
    </w:p>
    <w:p w:rsidR="005C282B" w:rsidRPr="005C282B" w:rsidRDefault="005C282B" w:rsidP="005C282B">
      <w:pPr>
        <w:ind w:left="567" w:right="616"/>
        <w:jc w:val="both"/>
        <w:rPr>
          <w:rFonts w:ascii="Palatino Linotype" w:eastAsia="Palatino Linotype" w:hAnsi="Palatino Linotype" w:cs="Palatino Linotype"/>
          <w:i/>
          <w:sz w:val="22"/>
          <w:szCs w:val="22"/>
          <w:lang w:val="es-MX"/>
        </w:rPr>
      </w:pPr>
    </w:p>
    <w:p w:rsidR="005C282B" w:rsidRPr="005C282B" w:rsidRDefault="005C282B" w:rsidP="005C282B">
      <w:pPr>
        <w:ind w:left="567" w:right="616"/>
        <w:jc w:val="both"/>
        <w:rPr>
          <w:rFonts w:ascii="Palatino Linotype" w:eastAsia="Palatino Linotype" w:hAnsi="Palatino Linotype" w:cs="Palatino Linotype"/>
          <w:i/>
          <w:sz w:val="22"/>
          <w:szCs w:val="22"/>
          <w:lang w:val="es-MX"/>
        </w:rPr>
      </w:pPr>
      <w:r w:rsidRPr="005C282B">
        <w:rPr>
          <w:rFonts w:ascii="Palatino Linotype" w:eastAsia="Palatino Linotype" w:hAnsi="Palatino Linotype" w:cs="Palatino Linotype"/>
          <w:i/>
          <w:sz w:val="22"/>
          <w:szCs w:val="22"/>
          <w:lang w:val="es-MX"/>
        </w:rPr>
        <w:t>En los casos en que ciertas facultades, competencias o funciones no se hayan ejercido, se debe motivar la respuesta en función de las causas que motiven tal circunstancia.</w:t>
      </w:r>
    </w:p>
    <w:p w:rsidR="005C282B" w:rsidRPr="005C282B" w:rsidRDefault="005C282B" w:rsidP="005C282B">
      <w:pPr>
        <w:ind w:left="567" w:right="616"/>
        <w:jc w:val="both"/>
        <w:rPr>
          <w:rFonts w:ascii="Palatino Linotype" w:eastAsia="Palatino Linotype" w:hAnsi="Palatino Linotype" w:cs="Palatino Linotype"/>
          <w:i/>
          <w:sz w:val="22"/>
          <w:szCs w:val="22"/>
          <w:lang w:val="es-MX"/>
        </w:rPr>
      </w:pPr>
    </w:p>
    <w:p w:rsidR="005C282B" w:rsidRPr="005C282B" w:rsidRDefault="005C282B" w:rsidP="005C282B">
      <w:pPr>
        <w:ind w:left="567" w:right="616"/>
        <w:jc w:val="both"/>
        <w:rPr>
          <w:rFonts w:ascii="Palatino Linotype" w:eastAsia="Palatino Linotype" w:hAnsi="Palatino Linotype" w:cs="Palatino Linotype"/>
          <w:i/>
          <w:sz w:val="22"/>
          <w:szCs w:val="22"/>
          <w:lang w:val="es-MX"/>
        </w:rPr>
      </w:pPr>
      <w:r w:rsidRPr="005C282B">
        <w:rPr>
          <w:rFonts w:ascii="Palatino Linotype" w:eastAsia="Palatino Linotype" w:hAnsi="Palatino Linotype" w:cs="Palatino Linotype"/>
          <w:i/>
          <w:sz w:val="22"/>
          <w:szCs w:val="22"/>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Pr>
          <w:rFonts w:ascii="Palatino Linotype" w:eastAsia="Palatino Linotype" w:hAnsi="Palatino Linotype" w:cs="Palatino Linotype"/>
          <w:i/>
          <w:sz w:val="22"/>
          <w:szCs w:val="22"/>
          <w:lang w:val="es-MX"/>
        </w:rPr>
        <w:t>”</w:t>
      </w:r>
    </w:p>
    <w:p w:rsidR="005C282B" w:rsidRPr="005C282B" w:rsidRDefault="005C282B" w:rsidP="005C282B">
      <w:pPr>
        <w:spacing w:line="360" w:lineRule="auto"/>
        <w:jc w:val="both"/>
        <w:rPr>
          <w:rFonts w:ascii="Palatino Linotype" w:eastAsia="Palatino Linotype" w:hAnsi="Palatino Linotype" w:cs="Palatino Linotype"/>
          <w:b/>
          <w:bCs/>
          <w:lang w:val="es-MX"/>
        </w:rPr>
      </w:pPr>
    </w:p>
    <w:p w:rsidR="005C282B" w:rsidRPr="005C282B" w:rsidRDefault="005C282B" w:rsidP="005C282B">
      <w:pPr>
        <w:spacing w:line="360" w:lineRule="auto"/>
        <w:jc w:val="both"/>
        <w:rPr>
          <w:rFonts w:ascii="Palatino Linotype" w:eastAsia="Palatino Linotype" w:hAnsi="Palatino Linotype" w:cs="Palatino Linotype"/>
          <w:lang w:val="es-MX"/>
        </w:rPr>
      </w:pPr>
      <w:r w:rsidRPr="005C282B">
        <w:rPr>
          <w:rFonts w:ascii="Palatino Linotype" w:eastAsia="Palatino Linotype" w:hAnsi="Palatino Linotype" w:cs="Palatino Linotype"/>
          <w:lang w:val="es-MX"/>
        </w:rPr>
        <w:t xml:space="preserve">Conforme a los artículos en cita, todos los sujetos obligados están constreñidos a documentar todos los actos que deriven del ejercicio de sus facultades, </w:t>
      </w:r>
      <w:r w:rsidRPr="005C282B">
        <w:rPr>
          <w:rFonts w:ascii="Palatino Linotype" w:eastAsia="Palatino Linotype" w:hAnsi="Palatino Linotype" w:cs="Palatino Linotype"/>
          <w:lang w:val="es-MX"/>
        </w:rPr>
        <w:lastRenderedPageBreak/>
        <w:t>competencias y funciones; además de que, si la normatividad les confiere facultades, se presume que la información debe existir.</w:t>
      </w:r>
    </w:p>
    <w:p w:rsidR="005C282B" w:rsidRPr="005C282B" w:rsidRDefault="005C282B" w:rsidP="005C282B">
      <w:pPr>
        <w:spacing w:line="360" w:lineRule="auto"/>
        <w:jc w:val="both"/>
        <w:rPr>
          <w:rFonts w:ascii="Palatino Linotype" w:eastAsia="Palatino Linotype" w:hAnsi="Palatino Linotype" w:cs="Palatino Linotype"/>
          <w:lang w:val="es-MX"/>
        </w:rPr>
      </w:pPr>
    </w:p>
    <w:p w:rsidR="005C282B" w:rsidRPr="005C282B" w:rsidRDefault="005C282B" w:rsidP="005C282B">
      <w:pPr>
        <w:spacing w:line="360" w:lineRule="auto"/>
        <w:jc w:val="both"/>
        <w:rPr>
          <w:rFonts w:ascii="Palatino Linotype" w:eastAsia="Palatino Linotype" w:hAnsi="Palatino Linotype" w:cs="Palatino Linotype"/>
          <w:lang w:val="es-MX"/>
        </w:rPr>
      </w:pPr>
      <w:r w:rsidRPr="005C282B">
        <w:rPr>
          <w:rFonts w:ascii="Palatino Linotype" w:eastAsia="Palatino Linotype" w:hAnsi="Palatino Linotype" w:cs="Palatino Linotype"/>
          <w:lang w:val="es-MX"/>
        </w:rPr>
        <w:t xml:space="preserve">En consecuencia, toda vez que el </w:t>
      </w:r>
      <w:r w:rsidRPr="005C282B">
        <w:rPr>
          <w:rFonts w:ascii="Palatino Linotype" w:eastAsia="Palatino Linotype" w:hAnsi="Palatino Linotype" w:cs="Palatino Linotype"/>
          <w:b/>
          <w:lang w:val="es-MX"/>
        </w:rPr>
        <w:t>Sujeto Obligado</w:t>
      </w:r>
      <w:r w:rsidRPr="005C282B">
        <w:rPr>
          <w:rFonts w:ascii="Palatino Linotype" w:eastAsia="Palatino Linotype" w:hAnsi="Palatino Linotype" w:cs="Palatino Linotype"/>
          <w:lang w:val="es-MX"/>
        </w:rPr>
        <w:t xml:space="preserve"> cuenta con las atribuciones necesarias para conocer de las denuncias y sanciones a actividades </w:t>
      </w:r>
      <w:r>
        <w:rPr>
          <w:rFonts w:ascii="Palatino Linotype" w:eastAsia="Palatino Linotype" w:hAnsi="Palatino Linotype" w:cs="Palatino Linotype"/>
          <w:lang w:val="es-MX"/>
        </w:rPr>
        <w:t>violatorias en la materia</w:t>
      </w:r>
      <w:r w:rsidRPr="005C282B">
        <w:rPr>
          <w:rFonts w:ascii="Palatino Linotype" w:eastAsia="Palatino Linotype" w:hAnsi="Palatino Linotype" w:cs="Palatino Linotype"/>
          <w:lang w:val="es-MX"/>
        </w:rPr>
        <w:t>, se colige que la autoridad debió haber generado documentos en donde consten todos los actos derivados del ejercicio de sus funciones de derecho público.</w:t>
      </w:r>
    </w:p>
    <w:p w:rsidR="00385577" w:rsidRDefault="005C282B" w:rsidP="005C282B">
      <w:pPr>
        <w:spacing w:before="240" w:after="240" w:line="360" w:lineRule="auto"/>
        <w:jc w:val="both"/>
        <w:rPr>
          <w:rFonts w:ascii="Palatino Linotype" w:eastAsia="Palatino Linotype" w:hAnsi="Palatino Linotype" w:cs="Palatino Linotype"/>
          <w:lang w:val="es-MX"/>
        </w:rPr>
      </w:pPr>
      <w:r w:rsidRPr="005C282B">
        <w:rPr>
          <w:rFonts w:ascii="Palatino Linotype" w:eastAsia="Palatino Linotype" w:hAnsi="Palatino Linotype" w:cs="Palatino Linotype"/>
          <w:lang w:val="es-MX"/>
        </w:rPr>
        <w:t xml:space="preserve">Por último, no pasa desapercibido a este Instituto que </w:t>
      </w:r>
      <w:r w:rsidRPr="00F74FED">
        <w:rPr>
          <w:rFonts w:ascii="Palatino Linotype" w:eastAsia="Palatino Linotype" w:hAnsi="Palatino Linotype" w:cs="Palatino Linotype"/>
          <w:b/>
          <w:lang w:val="es-MX"/>
        </w:rPr>
        <w:t>el Recurrente no solicitó las denuncias presentadas, sino que requirió el número, ubicación y estado que guardan las denuncias generadas durante el periodo del primero de enero de dos mil quince al diez de julio de dos mil veintiuno</w:t>
      </w:r>
      <w:r w:rsidR="00385577" w:rsidRPr="00385577">
        <w:rPr>
          <w:rFonts w:ascii="Palatino Linotype" w:eastAsia="Palatino Linotype" w:hAnsi="Palatino Linotype" w:cs="Palatino Linotype"/>
          <w:lang w:val="es-MX"/>
        </w:rPr>
        <w:t>; así como que el Sujeto Obligado debió integrar el Sistema de Atención</w:t>
      </w:r>
      <w:r w:rsidR="002D5CF2">
        <w:rPr>
          <w:rFonts w:ascii="Palatino Linotype" w:eastAsia="Palatino Linotype" w:hAnsi="Palatino Linotype" w:cs="Palatino Linotype"/>
          <w:lang w:val="es-MX"/>
        </w:rPr>
        <w:t xml:space="preserve"> Ciudadana Digital</w:t>
      </w:r>
      <w:r w:rsidR="00385577" w:rsidRPr="00385577">
        <w:rPr>
          <w:rFonts w:ascii="Palatino Linotype" w:eastAsia="Palatino Linotype" w:hAnsi="Palatino Linotype" w:cs="Palatino Linotype"/>
          <w:lang w:val="es-MX"/>
        </w:rPr>
        <w:t>, conforme a</w:t>
      </w:r>
      <w:r w:rsidR="002D5CF2">
        <w:rPr>
          <w:rFonts w:ascii="Palatino Linotype" w:eastAsia="Palatino Linotype" w:hAnsi="Palatino Linotype" w:cs="Palatino Linotype"/>
          <w:lang w:val="es-MX"/>
        </w:rPr>
        <w:t>l</w:t>
      </w:r>
      <w:r w:rsidR="00385577" w:rsidRPr="00385577">
        <w:rPr>
          <w:rFonts w:ascii="Palatino Linotype" w:eastAsia="Palatino Linotype" w:hAnsi="Palatino Linotype" w:cs="Palatino Linotype"/>
          <w:lang w:val="es-MX"/>
        </w:rPr>
        <w:t xml:space="preserve"> </w:t>
      </w:r>
      <w:r w:rsidR="002D5CF2" w:rsidRPr="002D5CF2">
        <w:rPr>
          <w:rFonts w:ascii="Palatino Linotype" w:eastAsia="Palatino Linotype" w:hAnsi="Palatino Linotype" w:cs="Palatino Linotype"/>
          <w:lang w:val="es-MX"/>
        </w:rPr>
        <w:t xml:space="preserve">Manual de Organización y de Procedimientos </w:t>
      </w:r>
      <w:r w:rsidR="00385577" w:rsidRPr="00385577">
        <w:rPr>
          <w:rFonts w:ascii="Palatino Linotype" w:eastAsia="Palatino Linotype" w:hAnsi="Palatino Linotype" w:cs="Palatino Linotype"/>
          <w:lang w:val="es-MX"/>
        </w:rPr>
        <w:t>referido con anterioridad; por lo que es viable colegir que cuenta con los documentos idóneos para colmar la pretensión del Recurrente, aunado a que la fracción XXXIV del artículo 92 de la Ley de Transparencia local considera como una obligación de transparencia común a todos los sujetos obligados la publicación de las estadísticas que generen en cumplimiento de sus facultades, competencias o funciones con la mayor desagregación posible.</w:t>
      </w:r>
    </w:p>
    <w:p w:rsidR="00E07F9A" w:rsidRPr="00E07F9A" w:rsidRDefault="00E07F9A" w:rsidP="00E07F9A">
      <w:pPr>
        <w:spacing w:line="360" w:lineRule="auto"/>
        <w:ind w:right="49"/>
        <w:jc w:val="both"/>
        <w:rPr>
          <w:rFonts w:ascii="Palatino Linotype" w:hAnsi="Palatino Linotype" w:cs="Arial"/>
          <w:bCs/>
          <w:szCs w:val="22"/>
          <w:lang w:val="es-MX"/>
        </w:rPr>
      </w:pPr>
      <w:r>
        <w:rPr>
          <w:rFonts w:ascii="Palatino Linotype" w:hAnsi="Palatino Linotype" w:cs="Arial"/>
          <w:bCs/>
          <w:szCs w:val="22"/>
          <w:lang w:val="es-MX"/>
        </w:rPr>
        <w:t xml:space="preserve">Expuesto lo anterior, no escapa de la óptica de este Instituto que la información se requirió en formato abierto, </w:t>
      </w:r>
      <w:r w:rsidRPr="00E07F9A">
        <w:rPr>
          <w:rFonts w:ascii="Palatino Linotype" w:hAnsi="Palatino Linotype" w:cs="Arial"/>
          <w:bCs/>
          <w:szCs w:val="22"/>
          <w:lang w:val="es-MX"/>
        </w:rPr>
        <w:t>siendo es</w:t>
      </w:r>
      <w:r>
        <w:rPr>
          <w:rFonts w:ascii="Palatino Linotype" w:hAnsi="Palatino Linotype" w:cs="Arial"/>
          <w:bCs/>
          <w:szCs w:val="22"/>
          <w:lang w:val="es-MX"/>
        </w:rPr>
        <w:t>te en formato de datos abiertos</w:t>
      </w:r>
      <w:r w:rsidRPr="00E07F9A">
        <w:rPr>
          <w:rFonts w:ascii="Palatino Linotype" w:hAnsi="Palatino Linotype" w:cs="Arial"/>
          <w:bCs/>
          <w:szCs w:val="22"/>
          <w:lang w:val="es-MX"/>
        </w:rPr>
        <w:t xml:space="preserve">, </w:t>
      </w:r>
      <w:r>
        <w:rPr>
          <w:rFonts w:ascii="Palatino Linotype" w:hAnsi="Palatino Linotype" w:cs="Arial"/>
          <w:bCs/>
          <w:szCs w:val="22"/>
          <w:lang w:val="es-MX"/>
        </w:rPr>
        <w:t xml:space="preserve">por lo que resulta importante apuntar que </w:t>
      </w:r>
      <w:r w:rsidRPr="00E07F9A">
        <w:rPr>
          <w:rFonts w:ascii="Palatino Linotype" w:hAnsi="Palatino Linotype" w:cs="Arial"/>
          <w:bCs/>
          <w:szCs w:val="22"/>
          <w:lang w:val="es-MX"/>
        </w:rPr>
        <w:t xml:space="preserve">los datos abiertos en términos de los artículos 3, fracciones VI y VIII, de la Ley General de Transparencia y Acceso a la Información Pública y de la Ley de Transparencia y Acceso a la Información Pública del Estado </w:t>
      </w:r>
      <w:r w:rsidRPr="00E07F9A">
        <w:rPr>
          <w:rFonts w:ascii="Palatino Linotype" w:hAnsi="Palatino Linotype" w:cs="Arial"/>
          <w:bCs/>
          <w:szCs w:val="22"/>
          <w:lang w:val="es-MX"/>
        </w:rPr>
        <w:lastRenderedPageBreak/>
        <w:t xml:space="preserve">de México y Municipios, </w:t>
      </w:r>
      <w:r w:rsidRPr="00E07F9A">
        <w:rPr>
          <w:rFonts w:ascii="Palatino Linotype" w:hAnsi="Palatino Linotype" w:cs="Arial"/>
          <w:b/>
          <w:szCs w:val="22"/>
          <w:lang w:val="es-MX"/>
        </w:rPr>
        <w:t>son aquellos datos digitales de carácter público que son accesibles en línea y que pueden ser usados, reutilizados y redistribuidos por cualquier interesado.</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spacing w:line="360" w:lineRule="auto"/>
        <w:ind w:right="49"/>
        <w:jc w:val="both"/>
        <w:rPr>
          <w:rFonts w:ascii="Palatino Linotype" w:hAnsi="Palatino Linotype" w:cs="Arial"/>
          <w:bCs/>
          <w:szCs w:val="22"/>
          <w:lang w:val="es-MX"/>
        </w:rPr>
      </w:pPr>
      <w:r w:rsidRPr="00E07F9A">
        <w:rPr>
          <w:rFonts w:ascii="Palatino Linotype" w:hAnsi="Palatino Linotype" w:cs="Arial"/>
          <w:bCs/>
          <w:szCs w:val="22"/>
          <w:lang w:val="es-MX"/>
        </w:rPr>
        <w:t xml:space="preserve">De lo anterior, se entiende que un dato es abierto cuando no se encuentran barreras para usarlo, reutilizarlo y redistribuirlo libremente, esto es se localice en formatos no-propietarios, debe precisarse que los programas que requieren del pago para uso de una licencia no cumplen cabalmente con las características de los datos abiertos, pues debemos recordar que sus elementos son los siguientes: </w:t>
      </w:r>
    </w:p>
    <w:p w:rsidR="00E07F9A" w:rsidRPr="00E07F9A" w:rsidRDefault="00E07F9A" w:rsidP="00E07F9A">
      <w:pPr>
        <w:spacing w:before="240" w:after="240"/>
        <w:ind w:left="567" w:right="900"/>
        <w:jc w:val="both"/>
        <w:rPr>
          <w:rFonts w:ascii="Palatino Linotype" w:eastAsia="MS Mincho" w:hAnsi="Palatino Linotype" w:cs="Bookman Old Style"/>
          <w:i/>
          <w:color w:val="000000"/>
          <w:sz w:val="22"/>
          <w:lang w:val="es-MX" w:eastAsia="es-ES"/>
        </w:rPr>
      </w:pPr>
      <w:r w:rsidRPr="00E07F9A">
        <w:rPr>
          <w:rFonts w:ascii="Palatino Linotype" w:eastAsia="MS Mincho" w:hAnsi="Palatino Linotype" w:cs="Bookman Old Style"/>
          <w:i/>
          <w:color w:val="000000"/>
          <w:sz w:val="22"/>
          <w:lang w:val="es-MX" w:eastAsia="es-ES"/>
        </w:rPr>
        <w:t xml:space="preserve">“Gratuito: No tiene costo de adquisición. </w:t>
      </w:r>
    </w:p>
    <w:p w:rsidR="00E07F9A" w:rsidRPr="00E07F9A" w:rsidRDefault="00E07F9A" w:rsidP="00E07F9A">
      <w:pPr>
        <w:spacing w:before="240" w:after="240"/>
        <w:ind w:left="567" w:right="900"/>
        <w:jc w:val="both"/>
        <w:rPr>
          <w:rFonts w:ascii="Palatino Linotype" w:eastAsia="MS Mincho" w:hAnsi="Palatino Linotype" w:cs="Bookman Old Style"/>
          <w:i/>
          <w:color w:val="000000"/>
          <w:sz w:val="22"/>
          <w:lang w:val="es-MX" w:eastAsia="es-ES"/>
        </w:rPr>
      </w:pPr>
      <w:r w:rsidRPr="00E07F9A">
        <w:rPr>
          <w:rFonts w:ascii="Palatino Linotype" w:eastAsia="MS Mincho" w:hAnsi="Palatino Linotype" w:cs="Bookman Old Style"/>
          <w:i/>
          <w:color w:val="000000"/>
          <w:sz w:val="22"/>
          <w:lang w:val="es-MX" w:eastAsia="es-ES"/>
        </w:rPr>
        <w:t xml:space="preserve">De libre uso: Citar la fuente de origen es el único requerimiento para ser utilizados para cualquier fin. </w:t>
      </w:r>
    </w:p>
    <w:p w:rsidR="00E07F9A" w:rsidRPr="00E07F9A" w:rsidRDefault="00E07F9A" w:rsidP="00E07F9A">
      <w:pPr>
        <w:spacing w:before="240" w:after="240"/>
        <w:ind w:left="567" w:right="900"/>
        <w:jc w:val="both"/>
        <w:rPr>
          <w:rFonts w:ascii="Palatino Linotype" w:eastAsia="MS Mincho" w:hAnsi="Palatino Linotype" w:cs="Bookman Old Style"/>
          <w:i/>
          <w:color w:val="000000"/>
          <w:sz w:val="22"/>
          <w:lang w:val="es-MX" w:eastAsia="es-ES"/>
        </w:rPr>
      </w:pPr>
      <w:r w:rsidRPr="00E07F9A">
        <w:rPr>
          <w:rFonts w:ascii="Palatino Linotype" w:eastAsia="MS Mincho" w:hAnsi="Palatino Linotype" w:cs="Bookman Old Style"/>
          <w:i/>
          <w:color w:val="000000"/>
          <w:sz w:val="22"/>
          <w:lang w:val="es-MX" w:eastAsia="es-ES"/>
        </w:rPr>
        <w:t xml:space="preserve">Integral: Debe presentar la información que explique el tema al que se refieren los datos y los metadatos que permitan interpretarlos. </w:t>
      </w:r>
    </w:p>
    <w:p w:rsidR="00E07F9A" w:rsidRPr="00E07F9A" w:rsidRDefault="00E07F9A" w:rsidP="00E07F9A">
      <w:pPr>
        <w:spacing w:before="240" w:after="240"/>
        <w:ind w:left="567" w:right="900"/>
        <w:jc w:val="both"/>
        <w:rPr>
          <w:rFonts w:ascii="Palatino Linotype" w:eastAsia="MS Mincho" w:hAnsi="Palatino Linotype" w:cs="Bookman Old Style"/>
          <w:i/>
          <w:color w:val="000000"/>
          <w:sz w:val="22"/>
          <w:lang w:val="es-MX" w:eastAsia="es-ES"/>
        </w:rPr>
      </w:pPr>
      <w:r w:rsidRPr="00E07F9A">
        <w:rPr>
          <w:rFonts w:ascii="Palatino Linotype" w:eastAsia="MS Mincho" w:hAnsi="Palatino Linotype" w:cs="Bookman Old Style"/>
          <w:i/>
          <w:color w:val="000000"/>
          <w:sz w:val="22"/>
          <w:lang w:val="es-MX" w:eastAsia="es-ES"/>
        </w:rPr>
        <w:t xml:space="preserve">Oportuno: Son publicados y actualizados conforme se generan. </w:t>
      </w:r>
    </w:p>
    <w:p w:rsidR="00E07F9A" w:rsidRPr="00E07F9A" w:rsidRDefault="00E07F9A" w:rsidP="00E07F9A">
      <w:pPr>
        <w:spacing w:before="240" w:after="240"/>
        <w:ind w:left="567" w:right="900"/>
        <w:jc w:val="both"/>
        <w:rPr>
          <w:rFonts w:ascii="Palatino Linotype" w:eastAsia="MS Mincho" w:hAnsi="Palatino Linotype" w:cs="Bookman Old Style"/>
          <w:i/>
          <w:color w:val="000000"/>
          <w:sz w:val="22"/>
          <w:lang w:val="es-MX" w:eastAsia="es-ES"/>
        </w:rPr>
      </w:pPr>
      <w:r w:rsidRPr="00E07F9A">
        <w:rPr>
          <w:rFonts w:ascii="Palatino Linotype" w:eastAsia="MS Mincho" w:hAnsi="Palatino Linotype" w:cs="Bookman Old Style"/>
          <w:i/>
          <w:color w:val="000000"/>
          <w:sz w:val="22"/>
          <w:lang w:val="es-MX" w:eastAsia="es-ES"/>
        </w:rPr>
        <w:t xml:space="preserve">No discriminatorio: Accesibles sin restricciones. </w:t>
      </w:r>
    </w:p>
    <w:p w:rsidR="00E07F9A" w:rsidRPr="00E07F9A" w:rsidRDefault="00E07F9A" w:rsidP="00E07F9A">
      <w:pPr>
        <w:spacing w:before="240" w:after="240"/>
        <w:ind w:left="567" w:right="900"/>
        <w:jc w:val="both"/>
        <w:rPr>
          <w:rFonts w:ascii="Palatino Linotype" w:eastAsia="MS Mincho" w:hAnsi="Palatino Linotype" w:cs="Bookman Old Style"/>
          <w:i/>
          <w:color w:val="000000"/>
          <w:sz w:val="22"/>
          <w:lang w:val="es-MX" w:eastAsia="es-ES"/>
        </w:rPr>
      </w:pPr>
      <w:r w:rsidRPr="00E07F9A">
        <w:rPr>
          <w:rFonts w:ascii="Palatino Linotype" w:eastAsia="MS Mincho" w:hAnsi="Palatino Linotype" w:cs="Bookman Old Style"/>
          <w:i/>
          <w:color w:val="000000"/>
          <w:sz w:val="22"/>
          <w:lang w:val="es-MX" w:eastAsia="es-ES"/>
        </w:rPr>
        <w:t xml:space="preserve">Primario: Provienen de la fuente original con el máximo nivel de desagregación. Permanente: Se conservan las versiones históricas. </w:t>
      </w:r>
    </w:p>
    <w:p w:rsidR="00E07F9A" w:rsidRPr="00E07F9A" w:rsidRDefault="00E07F9A" w:rsidP="00E07F9A">
      <w:pPr>
        <w:spacing w:before="240" w:after="240"/>
        <w:ind w:left="567" w:right="900"/>
        <w:jc w:val="both"/>
        <w:rPr>
          <w:rFonts w:ascii="Palatino Linotype" w:eastAsia="MS Mincho" w:hAnsi="Palatino Linotype" w:cs="Bookman Old Style"/>
          <w:i/>
          <w:color w:val="000000"/>
          <w:sz w:val="22"/>
          <w:lang w:val="es-MX" w:eastAsia="es-ES"/>
        </w:rPr>
      </w:pPr>
      <w:r w:rsidRPr="00E07F9A">
        <w:rPr>
          <w:rFonts w:ascii="Palatino Linotype" w:eastAsia="MS Mincho" w:hAnsi="Palatino Linotype" w:cs="Bookman Old Style"/>
          <w:i/>
          <w:color w:val="000000"/>
          <w:sz w:val="22"/>
          <w:lang w:val="es-MX" w:eastAsia="es-ES"/>
        </w:rPr>
        <w:t>Legible por máquinas: Estructurados para permitir el procesamiento automatizado</w:t>
      </w:r>
      <w:r w:rsidRPr="00E07F9A">
        <w:rPr>
          <w:rFonts w:ascii="Palatino Linotype" w:eastAsia="MS Mincho" w:hAnsi="Palatino Linotype" w:cs="Bookman Old Style"/>
          <w:i/>
          <w:color w:val="000000"/>
          <w:sz w:val="22"/>
          <w:vertAlign w:val="superscript"/>
          <w:lang w:val="es-MX" w:eastAsia="es-ES"/>
        </w:rPr>
        <w:footnoteReference w:id="1"/>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spacing w:line="360" w:lineRule="auto"/>
        <w:ind w:right="49"/>
        <w:jc w:val="both"/>
        <w:rPr>
          <w:rFonts w:ascii="Palatino Linotype" w:hAnsi="Palatino Linotype" w:cs="Arial"/>
          <w:bCs/>
          <w:szCs w:val="22"/>
          <w:lang w:val="es-MX"/>
        </w:rPr>
      </w:pPr>
      <w:r w:rsidRPr="00E07F9A">
        <w:rPr>
          <w:rFonts w:ascii="Palatino Linotype" w:hAnsi="Palatino Linotype" w:cs="Arial"/>
          <w:bCs/>
          <w:szCs w:val="22"/>
          <w:lang w:val="es-MX"/>
        </w:rPr>
        <w:lastRenderedPageBreak/>
        <w:t xml:space="preserve">En este sentido, dichos ordenamientos establecen que la información generada, obtenida, adquirida transformada o en posesión de los sujetos obligados es pública y accesible a cualquier persona, en los términos y condiciones establecidos en ellos. </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spacing w:line="360" w:lineRule="auto"/>
        <w:ind w:right="49"/>
        <w:jc w:val="both"/>
        <w:rPr>
          <w:rFonts w:ascii="Palatino Linotype" w:hAnsi="Palatino Linotype" w:cs="Arial"/>
          <w:bCs/>
          <w:szCs w:val="22"/>
          <w:lang w:val="es-MX"/>
        </w:rPr>
      </w:pPr>
      <w:r w:rsidRPr="00E07F9A">
        <w:rPr>
          <w:rFonts w:ascii="Palatino Linotype" w:hAnsi="Palatino Linotype" w:cs="Arial"/>
          <w:bCs/>
          <w:szCs w:val="22"/>
          <w:lang w:val="es-MX"/>
        </w:rPr>
        <w:t>Asimismo, en la esfera de actuación de los sujetos obligados, cualquiera que sea su naturaleza, la información y documentación que generan, obtienen, adquieren, transforman, administran o poseen, resulta ser su activo más importante, toda vez que dicha información les permite garantizar el derecho humano de acceso a la información pública.</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spacing w:line="360" w:lineRule="auto"/>
        <w:ind w:right="49"/>
        <w:jc w:val="both"/>
        <w:rPr>
          <w:rFonts w:ascii="Palatino Linotype" w:hAnsi="Palatino Linotype" w:cs="Arial"/>
          <w:bCs/>
          <w:szCs w:val="22"/>
          <w:lang w:val="es-MX"/>
        </w:rPr>
      </w:pPr>
      <w:r w:rsidRPr="00E07F9A">
        <w:rPr>
          <w:rFonts w:ascii="Palatino Linotype" w:hAnsi="Palatino Linotype" w:cs="Arial"/>
          <w:bCs/>
          <w:szCs w:val="22"/>
          <w:lang w:val="es-MX"/>
        </w:rPr>
        <w:t>Una de las formas como se garantiza ese derecho, es a través de la obligación a cargo de los Sujetos Obligados, de poner a disposición del público, de manera permanente y actualizada, la información conocida como “</w:t>
      </w:r>
      <w:r w:rsidRPr="00E07F9A">
        <w:rPr>
          <w:rFonts w:ascii="Palatino Linotype" w:hAnsi="Palatino Linotype" w:cs="Arial"/>
          <w:b/>
          <w:szCs w:val="22"/>
          <w:u w:val="single"/>
          <w:lang w:val="es-MX"/>
        </w:rPr>
        <w:t>Obligaciones de Transparencia</w:t>
      </w:r>
      <w:r w:rsidRPr="00E07F9A">
        <w:rPr>
          <w:rFonts w:ascii="Palatino Linotype" w:hAnsi="Palatino Linotype" w:cs="Arial"/>
          <w:bCs/>
          <w:szCs w:val="22"/>
          <w:lang w:val="es-MX"/>
        </w:rPr>
        <w:t>”, que son todos y cada uno de los contenidos informativos que se listan en el Título Quinto, tanto de la Ley General de Transparencia, como en la Ley Local de Transparencia.</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spacing w:line="360" w:lineRule="auto"/>
        <w:ind w:right="49"/>
        <w:jc w:val="both"/>
        <w:rPr>
          <w:rFonts w:ascii="Palatino Linotype" w:hAnsi="Palatino Linotype" w:cs="Arial"/>
          <w:bCs/>
          <w:szCs w:val="22"/>
          <w:lang w:val="es-MX"/>
        </w:rPr>
      </w:pPr>
      <w:r w:rsidRPr="00E07F9A">
        <w:rPr>
          <w:rFonts w:ascii="Palatino Linotype" w:hAnsi="Palatino Linotype" w:cs="Arial"/>
          <w:bCs/>
          <w:szCs w:val="22"/>
          <w:lang w:val="es-MX"/>
        </w:rPr>
        <w:t xml:space="preserve">Por otra parte, se advierte que los </w:t>
      </w:r>
      <w:r w:rsidRPr="00E07F9A">
        <w:rPr>
          <w:rFonts w:ascii="Palatino Linotype" w:hAnsi="Palatino Linotype" w:cs="Arial"/>
          <w:b/>
          <w:i/>
          <w:iCs/>
          <w:szCs w:val="22"/>
          <w:lang w:val="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E07F9A">
        <w:rPr>
          <w:rFonts w:ascii="Palatino Linotype" w:hAnsi="Palatino Linotype" w:cs="Arial"/>
          <w:bCs/>
          <w:szCs w:val="22"/>
          <w:lang w:val="es-MX"/>
        </w:rPr>
        <w:t xml:space="preserve"> (Lineamientos Técnicos Generales en adelante); son la normativa que regula el cumplimiento de las obligaciones de transparencia. </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spacing w:line="360" w:lineRule="auto"/>
        <w:ind w:right="49"/>
        <w:jc w:val="both"/>
        <w:rPr>
          <w:rFonts w:ascii="Palatino Linotype" w:hAnsi="Palatino Linotype" w:cs="Arial"/>
          <w:bCs/>
          <w:szCs w:val="22"/>
          <w:lang w:val="es-MX"/>
        </w:rPr>
      </w:pPr>
      <w:r w:rsidRPr="00E07F9A">
        <w:rPr>
          <w:rFonts w:ascii="Palatino Linotype" w:hAnsi="Palatino Linotype" w:cs="Arial"/>
          <w:bCs/>
          <w:szCs w:val="22"/>
          <w:lang w:val="es-MX"/>
        </w:rPr>
        <w:t xml:space="preserve">Dichos Lineamientos, establecen los formatos para la homologación en la presentación y publicación de la información; definen los atributos de calidad y accesibilidad, criterios y demás especificaciones </w:t>
      </w:r>
      <w:r w:rsidRPr="00E07F9A">
        <w:rPr>
          <w:rFonts w:ascii="Palatino Linotype" w:hAnsi="Palatino Linotype" w:cs="Arial"/>
          <w:b/>
          <w:szCs w:val="22"/>
          <w:u w:val="single"/>
          <w:lang w:val="es-MX"/>
        </w:rPr>
        <w:t>que debe cumplir la información que se difunda de acuerdo con dichas obligaciones</w:t>
      </w:r>
      <w:r w:rsidR="00A17B70">
        <w:rPr>
          <w:rFonts w:ascii="Palatino Linotype" w:hAnsi="Palatino Linotype" w:cs="Arial"/>
          <w:bCs/>
          <w:szCs w:val="22"/>
          <w:lang w:val="es-MX"/>
        </w:rPr>
        <w:t>.</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spacing w:line="360" w:lineRule="auto"/>
        <w:ind w:right="49"/>
        <w:jc w:val="both"/>
        <w:rPr>
          <w:rFonts w:ascii="Palatino Linotype" w:hAnsi="Palatino Linotype" w:cs="Arial"/>
          <w:bCs/>
          <w:szCs w:val="22"/>
          <w:lang w:val="es-MX"/>
        </w:rPr>
      </w:pPr>
      <w:r w:rsidRPr="00E07F9A">
        <w:rPr>
          <w:rFonts w:ascii="Palatino Linotype" w:hAnsi="Palatino Linotype" w:cs="Arial"/>
          <w:bCs/>
          <w:szCs w:val="22"/>
          <w:lang w:val="es-MX"/>
        </w:rPr>
        <w:t xml:space="preserve">Entre los criterios sustantivos de contenido que los Lineamientos Técnicos Generales contemplan dentro de casi todos los formatos de las obligaciones de transparencia, </w:t>
      </w:r>
      <w:r w:rsidRPr="00E07F9A">
        <w:rPr>
          <w:rFonts w:ascii="Palatino Linotype" w:hAnsi="Palatino Linotype" w:cs="Arial"/>
          <w:b/>
          <w:szCs w:val="22"/>
          <w:u w:val="single"/>
          <w:lang w:val="es-MX"/>
        </w:rPr>
        <w:t>se encuentra el relativo a publicar el propio documento fuente de la información,</w:t>
      </w:r>
      <w:r w:rsidRPr="00E07F9A">
        <w:rPr>
          <w:rFonts w:ascii="Palatino Linotype" w:hAnsi="Palatino Linotype" w:cs="Arial"/>
          <w:bCs/>
          <w:szCs w:val="22"/>
          <w:lang w:val="es-MX"/>
        </w:rPr>
        <w:t xml:space="preserve"> conforme a la obligación de transparencia de que se trate. </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spacing w:line="360" w:lineRule="auto"/>
        <w:ind w:right="49"/>
        <w:jc w:val="both"/>
        <w:rPr>
          <w:rFonts w:ascii="Palatino Linotype" w:hAnsi="Palatino Linotype" w:cs="Arial"/>
          <w:bCs/>
          <w:szCs w:val="22"/>
          <w:lang w:val="es-MX"/>
        </w:rPr>
      </w:pPr>
      <w:r w:rsidRPr="00E07F9A">
        <w:rPr>
          <w:rFonts w:ascii="Palatino Linotype" w:hAnsi="Palatino Linotype" w:cs="Arial"/>
          <w:bCs/>
          <w:szCs w:val="22"/>
          <w:lang w:val="es-MX"/>
        </w:rPr>
        <w:t xml:space="preserve">A mayor abundamiento el numeral Segundo de los citados Lineamientos señala: </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t>“IV. Datos abiertos: Los datos digitales de carácter público que son accesibles en línea, que pueden ser usados</w:t>
      </w:r>
      <w:r w:rsidRPr="00E07F9A">
        <w:rPr>
          <w:rFonts w:ascii="Palatino Linotype" w:hAnsi="Palatino Linotype" w:cs="Arial"/>
          <w:b/>
          <w:i/>
          <w:iCs/>
          <w:szCs w:val="22"/>
          <w:u w:val="single"/>
          <w:lang w:val="es-MX"/>
        </w:rPr>
        <w:t>, reutilizados</w:t>
      </w:r>
      <w:r w:rsidRPr="00E07F9A">
        <w:rPr>
          <w:rFonts w:ascii="Palatino Linotype" w:hAnsi="Palatino Linotype" w:cs="Arial"/>
          <w:bCs/>
          <w:i/>
          <w:iCs/>
          <w:szCs w:val="22"/>
          <w:lang w:val="es-MX"/>
        </w:rPr>
        <w:t xml:space="preserve"> y redistribuidos por cualquier interesado y que tienen las siguientes características: </w:t>
      </w: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t xml:space="preserve">a) Accesibles: Están disponibles para la gama más amplia de usuarios, para cualquier propósito; </w:t>
      </w: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t>b) Integrales: Contienen el tema que describen a detalle y con los metadatos necesarios;</w:t>
      </w: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t xml:space="preserve"> c) Gratuitos: Se obtienen sin entregar a cambio contraprestación alguna; </w:t>
      </w: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t xml:space="preserve">d) No discriminatorios: Están disponibles para cualquier persona, sin necesidad de registro; </w:t>
      </w: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t xml:space="preserve">f) Oportunos: Son actualizados periódicamente, conforme se generen; </w:t>
      </w: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t xml:space="preserve">g) Permanentes: Se conservan en el tiempo, para lo cual, las versiones históricas relevantes para uso público se mantendrán disponibles con identificadores adecuados al efecto; </w:t>
      </w: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t xml:space="preserve">h) Primarios: Provienen de la fuente de origen con el máximo nivel de desagregación posible; </w:t>
      </w: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lastRenderedPageBreak/>
        <w:t xml:space="preserve">i) Legibles por máquinas: Están estructurados, total o parcialmente, para ser procesados e interpretados por equipos electrónicos de manera automática; </w:t>
      </w: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t xml:space="preserve">j) </w:t>
      </w:r>
      <w:r w:rsidRPr="00E07F9A">
        <w:rPr>
          <w:rFonts w:ascii="Palatino Linotype" w:hAnsi="Palatino Linotype" w:cs="Arial"/>
          <w:b/>
          <w:i/>
          <w:iCs/>
          <w:szCs w:val="22"/>
          <w:u w:val="single"/>
          <w:lang w:val="es-MX"/>
        </w:rPr>
        <w:t>En formatos abiertos</w:t>
      </w:r>
      <w:r w:rsidRPr="00E07F9A">
        <w:rPr>
          <w:rFonts w:ascii="Palatino Linotype" w:hAnsi="Palatino Linotype" w:cs="Arial"/>
          <w:bCs/>
          <w:i/>
          <w:iCs/>
          <w:szCs w:val="22"/>
          <w:lang w:val="es-MX"/>
        </w:rPr>
        <w:t xml:space="preserve">: </w:t>
      </w:r>
      <w:r w:rsidRPr="00E07F9A">
        <w:rPr>
          <w:rFonts w:ascii="Palatino Linotype" w:hAnsi="Palatino Linotype" w:cs="Arial"/>
          <w:b/>
          <w:bCs/>
          <w:i/>
          <w:iCs/>
          <w:szCs w:val="22"/>
          <w:u w:val="single"/>
          <w:lang w:val="es-MX"/>
        </w:rPr>
        <w:t>Los datos están disponibles con el conjunto de características técnicas y de presentación que corresponden a la estructura lógica usada para almacenar datos en un archivo digital, cuyas especificaciones técnicas son del dominio público, que no suponen una dificultad de acceso y que su aplicación y reproducción no estén condicionadas a contraprestación alguna</w:t>
      </w:r>
      <w:r w:rsidRPr="00E07F9A">
        <w:rPr>
          <w:rFonts w:ascii="Palatino Linotype" w:hAnsi="Palatino Linotype" w:cs="Arial"/>
          <w:bCs/>
          <w:i/>
          <w:iCs/>
          <w:szCs w:val="22"/>
          <w:lang w:val="es-MX"/>
        </w:rPr>
        <w:t xml:space="preserve">, y </w:t>
      </w: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t>k) De libre uso: Citan la fuente de origen como único requerimiento para ser utilizados libremente”</w:t>
      </w:r>
    </w:p>
    <w:p w:rsidR="00E07F9A" w:rsidRPr="00E07F9A" w:rsidRDefault="00E07F9A" w:rsidP="00E07F9A">
      <w:pPr>
        <w:ind w:left="567" w:right="900"/>
        <w:jc w:val="both"/>
        <w:rPr>
          <w:rFonts w:ascii="Palatino Linotype" w:hAnsi="Palatino Linotype" w:cs="Arial"/>
          <w:bCs/>
          <w:i/>
          <w:iCs/>
          <w:szCs w:val="22"/>
          <w:lang w:val="es-MX"/>
        </w:rPr>
      </w:pPr>
      <w:r w:rsidRPr="00E07F9A">
        <w:rPr>
          <w:rFonts w:ascii="Palatino Linotype" w:hAnsi="Palatino Linotype" w:cs="Arial"/>
          <w:bCs/>
          <w:i/>
          <w:iCs/>
          <w:szCs w:val="22"/>
          <w:lang w:val="es-MX"/>
        </w:rPr>
        <w:t>(Énfasis añadido)</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spacing w:line="360" w:lineRule="auto"/>
        <w:ind w:right="49"/>
        <w:jc w:val="both"/>
        <w:rPr>
          <w:rFonts w:ascii="Palatino Linotype" w:hAnsi="Palatino Linotype" w:cs="Arial"/>
          <w:bCs/>
          <w:szCs w:val="22"/>
          <w:lang w:val="es-MX"/>
        </w:rPr>
      </w:pPr>
      <w:r w:rsidRPr="00E07F9A">
        <w:rPr>
          <w:rFonts w:ascii="Palatino Linotype" w:hAnsi="Palatino Linotype" w:cs="Arial"/>
          <w:bCs/>
          <w:szCs w:val="22"/>
          <w:lang w:val="es-MX"/>
        </w:rPr>
        <w:t xml:space="preserve">Así, por mandato del lineamiento Décimo segundo, fracción VI, de los Lineamientos Técnicos Generales, la información publicada por los sujetos obligados –en particular, </w:t>
      </w:r>
      <w:r w:rsidRPr="00E07F9A">
        <w:rPr>
          <w:rFonts w:ascii="Palatino Linotype" w:hAnsi="Palatino Linotype" w:cs="Arial"/>
          <w:b/>
          <w:szCs w:val="22"/>
          <w:u w:val="single"/>
          <w:lang w:val="es-MX"/>
        </w:rPr>
        <w:t>los referidos documentos fuente de la información</w:t>
      </w:r>
      <w:r w:rsidRPr="00E07F9A">
        <w:rPr>
          <w:rFonts w:ascii="Palatino Linotype" w:hAnsi="Palatino Linotype" w:cs="Arial"/>
          <w:bCs/>
          <w:szCs w:val="22"/>
          <w:lang w:val="es-MX"/>
        </w:rPr>
        <w:t>–</w:t>
      </w:r>
      <w:r w:rsidRPr="00E07F9A">
        <w:rPr>
          <w:rFonts w:ascii="Palatino Linotype" w:hAnsi="Palatino Linotype" w:cs="Arial"/>
          <w:b/>
          <w:szCs w:val="22"/>
          <w:u w:val="single"/>
          <w:lang w:val="es-MX"/>
        </w:rPr>
        <w:t>deberá ofrecerse en un formato que permita su reutilización por los usuarios y por las máquinas, es decir, presentarse mediante el enfoque de datos abiertos</w:t>
      </w:r>
      <w:r w:rsidRPr="00E07F9A">
        <w:rPr>
          <w:rFonts w:ascii="Palatino Linotype" w:hAnsi="Palatino Linotype" w:cs="Arial"/>
          <w:bCs/>
          <w:szCs w:val="22"/>
          <w:lang w:val="es-MX"/>
        </w:rPr>
        <w:t xml:space="preserve">, lo cual implica facilitar la posibilidad de exportar el conjunto de datos publicados en formatos estructurados para facilitar el consumo e interpretación. </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spacing w:line="360" w:lineRule="auto"/>
        <w:ind w:right="49"/>
        <w:jc w:val="both"/>
        <w:rPr>
          <w:rFonts w:ascii="Palatino Linotype" w:hAnsi="Palatino Linotype" w:cs="Arial"/>
          <w:bCs/>
          <w:szCs w:val="22"/>
          <w:lang w:val="es-MX"/>
        </w:rPr>
      </w:pPr>
      <w:r w:rsidRPr="00E07F9A">
        <w:rPr>
          <w:rFonts w:ascii="Palatino Linotype" w:hAnsi="Palatino Linotype" w:cs="Arial"/>
          <w:bCs/>
          <w:szCs w:val="22"/>
          <w:lang w:val="es-MX"/>
        </w:rPr>
        <w:t>Asimismo, el citado lineamiento Décimo segundo, fracción VI de los Lineamientos Técnicos Generales señala que los formatos de datos abiertos utilizados pueden ser, entre otros, CVS (por sus siglas en inglés Comma-Separated Values) y de estándar abierto, según convenga, de acuerdo con cada conjunto de datos, ya sea XML, JSon, RDF, GEOJSon, KML, DBF y/o propietarios como SHP y XLSX.</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spacing w:line="360" w:lineRule="auto"/>
        <w:ind w:right="49"/>
        <w:jc w:val="both"/>
        <w:rPr>
          <w:rFonts w:ascii="Palatino Linotype" w:hAnsi="Palatino Linotype" w:cs="Arial"/>
          <w:b/>
          <w:szCs w:val="22"/>
          <w:u w:val="single"/>
          <w:lang w:val="es-MX"/>
        </w:rPr>
      </w:pPr>
      <w:r w:rsidRPr="00E07F9A">
        <w:rPr>
          <w:rFonts w:ascii="Palatino Linotype" w:hAnsi="Palatino Linotype" w:cs="Arial"/>
          <w:bCs/>
          <w:szCs w:val="22"/>
          <w:lang w:val="es-MX"/>
        </w:rPr>
        <w:lastRenderedPageBreak/>
        <w:t xml:space="preserve">Para el caso que nos ocupa, los </w:t>
      </w:r>
      <w:r w:rsidRPr="00E07F9A">
        <w:rPr>
          <w:rFonts w:ascii="Palatino Linotype" w:hAnsi="Palatino Linotype" w:cs="Arial"/>
          <w:b/>
          <w:szCs w:val="22"/>
          <w:u w:val="single"/>
          <w:lang w:val="es-MX"/>
        </w:rPr>
        <w:t xml:space="preserve">Lineamientos Técnicos Generales refieren lo siguiente: </w:t>
      </w:r>
    </w:p>
    <w:p w:rsidR="00E07F9A" w:rsidRPr="00E07F9A" w:rsidRDefault="00E07F9A" w:rsidP="00E07F9A">
      <w:pPr>
        <w:spacing w:line="360" w:lineRule="auto"/>
        <w:ind w:right="49"/>
        <w:jc w:val="both"/>
        <w:rPr>
          <w:rFonts w:ascii="Palatino Linotype" w:hAnsi="Palatino Linotype" w:cs="Arial"/>
          <w:bCs/>
          <w:szCs w:val="22"/>
          <w:lang w:val="es-MX"/>
        </w:rPr>
      </w:pPr>
    </w:p>
    <w:p w:rsidR="00E07F9A" w:rsidRPr="00E07F9A" w:rsidRDefault="00E07F9A" w:rsidP="00E07F9A">
      <w:pPr>
        <w:ind w:left="567" w:right="758"/>
        <w:jc w:val="both"/>
        <w:rPr>
          <w:rFonts w:ascii="Palatino Linotype" w:hAnsi="Palatino Linotype" w:cs="Arial"/>
          <w:bCs/>
          <w:i/>
          <w:sz w:val="22"/>
          <w:szCs w:val="22"/>
          <w:lang w:val="es-MX"/>
        </w:rPr>
      </w:pPr>
      <w:r w:rsidRPr="00E07F9A">
        <w:rPr>
          <w:rFonts w:ascii="Palatino Linotype" w:hAnsi="Palatino Linotype" w:cs="Arial"/>
          <w:bCs/>
          <w:i/>
          <w:sz w:val="22"/>
          <w:szCs w:val="22"/>
          <w:lang w:val="es-MX"/>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E07F9A" w:rsidRPr="00E07F9A" w:rsidRDefault="00E07F9A" w:rsidP="00E07F9A">
      <w:pPr>
        <w:ind w:left="567" w:right="758"/>
        <w:jc w:val="both"/>
        <w:rPr>
          <w:rFonts w:ascii="Palatino Linotype" w:hAnsi="Palatino Linotype" w:cs="Arial"/>
          <w:bCs/>
          <w:i/>
          <w:sz w:val="22"/>
          <w:szCs w:val="22"/>
          <w:lang w:val="es-MX"/>
        </w:rPr>
      </w:pPr>
    </w:p>
    <w:p w:rsidR="00E07F9A" w:rsidRPr="00E07F9A" w:rsidRDefault="00E07F9A" w:rsidP="00E07F9A">
      <w:pPr>
        <w:ind w:left="567" w:right="618"/>
        <w:jc w:val="both"/>
        <w:rPr>
          <w:rFonts w:ascii="Palatino Linotype" w:hAnsi="Palatino Linotype" w:cs="Arial"/>
          <w:b/>
          <w:i/>
          <w:iCs/>
          <w:sz w:val="22"/>
          <w:szCs w:val="22"/>
          <w:lang w:val="es-MX"/>
        </w:rPr>
      </w:pPr>
      <w:r w:rsidRPr="00E07F9A">
        <w:rPr>
          <w:rFonts w:ascii="Palatino Linotype" w:hAnsi="Palatino Linotype" w:cs="Arial"/>
          <w:b/>
          <w:i/>
          <w:iCs/>
          <w:sz w:val="22"/>
          <w:szCs w:val="22"/>
          <w:lang w:val="es-MX"/>
        </w:rPr>
        <w:t>I. El marco normativo aplicable al sujeto obligado, en el que deberá incluirse leyes, códigos, reglamentos, decretos de creación, manuales administrativos, reglas de operación, criterios, políticas, entre otros</w:t>
      </w:r>
    </w:p>
    <w:p w:rsidR="00E07F9A" w:rsidRPr="00E07F9A" w:rsidRDefault="00E07F9A" w:rsidP="00E07F9A">
      <w:pPr>
        <w:ind w:left="567" w:right="618"/>
        <w:jc w:val="both"/>
        <w:rPr>
          <w:rFonts w:ascii="Palatino Linotype" w:hAnsi="Palatino Linotype" w:cs="Arial"/>
          <w:bCs/>
          <w:i/>
          <w:iCs/>
          <w:sz w:val="22"/>
          <w:szCs w:val="22"/>
          <w:lang w:val="es-MX"/>
        </w:rPr>
      </w:pPr>
      <w:r w:rsidRPr="00E07F9A">
        <w:rPr>
          <w:rFonts w:ascii="Palatino Linotype" w:hAnsi="Palatino Linotype" w:cs="Arial"/>
          <w:bCs/>
          <w:i/>
          <w:iCs/>
          <w:sz w:val="22"/>
          <w:szCs w:val="22"/>
          <w:lang w:val="es-MX"/>
        </w:rPr>
        <w:t>…</w:t>
      </w:r>
    </w:p>
    <w:p w:rsidR="00E07F9A" w:rsidRPr="00E07F9A" w:rsidRDefault="00E07F9A" w:rsidP="00E07F9A">
      <w:pPr>
        <w:ind w:left="567" w:right="618"/>
        <w:jc w:val="both"/>
        <w:rPr>
          <w:rFonts w:ascii="Palatino Linotype" w:hAnsi="Palatino Linotype" w:cs="Arial"/>
          <w:bCs/>
          <w:i/>
          <w:iCs/>
          <w:sz w:val="22"/>
          <w:szCs w:val="22"/>
          <w:lang w:val="es-MX"/>
        </w:rPr>
      </w:pPr>
      <w:r w:rsidRPr="00E07F9A">
        <w:rPr>
          <w:rFonts w:ascii="Palatino Linotype" w:hAnsi="Palatino Linotype" w:cs="Arial"/>
          <w:bCs/>
          <w:i/>
          <w:iCs/>
          <w:sz w:val="22"/>
          <w:szCs w:val="22"/>
          <w:lang w:val="es-MX"/>
        </w:rPr>
        <w:t>…</w:t>
      </w:r>
    </w:p>
    <w:p w:rsidR="00E07F9A" w:rsidRPr="00E07F9A" w:rsidRDefault="00E07F9A" w:rsidP="00E07F9A">
      <w:pPr>
        <w:ind w:left="567" w:right="618"/>
        <w:jc w:val="both"/>
        <w:rPr>
          <w:rFonts w:ascii="Palatino Linotype" w:hAnsi="Palatino Linotype" w:cs="Arial"/>
          <w:b/>
          <w:i/>
          <w:iCs/>
          <w:sz w:val="22"/>
          <w:szCs w:val="22"/>
          <w:u w:val="single"/>
          <w:lang w:val="es-MX"/>
        </w:rPr>
      </w:pPr>
      <w:r w:rsidRPr="00E07F9A">
        <w:rPr>
          <w:rFonts w:ascii="Palatino Linotype" w:hAnsi="Palatino Linotype" w:cs="Arial"/>
          <w:b/>
          <w:i/>
          <w:iCs/>
          <w:sz w:val="22"/>
          <w:szCs w:val="22"/>
          <w:u w:val="single"/>
          <w:lang w:val="es-MX"/>
        </w:rPr>
        <w:t>Nota: Los documentos normativos publicados en formato PDF deberán considerar una versión o formato que permita su reutilización.</w:t>
      </w:r>
    </w:p>
    <w:p w:rsidR="00E07F9A" w:rsidRPr="00E07F9A" w:rsidRDefault="00E07F9A" w:rsidP="00E07F9A">
      <w:pPr>
        <w:ind w:left="567" w:right="618"/>
        <w:jc w:val="both"/>
        <w:rPr>
          <w:rFonts w:ascii="Palatino Linotype" w:hAnsi="Palatino Linotype" w:cs="Arial"/>
          <w:b/>
          <w:i/>
          <w:iCs/>
          <w:sz w:val="22"/>
          <w:szCs w:val="22"/>
          <w:lang w:val="es-MX"/>
        </w:rPr>
      </w:pPr>
      <w:r w:rsidRPr="00E07F9A">
        <w:rPr>
          <w:rFonts w:ascii="Palatino Linotype" w:hAnsi="Palatino Linotype" w:cs="Arial"/>
          <w:b/>
          <w:i/>
          <w:iCs/>
          <w:sz w:val="22"/>
          <w:szCs w:val="22"/>
          <w:lang w:val="es-MX"/>
        </w:rPr>
        <w:t>…</w:t>
      </w:r>
    </w:p>
    <w:p w:rsidR="00E07F9A" w:rsidRPr="00E07F9A" w:rsidRDefault="00E07F9A" w:rsidP="00E07F9A">
      <w:pPr>
        <w:ind w:left="567" w:right="618"/>
        <w:jc w:val="both"/>
        <w:rPr>
          <w:rFonts w:ascii="Palatino Linotype" w:hAnsi="Palatino Linotype" w:cs="Arial"/>
          <w:b/>
          <w:i/>
          <w:iCs/>
          <w:sz w:val="22"/>
          <w:szCs w:val="22"/>
          <w:lang w:val="es-MX"/>
        </w:rPr>
      </w:pPr>
      <w:r w:rsidRPr="00E07F9A">
        <w:rPr>
          <w:rFonts w:ascii="Palatino Linotype" w:hAnsi="Palatino Linotype" w:cs="Arial"/>
          <w:b/>
          <w:i/>
          <w:iCs/>
          <w:sz w:val="22"/>
          <w:szCs w:val="22"/>
          <w:lang w:val="es-MX"/>
        </w:rPr>
        <w:t>Criterio 16 El soporte de la información permite su reutilización”</w:t>
      </w:r>
    </w:p>
    <w:p w:rsidR="00E07F9A" w:rsidRPr="00E07F9A" w:rsidRDefault="00E07F9A" w:rsidP="00E07F9A">
      <w:pPr>
        <w:ind w:left="567" w:right="618"/>
        <w:jc w:val="both"/>
        <w:rPr>
          <w:rFonts w:ascii="Palatino Linotype" w:hAnsi="Palatino Linotype" w:cs="Arial"/>
          <w:b/>
          <w:i/>
          <w:iCs/>
          <w:sz w:val="22"/>
          <w:szCs w:val="22"/>
          <w:lang w:val="es-MX"/>
        </w:rPr>
      </w:pPr>
    </w:p>
    <w:p w:rsidR="00E07F9A" w:rsidRPr="00E07F9A" w:rsidRDefault="00E07F9A" w:rsidP="00E07F9A">
      <w:pPr>
        <w:ind w:left="567" w:right="618"/>
        <w:jc w:val="both"/>
        <w:rPr>
          <w:rFonts w:ascii="Palatino Linotype" w:hAnsi="Palatino Linotype" w:cs="Arial"/>
          <w:i/>
          <w:iCs/>
          <w:sz w:val="22"/>
          <w:szCs w:val="22"/>
          <w:lang w:val="es-MX"/>
        </w:rPr>
      </w:pPr>
      <w:r w:rsidRPr="00E07F9A">
        <w:rPr>
          <w:rFonts w:ascii="Palatino Linotype" w:hAnsi="Palatino Linotype" w:cs="Arial"/>
          <w:i/>
          <w:iCs/>
          <w:sz w:val="22"/>
          <w:szCs w:val="22"/>
          <w:lang w:val="es-MX"/>
        </w:rPr>
        <w:t>(Énfasis añadido)</w:t>
      </w:r>
    </w:p>
    <w:p w:rsidR="00E07F9A" w:rsidRPr="00E07F9A" w:rsidRDefault="00E07F9A" w:rsidP="00E07F9A">
      <w:pPr>
        <w:spacing w:line="360" w:lineRule="auto"/>
        <w:ind w:right="49"/>
        <w:jc w:val="both"/>
        <w:rPr>
          <w:rFonts w:ascii="Palatino Linotype" w:hAnsi="Palatino Linotype" w:cs="Arial"/>
          <w:b/>
          <w:szCs w:val="22"/>
          <w:u w:val="single"/>
          <w:lang w:val="es-MX"/>
        </w:rPr>
      </w:pPr>
    </w:p>
    <w:p w:rsidR="00E07F9A" w:rsidRPr="00E07F9A" w:rsidRDefault="00E07F9A" w:rsidP="00E07F9A">
      <w:pPr>
        <w:spacing w:line="360" w:lineRule="auto"/>
        <w:ind w:right="49"/>
        <w:jc w:val="both"/>
        <w:rPr>
          <w:rFonts w:ascii="Palatino Linotype" w:hAnsi="Palatino Linotype" w:cs="Arial"/>
          <w:bCs/>
          <w:szCs w:val="22"/>
          <w:lang w:val="es-MX"/>
        </w:rPr>
      </w:pPr>
      <w:r w:rsidRPr="00E07F9A">
        <w:rPr>
          <w:rFonts w:ascii="Palatino Linotype" w:hAnsi="Palatino Linotype" w:cs="Arial"/>
          <w:bCs/>
          <w:szCs w:val="22"/>
          <w:lang w:val="es-MX"/>
        </w:rPr>
        <w:t>De lo anteriormente expuesto se advierte que el Sujeto Obligado esta constr</w:t>
      </w:r>
      <w:r w:rsidR="00385577">
        <w:rPr>
          <w:rFonts w:ascii="Palatino Linotype" w:hAnsi="Palatino Linotype" w:cs="Arial"/>
          <w:bCs/>
          <w:szCs w:val="22"/>
          <w:lang w:val="es-MX"/>
        </w:rPr>
        <w:t xml:space="preserve">eñido a publicar la información, </w:t>
      </w:r>
      <w:r w:rsidRPr="00E07F9A">
        <w:rPr>
          <w:rFonts w:ascii="Palatino Linotype" w:hAnsi="Palatino Linotype" w:cs="Arial"/>
          <w:bCs/>
          <w:szCs w:val="22"/>
          <w:lang w:val="es-MX"/>
        </w:rPr>
        <w:t xml:space="preserve">considerando una versión o formato que permita su reutilización, entendiéndose esto, como dato abierto. </w:t>
      </w:r>
    </w:p>
    <w:p w:rsidR="00E07F9A" w:rsidRDefault="00E07F9A" w:rsidP="00E07F9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 la información requerida en versión pública de ser procedente, tal como se detalla en el siguiente considerando.</w:t>
      </w:r>
    </w:p>
    <w:p w:rsidR="00E07F9A" w:rsidRPr="00E07F9A" w:rsidRDefault="00E07F9A" w:rsidP="00E07F9A">
      <w:pPr>
        <w:spacing w:before="240" w:after="240" w:line="360" w:lineRule="auto"/>
        <w:ind w:right="49"/>
        <w:jc w:val="both"/>
        <w:rPr>
          <w:rFonts w:ascii="Palatino Linotype" w:eastAsia="Palatino Linotype" w:hAnsi="Palatino Linotype" w:cs="Palatino Linotype"/>
        </w:rPr>
      </w:pPr>
      <w:r w:rsidRPr="00E07F9A">
        <w:rPr>
          <w:rFonts w:ascii="Palatino Linotype" w:eastAsia="Palatino Linotype" w:hAnsi="Palatino Linotype" w:cs="Palatino Linotype"/>
          <w:b/>
        </w:rPr>
        <w:lastRenderedPageBreak/>
        <w:t xml:space="preserve">Quinto. Versión Pública. </w:t>
      </w:r>
      <w:r w:rsidRPr="00E07F9A">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E07F9A" w:rsidRPr="00E07F9A" w:rsidRDefault="00E07F9A" w:rsidP="00E07F9A">
      <w:pPr>
        <w:spacing w:before="240" w:after="240" w:line="360" w:lineRule="auto"/>
        <w:ind w:right="50"/>
        <w:jc w:val="both"/>
        <w:rPr>
          <w:rFonts w:ascii="Palatino Linotype" w:eastAsia="Palatino Linotype" w:hAnsi="Palatino Linotype" w:cs="Palatino Linotype"/>
        </w:rPr>
      </w:pPr>
      <w:r w:rsidRPr="00E07F9A">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E07F9A" w:rsidRPr="00E07F9A" w:rsidRDefault="00E07F9A" w:rsidP="00E07F9A">
      <w:pPr>
        <w:spacing w:before="120" w:after="120"/>
        <w:ind w:left="851"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i/>
          <w:sz w:val="22"/>
          <w:szCs w:val="22"/>
        </w:rPr>
        <w:t>“</w:t>
      </w:r>
      <w:r w:rsidRPr="00E07F9A">
        <w:rPr>
          <w:rFonts w:ascii="Palatino Linotype" w:eastAsia="Palatino Linotype" w:hAnsi="Palatino Linotype" w:cs="Palatino Linotype"/>
          <w:b/>
          <w:i/>
          <w:sz w:val="22"/>
          <w:szCs w:val="22"/>
        </w:rPr>
        <w:t>Artículo 3</w:t>
      </w:r>
      <w:r w:rsidRPr="00E07F9A">
        <w:rPr>
          <w:rFonts w:ascii="Palatino Linotype" w:eastAsia="Palatino Linotype" w:hAnsi="Palatino Linotype" w:cs="Palatino Linotype"/>
          <w:i/>
          <w:sz w:val="22"/>
          <w:szCs w:val="22"/>
        </w:rPr>
        <w:t>. Para los efectos de la presente Ley se entenderá por:</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i/>
          <w:sz w:val="22"/>
          <w:szCs w:val="22"/>
        </w:rPr>
        <w:t>[…]</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IX. Datos personales:</w:t>
      </w:r>
      <w:r w:rsidRPr="00E07F9A">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XX. Información clasificada</w:t>
      </w:r>
      <w:r w:rsidRPr="00E07F9A">
        <w:rPr>
          <w:rFonts w:ascii="Palatino Linotype" w:eastAsia="Palatino Linotype" w:hAnsi="Palatino Linotype" w:cs="Palatino Linotype"/>
          <w:i/>
          <w:sz w:val="22"/>
          <w:szCs w:val="22"/>
        </w:rPr>
        <w:t>: Aquella considerada por la presente Ley como reservada o confidencial;</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XXI. Información confidencial:</w:t>
      </w:r>
      <w:r w:rsidRPr="00E07F9A">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XLV. Versión pública:</w:t>
      </w:r>
      <w:r w:rsidRPr="00E07F9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i/>
          <w:sz w:val="22"/>
          <w:szCs w:val="22"/>
        </w:rPr>
        <w:lastRenderedPageBreak/>
        <w:t>[…]</w:t>
      </w:r>
    </w:p>
    <w:p w:rsidR="00E07F9A" w:rsidRPr="00E07F9A" w:rsidRDefault="00E07F9A" w:rsidP="00E07F9A">
      <w:pPr>
        <w:spacing w:before="120" w:after="120"/>
        <w:ind w:left="851"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 xml:space="preserve">Artículo 91. </w:t>
      </w:r>
      <w:r w:rsidRPr="00E07F9A">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E07F9A" w:rsidRPr="00E07F9A" w:rsidRDefault="00E07F9A" w:rsidP="00E07F9A">
      <w:pPr>
        <w:spacing w:before="120" w:after="120"/>
        <w:ind w:left="851"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 xml:space="preserve">Artículo 132. </w:t>
      </w:r>
      <w:r w:rsidRPr="00E07F9A">
        <w:rPr>
          <w:rFonts w:ascii="Palatino Linotype" w:eastAsia="Palatino Linotype" w:hAnsi="Palatino Linotype" w:cs="Palatino Linotype"/>
          <w:i/>
          <w:sz w:val="22"/>
          <w:szCs w:val="22"/>
        </w:rPr>
        <w:t>La clasificación de la información se llevará a cabo en el momento en que:</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I</w:t>
      </w:r>
      <w:r w:rsidRPr="00E07F9A">
        <w:rPr>
          <w:rFonts w:ascii="Palatino Linotype" w:eastAsia="Palatino Linotype" w:hAnsi="Palatino Linotype" w:cs="Palatino Linotype"/>
          <w:i/>
          <w:sz w:val="22"/>
          <w:szCs w:val="22"/>
        </w:rPr>
        <w:t>. Se reciba una solicitud de acceso a la información;</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II</w:t>
      </w:r>
      <w:r w:rsidRPr="00E07F9A">
        <w:rPr>
          <w:rFonts w:ascii="Palatino Linotype" w:eastAsia="Palatino Linotype" w:hAnsi="Palatino Linotype" w:cs="Palatino Linotype"/>
          <w:i/>
          <w:sz w:val="22"/>
          <w:szCs w:val="22"/>
        </w:rPr>
        <w:t>. Se determine mediante resolución de autoridad competente; o</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III</w:t>
      </w:r>
      <w:r w:rsidRPr="00E07F9A">
        <w:rPr>
          <w:rFonts w:ascii="Palatino Linotype" w:eastAsia="Palatino Linotype" w:hAnsi="Palatino Linotype" w:cs="Palatino Linotype"/>
          <w:i/>
          <w:sz w:val="22"/>
          <w:szCs w:val="22"/>
        </w:rPr>
        <w:t>. Se generen versiones públicas para dar cumplimiento a las obligaciones de transparencia previstas en esta Ley.</w:t>
      </w:r>
    </w:p>
    <w:p w:rsidR="00E07F9A" w:rsidRPr="00E07F9A" w:rsidRDefault="00E07F9A" w:rsidP="00E07F9A">
      <w:pPr>
        <w:spacing w:before="120" w:after="120"/>
        <w:ind w:left="851"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i/>
          <w:sz w:val="22"/>
          <w:szCs w:val="22"/>
        </w:rPr>
        <w:t>[…]</w:t>
      </w:r>
    </w:p>
    <w:p w:rsidR="00E07F9A" w:rsidRPr="00E07F9A" w:rsidRDefault="00E07F9A" w:rsidP="00E07F9A">
      <w:pPr>
        <w:spacing w:before="120" w:after="120"/>
        <w:ind w:left="851"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Artículo 143</w:t>
      </w:r>
      <w:r w:rsidRPr="00E07F9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I.</w:t>
      </w:r>
      <w:r w:rsidRPr="00E07F9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II.</w:t>
      </w:r>
      <w:r w:rsidRPr="00E07F9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III</w:t>
      </w:r>
      <w:r w:rsidRPr="00E07F9A">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E07F9A" w:rsidRPr="00E07F9A" w:rsidRDefault="00E07F9A" w:rsidP="00E07F9A">
      <w:pPr>
        <w:spacing w:before="120" w:after="120"/>
        <w:ind w:left="851"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E07F9A" w:rsidRPr="00E07F9A" w:rsidRDefault="00E07F9A" w:rsidP="00E07F9A">
      <w:pPr>
        <w:spacing w:before="120" w:after="120"/>
        <w:ind w:left="851"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E07F9A" w:rsidRPr="00E07F9A" w:rsidRDefault="00E07F9A" w:rsidP="00E07F9A">
      <w:pPr>
        <w:spacing w:before="240" w:after="240" w:line="360" w:lineRule="auto"/>
        <w:jc w:val="both"/>
        <w:rPr>
          <w:rFonts w:ascii="Palatino Linotype" w:eastAsia="Palatino Linotype" w:hAnsi="Palatino Linotype" w:cs="Palatino Linotype"/>
        </w:rPr>
      </w:pPr>
      <w:r w:rsidRPr="00E07F9A">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w:t>
      </w:r>
      <w:r w:rsidRPr="00E07F9A">
        <w:rPr>
          <w:rFonts w:ascii="Palatino Linotype" w:eastAsia="Palatino Linotype" w:hAnsi="Palatino Linotype" w:cs="Palatino Linotype"/>
        </w:rPr>
        <w:lastRenderedPageBreak/>
        <w:t>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E07F9A" w:rsidRPr="00E07F9A" w:rsidRDefault="00E07F9A" w:rsidP="00E07F9A">
      <w:pPr>
        <w:spacing w:before="240" w:after="240" w:line="360" w:lineRule="auto"/>
        <w:jc w:val="both"/>
        <w:rPr>
          <w:rFonts w:ascii="Palatino Linotype" w:eastAsia="Palatino Linotype" w:hAnsi="Palatino Linotype" w:cs="Palatino Linotype"/>
        </w:rPr>
      </w:pPr>
      <w:r w:rsidRPr="00E07F9A">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E07F9A" w:rsidRPr="00E07F9A" w:rsidRDefault="00E07F9A" w:rsidP="00E07F9A">
      <w:pPr>
        <w:spacing w:before="120" w:after="120"/>
        <w:ind w:left="851"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i/>
          <w:sz w:val="22"/>
          <w:szCs w:val="22"/>
        </w:rPr>
        <w:t>“</w:t>
      </w:r>
      <w:r w:rsidRPr="00E07F9A">
        <w:rPr>
          <w:rFonts w:ascii="Palatino Linotype" w:eastAsia="Palatino Linotype" w:hAnsi="Palatino Linotype" w:cs="Palatino Linotype"/>
          <w:b/>
          <w:i/>
          <w:sz w:val="22"/>
          <w:szCs w:val="22"/>
        </w:rPr>
        <w:t>Quincuagésimo sexto</w:t>
      </w:r>
      <w:r w:rsidRPr="00E07F9A">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E07F9A" w:rsidRPr="00E07F9A" w:rsidRDefault="00E07F9A" w:rsidP="00E07F9A">
      <w:pPr>
        <w:spacing w:before="120" w:after="120"/>
        <w:ind w:left="851"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Quincuagésimo séptimo</w:t>
      </w:r>
      <w:r w:rsidRPr="00E07F9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I</w:t>
      </w:r>
      <w:r w:rsidRPr="00E07F9A">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II.</w:t>
      </w:r>
      <w:r w:rsidRPr="00E07F9A">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E07F9A" w:rsidRPr="00E07F9A" w:rsidRDefault="00E07F9A" w:rsidP="00E07F9A">
      <w:pPr>
        <w:spacing w:before="120" w:after="120"/>
        <w:ind w:left="993"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III.</w:t>
      </w:r>
      <w:r w:rsidRPr="00E07F9A">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E07F9A" w:rsidRPr="00E07F9A" w:rsidRDefault="00E07F9A" w:rsidP="00E07F9A">
      <w:pPr>
        <w:spacing w:before="120" w:after="120"/>
        <w:ind w:left="851"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E07F9A" w:rsidRPr="00E07F9A" w:rsidRDefault="00E07F9A" w:rsidP="00E07F9A">
      <w:pPr>
        <w:spacing w:before="120" w:after="120"/>
        <w:ind w:left="851" w:right="902"/>
        <w:jc w:val="both"/>
        <w:rPr>
          <w:rFonts w:ascii="Palatino Linotype" w:eastAsia="Palatino Linotype" w:hAnsi="Palatino Linotype" w:cs="Palatino Linotype"/>
          <w:i/>
          <w:sz w:val="22"/>
          <w:szCs w:val="22"/>
        </w:rPr>
      </w:pPr>
      <w:r w:rsidRPr="00E07F9A">
        <w:rPr>
          <w:rFonts w:ascii="Palatino Linotype" w:eastAsia="Palatino Linotype" w:hAnsi="Palatino Linotype" w:cs="Palatino Linotype"/>
          <w:b/>
          <w:i/>
          <w:sz w:val="22"/>
          <w:szCs w:val="22"/>
        </w:rPr>
        <w:t>Quincuagésimo octavo</w:t>
      </w:r>
      <w:r w:rsidRPr="00E07F9A">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E07F9A" w:rsidRPr="00E07F9A" w:rsidRDefault="00E07F9A" w:rsidP="00E07F9A">
      <w:pPr>
        <w:spacing w:before="240" w:after="240" w:line="360" w:lineRule="auto"/>
        <w:jc w:val="both"/>
        <w:rPr>
          <w:rFonts w:ascii="Palatino Linotype" w:eastAsia="Palatino Linotype" w:hAnsi="Palatino Linotype" w:cs="Palatino Linotype"/>
        </w:rPr>
      </w:pPr>
      <w:r w:rsidRPr="00E07F9A">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E07F9A" w:rsidRPr="00E07F9A" w:rsidRDefault="00E07F9A" w:rsidP="00E07F9A">
      <w:pPr>
        <w:spacing w:before="240" w:after="240" w:line="360" w:lineRule="auto"/>
        <w:jc w:val="both"/>
        <w:rPr>
          <w:rFonts w:ascii="Palatino Linotype" w:eastAsia="Palatino Linotype" w:hAnsi="Palatino Linotype" w:cs="Palatino Linotype"/>
        </w:rPr>
      </w:pPr>
      <w:r w:rsidRPr="00E07F9A">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E07F9A" w:rsidRPr="00E07F9A" w:rsidTr="00E07F9A">
        <w:tc>
          <w:tcPr>
            <w:tcW w:w="4253" w:type="dxa"/>
            <w:gridSpan w:val="2"/>
            <w:tcBorders>
              <w:top w:val="nil"/>
              <w:left w:val="nil"/>
              <w:right w:val="nil"/>
            </w:tcBorders>
          </w:tcPr>
          <w:p w:rsidR="00E07F9A" w:rsidRPr="00E07F9A" w:rsidRDefault="00E07F9A" w:rsidP="00E07F9A">
            <w:pPr>
              <w:jc w:val="center"/>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E07F9A" w:rsidRPr="00E07F9A" w:rsidRDefault="00E07F9A" w:rsidP="00E07F9A">
            <w:pPr>
              <w:jc w:val="center"/>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Total</w:t>
            </w:r>
          </w:p>
        </w:tc>
      </w:tr>
      <w:tr w:rsidR="00E07F9A" w:rsidRPr="00E07F9A" w:rsidTr="00E07F9A">
        <w:tc>
          <w:tcPr>
            <w:tcW w:w="1134" w:type="dxa"/>
          </w:tcPr>
          <w:p w:rsidR="00E07F9A" w:rsidRPr="00E07F9A" w:rsidRDefault="00E07F9A" w:rsidP="00E07F9A">
            <w:pPr>
              <w:jc w:val="center"/>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Concepto</w:t>
            </w:r>
          </w:p>
        </w:tc>
        <w:tc>
          <w:tcPr>
            <w:tcW w:w="3119" w:type="dxa"/>
          </w:tcPr>
          <w:p w:rsidR="00E07F9A" w:rsidRPr="00E07F9A" w:rsidRDefault="00E07F9A" w:rsidP="00E07F9A">
            <w:pPr>
              <w:jc w:val="center"/>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Dónde</w:t>
            </w:r>
          </w:p>
        </w:tc>
        <w:tc>
          <w:tcPr>
            <w:tcW w:w="1129" w:type="dxa"/>
          </w:tcPr>
          <w:p w:rsidR="00E07F9A" w:rsidRPr="00E07F9A" w:rsidRDefault="00E07F9A" w:rsidP="00E07F9A">
            <w:pPr>
              <w:jc w:val="center"/>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Concepto</w:t>
            </w:r>
          </w:p>
        </w:tc>
        <w:tc>
          <w:tcPr>
            <w:tcW w:w="3446" w:type="dxa"/>
          </w:tcPr>
          <w:p w:rsidR="00E07F9A" w:rsidRPr="00E07F9A" w:rsidRDefault="00E07F9A" w:rsidP="00E07F9A">
            <w:pPr>
              <w:jc w:val="center"/>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Dónde</w:t>
            </w:r>
          </w:p>
        </w:tc>
      </w:tr>
      <w:tr w:rsidR="00E07F9A" w:rsidRPr="00E07F9A" w:rsidTr="00E07F9A">
        <w:tc>
          <w:tcPr>
            <w:tcW w:w="8828" w:type="dxa"/>
            <w:gridSpan w:val="4"/>
          </w:tcPr>
          <w:p w:rsidR="00E07F9A" w:rsidRPr="00E07F9A" w:rsidRDefault="00E07F9A" w:rsidP="00E07F9A">
            <w:pPr>
              <w:jc w:val="center"/>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Sello oficial o logotipo del sujeto obligado</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Fecha de clasificación</w:t>
            </w: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Fecha de clasificación</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Área</w:t>
            </w: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señalará el nombre del área del cual es titular quien clasifica.</w:t>
            </w: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Área</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señalará el nombre del área de la cual es el titular quien clasifica.</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Información reservada</w:t>
            </w: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Reservado</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Leyenda de información RESERVADA.</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Fundamento legal</w:t>
            </w: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Periodo de reserva</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Ampliación del periodo de reserva</w:t>
            </w: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Fundamento legal</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Confidencial</w:t>
            </w: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Ampliación del periodo de reserva</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Fundamento legal</w:t>
            </w: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Confidencial</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Leyenda de información CONFIDENCIAL.</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lastRenderedPageBreak/>
              <w:t>Rúbrica del titular del área</w:t>
            </w: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Rúbrica autógrafa de quien clasifica.</w:t>
            </w: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Fundamento legal</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Fecha de desclasificación</w:t>
            </w: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anotará la fecha en que se desclasifica el documento.</w:t>
            </w: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Rúbrica del titular del área</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Rúbrica autógrafa de quien clasifica.</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Rúbrica y cargo del servidor público</w:t>
            </w: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Rúbrica autógrafa de quien desclasifica.</w:t>
            </w: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Fecha de desclasificación</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Se anotará la fecha en que se desclasifica.</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Partes o secciones reservadas o confidenciales</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E07F9A" w:rsidRPr="00E07F9A" w:rsidTr="00E07F9A">
        <w:tc>
          <w:tcPr>
            <w:tcW w:w="1134" w:type="dxa"/>
          </w:tcPr>
          <w:p w:rsidR="00E07F9A" w:rsidRPr="00E07F9A" w:rsidRDefault="00E07F9A" w:rsidP="00E07F9A">
            <w:pPr>
              <w:jc w:val="both"/>
              <w:rPr>
                <w:rFonts w:ascii="Palatino Linotype" w:eastAsia="Palatino Linotype" w:hAnsi="Palatino Linotype" w:cs="Palatino Linotype"/>
                <w:b/>
                <w:sz w:val="12"/>
                <w:szCs w:val="12"/>
              </w:rPr>
            </w:pPr>
          </w:p>
        </w:tc>
        <w:tc>
          <w:tcPr>
            <w:tcW w:w="3119" w:type="dxa"/>
          </w:tcPr>
          <w:p w:rsidR="00E07F9A" w:rsidRPr="00E07F9A" w:rsidRDefault="00E07F9A" w:rsidP="00E07F9A">
            <w:pPr>
              <w:jc w:val="both"/>
              <w:rPr>
                <w:rFonts w:ascii="Palatino Linotype" w:eastAsia="Palatino Linotype" w:hAnsi="Palatino Linotype" w:cs="Palatino Linotype"/>
                <w:sz w:val="12"/>
                <w:szCs w:val="12"/>
              </w:rPr>
            </w:pPr>
          </w:p>
        </w:tc>
        <w:tc>
          <w:tcPr>
            <w:tcW w:w="1129" w:type="dxa"/>
          </w:tcPr>
          <w:p w:rsidR="00E07F9A" w:rsidRPr="00E07F9A" w:rsidRDefault="00E07F9A" w:rsidP="00E07F9A">
            <w:pPr>
              <w:jc w:val="both"/>
              <w:rPr>
                <w:rFonts w:ascii="Palatino Linotype" w:eastAsia="Palatino Linotype" w:hAnsi="Palatino Linotype" w:cs="Palatino Linotype"/>
                <w:b/>
                <w:sz w:val="12"/>
                <w:szCs w:val="12"/>
              </w:rPr>
            </w:pPr>
            <w:r w:rsidRPr="00E07F9A">
              <w:rPr>
                <w:rFonts w:ascii="Palatino Linotype" w:eastAsia="Palatino Linotype" w:hAnsi="Palatino Linotype" w:cs="Palatino Linotype"/>
                <w:b/>
                <w:sz w:val="12"/>
                <w:szCs w:val="12"/>
              </w:rPr>
              <w:t>Rúbrica y cargo del servidor público</w:t>
            </w:r>
          </w:p>
        </w:tc>
        <w:tc>
          <w:tcPr>
            <w:tcW w:w="3446" w:type="dxa"/>
          </w:tcPr>
          <w:p w:rsidR="00E07F9A" w:rsidRPr="00E07F9A" w:rsidRDefault="00E07F9A" w:rsidP="00E07F9A">
            <w:pPr>
              <w:jc w:val="both"/>
              <w:rPr>
                <w:rFonts w:ascii="Palatino Linotype" w:eastAsia="Palatino Linotype" w:hAnsi="Palatino Linotype" w:cs="Palatino Linotype"/>
                <w:sz w:val="12"/>
                <w:szCs w:val="12"/>
              </w:rPr>
            </w:pPr>
            <w:r w:rsidRPr="00E07F9A">
              <w:rPr>
                <w:rFonts w:ascii="Palatino Linotype" w:eastAsia="Palatino Linotype" w:hAnsi="Palatino Linotype" w:cs="Palatino Linotype"/>
                <w:sz w:val="12"/>
                <w:szCs w:val="12"/>
              </w:rPr>
              <w:t>Rúbrica autógrafa de quien desclasifica.</w:t>
            </w:r>
          </w:p>
        </w:tc>
      </w:tr>
    </w:tbl>
    <w:p w:rsidR="00E07F9A" w:rsidRDefault="00E07F9A" w:rsidP="00E07F9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E07F9A" w:rsidRDefault="00E07F9A" w:rsidP="00E07F9A">
      <w:pPr>
        <w:numPr>
          <w:ilvl w:val="0"/>
          <w:numId w:val="9"/>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E07F9A" w:rsidRDefault="00E07F9A" w:rsidP="00E07F9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w:t>
      </w:r>
      <w:r>
        <w:rPr>
          <w:rFonts w:ascii="Palatino Linotype" w:eastAsia="Palatino Linotype" w:hAnsi="Palatino Linotype" w:cs="Palatino Linotype"/>
          <w:b/>
        </w:rPr>
        <w:t>fundado</w:t>
      </w:r>
      <w:r>
        <w:rPr>
          <w:rFonts w:ascii="Palatino Linotype" w:eastAsia="Palatino Linotype" w:hAnsi="Palatino Linotype" w:cs="Palatino Linotype"/>
        </w:rPr>
        <w:t xml:space="preserve"> el motivo de inconformidad planteado por el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01849/INFOEM/IP/RR/2022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sidRPr="00E07F9A">
        <w:rPr>
          <w:rFonts w:ascii="Palatino Linotype" w:eastAsia="Palatino Linotype" w:hAnsi="Palatino Linotype" w:cs="Palatino Linotype"/>
          <w:b/>
        </w:rPr>
        <w:t>Ayuntamiento de Atizapán de Zaragoza</w:t>
      </w:r>
      <w:r>
        <w:rPr>
          <w:rFonts w:ascii="Palatino Linotype" w:eastAsia="Palatino Linotype" w:hAnsi="Palatino Linotype" w:cs="Palatino Linotype"/>
        </w:rPr>
        <w:t>.</w:t>
      </w:r>
    </w:p>
    <w:p w:rsidR="00E07F9A" w:rsidRDefault="00E07F9A" w:rsidP="00E07F9A">
      <w:pPr>
        <w:spacing w:before="240" w:after="240" w:line="360" w:lineRule="auto"/>
        <w:ind w:right="49"/>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al Suj</w:t>
      </w:r>
      <w:r w:rsidR="0033592C">
        <w:rPr>
          <w:rFonts w:ascii="Palatino Linotype" w:eastAsia="Palatino Linotype" w:hAnsi="Palatino Linotype" w:cs="Palatino Linotype"/>
        </w:rPr>
        <w:t>eto Obligado que en términos de los</w:t>
      </w:r>
      <w:r>
        <w:rPr>
          <w:rFonts w:ascii="Palatino Linotype" w:eastAsia="Palatino Linotype" w:hAnsi="Palatino Linotype" w:cs="Palatino Linotype"/>
        </w:rPr>
        <w:t xml:space="preserve"> </w:t>
      </w:r>
      <w:r>
        <w:rPr>
          <w:rFonts w:ascii="Palatino Linotype" w:eastAsia="Palatino Linotype" w:hAnsi="Palatino Linotype" w:cs="Palatino Linotype"/>
          <w:b/>
        </w:rPr>
        <w:t>Considerando</w:t>
      </w:r>
      <w:r w:rsidR="0033592C">
        <w:rPr>
          <w:rFonts w:ascii="Palatino Linotype" w:eastAsia="Palatino Linotype" w:hAnsi="Palatino Linotype" w:cs="Palatino Linotype"/>
          <w:b/>
        </w:rPr>
        <w:t>s</w:t>
      </w:r>
      <w:r>
        <w:rPr>
          <w:rFonts w:ascii="Palatino Linotype" w:eastAsia="Palatino Linotype" w:hAnsi="Palatino Linotype" w:cs="Palatino Linotype"/>
          <w:b/>
        </w:rPr>
        <w:t xml:space="preserve"> Cuarto </w:t>
      </w:r>
      <w:r w:rsidR="0033592C">
        <w:rPr>
          <w:rFonts w:ascii="Palatino Linotype" w:eastAsia="Palatino Linotype" w:hAnsi="Palatino Linotype" w:cs="Palatino Linotype"/>
          <w:b/>
        </w:rPr>
        <w:t xml:space="preserve">y Quinto </w:t>
      </w:r>
      <w:r>
        <w:rPr>
          <w:rFonts w:ascii="Palatino Linotype" w:eastAsia="Palatino Linotype" w:hAnsi="Palatino Linotype" w:cs="Palatino Linotype"/>
        </w:rPr>
        <w:t xml:space="preserve">de esta resolución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 xml:space="preserve">SAIMEX, </w:t>
      </w:r>
      <w:r w:rsidR="00601BEA">
        <w:rPr>
          <w:rFonts w:ascii="Palatino Linotype" w:eastAsia="Palatino Linotype" w:hAnsi="Palatino Linotype" w:cs="Palatino Linotype"/>
          <w:b/>
        </w:rPr>
        <w:t xml:space="preserve">en formato abierto pdf, </w:t>
      </w:r>
      <w:r>
        <w:rPr>
          <w:rFonts w:ascii="Palatino Linotype" w:eastAsia="Palatino Linotype" w:hAnsi="Palatino Linotype" w:cs="Palatino Linotype"/>
        </w:rPr>
        <w:t>de lo siguiente:</w:t>
      </w:r>
    </w:p>
    <w:p w:rsidR="00E07F9A" w:rsidRDefault="00E07F9A" w:rsidP="00E07F9A">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00000"/>
          <w:sz w:val="22"/>
          <w:lang w:val="es-ES_tradnl"/>
        </w:rPr>
      </w:pPr>
      <w:r>
        <w:rPr>
          <w:rFonts w:ascii="Palatino Linotype" w:eastAsia="Palatino Linotype" w:hAnsi="Palatino Linotype" w:cs="Palatino Linotype"/>
        </w:rPr>
        <w:t>•</w:t>
      </w:r>
      <w:r w:rsidRPr="00E07F9A">
        <w:rPr>
          <w:rFonts w:ascii="Palatino Linotype" w:eastAsia="Palatino Linotype" w:hAnsi="Palatino Linotype" w:cs="Palatino Linotype"/>
          <w:i/>
          <w:color w:val="000000"/>
          <w:lang w:val="es-ES_tradnl"/>
        </w:rPr>
        <w:t xml:space="preserve"> </w:t>
      </w:r>
      <w:r w:rsidR="0033592C">
        <w:rPr>
          <w:rFonts w:ascii="Palatino Linotype" w:eastAsia="Palatino Linotype" w:hAnsi="Palatino Linotype" w:cs="Palatino Linotype"/>
          <w:i/>
          <w:color w:val="000000"/>
          <w:sz w:val="22"/>
          <w:lang w:val="es-ES_tradnl"/>
        </w:rPr>
        <w:t xml:space="preserve">Número de denuncias, </w:t>
      </w:r>
      <w:r w:rsidRPr="00E07F9A">
        <w:rPr>
          <w:rFonts w:ascii="Palatino Linotype" w:eastAsia="Palatino Linotype" w:hAnsi="Palatino Linotype" w:cs="Palatino Linotype"/>
          <w:i/>
          <w:color w:val="000000"/>
          <w:sz w:val="22"/>
          <w:lang w:val="es-ES_tradnl"/>
        </w:rPr>
        <w:t xml:space="preserve">ubicación de ser el caso y el estado de dichas denuncias, presentadas ante </w:t>
      </w:r>
      <w:r w:rsidR="00A17B70">
        <w:rPr>
          <w:rFonts w:ascii="Palatino Linotype" w:eastAsia="Palatino Linotype" w:hAnsi="Palatino Linotype" w:cs="Palatino Linotype"/>
          <w:i/>
          <w:color w:val="000000"/>
          <w:sz w:val="22"/>
          <w:lang w:val="es-ES_tradnl"/>
        </w:rPr>
        <w:t>l</w:t>
      </w:r>
      <w:r w:rsidR="00A17B70" w:rsidRPr="00A17B70">
        <w:rPr>
          <w:rFonts w:ascii="Palatino Linotype" w:eastAsia="Palatino Linotype" w:hAnsi="Palatino Linotype" w:cs="Palatino Linotype"/>
          <w:i/>
          <w:color w:val="000000"/>
          <w:sz w:val="22"/>
          <w:lang w:val="es-ES_tradnl"/>
        </w:rPr>
        <w:t>a Coordinación Municipal de Protección Civil, Bomberos y Medio Ambiente</w:t>
      </w:r>
      <w:r w:rsidRPr="00E07F9A">
        <w:rPr>
          <w:rFonts w:ascii="Palatino Linotype" w:eastAsia="Palatino Linotype" w:hAnsi="Palatino Linotype" w:cs="Palatino Linotype"/>
          <w:i/>
          <w:color w:val="000000"/>
          <w:sz w:val="22"/>
          <w:lang w:val="es-ES_tradnl"/>
        </w:rPr>
        <w:t xml:space="preserve"> durante el periodo comprendido del primero de enero de dos mil quince al diez de julio de dos mil veintiuno.</w:t>
      </w:r>
    </w:p>
    <w:p w:rsidR="00A17B70" w:rsidRDefault="00A17B70" w:rsidP="00E07F9A">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00000"/>
          <w:sz w:val="22"/>
          <w:lang w:val="es-ES_tradnl"/>
        </w:rPr>
      </w:pPr>
    </w:p>
    <w:p w:rsidR="0033592C" w:rsidRPr="00A17B70" w:rsidRDefault="00A17B70" w:rsidP="00385577">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00000"/>
          <w:sz w:val="22"/>
        </w:rPr>
      </w:pPr>
      <w:r w:rsidRPr="00A17B70">
        <w:rPr>
          <w:rFonts w:ascii="Palatino Linotype" w:eastAsia="Palatino Linotype" w:hAnsi="Palatino Linotype" w:cs="Palatino Linotype"/>
          <w:i/>
          <w:color w:val="000000"/>
          <w:sz w:val="22"/>
        </w:rPr>
        <w:t>De ser el caso en el que la entrega del documento se dé en versión pública, deberá emitir el Acuerdo del Comité de Transparencia en términos de la Ley de Transparencia y Acceso a la Información Pública del Estado de México y Municipios, en el que funde y motive las razones sobre los datos que se supriman o eliminen</w:t>
      </w:r>
      <w:r>
        <w:rPr>
          <w:rFonts w:ascii="Palatino Linotype" w:eastAsia="Palatino Linotype" w:hAnsi="Palatino Linotype" w:cs="Palatino Linotype"/>
          <w:i/>
          <w:color w:val="000000"/>
          <w:sz w:val="22"/>
        </w:rPr>
        <w:t xml:space="preserve"> y se ponga a disposición del </w:t>
      </w:r>
      <w:r w:rsidRPr="00A17B70">
        <w:rPr>
          <w:rFonts w:ascii="Palatino Linotype" w:eastAsia="Palatino Linotype" w:hAnsi="Palatino Linotype" w:cs="Palatino Linotype"/>
          <w:b/>
          <w:i/>
          <w:color w:val="000000"/>
          <w:sz w:val="22"/>
        </w:rPr>
        <w:t>Recurrente</w:t>
      </w:r>
      <w:r w:rsidRPr="00A17B70">
        <w:rPr>
          <w:rFonts w:ascii="Palatino Linotype" w:eastAsia="Palatino Linotype" w:hAnsi="Palatino Linotype" w:cs="Palatino Linotype"/>
          <w:i/>
          <w:color w:val="000000"/>
          <w:sz w:val="22"/>
        </w:rPr>
        <w:t>.</w:t>
      </w:r>
    </w:p>
    <w:p w:rsidR="0033592C" w:rsidRDefault="00E07F9A" w:rsidP="00E07F9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3592C" w:rsidRDefault="0033592C" w:rsidP="00E07F9A">
      <w:pPr>
        <w:spacing w:before="240" w:after="240" w:line="360" w:lineRule="auto"/>
        <w:jc w:val="both"/>
        <w:rPr>
          <w:rFonts w:ascii="Palatino Linotype" w:eastAsia="Palatino Linotype" w:hAnsi="Palatino Linotype" w:cs="Palatino Linotype"/>
        </w:rPr>
      </w:pPr>
    </w:p>
    <w:p w:rsidR="00E07F9A" w:rsidRDefault="00E07F9A" w:rsidP="00E07F9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3592C" w:rsidRDefault="0033592C" w:rsidP="00E07F9A">
      <w:pPr>
        <w:spacing w:line="360" w:lineRule="auto"/>
        <w:jc w:val="both"/>
        <w:rPr>
          <w:rFonts w:ascii="Palatino Linotype" w:eastAsia="Palatino Linotype" w:hAnsi="Palatino Linotype" w:cs="Palatino Linotype"/>
        </w:rPr>
      </w:pPr>
    </w:p>
    <w:p w:rsidR="00E07F9A" w:rsidRDefault="00E07F9A" w:rsidP="00E07F9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Quinto. Notifíquese, vía Sistema de Acceso a la Información Mexiquense (SAIMEX), </w:t>
      </w:r>
      <w:r>
        <w:rPr>
          <w:rFonts w:ascii="Palatino Linotype" w:eastAsia="Palatino Linotype" w:hAnsi="Palatino Linotype" w:cs="Palatino Linotype"/>
        </w:rPr>
        <w:t xml:space="preserve">la presente resolución a la parte recurrente, 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w:t>
      </w:r>
      <w:r>
        <w:rPr>
          <w:rFonts w:ascii="Palatino Linotype" w:eastAsia="Palatino Linotype" w:hAnsi="Palatino Linotype" w:cs="Palatino Linotype"/>
        </w:rPr>
        <w:lastRenderedPageBreak/>
        <w:t>Acceso a la Información Pública del Estado de México y Municipios</w:t>
      </w:r>
      <w:r>
        <w:rPr>
          <w:rFonts w:ascii="Palatino Linotype" w:eastAsia="Palatino Linotype" w:hAnsi="Palatino Linotype" w:cs="Palatino Linotype"/>
          <w:color w:val="000000"/>
        </w:rPr>
        <w:t>, o bien, vía Juicio de Amparo en los términos de las leyes aplicables.</w:t>
      </w:r>
    </w:p>
    <w:p w:rsidR="00913A86" w:rsidRDefault="00610BD4">
      <w:pPr>
        <w:spacing w:before="240" w:after="240" w:line="360" w:lineRule="auto"/>
        <w:jc w:val="both"/>
        <w:rPr>
          <w:rFonts w:ascii="Palatino Linotype" w:eastAsia="Palatino Linotype" w:hAnsi="Palatino Linotype" w:cs="Palatino Linotype"/>
        </w:rPr>
        <w:sectPr w:rsidR="00913A86">
          <w:headerReference w:type="default" r:id="rId27"/>
          <w:footerReference w:type="default" r:id="rId28"/>
          <w:headerReference w:type="first" r:id="rId29"/>
          <w:footerReference w:type="first" r:id="rId30"/>
          <w:pgSz w:w="12240" w:h="15840"/>
          <w:pgMar w:top="1417" w:right="1750" w:bottom="1417" w:left="1701" w:header="708" w:footer="708"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65408" behindDoc="0" locked="0" layoutInCell="1" allowOverlap="1">
                <wp:simplePos x="0" y="0"/>
                <wp:positionH relativeFrom="column">
                  <wp:posOffset>110489</wp:posOffset>
                </wp:positionH>
                <wp:positionV relativeFrom="paragraph">
                  <wp:posOffset>2731769</wp:posOffset>
                </wp:positionV>
                <wp:extent cx="5248275" cy="37814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248275" cy="3781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10DFF2" id="Conector recto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7pt,215.1pt" to="421.95pt,5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" strokecolor="black [3040]"/>
            </w:pict>
          </mc:Fallback>
        </mc:AlternateContent>
      </w:r>
      <w:r w:rsidR="002F08A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083AB8">
        <w:rPr>
          <w:rFonts w:ascii="Palatino Linotype" w:eastAsia="Palatino Linotype" w:hAnsi="Palatino Linotype" w:cs="Palatino Linotype"/>
        </w:rPr>
        <w:t xml:space="preserve">SHARON CRISTINA MORALES MARTÍNEZ, </w:t>
      </w:r>
      <w:r w:rsidR="002F08A5">
        <w:rPr>
          <w:rFonts w:ascii="Palatino Linotype" w:eastAsia="Palatino Linotype" w:hAnsi="Palatino Linotype" w:cs="Palatino Linotype"/>
        </w:rPr>
        <w:t>LUIS GUSTAVO PARRA NORIEGA Y GUAD</w:t>
      </w:r>
      <w:r w:rsidR="00ED13AA">
        <w:rPr>
          <w:rFonts w:ascii="Palatino Linotype" w:eastAsia="Palatino Linotype" w:hAnsi="Palatino Linotype" w:cs="Palatino Linotype"/>
        </w:rPr>
        <w:t>ALUPE</w:t>
      </w:r>
      <w:r w:rsidR="00A17B70">
        <w:rPr>
          <w:rFonts w:ascii="Palatino Linotype" w:eastAsia="Palatino Linotype" w:hAnsi="Palatino Linotype" w:cs="Palatino Linotype"/>
        </w:rPr>
        <w:t xml:space="preserve"> RAMÍREZ PEÑA; EN LA DÉCIMO SEX</w:t>
      </w:r>
      <w:r w:rsidR="00ED13AA">
        <w:rPr>
          <w:rFonts w:ascii="Palatino Linotype" w:eastAsia="Palatino Linotype" w:hAnsi="Palatino Linotype" w:cs="Palatino Linotype"/>
        </w:rPr>
        <w:t>TA</w:t>
      </w:r>
      <w:r w:rsidR="002F08A5">
        <w:rPr>
          <w:rFonts w:ascii="Palatino Linotype" w:eastAsia="Palatino Linotype" w:hAnsi="Palatino Linotype" w:cs="Palatino Linotype"/>
        </w:rPr>
        <w:t xml:space="preserve"> SE</w:t>
      </w:r>
      <w:r w:rsidR="00ED13AA">
        <w:rPr>
          <w:rFonts w:ascii="Palatino Linotype" w:eastAsia="Palatino Linotype" w:hAnsi="Palatino Linotype" w:cs="Palatino Linotype"/>
        </w:rPr>
        <w:t>S</w:t>
      </w:r>
      <w:r w:rsidR="00A17B70">
        <w:rPr>
          <w:rFonts w:ascii="Palatino Linotype" w:eastAsia="Palatino Linotype" w:hAnsi="Palatino Linotype" w:cs="Palatino Linotype"/>
        </w:rPr>
        <w:t>IÓN ORDINARIA CELEBRADA EL CUATRO DE MAYO</w:t>
      </w:r>
      <w:r w:rsidR="002F08A5">
        <w:rPr>
          <w:rFonts w:ascii="Palatino Linotype" w:eastAsia="Palatino Linotype" w:hAnsi="Palatino Linotype" w:cs="Palatino Linotype"/>
        </w:rPr>
        <w:t xml:space="preserve"> DEL DOS MIL VEINTIDÓS, ANTE EL SECRETARIO TÉCNICO DEL PLENO, ALEXIS TAPIA RAMÍREZ.</w:t>
      </w: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913A86">
      <w:headerReference w:type="first" r:id="rId31"/>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6D7" w:rsidRDefault="00C916D7">
      <w:r>
        <w:separator/>
      </w:r>
    </w:p>
  </w:endnote>
  <w:endnote w:type="continuationSeparator" w:id="0">
    <w:p w:rsidR="00C916D7" w:rsidRDefault="00C91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F9A" w:rsidRDefault="00E07F9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F7AB1">
      <w:rPr>
        <w:rFonts w:ascii="Arial" w:eastAsia="Arial" w:hAnsi="Arial" w:cs="Arial"/>
        <w:b/>
        <w:noProof/>
        <w:color w:val="000000"/>
        <w:sz w:val="20"/>
        <w:szCs w:val="20"/>
      </w:rPr>
      <w:t>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F7AB1">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rsidR="00E07F9A" w:rsidRDefault="00E07F9A">
    <w:pPr>
      <w:pBdr>
        <w:top w:val="nil"/>
        <w:left w:val="nil"/>
        <w:bottom w:val="nil"/>
        <w:right w:val="nil"/>
        <w:between w:val="nil"/>
      </w:pBdr>
      <w:tabs>
        <w:tab w:val="center" w:pos="4252"/>
        <w:tab w:val="right" w:pos="8504"/>
      </w:tabs>
      <w:rPr>
        <w:color w:val="000000"/>
      </w:rPr>
    </w:pPr>
  </w:p>
  <w:p w:rsidR="00E07F9A" w:rsidRDefault="00E07F9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F9A" w:rsidRDefault="00E07F9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F7AB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F7AB1">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rsidR="00E07F9A" w:rsidRDefault="00E07F9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6D7" w:rsidRDefault="00C916D7">
      <w:r>
        <w:separator/>
      </w:r>
    </w:p>
  </w:footnote>
  <w:footnote w:type="continuationSeparator" w:id="0">
    <w:p w:rsidR="00C916D7" w:rsidRDefault="00C916D7">
      <w:r>
        <w:continuationSeparator/>
      </w:r>
    </w:p>
  </w:footnote>
  <w:footnote w:id="1">
    <w:p w:rsidR="00E07F9A" w:rsidRPr="00AE2EE9" w:rsidRDefault="00E07F9A" w:rsidP="00E07F9A">
      <w:pPr>
        <w:pStyle w:val="Textonotapie"/>
        <w:rPr>
          <w:rFonts w:ascii="Palatino Linotype" w:hAnsi="Palatino Linotype"/>
        </w:rPr>
      </w:pPr>
      <w:r>
        <w:rPr>
          <w:rStyle w:val="Refdenotaalpie"/>
        </w:rPr>
        <w:footnoteRef/>
      </w:r>
      <w:r>
        <w:t xml:space="preserve"> </w:t>
      </w:r>
      <w:r w:rsidRPr="00AE2EE9">
        <w:rPr>
          <w:rFonts w:ascii="Palatino Linotype" w:hAnsi="Palatino Linotype"/>
        </w:rPr>
        <w:t>Consultable en: http://fiscaltransparency.net/documents/01-Que_son_los_datos_abiertos.pdf</w:t>
      </w:r>
    </w:p>
    <w:p w:rsidR="00E07F9A" w:rsidRDefault="00E07F9A" w:rsidP="00E07F9A">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F9A" w:rsidRDefault="00E07F9A">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30F758F" wp14:editId="431DD72D">
          <wp:simplePos x="0" y="0"/>
          <wp:positionH relativeFrom="page">
            <wp:align>right</wp:align>
          </wp:positionH>
          <wp:positionV relativeFrom="paragraph">
            <wp:posOffset>-349250</wp:posOffset>
          </wp:positionV>
          <wp:extent cx="7635600" cy="9943200"/>
          <wp:effectExtent l="0" t="0" r="3810" b="1270"/>
          <wp:wrapNone/>
          <wp:docPr id="5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240" w:type="dxa"/>
      <w:tblInd w:w="3746" w:type="dxa"/>
      <w:tblLayout w:type="fixed"/>
      <w:tblLook w:val="0400" w:firstRow="0" w:lastRow="0" w:firstColumn="0" w:lastColumn="0" w:noHBand="0" w:noVBand="1"/>
    </w:tblPr>
    <w:tblGrid>
      <w:gridCol w:w="2553"/>
      <w:gridCol w:w="3687"/>
    </w:tblGrid>
    <w:tr w:rsidR="00E07F9A">
      <w:tc>
        <w:tcPr>
          <w:tcW w:w="2553" w:type="dxa"/>
          <w:vAlign w:val="center"/>
        </w:tcPr>
        <w:p w:rsidR="00E07F9A" w:rsidRDefault="00E07F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E07F9A" w:rsidRDefault="00E07F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01849/INFOEM/IP/RR/2022</w:t>
          </w:r>
        </w:p>
      </w:tc>
    </w:tr>
    <w:tr w:rsidR="00E07F9A">
      <w:trPr>
        <w:trHeight w:val="228"/>
      </w:trPr>
      <w:tc>
        <w:tcPr>
          <w:tcW w:w="2553" w:type="dxa"/>
          <w:vAlign w:val="center"/>
        </w:tcPr>
        <w:p w:rsidR="00E07F9A" w:rsidRDefault="00E07F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E07F9A" w:rsidRDefault="00E07F9A">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E07F9A">
      <w:tc>
        <w:tcPr>
          <w:tcW w:w="2553" w:type="dxa"/>
          <w:vAlign w:val="center"/>
        </w:tcPr>
        <w:p w:rsidR="00E07F9A" w:rsidRDefault="00E07F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E07F9A" w:rsidRDefault="00E07F9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07F9A" w:rsidRDefault="00E07F9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E07F9A" w:rsidRDefault="00E07F9A">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F9A" w:rsidRDefault="00E07F9A">
    <w:pPr>
      <w:pBdr>
        <w:top w:val="nil"/>
        <w:left w:val="nil"/>
        <w:bottom w:val="nil"/>
        <w:right w:val="nil"/>
        <w:between w:val="nil"/>
      </w:pBdr>
      <w:tabs>
        <w:tab w:val="center" w:pos="4252"/>
        <w:tab w:val="right" w:pos="8504"/>
      </w:tabs>
      <w:jc w:val="both"/>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AC36F88" wp14:editId="169A9A76">
          <wp:simplePos x="0" y="0"/>
          <wp:positionH relativeFrom="page">
            <wp:align>right</wp:align>
          </wp:positionH>
          <wp:positionV relativeFrom="paragraph">
            <wp:posOffset>-390525</wp:posOffset>
          </wp:positionV>
          <wp:extent cx="7635600" cy="9943200"/>
          <wp:effectExtent l="0" t="0" r="3810" b="1270"/>
          <wp:wrapNone/>
          <wp:docPr id="5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r>
      <w:rPr>
        <w:rFonts w:ascii="Cambria" w:eastAsia="Cambria" w:hAnsi="Cambria" w:cs="Cambria"/>
        <w:color w:val="000000"/>
      </w:rPr>
      <w:t xml:space="preserve">                                  </w:t>
    </w:r>
  </w:p>
  <w:tbl>
    <w:tblPr>
      <w:tblStyle w:val="a0"/>
      <w:tblW w:w="6240" w:type="dxa"/>
      <w:tblInd w:w="3685" w:type="dxa"/>
      <w:tblLayout w:type="fixed"/>
      <w:tblLook w:val="0400" w:firstRow="0" w:lastRow="0" w:firstColumn="0" w:lastColumn="0" w:noHBand="0" w:noVBand="1"/>
    </w:tblPr>
    <w:tblGrid>
      <w:gridCol w:w="2553"/>
      <w:gridCol w:w="3687"/>
    </w:tblGrid>
    <w:tr w:rsidR="00E07F9A">
      <w:tc>
        <w:tcPr>
          <w:tcW w:w="2553" w:type="dxa"/>
          <w:vAlign w:val="center"/>
        </w:tcPr>
        <w:p w:rsidR="00E07F9A" w:rsidRDefault="00E07F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E07F9A" w:rsidRDefault="00E07F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01849/INFOEM/IP/RR/2022</w:t>
          </w:r>
        </w:p>
      </w:tc>
    </w:tr>
    <w:tr w:rsidR="00E07F9A">
      <w:tc>
        <w:tcPr>
          <w:tcW w:w="2553" w:type="dxa"/>
          <w:vAlign w:val="center"/>
        </w:tcPr>
        <w:p w:rsidR="00E07F9A" w:rsidRDefault="00E07F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E07F9A" w:rsidRDefault="00EF7AB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E07F9A">
      <w:trPr>
        <w:trHeight w:val="228"/>
      </w:trPr>
      <w:tc>
        <w:tcPr>
          <w:tcW w:w="2553" w:type="dxa"/>
          <w:vAlign w:val="center"/>
        </w:tcPr>
        <w:p w:rsidR="00E07F9A" w:rsidRDefault="00E07F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E07F9A" w:rsidRDefault="00E07F9A">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E07F9A">
      <w:tc>
        <w:tcPr>
          <w:tcW w:w="2553" w:type="dxa"/>
          <w:vAlign w:val="center"/>
        </w:tcPr>
        <w:p w:rsidR="00E07F9A" w:rsidRDefault="00E07F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E07F9A" w:rsidRDefault="00E07F9A" w:rsidP="00892A9B">
          <w:pPr>
            <w:ind w:right="5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07F9A" w:rsidRDefault="00E07F9A">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F9A" w:rsidRDefault="00E07F9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E07F9A" w:rsidRDefault="00E07F9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F3628"/>
    <w:multiLevelType w:val="multilevel"/>
    <w:tmpl w:val="B0E6F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4D5E81"/>
    <w:multiLevelType w:val="multilevel"/>
    <w:tmpl w:val="AA5E7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4122E0B"/>
    <w:multiLevelType w:val="multilevel"/>
    <w:tmpl w:val="E496EA5A"/>
    <w:lvl w:ilvl="0">
      <w:start w:val="1"/>
      <w:numFmt w:val="decimal"/>
      <w:lvlText w:val="%1."/>
      <w:lvlJc w:val="left"/>
      <w:pPr>
        <w:ind w:left="72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8D7DD2"/>
    <w:multiLevelType w:val="multilevel"/>
    <w:tmpl w:val="73AE6E8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7E42F3A"/>
    <w:multiLevelType w:val="hybridMultilevel"/>
    <w:tmpl w:val="E51AAD2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2FA50276"/>
    <w:multiLevelType w:val="multilevel"/>
    <w:tmpl w:val="0F208FEC"/>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6">
    <w:nsid w:val="37561106"/>
    <w:multiLevelType w:val="multilevel"/>
    <w:tmpl w:val="73EA37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32B007A"/>
    <w:multiLevelType w:val="multilevel"/>
    <w:tmpl w:val="002E21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nsid w:val="52AE27CD"/>
    <w:multiLevelType w:val="multilevel"/>
    <w:tmpl w:val="3F92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CF5196"/>
    <w:multiLevelType w:val="multilevel"/>
    <w:tmpl w:val="573C27C8"/>
    <w:lvl w:ilvl="0">
      <w:start w:val="7"/>
      <w:numFmt w:val="bullet"/>
      <w:lvlText w:val="-"/>
      <w:lvlJc w:val="left"/>
      <w:pPr>
        <w:ind w:left="786" w:hanging="360"/>
      </w:pPr>
      <w:rPr>
        <w:rFonts w:ascii="Palatino Linotype" w:eastAsia="Palatino Linotype" w:hAnsi="Palatino Linotype" w:cs="Palatino Linotype"/>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5"/>
  </w:num>
  <w:num w:numId="2">
    <w:abstractNumId w:val="9"/>
  </w:num>
  <w:num w:numId="3">
    <w:abstractNumId w:val="6"/>
  </w:num>
  <w:num w:numId="4">
    <w:abstractNumId w:val="1"/>
  </w:num>
  <w:num w:numId="5">
    <w:abstractNumId w:val="0"/>
  </w:num>
  <w:num w:numId="6">
    <w:abstractNumId w:val="7"/>
  </w:num>
  <w:num w:numId="7">
    <w:abstractNumId w:val="8"/>
  </w:num>
  <w:num w:numId="8">
    <w:abstractNumId w:val="4"/>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86"/>
    <w:rsid w:val="00051DB5"/>
    <w:rsid w:val="0006552A"/>
    <w:rsid w:val="00083AB8"/>
    <w:rsid w:val="000921AA"/>
    <w:rsid w:val="000938A5"/>
    <w:rsid w:val="00151282"/>
    <w:rsid w:val="0018385E"/>
    <w:rsid w:val="00191638"/>
    <w:rsid w:val="001A0EDF"/>
    <w:rsid w:val="001E3BC9"/>
    <w:rsid w:val="00226668"/>
    <w:rsid w:val="0023050A"/>
    <w:rsid w:val="00234F97"/>
    <w:rsid w:val="00243757"/>
    <w:rsid w:val="00296B89"/>
    <w:rsid w:val="002D5CF2"/>
    <w:rsid w:val="002F08A5"/>
    <w:rsid w:val="00317824"/>
    <w:rsid w:val="00320E40"/>
    <w:rsid w:val="0033050B"/>
    <w:rsid w:val="0033592C"/>
    <w:rsid w:val="003610B6"/>
    <w:rsid w:val="00364BD3"/>
    <w:rsid w:val="00385577"/>
    <w:rsid w:val="0044700E"/>
    <w:rsid w:val="00486B3C"/>
    <w:rsid w:val="004B1308"/>
    <w:rsid w:val="00525DA9"/>
    <w:rsid w:val="005B54BC"/>
    <w:rsid w:val="005C282B"/>
    <w:rsid w:val="005F53B5"/>
    <w:rsid w:val="00601BEA"/>
    <w:rsid w:val="00610BD4"/>
    <w:rsid w:val="0063420E"/>
    <w:rsid w:val="00663D89"/>
    <w:rsid w:val="00667A01"/>
    <w:rsid w:val="0067517E"/>
    <w:rsid w:val="00682DE6"/>
    <w:rsid w:val="00685DD5"/>
    <w:rsid w:val="00694155"/>
    <w:rsid w:val="00717E50"/>
    <w:rsid w:val="00736CD9"/>
    <w:rsid w:val="00746CB1"/>
    <w:rsid w:val="00764B98"/>
    <w:rsid w:val="007B7757"/>
    <w:rsid w:val="00851CE7"/>
    <w:rsid w:val="00864DB4"/>
    <w:rsid w:val="00873754"/>
    <w:rsid w:val="00882A69"/>
    <w:rsid w:val="00892A9B"/>
    <w:rsid w:val="008B577D"/>
    <w:rsid w:val="008D0E26"/>
    <w:rsid w:val="00913A86"/>
    <w:rsid w:val="00967C21"/>
    <w:rsid w:val="00987CC9"/>
    <w:rsid w:val="00992FC0"/>
    <w:rsid w:val="00995E05"/>
    <w:rsid w:val="00A17B70"/>
    <w:rsid w:val="00A84F9E"/>
    <w:rsid w:val="00AA368F"/>
    <w:rsid w:val="00AB3F4B"/>
    <w:rsid w:val="00B106F7"/>
    <w:rsid w:val="00B63E6A"/>
    <w:rsid w:val="00B97CCE"/>
    <w:rsid w:val="00BA3057"/>
    <w:rsid w:val="00BA55DB"/>
    <w:rsid w:val="00C34BBD"/>
    <w:rsid w:val="00C7545C"/>
    <w:rsid w:val="00C7699D"/>
    <w:rsid w:val="00C916D7"/>
    <w:rsid w:val="00C92539"/>
    <w:rsid w:val="00CC313B"/>
    <w:rsid w:val="00D11180"/>
    <w:rsid w:val="00D37D06"/>
    <w:rsid w:val="00E07F9A"/>
    <w:rsid w:val="00E12720"/>
    <w:rsid w:val="00E23C69"/>
    <w:rsid w:val="00E62ECF"/>
    <w:rsid w:val="00E90B07"/>
    <w:rsid w:val="00EC4493"/>
    <w:rsid w:val="00ED13AA"/>
    <w:rsid w:val="00EF04E5"/>
    <w:rsid w:val="00EF7AB1"/>
    <w:rsid w:val="00F74FED"/>
    <w:rsid w:val="00F77528"/>
    <w:rsid w:val="00F86D03"/>
    <w:rsid w:val="00FB002D"/>
    <w:rsid w:val="00FB062A"/>
    <w:rsid w:val="00FB48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F2B0CD-0B2C-4C6F-921A-3238812A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592670">
      <w:bodyDiv w:val="1"/>
      <w:marLeft w:val="0"/>
      <w:marRight w:val="0"/>
      <w:marTop w:val="0"/>
      <w:marBottom w:val="0"/>
      <w:divBdr>
        <w:top w:val="none" w:sz="0" w:space="0" w:color="auto"/>
        <w:left w:val="none" w:sz="0" w:space="0" w:color="auto"/>
        <w:bottom w:val="none" w:sz="0" w:space="0" w:color="auto"/>
        <w:right w:val="none" w:sz="0" w:space="0" w:color="auto"/>
      </w:divBdr>
    </w:div>
    <w:div w:id="2124104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about:blank"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n9tbJ5PchrOqA0/GN9coKAblzQ==">AMUW2mUrx321AFuJXeWl7ULZLK49KGitAsQAjQhST0vvMSD1Wd9HHDpUhDqE6+2GT46Aujt7xH4dk6TIVRjd6fJjw+46LC1qMDuBm4SjrWHn8ctUWD1JMuUYsVVrpUZUoG3taklwuwJA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40BE31-DF4C-4EA2-B2C9-AC072D86D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7619</Words>
  <Characters>41908</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2022-05-09T15:37:00Z</cp:lastPrinted>
  <dcterms:created xsi:type="dcterms:W3CDTF">2022-06-07T16:13:00Z</dcterms:created>
  <dcterms:modified xsi:type="dcterms:W3CDTF">2022-06-07T16:13:00Z</dcterms:modified>
</cp:coreProperties>
</file>