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484DD" w14:textId="77777777" w:rsidR="00123F26" w:rsidRDefault="00FB65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Pr>
          <w:rFonts w:ascii="Palatino Linotype" w:eastAsia="Palatino Linotype" w:hAnsi="Palatino Linotype" w:cs="Palatino Linotype"/>
          <w:b/>
        </w:rPr>
        <w:t>tres de marzo del dos mil veintidós</w:t>
      </w:r>
      <w:r>
        <w:rPr>
          <w:rFonts w:ascii="Palatino Linotype" w:eastAsia="Palatino Linotype" w:hAnsi="Palatino Linotype" w:cs="Palatino Linotype"/>
        </w:rPr>
        <w:t>.</w:t>
      </w:r>
    </w:p>
    <w:p w14:paraId="6549BEB7" w14:textId="2813AE17" w:rsidR="00123F26" w:rsidRDefault="00FB65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expedientes relativos a los recursos de revisión </w:t>
      </w:r>
      <w:r>
        <w:rPr>
          <w:rFonts w:ascii="Palatino Linotype" w:eastAsia="Palatino Linotype" w:hAnsi="Palatino Linotype" w:cs="Palatino Linotype"/>
          <w:b/>
        </w:rPr>
        <w:t>00119/INFOEM/IP</w:t>
      </w:r>
      <w:r>
        <w:rPr>
          <w:rFonts w:ascii="Palatino Linotype" w:eastAsia="Palatino Linotype" w:hAnsi="Palatino Linotype" w:cs="Palatino Linotype"/>
          <w:b/>
          <w:color w:val="000000"/>
        </w:rPr>
        <w:t xml:space="preserve">/RR/2022, </w:t>
      </w:r>
      <w:r>
        <w:rPr>
          <w:rFonts w:ascii="Palatino Linotype" w:eastAsia="Palatino Linotype" w:hAnsi="Palatino Linotype" w:cs="Palatino Linotype"/>
          <w:b/>
        </w:rPr>
        <w:t>00121/INFOEM/IP</w:t>
      </w:r>
      <w:r>
        <w:rPr>
          <w:rFonts w:ascii="Palatino Linotype" w:eastAsia="Palatino Linotype" w:hAnsi="Palatino Linotype" w:cs="Palatino Linotype"/>
          <w:b/>
          <w:color w:val="000000"/>
        </w:rPr>
        <w:t xml:space="preserve">/RR/2022 y </w:t>
      </w:r>
      <w:r>
        <w:rPr>
          <w:rFonts w:ascii="Palatino Linotype" w:eastAsia="Palatino Linotype" w:hAnsi="Palatino Linotype" w:cs="Palatino Linotype"/>
          <w:b/>
        </w:rPr>
        <w:t>00324/INFOEM/IP</w:t>
      </w:r>
      <w:r>
        <w:rPr>
          <w:rFonts w:ascii="Palatino Linotype" w:eastAsia="Palatino Linotype" w:hAnsi="Palatino Linotype" w:cs="Palatino Linotype"/>
          <w:b/>
          <w:color w:val="000000"/>
        </w:rPr>
        <w:t>/RR/2022</w:t>
      </w:r>
      <w:r>
        <w:rPr>
          <w:rFonts w:ascii="Palatino Linotype" w:eastAsia="Palatino Linotype" w:hAnsi="Palatino Linotype" w:cs="Palatino Linotype"/>
        </w:rPr>
        <w:t xml:space="preserve">, interpuestos por </w:t>
      </w:r>
      <w:proofErr w:type="spellStart"/>
      <w:r w:rsidR="005D79DF" w:rsidRPr="005D79DF">
        <w:rPr>
          <w:rFonts w:ascii="Palatino Linotype" w:eastAsia="Palatino Linotype" w:hAnsi="Palatino Linotype" w:cs="Palatino Linotype"/>
          <w:b/>
        </w:rPr>
        <w:t>xxxxxxxxx</w:t>
      </w:r>
      <w:proofErr w:type="spellEnd"/>
      <w:r w:rsidR="005D79DF" w:rsidRPr="005D79DF">
        <w:rPr>
          <w:rFonts w:ascii="Palatino Linotype" w:eastAsia="Palatino Linotype" w:hAnsi="Palatino Linotype" w:cs="Palatino Linotype"/>
          <w:b/>
        </w:rPr>
        <w:t xml:space="preserve"> </w:t>
      </w:r>
      <w:proofErr w:type="spellStart"/>
      <w:r w:rsidR="005D79DF" w:rsidRPr="005D79DF">
        <w:rPr>
          <w:rFonts w:ascii="Palatino Linotype" w:eastAsia="Palatino Linotype" w:hAnsi="Palatino Linotype" w:cs="Palatino Linotype"/>
          <w:b/>
        </w:rPr>
        <w:t>Xxxxxxxxxx</w:t>
      </w:r>
      <w:proofErr w:type="spellEnd"/>
      <w:r w:rsidR="005D79DF" w:rsidRPr="005D79DF">
        <w:rPr>
          <w:rFonts w:ascii="Palatino Linotype" w:eastAsia="Palatino Linotype" w:hAnsi="Palatino Linotype" w:cs="Palatino Linotype"/>
          <w:b/>
        </w:rPr>
        <w:t xml:space="preserve"> </w:t>
      </w:r>
      <w:proofErr w:type="spellStart"/>
      <w:r w:rsidR="005D79DF" w:rsidRPr="005D79DF">
        <w:rPr>
          <w:rFonts w:ascii="Palatino Linotype" w:eastAsia="Palatino Linotype" w:hAnsi="Palatino Linotype" w:cs="Palatino Linotype"/>
          <w:b/>
        </w:rPr>
        <w:t>Xx</w:t>
      </w:r>
      <w:proofErr w:type="spellEnd"/>
      <w:r w:rsidR="005D79DF" w:rsidRPr="005D79DF">
        <w:rPr>
          <w:rFonts w:ascii="Palatino Linotype" w:eastAsia="Palatino Linotype" w:hAnsi="Palatino Linotype" w:cs="Palatino Linotype"/>
          <w:b/>
        </w:rPr>
        <w:t xml:space="preserve"> </w:t>
      </w:r>
      <w:proofErr w:type="spellStart"/>
      <w:r w:rsidR="005D79DF" w:rsidRPr="005D79DF">
        <w:rPr>
          <w:rFonts w:ascii="Palatino Linotype" w:eastAsia="Palatino Linotype" w:hAnsi="Palatino Linotype" w:cs="Palatino Linotype"/>
          <w:b/>
        </w:rPr>
        <w:t>Xxxxxxxxxxxxx</w:t>
      </w:r>
      <w:proofErr w:type="spellEnd"/>
      <w:r w:rsidRPr="005D79DF">
        <w:rPr>
          <w:rFonts w:ascii="Palatino Linotype" w:eastAsia="Palatino Linotype" w:hAnsi="Palatino Linotype" w:cs="Palatino Linotype"/>
          <w:b/>
        </w:rPr>
        <w:t xml:space="preserve">, </w:t>
      </w:r>
      <w:r w:rsidRPr="005D79DF">
        <w:rPr>
          <w:rFonts w:ascii="Palatino Linotype" w:eastAsia="Palatino Linotype" w:hAnsi="Palatino Linotype" w:cs="Palatino Linotype"/>
        </w:rPr>
        <w:t>a quien en lo sucesivo se le denominará</w:t>
      </w:r>
      <w:r>
        <w:rPr>
          <w:rFonts w:ascii="Palatino Linotype" w:eastAsia="Palatino Linotype" w:hAnsi="Palatino Linotype" w:cs="Palatino Linotype"/>
        </w:rPr>
        <w:t xml:space="preserve"> el</w:t>
      </w:r>
      <w:r>
        <w:rPr>
          <w:rFonts w:ascii="Palatino Linotype" w:eastAsia="Palatino Linotype" w:hAnsi="Palatino Linotype" w:cs="Palatino Linotype"/>
          <w:b/>
          <w:i/>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contra de las respuestas a las solicitudes de información con número de folio </w:t>
      </w:r>
      <w:r>
        <w:rPr>
          <w:rFonts w:ascii="Palatino Linotype" w:eastAsia="Palatino Linotype" w:hAnsi="Palatino Linotype" w:cs="Palatino Linotype"/>
          <w:b/>
        </w:rPr>
        <w:t>00086/OASATIZARA/IP/2021, 00084/OASATIZARA/IP/2021 y 00003/OASATIZARA/IP/2022</w:t>
      </w:r>
      <w:r>
        <w:rPr>
          <w:rFonts w:ascii="Palatino Linotype" w:eastAsia="Palatino Linotype" w:hAnsi="Palatino Linotype" w:cs="Palatino Linotype"/>
        </w:rPr>
        <w:t xml:space="preserve"> otorgada por el </w:t>
      </w:r>
      <w:r>
        <w:rPr>
          <w:rFonts w:ascii="Palatino Linotype" w:eastAsia="Palatino Linotype" w:hAnsi="Palatino Linotype" w:cs="Palatino Linotype"/>
          <w:b/>
        </w:rPr>
        <w:t>Organismo Público Descentralizado para la Prestación de Los Servicios de Agua Potable Alcantarillado y Saneamiento de Atizapán de Zaragoza por sus siglas S.A.P.A.S.A.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bookmarkStart w:id="0" w:name="_GoBack"/>
      <w:bookmarkEnd w:id="0"/>
    </w:p>
    <w:p w14:paraId="592667AB" w14:textId="77777777" w:rsidR="00123F26" w:rsidRDefault="00FB65BD">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14:paraId="3163FF43" w14:textId="77777777" w:rsidR="00123F26" w:rsidRDefault="00FB65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Solicitudes de acceso a la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Con fechas </w:t>
      </w:r>
      <w:r>
        <w:rPr>
          <w:rFonts w:ascii="Palatino Linotype" w:eastAsia="Palatino Linotype" w:hAnsi="Palatino Linotype" w:cs="Palatino Linotype"/>
          <w:b/>
        </w:rPr>
        <w:t>veintitrés de noviembre del dos mil veintiuno y once de enero de dos mil veintidós,</w:t>
      </w:r>
      <w:r>
        <w:rPr>
          <w:rFonts w:ascii="Palatino Linotype" w:eastAsia="Palatino Linotype" w:hAnsi="Palatino Linotype" w:cs="Palatino Linotype"/>
        </w:rPr>
        <w:t xml:space="preserve">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las solicitudes de acceso a la información pública, en las que requirió lo siguiente:</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123F26" w14:paraId="1C64DB94" w14:textId="77777777">
        <w:tc>
          <w:tcPr>
            <w:tcW w:w="3256" w:type="dxa"/>
            <w:shd w:val="clear" w:color="auto" w:fill="D9D9D9"/>
          </w:tcPr>
          <w:p w14:paraId="644475A5" w14:textId="77777777" w:rsidR="00123F26" w:rsidRDefault="00FB65B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Número de solicitud</w:t>
            </w:r>
          </w:p>
        </w:tc>
        <w:tc>
          <w:tcPr>
            <w:tcW w:w="5572" w:type="dxa"/>
            <w:shd w:val="clear" w:color="auto" w:fill="D9D9D9"/>
          </w:tcPr>
          <w:p w14:paraId="31621FA5" w14:textId="77777777" w:rsidR="00123F26" w:rsidRDefault="00FB65BD">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requerida.</w:t>
            </w:r>
          </w:p>
        </w:tc>
      </w:tr>
      <w:tr w:rsidR="00123F26" w14:paraId="65DDBA7B" w14:textId="77777777">
        <w:tc>
          <w:tcPr>
            <w:tcW w:w="3256" w:type="dxa"/>
          </w:tcPr>
          <w:p w14:paraId="6448800D" w14:textId="77777777" w:rsidR="00123F26" w:rsidRDefault="00FB65BD">
            <w:pPr>
              <w:jc w:val="both"/>
              <w:rPr>
                <w:rFonts w:ascii="Palatino Linotype" w:eastAsia="Palatino Linotype" w:hAnsi="Palatino Linotype" w:cs="Palatino Linotype"/>
                <w:b/>
                <w:i/>
                <w:sz w:val="22"/>
                <w:szCs w:val="22"/>
              </w:rPr>
            </w:pPr>
            <w:bookmarkStart w:id="1" w:name="_heading=h.3znysh7" w:colFirst="0" w:colLast="0"/>
            <w:bookmarkEnd w:id="1"/>
            <w:r>
              <w:rPr>
                <w:rFonts w:ascii="Palatino Linotype" w:eastAsia="Palatino Linotype" w:hAnsi="Palatino Linotype" w:cs="Palatino Linotype"/>
                <w:b/>
                <w:i/>
                <w:sz w:val="22"/>
                <w:szCs w:val="22"/>
              </w:rPr>
              <w:t>00086/OASATIZARA/IP/2021 00119/INFOEM/IP/RR/2022</w:t>
            </w:r>
          </w:p>
        </w:tc>
        <w:tc>
          <w:tcPr>
            <w:tcW w:w="5572" w:type="dxa"/>
          </w:tcPr>
          <w:p w14:paraId="4C6550E8" w14:textId="77777777" w:rsidR="00123F26" w:rsidRDefault="00FB65BD">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roofErr w:type="spellStart"/>
            <w:r>
              <w:rPr>
                <w:rFonts w:ascii="Palatino Linotype" w:eastAsia="Palatino Linotype" w:hAnsi="Palatino Linotype" w:cs="Palatino Linotype"/>
                <w:i/>
                <w:sz w:val="22"/>
                <w:szCs w:val="22"/>
              </w:rPr>
              <w:t>envien</w:t>
            </w:r>
            <w:proofErr w:type="spellEnd"/>
            <w:r>
              <w:rPr>
                <w:rFonts w:ascii="Palatino Linotype" w:eastAsia="Palatino Linotype" w:hAnsi="Palatino Linotype" w:cs="Palatino Linotype"/>
                <w:i/>
                <w:sz w:val="22"/>
                <w:szCs w:val="22"/>
              </w:rPr>
              <w:t xml:space="preserve"> nomina como la tengan.” (sic)</w:t>
            </w:r>
          </w:p>
        </w:tc>
      </w:tr>
      <w:tr w:rsidR="00123F26" w14:paraId="1B468BAA" w14:textId="77777777">
        <w:tc>
          <w:tcPr>
            <w:tcW w:w="3256" w:type="dxa"/>
          </w:tcPr>
          <w:p w14:paraId="0647F799" w14:textId="77777777" w:rsidR="00123F26" w:rsidRDefault="00FB65B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00084/OASATIZARA/IP/2021 00121/INFOEM/IP/RR/2022</w:t>
            </w:r>
          </w:p>
        </w:tc>
        <w:tc>
          <w:tcPr>
            <w:tcW w:w="5572" w:type="dxa"/>
          </w:tcPr>
          <w:p w14:paraId="11F2662D" w14:textId="77777777" w:rsidR="00123F26" w:rsidRDefault="00FB65BD">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el directorio de servidores que laboran en </w:t>
            </w:r>
            <w:proofErr w:type="spellStart"/>
            <w:r>
              <w:rPr>
                <w:rFonts w:ascii="Palatino Linotype" w:eastAsia="Palatino Linotype" w:hAnsi="Palatino Linotype" w:cs="Palatino Linotype"/>
                <w:i/>
                <w:sz w:val="22"/>
                <w:szCs w:val="22"/>
              </w:rPr>
              <w:t>sapasa</w:t>
            </w:r>
            <w:proofErr w:type="spellEnd"/>
            <w:r>
              <w:rPr>
                <w:rFonts w:ascii="Palatino Linotype" w:eastAsia="Palatino Linotype" w:hAnsi="Palatino Linotype" w:cs="Palatino Linotype"/>
                <w:i/>
                <w:sz w:val="22"/>
                <w:szCs w:val="22"/>
              </w:rPr>
              <w:t>.” (sic)</w:t>
            </w:r>
          </w:p>
        </w:tc>
      </w:tr>
      <w:tr w:rsidR="00123F26" w14:paraId="3A6D12D5" w14:textId="77777777">
        <w:tc>
          <w:tcPr>
            <w:tcW w:w="3256" w:type="dxa"/>
          </w:tcPr>
          <w:p w14:paraId="7C68BEE3" w14:textId="77777777" w:rsidR="00123F26" w:rsidRDefault="00FB65B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00003/OASATIZARA/IP/2022 00324/INFOEM/IP/RR/2022</w:t>
            </w:r>
          </w:p>
        </w:tc>
        <w:tc>
          <w:tcPr>
            <w:tcW w:w="5572" w:type="dxa"/>
          </w:tcPr>
          <w:p w14:paraId="59700B44" w14:textId="77777777" w:rsidR="00123F26" w:rsidRDefault="00FB65BD">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nombramientos de los nuevos titulares, currículum en versión pública, además conforme la ley orgánica del estado de México y municipios, la ley del agua y la ley de transparencia y acceso a la información pública del estado de México y municipios, solicito los documentos en versión pública que acrediten en los puestos a los titulares que actualmente tienen. Y finalmente solicito la nómina en versión pública generada en diciembre, así como los nombres de las personas que han causado bajas y altas.” (sic)</w:t>
            </w:r>
          </w:p>
        </w:tc>
      </w:tr>
    </w:tbl>
    <w:p w14:paraId="05785B23" w14:textId="77777777" w:rsidR="00123F26" w:rsidRDefault="00123F26">
      <w:pPr>
        <w:spacing w:before="240" w:after="240" w:line="360" w:lineRule="auto"/>
        <w:jc w:val="both"/>
        <w:rPr>
          <w:rFonts w:ascii="Palatino Linotype" w:eastAsia="Palatino Linotype" w:hAnsi="Palatino Linotype" w:cs="Palatino Linotype"/>
          <w:b/>
        </w:rPr>
      </w:pPr>
    </w:p>
    <w:p w14:paraId="754CF473" w14:textId="77777777" w:rsidR="00123F26" w:rsidRDefault="00FB65BD">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p>
    <w:p w14:paraId="244ADC76" w14:textId="77777777" w:rsidR="00123F26" w:rsidRDefault="00FB65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Respuestas. </w:t>
      </w:r>
      <w:r>
        <w:rPr>
          <w:rFonts w:ascii="Palatino Linotype" w:eastAsia="Palatino Linotype" w:hAnsi="Palatino Linotype" w:cs="Palatino Linotype"/>
        </w:rPr>
        <w:t xml:space="preserve">En fechas </w:t>
      </w:r>
      <w:r>
        <w:rPr>
          <w:rFonts w:ascii="Palatino Linotype" w:eastAsia="Palatino Linotype" w:hAnsi="Palatino Linotype" w:cs="Palatino Linotype"/>
          <w:b/>
        </w:rPr>
        <w:t>trece de diciembre de dos mil veintiuno y veinticuatro de enero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SAIMEX, respuesta a las solicitudes de acceso a la información en los siguientes términos:</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123F26" w14:paraId="4F7DF9F9" w14:textId="77777777">
        <w:tc>
          <w:tcPr>
            <w:tcW w:w="3256" w:type="dxa"/>
            <w:shd w:val="clear" w:color="auto" w:fill="D9D9D9"/>
          </w:tcPr>
          <w:p w14:paraId="66F857EF" w14:textId="77777777" w:rsidR="00123F26" w:rsidRDefault="00FB65BD">
            <w:pPr>
              <w:jc w:val="both"/>
              <w:rPr>
                <w:rFonts w:ascii="Palatino Linotype" w:eastAsia="Palatino Linotype" w:hAnsi="Palatino Linotype" w:cs="Palatino Linotype"/>
                <w:b/>
                <w:i/>
              </w:rPr>
            </w:pPr>
            <w:r>
              <w:rPr>
                <w:rFonts w:ascii="Palatino Linotype" w:eastAsia="Palatino Linotype" w:hAnsi="Palatino Linotype" w:cs="Palatino Linotype"/>
                <w:b/>
                <w:i/>
              </w:rPr>
              <w:t>Número de solicitud</w:t>
            </w:r>
          </w:p>
        </w:tc>
        <w:tc>
          <w:tcPr>
            <w:tcW w:w="5572" w:type="dxa"/>
            <w:shd w:val="clear" w:color="auto" w:fill="D9D9D9"/>
          </w:tcPr>
          <w:p w14:paraId="60524716" w14:textId="77777777" w:rsidR="00123F26" w:rsidRDefault="00FB65BD">
            <w:pPr>
              <w:jc w:val="center"/>
              <w:rPr>
                <w:rFonts w:ascii="Palatino Linotype" w:eastAsia="Palatino Linotype" w:hAnsi="Palatino Linotype" w:cs="Palatino Linotype"/>
                <w:b/>
                <w:i/>
              </w:rPr>
            </w:pPr>
            <w:r>
              <w:rPr>
                <w:rFonts w:ascii="Palatino Linotype" w:eastAsia="Palatino Linotype" w:hAnsi="Palatino Linotype" w:cs="Palatino Linotype"/>
                <w:b/>
                <w:i/>
              </w:rPr>
              <w:t>Respuesta</w:t>
            </w:r>
          </w:p>
        </w:tc>
      </w:tr>
      <w:tr w:rsidR="00123F26" w14:paraId="385238C8" w14:textId="77777777">
        <w:tc>
          <w:tcPr>
            <w:tcW w:w="3256" w:type="dxa"/>
          </w:tcPr>
          <w:p w14:paraId="2EEB9D46" w14:textId="77777777" w:rsidR="00123F26" w:rsidRDefault="00FB65B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00086/OASATIZARA/IP/2021 00119/INFOEM/IP/RR/2022</w:t>
            </w:r>
          </w:p>
        </w:tc>
        <w:tc>
          <w:tcPr>
            <w:tcW w:w="5572" w:type="dxa"/>
          </w:tcPr>
          <w:p w14:paraId="1FFD5BC6" w14:textId="77777777" w:rsidR="00123F26" w:rsidRDefault="00FB65BD">
            <w:pP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“Por este medio reciba un cordial saludo y asimismo se remite la respuesta del Servidor Público Habilitado.”</w:t>
            </w:r>
          </w:p>
          <w:p w14:paraId="55B6907F" w14:textId="77777777" w:rsidR="00123F26" w:rsidRDefault="00FB65BD">
            <w:pP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i/>
                <w:color w:val="000000"/>
                <w:sz w:val="20"/>
                <w:szCs w:val="20"/>
              </w:rPr>
              <w:t xml:space="preserve">“Folio 86.pdf”:  </w:t>
            </w:r>
            <w:r>
              <w:rPr>
                <w:rFonts w:ascii="Palatino Linotype" w:eastAsia="Palatino Linotype" w:hAnsi="Palatino Linotype" w:cs="Palatino Linotype"/>
                <w:color w:val="000000"/>
                <w:sz w:val="20"/>
                <w:szCs w:val="20"/>
              </w:rPr>
              <w:t xml:space="preserve">Escrito enviado por el Departamento de Capital Humano en el que informó que la información  solicitada puede consultarse en la liga electrónica </w:t>
            </w:r>
            <w:hyperlink r:id="rId8">
              <w:r>
                <w:rPr>
                  <w:rFonts w:ascii="Palatino Linotype" w:eastAsia="Palatino Linotype" w:hAnsi="Palatino Linotype" w:cs="Palatino Linotype"/>
                  <w:color w:val="0000FF"/>
                  <w:sz w:val="20"/>
                  <w:szCs w:val="20"/>
                  <w:u w:val="single"/>
                </w:rPr>
                <w:t>https://www.ipomex.org.mx/ipo3/lgt/indice/OASATIZAPANDEZARAGOZA/art_92_viii.web</w:t>
              </w:r>
            </w:hyperlink>
            <w:r>
              <w:rPr>
                <w:rFonts w:ascii="Palatino Linotype" w:eastAsia="Palatino Linotype" w:hAnsi="Palatino Linotype" w:cs="Palatino Linotype"/>
                <w:color w:val="000000"/>
                <w:sz w:val="20"/>
                <w:szCs w:val="20"/>
              </w:rPr>
              <w:t xml:space="preserve"> </w:t>
            </w:r>
          </w:p>
          <w:p w14:paraId="57D2429C" w14:textId="77777777" w:rsidR="00123F26" w:rsidRDefault="00123F26">
            <w:pPr>
              <w:pBdr>
                <w:top w:val="nil"/>
                <w:left w:val="nil"/>
                <w:bottom w:val="nil"/>
                <w:right w:val="nil"/>
                <w:between w:val="nil"/>
              </w:pBdr>
              <w:jc w:val="both"/>
              <w:rPr>
                <w:rFonts w:ascii="Palatino Linotype" w:eastAsia="Palatino Linotype" w:hAnsi="Palatino Linotype" w:cs="Palatino Linotype"/>
                <w:b/>
                <w:i/>
                <w:color w:val="000000"/>
              </w:rPr>
            </w:pPr>
          </w:p>
        </w:tc>
      </w:tr>
      <w:tr w:rsidR="00123F26" w14:paraId="72D5ABF2" w14:textId="77777777">
        <w:tc>
          <w:tcPr>
            <w:tcW w:w="3256" w:type="dxa"/>
          </w:tcPr>
          <w:p w14:paraId="45592FE4" w14:textId="77777777" w:rsidR="00123F26" w:rsidRDefault="00FB65B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00084/OASATIZARA/IP/2021 00121/INFOEM/IP/RR/2022</w:t>
            </w:r>
          </w:p>
        </w:tc>
        <w:tc>
          <w:tcPr>
            <w:tcW w:w="5572" w:type="dxa"/>
          </w:tcPr>
          <w:p w14:paraId="098F1280" w14:textId="77777777" w:rsidR="00123F26" w:rsidRDefault="00FB65BD">
            <w:pP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“Por este medio reciba un cordial saludo y asimismo se remite la respuesta del Servidor Público Habilitado.”</w:t>
            </w:r>
          </w:p>
          <w:p w14:paraId="50C575B7" w14:textId="77777777" w:rsidR="00123F26" w:rsidRDefault="00FB65BD">
            <w:pP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i/>
                <w:color w:val="000000"/>
                <w:sz w:val="20"/>
                <w:szCs w:val="20"/>
              </w:rPr>
              <w:t xml:space="preserve">“Folio 84.pdf”:  </w:t>
            </w:r>
            <w:r>
              <w:rPr>
                <w:rFonts w:ascii="Palatino Linotype" w:eastAsia="Palatino Linotype" w:hAnsi="Palatino Linotype" w:cs="Palatino Linotype"/>
                <w:color w:val="000000"/>
                <w:sz w:val="20"/>
                <w:szCs w:val="20"/>
              </w:rPr>
              <w:t xml:space="preserve">Escrito enviado por el Departamento de Capital Humano en el que informó que la información  solicitada puede consultarse en la liga electrónica </w:t>
            </w:r>
            <w:hyperlink r:id="rId9">
              <w:r>
                <w:rPr>
                  <w:rFonts w:ascii="Palatino Linotype" w:eastAsia="Palatino Linotype" w:hAnsi="Palatino Linotype" w:cs="Palatino Linotype"/>
                  <w:color w:val="0000FF"/>
                  <w:sz w:val="20"/>
                  <w:szCs w:val="20"/>
                  <w:u w:val="single"/>
                </w:rPr>
                <w:t>https://www.ipomex.org.mx/ipo3/lgt/indice/OASATIZAPANDEZARAGOZA/art_92_vii.web</w:t>
              </w:r>
            </w:hyperlink>
            <w:r>
              <w:rPr>
                <w:rFonts w:ascii="Palatino Linotype" w:eastAsia="Palatino Linotype" w:hAnsi="Palatino Linotype" w:cs="Palatino Linotype"/>
                <w:color w:val="000000"/>
                <w:sz w:val="20"/>
                <w:szCs w:val="20"/>
              </w:rPr>
              <w:t xml:space="preserve"> </w:t>
            </w:r>
          </w:p>
          <w:p w14:paraId="4241D6AE" w14:textId="77777777" w:rsidR="00123F26" w:rsidRDefault="00123F26">
            <w:pPr>
              <w:pBdr>
                <w:top w:val="nil"/>
                <w:left w:val="nil"/>
                <w:bottom w:val="nil"/>
                <w:right w:val="nil"/>
                <w:between w:val="nil"/>
              </w:pBdr>
              <w:jc w:val="both"/>
              <w:rPr>
                <w:rFonts w:ascii="Palatino Linotype" w:eastAsia="Palatino Linotype" w:hAnsi="Palatino Linotype" w:cs="Palatino Linotype"/>
                <w:b/>
                <w:i/>
                <w:color w:val="000000"/>
              </w:rPr>
            </w:pPr>
          </w:p>
        </w:tc>
      </w:tr>
      <w:tr w:rsidR="00123F26" w14:paraId="12029F53" w14:textId="77777777">
        <w:tc>
          <w:tcPr>
            <w:tcW w:w="3256" w:type="dxa"/>
          </w:tcPr>
          <w:p w14:paraId="0A3261D9" w14:textId="77777777" w:rsidR="00123F26" w:rsidRDefault="00FB65B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00003/OASATIZARA/IP/2022 00324/INFOEM/IP/RR/2022</w:t>
            </w:r>
          </w:p>
        </w:tc>
        <w:tc>
          <w:tcPr>
            <w:tcW w:w="5572" w:type="dxa"/>
          </w:tcPr>
          <w:p w14:paraId="49E069EB" w14:textId="77777777" w:rsidR="00123F26" w:rsidRDefault="00FB65BD">
            <w:pP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“Por lo que atañe a la Subdirección de Administración y Finanzas, área encargada de atender su solicitud, la cual emite la siguiente respuesta: “Con fundamento en los artículos 12 y 59 fracciones I y II de la Ley de Transparencia y Acceso a la Información Pública del Estado de México y Municipios, se realizó una búsqueda en los archivos de esta Unidad Administrativa a efecto de emitir una respuesta a su solicitud de acceso a la información pública, por lo que se adjunta el oficio con número SAPASA/SAF/MLGA/064/2022”.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414C3D07" w14:textId="77777777" w:rsidR="00123F26" w:rsidRDefault="00FB65BD">
            <w:pP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i/>
                <w:color w:val="000000"/>
                <w:sz w:val="20"/>
                <w:szCs w:val="20"/>
              </w:rPr>
              <w:t xml:space="preserve">“00003-OSATIZARA-IP-2022.pdf”:  </w:t>
            </w:r>
            <w:r>
              <w:rPr>
                <w:rFonts w:ascii="Palatino Linotype" w:eastAsia="Palatino Linotype" w:hAnsi="Palatino Linotype" w:cs="Palatino Linotype"/>
                <w:color w:val="000000"/>
                <w:sz w:val="20"/>
                <w:szCs w:val="20"/>
              </w:rPr>
              <w:t xml:space="preserve">Escrito enviado por la Subdirectora de Administración y Finanzas en el que informó que la información solicitada podrá </w:t>
            </w:r>
            <w:proofErr w:type="spellStart"/>
            <w:r>
              <w:rPr>
                <w:rFonts w:ascii="Palatino Linotype" w:eastAsia="Palatino Linotype" w:hAnsi="Palatino Linotype" w:cs="Palatino Linotype"/>
                <w:color w:val="000000"/>
                <w:sz w:val="20"/>
                <w:szCs w:val="20"/>
              </w:rPr>
              <w:t>enontrarla</w:t>
            </w:r>
            <w:proofErr w:type="spellEnd"/>
            <w:r>
              <w:rPr>
                <w:rFonts w:ascii="Palatino Linotype" w:eastAsia="Palatino Linotype" w:hAnsi="Palatino Linotype" w:cs="Palatino Linotype"/>
                <w:color w:val="000000"/>
                <w:sz w:val="20"/>
                <w:szCs w:val="20"/>
              </w:rPr>
              <w:t xml:space="preserve"> en el portal de IPOMEX en el siguiente link:  </w:t>
            </w:r>
            <w:hyperlink r:id="rId10">
              <w:r>
                <w:rPr>
                  <w:rFonts w:ascii="Palatino Linotype" w:eastAsia="Palatino Linotype" w:hAnsi="Palatino Linotype" w:cs="Palatino Linotype"/>
                  <w:color w:val="0000FF"/>
                  <w:sz w:val="20"/>
                  <w:szCs w:val="20"/>
                  <w:u w:val="single"/>
                </w:rPr>
                <w:t>https://www.ipomex.org.mx</w:t>
              </w:r>
            </w:hyperlink>
          </w:p>
          <w:p w14:paraId="24CE1B86" w14:textId="77777777" w:rsidR="00123F26" w:rsidRDefault="00123F26">
            <w:pPr>
              <w:jc w:val="both"/>
              <w:rPr>
                <w:rFonts w:ascii="Palatino Linotype" w:eastAsia="Palatino Linotype" w:hAnsi="Palatino Linotype" w:cs="Palatino Linotype"/>
                <w:i/>
              </w:rPr>
            </w:pPr>
          </w:p>
        </w:tc>
      </w:tr>
    </w:tbl>
    <w:p w14:paraId="09A6FD1C" w14:textId="77777777" w:rsidR="00123F26" w:rsidRDefault="00123F26">
      <w:pPr>
        <w:spacing w:line="360" w:lineRule="auto"/>
        <w:ind w:right="900"/>
        <w:jc w:val="both"/>
        <w:rPr>
          <w:rFonts w:ascii="Palatino Linotype" w:eastAsia="Palatino Linotype" w:hAnsi="Palatino Linotype" w:cs="Palatino Linotype"/>
        </w:rPr>
      </w:pPr>
    </w:p>
    <w:p w14:paraId="6648D95C" w14:textId="77777777" w:rsidR="00123F26" w:rsidRDefault="00FB65B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Interposición de los recursos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Inconforme con las respuestas recibidas,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en fechas </w:t>
      </w:r>
      <w:r>
        <w:rPr>
          <w:rFonts w:ascii="Palatino Linotype" w:eastAsia="Palatino Linotype" w:hAnsi="Palatino Linotype" w:cs="Palatino Linotype"/>
          <w:b/>
        </w:rPr>
        <w:t xml:space="preserve">trece y veintiséis de enero del año </w:t>
      </w:r>
      <w:r>
        <w:rPr>
          <w:rFonts w:ascii="Palatino Linotype" w:eastAsia="Palatino Linotype" w:hAnsi="Palatino Linotype" w:cs="Palatino Linotype"/>
          <w:b/>
        </w:rPr>
        <w:lastRenderedPageBreak/>
        <w:t>dos mil veintidós</w:t>
      </w:r>
      <w:r>
        <w:rPr>
          <w:rFonts w:ascii="Palatino Linotype" w:eastAsia="Palatino Linotype" w:hAnsi="Palatino Linotype" w:cs="Palatino Linotype"/>
        </w:rPr>
        <w:t>, los medios de impugnación expresando las siguientes manifestaciones:</w:t>
      </w:r>
    </w:p>
    <w:p w14:paraId="13C7957C" w14:textId="77777777" w:rsidR="00123F26" w:rsidRDefault="00123F26">
      <w:pPr>
        <w:spacing w:line="360" w:lineRule="auto"/>
        <w:ind w:left="567"/>
        <w:rPr>
          <w:rFonts w:ascii="Palatino Linotype" w:eastAsia="Palatino Linotype" w:hAnsi="Palatino Linotype" w:cs="Palatino Linotype"/>
          <w:b/>
        </w:rPr>
      </w:pP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260"/>
        <w:gridCol w:w="2596"/>
      </w:tblGrid>
      <w:tr w:rsidR="00123F26" w14:paraId="12788C4F" w14:textId="77777777">
        <w:tc>
          <w:tcPr>
            <w:tcW w:w="2972" w:type="dxa"/>
            <w:shd w:val="clear" w:color="auto" w:fill="D9D9D9"/>
          </w:tcPr>
          <w:p w14:paraId="6ABE8193" w14:textId="77777777" w:rsidR="00123F26" w:rsidRDefault="00FB65BD">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Recurso de revisión</w:t>
            </w:r>
          </w:p>
        </w:tc>
        <w:tc>
          <w:tcPr>
            <w:tcW w:w="3260" w:type="dxa"/>
            <w:shd w:val="clear" w:color="auto" w:fill="D9D9D9"/>
          </w:tcPr>
          <w:p w14:paraId="297DC1D7" w14:textId="77777777" w:rsidR="00123F26" w:rsidRDefault="00FB65BD">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Acto impugnado.</w:t>
            </w:r>
          </w:p>
        </w:tc>
        <w:tc>
          <w:tcPr>
            <w:tcW w:w="2596" w:type="dxa"/>
            <w:shd w:val="clear" w:color="auto" w:fill="D9D9D9"/>
          </w:tcPr>
          <w:p w14:paraId="58821BFD" w14:textId="77777777" w:rsidR="00123F26" w:rsidRDefault="00FB65BD">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Motivos de inconformidad.</w:t>
            </w:r>
          </w:p>
        </w:tc>
      </w:tr>
      <w:tr w:rsidR="00123F26" w14:paraId="35C703B7" w14:textId="77777777">
        <w:tc>
          <w:tcPr>
            <w:tcW w:w="2972" w:type="dxa"/>
          </w:tcPr>
          <w:p w14:paraId="35AB6C8B" w14:textId="77777777" w:rsidR="00123F26" w:rsidRDefault="00FB65BD">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2"/>
                <w:szCs w:val="22"/>
              </w:rPr>
              <w:t>00119/INFOEM/IP/RR/2022</w:t>
            </w:r>
          </w:p>
        </w:tc>
        <w:tc>
          <w:tcPr>
            <w:tcW w:w="3260" w:type="dxa"/>
            <w:shd w:val="clear" w:color="auto" w:fill="auto"/>
          </w:tcPr>
          <w:p w14:paraId="0C6FF308" w14:textId="77777777" w:rsidR="00123F26" w:rsidRDefault="00FB65BD">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remite lo solicitado.” (sic)</w:t>
            </w:r>
          </w:p>
        </w:tc>
        <w:tc>
          <w:tcPr>
            <w:tcW w:w="2596" w:type="dxa"/>
            <w:shd w:val="clear" w:color="auto" w:fill="auto"/>
          </w:tcPr>
          <w:p w14:paraId="3DCB27EA" w14:textId="77777777" w:rsidR="00123F26" w:rsidRDefault="00FB65BD">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remite la información solicitada</w:t>
            </w:r>
            <w:proofErr w:type="gramStart"/>
            <w:r>
              <w:rPr>
                <w:rFonts w:ascii="Palatino Linotype" w:eastAsia="Palatino Linotype" w:hAnsi="Palatino Linotype" w:cs="Palatino Linotype"/>
                <w:i/>
                <w:sz w:val="20"/>
                <w:szCs w:val="20"/>
              </w:rPr>
              <w:t>..”</w:t>
            </w:r>
            <w:proofErr w:type="gramEnd"/>
            <w:r>
              <w:rPr>
                <w:rFonts w:ascii="Palatino Linotype" w:eastAsia="Palatino Linotype" w:hAnsi="Palatino Linotype" w:cs="Palatino Linotype"/>
                <w:i/>
                <w:sz w:val="20"/>
                <w:szCs w:val="20"/>
              </w:rPr>
              <w:t xml:space="preserve"> (sic)</w:t>
            </w:r>
          </w:p>
        </w:tc>
      </w:tr>
      <w:tr w:rsidR="00123F26" w14:paraId="5D3BDC8F" w14:textId="77777777">
        <w:tc>
          <w:tcPr>
            <w:tcW w:w="2972" w:type="dxa"/>
          </w:tcPr>
          <w:p w14:paraId="2EE656CD" w14:textId="77777777" w:rsidR="00123F26" w:rsidRDefault="00FB65BD">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2"/>
                <w:szCs w:val="22"/>
              </w:rPr>
              <w:t>00121/INFOEM/IP/RR/2022</w:t>
            </w:r>
          </w:p>
        </w:tc>
        <w:tc>
          <w:tcPr>
            <w:tcW w:w="3260" w:type="dxa"/>
            <w:shd w:val="clear" w:color="auto" w:fill="auto"/>
          </w:tcPr>
          <w:p w14:paraId="559CCFB6" w14:textId="77777777" w:rsidR="00123F26" w:rsidRDefault="00FB65BD">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i/>
                <w:color w:val="000000"/>
                <w:sz w:val="20"/>
                <w:szCs w:val="20"/>
              </w:rPr>
              <w:t>“No remite la información.” (Sic)</w:t>
            </w:r>
          </w:p>
        </w:tc>
        <w:tc>
          <w:tcPr>
            <w:tcW w:w="2596" w:type="dxa"/>
            <w:shd w:val="clear" w:color="auto" w:fill="auto"/>
          </w:tcPr>
          <w:p w14:paraId="7BD95FC4" w14:textId="77777777" w:rsidR="00123F26" w:rsidRDefault="00FB65BD">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color w:val="000000"/>
                <w:sz w:val="20"/>
                <w:szCs w:val="20"/>
              </w:rPr>
              <w:t>“No remite la información.” (Sic)</w:t>
            </w:r>
          </w:p>
        </w:tc>
      </w:tr>
      <w:tr w:rsidR="00123F26" w14:paraId="159AAF07" w14:textId="77777777">
        <w:tc>
          <w:tcPr>
            <w:tcW w:w="2972" w:type="dxa"/>
          </w:tcPr>
          <w:p w14:paraId="5C894B9D" w14:textId="77777777" w:rsidR="00123F26" w:rsidRDefault="00FB65BD">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2"/>
                <w:szCs w:val="22"/>
              </w:rPr>
              <w:t>00134/INFOEM/IP/RR/2022</w:t>
            </w:r>
          </w:p>
        </w:tc>
        <w:tc>
          <w:tcPr>
            <w:tcW w:w="3260" w:type="dxa"/>
            <w:shd w:val="clear" w:color="auto" w:fill="auto"/>
          </w:tcPr>
          <w:p w14:paraId="1A26B4EF" w14:textId="77777777" w:rsidR="00123F26" w:rsidRDefault="00FB65BD">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i/>
                <w:color w:val="000000"/>
                <w:sz w:val="20"/>
                <w:szCs w:val="20"/>
              </w:rPr>
              <w:t>“Respuesta.” (Sic)</w:t>
            </w:r>
          </w:p>
        </w:tc>
        <w:tc>
          <w:tcPr>
            <w:tcW w:w="2596" w:type="dxa"/>
            <w:shd w:val="clear" w:color="auto" w:fill="auto"/>
          </w:tcPr>
          <w:p w14:paraId="59F7E1B4" w14:textId="77777777" w:rsidR="00123F26" w:rsidRDefault="00FB65BD">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color w:val="000000"/>
                <w:sz w:val="20"/>
                <w:szCs w:val="20"/>
              </w:rPr>
              <w:t>“Manda un vínculo sin sentido. Se niegan a mandar la información, que están ocultando</w:t>
            </w:r>
            <w:proofErr w:type="gramStart"/>
            <w:r>
              <w:rPr>
                <w:rFonts w:ascii="Palatino Linotype" w:eastAsia="Palatino Linotype" w:hAnsi="Palatino Linotype" w:cs="Palatino Linotype"/>
                <w:i/>
                <w:color w:val="000000"/>
                <w:sz w:val="20"/>
                <w:szCs w:val="20"/>
              </w:rPr>
              <w:t>?</w:t>
            </w:r>
            <w:proofErr w:type="gramEnd"/>
            <w:r>
              <w:rPr>
                <w:rFonts w:ascii="Palatino Linotype" w:eastAsia="Palatino Linotype" w:hAnsi="Palatino Linotype" w:cs="Palatino Linotype"/>
                <w:i/>
                <w:color w:val="000000"/>
                <w:sz w:val="20"/>
                <w:szCs w:val="20"/>
              </w:rPr>
              <w:t xml:space="preserve"> Están violando mis derechos constitucionales en transparencia. Exijo no quede impune está violación a mis derechos.” (Sic)</w:t>
            </w:r>
          </w:p>
        </w:tc>
      </w:tr>
    </w:tbl>
    <w:p w14:paraId="6A3963F3" w14:textId="77777777" w:rsidR="00123F26" w:rsidRDefault="00FB65B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los recursos de revisión número </w:t>
      </w:r>
      <w:r>
        <w:rPr>
          <w:rFonts w:ascii="Palatino Linotype" w:eastAsia="Palatino Linotype" w:hAnsi="Palatino Linotype" w:cs="Palatino Linotype"/>
          <w:b/>
        </w:rPr>
        <w:t>00119/INFOEM/IP/RR/2022, 00121/INFOEM/IP/RR/2022, 00324/INFOEM/IP/RR/2022</w:t>
      </w:r>
      <w:r>
        <w:rPr>
          <w:rFonts w:ascii="Palatino Linotype" w:eastAsia="Palatino Linotype" w:hAnsi="Palatino Linotype" w:cs="Palatino Linotype"/>
          <w:b/>
          <w:sz w:val="23"/>
          <w:szCs w:val="23"/>
        </w:rPr>
        <w:t xml:space="preserve"> </w:t>
      </w:r>
      <w:r>
        <w:rPr>
          <w:rFonts w:ascii="Palatino Linotype" w:eastAsia="Palatino Linotype" w:hAnsi="Palatino Linotype" w:cs="Palatino Linotype"/>
        </w:rPr>
        <w:t>fueron</w:t>
      </w:r>
      <w:r>
        <w:rPr>
          <w:rFonts w:ascii="Palatino Linotype" w:eastAsia="Palatino Linotype" w:hAnsi="Palatino Linotype" w:cs="Palatino Linotype"/>
          <w:b/>
        </w:rPr>
        <w:t xml:space="preserve"> </w:t>
      </w:r>
      <w:r>
        <w:rPr>
          <w:rFonts w:ascii="Palatino Linotype" w:eastAsia="Palatino Linotype" w:hAnsi="Palatino Linotype" w:cs="Palatino Linotype"/>
        </w:rPr>
        <w:t>turnados a los Comisionados Guadalupe Ramírez Peña y José Martínez Vilchis; a efecto de presentar al Pleno los proyectos de resolución correspondientes.</w:t>
      </w:r>
    </w:p>
    <w:p w14:paraId="36BC5B43" w14:textId="77777777" w:rsidR="00123F26" w:rsidRDefault="00FB65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Mediante acuerdo de fechas </w:t>
      </w:r>
      <w:r>
        <w:rPr>
          <w:rFonts w:ascii="Palatino Linotype" w:eastAsia="Palatino Linotype" w:hAnsi="Palatino Linotype" w:cs="Palatino Linotype"/>
          <w:b/>
        </w:rPr>
        <w:t>dieciocho y treinta y uno de enero del dos mil veintidós</w:t>
      </w:r>
      <w:r>
        <w:rPr>
          <w:rFonts w:ascii="Palatino Linotype" w:eastAsia="Palatino Linotype" w:hAnsi="Palatino Linotype" w:cs="Palatino Linotype"/>
        </w:rPr>
        <w:t xml:space="preserve">, este Órgano Garante, admitió a trámite los recursos de revisión respectivos, poniéndose a disposición de las partes, para que un plazo no mayor a </w:t>
      </w:r>
      <w:r>
        <w:rPr>
          <w:rFonts w:ascii="Palatino Linotype" w:eastAsia="Palatino Linotype" w:hAnsi="Palatino Linotype" w:cs="Palatino Linotype"/>
        </w:rPr>
        <w:lastRenderedPageBreak/>
        <w:t xml:space="preserve">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14:paraId="7305E816" w14:textId="77777777" w:rsidR="00123F26" w:rsidRDefault="00FB65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Tercera y Quinta Sesiones Ordinarias</w:t>
      </w:r>
      <w:r>
        <w:rPr>
          <w:rFonts w:ascii="Palatino Linotype" w:eastAsia="Palatino Linotype" w:hAnsi="Palatino Linotype" w:cs="Palatino Linotype"/>
        </w:rPr>
        <w:t xml:space="preserve"> celebradas el </w:t>
      </w:r>
      <w:r>
        <w:rPr>
          <w:rFonts w:ascii="Palatino Linotype" w:eastAsia="Palatino Linotype" w:hAnsi="Palatino Linotype" w:cs="Palatino Linotype"/>
          <w:b/>
        </w:rPr>
        <w:t>veintisiete de enero y diez de febrero de dos mil veintidós</w:t>
      </w:r>
      <w:r>
        <w:rPr>
          <w:rFonts w:ascii="Palatino Linotype" w:eastAsia="Palatino Linotype" w:hAnsi="Palatino Linotype" w:cs="Palatino Linotype"/>
        </w:rPr>
        <w:t xml:space="preserve">, el Pleno de este Instituto,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acordó la acumulación de los recursos antes señalados, aprobando que fuera Ponente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w:t>
      </w:r>
    </w:p>
    <w:p w14:paraId="44A59086" w14:textId="77777777" w:rsidR="00123F26" w:rsidRDefault="00FB65BD">
      <w:pPr>
        <w:widowControl w:val="0"/>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Manifestaciones.</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las constancias que integran el expediente en que se actúan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veinticuatro de enero y cuatro de febrero de dos mil veintidós,</w:t>
      </w:r>
      <w:r>
        <w:rPr>
          <w:rFonts w:ascii="Palatino Linotype" w:eastAsia="Palatino Linotype" w:hAnsi="Palatino Linotype" w:cs="Palatino Linotype"/>
        </w:rPr>
        <w:t xml:space="preserve"> rindió sus informes justificado consistentes en lo siguiente: </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123F26" w14:paraId="4157AA6C" w14:textId="77777777">
        <w:tc>
          <w:tcPr>
            <w:tcW w:w="3256" w:type="dxa"/>
            <w:shd w:val="clear" w:color="auto" w:fill="D9D9D9"/>
          </w:tcPr>
          <w:p w14:paraId="1EA63A53" w14:textId="77777777" w:rsidR="00123F26" w:rsidRDefault="00FB65BD">
            <w:pPr>
              <w:jc w:val="both"/>
              <w:rPr>
                <w:rFonts w:ascii="Palatino Linotype" w:eastAsia="Palatino Linotype" w:hAnsi="Palatino Linotype" w:cs="Palatino Linotype"/>
                <w:b/>
                <w:i/>
              </w:rPr>
            </w:pPr>
            <w:r>
              <w:rPr>
                <w:rFonts w:ascii="Palatino Linotype" w:eastAsia="Palatino Linotype" w:hAnsi="Palatino Linotype" w:cs="Palatino Linotype"/>
                <w:b/>
                <w:i/>
              </w:rPr>
              <w:t>Número de solicitud</w:t>
            </w:r>
          </w:p>
        </w:tc>
        <w:tc>
          <w:tcPr>
            <w:tcW w:w="5572" w:type="dxa"/>
            <w:shd w:val="clear" w:color="auto" w:fill="D9D9D9"/>
          </w:tcPr>
          <w:p w14:paraId="6A184D3A" w14:textId="77777777" w:rsidR="00123F26" w:rsidRDefault="00FB65BD">
            <w:pPr>
              <w:jc w:val="center"/>
              <w:rPr>
                <w:rFonts w:ascii="Palatino Linotype" w:eastAsia="Palatino Linotype" w:hAnsi="Palatino Linotype" w:cs="Palatino Linotype"/>
                <w:b/>
                <w:i/>
              </w:rPr>
            </w:pPr>
            <w:r>
              <w:rPr>
                <w:rFonts w:ascii="Palatino Linotype" w:eastAsia="Palatino Linotype" w:hAnsi="Palatino Linotype" w:cs="Palatino Linotype"/>
                <w:b/>
                <w:i/>
              </w:rPr>
              <w:t>Informe Justificado</w:t>
            </w:r>
          </w:p>
        </w:tc>
      </w:tr>
      <w:tr w:rsidR="00123F26" w14:paraId="4034DF60" w14:textId="77777777">
        <w:tc>
          <w:tcPr>
            <w:tcW w:w="3256" w:type="dxa"/>
          </w:tcPr>
          <w:p w14:paraId="5B31D0D7" w14:textId="77777777" w:rsidR="00123F26" w:rsidRDefault="00FB65B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00119/INFOEM/IP/RR/2022</w:t>
            </w:r>
          </w:p>
        </w:tc>
        <w:tc>
          <w:tcPr>
            <w:tcW w:w="5572" w:type="dxa"/>
          </w:tcPr>
          <w:p w14:paraId="2125BF9E" w14:textId="77777777" w:rsidR="00123F26" w:rsidRDefault="00FB65BD">
            <w:pPr>
              <w:pBdr>
                <w:top w:val="nil"/>
                <w:left w:val="nil"/>
                <w:bottom w:val="nil"/>
                <w:right w:val="nil"/>
                <w:between w:val="nil"/>
              </w:pBdr>
              <w:jc w:val="both"/>
              <w:rPr>
                <w:rFonts w:ascii="Palatino Linotype" w:eastAsia="Palatino Linotype" w:hAnsi="Palatino Linotype" w:cs="Palatino Linotype"/>
                <w:b/>
                <w:i/>
                <w:color w:val="000000"/>
              </w:rPr>
            </w:pPr>
            <w:r>
              <w:rPr>
                <w:rFonts w:ascii="Palatino Linotype" w:eastAsia="Palatino Linotype" w:hAnsi="Palatino Linotype" w:cs="Palatino Linotype"/>
                <w:b/>
                <w:i/>
              </w:rPr>
              <w:t>00086-OASATIZARA-IP-RR-2022.pdf: C</w:t>
            </w:r>
            <w:r>
              <w:rPr>
                <w:rFonts w:ascii="Palatino Linotype" w:eastAsia="Palatino Linotype" w:hAnsi="Palatino Linotype" w:cs="Palatino Linotype"/>
              </w:rPr>
              <w:t xml:space="preserve">onsistente en el oficio SAPASA/SAF/MLGA/072/2022 de fecha veinte de </w:t>
            </w:r>
            <w:r>
              <w:rPr>
                <w:rFonts w:ascii="Palatino Linotype" w:eastAsia="Palatino Linotype" w:hAnsi="Palatino Linotype" w:cs="Palatino Linotype"/>
              </w:rPr>
              <w:lastRenderedPageBreak/>
              <w:t xml:space="preserve">enero de dos mil veintidós, suscrito y firmado por la Subdirectora de Administración y Finanzas, por medio del cual ratificó la respuesta inicial. </w:t>
            </w:r>
          </w:p>
        </w:tc>
      </w:tr>
      <w:tr w:rsidR="00123F26" w14:paraId="7C430963" w14:textId="77777777">
        <w:tc>
          <w:tcPr>
            <w:tcW w:w="3256" w:type="dxa"/>
          </w:tcPr>
          <w:p w14:paraId="476A2A96" w14:textId="77777777" w:rsidR="00123F26" w:rsidRDefault="00FB65B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00121/INFOEM/IP/RR/2022</w:t>
            </w:r>
          </w:p>
        </w:tc>
        <w:tc>
          <w:tcPr>
            <w:tcW w:w="5572" w:type="dxa"/>
          </w:tcPr>
          <w:p w14:paraId="4EF0859F" w14:textId="77777777" w:rsidR="00123F26" w:rsidRDefault="00FB65BD">
            <w:pPr>
              <w:pBdr>
                <w:top w:val="nil"/>
                <w:left w:val="nil"/>
                <w:bottom w:val="nil"/>
                <w:right w:val="nil"/>
                <w:between w:val="nil"/>
              </w:pBdr>
              <w:jc w:val="both"/>
              <w:rPr>
                <w:rFonts w:ascii="Palatino Linotype" w:eastAsia="Palatino Linotype" w:hAnsi="Palatino Linotype" w:cs="Palatino Linotype"/>
                <w:b/>
                <w:i/>
                <w:color w:val="000000"/>
              </w:rPr>
            </w:pPr>
            <w:r>
              <w:rPr>
                <w:rFonts w:ascii="Palatino Linotype" w:eastAsia="Palatino Linotype" w:hAnsi="Palatino Linotype" w:cs="Palatino Linotype"/>
                <w:b/>
                <w:i/>
              </w:rPr>
              <w:t xml:space="preserve">00086-OASATIZARA-IP-RR-2021.pdf </w:t>
            </w:r>
            <w:r>
              <w:rPr>
                <w:rFonts w:ascii="Palatino Linotype" w:eastAsia="Palatino Linotype" w:hAnsi="Palatino Linotype" w:cs="Palatino Linotype"/>
              </w:rPr>
              <w:t xml:space="preserve">Se trata del oficio SAPASA/SAF/MLGA/074/2022 de fecha veinte de enero de dos mil veintidós, suscrito y firmado por la Subdirectora de Administración y Finanzas, por medio del cual ratificó la respuesta inicial. </w:t>
            </w:r>
          </w:p>
        </w:tc>
      </w:tr>
      <w:tr w:rsidR="00123F26" w14:paraId="0645618D" w14:textId="77777777">
        <w:tc>
          <w:tcPr>
            <w:tcW w:w="3256" w:type="dxa"/>
          </w:tcPr>
          <w:p w14:paraId="32CC18FF" w14:textId="77777777" w:rsidR="00123F26" w:rsidRDefault="00FB65B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00324/INFOEM/IP/RR/2022</w:t>
            </w:r>
          </w:p>
        </w:tc>
        <w:tc>
          <w:tcPr>
            <w:tcW w:w="5572" w:type="dxa"/>
          </w:tcPr>
          <w:p w14:paraId="5AE7B631" w14:textId="77777777" w:rsidR="00123F26" w:rsidRDefault="00FB65BD">
            <w:pPr>
              <w:jc w:val="both"/>
              <w:rPr>
                <w:rFonts w:ascii="Palatino Linotype" w:eastAsia="Palatino Linotype" w:hAnsi="Palatino Linotype" w:cs="Palatino Linotype"/>
                <w:i/>
              </w:rPr>
            </w:pPr>
            <w:r>
              <w:rPr>
                <w:rFonts w:ascii="Palatino Linotype" w:eastAsia="Palatino Linotype" w:hAnsi="Palatino Linotype" w:cs="Palatino Linotype"/>
                <w:b/>
                <w:i/>
              </w:rPr>
              <w:t xml:space="preserve">SAPASASAFMLGA01272022.pdf: </w:t>
            </w:r>
            <w:r>
              <w:rPr>
                <w:rFonts w:ascii="Palatino Linotype" w:eastAsia="Palatino Linotype" w:hAnsi="Palatino Linotype" w:cs="Palatino Linotype"/>
              </w:rPr>
              <w:t xml:space="preserve">Oficio SAPASA/SAF/MLGA/0127/2022 de fecha tres de febrero de dos mil veintidós, suscrito y firmado por la Subdirectora de Administración y Finanzas, por medio del cual ratificó la respuesta inicial. </w:t>
            </w:r>
          </w:p>
        </w:tc>
      </w:tr>
    </w:tbl>
    <w:p w14:paraId="2EBC1958" w14:textId="77777777" w:rsidR="00123F26" w:rsidRDefault="00123F26">
      <w:pPr>
        <w:widowControl w:val="0"/>
        <w:tabs>
          <w:tab w:val="left" w:pos="709"/>
        </w:tabs>
        <w:spacing w:before="120" w:after="240" w:line="360" w:lineRule="auto"/>
        <w:jc w:val="both"/>
        <w:rPr>
          <w:rFonts w:ascii="Palatino Linotype" w:eastAsia="Palatino Linotype" w:hAnsi="Palatino Linotype" w:cs="Palatino Linotype"/>
        </w:rPr>
      </w:pPr>
    </w:p>
    <w:p w14:paraId="01250483" w14:textId="77777777" w:rsidR="00123F26" w:rsidRDefault="00FB65BD">
      <w:pPr>
        <w:widowControl w:val="0"/>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Mediante acuerdo de fechas </w:t>
      </w:r>
      <w:r>
        <w:rPr>
          <w:rFonts w:ascii="Palatino Linotype" w:eastAsia="Palatino Linotype" w:hAnsi="Palatino Linotype" w:cs="Palatino Linotype"/>
          <w:b/>
        </w:rPr>
        <w:t xml:space="preserve">dos y nueve de febrero de dos mil veintidós </w:t>
      </w:r>
      <w:r>
        <w:rPr>
          <w:rFonts w:ascii="Palatino Linotype" w:eastAsia="Palatino Linotype" w:hAnsi="Palatino Linotype" w:cs="Palatino Linotype"/>
        </w:rPr>
        <w:t xml:space="preserve">se notificaron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los informes justificados. </w:t>
      </w:r>
    </w:p>
    <w:p w14:paraId="042ACA45" w14:textId="77777777" w:rsidR="00123F26" w:rsidRDefault="00123F26">
      <w:pPr>
        <w:ind w:left="851" w:right="283"/>
        <w:jc w:val="both"/>
        <w:rPr>
          <w:rFonts w:ascii="Palatino Linotype" w:eastAsia="Palatino Linotype" w:hAnsi="Palatino Linotype" w:cs="Palatino Linotype"/>
        </w:rPr>
      </w:pPr>
    </w:p>
    <w:p w14:paraId="789E60C7" w14:textId="77777777" w:rsidR="00123F26" w:rsidRDefault="00FB65B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fechas </w:t>
      </w:r>
      <w:r>
        <w:rPr>
          <w:rFonts w:ascii="Palatino Linotype" w:eastAsia="Palatino Linotype" w:hAnsi="Palatino Linotype" w:cs="Palatino Linotype"/>
          <w:b/>
        </w:rPr>
        <w:t>nueve y dieciséis de febrero del año dos mil veintidós</w:t>
      </w:r>
      <w:r>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w:t>
      </w:r>
      <w:r>
        <w:rPr>
          <w:rFonts w:ascii="Palatino Linotype" w:eastAsia="Palatino Linotype" w:hAnsi="Palatino Linotype" w:cs="Palatino Linotype"/>
        </w:rPr>
        <w:lastRenderedPageBreak/>
        <w:t xml:space="preserve">Información Pública del Estado de México y Municipios, el cual fue notificado a las partes en la misma fecha. </w:t>
      </w:r>
      <w:r>
        <w:rPr>
          <w:rFonts w:ascii="Palatino Linotype" w:eastAsia="Palatino Linotype" w:hAnsi="Palatino Linotype" w:cs="Palatino Linotype"/>
          <w:b/>
          <w:sz w:val="28"/>
          <w:szCs w:val="28"/>
        </w:rPr>
        <w:t xml:space="preserve"> </w:t>
      </w:r>
    </w:p>
    <w:p w14:paraId="6EF3A1F7" w14:textId="77777777" w:rsidR="00123F26" w:rsidRDefault="00123F26">
      <w:pPr>
        <w:widowControl w:val="0"/>
        <w:spacing w:line="360" w:lineRule="auto"/>
        <w:ind w:right="49"/>
        <w:jc w:val="both"/>
        <w:rPr>
          <w:rFonts w:ascii="Palatino Linotype" w:eastAsia="Palatino Linotype" w:hAnsi="Palatino Linotype" w:cs="Palatino Linotype"/>
          <w:b/>
          <w:sz w:val="28"/>
          <w:szCs w:val="28"/>
        </w:rPr>
      </w:pPr>
    </w:p>
    <w:p w14:paraId="1399826F" w14:textId="77777777" w:rsidR="00123F26" w:rsidRDefault="00FB65BD">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9.</w:t>
      </w:r>
      <w:r>
        <w:rPr>
          <w:rFonts w:ascii="Palatino Linotype" w:eastAsia="Palatino Linotype" w:hAnsi="Palatino Linotype" w:cs="Palatino Linotype"/>
          <w:b/>
          <w:i/>
        </w:rPr>
        <w:t xml:space="preserve"> </w:t>
      </w:r>
      <w:r>
        <w:rPr>
          <w:rFonts w:ascii="Palatino Linotype" w:eastAsia="Palatino Linotype" w:hAnsi="Palatino Linotype" w:cs="Palatino Linotype"/>
          <w:b/>
        </w:rPr>
        <w:t>Desistimiento de los Recursos de Revisión</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veintitrés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desistió vía el SAIMEX de los medios de impugnación y manifestó lo siguiente: </w:t>
      </w:r>
    </w:p>
    <w:p w14:paraId="032D9FFD" w14:textId="77777777" w:rsidR="00123F26" w:rsidRDefault="00123F26">
      <w:pPr>
        <w:widowControl w:val="0"/>
        <w:spacing w:line="360" w:lineRule="auto"/>
        <w:jc w:val="both"/>
        <w:rPr>
          <w:rFonts w:ascii="Palatino Linotype" w:eastAsia="Palatino Linotype" w:hAnsi="Palatino Linotype" w:cs="Palatino Linotype"/>
        </w:rPr>
      </w:pP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123F26" w14:paraId="68C3F565" w14:textId="77777777">
        <w:tc>
          <w:tcPr>
            <w:tcW w:w="3256" w:type="dxa"/>
            <w:shd w:val="clear" w:color="auto" w:fill="D9D9D9"/>
          </w:tcPr>
          <w:p w14:paraId="085F6137" w14:textId="77777777" w:rsidR="00123F26" w:rsidRDefault="00FB65BD">
            <w:pPr>
              <w:jc w:val="both"/>
              <w:rPr>
                <w:rFonts w:ascii="Palatino Linotype" w:eastAsia="Palatino Linotype" w:hAnsi="Palatino Linotype" w:cs="Palatino Linotype"/>
                <w:b/>
                <w:i/>
              </w:rPr>
            </w:pPr>
            <w:r>
              <w:rPr>
                <w:rFonts w:ascii="Palatino Linotype" w:eastAsia="Palatino Linotype" w:hAnsi="Palatino Linotype" w:cs="Palatino Linotype"/>
                <w:b/>
                <w:i/>
              </w:rPr>
              <w:t>Número de solicitud</w:t>
            </w:r>
          </w:p>
        </w:tc>
        <w:tc>
          <w:tcPr>
            <w:tcW w:w="5572" w:type="dxa"/>
            <w:shd w:val="clear" w:color="auto" w:fill="D9D9D9"/>
          </w:tcPr>
          <w:p w14:paraId="4E212637" w14:textId="77777777" w:rsidR="00123F26" w:rsidRDefault="00FB65BD">
            <w:pPr>
              <w:jc w:val="center"/>
              <w:rPr>
                <w:rFonts w:ascii="Palatino Linotype" w:eastAsia="Palatino Linotype" w:hAnsi="Palatino Linotype" w:cs="Palatino Linotype"/>
                <w:b/>
                <w:i/>
              </w:rPr>
            </w:pPr>
            <w:r>
              <w:rPr>
                <w:rFonts w:ascii="Palatino Linotype" w:eastAsia="Palatino Linotype" w:hAnsi="Palatino Linotype" w:cs="Palatino Linotype"/>
                <w:b/>
                <w:i/>
              </w:rPr>
              <w:t>Desistimiento</w:t>
            </w:r>
          </w:p>
        </w:tc>
      </w:tr>
      <w:tr w:rsidR="00123F26" w14:paraId="062097F8" w14:textId="77777777">
        <w:trPr>
          <w:trHeight w:val="612"/>
        </w:trPr>
        <w:tc>
          <w:tcPr>
            <w:tcW w:w="3256" w:type="dxa"/>
          </w:tcPr>
          <w:p w14:paraId="40AA040D" w14:textId="77777777" w:rsidR="00123F26" w:rsidRDefault="00123F26">
            <w:pPr>
              <w:jc w:val="both"/>
              <w:rPr>
                <w:rFonts w:ascii="Palatino Linotype" w:eastAsia="Palatino Linotype" w:hAnsi="Palatino Linotype" w:cs="Palatino Linotype"/>
                <w:b/>
                <w:i/>
                <w:sz w:val="22"/>
                <w:szCs w:val="22"/>
              </w:rPr>
            </w:pPr>
          </w:p>
          <w:p w14:paraId="556A30D3" w14:textId="77777777" w:rsidR="00123F26" w:rsidRDefault="00FB65B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00119/INFOEM/IP/RR/2022</w:t>
            </w:r>
          </w:p>
        </w:tc>
        <w:tc>
          <w:tcPr>
            <w:tcW w:w="5572" w:type="dxa"/>
          </w:tcPr>
          <w:p w14:paraId="65E00124" w14:textId="77777777" w:rsidR="00123F26" w:rsidRDefault="00123F26">
            <w:pPr>
              <w:widowControl w:val="0"/>
              <w:pBdr>
                <w:top w:val="nil"/>
                <w:left w:val="nil"/>
                <w:bottom w:val="nil"/>
                <w:right w:val="nil"/>
                <w:between w:val="nil"/>
              </w:pBdr>
              <w:spacing w:line="276" w:lineRule="auto"/>
              <w:rPr>
                <w:rFonts w:ascii="Palatino Linotype" w:eastAsia="Palatino Linotype" w:hAnsi="Palatino Linotype" w:cs="Palatino Linotype"/>
                <w:b/>
                <w:i/>
                <w:sz w:val="22"/>
                <w:szCs w:val="22"/>
              </w:rPr>
            </w:pPr>
          </w:p>
          <w:tbl>
            <w:tblPr>
              <w:tblStyle w:val="a6"/>
              <w:tblW w:w="10500" w:type="dxa"/>
              <w:jc w:val="center"/>
              <w:tblInd w:w="0" w:type="dxa"/>
              <w:tblLayout w:type="fixed"/>
              <w:tblLook w:val="0400" w:firstRow="0" w:lastRow="0" w:firstColumn="0" w:lastColumn="0" w:noHBand="0" w:noVBand="1"/>
            </w:tblPr>
            <w:tblGrid>
              <w:gridCol w:w="10500"/>
            </w:tblGrid>
            <w:tr w:rsidR="00123F26" w14:paraId="45C733D5" w14:textId="77777777">
              <w:trPr>
                <w:trHeight w:val="150"/>
                <w:jc w:val="center"/>
              </w:trPr>
              <w:tc>
                <w:tcPr>
                  <w:tcW w:w="10500" w:type="dxa"/>
                  <w:vAlign w:val="center"/>
                </w:tcPr>
                <w:p w14:paraId="5D98B0E5" w14:textId="77777777" w:rsidR="00123F26" w:rsidRDefault="00FB65BD">
                  <w:r>
                    <w:rPr>
                      <w:rFonts w:ascii="Verdana" w:eastAsia="Verdana" w:hAnsi="Verdana" w:cs="Verdana"/>
                      <w:sz w:val="18"/>
                      <w:szCs w:val="18"/>
                    </w:rPr>
                    <w:t>Gracias ya ok</w:t>
                  </w:r>
                </w:p>
              </w:tc>
            </w:tr>
          </w:tbl>
          <w:p w14:paraId="061C48C6" w14:textId="77777777" w:rsidR="00123F26" w:rsidRDefault="00FB65BD">
            <w:pPr>
              <w:pBdr>
                <w:top w:val="nil"/>
                <w:left w:val="nil"/>
                <w:bottom w:val="nil"/>
                <w:right w:val="nil"/>
                <w:between w:val="nil"/>
              </w:pBdr>
              <w:jc w:val="center"/>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“Gracias ya ok” (Sic)</w:t>
            </w:r>
          </w:p>
        </w:tc>
      </w:tr>
      <w:tr w:rsidR="00123F26" w14:paraId="32325D72" w14:textId="77777777">
        <w:tc>
          <w:tcPr>
            <w:tcW w:w="3256" w:type="dxa"/>
          </w:tcPr>
          <w:p w14:paraId="2B72B5E0" w14:textId="77777777" w:rsidR="00123F26" w:rsidRDefault="00FB65B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00121/INFOEM/IP/RR/2022</w:t>
            </w:r>
          </w:p>
        </w:tc>
        <w:tc>
          <w:tcPr>
            <w:tcW w:w="5572" w:type="dxa"/>
          </w:tcPr>
          <w:p w14:paraId="6AB80F5D" w14:textId="77777777" w:rsidR="00123F26" w:rsidRDefault="00FB65BD">
            <w:pPr>
              <w:pBdr>
                <w:top w:val="nil"/>
                <w:left w:val="nil"/>
                <w:bottom w:val="nil"/>
                <w:right w:val="nil"/>
                <w:between w:val="nil"/>
              </w:pBdr>
              <w:jc w:val="center"/>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“Ya leí bien gracias” (Sic)</w:t>
            </w:r>
          </w:p>
        </w:tc>
      </w:tr>
      <w:tr w:rsidR="00123F26" w14:paraId="2CF6A38A" w14:textId="77777777">
        <w:tc>
          <w:tcPr>
            <w:tcW w:w="3256" w:type="dxa"/>
          </w:tcPr>
          <w:p w14:paraId="51379F27" w14:textId="77777777" w:rsidR="00123F26" w:rsidRDefault="00FB65BD">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00324/INFOEM/IP/RR/2022</w:t>
            </w:r>
          </w:p>
        </w:tc>
        <w:tc>
          <w:tcPr>
            <w:tcW w:w="5572" w:type="dxa"/>
          </w:tcPr>
          <w:p w14:paraId="5DE1729C" w14:textId="77777777" w:rsidR="00123F26" w:rsidRDefault="00FB65BD">
            <w:pPr>
              <w:jc w:val="center"/>
              <w:rPr>
                <w:rFonts w:ascii="Palatino Linotype" w:eastAsia="Palatino Linotype" w:hAnsi="Palatino Linotype" w:cs="Palatino Linotype"/>
                <w:i/>
              </w:rPr>
            </w:pPr>
            <w:r>
              <w:rPr>
                <w:rFonts w:ascii="Palatino Linotype" w:eastAsia="Palatino Linotype" w:hAnsi="Palatino Linotype" w:cs="Palatino Linotype"/>
                <w:i/>
                <w:color w:val="000000"/>
              </w:rPr>
              <w:t>“Ya leí bien gracias” (Sic)</w:t>
            </w:r>
          </w:p>
        </w:tc>
      </w:tr>
    </w:tbl>
    <w:p w14:paraId="0CECA8F2" w14:textId="77777777" w:rsidR="00123F26" w:rsidRDefault="00123F26">
      <w:pPr>
        <w:widowControl w:val="0"/>
        <w:spacing w:line="360" w:lineRule="auto"/>
        <w:ind w:right="49"/>
        <w:jc w:val="both"/>
        <w:rPr>
          <w:rFonts w:ascii="Palatino Linotype" w:eastAsia="Palatino Linotype" w:hAnsi="Palatino Linotype" w:cs="Palatino Linotype"/>
          <w:b/>
        </w:rPr>
      </w:pPr>
    </w:p>
    <w:p w14:paraId="6E1A0E26" w14:textId="77777777" w:rsidR="00123F26" w:rsidRDefault="00FB65BD">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 S:</w:t>
      </w:r>
    </w:p>
    <w:p w14:paraId="789DB785" w14:textId="77777777" w:rsidR="00123F26" w:rsidRDefault="00FB65B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 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w:t>
      </w:r>
      <w:r>
        <w:rPr>
          <w:rFonts w:ascii="Palatino Linotype" w:eastAsia="Palatino Linotype" w:hAnsi="Palatino Linotype" w:cs="Palatino Linotype"/>
        </w:rPr>
        <w:lastRenderedPageBreak/>
        <w:t>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14:paraId="559662ED" w14:textId="77777777" w:rsidR="00123F26" w:rsidRDefault="00FB65BD">
      <w:pPr>
        <w:spacing w:before="240" w:after="24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 los Recursos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los recursos de revisión interpuestos, previsto en los artículos 178 y 180 de la Ley de Transparencia y Acceso a la Información Pública del Estado de México y Municipios.</w:t>
      </w:r>
    </w:p>
    <w:p w14:paraId="055DF073" w14:textId="77777777" w:rsidR="00123F26" w:rsidRDefault="00FB65BD">
      <w:pP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contados a partir de la fecha en que el Sujeto Obligado emitió la respuesta, toda vez que ésta fue pronunciada el día </w:t>
      </w:r>
      <w:r>
        <w:rPr>
          <w:rFonts w:ascii="Palatino Linotype" w:eastAsia="Palatino Linotype" w:hAnsi="Palatino Linotype" w:cs="Palatino Linotype"/>
          <w:b/>
        </w:rPr>
        <w:t>trece</w:t>
      </w:r>
      <w:r>
        <w:rPr>
          <w:rFonts w:ascii="Palatino Linotype" w:eastAsia="Palatino Linotype" w:hAnsi="Palatino Linotype" w:cs="Palatino Linotype"/>
          <w:b/>
          <w:color w:val="000000"/>
        </w:rPr>
        <w:t xml:space="preserve"> de diciembre de dos mil veintiuno y el veinticuatro de enero de dos mil veintidós</w:t>
      </w:r>
      <w:r>
        <w:rPr>
          <w:rFonts w:ascii="Palatino Linotype" w:eastAsia="Palatino Linotype" w:hAnsi="Palatino Linotype" w:cs="Palatino Linotype"/>
        </w:rPr>
        <w:t xml:space="preserve">, mientras que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el</w:t>
      </w:r>
      <w:r>
        <w:rPr>
          <w:rFonts w:ascii="Palatino Linotype" w:eastAsia="Palatino Linotype" w:hAnsi="Palatino Linotype" w:cs="Palatino Linotype"/>
          <w:b/>
          <w:color w:val="C00000"/>
        </w:rPr>
        <w:t xml:space="preserve"> </w:t>
      </w:r>
      <w:r>
        <w:rPr>
          <w:rFonts w:ascii="Palatino Linotype" w:eastAsia="Palatino Linotype" w:hAnsi="Palatino Linotype" w:cs="Palatino Linotype"/>
          <w:b/>
          <w:color w:val="000000"/>
        </w:rPr>
        <w:t>trece y veintiséis de enero de dos mil veintiuno</w:t>
      </w:r>
      <w:r>
        <w:rPr>
          <w:rFonts w:ascii="Palatino Linotype" w:eastAsia="Palatino Linotype" w:hAnsi="Palatino Linotype" w:cs="Palatino Linotype"/>
          <w:b/>
          <w:color w:val="002060"/>
        </w:rPr>
        <w:t>,</w:t>
      </w:r>
      <w:r>
        <w:rPr>
          <w:rFonts w:ascii="Palatino Linotype" w:eastAsia="Palatino Linotype" w:hAnsi="Palatino Linotype" w:cs="Palatino Linotype"/>
          <w:b/>
          <w:color w:val="C00000"/>
        </w:rPr>
        <w:t xml:space="preserve"> </w:t>
      </w:r>
      <w:r>
        <w:rPr>
          <w:rFonts w:ascii="Palatino Linotype" w:eastAsia="Palatino Linotype" w:hAnsi="Palatino Linotype" w:cs="Palatino Linotype"/>
          <w:color w:val="000000"/>
        </w:rPr>
        <w:t xml:space="preserve">esto es, el </w:t>
      </w:r>
      <w:r>
        <w:rPr>
          <w:rFonts w:ascii="Palatino Linotype" w:eastAsia="Palatino Linotype" w:hAnsi="Palatino Linotype" w:cs="Palatino Linotype"/>
          <w:b/>
          <w:color w:val="000000"/>
        </w:rPr>
        <w:t>segundo y décimo primer día hábil</w:t>
      </w:r>
      <w:r>
        <w:rPr>
          <w:rFonts w:ascii="Palatino Linotype" w:eastAsia="Palatino Linotype" w:hAnsi="Palatino Linotype" w:cs="Palatino Linotype"/>
          <w:color w:val="000000"/>
        </w:rPr>
        <w:t xml:space="preserve"> después de conocer la respuesta, luego entonces, se encuentra dentro de los márgenes temporales previstos por la normatividad vigente. </w:t>
      </w:r>
    </w:p>
    <w:p w14:paraId="7FDE10CA" w14:textId="77777777" w:rsidR="00123F26" w:rsidRDefault="00123F26">
      <w:pPr>
        <w:spacing w:before="240" w:after="240" w:line="360" w:lineRule="auto"/>
        <w:ind w:right="-91"/>
        <w:jc w:val="both"/>
        <w:rPr>
          <w:rFonts w:ascii="Palatino Linotype" w:eastAsia="Palatino Linotype" w:hAnsi="Palatino Linotype" w:cs="Palatino Linotype"/>
          <w:color w:val="000000"/>
        </w:rPr>
      </w:pPr>
    </w:p>
    <w:p w14:paraId="05370B40" w14:textId="77777777" w:rsidR="00123F26" w:rsidRDefault="00FB65BD">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Pr>
          <w:rFonts w:ascii="Palatino Linotype" w:eastAsia="Palatino Linotype" w:hAnsi="Palatino Linotype" w:cs="Palatino Linotype"/>
          <w:b/>
          <w:color w:val="000000"/>
        </w:rPr>
        <w:t xml:space="preserve">no proporciona su nombre completo para que sea </w:t>
      </w:r>
      <w:r>
        <w:rPr>
          <w:rFonts w:ascii="Palatino Linotype" w:eastAsia="Palatino Linotype" w:hAnsi="Palatino Linotype" w:cs="Palatino Linotype"/>
          <w:b/>
          <w:color w:val="000000"/>
          <w:u w:val="single"/>
        </w:rPr>
        <w:t>identificado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BB73F16" w14:textId="77777777" w:rsidR="00123F26" w:rsidRDefault="00FB65BD">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Esto es así, ya que de conformidad con los artículos 6, Apartado A, fracciones III y IV de la Constitución Política de los Estados Unidos Mexicanos y 5 párrafos </w:t>
      </w:r>
      <w:r>
        <w:rPr>
          <w:rFonts w:ascii="Palatino Linotype" w:eastAsia="Palatino Linotype" w:hAnsi="Palatino Linotype" w:cs="Palatino Linotype"/>
          <w:color w:val="222222"/>
        </w:rPr>
        <w:t xml:space="preserve">trigésimo, trigésimo primero y trigésimo segundo </w:t>
      </w:r>
      <w:r>
        <w:rPr>
          <w:rFonts w:ascii="Palatino Linotype" w:eastAsia="Palatino Linotype" w:hAnsi="Palatino Linotype" w:cs="Palatino Linotype"/>
          <w:color w:val="000000"/>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FFC089C" w14:textId="77777777" w:rsidR="00123F26" w:rsidRDefault="00123F26">
      <w:pPr>
        <w:pBdr>
          <w:top w:val="nil"/>
          <w:left w:val="nil"/>
          <w:bottom w:val="nil"/>
          <w:right w:val="nil"/>
          <w:between w:val="nil"/>
        </w:pBdr>
        <w:ind w:left="708"/>
        <w:rPr>
          <w:rFonts w:ascii="Palatino Linotype" w:eastAsia="Palatino Linotype" w:hAnsi="Palatino Linotype" w:cs="Palatino Linotype"/>
          <w:color w:val="000000"/>
        </w:rPr>
      </w:pPr>
    </w:p>
    <w:p w14:paraId="72E30570" w14:textId="77777777" w:rsidR="00123F26" w:rsidRDefault="00FB65BD">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A547F72" w14:textId="77777777" w:rsidR="00123F26" w:rsidRDefault="00FB65BD">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6A9DF4D" w14:textId="77777777" w:rsidR="00123F26" w:rsidRDefault="00FB65BD">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el nombre del solicitando y recurrente no puede ser considerado un requisito indispensable de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del recurso de revisión que nos ocupa, ya que el acceso a la información no está condicionado a acreditar algún interés ya sea jurídico o legítimo, máxime que es un elemento subsanable por este Órgano </w:t>
      </w:r>
      <w:proofErr w:type="spellStart"/>
      <w:r>
        <w:rPr>
          <w:rFonts w:ascii="Palatino Linotype" w:eastAsia="Palatino Linotype" w:hAnsi="Palatino Linotype" w:cs="Palatino Linotype"/>
          <w:color w:val="000000"/>
        </w:rPr>
        <w:t>Resolutor</w:t>
      </w:r>
      <w:proofErr w:type="spellEnd"/>
      <w:r>
        <w:rPr>
          <w:rFonts w:ascii="Palatino Linotype" w:eastAsia="Palatino Linotype" w:hAnsi="Palatino Linotype" w:cs="Palatino Linotype"/>
          <w:color w:val="000000"/>
        </w:rPr>
        <w:t>.</w:t>
      </w:r>
    </w:p>
    <w:p w14:paraId="1DE8713B" w14:textId="77777777" w:rsidR="00123F26" w:rsidRDefault="00123F26">
      <w:pPr>
        <w:spacing w:before="240" w:after="240" w:line="360" w:lineRule="auto"/>
        <w:ind w:right="-91"/>
        <w:jc w:val="both"/>
        <w:rPr>
          <w:rFonts w:ascii="Palatino Linotype" w:eastAsia="Palatino Linotype" w:hAnsi="Palatino Linotype" w:cs="Palatino Linotype"/>
          <w:color w:val="000000"/>
        </w:rPr>
      </w:pPr>
    </w:p>
    <w:p w14:paraId="794C9941" w14:textId="77777777" w:rsidR="00123F26" w:rsidRDefault="00FB65BD">
      <w:pPr>
        <w:spacing w:before="240" w:after="240" w:line="360" w:lineRule="auto"/>
        <w:ind w:right="-9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En consecuencia y después de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AA054FE" w14:textId="77777777" w:rsidR="00123F26" w:rsidRDefault="00FB65BD">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resulta procedente la interposición de los recursos, según lo aducido por el recurrente en sus razones o </w:t>
      </w:r>
      <w:r>
        <w:rPr>
          <w:rFonts w:ascii="Palatino Linotype" w:eastAsia="Palatino Linotype" w:hAnsi="Palatino Linotype" w:cs="Palatino Linotype"/>
          <w:color w:val="000000"/>
        </w:rPr>
        <w:t>motivos de inconformidad, de acuerdo al artículo 179, fracción VI de la Ley de Transparencia y Acceso a la Información Pública del Estado de México y Municipios; que a la letra dice:</w:t>
      </w:r>
    </w:p>
    <w:p w14:paraId="43E949D9" w14:textId="77777777" w:rsidR="00123F26" w:rsidRDefault="00FB65BD">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7C2DECC" w14:textId="77777777" w:rsidR="00123F26" w:rsidRDefault="00FB65BD">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p>
    <w:p w14:paraId="39EA3790" w14:textId="77777777" w:rsidR="00123F26" w:rsidRDefault="00FB65BD">
      <w:pPr>
        <w:spacing w:after="120"/>
        <w:ind w:left="567" w:right="902" w:firstLine="28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 La entrega de información que no corresponde con lo solicitado;</w:t>
      </w:r>
      <w:r>
        <w:rPr>
          <w:rFonts w:ascii="Palatino Linotype" w:eastAsia="Palatino Linotype" w:hAnsi="Palatino Linotype" w:cs="Palatino Linotype"/>
          <w:i/>
          <w:sz w:val="22"/>
          <w:szCs w:val="22"/>
        </w:rPr>
        <w:t>” (Sic)</w:t>
      </w:r>
      <w:r>
        <w:rPr>
          <w:rFonts w:ascii="Palatino Linotype" w:eastAsia="Palatino Linotype" w:hAnsi="Palatino Linotype" w:cs="Palatino Linotype"/>
          <w:b/>
          <w:i/>
          <w:sz w:val="22"/>
          <w:szCs w:val="22"/>
        </w:rPr>
        <w:t xml:space="preserve">              </w:t>
      </w:r>
    </w:p>
    <w:p w14:paraId="69626807" w14:textId="77777777" w:rsidR="00123F26" w:rsidRDefault="00FB65BD">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Tercero. Análisis de la causal de sobreseimiento.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Por otra parte, el artículo 192 de la </w:t>
      </w:r>
      <w:r>
        <w:rPr>
          <w:rFonts w:ascii="Palatino Linotype" w:eastAsia="Palatino Linotype" w:hAnsi="Palatino Linotype" w:cs="Palatino Linotype"/>
          <w:color w:val="000000"/>
        </w:rPr>
        <w:t>Ley de Transparencia y Acceso a la Información Pública del Estado de México y Municipios, señala que el Recurso de Revisión será sobreseído en todo o en parte, cuando, una vez admitido, se actualice alguno de los siguientes supuestos:</w:t>
      </w:r>
    </w:p>
    <w:p w14:paraId="7F3DB0C7" w14:textId="77777777" w:rsidR="00123F26" w:rsidRDefault="00FB65BD">
      <w:pPr>
        <w:numPr>
          <w:ilvl w:val="0"/>
          <w:numId w:val="1"/>
        </w:numPr>
        <w:spacing w:line="360" w:lineRule="auto"/>
        <w:ind w:left="567" w:firstLine="0"/>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El Recurrente se desista expresamente;</w:t>
      </w:r>
    </w:p>
    <w:p w14:paraId="7CB3B322" w14:textId="77777777" w:rsidR="00123F26" w:rsidRDefault="00FB65BD">
      <w:pPr>
        <w:numPr>
          <w:ilvl w:val="0"/>
          <w:numId w:val="1"/>
        </w:numPr>
        <w:spacing w:line="360" w:lineRule="auto"/>
        <w:ind w:left="56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Recurrente fallezca o, tratándose de personas morales se disuelva;</w:t>
      </w:r>
    </w:p>
    <w:p w14:paraId="14EC0E79" w14:textId="77777777" w:rsidR="00123F26" w:rsidRDefault="00FB65BD">
      <w:pPr>
        <w:numPr>
          <w:ilvl w:val="0"/>
          <w:numId w:val="1"/>
        </w:numPr>
        <w:spacing w:line="360" w:lineRule="auto"/>
        <w:ind w:left="56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El Sujeto Obligado modifique la respuesta o la revoque, de tal manera que el recurso de revisión quede sin materia;</w:t>
      </w:r>
    </w:p>
    <w:p w14:paraId="3EF3F9D2" w14:textId="77777777" w:rsidR="00123F26" w:rsidRDefault="00FB65BD">
      <w:pPr>
        <w:numPr>
          <w:ilvl w:val="0"/>
          <w:numId w:val="1"/>
        </w:numPr>
        <w:spacing w:line="360" w:lineRule="auto"/>
        <w:ind w:left="567"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Admitido el recurso de revisión, aparezca alguna causal de improcedencia; y,</w:t>
      </w:r>
    </w:p>
    <w:p w14:paraId="30C3BA2B" w14:textId="77777777" w:rsidR="00123F26" w:rsidRDefault="00FB65BD">
      <w:pPr>
        <w:numPr>
          <w:ilvl w:val="0"/>
          <w:numId w:val="1"/>
        </w:numPr>
        <w:spacing w:line="360" w:lineRule="auto"/>
        <w:ind w:left="567"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Cuando por cualquier motivo quede sin materia el recurso de revisión.</w:t>
      </w:r>
    </w:p>
    <w:p w14:paraId="5FC9C508" w14:textId="77777777" w:rsidR="00123F26" w:rsidRDefault="00123F26">
      <w:pPr>
        <w:spacing w:line="360" w:lineRule="auto"/>
        <w:jc w:val="both"/>
        <w:rPr>
          <w:rFonts w:ascii="Palatino Linotype" w:eastAsia="Palatino Linotype" w:hAnsi="Palatino Linotype" w:cs="Palatino Linotype"/>
          <w:color w:val="000000"/>
        </w:rPr>
      </w:pPr>
    </w:p>
    <w:p w14:paraId="5A98B3B3" w14:textId="77777777" w:rsidR="00123F26" w:rsidRDefault="00FB65B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de los autos que corren agregados al expediente en el que se actúa, no fue posible advertir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hubiera fallecido o hubiera aparecido una causal de improcedencia durante el trámite del presente Recurso, por lo que no se actualizan dichas causales de sobreseimiento.</w:t>
      </w:r>
    </w:p>
    <w:p w14:paraId="2F32B42B" w14:textId="77777777" w:rsidR="00123F26" w:rsidRDefault="00123F26">
      <w:pPr>
        <w:spacing w:line="360" w:lineRule="auto"/>
        <w:jc w:val="both"/>
        <w:rPr>
          <w:rFonts w:ascii="Palatino Linotype" w:eastAsia="Palatino Linotype" w:hAnsi="Palatino Linotype" w:cs="Palatino Linotype"/>
          <w:sz w:val="22"/>
          <w:szCs w:val="22"/>
        </w:rPr>
      </w:pPr>
    </w:p>
    <w:p w14:paraId="47369CCE" w14:textId="77777777" w:rsidR="00123F26" w:rsidRDefault="00FB65B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es susceptible de análisis la actualización del supuesto jurídico previsto en la fracción I, del artículo 192, de la Ley en cita, mismo que dispone que el Recurso de Revisión será sobreseído cuando </w:t>
      </w:r>
      <w:r>
        <w:rPr>
          <w:rFonts w:ascii="Palatino Linotype" w:eastAsia="Palatino Linotype" w:hAnsi="Palatino Linotype" w:cs="Palatino Linotype"/>
          <w:b/>
        </w:rPr>
        <w:t>el Recurrente se desista expresamente</w:t>
      </w:r>
      <w:r>
        <w:rPr>
          <w:rFonts w:ascii="Palatino Linotype" w:eastAsia="Palatino Linotype" w:hAnsi="Palatino Linotype" w:cs="Palatino Linotype"/>
          <w:color w:val="000000"/>
        </w:rPr>
        <w:t xml:space="preserve">. Ello, toda vez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fecha veintitrés de febrero de dos mil veintidós, a través del Sistema de Acceso a la Información Mexiquense (SAIMEX), se desistió expresamente del presente Recurso de Revisión.</w:t>
      </w:r>
    </w:p>
    <w:p w14:paraId="152A53BE" w14:textId="77777777" w:rsidR="00123F26" w:rsidRDefault="00123F26">
      <w:pPr>
        <w:spacing w:line="360" w:lineRule="auto"/>
        <w:jc w:val="both"/>
        <w:rPr>
          <w:rFonts w:ascii="Palatino Linotype" w:eastAsia="Palatino Linotype" w:hAnsi="Palatino Linotype" w:cs="Palatino Linotype"/>
          <w:color w:val="000000"/>
          <w:sz w:val="22"/>
          <w:szCs w:val="22"/>
        </w:rPr>
      </w:pPr>
    </w:p>
    <w:p w14:paraId="13DB6FC0" w14:textId="77777777" w:rsidR="00123F26" w:rsidRDefault="00FB65B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atención a las constancias que integran el expediente del Sistema de Acceso a la Información Mexiquense (SAIMEX) y que se insertan, se aprecia que el Recurrente se desistió del Recurso de Revisión motivo del presente fallo, asimismo, expresó </w:t>
      </w:r>
      <w:r>
        <w:rPr>
          <w:rFonts w:ascii="Palatino Linotype" w:eastAsia="Palatino Linotype" w:hAnsi="Palatino Linotype" w:cs="Palatino Linotype"/>
          <w:color w:val="000000"/>
        </w:rPr>
        <w:lastRenderedPageBreak/>
        <w:t xml:space="preserve">como motivo o razón para su desistimiento </w:t>
      </w:r>
      <w:r>
        <w:rPr>
          <w:rFonts w:ascii="Palatino Linotype" w:eastAsia="Palatino Linotype" w:hAnsi="Palatino Linotype" w:cs="Palatino Linotype"/>
          <w:i/>
          <w:color w:val="000000"/>
        </w:rPr>
        <w:t>“Gracias ya ok.”</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i/>
          <w:color w:val="000000"/>
          <w:sz w:val="22"/>
          <w:szCs w:val="22"/>
        </w:rPr>
        <w:t xml:space="preserve">(Sic) </w:t>
      </w:r>
      <w:r>
        <w:rPr>
          <w:rFonts w:ascii="Palatino Linotype" w:eastAsia="Palatino Linotype" w:hAnsi="Palatino Linotype" w:cs="Palatino Linotype"/>
          <w:color w:val="000000"/>
          <w:sz w:val="22"/>
          <w:szCs w:val="22"/>
        </w:rPr>
        <w:t xml:space="preserve">y </w:t>
      </w:r>
      <w:r>
        <w:rPr>
          <w:rFonts w:ascii="Palatino Linotype" w:eastAsia="Palatino Linotype" w:hAnsi="Palatino Linotype" w:cs="Palatino Linotype"/>
          <w:i/>
          <w:color w:val="000000"/>
        </w:rPr>
        <w:t>“Ya leí bien gracias” (Sic)</w:t>
      </w:r>
    </w:p>
    <w:p w14:paraId="645AD66A" w14:textId="77777777" w:rsidR="00123F26" w:rsidRDefault="00123F26">
      <w:pPr>
        <w:spacing w:line="360" w:lineRule="auto"/>
        <w:jc w:val="both"/>
        <w:rPr>
          <w:rFonts w:ascii="Palatino Linotype" w:eastAsia="Palatino Linotype" w:hAnsi="Palatino Linotype" w:cs="Palatino Linotype"/>
          <w:color w:val="000000"/>
          <w:sz w:val="22"/>
          <w:szCs w:val="22"/>
        </w:rPr>
      </w:pPr>
    </w:p>
    <w:p w14:paraId="0BE08D28" w14:textId="77777777" w:rsidR="00123F26" w:rsidRDefault="00FB65B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Por lo anterior, se aprecia que el Particular </w:t>
      </w:r>
      <w:r>
        <w:rPr>
          <w:rFonts w:ascii="Palatino Linotype" w:eastAsia="Palatino Linotype" w:hAnsi="Palatino Linotype" w:cs="Palatino Linotype"/>
          <w:b/>
          <w:color w:val="000000"/>
        </w:rPr>
        <w:t xml:space="preserve">manifestó expresamente su voluntad de desistirse de los Recursos de Revisión </w:t>
      </w:r>
      <w:r>
        <w:rPr>
          <w:rFonts w:ascii="Palatino Linotype" w:eastAsia="Palatino Linotype" w:hAnsi="Palatino Linotype" w:cs="Palatino Linotype"/>
          <w:b/>
        </w:rPr>
        <w:t xml:space="preserve">00119/INFOEM/IP/RR/2022 00121/INFOEM/IP/RR/2022 y 00324/INFOEM/IP/RR/2022, </w:t>
      </w:r>
      <w:r>
        <w:rPr>
          <w:rFonts w:ascii="Palatino Linotype" w:eastAsia="Palatino Linotype" w:hAnsi="Palatino Linotype" w:cs="Palatino Linotype"/>
        </w:rPr>
        <w:t>en consecuencia, se estima que se actualiza el supuesto previsto en el artículo 192, fracción I, de la Ley de Transparencia y Acceso a la Información Pública del Estado de México y Municipios.</w:t>
      </w:r>
    </w:p>
    <w:p w14:paraId="4093F98B" w14:textId="77777777" w:rsidR="00123F26" w:rsidRDefault="00123F26">
      <w:pPr>
        <w:spacing w:line="360" w:lineRule="auto"/>
        <w:jc w:val="both"/>
        <w:rPr>
          <w:rFonts w:ascii="Palatino Linotype" w:eastAsia="Palatino Linotype" w:hAnsi="Palatino Linotype" w:cs="Palatino Linotype"/>
          <w:sz w:val="22"/>
          <w:szCs w:val="22"/>
        </w:rPr>
      </w:pPr>
    </w:p>
    <w:p w14:paraId="07D92450" w14:textId="77777777" w:rsidR="00123F26" w:rsidRDefault="00FB65B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resulta aplicable la Jurisprudencia número 1a</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J. 65/2005, Semanario Judicial de la Federación y su Gaceta, Novena Época, Tomo XXII, julio de dos mil cinco, página ciento sesenta y uno, que establece lo siguiente:</w:t>
      </w:r>
    </w:p>
    <w:p w14:paraId="3052CA3C" w14:textId="77777777" w:rsidR="00123F26" w:rsidRDefault="00123F26">
      <w:pPr>
        <w:spacing w:line="360" w:lineRule="auto"/>
        <w:jc w:val="both"/>
        <w:rPr>
          <w:rFonts w:ascii="Palatino Linotype" w:eastAsia="Palatino Linotype" w:hAnsi="Palatino Linotype" w:cs="Palatino Linotype"/>
        </w:rPr>
      </w:pPr>
    </w:p>
    <w:p w14:paraId="732529F9" w14:textId="77777777" w:rsidR="00123F26" w:rsidRDefault="00FB65B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b/>
          <w:i/>
          <w:sz w:val="22"/>
          <w:szCs w:val="22"/>
        </w:rPr>
        <w:t>DESISTIMIENTO DE LA INSTANCIA. SURTE EFECTOS DESDE EL MOMENTO EN QUE SE PRESENTA EL ESCRITO CORRESPONDIENTE.</w:t>
      </w:r>
    </w:p>
    <w:p w14:paraId="73C82EEA" w14:textId="77777777" w:rsidR="00123F26" w:rsidRDefault="00FB65B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w:t>
      </w:r>
      <w:r>
        <w:rPr>
          <w:rFonts w:ascii="Palatino Linotype" w:eastAsia="Palatino Linotype" w:hAnsi="Palatino Linotype" w:cs="Palatino Linotype"/>
          <w:i/>
          <w:sz w:val="22"/>
          <w:szCs w:val="22"/>
        </w:rPr>
        <w:lastRenderedPageBreak/>
        <w:t>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61BCB1C7" w14:textId="77777777" w:rsidR="00123F26" w:rsidRDefault="00123F26">
      <w:pPr>
        <w:spacing w:line="360" w:lineRule="auto"/>
        <w:jc w:val="both"/>
        <w:rPr>
          <w:rFonts w:ascii="Palatino Linotype" w:eastAsia="Palatino Linotype" w:hAnsi="Palatino Linotype" w:cs="Palatino Linotype"/>
          <w:color w:val="000000"/>
          <w:sz w:val="22"/>
          <w:szCs w:val="22"/>
        </w:rPr>
      </w:pPr>
    </w:p>
    <w:p w14:paraId="1EFD195A" w14:textId="77777777" w:rsidR="00123F26" w:rsidRDefault="00FB65B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 lo citado se pude colegir que cuando el Recurrente presente un escrito de desistimiento, le hace saber a este Instituto la intención de destruir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6EC26769" w14:textId="77777777" w:rsidR="00123F26" w:rsidRDefault="00123F26">
      <w:pPr>
        <w:spacing w:line="360" w:lineRule="auto"/>
        <w:jc w:val="both"/>
        <w:rPr>
          <w:rFonts w:ascii="Palatino Linotype" w:eastAsia="Palatino Linotype" w:hAnsi="Palatino Linotype" w:cs="Palatino Linotype"/>
          <w:sz w:val="22"/>
          <w:szCs w:val="22"/>
        </w:rPr>
      </w:pPr>
    </w:p>
    <w:p w14:paraId="33061F8E" w14:textId="77777777" w:rsidR="00123F26" w:rsidRDefault="00FB65B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toda vez que este Instituto constató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Pr>
          <w:rFonts w:ascii="Palatino Linotype" w:eastAsia="Palatino Linotype" w:hAnsi="Palatino Linotype" w:cs="Palatino Linotype"/>
          <w:b/>
        </w:rPr>
        <w:t xml:space="preserve">SOBRESEER </w:t>
      </w:r>
      <w:r>
        <w:rPr>
          <w:rFonts w:ascii="Palatino Linotype" w:eastAsia="Palatino Linotype" w:hAnsi="Palatino Linotype" w:cs="Palatino Linotype"/>
        </w:rPr>
        <w:t xml:space="preserve">los Recursos de Revisión con número </w:t>
      </w:r>
      <w:r>
        <w:rPr>
          <w:rFonts w:ascii="Palatino Linotype" w:eastAsia="Palatino Linotype" w:hAnsi="Palatino Linotype" w:cs="Palatino Linotype"/>
          <w:b/>
        </w:rPr>
        <w:t xml:space="preserve">00119/INFOEM/IP/RR/2022, 00121/INFOEM/IP/RR/2022 y 00324/INFOEM/IP/RR/2022 acumulados </w:t>
      </w:r>
      <w:r>
        <w:rPr>
          <w:rFonts w:ascii="Palatino Linotype" w:eastAsia="Palatino Linotype" w:hAnsi="Palatino Linotype" w:cs="Palatino Linotype"/>
        </w:rPr>
        <w:t xml:space="preserve">al actualizarse el supuesto previsto en el </w:t>
      </w:r>
      <w:r>
        <w:rPr>
          <w:rFonts w:ascii="Palatino Linotype" w:eastAsia="Palatino Linotype" w:hAnsi="Palatino Linotype" w:cs="Palatino Linotype"/>
        </w:rPr>
        <w:lastRenderedPageBreak/>
        <w:t>artículo 192, fracción I, de la Ley de Transparencia y Acceso a la Información Pública del Estado de México y Municipios, en relación con el 186, fracción I de ese ordenamiento legal.</w:t>
      </w:r>
    </w:p>
    <w:p w14:paraId="0CF56088" w14:textId="77777777" w:rsidR="00123F26" w:rsidRDefault="00FB65BD">
      <w:pPr>
        <w:spacing w:before="240" w:after="240" w:line="360" w:lineRule="auto"/>
        <w:jc w:val="both"/>
        <w:rPr>
          <w:rFonts w:ascii="Palatino Linotype" w:eastAsia="Palatino Linotype" w:hAnsi="Palatino Linotype" w:cs="Palatino Linotype"/>
        </w:rPr>
      </w:pPr>
      <w:bookmarkStart w:id="2" w:name="_heading=h.gjdgxs" w:colFirst="0" w:colLast="0"/>
      <w:bookmarkEnd w:id="2"/>
      <w:r>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y </w:t>
      </w:r>
      <w:r>
        <w:rPr>
          <w:rFonts w:ascii="Palatino Linotype" w:eastAsia="Palatino Linotype" w:hAnsi="Palatino Linotype" w:cs="Palatino Linotype"/>
          <w:color w:val="000000"/>
        </w:rPr>
        <w:t> 192 fracción I,</w:t>
      </w:r>
      <w:r>
        <w:rPr>
          <w:rFonts w:ascii="Palatino Linotype" w:eastAsia="Palatino Linotype" w:hAnsi="Palatino Linotype" w:cs="Palatino Linotype"/>
        </w:rPr>
        <w:t xml:space="preserve"> de la Ley de Transparencia y Acceso a la Información Pública del Estado de México y Municipios, este Pleno:</w:t>
      </w:r>
    </w:p>
    <w:p w14:paraId="3C8501FF" w14:textId="77777777" w:rsidR="00123F26" w:rsidRDefault="00FB65BD">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RESUELVE</w:t>
      </w:r>
    </w:p>
    <w:p w14:paraId="55AA5D24" w14:textId="77777777" w:rsidR="00123F26" w:rsidRDefault="00FB65BD">
      <w:pPr>
        <w:spacing w:before="240" w:after="240" w:line="360" w:lineRule="auto"/>
        <w:jc w:val="both"/>
        <w:rPr>
          <w:rFonts w:ascii="Palatino Linotype" w:eastAsia="Palatino Linotype" w:hAnsi="Palatino Linotype" w:cs="Palatino Linotype"/>
        </w:rPr>
      </w:pPr>
      <w:bookmarkStart w:id="3" w:name="_heading=h.30j0zll" w:colFirst="0" w:colLast="0"/>
      <w:bookmarkEnd w:id="3"/>
      <w:r>
        <w:rPr>
          <w:rFonts w:ascii="Palatino Linotype" w:eastAsia="Palatino Linotype" w:hAnsi="Palatino Linotype" w:cs="Palatino Linotype"/>
          <w:b/>
        </w:rPr>
        <w:t>Primero</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SOBRESEEN </w:t>
      </w:r>
      <w:r>
        <w:rPr>
          <w:rFonts w:ascii="Palatino Linotype" w:eastAsia="Palatino Linotype" w:hAnsi="Palatino Linotype" w:cs="Palatino Linotype"/>
        </w:rPr>
        <w:t xml:space="preserve">los recursos de revisión número </w:t>
      </w:r>
      <w:r>
        <w:rPr>
          <w:rFonts w:ascii="Palatino Linotype" w:eastAsia="Palatino Linotype" w:hAnsi="Palatino Linotype" w:cs="Palatino Linotype"/>
          <w:b/>
        </w:rPr>
        <w:t>00119/INFOEM/IP/RR/2022, 00121/INFOEM/IP/RR/2022 y 00324/INFOEM/IP/RR/2022</w:t>
      </w:r>
      <w:r>
        <w:rPr>
          <w:rFonts w:ascii="Palatino Linotype" w:eastAsia="Palatino Linotype" w:hAnsi="Palatino Linotype" w:cs="Palatino Linotype"/>
        </w:rPr>
        <w:t xml:space="preserve">, por haberse desistido expresamente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Considerando Tercero</w:t>
      </w:r>
      <w:r>
        <w:rPr>
          <w:rFonts w:ascii="Palatino Linotype" w:eastAsia="Palatino Linotype" w:hAnsi="Palatino Linotype" w:cs="Palatino Linotype"/>
        </w:rPr>
        <w:t xml:space="preserve"> de la presente resolución.</w:t>
      </w:r>
    </w:p>
    <w:p w14:paraId="03C40F30" w14:textId="77777777" w:rsidR="00123F26" w:rsidRDefault="00FB65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b/>
          <w:sz w:val="28"/>
          <w:szCs w:val="28"/>
        </w:rPr>
        <w:t>.</w:t>
      </w:r>
      <w:r>
        <w:rPr>
          <w:rFonts w:ascii="Palatino Linotype" w:eastAsia="Palatino Linotype" w:hAnsi="Palatino Linotype" w:cs="Palatino Linotype"/>
          <w:b/>
          <w:sz w:val="19"/>
          <w:szCs w:val="19"/>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presente resolución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w:t>
      </w:r>
    </w:p>
    <w:p w14:paraId="13876780" w14:textId="77777777" w:rsidR="00123F26" w:rsidRDefault="00FB65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presente resolución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así como, que de conformidad con lo establecido en el artículo 196 de la Ley de Transparencia y Acceso a la Información Pública del Estado de México y </w:t>
      </w:r>
      <w:r>
        <w:rPr>
          <w:rFonts w:ascii="Palatino Linotype" w:eastAsia="Palatino Linotype" w:hAnsi="Palatino Linotype" w:cs="Palatino Linotype"/>
        </w:rPr>
        <w:lastRenderedPageBreak/>
        <w:t>Municipios, podrá impugnarla vía Juicio de Amparo en los términos de las leyes aplicables.</w:t>
      </w:r>
    </w:p>
    <w:p w14:paraId="4C9A62C8" w14:textId="77777777" w:rsidR="009F64E5" w:rsidRDefault="009F64E5">
      <w:pPr>
        <w:spacing w:before="240" w:after="240" w:line="360" w:lineRule="auto"/>
        <w:jc w:val="both"/>
        <w:rPr>
          <w:rFonts w:ascii="Palatino Linotype" w:eastAsia="Palatino Linotype" w:hAnsi="Palatino Linotype" w:cs="Palatino Linotype"/>
        </w:rPr>
      </w:pPr>
    </w:p>
    <w:p w14:paraId="59CC5EDB" w14:textId="77777777" w:rsidR="00123F26" w:rsidRDefault="00FB65BD">
      <w:pPr>
        <w:spacing w:before="240" w:after="240" w:line="360" w:lineRule="auto"/>
        <w:jc w:val="both"/>
        <w:rPr>
          <w:rFonts w:ascii="Palatino Linotype" w:eastAsia="Palatino Linotype" w:hAnsi="Palatino Linotype" w:cs="Palatino Linotype"/>
        </w:rPr>
        <w:sectPr w:rsidR="00123F26">
          <w:headerReference w:type="default" r:id="rId11"/>
          <w:footerReference w:type="default" r:id="rId12"/>
          <w:headerReference w:type="first" r:id="rId13"/>
          <w:footerReference w:type="first" r:id="rId14"/>
          <w:pgSz w:w="12240" w:h="15840"/>
          <w:pgMar w:top="1417" w:right="1750" w:bottom="1417" w:left="1701" w:header="709" w:footer="709" w:gutter="0"/>
          <w:pgNumType w:start="1"/>
          <w:cols w:space="720"/>
          <w:titlePg/>
        </w:sect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TRES DE MARZO DE DOS MIL VEINTIDÓS, ANTE EL SECRETARIO TÉCNICO DEL PLENO, ALEXIS TAPIA RAMÍREZ.</w:t>
      </w:r>
    </w:p>
    <w:p w14:paraId="105FED59" w14:textId="77777777" w:rsidR="00123F26" w:rsidRDefault="00123F26">
      <w:pPr>
        <w:spacing w:before="240" w:after="240" w:line="360" w:lineRule="auto"/>
        <w:jc w:val="both"/>
        <w:rPr>
          <w:rFonts w:ascii="Palatino Linotype" w:eastAsia="Palatino Linotype" w:hAnsi="Palatino Linotype" w:cs="Palatino Linotype"/>
        </w:rPr>
      </w:pPr>
    </w:p>
    <w:sectPr w:rsidR="00123F26">
      <w:headerReference w:type="first" r:id="rId15"/>
      <w:pgSz w:w="12240" w:h="15840"/>
      <w:pgMar w:top="1417" w:right="2034"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01A05" w14:textId="77777777" w:rsidR="008D2F9C" w:rsidRDefault="008D2F9C">
      <w:r>
        <w:separator/>
      </w:r>
    </w:p>
  </w:endnote>
  <w:endnote w:type="continuationSeparator" w:id="0">
    <w:p w14:paraId="211453A2" w14:textId="77777777" w:rsidR="008D2F9C" w:rsidRDefault="008D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C6C1" w14:textId="77777777" w:rsidR="00123F26" w:rsidRDefault="00FB65B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D79DF">
      <w:rPr>
        <w:rFonts w:ascii="Arial" w:eastAsia="Arial" w:hAnsi="Arial" w:cs="Arial"/>
        <w:b/>
        <w:noProof/>
        <w:color w:val="000000"/>
        <w:sz w:val="20"/>
        <w:szCs w:val="20"/>
      </w:rPr>
      <w:t>16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D79DF">
      <w:rPr>
        <w:rFonts w:ascii="Arial" w:eastAsia="Arial" w:hAnsi="Arial" w:cs="Arial"/>
        <w:b/>
        <w:noProof/>
        <w:color w:val="000000"/>
        <w:sz w:val="20"/>
        <w:szCs w:val="20"/>
      </w:rPr>
      <w:t>17</w:t>
    </w:r>
    <w:r>
      <w:rPr>
        <w:rFonts w:ascii="Arial" w:eastAsia="Arial" w:hAnsi="Arial" w:cs="Arial"/>
        <w:b/>
        <w:color w:val="000000"/>
        <w:sz w:val="20"/>
        <w:szCs w:val="20"/>
      </w:rPr>
      <w:fldChar w:fldCharType="end"/>
    </w:r>
  </w:p>
  <w:p w14:paraId="1AAFB66E" w14:textId="77777777" w:rsidR="00123F26" w:rsidRDefault="00123F26">
    <w:pPr>
      <w:pBdr>
        <w:top w:val="nil"/>
        <w:left w:val="nil"/>
        <w:bottom w:val="nil"/>
        <w:right w:val="nil"/>
        <w:between w:val="nil"/>
      </w:pBdr>
      <w:tabs>
        <w:tab w:val="center" w:pos="4252"/>
        <w:tab w:val="right" w:pos="8504"/>
      </w:tabs>
      <w:rPr>
        <w:color w:val="000000"/>
      </w:rPr>
    </w:pPr>
  </w:p>
  <w:p w14:paraId="61F65C0C" w14:textId="77777777" w:rsidR="00123F26" w:rsidRDefault="00123F2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D3248" w14:textId="77777777" w:rsidR="00123F26" w:rsidRDefault="00FB65B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D79D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D79DF">
      <w:rPr>
        <w:rFonts w:ascii="Arial" w:eastAsia="Arial" w:hAnsi="Arial" w:cs="Arial"/>
        <w:b/>
        <w:noProof/>
        <w:color w:val="000000"/>
        <w:sz w:val="20"/>
        <w:szCs w:val="20"/>
      </w:rPr>
      <w:t>17</w:t>
    </w:r>
    <w:r>
      <w:rPr>
        <w:rFonts w:ascii="Arial" w:eastAsia="Arial" w:hAnsi="Arial" w:cs="Arial"/>
        <w:b/>
        <w:color w:val="000000"/>
        <w:sz w:val="20"/>
        <w:szCs w:val="20"/>
      </w:rPr>
      <w:fldChar w:fldCharType="end"/>
    </w:r>
  </w:p>
  <w:p w14:paraId="32DEB8CB" w14:textId="77777777" w:rsidR="00123F26" w:rsidRDefault="00123F2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BDEB9" w14:textId="77777777" w:rsidR="008D2F9C" w:rsidRDefault="008D2F9C">
      <w:r>
        <w:separator/>
      </w:r>
    </w:p>
  </w:footnote>
  <w:footnote w:type="continuationSeparator" w:id="0">
    <w:p w14:paraId="01E066B1" w14:textId="77777777" w:rsidR="008D2F9C" w:rsidRDefault="008D2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F10D0" w14:textId="77777777" w:rsidR="00123F26" w:rsidRDefault="00123F26">
    <w:pPr>
      <w:widowControl w:val="0"/>
      <w:pBdr>
        <w:top w:val="nil"/>
        <w:left w:val="nil"/>
        <w:bottom w:val="nil"/>
        <w:right w:val="nil"/>
        <w:between w:val="nil"/>
      </w:pBdr>
      <w:spacing w:line="276" w:lineRule="auto"/>
      <w:rPr>
        <w:rFonts w:ascii="Cambria" w:eastAsia="Cambria" w:hAnsi="Cambria" w:cs="Cambria"/>
        <w:color w:val="000000"/>
      </w:rPr>
    </w:pPr>
  </w:p>
  <w:tbl>
    <w:tblPr>
      <w:tblStyle w:val="a8"/>
      <w:tblW w:w="6240" w:type="dxa"/>
      <w:tblInd w:w="3746" w:type="dxa"/>
      <w:tblLayout w:type="fixed"/>
      <w:tblLook w:val="0400" w:firstRow="0" w:lastRow="0" w:firstColumn="0" w:lastColumn="0" w:noHBand="0" w:noVBand="1"/>
    </w:tblPr>
    <w:tblGrid>
      <w:gridCol w:w="2553"/>
      <w:gridCol w:w="3687"/>
    </w:tblGrid>
    <w:tr w:rsidR="00123F26" w14:paraId="0B7BF3D7" w14:textId="77777777">
      <w:tc>
        <w:tcPr>
          <w:tcW w:w="2553" w:type="dxa"/>
          <w:vAlign w:val="center"/>
        </w:tcPr>
        <w:p w14:paraId="6414AEF6" w14:textId="77777777" w:rsidR="00123F26" w:rsidRDefault="00FB65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8890470" w14:textId="77777777" w:rsidR="00123F26" w:rsidRDefault="00FB65BD">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00119/INFOEM/IP/RR/2022</w:t>
          </w:r>
        </w:p>
      </w:tc>
    </w:tr>
    <w:tr w:rsidR="00123F26" w14:paraId="6F73165A" w14:textId="77777777">
      <w:trPr>
        <w:trHeight w:val="228"/>
      </w:trPr>
      <w:tc>
        <w:tcPr>
          <w:tcW w:w="2553" w:type="dxa"/>
          <w:vAlign w:val="center"/>
        </w:tcPr>
        <w:p w14:paraId="2D462698" w14:textId="77777777" w:rsidR="00123F26" w:rsidRDefault="00FB65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743647D" w14:textId="6F39B4A2" w:rsidR="00123F26" w:rsidRDefault="00FB65BD">
          <w:pPr>
            <w:tabs>
              <w:tab w:val="left" w:pos="1106"/>
            </w:tabs>
            <w:ind w:right="66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Organismo Público Descentralizado para la Prestación de </w:t>
          </w:r>
          <w:r w:rsidR="00957039">
            <w:rPr>
              <w:rFonts w:ascii="Palatino Linotype" w:eastAsia="Palatino Linotype" w:hAnsi="Palatino Linotype" w:cs="Palatino Linotype"/>
              <w:b/>
              <w:sz w:val="22"/>
              <w:szCs w:val="22"/>
            </w:rPr>
            <w:t>l</w:t>
          </w:r>
          <w:r>
            <w:rPr>
              <w:rFonts w:ascii="Palatino Linotype" w:eastAsia="Palatino Linotype" w:hAnsi="Palatino Linotype" w:cs="Palatino Linotype"/>
              <w:b/>
              <w:sz w:val="22"/>
              <w:szCs w:val="22"/>
            </w:rPr>
            <w:t>os Servicios de Agua Potable Alcantarillado y Saneamiento de Atizapán de Zaragoza por sus siglas S.A.P.A.S.A.</w:t>
          </w:r>
        </w:p>
      </w:tc>
    </w:tr>
    <w:tr w:rsidR="00123F26" w14:paraId="3923ADAD" w14:textId="77777777">
      <w:tc>
        <w:tcPr>
          <w:tcW w:w="2553" w:type="dxa"/>
          <w:vAlign w:val="center"/>
        </w:tcPr>
        <w:p w14:paraId="2D2D8025" w14:textId="77777777" w:rsidR="00123F26" w:rsidRDefault="00FB65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599D240" w14:textId="77777777" w:rsidR="00123F26" w:rsidRDefault="00FB65B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CAAA2E" w14:textId="77777777" w:rsidR="00123F26" w:rsidRDefault="00FB65B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14:anchorId="547EEA70" wp14:editId="23F49B16">
          <wp:simplePos x="0" y="0"/>
          <wp:positionH relativeFrom="column">
            <wp:posOffset>-982343</wp:posOffset>
          </wp:positionH>
          <wp:positionV relativeFrom="paragraph">
            <wp:posOffset>-1098548</wp:posOffset>
          </wp:positionV>
          <wp:extent cx="7635600" cy="9943200"/>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5B27E" w14:textId="77777777" w:rsidR="00123F26" w:rsidRDefault="00FB65BD">
    <w:pPr>
      <w:pBdr>
        <w:top w:val="nil"/>
        <w:left w:val="nil"/>
        <w:bottom w:val="nil"/>
        <w:right w:val="nil"/>
        <w:between w:val="nil"/>
      </w:pBdr>
      <w:tabs>
        <w:tab w:val="center" w:pos="4252"/>
        <w:tab w:val="right" w:pos="8504"/>
      </w:tabs>
      <w:jc w:val="both"/>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79EE7102" wp14:editId="4B7247A5">
          <wp:simplePos x="0" y="0"/>
          <wp:positionH relativeFrom="column">
            <wp:posOffset>-1080134</wp:posOffset>
          </wp:positionH>
          <wp:positionV relativeFrom="paragraph">
            <wp:posOffset>-394969</wp:posOffset>
          </wp:positionV>
          <wp:extent cx="7635240" cy="9942830"/>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7"/>
      <w:tblW w:w="7088" w:type="dxa"/>
      <w:tblInd w:w="2268" w:type="dxa"/>
      <w:tblLayout w:type="fixed"/>
      <w:tblLook w:val="0400" w:firstRow="0" w:lastRow="0" w:firstColumn="0" w:lastColumn="0" w:noHBand="0" w:noVBand="1"/>
    </w:tblPr>
    <w:tblGrid>
      <w:gridCol w:w="2553"/>
      <w:gridCol w:w="4535"/>
    </w:tblGrid>
    <w:tr w:rsidR="00123F26" w14:paraId="2744DC73" w14:textId="77777777">
      <w:tc>
        <w:tcPr>
          <w:tcW w:w="2553" w:type="dxa"/>
          <w:vAlign w:val="center"/>
        </w:tcPr>
        <w:p w14:paraId="42ED5654" w14:textId="77777777" w:rsidR="00123F26" w:rsidRDefault="00FB65BD">
          <w:pPr>
            <w:ind w:left="27"/>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35" w:type="dxa"/>
          <w:vAlign w:val="center"/>
        </w:tcPr>
        <w:p w14:paraId="2615A417" w14:textId="77777777" w:rsidR="00123F26" w:rsidRDefault="00FB65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00119/INFOEM/IP/RR/2022 y acumulados. </w:t>
          </w:r>
        </w:p>
      </w:tc>
    </w:tr>
    <w:tr w:rsidR="00123F26" w14:paraId="65FB0270" w14:textId="77777777">
      <w:tc>
        <w:tcPr>
          <w:tcW w:w="2553" w:type="dxa"/>
          <w:vAlign w:val="center"/>
        </w:tcPr>
        <w:p w14:paraId="17C9F64E" w14:textId="77777777" w:rsidR="00123F26" w:rsidRDefault="00FB65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535" w:type="dxa"/>
          <w:vAlign w:val="center"/>
        </w:tcPr>
        <w:p w14:paraId="39FACF99" w14:textId="7FF7C768" w:rsidR="00123F26" w:rsidRDefault="005D79DF" w:rsidP="005D79DF">
          <w:pPr>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w:t>
          </w:r>
          <w:proofErr w:type="spellEnd"/>
          <w:r w:rsidR="00FB65BD">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Xxxxxxxxxx</w:t>
          </w:r>
          <w:proofErr w:type="spellEnd"/>
          <w:r w:rsidR="00FB65BD">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w:t>
          </w:r>
          <w:proofErr w:type="spellEnd"/>
          <w:r w:rsidR="00FB65BD">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Xxxxxxxxxxxxx</w:t>
          </w:r>
          <w:proofErr w:type="spellEnd"/>
        </w:p>
      </w:tc>
    </w:tr>
    <w:tr w:rsidR="00123F26" w14:paraId="3FA20568" w14:textId="77777777">
      <w:trPr>
        <w:trHeight w:val="228"/>
      </w:trPr>
      <w:tc>
        <w:tcPr>
          <w:tcW w:w="2553" w:type="dxa"/>
          <w:vAlign w:val="center"/>
        </w:tcPr>
        <w:p w14:paraId="69996511" w14:textId="77777777" w:rsidR="00123F26" w:rsidRDefault="00FB65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35" w:type="dxa"/>
          <w:vAlign w:val="center"/>
        </w:tcPr>
        <w:p w14:paraId="3CC729F9" w14:textId="5CA679B6" w:rsidR="00123F26" w:rsidRDefault="00FB65B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Organismo Público Descentralizado para la Prestación de </w:t>
          </w:r>
          <w:r w:rsidR="00957039">
            <w:rPr>
              <w:rFonts w:ascii="Palatino Linotype" w:eastAsia="Palatino Linotype" w:hAnsi="Palatino Linotype" w:cs="Palatino Linotype"/>
              <w:b/>
              <w:sz w:val="22"/>
              <w:szCs w:val="22"/>
            </w:rPr>
            <w:t>l</w:t>
          </w:r>
          <w:r>
            <w:rPr>
              <w:rFonts w:ascii="Palatino Linotype" w:eastAsia="Palatino Linotype" w:hAnsi="Palatino Linotype" w:cs="Palatino Linotype"/>
              <w:b/>
              <w:sz w:val="22"/>
              <w:szCs w:val="22"/>
            </w:rPr>
            <w:t>os Servicios de Agua Potable Alcantarillado y Saneamiento de Atizapán de Zaragoza por sus siglas S.A.P.A.S.A.</w:t>
          </w:r>
        </w:p>
      </w:tc>
    </w:tr>
    <w:tr w:rsidR="00123F26" w14:paraId="28958D52" w14:textId="77777777">
      <w:tc>
        <w:tcPr>
          <w:tcW w:w="2553" w:type="dxa"/>
          <w:vAlign w:val="center"/>
        </w:tcPr>
        <w:p w14:paraId="45B6395A" w14:textId="77777777" w:rsidR="00123F26" w:rsidRDefault="00FB65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35" w:type="dxa"/>
          <w:vAlign w:val="center"/>
        </w:tcPr>
        <w:p w14:paraId="7AC311FA" w14:textId="77777777" w:rsidR="00123F26" w:rsidRDefault="00FB65B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C5B530A" w14:textId="77777777" w:rsidR="00123F26" w:rsidRDefault="00123F26">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37E09" w14:textId="77777777" w:rsidR="00123F26" w:rsidRDefault="00FB65B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14:paraId="7D46D032" w14:textId="77777777" w:rsidR="00123F26" w:rsidRDefault="00123F2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820DB"/>
    <w:multiLevelType w:val="multilevel"/>
    <w:tmpl w:val="751C50AA"/>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26"/>
    <w:rsid w:val="00063EC9"/>
    <w:rsid w:val="00123F26"/>
    <w:rsid w:val="001A27A3"/>
    <w:rsid w:val="005159FA"/>
    <w:rsid w:val="005D79DF"/>
    <w:rsid w:val="00750073"/>
    <w:rsid w:val="008D2F9C"/>
    <w:rsid w:val="00957039"/>
    <w:rsid w:val="009F64E5"/>
    <w:rsid w:val="00DC07DD"/>
    <w:rsid w:val="00FB65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D14B"/>
  <w15:docId w15:val="{FAD0C813-0061-4089-93A1-79BCA0E4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ASATIZAPANDEZARAGOZA/art_92_viii.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pomex.org.mx" TargetMode="External"/><Relationship Id="rId4" Type="http://schemas.openxmlformats.org/officeDocument/2006/relationships/settings" Target="settings.xml"/><Relationship Id="rId9" Type="http://schemas.openxmlformats.org/officeDocument/2006/relationships/hyperlink" Target="https://www.ipomex.org.mx/ipo3/lgt/indice/OASATIZAPANDEZARAGOZA/art_92_vii.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4RR7TWcMpvMui8XsZoUYqpp43Q==">AMUW2mVjuJpmWmp/30QF4qIG8pbq2wSzVaodnCTkMgp43Fctv3wh/vzSjoJgxM1eiu0ZPdbffxHSH6Lf4y95CE9db4GYEqW9J9x/VWQUHyfCKMdimvtEZMKKvTzzZnc1ZJHEuwyPucY7Y8XcfzSFgbtq4P7swIZFYg==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3270</Words>
  <Characters>17990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2022-04-05T17:52:00Z</dcterms:created>
  <dcterms:modified xsi:type="dcterms:W3CDTF">2022-04-05T23:27:00Z</dcterms:modified>
</cp:coreProperties>
</file>