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treinta de marzo del dos mil veintidós.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relativo al recurso de revisión </w:t>
      </w:r>
      <w:r w:rsidDel="00000000" w:rsidR="00000000" w:rsidRPr="00000000">
        <w:rPr>
          <w:rFonts w:ascii="Palatino Linotype" w:cs="Palatino Linotype" w:eastAsia="Palatino Linotype" w:hAnsi="Palatino Linotype"/>
          <w:b w:val="1"/>
          <w:rtl w:val="0"/>
        </w:rPr>
        <w:t xml:space="preserve">00819/INFOEM/IP/RR/2022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un particular que no proporcionó su nombre</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de información con número de folio </w:t>
      </w:r>
      <w:r w:rsidDel="00000000" w:rsidR="00000000" w:rsidRPr="00000000">
        <w:rPr>
          <w:rFonts w:ascii="Palatino Linotype" w:cs="Palatino Linotype" w:eastAsia="Palatino Linotype" w:hAnsi="Palatino Linotype"/>
          <w:b w:val="1"/>
          <w:rtl w:val="0"/>
        </w:rPr>
        <w:t xml:space="preserve">00002/TEOLOYU/IP/2022</w:t>
      </w:r>
      <w:r w:rsidDel="00000000" w:rsidR="00000000" w:rsidRPr="00000000">
        <w:rPr>
          <w:rFonts w:ascii="Palatino Linotype" w:cs="Palatino Linotype" w:eastAsia="Palatino Linotype" w:hAnsi="Palatino Linotype"/>
          <w:rtl w:val="0"/>
        </w:rPr>
        <w:t xml:space="preserve">, por parte del </w:t>
      </w:r>
      <w:r w:rsidDel="00000000" w:rsidR="00000000" w:rsidRPr="00000000">
        <w:rPr>
          <w:rFonts w:ascii="Palatino Linotype" w:cs="Palatino Linotype" w:eastAsia="Palatino Linotype" w:hAnsi="Palatino Linotype"/>
          <w:b w:val="1"/>
          <w:rtl w:val="0"/>
        </w:rPr>
        <w:t xml:space="preserve">Ayuntamiento de Teoloyucan,</w:t>
      </w:r>
      <w:r w:rsidDel="00000000" w:rsidR="00000000" w:rsidRPr="00000000">
        <w:rPr>
          <w:rFonts w:ascii="Palatino Linotype" w:cs="Palatino Linotype" w:eastAsia="Palatino Linotype" w:hAnsi="Palatino Linotype"/>
          <w:rtl w:val="0"/>
        </w:rPr>
        <w:t xml:space="preserve"> 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1797" w:right="0" w:hanging="720"/>
        <w:jc w:val="center"/>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Solicitud de acceso a la información. </w:t>
      </w:r>
      <w:r w:rsidDel="00000000" w:rsidR="00000000" w:rsidRPr="00000000">
        <w:rPr>
          <w:rFonts w:ascii="Palatino Linotype" w:cs="Palatino Linotype" w:eastAsia="Palatino Linotype" w:hAnsi="Palatino Linotype"/>
          <w:rtl w:val="0"/>
        </w:rPr>
        <w:t xml:space="preserve">Con fecha diez de enero del dos mil veintidós,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formuló solicitud de acceso a información pública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través del Sistema de Acceso a la Información Mexiquense, en adelante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requiriéndole lo siguiente:</w:t>
      </w:r>
      <w:r w:rsidDel="00000000" w:rsidR="00000000" w:rsidRPr="00000000">
        <w:rPr>
          <w:rtl w:val="0"/>
        </w:rPr>
      </w:r>
    </w:p>
    <w:p w:rsidR="00000000" w:rsidDel="00000000" w:rsidP="00000000" w:rsidRDefault="00000000" w:rsidRPr="00000000" w14:paraId="00000005">
      <w:pPr>
        <w:spacing w:after="240" w:before="240" w:line="276" w:lineRule="auto"/>
        <w:ind w:left="851" w:right="900"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“presidente juan carlos uribe espero de la oportunidad de que los jovenes exploten sus dones del deporte y como es bien sabido usted los apoye como siempre “ (Sic)</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elegida para la entrega de la información: </w:t>
      </w:r>
      <w:r w:rsidDel="00000000" w:rsidR="00000000" w:rsidRPr="00000000">
        <w:rPr>
          <w:rFonts w:ascii="Palatino Linotype" w:cs="Palatino Linotype" w:eastAsia="Palatino Linotype" w:hAnsi="Palatino Linotype"/>
          <w:rtl w:val="0"/>
        </w:rPr>
        <w:t xml:space="preserve">a través del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particular no adjuntó archivo electrónico a su solicitud.</w:t>
      </w:r>
    </w:p>
    <w:p w:rsidR="00000000" w:rsidDel="00000000" w:rsidP="00000000" w:rsidRDefault="00000000" w:rsidRPr="00000000" w14:paraId="00000008">
      <w:pPr>
        <w:spacing w:after="240" w:before="240" w:line="36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Con fecha diez de febrero de dos mil veintidós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envió su respuesta a la solicitud de acceso a la información a través del SAIMEX, la cual versa como sigue:</w:t>
      </w:r>
    </w:p>
    <w:p w:rsidR="00000000" w:rsidDel="00000000" w:rsidP="00000000" w:rsidRDefault="00000000" w:rsidRPr="00000000" w14:paraId="0000000A">
      <w:pPr>
        <w:spacing w:after="240" w:before="240" w:line="36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“Se anexa oficio de respuesta.</w:t>
      </w:r>
    </w:p>
    <w:p w:rsidR="00000000" w:rsidDel="00000000" w:rsidP="00000000" w:rsidRDefault="00000000" w:rsidRPr="00000000" w14:paraId="0000000B">
      <w:pPr>
        <w:spacing w:after="240" w:before="240" w:line="36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ATENTAMENTE</w:t>
      </w:r>
    </w:p>
    <w:p w:rsidR="00000000" w:rsidDel="00000000" w:rsidP="00000000" w:rsidRDefault="00000000" w:rsidRPr="00000000" w14:paraId="0000000C">
      <w:pPr>
        <w:spacing w:after="240" w:before="240" w:line="360" w:lineRule="auto"/>
        <w:ind w:left="851" w:right="902"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Lic. Karen Martinez Peregrino” (Sic)</w:t>
      </w:r>
    </w:p>
    <w:p w:rsidR="00000000" w:rsidDel="00000000" w:rsidP="00000000" w:rsidRDefault="00000000" w:rsidRPr="00000000" w14:paraId="0000000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adjuntó a su respuesta el archivo electrónico denominado: “</w:t>
      </w:r>
      <w:r w:rsidDel="00000000" w:rsidR="00000000" w:rsidRPr="00000000">
        <w:rPr>
          <w:rFonts w:ascii="Palatino Linotype" w:cs="Palatino Linotype" w:eastAsia="Palatino Linotype" w:hAnsi="Palatino Linotype"/>
          <w:b w:val="1"/>
          <w:rtl w:val="0"/>
        </w:rPr>
        <w:t xml:space="preserve">Respuesta 02.docx”,</w:t>
      </w:r>
      <w:r w:rsidDel="00000000" w:rsidR="00000000" w:rsidRPr="00000000">
        <w:rPr>
          <w:rFonts w:ascii="Palatino Linotype" w:cs="Palatino Linotype" w:eastAsia="Palatino Linotype" w:hAnsi="Palatino Linotype"/>
          <w:rtl w:val="0"/>
        </w:rPr>
        <w:t xml:space="preserve"> que contiene el oficio número UT 4572022, de fecha diez de febrero de dos mil veintidós, mediante el cual la Titular de la Unidad de Transparencia informa lo siguiente :</w:t>
      </w:r>
    </w:p>
    <w:p w:rsidR="00000000" w:rsidDel="00000000" w:rsidP="00000000" w:rsidRDefault="00000000" w:rsidRPr="00000000" w14:paraId="0000000E">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2. ANÁLISIS DEL REQUERIMIENTO</w:t>
      </w:r>
    </w:p>
    <w:p w:rsidR="00000000" w:rsidDel="00000000" w:rsidP="00000000" w:rsidRDefault="00000000" w:rsidRPr="00000000" w14:paraId="0000000F">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Unidad de Transparencia al momento de realizar el estudio y análisis del La requerimiento formulado a efecto de poder determinar el área competente para su atención, </w:t>
      </w:r>
      <w:r w:rsidDel="00000000" w:rsidR="00000000" w:rsidRPr="00000000">
        <w:rPr>
          <w:rFonts w:ascii="Palatino Linotype" w:cs="Palatino Linotype" w:eastAsia="Palatino Linotype" w:hAnsi="Palatino Linotype"/>
          <w:b w:val="1"/>
          <w:i w:val="1"/>
          <w:sz w:val="22"/>
          <w:szCs w:val="22"/>
          <w:rtl w:val="0"/>
        </w:rPr>
        <w:t xml:space="preserve">observó que del requerimiento se desprende que usted emitió una opinión respecto al perfil de algunos servidores públicos y posteriormente se realiza un requerimiento respecto de dicho personal</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10">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ese orden de ideas, me permito manifestarle que de la trascripción del requerimiento se aprecia que usted </w:t>
      </w:r>
      <w:r w:rsidDel="00000000" w:rsidR="00000000" w:rsidRPr="00000000">
        <w:rPr>
          <w:rFonts w:ascii="Palatino Linotype" w:cs="Palatino Linotype" w:eastAsia="Palatino Linotype" w:hAnsi="Palatino Linotype"/>
          <w:b w:val="1"/>
          <w:i w:val="1"/>
          <w:sz w:val="22"/>
          <w:szCs w:val="22"/>
          <w:rtl w:val="0"/>
        </w:rPr>
        <w:t xml:space="preserve">no requiere algún dato público o documento especifico, por lo que no realiza una descripción de la información solicitada</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11">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DERECHO A LA INFORMACIÓN</w:t>
      </w:r>
    </w:p>
    <w:p w:rsidR="00000000" w:rsidDel="00000000" w:rsidP="00000000" w:rsidRDefault="00000000" w:rsidRPr="00000000" w14:paraId="00000012">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 conformidad con el artículo 4 de la Ley de Transparencia y Acceso a la Información Pública del Estado de México y Municipios, el derecho humano de acceso a la información pública es la prerrogativa de las personas para solicitar información pública, sin necesidad de acreditar personalidad ni interés jurídico.</w:t>
      </w:r>
    </w:p>
    <w:p w:rsidR="00000000" w:rsidDel="00000000" w:rsidP="00000000" w:rsidRDefault="00000000" w:rsidRPr="00000000" w14:paraId="00000013">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Implica la obligación de los Sujetos Obligados de permitir el acceso a la información que generen, obtengan, administren o tengan en su posesión a través de documentos que se encuentren en sus archivos.</w:t>
      </w:r>
    </w:p>
    <w:p w:rsidR="00000000" w:rsidDel="00000000" w:rsidP="00000000" w:rsidRDefault="00000000" w:rsidRPr="00000000" w14:paraId="00000014">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Asimismo,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los Sujetos Obligados no estarán obligados a generarla, resumirla, efectuar cálculos o practicar investigaciones.</w:t>
      </w:r>
    </w:p>
    <w:p w:rsidR="00000000" w:rsidDel="00000000" w:rsidP="00000000" w:rsidRDefault="00000000" w:rsidRPr="00000000" w14:paraId="00000015">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ese orden de ideas, el derecho a la información pública, se constriñe a la obligación de los Sujetos Obligados, de proporcionar a los solicitantes los documentos que requieran y que obren en sus archivos. </w:t>
      </w:r>
    </w:p>
    <w:p w:rsidR="00000000" w:rsidDel="00000000" w:rsidP="00000000" w:rsidRDefault="00000000" w:rsidRPr="00000000" w14:paraId="00000016">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4. DESECHA REQUERIMIENTO</w:t>
      </w:r>
    </w:p>
    <w:p w:rsidR="00000000" w:rsidDel="00000000" w:rsidP="00000000" w:rsidRDefault="00000000" w:rsidRPr="00000000" w14:paraId="00000017">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todo lo anterior, me permito informarle que su requerimiento no cumple con el requisito de procedibilidad, establecido en el artículo 155, fracción III de la Ley de Transparencia y Acceso a la Información Pública del Estado de México y Municipios, en virtud, de que no se describe que información pública o documento solicita.</w:t>
      </w:r>
    </w:p>
    <w:p w:rsidR="00000000" w:rsidDel="00000000" w:rsidP="00000000" w:rsidRDefault="00000000" w:rsidRPr="00000000" w14:paraId="00000018">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En consecuencia, en este acto se le comunica que su requerimiento se desecha por no actualizar la hipótesis que contempla el derecho de acceso a la información pública</w:t>
      </w:r>
      <w:r w:rsidDel="00000000" w:rsidR="00000000" w:rsidRPr="00000000">
        <w:rPr>
          <w:rFonts w:ascii="Palatino Linotype" w:cs="Palatino Linotype" w:eastAsia="Palatino Linotype" w:hAnsi="Palatino Linotype"/>
          <w:i w:val="1"/>
          <w:sz w:val="22"/>
          <w:szCs w:val="22"/>
          <w:rtl w:val="0"/>
        </w:rPr>
        <w:t xml:space="preserve">. ..” </w:t>
      </w:r>
      <w:r w:rsidDel="00000000" w:rsidR="00000000" w:rsidRPr="00000000">
        <w:rPr>
          <w:rFonts w:ascii="Palatino Linotype" w:cs="Palatino Linotype" w:eastAsia="Palatino Linotype" w:hAnsi="Palatino Linotype"/>
          <w:sz w:val="22"/>
          <w:szCs w:val="22"/>
          <w:rtl w:val="0"/>
        </w:rPr>
        <w:t xml:space="preserve">(Sic)</w:t>
      </w:r>
      <w:r w:rsidDel="00000000" w:rsidR="00000000" w:rsidRPr="00000000">
        <w:rPr>
          <w:rtl w:val="0"/>
        </w:rPr>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el solicitante con la respuesta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interpuso recurso de revisión a través del SAIMEX en fecha catorce de febrero de dos mil veintidós, a través del cual expresó lo siguiente:</w:t>
      </w:r>
    </w:p>
    <w:p w:rsidR="00000000" w:rsidDel="00000000" w:rsidP="00000000" w:rsidRDefault="00000000" w:rsidRPr="00000000" w14:paraId="0000001A">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B">
      <w:pPr>
        <w:spacing w:after="240" w:before="240" w:line="36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Acto impugnado.</w:t>
      </w:r>
    </w:p>
    <w:p w:rsidR="00000000" w:rsidDel="00000000" w:rsidP="00000000" w:rsidRDefault="00000000" w:rsidRPr="00000000" w14:paraId="0000001C">
      <w:pPr>
        <w:spacing w:after="240" w:before="240" w:line="360" w:lineRule="auto"/>
        <w:ind w:left="851" w:right="900"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“respuesta” (Sic)</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Motivos de inconformidad.</w:t>
      </w:r>
    </w:p>
    <w:p w:rsidR="00000000" w:rsidDel="00000000" w:rsidP="00000000" w:rsidRDefault="00000000" w:rsidRPr="00000000" w14:paraId="0000001E">
      <w:pPr>
        <w:spacing w:after="240" w:before="240" w:line="276" w:lineRule="auto"/>
        <w:ind w:left="851" w:right="900"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“la titular de la unidad de transparencia no orienta , ya que quiero saber que oportunidades hay para los jovenes ddeportistas, que programas , que talleres” (Sic)</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el recurso de revisión número </w:t>
      </w:r>
      <w:r w:rsidDel="00000000" w:rsidR="00000000" w:rsidRPr="00000000">
        <w:rPr>
          <w:rFonts w:ascii="Palatino Linotype" w:cs="Palatino Linotype" w:eastAsia="Palatino Linotype" w:hAnsi="Palatino Linotype"/>
          <w:b w:val="1"/>
          <w:rtl w:val="0"/>
        </w:rPr>
        <w:t xml:space="preserve">00819/INFOEM/IP/RR/2022, </w:t>
      </w:r>
      <w:r w:rsidDel="00000000" w:rsidR="00000000" w:rsidRPr="00000000">
        <w:rPr>
          <w:rFonts w:ascii="Palatino Linotype" w:cs="Palatino Linotype" w:eastAsia="Palatino Linotype" w:hAnsi="Palatino Linotype"/>
          <w:rtl w:val="0"/>
        </w:rPr>
        <w:t xml:space="preserve">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w:t>
      </w:r>
      <w:r w:rsidDel="00000000" w:rsidR="00000000" w:rsidRPr="00000000">
        <w:rPr>
          <w:rFonts w:ascii="Palatino Linotype" w:cs="Palatino Linotype" w:eastAsia="Palatino Linotype" w:hAnsi="Palatino Linotype"/>
          <w:rtl w:val="0"/>
        </w:rPr>
        <w:t xml:space="preserve">, para su análisis, estudio, elaboración del proyecto y presentación ante el Pleno de este Instituto.</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del recurso de revisión: </w:t>
      </w:r>
      <w:r w:rsidDel="00000000" w:rsidR="00000000" w:rsidRPr="00000000">
        <w:rPr>
          <w:rFonts w:ascii="Palatino Linotype" w:cs="Palatino Linotype" w:eastAsia="Palatino Linotype" w:hAnsi="Palatino Linotype"/>
          <w:rtl w:val="0"/>
        </w:rPr>
        <w:t xml:space="preserve">En fecha diecisiete de febrero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presentara su informe justificado.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left" w:pos="709"/>
        </w:tabs>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6. Manifestaciones</w:t>
      </w:r>
      <w:r w:rsidDel="00000000" w:rsidR="00000000" w:rsidRPr="00000000">
        <w:rPr>
          <w:rFonts w:ascii="Palatino Linotype" w:cs="Palatino Linotype" w:eastAsia="Palatino Linotype" w:hAnsi="Palatino Linotype"/>
          <w:color w:val="000000"/>
          <w:rtl w:val="0"/>
        </w:rPr>
        <w:t xml:space="preserve">: De las constancias que integran el expediente en que se actúa se advierte que la parte </w:t>
      </w:r>
      <w:r w:rsidDel="00000000" w:rsidR="00000000" w:rsidRPr="00000000">
        <w:rPr>
          <w:rFonts w:ascii="Palatino Linotype" w:cs="Palatino Linotype" w:eastAsia="Palatino Linotype" w:hAnsi="Palatino Linotype"/>
          <w:b w:val="1"/>
          <w:color w:val="000000"/>
          <w:rtl w:val="0"/>
        </w:rPr>
        <w:t xml:space="preserve">RECURRENTE </w:t>
      </w:r>
      <w:r w:rsidDel="00000000" w:rsidR="00000000" w:rsidRPr="00000000">
        <w:rPr>
          <w:rFonts w:ascii="Palatino Linotype" w:cs="Palatino Linotype" w:eastAsia="Palatino Linotype" w:hAnsi="Palatino Linotype"/>
          <w:color w:val="000000"/>
          <w:rtl w:val="0"/>
        </w:rPr>
        <w:t xml:space="preserve"> no presentó alegatos dentro de esta etapa.</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cuatro de febrero del año dos mil veintidós</w:t>
      </w:r>
      <w:r w:rsidDel="00000000" w:rsidR="00000000" w:rsidRPr="00000000">
        <w:rPr>
          <w:rFonts w:ascii="Palatino Linotype" w:cs="Palatino Linotype" w:eastAsia="Palatino Linotype" w:hAnsi="Palatino Linotype"/>
          <w:rtl w:val="0"/>
        </w:rPr>
        <w:t xml:space="preserve">, adjuntó el archivo electrónico denominado: “</w:t>
      </w:r>
      <w:r w:rsidDel="00000000" w:rsidR="00000000" w:rsidRPr="00000000">
        <w:rPr>
          <w:rFonts w:ascii="Palatino Linotype" w:cs="Palatino Linotype" w:eastAsia="Palatino Linotype" w:hAnsi="Palatino Linotype"/>
          <w:b w:val="1"/>
          <w:rtl w:val="0"/>
        </w:rPr>
        <w:t xml:space="preserve">INFORME JUSTIFICADO 819.docx”</w:t>
      </w:r>
      <w:r w:rsidDel="00000000" w:rsidR="00000000" w:rsidRPr="00000000">
        <w:rPr>
          <w:rFonts w:ascii="Palatino Linotype" w:cs="Palatino Linotype" w:eastAsia="Palatino Linotype" w:hAnsi="Palatino Linotype"/>
          <w:rtl w:val="0"/>
        </w:rPr>
        <w:t xml:space="preserve">, a través del cual reitera su respuesta, destacando lo siguiente:</w:t>
      </w:r>
    </w:p>
    <w:p w:rsidR="00000000" w:rsidDel="00000000" w:rsidP="00000000" w:rsidRDefault="00000000" w:rsidRPr="00000000" w14:paraId="00000023">
      <w:pPr>
        <w:spacing w:after="240" w:before="240" w:line="276" w:lineRule="auto"/>
        <w:ind w:left="992"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“…me permito manifestarles que de la trascripción del requerimiento se aprecia que el solicitante no requiere algún dato público o documento especifico, por lo que no realiza una descripción de la información solicitada.</w:t>
      </w:r>
    </w:p>
    <w:p w:rsidR="00000000" w:rsidDel="00000000" w:rsidP="00000000" w:rsidRDefault="00000000" w:rsidRPr="00000000" w14:paraId="00000024">
      <w:pPr>
        <w:spacing w:after="240" w:before="240" w:line="276" w:lineRule="auto"/>
        <w:ind w:left="992"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 conformidad con el artículo 4 de la Ley de Transparencia y Acceso a la Información Pública del Estado de México y Municipios, el derecho humano de acceso a la información pública es la prerrogativa de las personas para solicitar información pública, sin necesidad de acreditar personalidad ni interés jurídico.</w:t>
      </w:r>
    </w:p>
    <w:p w:rsidR="00000000" w:rsidDel="00000000" w:rsidP="00000000" w:rsidRDefault="00000000" w:rsidRPr="00000000" w14:paraId="00000025">
      <w:pPr>
        <w:spacing w:after="240" w:before="240" w:line="276" w:lineRule="auto"/>
        <w:ind w:left="992"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Implica la obligación de los Sujetos Obligados de permitir el acceso a la información que generen, obtengan, administren o tengan en su posesión a través de documentos que se encuentren en sus archivos.</w:t>
      </w:r>
    </w:p>
    <w:p w:rsidR="00000000" w:rsidDel="00000000" w:rsidP="00000000" w:rsidRDefault="00000000" w:rsidRPr="00000000" w14:paraId="00000026">
      <w:pPr>
        <w:spacing w:after="240" w:before="240" w:line="276" w:lineRule="auto"/>
        <w:ind w:left="992"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todo lo anterior, me permito informarles que el requerimiento no cumple con el requisito de procedibilidad establecido en el artículo 155 fracción III, de la Ley de Transparencia y Acceso a la Información Pública del Estado de México y Municipios, en virtud de que no se describe que información o documento necesita. ..” (Sic)</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Dicho informe, se puso a la vista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términos de la fracción III del artículo 185 de la Ley de Transparencia y Acceso a la Información Pública del Estado de México y Municipios; el veintidós de marzo de dos mil veintidós.</w:t>
      </w:r>
    </w:p>
    <w:p w:rsidR="00000000" w:rsidDel="00000000" w:rsidP="00000000" w:rsidRDefault="00000000" w:rsidRPr="00000000" w14:paraId="00000028">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Cierre de instrucción.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veintiocho de marzo de dos mil veintidós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29">
      <w:pPr>
        <w:widowControl w:val="0"/>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Ampliación del plazo.</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veintiocho de marzo del año dos mil veintidós</w:t>
      </w:r>
      <w:r w:rsidDel="00000000" w:rsidR="00000000" w:rsidRPr="00000000">
        <w:rPr>
          <w:rFonts w:ascii="Palatino Linotype" w:cs="Palatino Linotype" w:eastAsia="Palatino Linotype" w:hAnsi="Palatino Linotype"/>
          <w:rtl w:val="0"/>
        </w:rPr>
        <w:t xml:space="preserve">, con fundamento en el artículo 181 párrafo tercero de la Ley de Transparencia y Acceso a la Información Pública del Estado de México y Municipios, se acordó la ampliación del plazo para su resolución.</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240" w:before="240" w:line="360" w:lineRule="auto"/>
        <w:ind w:left="720" w:hanging="720"/>
        <w:jc w:val="center"/>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C O N S I D E R A N D O</w:t>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rtl w:val="0"/>
        </w:rPr>
        <w:t xml:space="preserve">Primero. Competencia. </w:t>
      </w:r>
      <w:r w:rsidDel="00000000" w:rsidR="00000000" w:rsidRPr="00000000">
        <w:rPr>
          <w:rFonts w:ascii="Palatino Linotype" w:cs="Palatino Linotype" w:eastAsia="Palatino Linotype" w:hAnsi="Palatino Linotype"/>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w:t>
      </w:r>
      <w:r w:rsidDel="00000000" w:rsidR="00000000" w:rsidRPr="00000000">
        <w:rPr>
          <w:rFonts w:ascii="Palatino Linotype" w:cs="Palatino Linotype" w:eastAsia="Palatino Linotype" w:hAnsi="Palatino Linotype"/>
          <w:b w:val="1"/>
          <w:highlight w:val="white"/>
          <w:rtl w:val="0"/>
        </w:rPr>
        <w:t xml:space="preserve">RECURRENTE</w:t>
      </w:r>
      <w:r w:rsidDel="00000000" w:rsidR="00000000" w:rsidRPr="00000000">
        <w:rPr>
          <w:rFonts w:ascii="Palatino Linotype" w:cs="Palatino Linotype" w:eastAsia="Palatino Linotype" w:hAnsi="Palatino Linotype"/>
          <w:highlight w:val="white"/>
          <w:rtl w:val="0"/>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sidDel="00000000" w:rsidR="00000000" w:rsidRPr="00000000">
        <w:rPr>
          <w:rFonts w:ascii="Palatino Linotype" w:cs="Palatino Linotype" w:eastAsia="Palatino Linotype" w:hAnsi="Palatino Linotype"/>
          <w:rtl w:val="0"/>
        </w:rPr>
        <w:t xml:space="preserve">9, fracciones I y XXIV y 11 </w:t>
      </w:r>
      <w:r w:rsidDel="00000000" w:rsidR="00000000" w:rsidRPr="00000000">
        <w:rPr>
          <w:rFonts w:ascii="Palatino Linotype" w:cs="Palatino Linotype" w:eastAsia="Palatino Linotype" w:hAnsi="Palatino Linotype"/>
          <w:highlight w:val="white"/>
          <w:rtl w:val="0"/>
        </w:rPr>
        <w:t xml:space="preserve">del Reglamento Interior del Instituto de Transparencia, Acceso a la Información Pública y Protección de Datos Personales del Estado de México y Municipios.</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2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ya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proporcionó su respuesta el diez de febrero del dos mil veintidós y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presentó su recurso de revisión el catorce de febrero del mismo año, esto es al segundo día hábil siguiente de aquel en que tuvo conocimiento de la respuesta, evidenciándose que la interposición del recurso se encuentra dentro de los márgenes temporales previstos en el citado precepto legal.</w:t>
      </w:r>
    </w:p>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Al mismo tiempo, tras la revisión del formato de interposición del recurso</w:t>
      </w:r>
      <w:r w:rsidDel="00000000" w:rsidR="00000000" w:rsidRPr="00000000">
        <w:rPr>
          <w:rFonts w:ascii="Palatino Linotype" w:cs="Palatino Linotype" w:eastAsia="Palatino Linotype" w:hAnsi="Palatino Linotype"/>
          <w:rtl w:val="0"/>
        </w:rPr>
        <w:t xml:space="preserve">, es de suma importancia señalar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no proporcionó su nombre</w:t>
      </w:r>
      <w:r w:rsidDel="00000000" w:rsidR="00000000" w:rsidRPr="00000000">
        <w:rPr>
          <w:rFonts w:ascii="Palatino Linotype" w:cs="Palatino Linotype" w:eastAsia="Palatino Linotype" w:hAnsi="Palatino Linotype"/>
          <w:rtl w:val="0"/>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2F">
      <w:pPr>
        <w:spacing w:after="240" w:before="240" w:line="276" w:lineRule="auto"/>
        <w:ind w:left="567"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Las solicitudes anónimas</w:t>
      </w:r>
      <w:r w:rsidDel="00000000" w:rsidR="00000000" w:rsidRPr="00000000">
        <w:rPr>
          <w:rFonts w:ascii="Palatino Linotype" w:cs="Palatino Linotype" w:eastAsia="Palatino Linotype" w:hAnsi="Palatino Linotype"/>
          <w:i w:val="1"/>
          <w:sz w:val="22"/>
          <w:szCs w:val="22"/>
          <w:rtl w:val="0"/>
        </w:rPr>
        <w:t xml:space="preserve">, con nombre incompleto o seudónimo </w:t>
      </w:r>
      <w:r w:rsidDel="00000000" w:rsidR="00000000" w:rsidRPr="00000000">
        <w:rPr>
          <w:rFonts w:ascii="Palatino Linotype" w:cs="Palatino Linotype" w:eastAsia="Palatino Linotype" w:hAnsi="Palatino Linotype"/>
          <w:b w:val="1"/>
          <w:i w:val="1"/>
          <w:sz w:val="22"/>
          <w:szCs w:val="22"/>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sz w:val="22"/>
          <w:szCs w:val="22"/>
          <w:rtl w:val="0"/>
        </w:rPr>
        <w:t xml:space="preserve">. No podrá requerirse información adicional con motivo del nombre proporcionado por el solicitante."</w:t>
      </w:r>
    </w:p>
    <w:p w:rsidR="00000000" w:rsidDel="00000000" w:rsidP="00000000" w:rsidRDefault="00000000" w:rsidRPr="00000000" w14:paraId="00000030">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31">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color w:val="000000"/>
          <w:rtl w:val="0"/>
        </w:rPr>
        <w:t xml:space="preserve">Tercero. </w:t>
      </w:r>
      <w:r w:rsidDel="00000000" w:rsidR="00000000" w:rsidRPr="00000000">
        <w:rPr>
          <w:rFonts w:ascii="Palatino Linotype" w:cs="Palatino Linotype" w:eastAsia="Palatino Linotype" w:hAnsi="Palatino Linotype"/>
          <w:b w:val="1"/>
          <w:rtl w:val="0"/>
        </w:rPr>
        <w:t xml:space="preserve">Análisis de las causales de sobreseimiento. </w:t>
      </w:r>
      <w:r w:rsidDel="00000000" w:rsidR="00000000" w:rsidRPr="00000000">
        <w:rPr>
          <w:rFonts w:ascii="Palatino Linotype" w:cs="Palatino Linotype" w:eastAsia="Palatino Linotype" w:hAnsi="Palatino Linotype"/>
          <w:rtl w:val="0"/>
        </w:rPr>
        <w:t xml:space="preserve">E</w:t>
      </w:r>
      <w:r w:rsidDel="00000000" w:rsidR="00000000" w:rsidRPr="00000000">
        <w:rPr>
          <w:rFonts w:ascii="Palatino Linotype" w:cs="Palatino Linotype" w:eastAsia="Palatino Linotype" w:hAnsi="Palatino Linotype"/>
          <w:color w:val="000000"/>
          <w:rtl w:val="0"/>
        </w:rPr>
        <w:t xml:space="preserv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before="240" w:line="360" w:lineRule="auto"/>
        <w:ind w:left="567"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“Improcedencia: Sea que las partes la aleguen o no, debe examinarse previamente la procedencia del juicio de amparo, por ser cuestión de orden público en el juicio de garantías.”(Sic)</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before="240" w:line="360" w:lineRule="auto"/>
        <w:ind w:right="49"/>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Por su parte los artículos 186, 191 y 192 de la Ley en cita, disponen lo siguiente: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before="240" w:line="276" w:lineRule="auto"/>
        <w:ind w:left="851" w:right="49"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“Artículo 186. Las resoluciones del Instituto podrán:</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before="240" w:line="276" w:lineRule="auto"/>
        <w:ind w:left="851" w:right="49" w:firstLine="0"/>
        <w:jc w:val="both"/>
        <w:rPr>
          <w:color w:val="000000"/>
        </w:rPr>
      </w:pPr>
      <w:r w:rsidDel="00000000" w:rsidR="00000000" w:rsidRPr="00000000">
        <w:rPr>
          <w:rFonts w:ascii="Palatino Linotype" w:cs="Palatino Linotype" w:eastAsia="Palatino Linotype" w:hAnsi="Palatino Linotype"/>
          <w:b w:val="1"/>
          <w:i w:val="1"/>
          <w:color w:val="000000"/>
          <w:sz w:val="22"/>
          <w:szCs w:val="22"/>
          <w:rtl w:val="0"/>
        </w:rPr>
        <w:t xml:space="preserve">I. Desechar o sobreseer el recurso;</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before="240" w:line="276" w:lineRule="auto"/>
        <w:ind w:left="851" w:right="49"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II. Confirmar la respuesta del sujeto obligado;</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before="240" w:line="276" w:lineRule="auto"/>
        <w:ind w:left="851" w:right="49"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III. Revocar o modificar la respuesta del sujeto obligado; y</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76" w:lineRule="auto"/>
        <w:ind w:left="851" w:right="49"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IV. Ordenar la entrega de la información…”</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 Artículo 191. El recurso será desechado por improcedente cuando:</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 Sea extemporáneo por haber transcurrido el plazo establecido en la presente Ley, a partir de la respuesta;</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II. Se esté tramitando ante el Poder Judicial de la Federación algún recurso o medio de defensa interpuesto por el recurrente;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276" w:lineRule="auto"/>
        <w:ind w:left="851" w:right="616" w:firstLine="0"/>
        <w:jc w:val="both"/>
        <w:rPr>
          <w:b w:val="1"/>
          <w:color w:val="000000"/>
        </w:rPr>
      </w:pPr>
      <w:r w:rsidDel="00000000" w:rsidR="00000000" w:rsidRPr="00000000">
        <w:rPr>
          <w:rFonts w:ascii="Palatino Linotype" w:cs="Palatino Linotype" w:eastAsia="Palatino Linotype" w:hAnsi="Palatino Linotype"/>
          <w:b w:val="1"/>
          <w:i w:val="1"/>
          <w:color w:val="000000"/>
          <w:sz w:val="22"/>
          <w:szCs w:val="22"/>
          <w:rtl w:val="0"/>
        </w:rPr>
        <w:t xml:space="preserve">III. No actualice alguno de los supuestos previstos en la presente Ley;</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IV. No se haya desahogado la prevención en los términos establecidos en la presente Ley;</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V. Se impugne la veracidad de la información proporcionada;</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VI. Se trate de una consulta, o trámite en específico; y</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b w:val="1"/>
          <w:i w:val="1"/>
          <w:color w:val="000000"/>
          <w:sz w:val="22"/>
          <w:szCs w:val="22"/>
          <w:rtl w:val="0"/>
        </w:rPr>
        <w:t xml:space="preserve">VII. El recurrente amplíe su solicitud en el recurso de revisión, únicamente respecto de los nuevos contenidos</w:t>
      </w: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“Artículo 192. El recurso será sobreseído, en todo o en parte, cuando una vez admitido, se actualicen alguno de los siguientes supuestos: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 El recurrente se desista expresamente del recurso;</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II. El recurrente fallezca o, tratándose de personas jurídicas colectivas, se disuelva;</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III. El sujeto obligado responsable del acto lo modifique o revoque de tal manera que el recurso de revisión quede sin materia;</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b w:val="1"/>
          <w:i w:val="1"/>
          <w:color w:val="000000"/>
          <w:sz w:val="22"/>
          <w:szCs w:val="22"/>
          <w:rtl w:val="0"/>
        </w:rPr>
        <w:t xml:space="preserve">IV. Admitido el recurso de revisión, aparezca alguna causal de improcedencia en los términos de la presente Ley; y</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76" w:lineRule="auto"/>
        <w:ind w:left="851" w:right="616" w:firstLine="0"/>
        <w:jc w:val="both"/>
        <w:rPr>
          <w:color w:val="000000"/>
        </w:rPr>
      </w:pPr>
      <w:r w:rsidDel="00000000" w:rsidR="00000000" w:rsidRPr="00000000">
        <w:rPr>
          <w:rFonts w:ascii="Palatino Linotype" w:cs="Palatino Linotype" w:eastAsia="Palatino Linotype" w:hAnsi="Palatino Linotype"/>
          <w:i w:val="1"/>
          <w:color w:val="000000"/>
          <w:sz w:val="22"/>
          <w:szCs w:val="22"/>
          <w:rtl w:val="0"/>
        </w:rPr>
        <w:t xml:space="preserve">V. Cuando por cualquier motivo quede sin materia el recurso.” (Sic)</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40" w:before="240" w:line="360" w:lineRule="auto"/>
        <w:ind w:right="49"/>
        <w:jc w:val="both"/>
        <w:rPr>
          <w:color w:val="000000"/>
        </w:rPr>
      </w:pPr>
      <w:r w:rsidDel="00000000" w:rsidR="00000000" w:rsidRPr="00000000">
        <w:rPr>
          <w:rFonts w:ascii="Palatino Linotype" w:cs="Palatino Linotype" w:eastAsia="Palatino Linotype" w:hAnsi="Palatino Linotype"/>
          <w:color w:val="000000"/>
          <w:rtl w:val="0"/>
        </w:rPr>
        <w:t xml:space="preserve">En el presente caso, en el análisis oficioso este Organismo Garante advierte que, una vez admitido el Recurso de Revisión y en su estudio a detalle, surgieron dos causales de improcedencia, previstas en el artículo 191 fracciones III y VII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40" w:before="240" w:line="360" w:lineRule="auto"/>
        <w:ind w:right="49"/>
        <w:jc w:val="both"/>
        <w:rPr>
          <w:color w:val="000000"/>
        </w:rPr>
      </w:pPr>
      <w:r w:rsidDel="00000000" w:rsidR="00000000" w:rsidRPr="00000000">
        <w:rPr>
          <w:rFonts w:ascii="Palatino Linotype" w:cs="Palatino Linotype" w:eastAsia="Palatino Linotype" w:hAnsi="Palatino Linotype"/>
          <w:color w:val="000000"/>
          <w:rtl w:val="0"/>
        </w:rPr>
        <w:t xml:space="preserve">Cobrando aplicación lo previsto en la fracción IV del artículo 192, en razón a que al haber sido el recurso y al actualizarse causales de improcedencia, debe ser sobreseído.</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before="240" w:line="360" w:lineRule="auto"/>
        <w:ind w:right="49"/>
        <w:jc w:val="both"/>
        <w:rPr>
          <w:color w:val="000000"/>
        </w:rPr>
      </w:pPr>
      <w:r w:rsidDel="00000000" w:rsidR="00000000" w:rsidRPr="00000000">
        <w:rPr>
          <w:rFonts w:ascii="Palatino Linotype" w:cs="Palatino Linotype" w:eastAsia="Palatino Linotype" w:hAnsi="Palatino Linotype"/>
          <w:color w:val="000000"/>
          <w:rtl w:val="0"/>
        </w:rPr>
        <w:t xml:space="preserve">En atención de lo anterior, se procede a analizar las cuestiones de hecho que dieron lugar a la improcedencia en concordancia con el apartado de causales de sobreseimiento.</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40" w:before="240" w:line="360" w:lineRule="auto"/>
        <w:ind w:right="49"/>
        <w:jc w:val="both"/>
        <w:rPr>
          <w:rFonts w:ascii="Palatino Linotype" w:cs="Palatino Linotype" w:eastAsia="Palatino Linotype" w:hAnsi="Palatino Linotype"/>
          <w:highlight w:val="yellow"/>
        </w:rPr>
      </w:pPr>
      <w:r w:rsidDel="00000000" w:rsidR="00000000" w:rsidRPr="00000000">
        <w:rPr>
          <w:rFonts w:ascii="Palatino Linotype" w:cs="Palatino Linotype" w:eastAsia="Palatino Linotype" w:hAnsi="Palatino Linotype"/>
          <w:color w:val="000000"/>
          <w:rtl w:val="0"/>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las fracciones III y VI del artículo 191 de la misma Ley citado con antelación, por no existir elementos de procedencia, en virtud de que el mismo no actualiza alguno de los supuestos previstos en el citado artículo 179, toda vez que la parte </w:t>
      </w:r>
      <w:r w:rsidDel="00000000" w:rsidR="00000000" w:rsidRPr="00000000">
        <w:rPr>
          <w:rFonts w:ascii="Palatino Linotype" w:cs="Palatino Linotype" w:eastAsia="Palatino Linotype" w:hAnsi="Palatino Linotype"/>
          <w:b w:val="1"/>
          <w:color w:val="000000"/>
          <w:rtl w:val="0"/>
        </w:rPr>
        <w:t xml:space="preserve">RECURRENTE</w:t>
      </w:r>
      <w:r w:rsidDel="00000000" w:rsidR="00000000" w:rsidRPr="00000000">
        <w:rPr>
          <w:rFonts w:ascii="Palatino Linotype" w:cs="Palatino Linotype" w:eastAsia="Palatino Linotype" w:hAnsi="Palatino Linotype"/>
          <w:color w:val="000000"/>
          <w:rtl w:val="0"/>
        </w:rPr>
        <w:t xml:space="preserve">,  no realiza una solicitud de acceso a la información, solo </w:t>
      </w:r>
      <w:r w:rsidDel="00000000" w:rsidR="00000000" w:rsidRPr="00000000">
        <w:rPr>
          <w:rFonts w:ascii="Palatino Linotype" w:cs="Palatino Linotype" w:eastAsia="Palatino Linotype" w:hAnsi="Palatino Linotype"/>
          <w:rtl w:val="0"/>
        </w:rPr>
        <w:t xml:space="preserve">manifestaciones dirigidas al Presidente Municipal, y mediante el recurso de revisión amplia los alcance de la su solicitud, precisando nuevos contenidos, tal y como lo analizaremos a continuación.</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40" w:before="240" w:line="360" w:lineRule="auto"/>
        <w:ind w:right="49"/>
        <w:jc w:val="both"/>
        <w:rPr>
          <w:color w:val="000000"/>
        </w:rPr>
      </w:pPr>
      <w:r w:rsidDel="00000000" w:rsidR="00000000" w:rsidRPr="00000000">
        <w:rPr>
          <w:rFonts w:ascii="Palatino Linotype" w:cs="Palatino Linotype" w:eastAsia="Palatino Linotype" w:hAnsi="Palatino Linotype"/>
          <w:color w:val="000000"/>
          <w:rtl w:val="0"/>
        </w:rPr>
        <w:t xml:space="preserve">A efecto de sustentar lo anterior, es imprescindible mencionar que, del análisis de la solicitud de información motivo del recurso de revisión que ahora se resuelve, se advierte que la parte solicitante requirió al </w:t>
      </w:r>
      <w:r w:rsidDel="00000000" w:rsidR="00000000" w:rsidRPr="00000000">
        <w:rPr>
          <w:rFonts w:ascii="Palatino Linotype" w:cs="Palatino Linotype" w:eastAsia="Palatino Linotype" w:hAnsi="Palatino Linotype"/>
          <w:b w:val="1"/>
          <w:color w:val="000000"/>
          <w:rtl w:val="0"/>
        </w:rPr>
        <w:t xml:space="preserve">SUJETO OBLIGADO</w:t>
      </w:r>
      <w:r w:rsidDel="00000000" w:rsidR="00000000" w:rsidRPr="00000000">
        <w:rPr>
          <w:rFonts w:ascii="Palatino Linotype" w:cs="Palatino Linotype" w:eastAsia="Palatino Linotype" w:hAnsi="Palatino Linotype"/>
          <w:color w:val="000000"/>
          <w:rtl w:val="0"/>
        </w:rPr>
        <w:t xml:space="preserve"> le proporcione información consistente en lo siguiente: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“presidente juan carlos uribe espero de la oportunidad de que los jovenes exploten sus dones del deporte y como es bien sabido usted los apoye como siempre “ (Sic)</w:t>
      </w:r>
    </w:p>
    <w:p w:rsidR="00000000" w:rsidDel="00000000" w:rsidP="00000000" w:rsidRDefault="00000000" w:rsidRPr="00000000" w14:paraId="0000004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emitió su respuesta a través del siguiente archivo electrónico:</w:t>
      </w:r>
    </w:p>
    <w:p w:rsidR="00000000" w:rsidDel="00000000" w:rsidP="00000000" w:rsidRDefault="00000000" w:rsidRPr="00000000" w14:paraId="0000004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“Respuesta 02.docx”,</w:t>
      </w:r>
      <w:r w:rsidDel="00000000" w:rsidR="00000000" w:rsidRPr="00000000">
        <w:rPr>
          <w:rFonts w:ascii="Palatino Linotype" w:cs="Palatino Linotype" w:eastAsia="Palatino Linotype" w:hAnsi="Palatino Linotype"/>
          <w:rtl w:val="0"/>
        </w:rPr>
        <w:t xml:space="preserve"> que contiene el oficio número UT 4572022, de fecha diez de febrero de dos mil veintidós, mediante el cual la Titular de la Unidad de Transparencia informa lo siguiente :</w:t>
      </w:r>
    </w:p>
    <w:p w:rsidR="00000000" w:rsidDel="00000000" w:rsidP="00000000" w:rsidRDefault="00000000" w:rsidRPr="00000000" w14:paraId="0000004F">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2. ANÁLISIS DEL REQUERIMIENTO</w:t>
      </w:r>
    </w:p>
    <w:p w:rsidR="00000000" w:rsidDel="00000000" w:rsidP="00000000" w:rsidRDefault="00000000" w:rsidRPr="00000000" w14:paraId="00000050">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Unidad de Transparencia al momento de realizar el estudio y análisis del requerimiento formulado a efecto de poder determinar el área competente para su atención, </w:t>
      </w:r>
      <w:r w:rsidDel="00000000" w:rsidR="00000000" w:rsidRPr="00000000">
        <w:rPr>
          <w:rFonts w:ascii="Palatino Linotype" w:cs="Palatino Linotype" w:eastAsia="Palatino Linotype" w:hAnsi="Palatino Linotype"/>
          <w:b w:val="1"/>
          <w:i w:val="1"/>
          <w:sz w:val="22"/>
          <w:szCs w:val="22"/>
          <w:rtl w:val="0"/>
        </w:rPr>
        <w:t xml:space="preserve">observó que del requerimiento se desprende que usted emitió una opinión respecto al perfil de algunos servidores públicos y posteriormente se realiza un requerimiento respecto de dicho personal</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1">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ese orden de ideas, me permito manifestarle que de la trascripción del requerimiento se aprecia que usted </w:t>
      </w:r>
      <w:r w:rsidDel="00000000" w:rsidR="00000000" w:rsidRPr="00000000">
        <w:rPr>
          <w:rFonts w:ascii="Palatino Linotype" w:cs="Palatino Linotype" w:eastAsia="Palatino Linotype" w:hAnsi="Palatino Linotype"/>
          <w:b w:val="1"/>
          <w:i w:val="1"/>
          <w:sz w:val="22"/>
          <w:szCs w:val="22"/>
          <w:rtl w:val="0"/>
        </w:rPr>
        <w:t xml:space="preserve">no requiere algún dato público o documento especifico, por lo que no realiza una descripción de la información solicitada</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2">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DERECHO A LA INFORMACIÓN</w:t>
      </w:r>
    </w:p>
    <w:p w:rsidR="00000000" w:rsidDel="00000000" w:rsidP="00000000" w:rsidRDefault="00000000" w:rsidRPr="00000000" w14:paraId="00000053">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 conformidad con el artículo 4 de la Ley de Transparencia y Acceso a la Información Pública del Estado de México y Municipios, el derecho humano de acceso a la información pública es la prerrogativa de las personas para solicitar información pública, sin necesidad de acreditar personalidad ni interés jurídico.</w:t>
      </w:r>
    </w:p>
    <w:p w:rsidR="00000000" w:rsidDel="00000000" w:rsidP="00000000" w:rsidRDefault="00000000" w:rsidRPr="00000000" w14:paraId="00000054">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Implica la obligación de los Sujetos Obligados de permitir el acceso a la información que generen, obtengan, administren o tengan en su posesión a través de documentos que se encuentren en sus archivos.</w:t>
      </w:r>
    </w:p>
    <w:p w:rsidR="00000000" w:rsidDel="00000000" w:rsidP="00000000" w:rsidRDefault="00000000" w:rsidRPr="00000000" w14:paraId="00000055">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Asimismo,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los Sujetos Obligados no estarán obligados a generarla, resumirla, efectuar cálculos o practicar investigaciones.</w:t>
      </w:r>
    </w:p>
    <w:p w:rsidR="00000000" w:rsidDel="00000000" w:rsidP="00000000" w:rsidRDefault="00000000" w:rsidRPr="00000000" w14:paraId="00000056">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ese orden de ideas, el derecho a la información pública, se constriñe a la obligación de los Sujetos Obligados, de proporcionar a los solicitantes los documentos que requieran y que obren en sus archivos. </w:t>
      </w:r>
    </w:p>
    <w:p w:rsidR="00000000" w:rsidDel="00000000" w:rsidP="00000000" w:rsidRDefault="00000000" w:rsidRPr="00000000" w14:paraId="00000057">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4. DESECHA REQUERIMIENTO</w:t>
      </w:r>
    </w:p>
    <w:p w:rsidR="00000000" w:rsidDel="00000000" w:rsidP="00000000" w:rsidRDefault="00000000" w:rsidRPr="00000000" w14:paraId="00000058">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todo lo anterior, me permito informarle que su requerimiento no cumple con el requisito de procedibilidad, establecido en el artículo 155, fracción III de la Ley de Transparencia y Acceso a la Información Pública del Estado de México y Municipios, en virtud, de que no se describe que información pública o documento solicita.</w:t>
      </w:r>
    </w:p>
    <w:p w:rsidR="00000000" w:rsidDel="00000000" w:rsidP="00000000" w:rsidRDefault="00000000" w:rsidRPr="00000000" w14:paraId="00000059">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En consecuencia, en este acto se le comunica que su requerimiento se desecha por no actualizar la hipótesis que contempla el derecho de acceso a la información pública</w:t>
      </w:r>
      <w:r w:rsidDel="00000000" w:rsidR="00000000" w:rsidRPr="00000000">
        <w:rPr>
          <w:rFonts w:ascii="Palatino Linotype" w:cs="Palatino Linotype" w:eastAsia="Palatino Linotype" w:hAnsi="Palatino Linotype"/>
          <w:i w:val="1"/>
          <w:sz w:val="22"/>
          <w:szCs w:val="22"/>
          <w:rtl w:val="0"/>
        </w:rPr>
        <w:t xml:space="preserve">. ..” </w:t>
      </w:r>
      <w:r w:rsidDel="00000000" w:rsidR="00000000" w:rsidRPr="00000000">
        <w:rPr>
          <w:rFonts w:ascii="Palatino Linotype" w:cs="Palatino Linotype" w:eastAsia="Palatino Linotype" w:hAnsi="Palatino Linotype"/>
          <w:sz w:val="22"/>
          <w:szCs w:val="22"/>
          <w:rtl w:val="0"/>
        </w:rPr>
        <w:t xml:space="preserve">(Sic)</w:t>
      </w:r>
      <w:r w:rsidDel="00000000" w:rsidR="00000000" w:rsidRPr="00000000">
        <w:rPr>
          <w:rtl w:val="0"/>
        </w:rPr>
      </w:r>
    </w:p>
    <w:p w:rsidR="00000000" w:rsidDel="00000000" w:rsidP="00000000" w:rsidRDefault="00000000" w:rsidRPr="00000000" w14:paraId="0000005A">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conforme el particular con la respuesta, interpone el recurso de revisión que se resuelve, en el que señala como motivos de inconformidad en lo medular que: </w:t>
      </w:r>
      <w:r w:rsidDel="00000000" w:rsidR="00000000" w:rsidRPr="00000000">
        <w:rPr>
          <w:rFonts w:ascii="Palatino Linotype" w:cs="Palatino Linotype" w:eastAsia="Palatino Linotype" w:hAnsi="Palatino Linotype"/>
          <w:i w:val="1"/>
          <w:rtl w:val="0"/>
        </w:rPr>
        <w:t xml:space="preserve">“la titular de la unidad de transparencia no orienta , ya que </w:t>
      </w:r>
      <w:r w:rsidDel="00000000" w:rsidR="00000000" w:rsidRPr="00000000">
        <w:rPr>
          <w:rFonts w:ascii="Palatino Linotype" w:cs="Palatino Linotype" w:eastAsia="Palatino Linotype" w:hAnsi="Palatino Linotype"/>
          <w:b w:val="1"/>
          <w:i w:val="1"/>
          <w:u w:val="single"/>
          <w:rtl w:val="0"/>
        </w:rPr>
        <w:t xml:space="preserve">quiero saber que oportunidades hay para los jovenes ddeportistas, que programas , que talleres</w:t>
      </w:r>
      <w:r w:rsidDel="00000000" w:rsidR="00000000" w:rsidRPr="00000000">
        <w:rPr>
          <w:rFonts w:ascii="Palatino Linotype" w:cs="Palatino Linotype" w:eastAsia="Palatino Linotype" w:hAnsi="Palatino Linotype"/>
          <w:b w:val="1"/>
          <w:u w:val="single"/>
          <w:rtl w:val="0"/>
        </w:rPr>
        <w:t xml:space="preserve">”</w:t>
      </w:r>
      <w:r w:rsidDel="00000000" w:rsidR="00000000" w:rsidRPr="00000000">
        <w:rPr>
          <w:rFonts w:ascii="Palatino Linotype" w:cs="Palatino Linotype" w:eastAsia="Palatino Linotype" w:hAnsi="Palatino Linotype"/>
          <w:rtl w:val="0"/>
        </w:rPr>
        <w:t xml:space="preserve"> (Sic)</w:t>
      </w:r>
    </w:p>
    <w:p w:rsidR="00000000" w:rsidDel="00000000" w:rsidP="00000000" w:rsidRDefault="00000000" w:rsidRPr="00000000" w14:paraId="0000005B">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 la interposición del Recurso de Revisión,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rindió su informe justificado a través del siguiente archivo electrónico: “INFORME JUSTIFICADO 819.docx”, en el que reitera su respuesta, destacando lo siguiente:</w:t>
      </w:r>
    </w:p>
    <w:p w:rsidR="00000000" w:rsidDel="00000000" w:rsidP="00000000" w:rsidRDefault="00000000" w:rsidRPr="00000000" w14:paraId="0000005C">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“…me permito manifestarles que de la trascripción del requerimiento se aprecia que el solicitante no requiere algún dato público o documento especifico, por lo que no realiza una descripción de la información solicitada.</w:t>
      </w:r>
    </w:p>
    <w:p w:rsidR="00000000" w:rsidDel="00000000" w:rsidP="00000000" w:rsidRDefault="00000000" w:rsidRPr="00000000" w14:paraId="0000005D">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 conformidad con el artículo 4 de la Ley de Transparencia y Acceso a la Información Pública del Estado de México y Municipios, el derecho humano de acceso a la información pública es la prerrogativa de las personas para solicitar información pública, sin necesidad de acreditar personalidad ni interés jurídico.</w:t>
      </w:r>
    </w:p>
    <w:p w:rsidR="00000000" w:rsidDel="00000000" w:rsidP="00000000" w:rsidRDefault="00000000" w:rsidRPr="00000000" w14:paraId="0000005E">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Implica la obligación de los Sujetos Obligados de permitir el acceso a la información que generen, obtengan, administren o tengan en su posesión a través de documentos que se encuentren en sus archivos.</w:t>
      </w:r>
    </w:p>
    <w:p w:rsidR="00000000" w:rsidDel="00000000" w:rsidP="00000000" w:rsidRDefault="00000000" w:rsidRPr="00000000" w14:paraId="0000005F">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todo lo anterior, me permito informarles que el requerimiento no cumple con el requisito de procedibilidad establecido en el artículo 155 fracción III, de la Ley de Transparencia y Acceso a la Información Pública del Estado de México y Municipios, en virtud de que no se describe que información o documento necesita. ..” (Sic)</w:t>
      </w:r>
    </w:p>
    <w:p w:rsidR="00000000" w:rsidDel="00000000" w:rsidP="00000000" w:rsidRDefault="00000000" w:rsidRPr="00000000" w14:paraId="0000006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Hechas las manifestaciones que anteceden, es importante para este Organismo Garante señalar que, las manifestaciones expuestas por el particular al momento de requisitar la solicitud de información pública en el apartado denominado “Descripción clara y precisa de la información solicitada”, </w:t>
      </w:r>
      <w:r w:rsidDel="00000000" w:rsidR="00000000" w:rsidRPr="00000000">
        <w:rPr>
          <w:rFonts w:ascii="Palatino Linotype" w:cs="Palatino Linotype" w:eastAsia="Palatino Linotype" w:hAnsi="Palatino Linotype"/>
          <w:b w:val="1"/>
          <w:rtl w:val="0"/>
        </w:rPr>
        <w:t xml:space="preserve">no constituyen un derecho de acceso a la información pública, sino un derecho de petición</w:t>
      </w:r>
      <w:r w:rsidDel="00000000" w:rsidR="00000000" w:rsidRPr="00000000">
        <w:rPr>
          <w:rFonts w:ascii="Palatino Linotype" w:cs="Palatino Linotype" w:eastAsia="Palatino Linotype" w:hAnsi="Palatino Linotype"/>
          <w:rtl w:val="0"/>
        </w:rPr>
        <w:t xml:space="preserve">, debido a que se trata de cuestionamientos realizados por el entonces solicitante,  manifestaciones que no se colman con la entrega de documentos, situación que conlleva a afirmar que se está ante la presencia del ejercicio del derecho enunciado, ya que se busca obtener un pronunciamiento en particular por parte del ente gubernamental. </w:t>
      </w:r>
    </w:p>
    <w:p w:rsidR="00000000" w:rsidDel="00000000" w:rsidP="00000000" w:rsidRDefault="00000000" w:rsidRPr="00000000" w14:paraId="0000006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rsidR="00000000" w:rsidDel="00000000" w:rsidP="00000000" w:rsidRDefault="00000000" w:rsidRPr="00000000" w14:paraId="00000062">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es un Derecho Público subjetivo individual de la Garantía Respectiva Consagrada en el Artículo 8 de la Ley Fundamental. En tal virtud, la persona tiene la facultad de acudir a cualquier </w:t>
      </w:r>
      <w:r w:rsidDel="00000000" w:rsidR="00000000" w:rsidRPr="00000000">
        <w:rPr>
          <w:rFonts w:ascii="Palatino Linotype" w:cs="Palatino Linotype" w:eastAsia="Palatino Linotype" w:hAnsi="Palatino Linotype"/>
          <w:i w:val="1"/>
          <w:sz w:val="22"/>
          <w:szCs w:val="22"/>
          <w:highlight w:val="white"/>
          <w:rtl w:val="0"/>
        </w:rPr>
        <w:t xml:space="preserve">autoridad</w:t>
      </w:r>
      <w:r w:rsidDel="00000000" w:rsidR="00000000" w:rsidRPr="00000000">
        <w:rPr>
          <w:rFonts w:ascii="Palatino Linotype" w:cs="Palatino Linotype" w:eastAsia="Palatino Linotype" w:hAnsi="Palatino Linotype"/>
          <w:i w:val="1"/>
          <w:sz w:val="22"/>
          <w:szCs w:val="22"/>
          <w:rtl w:val="0"/>
        </w:rPr>
        <w:t xml:space="preserve">, formulando una solicitud o instancia escrito de cualquier índole, la cual adopta, específicamente, el carácter de simple petición administrativa, acción o recurso, etc.</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(sic)</w:t>
      </w:r>
    </w:p>
    <w:p w:rsidR="00000000" w:rsidDel="00000000" w:rsidP="00000000" w:rsidRDefault="00000000" w:rsidRPr="00000000" w14:paraId="0000006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David Cienfuegos Salgado, concibe al derecho de petición como: </w:t>
      </w:r>
    </w:p>
    <w:p w:rsidR="00000000" w:rsidDel="00000000" w:rsidP="00000000" w:rsidRDefault="00000000" w:rsidRPr="00000000" w14:paraId="00000064">
      <w:pPr>
        <w:tabs>
          <w:tab w:val="left" w:pos="8222"/>
        </w:tabs>
        <w:spacing w:after="240" w:before="240" w:line="360"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el derecho de toda persona a ser </w:t>
      </w:r>
      <w:r w:rsidDel="00000000" w:rsidR="00000000" w:rsidRPr="00000000">
        <w:rPr>
          <w:rFonts w:ascii="Palatino Linotype" w:cs="Palatino Linotype" w:eastAsia="Palatino Linotype" w:hAnsi="Palatino Linotype"/>
          <w:i w:val="1"/>
          <w:sz w:val="22"/>
          <w:szCs w:val="22"/>
          <w:highlight w:val="white"/>
          <w:rtl w:val="0"/>
        </w:rPr>
        <w:t xml:space="preserve">escuchado</w:t>
      </w:r>
      <w:r w:rsidDel="00000000" w:rsidR="00000000" w:rsidRPr="00000000">
        <w:rPr>
          <w:rFonts w:ascii="Palatino Linotype" w:cs="Palatino Linotype" w:eastAsia="Palatino Linotype" w:hAnsi="Palatino Linotype"/>
          <w:i w:val="1"/>
          <w:sz w:val="22"/>
          <w:szCs w:val="22"/>
          <w:rtl w:val="0"/>
        </w:rPr>
        <w:t xml:space="preserve"> por quienes ejercen el poder público.</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(Sic) </w:t>
      </w:r>
    </w:p>
    <w:p w:rsidR="00000000" w:rsidDel="00000000" w:rsidP="00000000" w:rsidRDefault="00000000" w:rsidRPr="00000000" w14:paraId="0000006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para diferenciar el derecho de petición del derecho de acceso a la información, resulta conducente señalar que José Guadalupe Robles, conceptualiza el derecho a la información como: </w:t>
      </w:r>
    </w:p>
    <w:p w:rsidR="00000000" w:rsidDel="00000000" w:rsidP="00000000" w:rsidRDefault="00000000" w:rsidRPr="00000000" w14:paraId="00000066">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un derecho fundamental tanto de carácter individual como colectivo, cuyas limitaciones deben estar establecidas en la ley, así como una garantía de que la información sea transmitida con </w:t>
      </w:r>
      <w:r w:rsidDel="00000000" w:rsidR="00000000" w:rsidRPr="00000000">
        <w:rPr>
          <w:rFonts w:ascii="Palatino Linotype" w:cs="Palatino Linotype" w:eastAsia="Palatino Linotype" w:hAnsi="Palatino Linotype"/>
          <w:i w:val="1"/>
          <w:sz w:val="22"/>
          <w:szCs w:val="22"/>
          <w:highlight w:val="white"/>
          <w:rtl w:val="0"/>
        </w:rPr>
        <w:t xml:space="preserve">claridad</w:t>
      </w:r>
      <w:r w:rsidDel="00000000" w:rsidR="00000000" w:rsidRPr="00000000">
        <w:rPr>
          <w:rFonts w:ascii="Palatino Linotype" w:cs="Palatino Linotype" w:eastAsia="Palatino Linotype" w:hAnsi="Palatino Linotype"/>
          <w:i w:val="1"/>
          <w:sz w:val="22"/>
          <w:szCs w:val="22"/>
          <w:rtl w:val="0"/>
        </w:rPr>
        <w:t xml:space="preserve"> y objetividad, por cuanto a que es un bien jurídico que coadyuva al desarrollo de las personas y a la formación de opinión pública de calidad para poder participar y luego influir en la vida pública.</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(Sic) </w:t>
      </w:r>
    </w:p>
    <w:p w:rsidR="00000000" w:rsidDel="00000000" w:rsidP="00000000" w:rsidRDefault="00000000" w:rsidRPr="00000000" w14:paraId="00000067">
      <w:pPr>
        <w:spacing w:after="240" w:before="240" w:line="360" w:lineRule="auto"/>
        <w:jc w:val="both"/>
        <w:rPr>
          <w:rFonts w:ascii="Palatino Linotype" w:cs="Palatino Linotype" w:eastAsia="Palatino Linotype" w:hAnsi="Palatino Linotype"/>
          <w:color w:val="ff0000"/>
        </w:rPr>
      </w:pPr>
      <w:r w:rsidDel="00000000" w:rsidR="00000000" w:rsidRPr="00000000">
        <w:rPr>
          <w:rFonts w:ascii="Palatino Linotype" w:cs="Palatino Linotype" w:eastAsia="Palatino Linotype" w:hAnsi="Palatino Linotype"/>
          <w:rtl w:val="0"/>
        </w:rPr>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r w:rsidDel="00000000" w:rsidR="00000000" w:rsidRPr="00000000">
        <w:rPr>
          <w:rtl w:val="0"/>
        </w:rPr>
      </w:r>
    </w:p>
    <w:p w:rsidR="00000000" w:rsidDel="00000000" w:rsidP="00000000" w:rsidRDefault="00000000" w:rsidRPr="00000000" w14:paraId="0000006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00000" w:rsidDel="00000000" w:rsidP="00000000" w:rsidRDefault="00000000" w:rsidRPr="00000000" w14:paraId="0000006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000000" w:rsidDel="00000000" w:rsidP="00000000" w:rsidRDefault="00000000" w:rsidRPr="00000000" w14:paraId="0000006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esa tesitura, los Sujetos Obligados deberán poner en práctica, políticas y programas de acceso a la información que se apeguen a criterios de publicidad, veracidad, oportunidad, precisión y suficiencia en beneficio de los solicitantes</w:t>
      </w:r>
    </w:p>
    <w:p w:rsidR="00000000" w:rsidDel="00000000" w:rsidP="00000000" w:rsidRDefault="00000000" w:rsidRPr="00000000" w14:paraId="0000006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tiene sustento en los artículos 3, fracciones XI y XXII; 4; 11 y 12 de la Ley de Transparencia y Acceso a la Información Pública del Estado de México y Municipios:</w:t>
      </w:r>
    </w:p>
    <w:p w:rsidR="00000000" w:rsidDel="00000000" w:rsidP="00000000" w:rsidRDefault="00000000" w:rsidRPr="00000000" w14:paraId="0000006C">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3. Para los efectos de la presente Ley se entenderá por: </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D">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E">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 Documento:</w:t>
      </w:r>
      <w:r w:rsidDel="00000000" w:rsidR="00000000" w:rsidRPr="00000000">
        <w:rPr>
          <w:rFonts w:ascii="Palatino Linotype" w:cs="Palatino Linotype" w:eastAsia="Palatino Linotype" w:hAnsi="Palatino Linotype"/>
          <w:i w:val="1"/>
          <w:sz w:val="22"/>
          <w:szCs w:val="22"/>
          <w:rtl w:val="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00000" w:rsidDel="00000000" w:rsidP="00000000" w:rsidRDefault="00000000" w:rsidRPr="00000000" w14:paraId="0000006F">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0">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XXII.</w:t>
      </w:r>
      <w:r w:rsidDel="00000000" w:rsidR="00000000" w:rsidRPr="00000000">
        <w:rPr>
          <w:rFonts w:ascii="Palatino Linotype" w:cs="Palatino Linotype" w:eastAsia="Palatino Linotype" w:hAnsi="Palatino Linotype"/>
          <w:i w:val="1"/>
          <w:sz w:val="22"/>
          <w:szCs w:val="22"/>
          <w:rtl w:val="0"/>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000000" w:rsidDel="00000000" w:rsidP="00000000" w:rsidRDefault="00000000" w:rsidRPr="00000000" w14:paraId="00000071">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72">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00000" w:rsidDel="00000000" w:rsidP="00000000" w:rsidRDefault="00000000" w:rsidRPr="00000000" w14:paraId="00000073">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deben poner en práctica, políticas y programas de acceso a la información que se apeguen a criterios de publicidad, veracidad, oportunidad, precisión y suficiencia en beneficio de los solicitantes.  </w:t>
      </w:r>
    </w:p>
    <w:p w:rsidR="00000000" w:rsidDel="00000000" w:rsidP="00000000" w:rsidRDefault="00000000" w:rsidRPr="00000000" w14:paraId="00000074">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11.-</w:t>
      </w:r>
      <w:r w:rsidDel="00000000" w:rsidR="00000000" w:rsidRPr="00000000">
        <w:rPr>
          <w:rFonts w:ascii="Palatino Linotype" w:cs="Palatino Linotype" w:eastAsia="Palatino Linotype" w:hAnsi="Palatino Linotype"/>
          <w:i w:val="1"/>
          <w:sz w:val="22"/>
          <w:szCs w:val="22"/>
          <w:rtl w:val="0"/>
        </w:rPr>
        <w:t xml:space="preserve"> Los Sujetos Obligados sólo proporcionarán la información que generen en el ejercicio de sus atribuciones.</w:t>
      </w:r>
    </w:p>
    <w:p w:rsidR="00000000" w:rsidDel="00000000" w:rsidP="00000000" w:rsidRDefault="00000000" w:rsidRPr="00000000" w14:paraId="00000075">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w:t>
      </w:r>
      <w:r w:rsidDel="00000000" w:rsidR="00000000" w:rsidRPr="00000000">
        <w:rPr>
          <w:rFonts w:ascii="Palatino Linotype" w:cs="Palatino Linotype" w:eastAsia="Palatino Linotype" w:hAnsi="Palatino Linotype"/>
          <w:i w:val="1"/>
          <w:sz w:val="22"/>
          <w:szCs w:val="22"/>
          <w:rtl w:val="0"/>
        </w:rPr>
        <w:t xml:space="preserve"> 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76">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00000" w:rsidDel="00000000" w:rsidP="00000000" w:rsidRDefault="00000000" w:rsidRPr="00000000" w14:paraId="00000077">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(Ënfasis añadido)</w:t>
      </w:r>
    </w:p>
    <w:p w:rsidR="00000000" w:rsidDel="00000000" w:rsidP="00000000" w:rsidRDefault="00000000" w:rsidRPr="00000000" w14:paraId="0000007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000000" w:rsidDel="00000000" w:rsidP="00000000" w:rsidRDefault="00000000" w:rsidRPr="00000000" w14:paraId="0000007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Del="00000000" w:rsidR="00000000" w:rsidRPr="00000000">
        <w:rPr>
          <w:rFonts w:ascii="Palatino Linotype" w:cs="Palatino Linotype" w:eastAsia="Palatino Linotype" w:hAnsi="Palatino Linotype"/>
          <w:b w:val="1"/>
          <w:rtl w:val="0"/>
        </w:rPr>
        <w:t xml:space="preserve">cualquier otro registro que documente el ejercicio de las facultades, funciones y competencias de los sujetos obligados</w:t>
      </w:r>
      <w:r w:rsidDel="00000000" w:rsidR="00000000" w:rsidRPr="00000000">
        <w:rPr>
          <w:rFonts w:ascii="Palatino Linotype" w:cs="Palatino Linotype" w:eastAsia="Palatino Linotype" w:hAnsi="Palatino Linotype"/>
          <w:rtl w:val="0"/>
        </w:rPr>
        <w:t xml:space="preserve">, sus servidores públicos e integrantes, sin importar su fuente o fecha de elaboración. Los documentos podrán estar en cualquier medio, sea escrito, impreso, sonoro, visual, electrónico, informático u holográfico.</w:t>
      </w:r>
    </w:p>
    <w:p w:rsidR="00000000" w:rsidDel="00000000" w:rsidP="00000000" w:rsidRDefault="00000000" w:rsidRPr="00000000" w14:paraId="0000007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000000" w:rsidDel="00000000" w:rsidP="00000000" w:rsidRDefault="00000000" w:rsidRPr="00000000" w14:paraId="0000007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el doctrinario Ernesto Villanueva Villanueva define al derecho de acceso a la información como: </w:t>
      </w:r>
    </w:p>
    <w:p w:rsidR="00000000" w:rsidDel="00000000" w:rsidP="00000000" w:rsidRDefault="00000000" w:rsidRPr="00000000" w14:paraId="0000007C">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vertAlign w:val="superscript"/>
          <w:rtl w:val="0"/>
        </w:rPr>
        <w:t xml:space="preserve"> </w:t>
      </w:r>
      <w:r w:rsidDel="00000000" w:rsidR="00000000" w:rsidRPr="00000000">
        <w:rPr>
          <w:rFonts w:ascii="Palatino Linotype" w:cs="Palatino Linotype" w:eastAsia="Palatino Linotype" w:hAnsi="Palatino Linotype"/>
          <w:i w:val="1"/>
          <w:sz w:val="22"/>
          <w:szCs w:val="22"/>
          <w:rtl w:val="0"/>
        </w:rPr>
        <w:t xml:space="preserve">(Sic) </w:t>
      </w:r>
    </w:p>
    <w:p w:rsidR="00000000" w:rsidDel="00000000" w:rsidP="00000000" w:rsidRDefault="00000000" w:rsidRPr="00000000" w14:paraId="0000007D">
      <w:pPr>
        <w:spacing w:after="240" w:before="240" w:line="360" w:lineRule="auto"/>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De lo anterior, se puede concluir que la distinción entre el derecho de petición y el derecho de acceso a la información pública estriba principalmente en que en el primero de ellos, </w:t>
      </w:r>
      <w:r w:rsidDel="00000000" w:rsidR="00000000" w:rsidRPr="00000000">
        <w:rPr>
          <w:rFonts w:ascii="Palatino Linotype" w:cs="Palatino Linotype" w:eastAsia="Palatino Linotype" w:hAnsi="Palatino Linotype"/>
          <w:color w:val="000000"/>
          <w:rtl w:val="0"/>
        </w:rPr>
        <w:t xml:space="preserve">la pretensión del peticionario consiste generalmente en obligar a la autoridad responsable a que actúe en el sentido de contestar lo solicitado, mientras que en el </w:t>
      </w:r>
      <w:r w:rsidDel="00000000" w:rsidR="00000000" w:rsidRPr="00000000">
        <w:rPr>
          <w:rFonts w:ascii="Palatino Linotype" w:cs="Palatino Linotype" w:eastAsia="Palatino Linotype" w:hAnsi="Palatino Linotype"/>
          <w:rtl w:val="0"/>
        </w:rPr>
        <w:t xml:space="preserve">segundo supuesto </w:t>
      </w:r>
      <w:r w:rsidDel="00000000" w:rsidR="00000000" w:rsidRPr="00000000">
        <w:rPr>
          <w:rFonts w:ascii="Palatino Linotype" w:cs="Palatino Linotype" w:eastAsia="Palatino Linotype" w:hAnsi="Palatino Linotype"/>
          <w:b w:val="1"/>
          <w:u w:val="single"/>
          <w:rtl w:val="0"/>
        </w:rPr>
        <w:t xml:space="preserve">la solicitud de acceso a la información pública se encamina primordialmente a permitir el acceso a datos, registros y todo tipo de información pública que conste en documentos, sea generada o se encuentre en posesión de la autoridad. </w:t>
      </w:r>
    </w:p>
    <w:p w:rsidR="00000000" w:rsidDel="00000000" w:rsidP="00000000" w:rsidRDefault="00000000" w:rsidRPr="00000000" w14:paraId="0000007E">
      <w:pPr>
        <w:widowControl w:val="0"/>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ese orden de ideas, si bien es cierto que la parte</w:t>
      </w:r>
      <w:r w:rsidDel="00000000" w:rsidR="00000000" w:rsidRPr="00000000">
        <w:rPr>
          <w:rFonts w:ascii="Palatino Linotype" w:cs="Palatino Linotype" w:eastAsia="Palatino Linotype" w:hAnsi="Palatino Linotype"/>
          <w:b w:val="1"/>
          <w:color w:val="000000"/>
          <w:rtl w:val="0"/>
        </w:rPr>
        <w:t xml:space="preserve"> RECURRENTE </w:t>
      </w:r>
      <w:r w:rsidDel="00000000" w:rsidR="00000000" w:rsidRPr="00000000">
        <w:rPr>
          <w:rFonts w:ascii="Palatino Linotype" w:cs="Palatino Linotype" w:eastAsia="Palatino Linotype" w:hAnsi="Palatino Linotype"/>
          <w:color w:val="000000"/>
          <w:rtl w:val="0"/>
        </w:rPr>
        <w:t xml:space="preserve">se inconforma con respuesta de la Titular de la Unidad de Transparencia, también resulta cierto que de conformidad con lo establecido en la propia Ley de Transparencia y Acceso a la Información Pública en su artículo 155 fracción III, que hace referencia al apartado de la descripción de la </w:t>
      </w:r>
      <w:r w:rsidDel="00000000" w:rsidR="00000000" w:rsidRPr="00000000">
        <w:rPr>
          <w:rFonts w:ascii="Palatino Linotype" w:cs="Palatino Linotype" w:eastAsia="Palatino Linotype" w:hAnsi="Palatino Linotype"/>
          <w:rtl w:val="0"/>
        </w:rPr>
        <w:t xml:space="preserve">información que se solicita; por lo que, si en su lugar se llena dicho requisito con manifestaciones realizadas como parte del ejercicio de la libertad de expresión y como un derecho de petición al esperar que un determinado servidor público emita un pronunciamiento al respecto, es que resulta evidente que no se trata de una solicitud de información pública.</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Luego entonces, se advierte que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fue emitida en ese sentido, es decir refiriendo que se trataba de un derecho de petición y que no podría atender su requerimiento a través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circunstancia con la que concuerda este Instituto toda vez que los Sujetos Obligados</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no se encuentran obligados a generar documentos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ad hoc</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para atender las solicitudes de información, como apoyo a lo anterior, es aplicable por analogía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Criterio 03/17</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emitido por el Pleno del Instituto Nacional de Transparencia, Acceso a la Información y Protección de Datos Personales (INAI), que a la letra dice: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existe obligación de elaborar documentos ad hoc para atender las solicitudes de acceso a la información.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rsidR="00000000" w:rsidDel="00000000" w:rsidP="00000000" w:rsidRDefault="00000000" w:rsidRPr="00000000" w14:paraId="0000008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así que, la entrega de un pronunciamiento por parte del</w:t>
      </w:r>
      <w:r w:rsidDel="00000000" w:rsidR="00000000" w:rsidRPr="00000000">
        <w:rPr>
          <w:rFonts w:ascii="Palatino Linotype" w:cs="Palatino Linotype" w:eastAsia="Palatino Linotype" w:hAnsi="Palatino Linotype"/>
          <w:b w:val="1"/>
          <w:rtl w:val="0"/>
        </w:rPr>
        <w:t xml:space="preserve"> SUJETO OBLIGADO</w:t>
      </w:r>
      <w:r w:rsidDel="00000000" w:rsidR="00000000" w:rsidRPr="00000000">
        <w:rPr>
          <w:rFonts w:ascii="Palatino Linotype" w:cs="Palatino Linotype" w:eastAsia="Palatino Linotype" w:hAnsi="Palatino Linotype"/>
          <w:rtl w:val="0"/>
        </w:rPr>
        <w:t xml:space="preserve"> no es algo que la ley establezca como atribución, derecho, o facultad; pues ello implicaría un juicio de valor referente a una manifestación realizada, la cual se satisface vía derecho de petición. </w:t>
      </w:r>
    </w:p>
    <w:p w:rsidR="00000000" w:rsidDel="00000000" w:rsidP="00000000" w:rsidRDefault="00000000" w:rsidRPr="00000000" w14:paraId="0000008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rsidR="00000000" w:rsidDel="00000000" w:rsidP="00000000" w:rsidRDefault="00000000" w:rsidRPr="00000000" w14:paraId="00000083">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w:t>
      </w:r>
      <w:r w:rsidDel="00000000" w:rsidR="00000000" w:rsidRPr="00000000">
        <w:rPr>
          <w:rFonts w:ascii="Palatino Linotype" w:cs="Palatino Linotype" w:eastAsia="Palatino Linotype" w:hAnsi="Palatino Linotype"/>
          <w:b w:val="1"/>
          <w:i w:val="1"/>
          <w:sz w:val="22"/>
          <w:szCs w:val="22"/>
          <w:rtl w:val="0"/>
        </w:rPr>
        <w:t xml:space="preserve">pública</w:t>
      </w:r>
      <w:r w:rsidDel="00000000" w:rsidR="00000000" w:rsidRPr="00000000">
        <w:rPr>
          <w:rFonts w:ascii="Palatino Linotype" w:cs="Palatino Linotype" w:eastAsia="Palatino Linotype" w:hAnsi="Palatino Linotype"/>
          <w:i w:val="1"/>
          <w:sz w:val="22"/>
          <w:szCs w:val="22"/>
          <w:rtl w:val="0"/>
        </w:rPr>
        <w:t xml:space="preserve">, y procederá en contra de las siguientes causas:</w:t>
      </w:r>
    </w:p>
    <w:p w:rsidR="00000000" w:rsidDel="00000000" w:rsidP="00000000" w:rsidRDefault="00000000" w:rsidRPr="00000000" w14:paraId="00000084">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La negativa a la información solicitada;</w:t>
      </w:r>
    </w:p>
    <w:p w:rsidR="00000000" w:rsidDel="00000000" w:rsidP="00000000" w:rsidRDefault="00000000" w:rsidRPr="00000000" w14:paraId="00000085">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La clasificación de la información;</w:t>
      </w:r>
    </w:p>
    <w:p w:rsidR="00000000" w:rsidDel="00000000" w:rsidP="00000000" w:rsidRDefault="00000000" w:rsidRPr="00000000" w14:paraId="00000086">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III. La declaración de inexistencia de la información;</w:t>
      </w:r>
    </w:p>
    <w:p w:rsidR="00000000" w:rsidDel="00000000" w:rsidP="00000000" w:rsidRDefault="00000000" w:rsidRPr="00000000" w14:paraId="00000087">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IV. La declaración de incompetencia por el sujeto obligado;</w:t>
      </w:r>
    </w:p>
    <w:p w:rsidR="00000000" w:rsidDel="00000000" w:rsidP="00000000" w:rsidRDefault="00000000" w:rsidRPr="00000000" w14:paraId="00000088">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 La entrega de información incompleta;</w:t>
      </w:r>
    </w:p>
    <w:p w:rsidR="00000000" w:rsidDel="00000000" w:rsidP="00000000" w:rsidRDefault="00000000" w:rsidRPr="00000000" w14:paraId="00000089">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 La entrega de información que no corresponda con lo solicitado;</w:t>
      </w:r>
    </w:p>
    <w:p w:rsidR="00000000" w:rsidDel="00000000" w:rsidP="00000000" w:rsidRDefault="00000000" w:rsidRPr="00000000" w14:paraId="0000008A">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 La falta de respuesta a una solicitud de acceso a la información;</w:t>
      </w:r>
    </w:p>
    <w:p w:rsidR="00000000" w:rsidDel="00000000" w:rsidP="00000000" w:rsidRDefault="00000000" w:rsidRPr="00000000" w14:paraId="0000008B">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VIII. La notificación, entrega o puesta a disposición de información en una modalidad o formato distinto al solicitado;</w:t>
      </w:r>
    </w:p>
    <w:p w:rsidR="00000000" w:rsidDel="00000000" w:rsidP="00000000" w:rsidRDefault="00000000" w:rsidRPr="00000000" w14:paraId="0000008C">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IX. La entrega o puesta a disposición de información en un formato incomprensible y/o no accesible para el solicitante;</w:t>
      </w:r>
    </w:p>
    <w:p w:rsidR="00000000" w:rsidDel="00000000" w:rsidP="00000000" w:rsidRDefault="00000000" w:rsidRPr="00000000" w14:paraId="0000008D">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 Los costos o tiempos de entrega de la información;</w:t>
      </w:r>
    </w:p>
    <w:p w:rsidR="00000000" w:rsidDel="00000000" w:rsidP="00000000" w:rsidRDefault="00000000" w:rsidRPr="00000000" w14:paraId="0000008E">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 La falta de trámite a una solicitud;</w:t>
      </w:r>
    </w:p>
    <w:p w:rsidR="00000000" w:rsidDel="00000000" w:rsidP="00000000" w:rsidRDefault="00000000" w:rsidRPr="00000000" w14:paraId="0000008F">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XII. La negativa a permitir la consulta directa de la información;</w:t>
      </w:r>
    </w:p>
    <w:p w:rsidR="00000000" w:rsidDel="00000000" w:rsidP="00000000" w:rsidRDefault="00000000" w:rsidRPr="00000000" w14:paraId="00000090">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XIII. La falta, deficiencia o insuficiencia de la fundamentación y/o motivación en la respuesta; y</w:t>
      </w:r>
    </w:p>
    <w:p w:rsidR="00000000" w:rsidDel="00000000" w:rsidP="00000000" w:rsidRDefault="00000000" w:rsidRPr="00000000" w14:paraId="00000091">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XIV. La orientación a un trámite específico.</w:t>
      </w:r>
    </w:p>
    <w:p w:rsidR="00000000" w:rsidDel="00000000" w:rsidP="00000000" w:rsidRDefault="00000000" w:rsidRPr="00000000" w14:paraId="00000092">
      <w:pPr>
        <w:tabs>
          <w:tab w:val="left" w:pos="8222"/>
        </w:tabs>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000000" w:rsidDel="00000000" w:rsidP="00000000" w:rsidRDefault="00000000" w:rsidRPr="00000000" w14:paraId="0000009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así que dentro de dichas causales no se contempla el derecho de petición ejercido por un gobernado.</w:t>
      </w:r>
    </w:p>
    <w:p w:rsidR="00000000" w:rsidDel="00000000" w:rsidP="00000000" w:rsidRDefault="00000000" w:rsidRPr="00000000" w14:paraId="0000009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virtud, al no actualizarse ninguno de los supuestos aludidos, este Instituto no tiene atribuciones para pronunciarse respecto al pronunciamiento formulado por la parte</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Fonts w:ascii="Palatino Linotype" w:cs="Palatino Linotype" w:eastAsia="Palatino Linotype" w:hAnsi="Palatino Linotype"/>
          <w:rtl w:val="0"/>
        </w:rPr>
        <w:t xml:space="preserve">, máxime que se trata manifestaciones vertidas por el entonces solicitante que van encaminados a obtener una respuesta precisa por parte de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95">
      <w:pPr>
        <w:shd w:fill="ffffff" w:val="clea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Por otra parte se advierte que , de la confronta a la solicitud de información y el acto impugnado y las razones o motivos de inconformidad de la parte</w:t>
      </w:r>
      <w:r w:rsidDel="00000000" w:rsidR="00000000" w:rsidRPr="00000000">
        <w:rPr>
          <w:rFonts w:ascii="Palatino Linotype" w:cs="Palatino Linotype" w:eastAsia="Palatino Linotype" w:hAnsi="Palatino Linotype"/>
          <w:b w:val="1"/>
          <w:color w:val="000000"/>
          <w:rtl w:val="0"/>
        </w:rPr>
        <w:t xml:space="preserve"> RECURRENTE</w:t>
      </w:r>
      <w:r w:rsidDel="00000000" w:rsidR="00000000" w:rsidRPr="00000000">
        <w:rPr>
          <w:rFonts w:ascii="Palatino Linotype" w:cs="Palatino Linotype" w:eastAsia="Palatino Linotype" w:hAnsi="Palatino Linotype"/>
          <w:color w:val="000000"/>
          <w:rtl w:val="0"/>
        </w:rPr>
        <w:t xml:space="preserve">, constituyen en nuevos requerimientos de información, configurándose así lo que se conoce como </w:t>
      </w:r>
      <w:r w:rsidDel="00000000" w:rsidR="00000000" w:rsidRPr="00000000">
        <w:rPr>
          <w:rFonts w:ascii="Palatino Linotype" w:cs="Palatino Linotype" w:eastAsia="Palatino Linotype" w:hAnsi="Palatino Linotype"/>
          <w:i w:val="1"/>
          <w:color w:val="000000"/>
          <w:rtl w:val="0"/>
        </w:rPr>
        <w:t xml:space="preserve">Plus Petitio</w:t>
      </w:r>
      <w:r w:rsidDel="00000000" w:rsidR="00000000" w:rsidRPr="00000000">
        <w:rPr>
          <w:rFonts w:ascii="Palatino Linotype" w:cs="Palatino Linotype" w:eastAsia="Palatino Linotype" w:hAnsi="Palatino Linotype"/>
          <w:color w:val="000000"/>
          <w:rtl w:val="0"/>
        </w:rPr>
        <w:t xml:space="preserve">, 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el Recurrente amplíe su solicitud en el Recurso de Revisión, </w:t>
      </w:r>
      <w:r w:rsidDel="00000000" w:rsidR="00000000" w:rsidRPr="00000000">
        <w:rPr>
          <w:rFonts w:ascii="Palatino Linotype" w:cs="Palatino Linotype" w:eastAsia="Palatino Linotype" w:hAnsi="Palatino Linotype"/>
          <w:b w:val="1"/>
          <w:color w:val="000000"/>
          <w:u w:val="single"/>
          <w:rtl w:val="0"/>
        </w:rPr>
        <w:t xml:space="preserve">únicamente respecto de los nuevos contenidos; </w:t>
      </w:r>
      <w:r w:rsidDel="00000000" w:rsidR="00000000" w:rsidRPr="00000000">
        <w:rPr>
          <w:rFonts w:ascii="Palatino Linotype" w:cs="Palatino Linotype" w:eastAsia="Palatino Linotype" w:hAnsi="Palatino Linotype"/>
          <w:color w:val="000000"/>
          <w:rtl w:val="0"/>
        </w:rPr>
        <w:t xml:space="preserve">cuestión que tuvo lugar en el presente caso, pues la parte</w:t>
      </w:r>
      <w:r w:rsidDel="00000000" w:rsidR="00000000" w:rsidRPr="00000000">
        <w:rPr>
          <w:rFonts w:ascii="Palatino Linotype" w:cs="Palatino Linotype" w:eastAsia="Palatino Linotype" w:hAnsi="Palatino Linotype"/>
          <w:b w:val="1"/>
          <w:color w:val="000000"/>
          <w:rtl w:val="0"/>
        </w:rPr>
        <w:t xml:space="preserve"> RECURRENTE</w:t>
      </w:r>
      <w:r w:rsidDel="00000000" w:rsidR="00000000" w:rsidRPr="00000000">
        <w:rPr>
          <w:rFonts w:ascii="Palatino Linotype" w:cs="Palatino Linotype" w:eastAsia="Palatino Linotype" w:hAnsi="Palatino Linotype"/>
          <w:color w:val="000000"/>
          <w:rtl w:val="0"/>
        </w:rPr>
        <w:t xml:space="preserve"> formuló nuevos cuestionamientos, en los que solicitó información que no formó parte de su solicitud inicial, al señalar que “</w:t>
      </w:r>
      <w:r w:rsidDel="00000000" w:rsidR="00000000" w:rsidRPr="00000000">
        <w:rPr>
          <w:rFonts w:ascii="Palatino Linotype" w:cs="Palatino Linotype" w:eastAsia="Palatino Linotype" w:hAnsi="Palatino Linotype"/>
          <w:i w:val="1"/>
          <w:rtl w:val="0"/>
        </w:rPr>
        <w:t xml:space="preserve">la titular de la unidad de transparencia no orienta , ya que </w:t>
      </w:r>
      <w:r w:rsidDel="00000000" w:rsidR="00000000" w:rsidRPr="00000000">
        <w:rPr>
          <w:rFonts w:ascii="Palatino Linotype" w:cs="Palatino Linotype" w:eastAsia="Palatino Linotype" w:hAnsi="Palatino Linotype"/>
          <w:b w:val="1"/>
          <w:i w:val="1"/>
          <w:u w:val="single"/>
          <w:rtl w:val="0"/>
        </w:rPr>
        <w:t xml:space="preserve">quiero saber que oportunidades</w:t>
      </w:r>
      <w:r w:rsidDel="00000000" w:rsidR="00000000" w:rsidRPr="00000000">
        <w:rPr>
          <w:rFonts w:ascii="Palatino Linotype" w:cs="Palatino Linotype" w:eastAsia="Palatino Linotype" w:hAnsi="Palatino Linotype"/>
          <w:i w:val="1"/>
          <w:rtl w:val="0"/>
        </w:rPr>
        <w:t xml:space="preserve"> hay para los jovenes ddeportistas, </w:t>
      </w:r>
      <w:r w:rsidDel="00000000" w:rsidR="00000000" w:rsidRPr="00000000">
        <w:rPr>
          <w:rFonts w:ascii="Palatino Linotype" w:cs="Palatino Linotype" w:eastAsia="Palatino Linotype" w:hAnsi="Palatino Linotype"/>
          <w:b w:val="1"/>
          <w:i w:val="1"/>
          <w:u w:val="single"/>
          <w:rtl w:val="0"/>
        </w:rPr>
        <w:t xml:space="preserve">que programas , que talleres</w:t>
      </w:r>
      <w:r w:rsidDel="00000000" w:rsidR="00000000" w:rsidRPr="00000000">
        <w:rPr>
          <w:rFonts w:ascii="Palatino Linotype" w:cs="Palatino Linotype" w:eastAsia="Palatino Linotype" w:hAnsi="Palatino Linotype"/>
          <w:b w:val="1"/>
          <w:u w:val="single"/>
          <w:rtl w:val="0"/>
        </w:rPr>
        <w:t xml:space="preserve">”</w:t>
      </w:r>
      <w:r w:rsidDel="00000000" w:rsidR="00000000" w:rsidRPr="00000000">
        <w:rPr>
          <w:rFonts w:ascii="Palatino Linotype" w:cs="Palatino Linotype" w:eastAsia="Palatino Linotype" w:hAnsi="Palatino Linotype"/>
          <w:rtl w:val="0"/>
        </w:rPr>
        <w:t xml:space="preserve"> (Sic).</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este tenor, es posible determinar que para el caso que nos ocupa,</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los argumentos formulados como motivos o razones de inconformidad son una ampliación a la solicitud inicial y corresponden a nuevos requerimientos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este orden de ideas, una vez formulada su solicitud inicial,</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222222"/>
          <w:sz w:val="24"/>
          <w:szCs w:val="24"/>
          <w:u w:val="none"/>
          <w:shd w:fill="auto" w:val="clear"/>
          <w:vertAlign w:val="baseline"/>
          <w:rtl w:val="0"/>
        </w:rPr>
        <w:t xml:space="preserve">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567" w:right="6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222222"/>
          <w:sz w:val="22"/>
          <w:szCs w:val="22"/>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222222"/>
          <w:sz w:val="22"/>
          <w:szCs w:val="22"/>
          <w:u w:val="none"/>
          <w:shd w:fill="auto" w:val="clear"/>
          <w:vertAlign w:val="baseline"/>
          <w:rtl w:val="0"/>
        </w:rPr>
        <w:t xml:space="preserve">Es improcedente ampliar las solicitudes de acceso a información pública o datos personales</w:t>
      </w:r>
      <w:r w:rsidDel="00000000" w:rsidR="00000000" w:rsidRPr="00000000">
        <w:rPr>
          <w:rFonts w:ascii="Palatino Linotype" w:cs="Palatino Linotype" w:eastAsia="Palatino Linotype" w:hAnsi="Palatino Linotype"/>
          <w:b w:val="0"/>
          <w:i w:val="1"/>
          <w:smallCaps w:val="0"/>
          <w:strike w:val="0"/>
          <w:color w:val="222222"/>
          <w:sz w:val="22"/>
          <w:szCs w:val="22"/>
          <w:u w:val="none"/>
          <w:shd w:fill="auto" w:val="clear"/>
          <w:vertAlign w:val="baseline"/>
          <w:rtl w:val="0"/>
        </w:rPr>
        <w:t xml:space="preserve">,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sidDel="00000000" w:rsidR="00000000" w:rsidRPr="00000000">
        <w:rPr>
          <w:rtl w:val="0"/>
        </w:rPr>
      </w:r>
    </w:p>
    <w:p w:rsidR="00000000" w:rsidDel="00000000" w:rsidP="00000000" w:rsidRDefault="00000000" w:rsidRPr="00000000" w14:paraId="0000009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Consecuencialmente, se actualiza d</w:t>
      </w:r>
      <w:r w:rsidDel="00000000" w:rsidR="00000000" w:rsidRPr="00000000">
        <w:rPr>
          <w:rFonts w:ascii="Palatino Linotype" w:cs="Palatino Linotype" w:eastAsia="Palatino Linotype" w:hAnsi="Palatino Linotype"/>
          <w:rtl w:val="0"/>
        </w:rPr>
        <w:t xml:space="preserve">e igual manera </w:t>
      </w:r>
      <w:r w:rsidDel="00000000" w:rsidR="00000000" w:rsidRPr="00000000">
        <w:rPr>
          <w:rFonts w:ascii="Palatino Linotype" w:cs="Palatino Linotype" w:eastAsia="Palatino Linotype" w:hAnsi="Palatino Linotype"/>
          <w:color w:val="000000"/>
          <w:rtl w:val="0"/>
        </w:rPr>
        <w:t xml:space="preserve">el supuesto previsto en el artículo 192 fracción IV de la Ley de Transparencia y Acceso a la Información Pública del Estado de México y Municipios; el cual prevé el sobreseimiento del Recurso de Revisión, cuando una vez admitido, aparezca alguna causal de improcedencia; en este caso, corresponde a la ampliación a la solicitud inicial.</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01"/>
          <w:tab w:val="left" w:pos="1843"/>
        </w:tabs>
        <w:spacing w:after="240" w:before="240" w:line="360" w:lineRule="auto"/>
        <w:ind w:left="0" w:right="0"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del análisis efectuado al expediente electrónico, se advierte que se actualizan las hipótesis prevista en el artículo 191 fracciones III y VII de la Ley de Transparencia y Acceso a la Información Pública del Estado de México y Municipios en vigor, que a la letra dice:</w:t>
      </w:r>
      <w:r w:rsidDel="00000000" w:rsidR="00000000" w:rsidRPr="00000000">
        <w:rPr>
          <w:rtl w:val="0"/>
        </w:rPr>
      </w:r>
    </w:p>
    <w:p w:rsidR="00000000" w:rsidDel="00000000" w:rsidP="00000000" w:rsidRDefault="00000000" w:rsidRPr="00000000" w14:paraId="0000009C">
      <w:pPr>
        <w:spacing w:after="240" w:before="240" w:line="276" w:lineRule="auto"/>
        <w:ind w:left="709"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191</w:t>
      </w:r>
      <w:r w:rsidDel="00000000" w:rsidR="00000000" w:rsidRPr="00000000">
        <w:rPr>
          <w:rFonts w:ascii="Palatino Linotype" w:cs="Palatino Linotype" w:eastAsia="Palatino Linotype" w:hAnsi="Palatino Linotype"/>
          <w:i w:val="1"/>
          <w:sz w:val="22"/>
          <w:szCs w:val="22"/>
          <w:rtl w:val="0"/>
        </w:rPr>
        <w:t xml:space="preserve">. El recurso será desechado por improcedente cuando:</w:t>
      </w:r>
    </w:p>
    <w:p w:rsidR="00000000" w:rsidDel="00000000" w:rsidP="00000000" w:rsidRDefault="00000000" w:rsidRPr="00000000" w14:paraId="0000009D">
      <w:pPr>
        <w:spacing w:after="240" w:before="240" w:line="276" w:lineRule="auto"/>
        <w:ind w:left="709"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tab/>
        <w:t xml:space="preserve">No actualice alguno de los supuestos previstos en la presente Ley</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E">
      <w:pPr>
        <w:spacing w:after="240" w:before="240" w:line="276" w:lineRule="auto"/>
        <w:ind w:left="709"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9F">
      <w:pPr>
        <w:spacing w:after="240" w:before="240" w:line="276" w:lineRule="auto"/>
        <w:ind w:left="709" w:right="709"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El recurrente amplíe su solicitud en el recurso de revisión, únicamente respecto de los nuevos contenidos.”</w:t>
      </w:r>
    </w:p>
    <w:p w:rsidR="00000000" w:rsidDel="00000000" w:rsidP="00000000" w:rsidRDefault="00000000" w:rsidRPr="00000000" w14:paraId="000000A0">
      <w:pPr>
        <w:spacing w:after="240" w:before="240" w:line="276" w:lineRule="auto"/>
        <w:ind w:left="709" w:right="70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(Énfasis añadido)</w:t>
      </w:r>
    </w:p>
    <w:p w:rsidR="00000000" w:rsidDel="00000000" w:rsidP="00000000" w:rsidRDefault="00000000" w:rsidRPr="00000000" w14:paraId="000000A1">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adición a lo anterior, y en correlación con el ordinal que antecede, conviene traer a contexto el diverso 192 en su fracción IV, mismo que refiere que una vez admitido el recurso de revisión y se desprende alguna causal de improcedencia, resulta procedente el decretar el sobreseimiento del medio de impugnación de que se trate.</w:t>
      </w:r>
    </w:p>
    <w:p w:rsidR="00000000" w:rsidDel="00000000" w:rsidP="00000000" w:rsidRDefault="00000000" w:rsidRPr="00000000" w14:paraId="000000A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el sobreseimiento un acto que da por terminado el procedimiento administrativo de impugnación sin resolver el fondo de la cuestión planteada, por presentarse causas que impiden a la autoridad referirse a lo sustancial de lo planteado por el hoy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los efectos del sobreseimiento son los dar por concluido el recurso administrativo sin entrar al estudio de fondo del asunto de que se trate; lo anterior con apoyo en el criterio del Poder Judicial de la Federación con rubro:</w:t>
      </w:r>
    </w:p>
    <w:p w:rsidR="00000000" w:rsidDel="00000000" w:rsidP="00000000" w:rsidRDefault="00000000" w:rsidRPr="00000000" w14:paraId="000000A3">
      <w:pPr>
        <w:spacing w:after="240" w:before="240" w:line="276" w:lineRule="auto"/>
        <w:ind w:left="567" w:right="567"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SOBRESEIMIENTO, NO PERMITE ENTRAR AL ESTUDIO DE LAS CUESTIONES DE FONDO</w:t>
      </w:r>
      <w:r w:rsidDel="00000000" w:rsidR="00000000" w:rsidRPr="00000000">
        <w:rPr>
          <w:rtl w:val="0"/>
        </w:rPr>
      </w:r>
    </w:p>
    <w:p w:rsidR="00000000" w:rsidDel="00000000" w:rsidP="00000000" w:rsidRDefault="00000000" w:rsidRPr="00000000" w14:paraId="000000A4">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Localización: 213609. II.2o.183 K. Tribunales Colegiados de Circuito. Octava Época. Semanario Judicial de la Federación. Tomo XIII, Febrero de 1994, Pág. 420</w:t>
      </w:r>
    </w:p>
    <w:p w:rsidR="00000000" w:rsidDel="00000000" w:rsidP="00000000" w:rsidRDefault="00000000" w:rsidRPr="00000000" w14:paraId="000000A5">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00000" w:rsidDel="00000000" w:rsidP="00000000" w:rsidRDefault="00000000" w:rsidRPr="00000000" w14:paraId="000000A6">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Cabe destacar que la decisión de este Órgano Colegiado de sobreseer el recurso de revisión no implica una limitación o negación a la justicia, según lo ha establecido el Poder Judicial Federal, en el criterio que es aplicable por analogía, con rubro:</w:t>
      </w:r>
    </w:p>
    <w:p w:rsidR="00000000" w:rsidDel="00000000" w:rsidP="00000000" w:rsidRDefault="00000000" w:rsidRPr="00000000" w14:paraId="000000A8">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“DESECHAMIENTO O SOBRESEIMIENTO EN EL JUICIO DE AMPARO. NO IMPLICA DENEGACIÓN DE JUSTICIA NI GENERA INSEGURIDAD JURÍDICA”</w:t>
      </w:r>
    </w:p>
    <w:p w:rsidR="00000000" w:rsidDel="00000000" w:rsidP="00000000" w:rsidRDefault="00000000" w:rsidRPr="00000000" w14:paraId="000000A9">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Del="00000000" w:rsidR="00000000" w:rsidRPr="00000000">
        <w:rPr>
          <w:rFonts w:ascii="Palatino Linotype" w:cs="Palatino Linotype" w:eastAsia="Palatino Linotype" w:hAnsi="Palatino Linotype"/>
          <w:color w:val="000000"/>
          <w:rtl w:val="0"/>
        </w:rPr>
        <w:tab/>
      </w:r>
      <w:r w:rsidDel="00000000" w:rsidR="00000000" w:rsidRPr="00000000">
        <w:rPr>
          <w:rtl w:val="0"/>
        </w:rPr>
      </w:r>
    </w:p>
    <w:p w:rsidR="00000000" w:rsidDel="00000000" w:rsidP="00000000" w:rsidRDefault="00000000" w:rsidRPr="00000000" w14:paraId="000000AA">
      <w:pPr>
        <w:widowControl w:val="0"/>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360" w:lineRule="auto"/>
        <w:ind w:left="1080" w:right="0" w:hanging="72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RESUELVE</w:t>
      </w:r>
    </w:p>
    <w:p w:rsidR="00000000" w:rsidDel="00000000" w:rsidP="00000000" w:rsidRDefault="00000000" w:rsidRPr="00000000" w14:paraId="000000AC">
      <w:pPr>
        <w:spacing w:after="240" w:before="240" w:line="360" w:lineRule="auto"/>
        <w:jc w:val="both"/>
        <w:rPr>
          <w:rFonts w:ascii="Palatino Linotype" w:cs="Palatino Linotype" w:eastAsia="Palatino Linotype" w:hAnsi="Palatino Linotype"/>
          <w:color w:val="ff0000"/>
        </w:rPr>
      </w:pPr>
      <w:bookmarkStart w:colFirst="0" w:colLast="0" w:name="_heading=h.1fob9te" w:id="1"/>
      <w:bookmarkEnd w:id="1"/>
      <w:r w:rsidDel="00000000" w:rsidR="00000000" w:rsidRPr="00000000">
        <w:rPr>
          <w:rFonts w:ascii="Palatino Linotype" w:cs="Palatino Linotype" w:eastAsia="Palatino Linotype" w:hAnsi="Palatino Linotype"/>
          <w:b w:val="1"/>
          <w:highlight w:val="white"/>
          <w:rtl w:val="0"/>
        </w:rPr>
        <w:t xml:space="preserve">PRIMERO</w:t>
      </w:r>
      <w:r w:rsidDel="00000000" w:rsidR="00000000" w:rsidRPr="00000000">
        <w:rPr>
          <w:rFonts w:ascii="Palatino Linotype" w:cs="Palatino Linotype" w:eastAsia="Palatino Linotype" w:hAnsi="Palatino Linotype"/>
          <w:highlight w:val="white"/>
          <w:rtl w:val="0"/>
        </w:rPr>
        <w:t xml:space="preserve">. Se </w:t>
      </w:r>
      <w:r w:rsidDel="00000000" w:rsidR="00000000" w:rsidRPr="00000000">
        <w:rPr>
          <w:rFonts w:ascii="Palatino Linotype" w:cs="Palatino Linotype" w:eastAsia="Palatino Linotype" w:hAnsi="Palatino Linotype"/>
          <w:b w:val="1"/>
          <w:highlight w:val="white"/>
          <w:rtl w:val="0"/>
        </w:rPr>
        <w:t xml:space="preserve">SOBRESEE</w:t>
      </w:r>
      <w:r w:rsidDel="00000000" w:rsidR="00000000" w:rsidRPr="00000000">
        <w:rPr>
          <w:rFonts w:ascii="Palatino Linotype" w:cs="Palatino Linotype" w:eastAsia="Palatino Linotype" w:hAnsi="Palatino Linotype"/>
          <w:highlight w:val="white"/>
          <w:rtl w:val="0"/>
        </w:rPr>
        <w:t xml:space="preserve"> el </w:t>
      </w:r>
      <w:r w:rsidDel="00000000" w:rsidR="00000000" w:rsidRPr="00000000">
        <w:rPr>
          <w:rFonts w:ascii="Palatino Linotype" w:cs="Palatino Linotype" w:eastAsia="Palatino Linotype" w:hAnsi="Palatino Linotype"/>
          <w:color w:val="000000"/>
          <w:rtl w:val="0"/>
        </w:rPr>
        <w:t xml:space="preserve">recurso de revisión número </w:t>
      </w:r>
      <w:r w:rsidDel="00000000" w:rsidR="00000000" w:rsidRPr="00000000">
        <w:rPr>
          <w:rFonts w:ascii="Palatino Linotype" w:cs="Palatino Linotype" w:eastAsia="Palatino Linotype" w:hAnsi="Palatino Linotype"/>
          <w:b w:val="1"/>
          <w:color w:val="000000"/>
          <w:rtl w:val="0"/>
        </w:rPr>
        <w:t xml:space="preserve">00819/INFOEM/IP/RR/2022</w:t>
      </w:r>
      <w:r w:rsidDel="00000000" w:rsidR="00000000" w:rsidRPr="00000000">
        <w:rPr>
          <w:rFonts w:ascii="Palatino Linotype" w:cs="Palatino Linotype" w:eastAsia="Palatino Linotype" w:hAnsi="Palatino Linotype"/>
          <w:color w:val="000000"/>
          <w:rtl w:val="0"/>
        </w:rPr>
        <w:t xml:space="preserve">, porque una vez admitido </w:t>
      </w:r>
      <w:r w:rsidDel="00000000" w:rsidR="00000000" w:rsidRPr="00000000">
        <w:rPr>
          <w:rFonts w:ascii="Palatino Linotype" w:cs="Palatino Linotype" w:eastAsia="Palatino Linotype" w:hAnsi="Palatino Linotype"/>
          <w:rtl w:val="0"/>
        </w:rPr>
        <w:t xml:space="preserve">se actualizaron las</w:t>
      </w:r>
      <w:r w:rsidDel="00000000" w:rsidR="00000000" w:rsidRPr="00000000">
        <w:rPr>
          <w:rFonts w:ascii="Palatino Linotype" w:cs="Palatino Linotype" w:eastAsia="Palatino Linotype" w:hAnsi="Palatino Linotype"/>
          <w:color w:val="000000"/>
          <w:rtl w:val="0"/>
        </w:rPr>
        <w:t xml:space="preserve"> causales de improcedencia previstas en </w:t>
      </w:r>
      <w:r w:rsidDel="00000000" w:rsidR="00000000" w:rsidRPr="00000000">
        <w:rPr>
          <w:rFonts w:ascii="Palatino Linotype" w:cs="Palatino Linotype" w:eastAsia="Palatino Linotype" w:hAnsi="Palatino Linotype"/>
          <w:rtl w:val="0"/>
        </w:rPr>
        <w:t xml:space="preserve">las fracciones III y VII del artículo 191 de la Ley de Transparencia vigente en la entidad, </w:t>
      </w:r>
      <w:r w:rsidDel="00000000" w:rsidR="00000000" w:rsidRPr="00000000">
        <w:rPr>
          <w:rFonts w:ascii="Palatino Linotype" w:cs="Palatino Linotype" w:eastAsia="Palatino Linotype" w:hAnsi="Palatino Linotype"/>
          <w:color w:val="000000"/>
          <w:rtl w:val="0"/>
        </w:rPr>
        <w:t xml:space="preserve">que lo dejó sin materia en términos del Considerando </w:t>
      </w:r>
      <w:r w:rsidDel="00000000" w:rsidR="00000000" w:rsidRPr="00000000">
        <w:rPr>
          <w:rFonts w:ascii="Palatino Linotype" w:cs="Palatino Linotype" w:eastAsia="Palatino Linotype" w:hAnsi="Palatino Linotype"/>
          <w:b w:val="1"/>
          <w:color w:val="000000"/>
          <w:rtl w:val="0"/>
        </w:rPr>
        <w:t xml:space="preserve">Tercero</w:t>
      </w:r>
      <w:r w:rsidDel="00000000" w:rsidR="00000000" w:rsidRPr="00000000">
        <w:rPr>
          <w:rFonts w:ascii="Palatino Linotype" w:cs="Palatino Linotype" w:eastAsia="Palatino Linotype" w:hAnsi="Palatino Linotype"/>
          <w:color w:val="000000"/>
          <w:rtl w:val="0"/>
        </w:rPr>
        <w:t xml:space="preserve"> de la presente resolución.</w:t>
      </w:r>
      <w:r w:rsidDel="00000000" w:rsidR="00000000" w:rsidRPr="00000000">
        <w:rPr>
          <w:rtl w:val="0"/>
        </w:rPr>
      </w:r>
    </w:p>
    <w:p w:rsidR="00000000" w:rsidDel="00000000" w:rsidP="00000000" w:rsidRDefault="00000000" w:rsidRPr="00000000" w14:paraId="000000AD">
      <w:pPr>
        <w:spacing w:after="240" w:before="240" w:line="360" w:lineRule="auto"/>
        <w:jc w:val="both"/>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b w:val="1"/>
          <w:highlight w:val="white"/>
          <w:rtl w:val="0"/>
        </w:rPr>
        <w:t xml:space="preserve">SEGUNDO. Notifíquese </w:t>
      </w:r>
      <w:r w:rsidDel="00000000" w:rsidR="00000000" w:rsidRPr="00000000">
        <w:rPr>
          <w:color w:val="000000"/>
          <w:rtl w:val="0"/>
        </w:rPr>
        <w:t xml:space="preserve">vía </w:t>
      </w:r>
      <w:r w:rsidDel="00000000" w:rsidR="00000000" w:rsidRPr="00000000">
        <w:rPr>
          <w:b w:val="1"/>
          <w:color w:val="000000"/>
          <w:rtl w:val="0"/>
        </w:rPr>
        <w:t xml:space="preserve">SAIMEX</w:t>
      </w:r>
      <w:r w:rsidDel="00000000" w:rsidR="00000000" w:rsidRPr="00000000">
        <w:rPr>
          <w:color w:val="000000"/>
          <w:rtl w:val="0"/>
        </w:rPr>
        <w:t xml:space="preserve">, </w:t>
      </w:r>
      <w:r w:rsidDel="00000000" w:rsidR="00000000" w:rsidRPr="00000000">
        <w:rPr>
          <w:rFonts w:ascii="Palatino Linotype" w:cs="Palatino Linotype" w:eastAsia="Palatino Linotype" w:hAnsi="Palatino Linotype"/>
          <w:color w:val="000000"/>
          <w:rtl w:val="0"/>
        </w:rPr>
        <w:t xml:space="preserve">a la Titular de la Unidad de Transparencia del</w:t>
      </w:r>
      <w:r w:rsidDel="00000000" w:rsidR="00000000" w:rsidRPr="00000000">
        <w:rPr>
          <w:color w:val="000000"/>
          <w:rtl w:val="0"/>
        </w:rPr>
        <w:t xml:space="preserve"> </w:t>
      </w:r>
      <w:r w:rsidDel="00000000" w:rsidR="00000000" w:rsidRPr="00000000">
        <w:rPr>
          <w:rFonts w:ascii="Palatino Linotype" w:cs="Palatino Linotype" w:eastAsia="Palatino Linotype" w:hAnsi="Palatino Linotype"/>
          <w:b w:val="1"/>
          <w:color w:val="000000"/>
          <w:rtl w:val="0"/>
        </w:rPr>
        <w:t xml:space="preserve">SUJETO OBLIGADO</w:t>
      </w:r>
      <w:r w:rsidDel="00000000" w:rsidR="00000000" w:rsidRPr="00000000">
        <w:rPr>
          <w:rFonts w:ascii="Palatino Linotype" w:cs="Palatino Linotype" w:eastAsia="Palatino Linotype" w:hAnsi="Palatino Linotype"/>
          <w:color w:val="000000"/>
          <w:rtl w:val="0"/>
        </w:rPr>
        <w:t xml:space="preserve"> la presente resolución, para su conocimiento. </w:t>
      </w:r>
      <w:r w:rsidDel="00000000" w:rsidR="00000000" w:rsidRPr="00000000">
        <w:rPr>
          <w:rtl w:val="0"/>
        </w:rPr>
      </w:r>
    </w:p>
    <w:p w:rsidR="00000000" w:rsidDel="00000000" w:rsidP="00000000" w:rsidRDefault="00000000" w:rsidRPr="00000000" w14:paraId="000000A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a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 través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del Sistema de Acceso a la Información Mexiquense (SAIMEX), </w:t>
      </w:r>
      <w:r w:rsidDel="00000000" w:rsidR="00000000" w:rsidRPr="00000000">
        <w:rPr>
          <w:rFonts w:ascii="Palatino Linotype" w:cs="Palatino Linotype" w:eastAsia="Palatino Linotype" w:hAnsi="Palatino Linotype"/>
          <w:color w:val="000000"/>
          <w:rtl w:val="0"/>
        </w:rPr>
        <w:t xml:space="preserve">la presente resolución</w:t>
      </w:r>
      <w:r w:rsidDel="00000000" w:rsidR="00000000" w:rsidRPr="00000000">
        <w:rPr>
          <w:rFonts w:ascii="Palatino Linotype" w:cs="Palatino Linotype" w:eastAsia="Palatino Linotype" w:hAnsi="Palatino Linotype"/>
          <w:rtl w:val="0"/>
        </w:rPr>
        <w:t xml:space="preserve">, así como que de conformidad con lo establecido en el artículo 196 de la Ley de Transparencia y Acceso a la Información Pública del Estado de México y Municipios, podrá impugnarla en la vía Juicio de Amparo en los términos de las leyes aplicables.</w:t>
      </w:r>
    </w:p>
    <w:p w:rsidR="00000000" w:rsidDel="00000000" w:rsidP="00000000" w:rsidRDefault="00000000" w:rsidRPr="00000000" w14:paraId="000000AF">
      <w:pPr>
        <w:spacing w:after="240" w:before="240" w:line="360" w:lineRule="auto"/>
        <w:jc w:val="both"/>
        <w:rPr>
          <w:rFonts w:ascii="Palatino Linotype" w:cs="Palatino Linotype" w:eastAsia="Palatino Linotype" w:hAnsi="Palatino Linotype"/>
        </w:rPr>
        <w:sectPr>
          <w:headerReference r:id="rId7" w:type="default"/>
          <w:headerReference r:id="rId8" w:type="first"/>
          <w:footerReference r:id="rId9" w:type="default"/>
          <w:footerReference r:id="rId10" w:type="first"/>
          <w:pgSz w:h="15840" w:w="12240" w:orient="portrait"/>
          <w:pgMar w:bottom="1701" w:top="2041" w:left="1701" w:right="1701" w:header="709" w:footer="709"/>
          <w:pgNumType w:start="1"/>
          <w:titlePg w:val="1"/>
        </w:sectPr>
      </w:pPr>
      <w:r w:rsidDel="00000000" w:rsidR="00000000" w:rsidRPr="00000000">
        <w:rPr>
          <w:rFonts w:ascii="Palatino Linotype" w:cs="Palatino Linotype" w:eastAsia="Palatino Linotype" w:hAnsi="Palatino Linotype"/>
          <w:color w:val="222222"/>
          <w:highlight w:val="whit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w:t>
      </w:r>
      <w:r w:rsidDel="00000000" w:rsidR="00000000" w:rsidRPr="00000000">
        <w:rPr>
          <w:rFonts w:ascii="Palatino Linotype" w:cs="Palatino Linotype" w:eastAsia="Palatino Linotype" w:hAnsi="Palatino Linotype"/>
          <w:color w:val="222222"/>
          <w:rtl w:val="0"/>
        </w:rPr>
        <w:t xml:space="preserve">TREINTA</w:t>
      </w:r>
      <w:r w:rsidDel="00000000" w:rsidR="00000000" w:rsidRPr="00000000">
        <w:rPr>
          <w:rFonts w:ascii="Palatino Linotype" w:cs="Palatino Linotype" w:eastAsia="Palatino Linotype" w:hAnsi="Palatino Linotype"/>
          <w:rtl w:val="0"/>
        </w:rPr>
        <w:t xml:space="preserve"> DE MARZO DEL DOS MIL VEINTIDÓS, ANTE EL SECRETARIO TÉCNICO DEL PLENO ALEXIS TAPIA RAMÍREZ.</w:t>
      </w:r>
    </w:p>
    <w:p w:rsidR="00000000" w:rsidDel="00000000" w:rsidP="00000000" w:rsidRDefault="00000000" w:rsidRPr="00000000" w14:paraId="000000B0">
      <w:pPr>
        <w:spacing w:after="240" w:before="240" w:line="360" w:lineRule="auto"/>
        <w:jc w:val="both"/>
        <w:rPr>
          <w:rFonts w:ascii="Palatino Linotype" w:cs="Palatino Linotype" w:eastAsia="Palatino Linotype" w:hAnsi="Palatino Linotype"/>
        </w:rPr>
      </w:pPr>
      <w:r w:rsidDel="00000000" w:rsidR="00000000" w:rsidRPr="00000000">
        <w:rPr>
          <w:rtl w:val="0"/>
        </w:rPr>
      </w:r>
    </w:p>
    <w:sectPr>
      <w:headerReference r:id="rId11" w:type="first"/>
      <w:type w:val="nextPage"/>
      <w:pgSz w:h="15840" w:w="12240" w:orient="portrait"/>
      <w:pgMar w:bottom="1701" w:top="2041" w:left="1701" w:right="170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pos="4252"/>
        <w:tab w:val="right"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pos="4252"/>
        <w:tab w:val="right" w:pos="8504"/>
      </w:tabs>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pos="4252"/>
        <w:tab w:val="right" w:pos="8504"/>
      </w:tabs>
      <w:ind w:firstLine="708"/>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252"/>
        <w:tab w:val="right" w:pos="8504"/>
      </w:tabs>
      <w:jc w:val="both"/>
      <w:rPr>
        <w:rFonts w:ascii="Calibri" w:cs="Calibri" w:eastAsia="Calibri" w:hAnsi="Calibri"/>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-846157</wp:posOffset>
          </wp:positionH>
          <wp:positionV relativeFrom="paragraph">
            <wp:posOffset>-171228</wp:posOffset>
          </wp:positionV>
          <wp:extent cx="7809876" cy="10165823"/>
          <wp:effectExtent b="0" l="0" r="0" t="0"/>
          <wp:wrapNone/>
          <wp:docPr id="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76" cy="10165823"/>
                  </a:xfrm>
                  <a:prstGeom prst="rect"/>
                  <a:ln/>
                </pic:spPr>
              </pic:pic>
            </a:graphicData>
          </a:graphic>
        </wp:anchor>
      </w:drawing>
    </w:r>
  </w:p>
  <w:tbl>
    <w:tblPr>
      <w:tblStyle w:val="Table1"/>
      <w:tblW w:w="5670.0" w:type="dxa"/>
      <w:jc w:val="left"/>
      <w:tblInd w:w="3119.0" w:type="dxa"/>
      <w:tblLayout w:type="fixed"/>
      <w:tblLook w:val="0400"/>
    </w:tblPr>
    <w:tblGrid>
      <w:gridCol w:w="2551"/>
      <w:gridCol w:w="3119"/>
      <w:tblGridChange w:id="0">
        <w:tblGrid>
          <w:gridCol w:w="2551"/>
          <w:gridCol w:w="3119"/>
        </w:tblGrid>
      </w:tblGridChange>
    </w:tblGrid>
    <w:tr>
      <w:trPr>
        <w:cantSplit w:val="0"/>
        <w:tblHeader w:val="0"/>
      </w:trPr>
      <w:tc>
        <w:tcPr>
          <w:vAlign w:val="center"/>
        </w:tcPr>
        <w:p w:rsidR="00000000" w:rsidDel="00000000" w:rsidP="00000000" w:rsidRDefault="00000000" w:rsidRPr="00000000" w14:paraId="000000B2">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B3">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00819/INFOEM/IP/RR/2022. </w:t>
          </w:r>
        </w:p>
      </w:tc>
    </w:tr>
    <w:tr>
      <w:trPr>
        <w:cantSplit w:val="0"/>
        <w:tblHeader w:val="0"/>
      </w:trPr>
      <w:tc>
        <w:tcPr>
          <w:vAlign w:val="center"/>
        </w:tcPr>
        <w:p w:rsidR="00000000" w:rsidDel="00000000" w:rsidP="00000000" w:rsidRDefault="00000000" w:rsidRPr="00000000" w14:paraId="000000B4">
          <w:pPr>
            <w:ind w:left="35" w:hanging="35"/>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vAlign w:val="center"/>
        </w:tcPr>
        <w:p w:rsidR="00000000" w:rsidDel="00000000" w:rsidP="00000000" w:rsidRDefault="00000000" w:rsidRPr="00000000" w14:paraId="000000B5">
          <w:pPr>
            <w:jc w:val="both"/>
            <w:rPr>
              <w:rFonts w:ascii="Palatino Linotype" w:cs="Palatino Linotype" w:eastAsia="Palatino Linotype" w:hAnsi="Palatino Linotype"/>
              <w:b w:val="1"/>
              <w:sz w:val="22"/>
              <w:szCs w:val="22"/>
            </w:rPr>
          </w:pPr>
          <w:r w:rsidDel="00000000" w:rsidR="00000000" w:rsidRPr="00000000">
            <w:rPr>
              <w:rtl w:val="0"/>
            </w:rPr>
          </w:r>
        </w:p>
      </w:tc>
    </w:tr>
    <w:tr>
      <w:trPr>
        <w:cantSplit w:val="0"/>
        <w:trHeight w:val="228" w:hRule="atLeast"/>
        <w:tblHeader w:val="0"/>
      </w:trPr>
      <w:tc>
        <w:tcPr>
          <w:vAlign w:val="center"/>
        </w:tcPr>
        <w:p w:rsidR="00000000" w:rsidDel="00000000" w:rsidP="00000000" w:rsidRDefault="00000000" w:rsidRPr="00000000" w14:paraId="000000B6">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0B7">
          <w:pPr>
            <w:ind w:right="-533"/>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Teoloyucan</w:t>
          </w:r>
        </w:p>
      </w:tc>
    </w:tr>
    <w:tr>
      <w:trPr>
        <w:cantSplit w:val="0"/>
        <w:trHeight w:val="255" w:hRule="atLeast"/>
        <w:tblHeader w:val="0"/>
      </w:trPr>
      <w:tc>
        <w:tcPr>
          <w:vAlign w:val="center"/>
        </w:tcPr>
        <w:p w:rsidR="00000000" w:rsidDel="00000000" w:rsidP="00000000" w:rsidRDefault="00000000" w:rsidRPr="00000000" w14:paraId="000000B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0B9">
          <w:pPr>
            <w:ind w:right="-533"/>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tbl>
    <w:tblPr>
      <w:tblStyle w:val="Table2"/>
      <w:tblW w:w="5528.0" w:type="dxa"/>
      <w:jc w:val="left"/>
      <w:tblInd w:w="3261.0" w:type="dxa"/>
      <w:tblLayout w:type="fixed"/>
      <w:tblLook w:val="0400"/>
    </w:tblPr>
    <w:tblGrid>
      <w:gridCol w:w="2551"/>
      <w:gridCol w:w="2977"/>
      <w:tblGridChange w:id="0">
        <w:tblGrid>
          <w:gridCol w:w="2551"/>
          <w:gridCol w:w="2977"/>
        </w:tblGrid>
      </w:tblGridChange>
    </w:tblGrid>
    <w:tr>
      <w:trPr>
        <w:cantSplit w:val="0"/>
        <w:tblHeader w:val="0"/>
      </w:trPr>
      <w:tc>
        <w:tcPr>
          <w:vAlign w:val="center"/>
        </w:tcPr>
        <w:p w:rsidR="00000000" w:rsidDel="00000000" w:rsidP="00000000" w:rsidRDefault="00000000" w:rsidRPr="00000000" w14:paraId="000000B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BD">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00819/INFOEM/IP/RR/2022</w:t>
          </w:r>
        </w:p>
      </w:tc>
    </w:tr>
    <w:tr>
      <w:trPr>
        <w:cantSplit w:val="0"/>
        <w:trHeight w:val="228" w:hRule="atLeast"/>
        <w:tblHeader w:val="0"/>
      </w:trPr>
      <w:tc>
        <w:tcPr>
          <w:vAlign w:val="center"/>
        </w:tcPr>
        <w:p w:rsidR="00000000" w:rsidDel="00000000" w:rsidP="00000000" w:rsidRDefault="00000000" w:rsidRPr="00000000" w14:paraId="000000B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vAlign w:val="center"/>
        </w:tcPr>
        <w:p w:rsidR="00000000" w:rsidDel="00000000" w:rsidP="00000000" w:rsidRDefault="00000000" w:rsidRPr="00000000" w14:paraId="000000BF">
          <w:pPr>
            <w:ind w:right="27"/>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Teoloyucan.</w:t>
          </w:r>
        </w:p>
      </w:tc>
    </w:tr>
    <w:tr>
      <w:trPr>
        <w:cantSplit w:val="0"/>
        <w:tblHeader w:val="0"/>
      </w:trPr>
      <w:tc>
        <w:tcPr>
          <w:vAlign w:val="center"/>
        </w:tcPr>
        <w:p w:rsidR="00000000" w:rsidDel="00000000" w:rsidP="00000000" w:rsidRDefault="00000000" w:rsidRPr="00000000" w14:paraId="000000C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0C1">
          <w:pPr>
            <w:ind w:right="-533"/>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pos="4252"/>
        <w:tab w:val="right" w:pos="8504"/>
        <w:tab w:val="left" w:pos="2326"/>
      </w:tabs>
      <w:rPr>
        <w:rFonts w:ascii="Calibri" w:cs="Calibri" w:eastAsia="Calibri" w:hAnsi="Calibri"/>
        <w:color w:val="000000"/>
      </w:rPr>
    </w:pPr>
    <w:r w:rsidDel="00000000" w:rsidR="00000000" w:rsidRPr="00000000">
      <w:rPr>
        <w:rFonts w:ascii="Calibri" w:cs="Calibri" w:eastAsia="Calibri" w:hAnsi="Calibri"/>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-695767</wp:posOffset>
          </wp:positionH>
          <wp:positionV relativeFrom="paragraph">
            <wp:posOffset>-1200942</wp:posOffset>
          </wp:positionV>
          <wp:extent cx="7809876" cy="10165823"/>
          <wp:effectExtent b="0" l="0" r="0" t="0"/>
          <wp:wrapNone/>
          <wp:docPr id="4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76" cy="1016582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pos="4252"/>
        <w:tab w:val="right" w:pos="8504"/>
      </w:tabs>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797" w:hanging="720"/>
      </w:pPr>
      <w:rPr/>
    </w:lvl>
    <w:lvl w:ilvl="1">
      <w:start w:val="1"/>
      <w:numFmt w:val="lowerLetter"/>
      <w:lvlText w:val="%2."/>
      <w:lvlJc w:val="left"/>
      <w:pPr>
        <w:ind w:left="2157" w:hanging="360"/>
      </w:pPr>
      <w:rPr/>
    </w:lvl>
    <w:lvl w:ilvl="2">
      <w:start w:val="1"/>
      <w:numFmt w:val="lowerRoman"/>
      <w:lvlText w:val="%3."/>
      <w:lvlJc w:val="right"/>
      <w:pPr>
        <w:ind w:left="2877" w:hanging="180"/>
      </w:pPr>
      <w:rPr/>
    </w:lvl>
    <w:lvl w:ilvl="3">
      <w:start w:val="1"/>
      <w:numFmt w:val="decimal"/>
      <w:lvlText w:val="%4."/>
      <w:lvlJc w:val="left"/>
      <w:pPr>
        <w:ind w:left="3597" w:hanging="360"/>
      </w:pPr>
      <w:rPr/>
    </w:lvl>
    <w:lvl w:ilvl="4">
      <w:start w:val="1"/>
      <w:numFmt w:val="lowerLetter"/>
      <w:lvlText w:val="%5."/>
      <w:lvlJc w:val="left"/>
      <w:pPr>
        <w:ind w:left="4317" w:hanging="360"/>
      </w:pPr>
      <w:rPr/>
    </w:lvl>
    <w:lvl w:ilvl="5">
      <w:start w:val="1"/>
      <w:numFmt w:val="lowerRoman"/>
      <w:lvlText w:val="%6."/>
      <w:lvlJc w:val="right"/>
      <w:pPr>
        <w:ind w:left="5037" w:hanging="180"/>
      </w:pPr>
      <w:rPr/>
    </w:lvl>
    <w:lvl w:ilvl="6">
      <w:start w:val="1"/>
      <w:numFmt w:val="decimal"/>
      <w:lvlText w:val="%7."/>
      <w:lvlJc w:val="left"/>
      <w:pPr>
        <w:ind w:left="5757" w:hanging="360"/>
      </w:pPr>
      <w:rPr/>
    </w:lvl>
    <w:lvl w:ilvl="7">
      <w:start w:val="1"/>
      <w:numFmt w:val="lowerLetter"/>
      <w:lvlText w:val="%8."/>
      <w:lvlJc w:val="left"/>
      <w:pPr>
        <w:ind w:left="6477" w:hanging="360"/>
      </w:pPr>
      <w:rPr/>
    </w:lvl>
    <w:lvl w:ilvl="8">
      <w:start w:val="1"/>
      <w:numFmt w:val="lowerRoman"/>
      <w:lvlText w:val="%9."/>
      <w:lvlJc w:val="right"/>
      <w:pPr>
        <w:ind w:left="7197"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A5941"/>
    <w:rPr>
      <w:lang w:eastAsia="es-ES"/>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link w:val="Ttulo3Car"/>
    <w:uiPriority w:val="9"/>
    <w:qFormat w:val="1"/>
    <w:rsid w:val="002D2EAC"/>
    <w:pPr>
      <w:spacing w:after="100" w:afterAutospacing="1" w:before="100" w:beforeAutospacing="1"/>
      <w:outlineLvl w:val="2"/>
    </w:pPr>
    <w:rPr>
      <w:b w:val="1"/>
      <w:bCs w:val="1"/>
      <w:sz w:val="27"/>
      <w:szCs w:val="27"/>
      <w:lang w:eastAsia="es-MX" w:val="es-MX"/>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AC3C64"/>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AC3C64"/>
    <w:rPr>
      <w:rFonts w:eastAsiaTheme="minorEastAsia"/>
      <w:sz w:val="24"/>
      <w:szCs w:val="24"/>
      <w:lang w:eastAsia="es-ES" w:val="es-ES_tradnl"/>
    </w:rPr>
  </w:style>
  <w:style w:type="paragraph" w:styleId="Piedepgina">
    <w:name w:val="footer"/>
    <w:basedOn w:val="Normal"/>
    <w:link w:val="PiedepginaCar"/>
    <w:uiPriority w:val="99"/>
    <w:unhideWhenUsed w:val="1"/>
    <w:rsid w:val="00AC3C64"/>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AC3C64"/>
    <w:rPr>
      <w:rFonts w:eastAsiaTheme="minorEastAsia"/>
      <w:sz w:val="24"/>
      <w:szCs w:val="24"/>
      <w:lang w:eastAsia="es-ES" w:val="es-ES_tradnl"/>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AC3C64"/>
    <w:rPr>
      <w:rFonts w:ascii="Times New Roman" w:cs="Times New Roman" w:eastAsia="Times New Roman" w:hAnsi="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eastAsia="es-ES"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Fuentedeprrafopredeter"/>
    <w:rsid w:val="00AC3C64"/>
  </w:style>
  <w:style w:type="character" w:styleId="apple-converted-space" w:customStyle="1">
    <w:name w:val="apple-converted-space"/>
    <w:basedOn w:val="Fuentedeprrafopredeter"/>
    <w:rsid w:val="00AC3C64"/>
  </w:style>
  <w:style w:type="paragraph" w:styleId="paragraph" w:customStyle="1">
    <w:name w:val="paragraph"/>
    <w:basedOn w:val="Normal"/>
    <w:rsid w:val="00AC3C64"/>
    <w:pPr>
      <w:spacing w:after="100" w:afterAutospacing="1" w:before="100" w:beforeAutospacing="1"/>
    </w:pPr>
    <w:rPr>
      <w:lang w:eastAsia="es-MX" w:val="es-MX"/>
    </w:rPr>
  </w:style>
  <w:style w:type="character" w:styleId="eop" w:customStyle="1">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AC3C64"/>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val="1"/>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AC3C64"/>
    <w:rPr>
      <w:vertAlign w:val="superscript"/>
    </w:rPr>
  </w:style>
  <w:style w:type="character" w:styleId="Hipervnculo">
    <w:name w:val="Hyperlink"/>
    <w:basedOn w:val="Fuentedeprrafopredeter"/>
    <w:uiPriority w:val="99"/>
    <w:unhideWhenUsed w:val="1"/>
    <w:rsid w:val="00AC3C64"/>
    <w:rPr>
      <w:color w:val="0563c1" w:themeColor="hyperlink"/>
      <w:u w:val="single"/>
    </w:rPr>
  </w:style>
  <w:style w:type="paragraph" w:styleId="NormalWeb">
    <w:name w:val="Normal (Web)"/>
    <w:basedOn w:val="Normal"/>
    <w:uiPriority w:val="99"/>
    <w:unhideWhenUsed w:val="1"/>
    <w:rsid w:val="00AC3C64"/>
    <w:pPr>
      <w:spacing w:after="100" w:afterAutospacing="1" w:before="100" w:beforeAutospacing="1"/>
    </w:pPr>
    <w:rPr>
      <w:lang w:eastAsia="es-MX" w:val="es-MX"/>
    </w:rPr>
  </w:style>
  <w:style w:type="character" w:styleId="Ttulo3Car" w:customStyle="1">
    <w:name w:val="Título 3 Car"/>
    <w:basedOn w:val="Fuentedeprrafopredeter"/>
    <w:link w:val="Ttulo3"/>
    <w:uiPriority w:val="9"/>
    <w:rsid w:val="002D2EAC"/>
    <w:rPr>
      <w:rFonts w:ascii="Times New Roman" w:cs="Times New Roman" w:eastAsia="Times New Roman" w:hAnsi="Times New Roman"/>
      <w:b w:val="1"/>
      <w:bCs w:val="1"/>
      <w:sz w:val="27"/>
      <w:szCs w:val="27"/>
      <w:lang w:eastAsia="es-MX"/>
    </w:rPr>
  </w:style>
  <w:style w:type="character" w:styleId="titulorubro" w:customStyle="1">
    <w:name w:val="titulorubro"/>
    <w:basedOn w:val="Fuentedeprrafopredeter"/>
    <w:rsid w:val="002D2EAC"/>
  </w:style>
  <w:style w:type="paragraph" w:styleId="Textoindependiente">
    <w:name w:val="Body Text"/>
    <w:basedOn w:val="Normal"/>
    <w:link w:val="TextoindependienteCar"/>
    <w:uiPriority w:val="1"/>
    <w:qFormat w:val="1"/>
    <w:rsid w:val="006F3C93"/>
    <w:pPr>
      <w:autoSpaceDE w:val="0"/>
      <w:autoSpaceDN w:val="0"/>
      <w:adjustRightInd w:val="0"/>
      <w:ind w:left="93"/>
    </w:pPr>
    <w:rPr>
      <w:rFonts w:eastAsiaTheme="minorHAnsi"/>
      <w:sz w:val="23"/>
      <w:szCs w:val="23"/>
      <w:lang w:eastAsia="en-US" w:val="es-MX"/>
    </w:rPr>
  </w:style>
  <w:style w:type="character" w:styleId="TextoindependienteCar" w:customStyle="1">
    <w:name w:val="Texto independiente Car"/>
    <w:basedOn w:val="Fuentedeprrafopredeter"/>
    <w:link w:val="Textoindependiente"/>
    <w:uiPriority w:val="1"/>
    <w:rsid w:val="006F3C93"/>
    <w:rPr>
      <w:rFonts w:ascii="Times New Roman" w:cs="Times New Roman" w:hAnsi="Times New Roman"/>
      <w:sz w:val="23"/>
      <w:szCs w:val="23"/>
    </w:rPr>
  </w:style>
  <w:style w:type="paragraph" w:styleId="Textodeglobo">
    <w:name w:val="Balloon Text"/>
    <w:basedOn w:val="Normal"/>
    <w:link w:val="TextodegloboCar"/>
    <w:uiPriority w:val="99"/>
    <w:semiHidden w:val="1"/>
    <w:unhideWhenUsed w:val="1"/>
    <w:rsid w:val="00A037B6"/>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037B6"/>
    <w:rPr>
      <w:rFonts w:ascii="Segoe UI" w:cs="Segoe UI" w:eastAsia="Times New Roman" w:hAnsi="Segoe UI"/>
      <w:sz w:val="18"/>
      <w:szCs w:val="18"/>
      <w:lang w:eastAsia="es-ES" w:val="es-ES"/>
    </w:rPr>
  </w:style>
  <w:style w:type="paragraph" w:styleId="Pa1" w:customStyle="1">
    <w:name w:val="Pa1"/>
    <w:basedOn w:val="Normal"/>
    <w:next w:val="Normal"/>
    <w:uiPriority w:val="99"/>
    <w:rsid w:val="0074718F"/>
    <w:pPr>
      <w:autoSpaceDE w:val="0"/>
      <w:autoSpaceDN w:val="0"/>
      <w:adjustRightInd w:val="0"/>
      <w:spacing w:line="191" w:lineRule="atLeast"/>
    </w:pPr>
    <w:rPr>
      <w:rFonts w:ascii="Helvetica" w:cs="Helvetica" w:hAnsi="Helvetica" w:eastAsiaTheme="minorHAnsi"/>
      <w:lang w:eastAsia="en-US" w:val="es-MX"/>
    </w:rPr>
  </w:style>
  <w:style w:type="paragraph" w:styleId="Pa2" w:customStyle="1">
    <w:name w:val="Pa2"/>
    <w:basedOn w:val="Normal"/>
    <w:next w:val="Normal"/>
    <w:uiPriority w:val="99"/>
    <w:rsid w:val="0074718F"/>
    <w:pPr>
      <w:autoSpaceDE w:val="0"/>
      <w:autoSpaceDN w:val="0"/>
      <w:adjustRightInd w:val="0"/>
      <w:spacing w:line="191" w:lineRule="atLeast"/>
    </w:pPr>
    <w:rPr>
      <w:rFonts w:ascii="Helvetica" w:cs="Helvetica" w:hAnsi="Helvetica" w:eastAsiaTheme="minorHAnsi"/>
      <w:lang w:eastAsia="en-US" w:val="es-MX"/>
    </w:rPr>
  </w:style>
  <w:style w:type="paragraph" w:styleId="Pa3" w:customStyle="1">
    <w:name w:val="Pa3"/>
    <w:basedOn w:val="Normal"/>
    <w:next w:val="Normal"/>
    <w:uiPriority w:val="99"/>
    <w:rsid w:val="0074718F"/>
    <w:pPr>
      <w:autoSpaceDE w:val="0"/>
      <w:autoSpaceDN w:val="0"/>
      <w:adjustRightInd w:val="0"/>
      <w:spacing w:line="191" w:lineRule="atLeast"/>
    </w:pPr>
    <w:rPr>
      <w:rFonts w:ascii="Helvetica" w:cs="Helvetica" w:hAnsi="Helvetica" w:eastAsiaTheme="minorHAnsi"/>
      <w:lang w:eastAsia="en-US" w:val="es-MX"/>
    </w:rPr>
  </w:style>
  <w:style w:type="paragraph" w:styleId="Sinespaciado">
    <w:name w:val="No Spacing"/>
    <w:aliases w:val="Francesa"/>
    <w:link w:val="SinespaciadoCar"/>
    <w:uiPriority w:val="1"/>
    <w:qFormat w:val="1"/>
    <w:rsid w:val="00CE2CFE"/>
  </w:style>
  <w:style w:type="character" w:styleId="SinespaciadoCar" w:customStyle="1">
    <w:name w:val="Sin espaciado Car"/>
    <w:aliases w:val="Francesa Car"/>
    <w:link w:val="Sinespaciado"/>
    <w:uiPriority w:val="1"/>
    <w:locked w:val="1"/>
    <w:rsid w:val="00CE2CFE"/>
  </w:style>
  <w:style w:type="table" w:styleId="Tabladelista1clara-nfasis1">
    <w:name w:val="List Table 1 Light Accent 1"/>
    <w:basedOn w:val="Tablanormal"/>
    <w:uiPriority w:val="46"/>
    <w:rsid w:val="00D30935"/>
    <w:rPr>
      <w:rFonts w:eastAsiaTheme="minorEastAsia"/>
      <w:lang w:eastAsia="es-ES" w:val="es-ES_tradnl"/>
    </w:rPr>
    <w:tblPr>
      <w:tblStyleRowBandSize w:val="1"/>
      <w:tblStyleColBandSize w:val="1"/>
    </w:tblPr>
    <w:tblStylePr w:type="firstRow">
      <w:rPr>
        <w:b w:val="1"/>
        <w:bCs w:val="1"/>
      </w:rPr>
      <w:tblPr/>
      <w:tcPr>
        <w:tcBorders>
          <w:bottom w:color="9cc2e5" w:space="0" w:sz="4" w:themeColor="accent1" w:themeTint="000099" w:val="single"/>
        </w:tcBorders>
      </w:tcPr>
    </w:tblStylePr>
    <w:tblStylePr w:type="lastRow">
      <w:rPr>
        <w:b w:val="1"/>
        <w:bCs w:val="1"/>
      </w:rPr>
      <w:tblPr/>
      <w:tcPr>
        <w:tcBorders>
          <w:top w:color="9cc2e5"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left w:w="115.0" w:type="dxa"/>
        <w:right w:w="115.0" w:type="dxa"/>
      </w:tblCellMar>
    </w:tblPr>
  </w:style>
  <w:style w:type="table" w:styleId="a4" w:customStyle="1">
    <w:basedOn w:val="TableNormal0"/>
    <w:tblPr>
      <w:tblStyleRowBandSize w:val="1"/>
      <w:tblStyleColBandSize w:val="1"/>
      <w:tblCellMar>
        <w:left w:w="115.0" w:type="dxa"/>
        <w:right w:w="115.0" w:type="dxa"/>
      </w:tblCellMar>
    </w:tblPr>
  </w:style>
  <w:style w:type="table" w:styleId="a5" w:customStyle="1">
    <w:basedOn w:val="TableNormal0"/>
    <w:tblPr>
      <w:tblStyleRowBandSize w:val="1"/>
      <w:tblStyleColBandSize w:val="1"/>
      <w:tblCellMar>
        <w:left w:w="115.0" w:type="dxa"/>
        <w:right w:w="115.0" w:type="dxa"/>
      </w:tblCellMar>
    </w:tblPr>
  </w:style>
  <w:style w:type="character" w:styleId="apple-tab-span" w:customStyle="1">
    <w:name w:val="apple-tab-span"/>
    <w:basedOn w:val="Fuentedeprrafopredeter"/>
    <w:rsid w:val="00F1250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lGTwAo/FsHC1LYQzphw3C43C3A==">AMUW2mVoCW+c473z7ylrKhPpdsspYJmuYGloxzih7jqkEjwBQykWMr3YkSVNTczG1scFfqPsPhBt5aE39e2QXvRbxoRojxnMFOxQ+V0kf/yHc8GxveQlBMvNlgRNJm6p5Wvc1emwdoxq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2022-03-24T08:17:00Z</dcterms:created>
  <dc:creator>USER</dc:creator>
</cp:coreProperties>
</file>