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A81392" w14:textId="19F445E6" w:rsidR="00182A38" w:rsidRPr="00624ACF" w:rsidRDefault="009B11D6" w:rsidP="00182A38">
      <w:pPr>
        <w:spacing w:line="360" w:lineRule="auto"/>
        <w:jc w:val="both"/>
        <w:rPr>
          <w:rFonts w:ascii="Palatino Linotype" w:hAnsi="Palatino Linotype"/>
        </w:rPr>
      </w:pPr>
      <w:r w:rsidRPr="00624ACF">
        <w:rPr>
          <w:rFonts w:ascii="Palatino Linotype" w:hAnsi="Palatino Linotype"/>
          <w:color w:val="000000" w:themeColor="text1"/>
        </w:rPr>
        <w:t>R</w:t>
      </w:r>
      <w:r w:rsidR="00662C69" w:rsidRPr="00624ACF">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624ACF">
        <w:rPr>
          <w:rFonts w:ascii="Palatino Linotype" w:hAnsi="Palatino Linotype"/>
          <w:color w:val="000000" w:themeColor="text1"/>
        </w:rPr>
        <w:t>icipios, con</w:t>
      </w:r>
      <w:r w:rsidR="00662C69" w:rsidRPr="00624ACF">
        <w:rPr>
          <w:rFonts w:ascii="Palatino Linotype" w:hAnsi="Palatino Linotype"/>
          <w:color w:val="000000" w:themeColor="text1"/>
        </w:rPr>
        <w:t xml:space="preserve"> </w:t>
      </w:r>
      <w:r w:rsidR="00485DB6" w:rsidRPr="00624ACF">
        <w:rPr>
          <w:rFonts w:ascii="Palatino Linotype" w:hAnsi="Palatino Linotype"/>
          <w:color w:val="000000" w:themeColor="text1"/>
        </w:rPr>
        <w:t xml:space="preserve">domicilio </w:t>
      </w:r>
      <w:r w:rsidR="00662C69" w:rsidRPr="00624ACF">
        <w:rPr>
          <w:rFonts w:ascii="Palatino Linotype" w:hAnsi="Palatino Linotype"/>
          <w:color w:val="000000" w:themeColor="text1"/>
        </w:rPr>
        <w:t xml:space="preserve">en Metepec, Estado de México; </w:t>
      </w:r>
      <w:r w:rsidR="00523640" w:rsidRPr="00624ACF">
        <w:rPr>
          <w:rFonts w:ascii="Palatino Linotype" w:hAnsi="Palatino Linotype"/>
          <w:color w:val="000000" w:themeColor="text1"/>
        </w:rPr>
        <w:t xml:space="preserve">de </w:t>
      </w:r>
      <w:r w:rsidR="00182A38" w:rsidRPr="00624ACF">
        <w:rPr>
          <w:rFonts w:ascii="Palatino Linotype" w:hAnsi="Palatino Linotype"/>
        </w:rPr>
        <w:t>dieciséis</w:t>
      </w:r>
      <w:r w:rsidR="00FB42E1" w:rsidRPr="00624ACF">
        <w:rPr>
          <w:rFonts w:ascii="Palatino Linotype" w:hAnsi="Palatino Linotype"/>
        </w:rPr>
        <w:t xml:space="preserve"> (16)</w:t>
      </w:r>
      <w:r w:rsidR="00182A38" w:rsidRPr="00624ACF">
        <w:rPr>
          <w:rFonts w:ascii="Palatino Linotype" w:hAnsi="Palatino Linotype"/>
        </w:rPr>
        <w:t xml:space="preserve"> de noviembre de dos mil veintidós.</w:t>
      </w:r>
    </w:p>
    <w:p w14:paraId="1181C59D" w14:textId="77777777" w:rsidR="00B31E90" w:rsidRPr="00624ACF" w:rsidRDefault="00B31E90" w:rsidP="00E6530C">
      <w:pPr>
        <w:tabs>
          <w:tab w:val="left" w:pos="3465"/>
        </w:tabs>
        <w:spacing w:line="360" w:lineRule="auto"/>
        <w:jc w:val="both"/>
        <w:rPr>
          <w:rFonts w:ascii="Palatino Linotype" w:hAnsi="Palatino Linotype"/>
          <w:color w:val="000000" w:themeColor="text1"/>
        </w:rPr>
      </w:pPr>
    </w:p>
    <w:p w14:paraId="04F87235" w14:textId="338DADF9" w:rsidR="005F0007" w:rsidRPr="00624ACF" w:rsidRDefault="00662C69" w:rsidP="00E6530C">
      <w:pPr>
        <w:spacing w:line="360" w:lineRule="auto"/>
        <w:jc w:val="both"/>
        <w:rPr>
          <w:rFonts w:ascii="Palatino Linotype" w:eastAsia="Times New Roman" w:hAnsi="Palatino Linotype" w:cs="Times New Roman"/>
          <w:color w:val="000000" w:themeColor="text1"/>
        </w:rPr>
      </w:pPr>
      <w:r w:rsidRPr="00624ACF">
        <w:rPr>
          <w:rFonts w:ascii="Palatino Linotype" w:hAnsi="Palatino Linotype"/>
          <w:b/>
          <w:color w:val="000000" w:themeColor="text1"/>
        </w:rPr>
        <w:t>VISTO</w:t>
      </w:r>
      <w:r w:rsidRPr="00624ACF">
        <w:rPr>
          <w:rFonts w:ascii="Palatino Linotype" w:hAnsi="Palatino Linotype"/>
          <w:color w:val="000000" w:themeColor="text1"/>
        </w:rPr>
        <w:t xml:space="preserve"> el expediente electrónico for</w:t>
      </w:r>
      <w:r w:rsidR="00D37494" w:rsidRPr="00624ACF">
        <w:rPr>
          <w:rFonts w:ascii="Palatino Linotype" w:hAnsi="Palatino Linotype"/>
          <w:color w:val="000000" w:themeColor="text1"/>
        </w:rPr>
        <w:t>mado con motivo del</w:t>
      </w:r>
      <w:r w:rsidRPr="00624ACF">
        <w:rPr>
          <w:rFonts w:ascii="Palatino Linotype" w:hAnsi="Palatino Linotype"/>
          <w:color w:val="000000" w:themeColor="text1"/>
        </w:rPr>
        <w:t xml:space="preserve"> recurso de revisión </w:t>
      </w:r>
      <w:r w:rsidR="006E7F9E" w:rsidRPr="00624ACF">
        <w:rPr>
          <w:rFonts w:ascii="Palatino Linotype" w:hAnsi="Palatino Linotype"/>
          <w:b/>
          <w:bCs/>
          <w:color w:val="000000" w:themeColor="text1"/>
        </w:rPr>
        <w:t>06268/INFOEM/ICR-31/IP/RR/2021</w:t>
      </w:r>
      <w:r w:rsidR="005F1362" w:rsidRPr="00624ACF">
        <w:rPr>
          <w:rFonts w:ascii="Palatino Linotype" w:eastAsia="Times New Roman" w:hAnsi="Palatino Linotype" w:cs="Arial"/>
          <w:bCs/>
          <w:color w:val="000000" w:themeColor="text1"/>
        </w:rPr>
        <w:t xml:space="preserve">, </w:t>
      </w:r>
      <w:r w:rsidR="006B31E7" w:rsidRPr="00624ACF">
        <w:rPr>
          <w:rFonts w:ascii="Palatino Linotype" w:eastAsia="Times New Roman" w:hAnsi="Palatino Linotype" w:cs="Times New Roman"/>
          <w:color w:val="000000" w:themeColor="text1"/>
        </w:rPr>
        <w:t>interpuesto por</w:t>
      </w:r>
      <w:r w:rsidR="006E7F9E" w:rsidRPr="00624ACF">
        <w:rPr>
          <w:rFonts w:ascii="Palatino Linotype" w:eastAsia="Times New Roman" w:hAnsi="Palatino Linotype" w:cs="Times New Roman"/>
          <w:color w:val="000000" w:themeColor="text1"/>
        </w:rPr>
        <w:t xml:space="preserve"> </w:t>
      </w:r>
      <w:r w:rsidR="00624ACF" w:rsidRPr="00624ACF">
        <w:rPr>
          <w:rFonts w:ascii="Palatino Linotype" w:eastAsia="Times New Roman" w:hAnsi="Palatino Linotype" w:cs="Times New Roman"/>
          <w:b/>
          <w:bCs/>
          <w:color w:val="000000" w:themeColor="text1"/>
        </w:rPr>
        <w:t xml:space="preserve">XXXX </w:t>
      </w:r>
      <w:proofErr w:type="spellStart"/>
      <w:r w:rsidR="00624ACF" w:rsidRPr="00624ACF">
        <w:rPr>
          <w:rFonts w:ascii="Palatino Linotype" w:eastAsia="Times New Roman" w:hAnsi="Palatino Linotype" w:cs="Times New Roman"/>
          <w:b/>
          <w:bCs/>
          <w:color w:val="000000" w:themeColor="text1"/>
        </w:rPr>
        <w:t>XXXX</w:t>
      </w:r>
      <w:proofErr w:type="spellEnd"/>
      <w:r w:rsidR="00624ACF" w:rsidRPr="00624ACF">
        <w:rPr>
          <w:rFonts w:ascii="Palatino Linotype" w:eastAsia="Times New Roman" w:hAnsi="Palatino Linotype" w:cs="Times New Roman"/>
          <w:b/>
          <w:bCs/>
          <w:color w:val="000000" w:themeColor="text1"/>
        </w:rPr>
        <w:t xml:space="preserve"> XXXXX</w:t>
      </w:r>
      <w:r w:rsidR="006E7F9E" w:rsidRPr="00624ACF">
        <w:rPr>
          <w:rFonts w:ascii="Palatino Linotype" w:eastAsia="Times New Roman" w:hAnsi="Palatino Linotype" w:cs="Times New Roman"/>
          <w:color w:val="000000" w:themeColor="text1"/>
        </w:rPr>
        <w:t xml:space="preserve">, en lo sucesivo, el </w:t>
      </w:r>
      <w:r w:rsidR="006B31E7" w:rsidRPr="00624ACF">
        <w:rPr>
          <w:rFonts w:ascii="Palatino Linotype" w:eastAsia="Times New Roman" w:hAnsi="Palatino Linotype" w:cs="Times New Roman"/>
          <w:b/>
          <w:bCs/>
          <w:color w:val="000000" w:themeColor="text1"/>
        </w:rPr>
        <w:t>RECURRENTE</w:t>
      </w:r>
      <w:r w:rsidR="00E647FF" w:rsidRPr="00624ACF">
        <w:rPr>
          <w:rFonts w:ascii="Palatino Linotype" w:eastAsia="Times New Roman" w:hAnsi="Palatino Linotype" w:cs="Arial"/>
          <w:color w:val="000000" w:themeColor="text1"/>
        </w:rPr>
        <w:t>;</w:t>
      </w:r>
      <w:r w:rsidR="005F1362" w:rsidRPr="00624ACF">
        <w:rPr>
          <w:rFonts w:ascii="Palatino Linotype" w:eastAsia="Times New Roman" w:hAnsi="Palatino Linotype" w:cs="Arial"/>
          <w:color w:val="000000" w:themeColor="text1"/>
        </w:rPr>
        <w:t xml:space="preserve"> en contra de la</w:t>
      </w:r>
      <w:r w:rsidR="00833877" w:rsidRPr="00624ACF">
        <w:rPr>
          <w:rFonts w:ascii="Palatino Linotype" w:eastAsia="Times New Roman" w:hAnsi="Palatino Linotype" w:cs="Arial"/>
          <w:color w:val="000000" w:themeColor="text1"/>
        </w:rPr>
        <w:t xml:space="preserve"> falta de</w:t>
      </w:r>
      <w:r w:rsidR="005F1362" w:rsidRPr="00624ACF">
        <w:rPr>
          <w:rFonts w:ascii="Palatino Linotype" w:eastAsia="Times New Roman" w:hAnsi="Palatino Linotype" w:cs="Arial"/>
          <w:color w:val="000000" w:themeColor="text1"/>
        </w:rPr>
        <w:t xml:space="preserve"> respuesta del</w:t>
      </w:r>
      <w:r w:rsidR="002C1007" w:rsidRPr="00624ACF">
        <w:rPr>
          <w:rFonts w:ascii="Palatino Linotype" w:eastAsia="Times New Roman" w:hAnsi="Palatino Linotype" w:cs="Arial"/>
          <w:color w:val="000000" w:themeColor="text1"/>
        </w:rPr>
        <w:t xml:space="preserve"> </w:t>
      </w:r>
      <w:r w:rsidR="006E7F9E" w:rsidRPr="00624ACF">
        <w:rPr>
          <w:rFonts w:ascii="Palatino Linotype" w:eastAsia="Times New Roman" w:hAnsi="Palatino Linotype" w:cs="Arial"/>
          <w:b/>
          <w:color w:val="000000" w:themeColor="text1"/>
        </w:rPr>
        <w:t>Unidad de Asuntos Internos</w:t>
      </w:r>
      <w:r w:rsidR="009572EE" w:rsidRPr="00624ACF">
        <w:rPr>
          <w:rFonts w:ascii="Palatino Linotype" w:eastAsia="Calibri" w:hAnsi="Palatino Linotype" w:cs="Arial"/>
          <w:color w:val="000000" w:themeColor="text1"/>
          <w:lang w:val="es-ES"/>
        </w:rPr>
        <w:t>,</w:t>
      </w:r>
      <w:r w:rsidR="005F1362" w:rsidRPr="00624ACF">
        <w:rPr>
          <w:rFonts w:ascii="Palatino Linotype" w:eastAsia="Calibri" w:hAnsi="Palatino Linotype" w:cs="Arial"/>
          <w:color w:val="000000" w:themeColor="text1"/>
          <w:lang w:val="es-ES"/>
        </w:rPr>
        <w:t xml:space="preserve"> </w:t>
      </w:r>
      <w:r w:rsidR="00F17EFA" w:rsidRPr="00624ACF">
        <w:rPr>
          <w:rFonts w:ascii="Palatino Linotype" w:eastAsia="Calibri" w:hAnsi="Palatino Linotype" w:cs="Arial"/>
          <w:color w:val="000000" w:themeColor="text1"/>
          <w:lang w:val="es-ES"/>
        </w:rPr>
        <w:t>en adelante,</w:t>
      </w:r>
      <w:r w:rsidR="00F17EFA" w:rsidRPr="00624ACF">
        <w:rPr>
          <w:rFonts w:ascii="Palatino Linotype" w:eastAsia="Times New Roman" w:hAnsi="Palatino Linotype" w:cs="Times New Roman"/>
          <w:color w:val="000000" w:themeColor="text1"/>
        </w:rPr>
        <w:t xml:space="preserve"> </w:t>
      </w:r>
      <w:r w:rsidR="005F1362" w:rsidRPr="00624ACF">
        <w:rPr>
          <w:rFonts w:ascii="Palatino Linotype" w:eastAsia="Times New Roman" w:hAnsi="Palatino Linotype" w:cs="Times New Roman"/>
          <w:color w:val="000000" w:themeColor="text1"/>
        </w:rPr>
        <w:t>el</w:t>
      </w:r>
      <w:r w:rsidR="005F1362" w:rsidRPr="00624ACF">
        <w:rPr>
          <w:rFonts w:ascii="Palatino Linotype" w:eastAsia="Times New Roman" w:hAnsi="Palatino Linotype" w:cs="Times New Roman"/>
          <w:b/>
          <w:color w:val="000000" w:themeColor="text1"/>
        </w:rPr>
        <w:t xml:space="preserve"> SUJETO OBLIGADO, </w:t>
      </w:r>
      <w:r w:rsidR="005F1362" w:rsidRPr="00624ACF">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624ACF" w:rsidRDefault="009A593A" w:rsidP="00E6530C">
      <w:pPr>
        <w:spacing w:line="360" w:lineRule="auto"/>
        <w:jc w:val="both"/>
        <w:rPr>
          <w:rFonts w:ascii="Palatino Linotype" w:hAnsi="Palatino Linotype"/>
          <w:b/>
          <w:color w:val="000000" w:themeColor="text1"/>
        </w:rPr>
      </w:pPr>
    </w:p>
    <w:p w14:paraId="769E1410" w14:textId="5740327F" w:rsidR="00587366" w:rsidRPr="00624ACF" w:rsidRDefault="00662C69" w:rsidP="00E6530C">
      <w:pPr>
        <w:pStyle w:val="Ttulo1"/>
        <w:spacing w:before="0" w:line="360" w:lineRule="auto"/>
        <w:jc w:val="center"/>
        <w:rPr>
          <w:b/>
          <w:color w:val="000000" w:themeColor="text1"/>
        </w:rPr>
      </w:pPr>
      <w:bookmarkStart w:id="0" w:name="_Toc461555884"/>
      <w:bookmarkStart w:id="1" w:name="_Toc466371847"/>
      <w:bookmarkStart w:id="2" w:name="_Toc86945038"/>
      <w:r w:rsidRPr="00624ACF">
        <w:rPr>
          <w:b/>
          <w:color w:val="000000" w:themeColor="text1"/>
        </w:rPr>
        <w:t>ANTECEDENTES</w:t>
      </w:r>
      <w:bookmarkEnd w:id="0"/>
      <w:bookmarkEnd w:id="1"/>
      <w:bookmarkEnd w:id="2"/>
    </w:p>
    <w:p w14:paraId="5672105D" w14:textId="77777777" w:rsidR="00B31E90" w:rsidRPr="00624ACF" w:rsidRDefault="00B31E90" w:rsidP="00E6530C">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0152B174" w:rsidR="00D9392E" w:rsidRPr="00624ACF" w:rsidRDefault="005F0007" w:rsidP="00E6530C">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24ACF">
        <w:rPr>
          <w:rFonts w:ascii="Palatino Linotype" w:eastAsia="Calibri" w:hAnsi="Palatino Linotype" w:cs="Arial"/>
          <w:color w:val="000000" w:themeColor="text1"/>
          <w:lang w:val="es-ES"/>
        </w:rPr>
        <w:t>El</w:t>
      </w:r>
      <w:r w:rsidR="00D9392E" w:rsidRPr="00624ACF">
        <w:rPr>
          <w:rFonts w:ascii="Palatino Linotype" w:eastAsia="Calibri" w:hAnsi="Palatino Linotype" w:cs="Arial"/>
          <w:color w:val="000000" w:themeColor="text1"/>
          <w:lang w:val="es-ES"/>
        </w:rPr>
        <w:t xml:space="preserve"> </w:t>
      </w:r>
      <w:r w:rsidR="00D01D89" w:rsidRPr="00624ACF">
        <w:rPr>
          <w:rFonts w:ascii="Palatino Linotype" w:eastAsia="Calibri" w:hAnsi="Palatino Linotype" w:cs="Arial"/>
          <w:color w:val="000000" w:themeColor="text1"/>
          <w:lang w:val="es-ES"/>
        </w:rPr>
        <w:t xml:space="preserve">nueve (09) de noviembre de dos mil veintiuno, </w:t>
      </w:r>
      <w:r w:rsidR="00D01D89" w:rsidRPr="00624ACF">
        <w:rPr>
          <w:rFonts w:ascii="Palatino Linotype" w:eastAsia="Calibri" w:hAnsi="Palatino Linotype" w:cs="Arial"/>
          <w:color w:val="000000" w:themeColor="text1"/>
          <w:lang w:val="es-ES_tradnl"/>
        </w:rPr>
        <w:t>el particular presentó</w:t>
      </w:r>
      <w:r w:rsidR="00D01D89" w:rsidRPr="00624ACF">
        <w:rPr>
          <w:rFonts w:ascii="Palatino Linotype" w:eastAsia="Calibri" w:hAnsi="Palatino Linotype" w:cs="Arial"/>
          <w:b/>
          <w:color w:val="000000" w:themeColor="text1"/>
          <w:lang w:val="es-ES_tradnl"/>
        </w:rPr>
        <w:t xml:space="preserve"> </w:t>
      </w:r>
      <w:r w:rsidR="00D01D89" w:rsidRPr="00624ACF">
        <w:rPr>
          <w:rFonts w:ascii="Palatino Linotype" w:eastAsia="Calibri" w:hAnsi="Palatino Linotype" w:cs="Arial"/>
          <w:bCs/>
          <w:color w:val="000000" w:themeColor="text1"/>
          <w:lang w:val="es-ES_tradnl"/>
        </w:rPr>
        <w:t xml:space="preserve">a través del </w:t>
      </w:r>
      <w:r w:rsidR="00D01D89" w:rsidRPr="00624ACF">
        <w:rPr>
          <w:rFonts w:ascii="Palatino Linotype" w:eastAsia="Calibri" w:hAnsi="Palatino Linotype" w:cs="Arial"/>
          <w:color w:val="000000" w:themeColor="text1"/>
          <w:lang w:val="es-ES"/>
        </w:rPr>
        <w:t>Sistema de Acceso a la Información Mexiquense</w:t>
      </w:r>
      <w:r w:rsidR="00D01D89" w:rsidRPr="00624ACF">
        <w:rPr>
          <w:rFonts w:ascii="Palatino Linotype" w:eastAsia="Calibri" w:hAnsi="Palatino Linotype" w:cs="Arial"/>
          <w:b/>
          <w:color w:val="000000" w:themeColor="text1"/>
          <w:lang w:val="es-ES"/>
        </w:rPr>
        <w:t xml:space="preserve"> </w:t>
      </w:r>
      <w:r w:rsidR="00D01D89" w:rsidRPr="00624ACF">
        <w:rPr>
          <w:rFonts w:ascii="Palatino Linotype" w:eastAsia="Calibri" w:hAnsi="Palatino Linotype" w:cs="Arial"/>
          <w:bCs/>
          <w:color w:val="000000" w:themeColor="text1"/>
          <w:lang w:val="es-ES"/>
        </w:rPr>
        <w:t>(SAIMEX)</w:t>
      </w:r>
      <w:r w:rsidR="00D01D89" w:rsidRPr="00624ACF">
        <w:rPr>
          <w:rFonts w:ascii="Palatino Linotype" w:eastAsia="Calibri" w:hAnsi="Palatino Linotype" w:cs="Arial"/>
          <w:color w:val="000000" w:themeColor="text1"/>
          <w:lang w:val="es-ES"/>
        </w:rPr>
        <w:t>,</w:t>
      </w:r>
      <w:r w:rsidR="00D01D89" w:rsidRPr="00624ACF">
        <w:rPr>
          <w:rFonts w:ascii="Palatino Linotype" w:eastAsia="Calibri" w:hAnsi="Palatino Linotype" w:cs="Arial"/>
          <w:b/>
          <w:color w:val="000000" w:themeColor="text1"/>
          <w:lang w:val="es-ES"/>
        </w:rPr>
        <w:t xml:space="preserve"> </w:t>
      </w:r>
      <w:r w:rsidR="00D01D89" w:rsidRPr="00624ACF">
        <w:rPr>
          <w:rFonts w:ascii="Palatino Linotype" w:eastAsia="Calibri" w:hAnsi="Palatino Linotype" w:cs="Arial"/>
          <w:color w:val="000000" w:themeColor="text1"/>
          <w:lang w:val="es-ES"/>
        </w:rPr>
        <w:t>la solicitud de información pública registrada con el número</w:t>
      </w:r>
      <w:r w:rsidR="00D01D89" w:rsidRPr="00624ACF">
        <w:rPr>
          <w:rFonts w:ascii="Palatino Linotype" w:eastAsia="Calibri" w:hAnsi="Palatino Linotype" w:cs="Arial"/>
          <w:b/>
          <w:bCs/>
          <w:color w:val="000000" w:themeColor="text1"/>
          <w:lang w:val="es-ES"/>
        </w:rPr>
        <w:t xml:space="preserve"> 00041/UAI/IP/2021, </w:t>
      </w:r>
      <w:r w:rsidR="00D01D89" w:rsidRPr="00624ACF">
        <w:rPr>
          <w:rFonts w:ascii="Palatino Linotype" w:eastAsia="Calibri" w:hAnsi="Palatino Linotype" w:cs="Arial"/>
          <w:color w:val="000000" w:themeColor="text1"/>
          <w:lang w:val="es-ES"/>
        </w:rPr>
        <w:t>mediante la cual requirió lo siguiente:</w:t>
      </w:r>
    </w:p>
    <w:p w14:paraId="76EB7490" w14:textId="77777777" w:rsidR="00B31E90" w:rsidRPr="00624ACF" w:rsidRDefault="00B31E90" w:rsidP="00E6530C">
      <w:pPr>
        <w:pStyle w:val="Prrafodelista"/>
        <w:spacing w:line="276" w:lineRule="auto"/>
        <w:ind w:left="567" w:right="567"/>
        <w:jc w:val="both"/>
        <w:rPr>
          <w:rFonts w:ascii="Palatino Linotype" w:hAnsi="Palatino Linotype"/>
          <w:i/>
          <w:color w:val="000000" w:themeColor="text1"/>
          <w:sz w:val="22"/>
          <w:szCs w:val="22"/>
        </w:rPr>
      </w:pPr>
    </w:p>
    <w:p w14:paraId="605C5067" w14:textId="5DA0C60E" w:rsidR="0097210F" w:rsidRPr="00624ACF" w:rsidRDefault="005F1362" w:rsidP="00E6530C">
      <w:pPr>
        <w:pStyle w:val="Prrafodelista"/>
        <w:spacing w:line="276" w:lineRule="auto"/>
        <w:ind w:left="567" w:right="567"/>
        <w:jc w:val="both"/>
        <w:rPr>
          <w:rFonts w:ascii="Palatino Linotype" w:hAnsi="Palatino Linotype"/>
          <w:i/>
          <w:color w:val="000000" w:themeColor="text1"/>
          <w:szCs w:val="22"/>
        </w:rPr>
      </w:pPr>
      <w:r w:rsidRPr="00624ACF">
        <w:rPr>
          <w:rFonts w:ascii="Palatino Linotype" w:hAnsi="Palatino Linotype"/>
          <w:i/>
          <w:color w:val="000000" w:themeColor="text1"/>
          <w:sz w:val="22"/>
          <w:szCs w:val="22"/>
        </w:rPr>
        <w:t>“</w:t>
      </w:r>
      <w:r w:rsidR="00D01D89" w:rsidRPr="00624ACF">
        <w:rPr>
          <w:rFonts w:ascii="Palatino Linotype" w:hAnsi="Palatino Linotype"/>
          <w:i/>
          <w:iCs/>
          <w:color w:val="000000" w:themeColor="text1"/>
          <w:sz w:val="22"/>
          <w:szCs w:val="22"/>
          <w:lang w:val="es-ES"/>
        </w:rPr>
        <w:t>Solicito todas las actas ordinarias y extraordinarias correspondientes al año 2021, firmadas por el Consejo Directivo de la Unidad de Asuntos Internos, mismo que en términos de lo señalado en el artículo 206 de la Ley de Seguridad del Estado de México, es el Órgano de Gobierno</w:t>
      </w:r>
      <w:r w:rsidRPr="00624ACF">
        <w:rPr>
          <w:rFonts w:ascii="Palatino Linotype" w:hAnsi="Palatino Linotype"/>
          <w:i/>
          <w:color w:val="000000" w:themeColor="text1"/>
          <w:sz w:val="22"/>
          <w:szCs w:val="22"/>
        </w:rPr>
        <w:t xml:space="preserve">” </w:t>
      </w:r>
      <w:r w:rsidRPr="00624ACF">
        <w:rPr>
          <w:rFonts w:ascii="Palatino Linotype" w:hAnsi="Palatino Linotype"/>
          <w:color w:val="000000" w:themeColor="text1"/>
          <w:sz w:val="22"/>
          <w:szCs w:val="22"/>
        </w:rPr>
        <w:t>(Sic).</w:t>
      </w:r>
    </w:p>
    <w:p w14:paraId="65A03C8D" w14:textId="77777777" w:rsidR="005F1362" w:rsidRPr="00624ACF" w:rsidRDefault="005F1362" w:rsidP="00E6530C">
      <w:pPr>
        <w:spacing w:line="360" w:lineRule="auto"/>
        <w:ind w:right="333"/>
        <w:jc w:val="both"/>
        <w:rPr>
          <w:rFonts w:ascii="Palatino Linotype" w:hAnsi="Palatino Linotype"/>
          <w:color w:val="000000" w:themeColor="text1"/>
        </w:rPr>
      </w:pPr>
    </w:p>
    <w:p w14:paraId="49C21E77" w14:textId="73DA6516" w:rsidR="0039142B" w:rsidRPr="00624ACF" w:rsidRDefault="005F1362" w:rsidP="00E6530C">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24ACF">
        <w:rPr>
          <w:rFonts w:ascii="Palatino Linotype" w:hAnsi="Palatino Linotype" w:cs="Arial"/>
          <w:color w:val="000000" w:themeColor="text1"/>
        </w:rPr>
        <w:t xml:space="preserve">Se hace constar que </w:t>
      </w:r>
      <w:r w:rsidR="00CD7571" w:rsidRPr="00624ACF">
        <w:rPr>
          <w:rFonts w:ascii="Palatino Linotype" w:eastAsia="Times New Roman" w:hAnsi="Palatino Linotype" w:cs="Arial"/>
          <w:color w:val="000000" w:themeColor="text1"/>
          <w:lang w:val="es-ES"/>
        </w:rPr>
        <w:t>el</w:t>
      </w:r>
      <w:r w:rsidR="00025127" w:rsidRPr="00624ACF">
        <w:rPr>
          <w:rFonts w:ascii="Palatino Linotype" w:eastAsia="Times New Roman" w:hAnsi="Palatino Linotype" w:cs="Arial"/>
          <w:color w:val="000000" w:themeColor="text1"/>
          <w:lang w:val="es-ES"/>
        </w:rPr>
        <w:t xml:space="preserve"> entonces</w:t>
      </w:r>
      <w:r w:rsidR="00FD7996" w:rsidRPr="00624ACF">
        <w:rPr>
          <w:rFonts w:ascii="Palatino Linotype" w:eastAsia="Times New Roman" w:hAnsi="Palatino Linotype" w:cs="Arial"/>
          <w:color w:val="000000" w:themeColor="text1"/>
          <w:lang w:val="es-ES"/>
        </w:rPr>
        <w:t xml:space="preserve"> </w:t>
      </w:r>
      <w:r w:rsidR="00FD7996" w:rsidRPr="00624ACF">
        <w:rPr>
          <w:rFonts w:ascii="Palatino Linotype" w:eastAsia="Times New Roman" w:hAnsi="Palatino Linotype" w:cs="Arial"/>
          <w:b/>
          <w:color w:val="000000" w:themeColor="text1"/>
          <w:lang w:val="es-ES"/>
        </w:rPr>
        <w:t>SOLICITANTE</w:t>
      </w:r>
      <w:r w:rsidRPr="00624ACF">
        <w:rPr>
          <w:rFonts w:ascii="Palatino Linotype" w:eastAsia="Times New Roman" w:hAnsi="Palatino Linotype" w:cs="Arial"/>
          <w:color w:val="000000" w:themeColor="text1"/>
          <w:lang w:val="es-ES"/>
        </w:rPr>
        <w:t xml:space="preserve"> señaló como modalidad de entrega de la información</w:t>
      </w:r>
      <w:r w:rsidRPr="00624ACF">
        <w:rPr>
          <w:rFonts w:ascii="Palatino Linotype" w:eastAsia="Times New Roman" w:hAnsi="Palatino Linotype" w:cs="Arial"/>
          <w:b/>
          <w:color w:val="000000" w:themeColor="text1"/>
          <w:lang w:val="es-ES"/>
        </w:rPr>
        <w:t>:</w:t>
      </w:r>
      <w:r w:rsidR="001E4152" w:rsidRPr="00624ACF">
        <w:rPr>
          <w:rFonts w:ascii="Palatino Linotype" w:eastAsia="Times New Roman" w:hAnsi="Palatino Linotype" w:cs="Arial"/>
          <w:b/>
          <w:color w:val="000000" w:themeColor="text1"/>
          <w:lang w:val="es-ES"/>
        </w:rPr>
        <w:t xml:space="preserve"> </w:t>
      </w:r>
      <w:r w:rsidR="001E4152" w:rsidRPr="00624ACF">
        <w:rPr>
          <w:rFonts w:ascii="Palatino Linotype" w:eastAsia="Times New Roman" w:hAnsi="Palatino Linotype" w:cs="Arial"/>
          <w:b/>
          <w:i/>
          <w:iCs/>
          <w:color w:val="000000" w:themeColor="text1"/>
          <w:lang w:val="es-ES"/>
        </w:rPr>
        <w:t>A través del SAIMEX</w:t>
      </w:r>
      <w:r w:rsidR="00B202A2" w:rsidRPr="00624ACF">
        <w:rPr>
          <w:rFonts w:ascii="Palatino Linotype" w:eastAsia="Calibri" w:hAnsi="Palatino Linotype" w:cs="Arial"/>
          <w:b/>
          <w:bCs/>
          <w:i/>
          <w:color w:val="000000" w:themeColor="text1"/>
          <w:lang w:val="es-AR"/>
        </w:rPr>
        <w:t>.</w:t>
      </w:r>
    </w:p>
    <w:p w14:paraId="35BA18A9" w14:textId="77777777" w:rsidR="0039142B" w:rsidRPr="00624ACF" w:rsidRDefault="0039142B" w:rsidP="00E6530C">
      <w:pPr>
        <w:pStyle w:val="Prrafodelista"/>
        <w:spacing w:line="360" w:lineRule="auto"/>
        <w:ind w:left="284"/>
        <w:jc w:val="both"/>
        <w:rPr>
          <w:rFonts w:ascii="Palatino Linotype" w:eastAsia="MS Mincho" w:hAnsi="Palatino Linotype" w:cs="Times New Roman"/>
          <w:color w:val="000000" w:themeColor="text1"/>
        </w:rPr>
      </w:pPr>
    </w:p>
    <w:p w14:paraId="7DFA5973" w14:textId="4FCAA1FC" w:rsidR="00B202A2" w:rsidRPr="00624ACF" w:rsidRDefault="00B31E90" w:rsidP="00CD7571">
      <w:pPr>
        <w:pStyle w:val="Prrafodelista"/>
        <w:numPr>
          <w:ilvl w:val="0"/>
          <w:numId w:val="1"/>
        </w:numPr>
        <w:tabs>
          <w:tab w:val="left" w:pos="426"/>
        </w:tabs>
        <w:spacing w:line="360" w:lineRule="auto"/>
        <w:jc w:val="both"/>
        <w:rPr>
          <w:rFonts w:ascii="Palatino Linotype" w:hAnsi="Palatino Linotype" w:cs="Arial"/>
        </w:rPr>
      </w:pPr>
      <w:r w:rsidRPr="00624ACF">
        <w:rPr>
          <w:rFonts w:ascii="Palatino Linotype" w:eastAsia="MS Mincho" w:hAnsi="Palatino Linotype" w:cs="Times New Roman"/>
          <w:color w:val="000000" w:themeColor="text1"/>
        </w:rPr>
        <w:lastRenderedPageBreak/>
        <w:t xml:space="preserve">El </w:t>
      </w:r>
      <w:r w:rsidR="00D01D89" w:rsidRPr="00624ACF">
        <w:rPr>
          <w:rFonts w:ascii="Palatino Linotype" w:hAnsi="Palatino Linotype"/>
          <w:color w:val="000000" w:themeColor="text1"/>
          <w:lang w:val="es-ES_tradnl"/>
        </w:rPr>
        <w:t xml:space="preserve">uno (01) de diciembre de dos mil veintiuno, el </w:t>
      </w:r>
      <w:r w:rsidR="00D01D89" w:rsidRPr="00624ACF">
        <w:rPr>
          <w:rFonts w:ascii="Palatino Linotype" w:hAnsi="Palatino Linotype"/>
          <w:b/>
          <w:color w:val="000000" w:themeColor="text1"/>
          <w:lang w:val="es-ES_tradnl"/>
        </w:rPr>
        <w:t>SUJETO OBLIGADO</w:t>
      </w:r>
      <w:r w:rsidR="00D01D89" w:rsidRPr="00624ACF">
        <w:rPr>
          <w:rFonts w:ascii="Palatino Linotype" w:hAnsi="Palatino Linotype"/>
          <w:color w:val="000000" w:themeColor="text1"/>
          <w:lang w:val="es-ES_tradnl"/>
        </w:rPr>
        <w:t xml:space="preserve"> dio respuesta a la solicitud de información en los siguientes términos:</w:t>
      </w:r>
    </w:p>
    <w:p w14:paraId="2BB524BA" w14:textId="5F4EC7CA" w:rsidR="00D01D89" w:rsidRPr="00624ACF" w:rsidRDefault="00D01D89" w:rsidP="00D01D89">
      <w:pPr>
        <w:pStyle w:val="Prrafodelista"/>
        <w:tabs>
          <w:tab w:val="left" w:pos="426"/>
        </w:tabs>
        <w:spacing w:line="360" w:lineRule="auto"/>
        <w:ind w:left="0"/>
        <w:jc w:val="both"/>
        <w:rPr>
          <w:rFonts w:ascii="Palatino Linotype" w:hAnsi="Palatino Linotype" w:cs="Arial"/>
        </w:rPr>
      </w:pPr>
    </w:p>
    <w:p w14:paraId="55F001E7" w14:textId="77777777" w:rsidR="00D01D89" w:rsidRPr="00624ACF" w:rsidRDefault="00D01D89" w:rsidP="00D01D89">
      <w:pPr>
        <w:pStyle w:val="Prrafodelista"/>
        <w:tabs>
          <w:tab w:val="left" w:pos="426"/>
        </w:tabs>
        <w:rPr>
          <w:rFonts w:ascii="Palatino Linotype" w:hAnsi="Palatino Linotype" w:cs="Arial"/>
          <w:i/>
          <w:iCs/>
          <w:sz w:val="22"/>
          <w:szCs w:val="22"/>
        </w:rPr>
      </w:pPr>
      <w:r w:rsidRPr="00624ACF">
        <w:rPr>
          <w:rFonts w:ascii="Palatino Linotype" w:hAnsi="Palatino Linotype" w:cs="Arial"/>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85E95C" w14:textId="77777777" w:rsidR="00D01D89" w:rsidRPr="00624ACF" w:rsidRDefault="00D01D89" w:rsidP="00D01D89">
      <w:pPr>
        <w:pStyle w:val="Prrafodelista"/>
        <w:tabs>
          <w:tab w:val="left" w:pos="426"/>
        </w:tabs>
        <w:rPr>
          <w:rFonts w:ascii="Palatino Linotype" w:hAnsi="Palatino Linotype" w:cs="Arial"/>
          <w:i/>
          <w:iCs/>
          <w:sz w:val="22"/>
          <w:szCs w:val="22"/>
        </w:rPr>
      </w:pPr>
    </w:p>
    <w:p w14:paraId="73566495" w14:textId="77777777" w:rsidR="00D01D89" w:rsidRPr="00624ACF" w:rsidRDefault="00D01D89" w:rsidP="00D01D89">
      <w:pPr>
        <w:pStyle w:val="Prrafodelista"/>
        <w:tabs>
          <w:tab w:val="left" w:pos="426"/>
        </w:tabs>
        <w:rPr>
          <w:rFonts w:ascii="Palatino Linotype" w:hAnsi="Palatino Linotype" w:cs="Arial"/>
          <w:i/>
          <w:iCs/>
          <w:sz w:val="22"/>
          <w:szCs w:val="22"/>
        </w:rPr>
      </w:pPr>
      <w:r w:rsidRPr="00624ACF">
        <w:rPr>
          <w:rFonts w:ascii="Palatino Linotype" w:hAnsi="Palatino Linotype" w:cs="Arial"/>
          <w:i/>
          <w:iCs/>
          <w:sz w:val="22"/>
          <w:szCs w:val="22"/>
        </w:rPr>
        <w:t>Se adjunta respuesta a su solicitud de acceso a la información pública con número de folio 00041/UAI/IP/2021, a fin de dar cumplimiento a su requerimiento.</w:t>
      </w:r>
    </w:p>
    <w:p w14:paraId="545D9333" w14:textId="77777777" w:rsidR="00D01D89" w:rsidRPr="00624ACF" w:rsidRDefault="00D01D89" w:rsidP="00D01D89">
      <w:pPr>
        <w:pStyle w:val="Prrafodelista"/>
        <w:tabs>
          <w:tab w:val="left" w:pos="426"/>
        </w:tabs>
        <w:rPr>
          <w:rFonts w:ascii="Palatino Linotype" w:hAnsi="Palatino Linotype" w:cs="Arial"/>
          <w:i/>
          <w:iCs/>
          <w:sz w:val="22"/>
          <w:szCs w:val="22"/>
        </w:rPr>
      </w:pPr>
    </w:p>
    <w:p w14:paraId="24E4FB19" w14:textId="77777777" w:rsidR="00D01D89" w:rsidRPr="00624ACF" w:rsidRDefault="00D01D89" w:rsidP="00D01D89">
      <w:pPr>
        <w:pStyle w:val="Prrafodelista"/>
        <w:tabs>
          <w:tab w:val="left" w:pos="426"/>
        </w:tabs>
        <w:rPr>
          <w:rFonts w:ascii="Palatino Linotype" w:hAnsi="Palatino Linotype" w:cs="Arial"/>
          <w:i/>
          <w:iCs/>
          <w:sz w:val="22"/>
          <w:szCs w:val="22"/>
        </w:rPr>
      </w:pPr>
      <w:r w:rsidRPr="00624ACF">
        <w:rPr>
          <w:rFonts w:ascii="Palatino Linotype" w:hAnsi="Palatino Linotype" w:cs="Arial"/>
          <w:i/>
          <w:iCs/>
          <w:sz w:val="22"/>
          <w:szCs w:val="22"/>
        </w:rPr>
        <w:t>ATENTAMENTE</w:t>
      </w:r>
    </w:p>
    <w:p w14:paraId="6C537083" w14:textId="28E8C308" w:rsidR="00D01D89" w:rsidRPr="00624ACF" w:rsidRDefault="00D01D89" w:rsidP="00D01D89">
      <w:pPr>
        <w:pStyle w:val="Prrafodelista"/>
        <w:tabs>
          <w:tab w:val="left" w:pos="426"/>
        </w:tabs>
        <w:spacing w:line="276" w:lineRule="auto"/>
        <w:ind w:left="567" w:right="567"/>
        <w:jc w:val="both"/>
        <w:rPr>
          <w:rFonts w:ascii="Palatino Linotype" w:hAnsi="Palatino Linotype" w:cs="Arial"/>
          <w:sz w:val="22"/>
          <w:szCs w:val="22"/>
        </w:rPr>
      </w:pPr>
      <w:r w:rsidRPr="00624ACF">
        <w:rPr>
          <w:rFonts w:ascii="Palatino Linotype" w:hAnsi="Palatino Linotype" w:cs="Arial"/>
          <w:i/>
          <w:iCs/>
          <w:sz w:val="22"/>
          <w:szCs w:val="22"/>
        </w:rPr>
        <w:t>LIC. MIRIAM ROCÍO SANTANA RAMÍREZ”</w:t>
      </w:r>
      <w:r w:rsidRPr="00624ACF">
        <w:rPr>
          <w:rFonts w:ascii="Palatino Linotype" w:hAnsi="Palatino Linotype" w:cs="Arial"/>
          <w:sz w:val="22"/>
          <w:szCs w:val="22"/>
        </w:rPr>
        <w:t xml:space="preserve"> (Sic)</w:t>
      </w:r>
    </w:p>
    <w:p w14:paraId="0560C799" w14:textId="77777777" w:rsidR="00D01D89" w:rsidRPr="00624ACF" w:rsidRDefault="00D01D89" w:rsidP="00D01D89">
      <w:pPr>
        <w:pStyle w:val="Prrafodelista"/>
        <w:tabs>
          <w:tab w:val="left" w:pos="426"/>
        </w:tabs>
        <w:spacing w:line="360" w:lineRule="auto"/>
        <w:ind w:left="0"/>
        <w:jc w:val="both"/>
        <w:rPr>
          <w:rFonts w:ascii="Palatino Linotype" w:hAnsi="Palatino Linotype" w:cs="Arial"/>
        </w:rPr>
      </w:pPr>
    </w:p>
    <w:p w14:paraId="538EB28F" w14:textId="6A4DB329" w:rsidR="00D01D89" w:rsidRPr="00624ACF" w:rsidRDefault="00D01D89" w:rsidP="00CD7571">
      <w:pPr>
        <w:pStyle w:val="Prrafodelista"/>
        <w:numPr>
          <w:ilvl w:val="0"/>
          <w:numId w:val="1"/>
        </w:numPr>
        <w:tabs>
          <w:tab w:val="left" w:pos="426"/>
        </w:tabs>
        <w:spacing w:line="360" w:lineRule="auto"/>
        <w:jc w:val="both"/>
        <w:rPr>
          <w:rFonts w:ascii="Palatino Linotype" w:hAnsi="Palatino Linotype" w:cs="Arial"/>
        </w:rPr>
      </w:pPr>
      <w:r w:rsidRPr="00624ACF">
        <w:rPr>
          <w:rFonts w:ascii="Palatino Linotype" w:eastAsia="MS Mincho" w:hAnsi="Palatino Linotype" w:cs="Times New Roman"/>
          <w:color w:val="000000" w:themeColor="text1"/>
        </w:rPr>
        <w:t xml:space="preserve">El </w:t>
      </w:r>
      <w:r w:rsidRPr="00624ACF">
        <w:rPr>
          <w:rFonts w:ascii="Palatino Linotype" w:eastAsia="MS Mincho" w:hAnsi="Palatino Linotype" w:cs="Times New Roman"/>
          <w:b/>
          <w:bCs/>
          <w:color w:val="000000" w:themeColor="text1"/>
        </w:rPr>
        <w:t>SUJETO OBLIGADO</w:t>
      </w:r>
      <w:r w:rsidRPr="00624ACF">
        <w:rPr>
          <w:rFonts w:ascii="Palatino Linotype" w:eastAsia="MS Mincho" w:hAnsi="Palatino Linotype" w:cs="Times New Roman"/>
          <w:color w:val="000000" w:themeColor="text1"/>
        </w:rPr>
        <w:t xml:space="preserve"> </w:t>
      </w:r>
      <w:r w:rsidRPr="00624ACF">
        <w:rPr>
          <w:rFonts w:ascii="Palatino Linotype" w:hAnsi="Palatino Linotype"/>
          <w:color w:val="000000" w:themeColor="text1"/>
          <w:lang w:val="es-ES_tradnl"/>
        </w:rPr>
        <w:t>acompañó su respuesta con los archivos electrónicos cuyo contenido se describe a continuación:</w:t>
      </w:r>
    </w:p>
    <w:p w14:paraId="31894F3B" w14:textId="77777777" w:rsidR="00D01D89" w:rsidRPr="00624ACF" w:rsidRDefault="00D01D89" w:rsidP="00BF3FA6">
      <w:pPr>
        <w:pStyle w:val="Prrafodelista"/>
        <w:numPr>
          <w:ilvl w:val="1"/>
          <w:numId w:val="5"/>
        </w:numPr>
        <w:tabs>
          <w:tab w:val="left" w:pos="284"/>
          <w:tab w:val="left" w:pos="426"/>
        </w:tabs>
        <w:spacing w:line="360" w:lineRule="auto"/>
        <w:ind w:left="1134"/>
        <w:jc w:val="both"/>
        <w:rPr>
          <w:rFonts w:ascii="Palatino Linotype" w:hAnsi="Palatino Linotype"/>
          <w:color w:val="000000" w:themeColor="text1"/>
          <w:lang w:val="es-ES_tradnl"/>
        </w:rPr>
      </w:pPr>
      <w:r w:rsidRPr="00624ACF">
        <w:rPr>
          <w:rFonts w:ascii="Palatino Linotype" w:hAnsi="Palatino Linotype"/>
          <w:b/>
          <w:i/>
          <w:color w:val="000000" w:themeColor="text1"/>
          <w:lang w:val="es-ES_tradnl"/>
        </w:rPr>
        <w:t>“RESPUESTA A LA SOLICITUD.pdf”</w:t>
      </w:r>
      <w:r w:rsidRPr="00624ACF">
        <w:rPr>
          <w:rFonts w:ascii="Palatino Linotype" w:hAnsi="Palatino Linotype"/>
          <w:color w:val="000000" w:themeColor="text1"/>
          <w:lang w:val="es-ES_tradnl"/>
        </w:rPr>
        <w:t>: Documento de dos fojas consistente en el oficio número 206C0301030000L/502/2021, de treinta (30) de noviembre de dos mil veintiuno, emitido por la Titular de la Unidad de Transparencia, por medio del cual, presenta al particular las Actas emitidas de la Primera a la Quinta Sesión Ordinaria del Consejo Directivo, en versión pública, e informa que a la fecha de la presentación de su solicitud, no se habían celebrado Sesiones Extraordinarias.</w:t>
      </w:r>
    </w:p>
    <w:p w14:paraId="7BB163E5" w14:textId="77777777" w:rsidR="00D01D89" w:rsidRPr="00624ACF" w:rsidRDefault="00D01D89" w:rsidP="00BF3FA6">
      <w:pPr>
        <w:pStyle w:val="Prrafodelista"/>
        <w:numPr>
          <w:ilvl w:val="1"/>
          <w:numId w:val="5"/>
        </w:numPr>
        <w:tabs>
          <w:tab w:val="left" w:pos="284"/>
          <w:tab w:val="left" w:pos="426"/>
        </w:tabs>
        <w:spacing w:line="360" w:lineRule="auto"/>
        <w:ind w:left="1134"/>
        <w:jc w:val="both"/>
        <w:rPr>
          <w:rFonts w:ascii="Palatino Linotype" w:hAnsi="Palatino Linotype"/>
          <w:color w:val="000000" w:themeColor="text1"/>
          <w:lang w:val="es-ES_tradnl"/>
        </w:rPr>
      </w:pPr>
      <w:r w:rsidRPr="00624ACF">
        <w:rPr>
          <w:rFonts w:ascii="Palatino Linotype" w:hAnsi="Palatino Linotype"/>
          <w:b/>
          <w:i/>
          <w:color w:val="000000" w:themeColor="text1"/>
          <w:lang w:val="es-ES_tradnl"/>
        </w:rPr>
        <w:t>“OFICIO SPH Y PRUEBA DE DAÑO.pdf”</w:t>
      </w:r>
      <w:r w:rsidRPr="00624ACF">
        <w:rPr>
          <w:rFonts w:ascii="Palatino Linotype" w:hAnsi="Palatino Linotype"/>
          <w:color w:val="000000" w:themeColor="text1"/>
          <w:lang w:val="es-ES_tradnl"/>
        </w:rPr>
        <w:t>: Documento de 10 fojas consistente en los siguientes instrumentos:</w:t>
      </w:r>
    </w:p>
    <w:p w14:paraId="5F5243BF" w14:textId="77777777" w:rsidR="00D01D89" w:rsidRPr="00624ACF" w:rsidRDefault="00D01D89" w:rsidP="00BF3FA6">
      <w:pPr>
        <w:pStyle w:val="Prrafodelista"/>
        <w:numPr>
          <w:ilvl w:val="2"/>
          <w:numId w:val="6"/>
        </w:numPr>
        <w:tabs>
          <w:tab w:val="left" w:pos="284"/>
          <w:tab w:val="left" w:pos="426"/>
        </w:tabs>
        <w:spacing w:line="360" w:lineRule="auto"/>
        <w:ind w:left="1701" w:hanging="425"/>
        <w:jc w:val="both"/>
        <w:rPr>
          <w:rFonts w:ascii="Palatino Linotype" w:hAnsi="Palatino Linotype"/>
          <w:color w:val="000000" w:themeColor="text1"/>
          <w:lang w:val="es-ES_tradnl"/>
        </w:rPr>
      </w:pPr>
      <w:r w:rsidRPr="00624ACF">
        <w:rPr>
          <w:rFonts w:ascii="Palatino Linotype" w:hAnsi="Palatino Linotype"/>
          <w:color w:val="000000" w:themeColor="text1"/>
          <w:lang w:val="es-ES_tradnl"/>
        </w:rPr>
        <w:t xml:space="preserve">Oficio número 206C0301000100S/77/2021, de diecinueve (19) de noviembre de dos mil veintiuno, emitido por la Jefa de la Unidad de Normatividad, Apoyo Jurídico e Igualdad de Género, y dirigido a la Titular de la Unidad de Transparencia, por el que refiere la </w:t>
      </w:r>
      <w:r w:rsidRPr="00624ACF">
        <w:rPr>
          <w:rFonts w:ascii="Palatino Linotype" w:hAnsi="Palatino Linotype"/>
          <w:color w:val="000000" w:themeColor="text1"/>
          <w:lang w:val="es-ES_tradnl"/>
        </w:rPr>
        <w:lastRenderedPageBreak/>
        <w:t>entrega de las Actas de las cinco Sesiones Ordinarias llevadas a cabo por el Consejo Directivo 2021, en versión pública.</w:t>
      </w:r>
    </w:p>
    <w:p w14:paraId="71FDE474" w14:textId="77777777" w:rsidR="00D01D89" w:rsidRPr="00624ACF" w:rsidRDefault="00D01D89" w:rsidP="00BF3FA6">
      <w:pPr>
        <w:pStyle w:val="Prrafodelista"/>
        <w:numPr>
          <w:ilvl w:val="2"/>
          <w:numId w:val="6"/>
        </w:numPr>
        <w:tabs>
          <w:tab w:val="left" w:pos="284"/>
          <w:tab w:val="left" w:pos="426"/>
        </w:tabs>
        <w:spacing w:line="360" w:lineRule="auto"/>
        <w:ind w:left="1701" w:hanging="425"/>
        <w:jc w:val="both"/>
        <w:rPr>
          <w:rFonts w:ascii="Palatino Linotype" w:hAnsi="Palatino Linotype"/>
          <w:color w:val="000000" w:themeColor="text1"/>
          <w:lang w:val="es-ES_tradnl"/>
        </w:rPr>
      </w:pPr>
      <w:r w:rsidRPr="00624ACF">
        <w:rPr>
          <w:rFonts w:ascii="Palatino Linotype" w:hAnsi="Palatino Linotype"/>
          <w:color w:val="000000" w:themeColor="text1"/>
          <w:lang w:val="es-ES_tradnl"/>
        </w:rPr>
        <w:t xml:space="preserve">Prueba de daño realizada por la Unidad de Normatividad, Apoyo Jurídico e Igualdad de Género, sobre la información requerida a través de la solicitud </w:t>
      </w:r>
      <w:r w:rsidRPr="00624ACF">
        <w:rPr>
          <w:rFonts w:ascii="Palatino Linotype" w:hAnsi="Palatino Linotype"/>
          <w:b/>
          <w:color w:val="000000" w:themeColor="text1"/>
          <w:lang w:val="es-ES_tradnl"/>
        </w:rPr>
        <w:t>00041/UAI/IP/2021</w:t>
      </w:r>
      <w:r w:rsidRPr="00624ACF">
        <w:rPr>
          <w:rFonts w:ascii="Palatino Linotype" w:hAnsi="Palatino Linotype"/>
          <w:color w:val="000000" w:themeColor="text1"/>
          <w:lang w:val="es-ES_tradnl"/>
        </w:rPr>
        <w:t>.</w:t>
      </w:r>
    </w:p>
    <w:p w14:paraId="34322FD3" w14:textId="77777777" w:rsidR="00D01D89" w:rsidRPr="00624ACF" w:rsidRDefault="00D01D89" w:rsidP="00BF3FA6">
      <w:pPr>
        <w:pStyle w:val="Prrafodelista"/>
        <w:numPr>
          <w:ilvl w:val="1"/>
          <w:numId w:val="5"/>
        </w:numPr>
        <w:tabs>
          <w:tab w:val="left" w:pos="284"/>
          <w:tab w:val="left" w:pos="426"/>
        </w:tabs>
        <w:spacing w:line="360" w:lineRule="auto"/>
        <w:ind w:left="1134"/>
        <w:jc w:val="both"/>
        <w:rPr>
          <w:rFonts w:ascii="Palatino Linotype" w:hAnsi="Palatino Linotype"/>
          <w:color w:val="000000" w:themeColor="text1"/>
          <w:lang w:val="es-ES_tradnl"/>
        </w:rPr>
      </w:pPr>
      <w:r w:rsidRPr="00624ACF">
        <w:rPr>
          <w:rFonts w:ascii="Palatino Linotype" w:hAnsi="Palatino Linotype"/>
          <w:b/>
          <w:i/>
          <w:color w:val="000000" w:themeColor="text1"/>
          <w:lang w:val="es-ES_tradnl"/>
        </w:rPr>
        <w:t>“SESIONES CONSEJO DIRECTIVO.pdf”</w:t>
      </w:r>
      <w:r w:rsidRPr="00624ACF">
        <w:rPr>
          <w:rFonts w:ascii="Palatino Linotype" w:hAnsi="Palatino Linotype"/>
          <w:color w:val="000000" w:themeColor="text1"/>
          <w:lang w:val="es-ES_tradnl"/>
        </w:rPr>
        <w:t>: Documento de 65 fojas consistente en las siguientes Actas:</w:t>
      </w:r>
    </w:p>
    <w:p w14:paraId="04618AE5" w14:textId="77777777" w:rsidR="00D01D89" w:rsidRPr="00624ACF" w:rsidRDefault="00D01D89" w:rsidP="00BF3FA6">
      <w:pPr>
        <w:pStyle w:val="Prrafodelista"/>
        <w:numPr>
          <w:ilvl w:val="2"/>
          <w:numId w:val="7"/>
        </w:numPr>
        <w:tabs>
          <w:tab w:val="left" w:pos="284"/>
          <w:tab w:val="left" w:pos="426"/>
        </w:tabs>
        <w:spacing w:line="360" w:lineRule="auto"/>
        <w:ind w:left="1701" w:hanging="425"/>
        <w:jc w:val="both"/>
        <w:rPr>
          <w:rFonts w:ascii="Palatino Linotype" w:hAnsi="Palatino Linotype"/>
          <w:color w:val="000000" w:themeColor="text1"/>
          <w:lang w:val="es-ES_tradnl"/>
        </w:rPr>
      </w:pPr>
      <w:bookmarkStart w:id="3" w:name="_Hlk118368964"/>
      <w:r w:rsidRPr="00624ACF">
        <w:rPr>
          <w:rFonts w:ascii="Palatino Linotype" w:hAnsi="Palatino Linotype"/>
          <w:color w:val="000000" w:themeColor="text1"/>
          <w:lang w:val="es-ES_tradnl"/>
        </w:rPr>
        <w:t>Acta de la Primera Sesión Ordinaria del Consejo Directivo de la Unidad de Asuntos Internos, en versión pública, celebrada el veintitrés (23) de marzo de dos mil veintiuno.</w:t>
      </w:r>
    </w:p>
    <w:p w14:paraId="2D1A337B" w14:textId="77777777" w:rsidR="00D01D89" w:rsidRPr="00624ACF" w:rsidRDefault="00D01D89" w:rsidP="00BF3FA6">
      <w:pPr>
        <w:pStyle w:val="Prrafodelista"/>
        <w:numPr>
          <w:ilvl w:val="2"/>
          <w:numId w:val="7"/>
        </w:numPr>
        <w:tabs>
          <w:tab w:val="left" w:pos="284"/>
          <w:tab w:val="left" w:pos="426"/>
        </w:tabs>
        <w:spacing w:line="360" w:lineRule="auto"/>
        <w:ind w:left="1701" w:hanging="425"/>
        <w:jc w:val="both"/>
        <w:rPr>
          <w:rFonts w:ascii="Palatino Linotype" w:hAnsi="Palatino Linotype"/>
          <w:color w:val="000000" w:themeColor="text1"/>
          <w:lang w:val="es-ES_tradnl"/>
        </w:rPr>
      </w:pPr>
      <w:r w:rsidRPr="00624ACF">
        <w:rPr>
          <w:rFonts w:ascii="Palatino Linotype" w:hAnsi="Palatino Linotype"/>
          <w:color w:val="000000" w:themeColor="text1"/>
          <w:lang w:val="es-ES_tradnl"/>
        </w:rPr>
        <w:t>Acta de la Segunda Sesión Ordinaria del Consejo Directivo de la Unidad de Asuntos Internos, en versión pública, celebrada el veintiséis (26) de mayo de dos mil veintiuno.</w:t>
      </w:r>
    </w:p>
    <w:p w14:paraId="6135C9AD" w14:textId="77777777" w:rsidR="00D01D89" w:rsidRPr="00624ACF" w:rsidRDefault="00D01D89" w:rsidP="00BF3FA6">
      <w:pPr>
        <w:pStyle w:val="Prrafodelista"/>
        <w:numPr>
          <w:ilvl w:val="2"/>
          <w:numId w:val="7"/>
        </w:numPr>
        <w:tabs>
          <w:tab w:val="left" w:pos="284"/>
          <w:tab w:val="left" w:pos="426"/>
        </w:tabs>
        <w:spacing w:line="360" w:lineRule="auto"/>
        <w:ind w:left="1701" w:hanging="425"/>
        <w:jc w:val="both"/>
        <w:rPr>
          <w:rFonts w:ascii="Palatino Linotype" w:hAnsi="Palatino Linotype"/>
          <w:color w:val="000000" w:themeColor="text1"/>
          <w:lang w:val="es-ES_tradnl"/>
        </w:rPr>
      </w:pPr>
      <w:r w:rsidRPr="00624ACF">
        <w:rPr>
          <w:rFonts w:ascii="Palatino Linotype" w:hAnsi="Palatino Linotype"/>
          <w:color w:val="000000" w:themeColor="text1"/>
          <w:lang w:val="es-ES_tradnl"/>
        </w:rPr>
        <w:t>Acta de la Tercera Sesión Ordinaria del Consejo Directivo de la Unidad de Asuntos Internos, en versión pública, celebrada el tres (03) de agosto de dos mil veintiuno.</w:t>
      </w:r>
    </w:p>
    <w:p w14:paraId="6786E370" w14:textId="77777777" w:rsidR="00D01D89" w:rsidRPr="00624ACF" w:rsidRDefault="00D01D89" w:rsidP="00BF3FA6">
      <w:pPr>
        <w:pStyle w:val="Prrafodelista"/>
        <w:numPr>
          <w:ilvl w:val="2"/>
          <w:numId w:val="7"/>
        </w:numPr>
        <w:tabs>
          <w:tab w:val="left" w:pos="284"/>
          <w:tab w:val="left" w:pos="426"/>
        </w:tabs>
        <w:spacing w:line="360" w:lineRule="auto"/>
        <w:ind w:left="1701" w:hanging="425"/>
        <w:jc w:val="both"/>
        <w:rPr>
          <w:rFonts w:ascii="Palatino Linotype" w:hAnsi="Palatino Linotype"/>
          <w:color w:val="000000" w:themeColor="text1"/>
          <w:lang w:val="es-ES_tradnl"/>
        </w:rPr>
      </w:pPr>
      <w:r w:rsidRPr="00624ACF">
        <w:rPr>
          <w:rFonts w:ascii="Palatino Linotype" w:hAnsi="Palatino Linotype"/>
          <w:color w:val="000000" w:themeColor="text1"/>
          <w:lang w:val="es-ES_tradnl"/>
        </w:rPr>
        <w:t>Acta de la Cuarta Sesión Ordinaria del Consejo Directivo de la Unidad de Asuntos Internos, en versión pública, celebrada el ocho (08) de septiembre de dos mil veintiuno.</w:t>
      </w:r>
    </w:p>
    <w:p w14:paraId="3CD0279D" w14:textId="77777777" w:rsidR="00D01D89" w:rsidRPr="00624ACF" w:rsidRDefault="00D01D89" w:rsidP="00BF3FA6">
      <w:pPr>
        <w:pStyle w:val="Prrafodelista"/>
        <w:numPr>
          <w:ilvl w:val="2"/>
          <w:numId w:val="7"/>
        </w:numPr>
        <w:tabs>
          <w:tab w:val="left" w:pos="284"/>
          <w:tab w:val="left" w:pos="426"/>
        </w:tabs>
        <w:spacing w:line="360" w:lineRule="auto"/>
        <w:ind w:left="1701" w:hanging="425"/>
        <w:jc w:val="both"/>
        <w:rPr>
          <w:rFonts w:ascii="Palatino Linotype" w:hAnsi="Palatino Linotype"/>
          <w:color w:val="000000" w:themeColor="text1"/>
          <w:lang w:val="es-ES_tradnl"/>
        </w:rPr>
      </w:pPr>
      <w:r w:rsidRPr="00624ACF">
        <w:rPr>
          <w:rFonts w:ascii="Palatino Linotype" w:hAnsi="Palatino Linotype"/>
          <w:color w:val="000000" w:themeColor="text1"/>
          <w:lang w:val="es-ES_tradnl"/>
        </w:rPr>
        <w:t>Acta de la Quinta Sesión Ordinaria del Consejo Directivo de la Unidad de Asuntos Internos, en versión pública, celebrada el dieciocho (18) de octubre de dos mil veintiuno.</w:t>
      </w:r>
      <w:bookmarkEnd w:id="3"/>
    </w:p>
    <w:p w14:paraId="41DF21D5" w14:textId="188C8967" w:rsidR="00D01D89" w:rsidRPr="00624ACF" w:rsidRDefault="00D01D89" w:rsidP="00BF3FA6">
      <w:pPr>
        <w:pStyle w:val="Prrafodelista"/>
        <w:numPr>
          <w:ilvl w:val="1"/>
          <w:numId w:val="5"/>
        </w:numPr>
        <w:tabs>
          <w:tab w:val="left" w:pos="426"/>
        </w:tabs>
        <w:spacing w:line="360" w:lineRule="auto"/>
        <w:jc w:val="both"/>
        <w:rPr>
          <w:rFonts w:ascii="Palatino Linotype" w:hAnsi="Palatino Linotype" w:cs="Arial"/>
        </w:rPr>
      </w:pPr>
      <w:r w:rsidRPr="00624ACF">
        <w:rPr>
          <w:rFonts w:ascii="Palatino Linotype" w:hAnsi="Palatino Linotype"/>
          <w:b/>
          <w:i/>
          <w:color w:val="000000" w:themeColor="text1"/>
          <w:lang w:val="es-ES_tradnl"/>
        </w:rPr>
        <w:t>“ACTA DÉCIMO TERCERA EXTRAORDINARIA.pdf”</w:t>
      </w:r>
      <w:r w:rsidRPr="00624ACF">
        <w:rPr>
          <w:rFonts w:ascii="Palatino Linotype" w:hAnsi="Palatino Linotype"/>
          <w:color w:val="000000" w:themeColor="text1"/>
          <w:lang w:val="es-ES_tradnl"/>
        </w:rPr>
        <w:t xml:space="preserve">: Documento de 14 fojas consistente en el Acta de la Décimo Tercera Sesión Extraordinaria del Comité de Transparencia, celebrada el treinta (30) </w:t>
      </w:r>
      <w:r w:rsidRPr="00624ACF">
        <w:rPr>
          <w:rFonts w:ascii="Palatino Linotype" w:hAnsi="Palatino Linotype"/>
          <w:color w:val="000000" w:themeColor="text1"/>
          <w:lang w:val="es-ES_tradnl"/>
        </w:rPr>
        <w:lastRenderedPageBreak/>
        <w:t>de noviembre de dos mil veintiuno, a través de la cual, se aprobó la clasificación, como reservada y de manera parcial, de la información contenida en las Actas del Consejo Directivo, del ejercicio dos mil veintiuno.</w:t>
      </w:r>
    </w:p>
    <w:p w14:paraId="1F31691B" w14:textId="77777777" w:rsidR="00833877" w:rsidRPr="00624ACF" w:rsidRDefault="00833877" w:rsidP="00833877">
      <w:pPr>
        <w:pStyle w:val="Prrafodelista"/>
        <w:tabs>
          <w:tab w:val="left" w:pos="426"/>
        </w:tabs>
        <w:spacing w:line="360" w:lineRule="auto"/>
        <w:ind w:left="0"/>
        <w:jc w:val="both"/>
        <w:rPr>
          <w:rFonts w:ascii="Palatino Linotype" w:hAnsi="Palatino Linotype" w:cs="Arial"/>
        </w:rPr>
      </w:pPr>
    </w:p>
    <w:p w14:paraId="272B63B3" w14:textId="04E9EE25" w:rsidR="000D5A1D" w:rsidRPr="00624ACF" w:rsidRDefault="00D01D89" w:rsidP="00E6530C">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24ACF">
        <w:rPr>
          <w:rFonts w:ascii="Palatino Linotype" w:eastAsia="Times New Roman" w:hAnsi="Palatino Linotype" w:cs="Arial"/>
          <w:color w:val="000000" w:themeColor="text1"/>
          <w:lang w:val="es-ES"/>
        </w:rPr>
        <w:t>El</w:t>
      </w:r>
      <w:r w:rsidR="00DB4BEF" w:rsidRPr="00624ACF">
        <w:rPr>
          <w:rFonts w:ascii="Palatino Linotype" w:eastAsia="Times New Roman" w:hAnsi="Palatino Linotype" w:cs="Arial"/>
          <w:color w:val="000000" w:themeColor="text1"/>
          <w:lang w:val="es-ES"/>
        </w:rPr>
        <w:t xml:space="preserve"> </w:t>
      </w:r>
      <w:r w:rsidRPr="00624ACF">
        <w:rPr>
          <w:rFonts w:ascii="Palatino Linotype" w:hAnsi="Palatino Linotype" w:cs="Arial"/>
          <w:color w:val="000000" w:themeColor="text1"/>
        </w:rPr>
        <w:t>trece (13) de diciembre de dos mil veintiuno, el particular interpuso el recurso de revisión</w:t>
      </w:r>
      <w:r w:rsidRPr="00624ACF">
        <w:rPr>
          <w:rFonts w:ascii="Palatino Linotype" w:hAnsi="Palatino Linotype"/>
          <w:color w:val="000000" w:themeColor="text1"/>
        </w:rPr>
        <w:t xml:space="preserve"> </w:t>
      </w:r>
      <w:r w:rsidRPr="00624ACF">
        <w:rPr>
          <w:rFonts w:ascii="Palatino Linotype" w:eastAsia="Calibri" w:hAnsi="Palatino Linotype" w:cs="Arial"/>
          <w:b/>
          <w:color w:val="000000" w:themeColor="text1"/>
        </w:rPr>
        <w:t>06268/INFOEM/IP/RR/2021;</w:t>
      </w:r>
      <w:r w:rsidRPr="00624ACF">
        <w:rPr>
          <w:rFonts w:ascii="Palatino Linotype" w:hAnsi="Palatino Linotype" w:cs="Arial"/>
          <w:color w:val="000000" w:themeColor="text1"/>
        </w:rPr>
        <w:t xml:space="preserve"> impugnación en la que refirió lo siguiente:</w:t>
      </w:r>
    </w:p>
    <w:p w14:paraId="054906C6" w14:textId="77777777" w:rsidR="00E34622" w:rsidRPr="00624ACF" w:rsidRDefault="00E34622" w:rsidP="00E6530C">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5059813F" w:rsidR="00E34622" w:rsidRPr="00624ACF" w:rsidRDefault="00E34622" w:rsidP="00833877">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sz w:val="22"/>
          <w:szCs w:val="22"/>
          <w:lang w:val="es-ES"/>
        </w:rPr>
      </w:pPr>
      <w:r w:rsidRPr="00624ACF">
        <w:rPr>
          <w:rFonts w:ascii="Palatino Linotype" w:eastAsia="Times New Roman" w:hAnsi="Palatino Linotype" w:cs="Arial"/>
          <w:b/>
          <w:color w:val="000000" w:themeColor="text1"/>
          <w:sz w:val="22"/>
          <w:szCs w:val="22"/>
          <w:lang w:val="es-ES"/>
        </w:rPr>
        <w:t>Acto impugnado:</w:t>
      </w:r>
      <w:r w:rsidRPr="00624ACF">
        <w:rPr>
          <w:rFonts w:ascii="Palatino Linotype" w:eastAsia="Times New Roman" w:hAnsi="Palatino Linotype" w:cs="Arial"/>
          <w:color w:val="000000" w:themeColor="text1"/>
          <w:sz w:val="22"/>
          <w:szCs w:val="22"/>
          <w:lang w:val="es-ES"/>
        </w:rPr>
        <w:t xml:space="preserve"> “</w:t>
      </w:r>
      <w:r w:rsidR="00D01D89" w:rsidRPr="00624ACF">
        <w:rPr>
          <w:rFonts w:ascii="Palatino Linotype" w:eastAsia="Times New Roman" w:hAnsi="Palatino Linotype" w:cs="Arial"/>
          <w:i/>
          <w:color w:val="000000" w:themeColor="text1"/>
          <w:sz w:val="22"/>
          <w:szCs w:val="22"/>
          <w:lang w:val="es-ES"/>
        </w:rPr>
        <w:t xml:space="preserve">a) El oficio SPH y PRUEBA DE DAÑO de fecha 19 de noviembre del año 2021, firmado por la Licenciada Karen </w:t>
      </w:r>
      <w:proofErr w:type="spellStart"/>
      <w:r w:rsidR="00D01D89" w:rsidRPr="00624ACF">
        <w:rPr>
          <w:rFonts w:ascii="Palatino Linotype" w:eastAsia="Times New Roman" w:hAnsi="Palatino Linotype" w:cs="Arial"/>
          <w:i/>
          <w:color w:val="000000" w:themeColor="text1"/>
          <w:sz w:val="22"/>
          <w:szCs w:val="22"/>
          <w:lang w:val="es-ES"/>
        </w:rPr>
        <w:t>Ivete</w:t>
      </w:r>
      <w:proofErr w:type="spellEnd"/>
      <w:r w:rsidR="00D01D89" w:rsidRPr="00624ACF">
        <w:rPr>
          <w:rFonts w:ascii="Palatino Linotype" w:eastAsia="Times New Roman" w:hAnsi="Palatino Linotype" w:cs="Arial"/>
          <w:i/>
          <w:color w:val="000000" w:themeColor="text1"/>
          <w:sz w:val="22"/>
          <w:szCs w:val="22"/>
          <w:lang w:val="es-ES"/>
        </w:rPr>
        <w:t xml:space="preserve"> Sánchez Delgado en su calidad de Jefa de la Unidad de Normatividad y Apoyo Jurídico e Igualdad de Género de la Unidad de Asuntos Internos. b) El acta Décimo Tercera Sesión Extraordinaria 2021, de fecha 30 de noviembre del año 2021, identificada bajo el número UAI-CT-EXT-13-2021, firmada por el Comité de Transparencia de la Unidad de Asuntos Internos. c) La respuesta identificada bajo el número 206C0301030000L/502/2021, de fecha 30 de noviembre del año 2021, firmado por la Licenciada Miriam Rocío Santana Ramírez, Titular de la Unidad de Transparencia de la Unidad de Asuntos Internos.</w:t>
      </w:r>
      <w:r w:rsidRPr="00624ACF">
        <w:rPr>
          <w:rFonts w:ascii="Palatino Linotype" w:eastAsia="Times New Roman" w:hAnsi="Palatino Linotype" w:cs="Arial"/>
          <w:i/>
          <w:color w:val="000000" w:themeColor="text1"/>
          <w:sz w:val="22"/>
          <w:szCs w:val="22"/>
          <w:lang w:val="es-ES"/>
        </w:rPr>
        <w:t>”</w:t>
      </w:r>
      <w:r w:rsidRPr="00624ACF">
        <w:rPr>
          <w:rFonts w:ascii="Palatino Linotype" w:eastAsia="Times New Roman" w:hAnsi="Palatino Linotype" w:cs="Arial"/>
          <w:color w:val="000000" w:themeColor="text1"/>
          <w:sz w:val="22"/>
          <w:szCs w:val="22"/>
          <w:lang w:val="es-ES"/>
        </w:rPr>
        <w:t xml:space="preserve"> (Sic).</w:t>
      </w:r>
    </w:p>
    <w:p w14:paraId="38724B8B" w14:textId="77777777" w:rsidR="001468E9" w:rsidRPr="00624ACF" w:rsidRDefault="001468E9" w:rsidP="00E6530C">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1CF0066B" w:rsidR="00E34622" w:rsidRPr="00624ACF" w:rsidRDefault="00E34622" w:rsidP="00833877">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sz w:val="22"/>
          <w:szCs w:val="22"/>
          <w:lang w:val="es-ES"/>
        </w:rPr>
      </w:pPr>
      <w:r w:rsidRPr="00624ACF">
        <w:rPr>
          <w:rFonts w:ascii="Palatino Linotype" w:eastAsia="Times New Roman" w:hAnsi="Palatino Linotype" w:cs="Arial"/>
          <w:b/>
          <w:color w:val="000000" w:themeColor="text1"/>
          <w:sz w:val="22"/>
          <w:szCs w:val="22"/>
          <w:lang w:val="es-ES"/>
        </w:rPr>
        <w:t>Razones o motivos de inconformidad:</w:t>
      </w:r>
      <w:r w:rsidRPr="00624ACF">
        <w:rPr>
          <w:rFonts w:ascii="Palatino Linotype" w:eastAsia="Times New Roman" w:hAnsi="Palatino Linotype" w:cs="Arial"/>
          <w:color w:val="000000" w:themeColor="text1"/>
          <w:sz w:val="22"/>
          <w:szCs w:val="22"/>
          <w:lang w:val="es-ES"/>
        </w:rPr>
        <w:t xml:space="preserve"> “</w:t>
      </w:r>
      <w:r w:rsidR="00D01D89" w:rsidRPr="00624ACF">
        <w:rPr>
          <w:rFonts w:ascii="Palatino Linotype" w:hAnsi="Palatino Linotype"/>
          <w:i/>
          <w:iCs/>
          <w:color w:val="000000"/>
          <w:sz w:val="22"/>
          <w:szCs w:val="22"/>
          <w:lang w:val="es-ES"/>
        </w:rPr>
        <w:t xml:space="preserve">FALTA DE FUNDAMENTACIÓN, MOTIVACIÓN, Y ADEMÁS SEÑALAN ATRIBUCIONES QUE NO LE CORRESPONDEN PUES LA SEGURIDAD PÚBLICA SE EJERCE A TRAVÉS DEL TITULAR DE LA SECRETARÍA DE SEGURIDAD DEL ESTADO DE MÉXICO, ES DECIR, LA UNIDAD DE ASUNTOS INTERNOS ES UN ÓRGANISMO PÚBLICO DESCENTRALIZADO ENCARGADO DE INSPECCIONAR, SUPERVISAR Y VIGILAR QUE EL PERSONAL ADSCRITO A LA SECRETARÍA MENCIONADA CUMPLAN CON LAS DISPOSICIONES LEGALES PREVIAMENTE </w:t>
      </w:r>
      <w:r w:rsidR="00D01D89" w:rsidRPr="00624ACF">
        <w:rPr>
          <w:rFonts w:ascii="Palatino Linotype" w:hAnsi="Palatino Linotype"/>
          <w:i/>
          <w:iCs/>
          <w:color w:val="000000"/>
          <w:sz w:val="22"/>
          <w:szCs w:val="22"/>
          <w:lang w:val="es-ES"/>
        </w:rPr>
        <w:lastRenderedPageBreak/>
        <w:t>ESTABLECIDAS RESPECTO DE SU ACTUAR, POR LO QUE ME PERMITO AGREGAR AL PRESENTE ESCRITO QUE CONTIENE LAS MANIFESTACIONES DE HECHO Y DE DERECHO QUE SE HACEN VALER, ADEMAS DE LO ANTERIOR, SI TOMAMOS EN CONSIDERACIÓN QUE LA NOTIFICACIÓN SE REALIZÓ EL DÍA 01/12/2021, AL RESPECTO, DICHOS DOCUMENTOS NO SE HABÍAN RESERVADO HASTA EK DÍA 02/12/2021, PUES LAS NOTIFICACIONES SURTEN SUS EFECTOS AL DÍA HÁBIL SIGUIENTE, ES DECIR, EL DÍA 30/11/2021 SE LLEVÓ A CABO LA SESIÓN, EL DÍA 01/12/2021, SE ME HIZO DEL CONOCIMIENTO DICHA DETERMINACIÓN, Y ES HASTA EL DÍA 02/12/2021 CUANDO SURTE SUS EFECTOS DICHA DETERMINACIÓN TAL Y COMO VIENE SEÑALADO EN EL APARTADO DE NOTIFICACIONES DEL CÓDIGO DE PROCEDIMIENTOS ADMINISTRATIVOS DEL ESTADO DE MÉXICO</w:t>
      </w:r>
      <w:r w:rsidRPr="00624ACF">
        <w:rPr>
          <w:rFonts w:ascii="Palatino Linotype" w:eastAsia="Times New Roman" w:hAnsi="Palatino Linotype" w:cs="Arial"/>
          <w:i/>
          <w:color w:val="000000" w:themeColor="text1"/>
          <w:sz w:val="22"/>
          <w:szCs w:val="22"/>
          <w:lang w:val="es-ES"/>
        </w:rPr>
        <w:t>”</w:t>
      </w:r>
      <w:r w:rsidRPr="00624ACF">
        <w:rPr>
          <w:rFonts w:ascii="Palatino Linotype" w:eastAsia="Times New Roman" w:hAnsi="Palatino Linotype" w:cs="Arial"/>
          <w:color w:val="000000" w:themeColor="text1"/>
          <w:sz w:val="22"/>
          <w:szCs w:val="22"/>
          <w:lang w:val="es-ES"/>
        </w:rPr>
        <w:t xml:space="preserve"> (Sic).</w:t>
      </w:r>
    </w:p>
    <w:p w14:paraId="4D16C3B0" w14:textId="77777777" w:rsidR="00E34622" w:rsidRPr="00624ACF" w:rsidRDefault="00E34622" w:rsidP="00E6530C">
      <w:pPr>
        <w:pStyle w:val="Prrafodelista"/>
        <w:tabs>
          <w:tab w:val="left" w:pos="426"/>
        </w:tabs>
        <w:spacing w:line="360" w:lineRule="auto"/>
        <w:ind w:left="284"/>
        <w:jc w:val="both"/>
        <w:rPr>
          <w:rFonts w:ascii="Palatino Linotype" w:hAnsi="Palatino Linotype"/>
          <w:color w:val="000000" w:themeColor="text1"/>
          <w:szCs w:val="22"/>
        </w:rPr>
      </w:pPr>
    </w:p>
    <w:p w14:paraId="1FFE7D7D" w14:textId="4C4D574F" w:rsidR="00D01D89" w:rsidRPr="00624ACF" w:rsidRDefault="00D01D89" w:rsidP="00E6530C">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24ACF">
        <w:rPr>
          <w:rFonts w:ascii="Palatino Linotype" w:eastAsia="Times New Roman" w:hAnsi="Palatino Linotype" w:cs="Arial"/>
          <w:color w:val="000000" w:themeColor="text1"/>
          <w:lang w:val="es-ES"/>
        </w:rPr>
        <w:t xml:space="preserve">De </w:t>
      </w:r>
      <w:r w:rsidRPr="00624ACF">
        <w:rPr>
          <w:rFonts w:ascii="Palatino Linotype" w:hAnsi="Palatino Linotype" w:cs="Arial"/>
          <w:color w:val="000000" w:themeColor="text1"/>
        </w:rPr>
        <w:t xml:space="preserve">las constancias que obran en el expediente digital del SAIMEX, se aprecia que el </w:t>
      </w:r>
      <w:r w:rsidRPr="00624ACF">
        <w:rPr>
          <w:rFonts w:ascii="Palatino Linotype" w:hAnsi="Palatino Linotype" w:cs="Arial"/>
          <w:b/>
          <w:color w:val="000000" w:themeColor="text1"/>
        </w:rPr>
        <w:t>RECURRENTE</w:t>
      </w:r>
      <w:r w:rsidRPr="00624ACF">
        <w:rPr>
          <w:rFonts w:ascii="Palatino Linotype" w:hAnsi="Palatino Linotype" w:cs="Arial"/>
          <w:color w:val="000000" w:themeColor="text1"/>
        </w:rPr>
        <w:t xml:space="preserve"> acompañó su escrito impugnativo con los siguientes documentos:</w:t>
      </w:r>
    </w:p>
    <w:p w14:paraId="41DCC76B" w14:textId="73949363" w:rsidR="00D01D89" w:rsidRPr="00624ACF" w:rsidRDefault="00D01D89" w:rsidP="00BF3FA6">
      <w:pPr>
        <w:pStyle w:val="Prrafodelista"/>
        <w:numPr>
          <w:ilvl w:val="1"/>
          <w:numId w:val="8"/>
        </w:numPr>
        <w:tabs>
          <w:tab w:val="left" w:pos="426"/>
        </w:tabs>
        <w:spacing w:line="360" w:lineRule="auto"/>
        <w:ind w:left="1134"/>
        <w:jc w:val="both"/>
        <w:rPr>
          <w:rFonts w:ascii="Palatino Linotype" w:hAnsi="Palatino Linotype" w:cs="Arial"/>
          <w:color w:val="000000" w:themeColor="text1"/>
          <w:lang w:val="es-ES"/>
        </w:rPr>
      </w:pPr>
      <w:r w:rsidRPr="00624ACF">
        <w:rPr>
          <w:rFonts w:ascii="Palatino Linotype" w:hAnsi="Palatino Linotype" w:cs="Arial"/>
          <w:b/>
          <w:bCs/>
          <w:i/>
          <w:iCs/>
          <w:color w:val="000000" w:themeColor="text1"/>
          <w:lang w:val="es-ES"/>
        </w:rPr>
        <w:t>“RESPUESTA A LA SOLICITUD.pdf”</w:t>
      </w:r>
      <w:r w:rsidRPr="00624ACF">
        <w:rPr>
          <w:rFonts w:ascii="Palatino Linotype" w:hAnsi="Palatino Linotype" w:cs="Arial"/>
          <w:color w:val="000000" w:themeColor="text1"/>
          <w:lang w:val="es-ES"/>
        </w:rPr>
        <w:t xml:space="preserve">: Documento de dos fojas consistente en el oficio número 206C030103000L/502/2021, entregado por el </w:t>
      </w:r>
      <w:r w:rsidRPr="00624ACF">
        <w:rPr>
          <w:rFonts w:ascii="Palatino Linotype" w:hAnsi="Palatino Linotype" w:cs="Arial"/>
          <w:b/>
          <w:bCs/>
          <w:color w:val="000000" w:themeColor="text1"/>
          <w:lang w:val="es-ES"/>
        </w:rPr>
        <w:t>SUJETO OBLIGADO</w:t>
      </w:r>
      <w:r w:rsidRPr="00624ACF">
        <w:rPr>
          <w:rFonts w:ascii="Palatino Linotype" w:hAnsi="Palatino Linotype" w:cs="Arial"/>
          <w:color w:val="000000" w:themeColor="text1"/>
          <w:lang w:val="es-ES"/>
        </w:rPr>
        <w:t xml:space="preserve"> en respuesta a la solicitud primigenia.</w:t>
      </w:r>
    </w:p>
    <w:p w14:paraId="4DDB3820" w14:textId="77777777" w:rsidR="00D01D89" w:rsidRPr="00624ACF" w:rsidRDefault="00D01D89" w:rsidP="00BF3FA6">
      <w:pPr>
        <w:pStyle w:val="Prrafodelista"/>
        <w:numPr>
          <w:ilvl w:val="1"/>
          <w:numId w:val="8"/>
        </w:numPr>
        <w:tabs>
          <w:tab w:val="left" w:pos="426"/>
        </w:tabs>
        <w:spacing w:line="360" w:lineRule="auto"/>
        <w:ind w:left="1134"/>
        <w:jc w:val="both"/>
        <w:rPr>
          <w:rFonts w:ascii="Palatino Linotype" w:hAnsi="Palatino Linotype" w:cs="Arial"/>
          <w:color w:val="000000" w:themeColor="text1"/>
          <w:lang w:val="es-ES"/>
        </w:rPr>
      </w:pPr>
      <w:r w:rsidRPr="00624ACF">
        <w:rPr>
          <w:rFonts w:ascii="Palatino Linotype" w:hAnsi="Palatino Linotype" w:cs="Arial"/>
          <w:b/>
          <w:bCs/>
          <w:i/>
          <w:iCs/>
          <w:color w:val="000000" w:themeColor="text1"/>
          <w:lang w:val="es-ES"/>
        </w:rPr>
        <w:t>“OFICIO SPH Y PRUEBA DE DAÑO.pdf”</w:t>
      </w:r>
      <w:r w:rsidRPr="00624ACF">
        <w:rPr>
          <w:rFonts w:ascii="Palatino Linotype" w:hAnsi="Palatino Linotype" w:cs="Arial"/>
          <w:color w:val="000000" w:themeColor="text1"/>
          <w:lang w:val="es-ES"/>
        </w:rPr>
        <w:t>: Documento de 10 fojas consistente en el oficio 206C0301000100S/77/2021, y la prueba de daño realizada por la Unidad de Normatividad, Apoyo Jurídico e Igualdad de Género, entregada originalmente en respuesta a la solicitud de información.</w:t>
      </w:r>
    </w:p>
    <w:p w14:paraId="6E050A46" w14:textId="77777777" w:rsidR="00D01D89" w:rsidRPr="00624ACF" w:rsidRDefault="00D01D89" w:rsidP="00BF3FA6">
      <w:pPr>
        <w:pStyle w:val="Prrafodelista"/>
        <w:numPr>
          <w:ilvl w:val="1"/>
          <w:numId w:val="8"/>
        </w:numPr>
        <w:tabs>
          <w:tab w:val="left" w:pos="426"/>
        </w:tabs>
        <w:spacing w:line="360" w:lineRule="auto"/>
        <w:ind w:left="1134"/>
        <w:jc w:val="both"/>
        <w:rPr>
          <w:rFonts w:ascii="Palatino Linotype" w:hAnsi="Palatino Linotype" w:cs="Arial"/>
          <w:color w:val="000000" w:themeColor="text1"/>
          <w:lang w:val="es-ES"/>
        </w:rPr>
      </w:pPr>
      <w:r w:rsidRPr="00624ACF">
        <w:rPr>
          <w:rFonts w:ascii="Palatino Linotype" w:hAnsi="Palatino Linotype" w:cs="Arial"/>
          <w:b/>
          <w:bCs/>
          <w:i/>
          <w:iCs/>
          <w:color w:val="000000" w:themeColor="text1"/>
          <w:lang w:val="es-ES"/>
        </w:rPr>
        <w:lastRenderedPageBreak/>
        <w:t>“ACTA DÉCIMO TERCERA EXTRAORDINARIA.pdf”</w:t>
      </w:r>
      <w:r w:rsidRPr="00624ACF">
        <w:rPr>
          <w:rFonts w:ascii="Palatino Linotype" w:hAnsi="Palatino Linotype" w:cs="Arial"/>
          <w:color w:val="000000" w:themeColor="text1"/>
          <w:lang w:val="es-ES"/>
        </w:rPr>
        <w:t xml:space="preserve">: Documento de 14 fojas consistente en el Acta de la Décimo Tercera Sesión Extraordinaria del Comité de Transparencia del </w:t>
      </w:r>
      <w:r w:rsidRPr="00624ACF">
        <w:rPr>
          <w:rFonts w:ascii="Palatino Linotype" w:hAnsi="Palatino Linotype" w:cs="Arial"/>
          <w:b/>
          <w:bCs/>
          <w:color w:val="000000" w:themeColor="text1"/>
          <w:lang w:val="es-ES"/>
        </w:rPr>
        <w:t>SUJETO OBLIGADO</w:t>
      </w:r>
      <w:r w:rsidRPr="00624ACF">
        <w:rPr>
          <w:rFonts w:ascii="Palatino Linotype" w:hAnsi="Palatino Linotype" w:cs="Arial"/>
          <w:color w:val="000000" w:themeColor="text1"/>
          <w:lang w:val="es-ES"/>
        </w:rPr>
        <w:t>, celebrada el treinta (30) de noviembre de dos mil veintiuno, igualmente entregada en respuesta a la solicitud 00041/UAI/IP/2021.</w:t>
      </w:r>
    </w:p>
    <w:p w14:paraId="4E1B4A1D" w14:textId="526819C9" w:rsidR="00D01D89" w:rsidRPr="00624ACF" w:rsidRDefault="00D01D89" w:rsidP="00BF3FA6">
      <w:pPr>
        <w:pStyle w:val="Prrafodelista"/>
        <w:numPr>
          <w:ilvl w:val="1"/>
          <w:numId w:val="8"/>
        </w:numPr>
        <w:tabs>
          <w:tab w:val="left" w:pos="426"/>
        </w:tabs>
        <w:spacing w:line="360" w:lineRule="auto"/>
        <w:ind w:left="1134"/>
        <w:jc w:val="both"/>
        <w:rPr>
          <w:rFonts w:ascii="Palatino Linotype" w:eastAsia="Calibri" w:hAnsi="Palatino Linotype" w:cs="Arial"/>
          <w:color w:val="000000" w:themeColor="text1"/>
          <w:lang w:val="es-ES"/>
        </w:rPr>
      </w:pPr>
      <w:r w:rsidRPr="00624ACF">
        <w:rPr>
          <w:rFonts w:ascii="Palatino Linotype" w:hAnsi="Palatino Linotype" w:cs="Arial"/>
          <w:b/>
          <w:bCs/>
          <w:i/>
          <w:iCs/>
          <w:color w:val="000000" w:themeColor="text1"/>
          <w:lang w:val="es-ES"/>
        </w:rPr>
        <w:t>“RECURSO DE REVISIÓN UAI INFORMACIÓN PÚBLICA.docx”</w:t>
      </w:r>
      <w:r w:rsidRPr="00624ACF">
        <w:rPr>
          <w:rFonts w:ascii="Palatino Linotype" w:hAnsi="Palatino Linotype" w:cs="Arial"/>
          <w:color w:val="000000" w:themeColor="text1"/>
          <w:lang w:val="es-ES"/>
        </w:rPr>
        <w:t xml:space="preserve">: Documento de 11 fojas consistente en el escrito del particular, por medio del cual, ahonda en la fundamentación y motivación de los agravios que le causa la respuesta del </w:t>
      </w:r>
      <w:r w:rsidRPr="00624ACF">
        <w:rPr>
          <w:rFonts w:ascii="Palatino Linotype" w:hAnsi="Palatino Linotype" w:cs="Arial"/>
          <w:b/>
          <w:bCs/>
          <w:color w:val="000000" w:themeColor="text1"/>
          <w:lang w:val="es-ES"/>
        </w:rPr>
        <w:t>SUJETO OBLIGADO</w:t>
      </w:r>
      <w:r w:rsidRPr="00624ACF">
        <w:rPr>
          <w:rFonts w:ascii="Palatino Linotype" w:hAnsi="Palatino Linotype" w:cs="Arial"/>
          <w:color w:val="000000" w:themeColor="text1"/>
          <w:lang w:val="es-ES"/>
        </w:rPr>
        <w:t>.</w:t>
      </w:r>
    </w:p>
    <w:p w14:paraId="1AABB30D" w14:textId="77777777" w:rsidR="00D01D89" w:rsidRPr="00624ACF" w:rsidRDefault="00D01D89" w:rsidP="00D01D8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0120DEC9" w:rsidR="005F1362" w:rsidRPr="00624ACF" w:rsidRDefault="00D01D89" w:rsidP="00E6530C">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24ACF">
        <w:rPr>
          <w:rFonts w:ascii="Palatino Linotype" w:eastAsia="Times New Roman" w:hAnsi="Palatino Linotype" w:cs="Arial"/>
          <w:color w:val="000000" w:themeColor="text1"/>
          <w:lang w:val="es-ES"/>
        </w:rPr>
        <w:t>S</w:t>
      </w:r>
      <w:r w:rsidR="005F1362" w:rsidRPr="00624ACF">
        <w:rPr>
          <w:rFonts w:ascii="Palatino Linotype" w:eastAsia="Times New Roman" w:hAnsi="Palatino Linotype" w:cs="Arial"/>
          <w:color w:val="000000" w:themeColor="text1"/>
          <w:lang w:val="es-ES"/>
        </w:rPr>
        <w:t xml:space="preserve">e registró el recurso de revisión bajo el número de expediente </w:t>
      </w:r>
      <w:r w:rsidR="004F785F" w:rsidRPr="00624ACF">
        <w:rPr>
          <w:rFonts w:ascii="Palatino Linotype" w:hAnsi="Palatino Linotype" w:cs="Arial"/>
          <w:bCs/>
          <w:color w:val="000000" w:themeColor="text1"/>
        </w:rPr>
        <w:t>al rubro indicado</w:t>
      </w:r>
      <w:r w:rsidR="00B970A2" w:rsidRPr="00624ACF">
        <w:rPr>
          <w:rFonts w:ascii="Palatino Linotype" w:hAnsi="Palatino Linotype" w:cs="Arial"/>
          <w:bCs/>
          <w:color w:val="000000" w:themeColor="text1"/>
        </w:rPr>
        <w:t>;</w:t>
      </w:r>
      <w:r w:rsidR="004F785F" w:rsidRPr="00624ACF">
        <w:rPr>
          <w:rFonts w:ascii="Palatino Linotype" w:hAnsi="Palatino Linotype" w:cs="Arial"/>
          <w:bCs/>
          <w:color w:val="000000" w:themeColor="text1"/>
        </w:rPr>
        <w:t xml:space="preserve"> asi</w:t>
      </w:r>
      <w:r w:rsidR="005F1362" w:rsidRPr="00624ACF">
        <w:rPr>
          <w:rFonts w:ascii="Palatino Linotype" w:hAnsi="Palatino Linotype" w:cs="Arial"/>
          <w:bCs/>
          <w:color w:val="000000" w:themeColor="text1"/>
        </w:rPr>
        <w:t xml:space="preserve">mismo, con fundamento en lo dispuesto por el </w:t>
      </w:r>
      <w:r w:rsidR="005F1362" w:rsidRPr="00624ACF">
        <w:rPr>
          <w:rFonts w:ascii="Palatino Linotype" w:eastAsia="Calibri" w:hAnsi="Palatino Linotype" w:cs="Arial"/>
          <w:bCs/>
          <w:color w:val="000000" w:themeColor="text1"/>
          <w:lang w:val="es-ES"/>
        </w:rPr>
        <w:t>artículo 185</w:t>
      </w:r>
      <w:r w:rsidR="00B970A2" w:rsidRPr="00624ACF">
        <w:rPr>
          <w:rFonts w:ascii="Palatino Linotype" w:eastAsia="Calibri" w:hAnsi="Palatino Linotype" w:cs="Arial"/>
          <w:bCs/>
          <w:color w:val="000000" w:themeColor="text1"/>
          <w:lang w:val="es-ES"/>
        </w:rPr>
        <w:t>,</w:t>
      </w:r>
      <w:r w:rsidR="005F1362" w:rsidRPr="00624ACF">
        <w:rPr>
          <w:rFonts w:ascii="Palatino Linotype" w:eastAsia="Calibri" w:hAnsi="Palatino Linotype" w:cs="Arial"/>
          <w:bCs/>
          <w:color w:val="000000" w:themeColor="text1"/>
          <w:lang w:val="es-ES"/>
        </w:rPr>
        <w:t xml:space="preserve"> fracción I</w:t>
      </w:r>
      <w:r w:rsidR="00B970A2" w:rsidRPr="00624ACF">
        <w:rPr>
          <w:rFonts w:ascii="Palatino Linotype" w:eastAsia="Calibri" w:hAnsi="Palatino Linotype" w:cs="Arial"/>
          <w:bCs/>
          <w:color w:val="000000" w:themeColor="text1"/>
          <w:lang w:val="es-ES"/>
        </w:rPr>
        <w:t>,</w:t>
      </w:r>
      <w:r w:rsidR="005F1362" w:rsidRPr="00624ACF">
        <w:rPr>
          <w:rFonts w:ascii="Palatino Linotype" w:eastAsia="Calibri" w:hAnsi="Palatino Linotype" w:cs="Arial"/>
          <w:bCs/>
          <w:color w:val="000000" w:themeColor="text1"/>
          <w:lang w:val="es-ES"/>
        </w:rPr>
        <w:t xml:space="preserve"> de la Ley de Transparencia y Acceso a la Información Pública del Estado de México y Municipios</w:t>
      </w:r>
      <w:r w:rsidR="00B970A2" w:rsidRPr="00624ACF">
        <w:rPr>
          <w:rFonts w:ascii="Palatino Linotype" w:eastAsia="Calibri" w:hAnsi="Palatino Linotype" w:cs="Arial"/>
          <w:bCs/>
          <w:color w:val="000000" w:themeColor="text1"/>
          <w:lang w:val="es-ES"/>
        </w:rPr>
        <w:t>,</w:t>
      </w:r>
      <w:r w:rsidR="005F1362" w:rsidRPr="00624ACF">
        <w:rPr>
          <w:rFonts w:ascii="Palatino Linotype" w:eastAsia="Calibri" w:hAnsi="Palatino Linotype" w:cs="Arial"/>
          <w:bCs/>
          <w:color w:val="000000" w:themeColor="text1"/>
          <w:lang w:val="es-ES"/>
        </w:rPr>
        <w:t xml:space="preserve"> </w:t>
      </w:r>
      <w:r w:rsidR="005F1362" w:rsidRPr="00624ACF">
        <w:rPr>
          <w:rFonts w:ascii="Palatino Linotype" w:eastAsia="Times New Roman" w:hAnsi="Palatino Linotype" w:cs="Arial"/>
          <w:bCs/>
          <w:color w:val="000000" w:themeColor="text1"/>
          <w:lang w:val="es-ES"/>
        </w:rPr>
        <w:t xml:space="preserve">se turnó </w:t>
      </w:r>
      <w:r w:rsidR="0096234B" w:rsidRPr="00624ACF">
        <w:rPr>
          <w:rFonts w:ascii="Palatino Linotype" w:eastAsia="Times New Roman" w:hAnsi="Palatino Linotype" w:cs="Arial"/>
          <w:bCs/>
          <w:color w:val="000000" w:themeColor="text1"/>
          <w:lang w:val="es-ES"/>
        </w:rPr>
        <w:t xml:space="preserve">a la </w:t>
      </w:r>
      <w:r w:rsidR="0096234B" w:rsidRPr="00624ACF">
        <w:rPr>
          <w:rFonts w:ascii="Palatino Linotype" w:eastAsia="Times New Roman" w:hAnsi="Palatino Linotype" w:cs="Arial"/>
          <w:b/>
          <w:color w:val="000000" w:themeColor="text1"/>
          <w:lang w:val="es-ES"/>
        </w:rPr>
        <w:t xml:space="preserve">Comisionada </w:t>
      </w:r>
      <w:r w:rsidR="00D12402" w:rsidRPr="00624ACF">
        <w:rPr>
          <w:rFonts w:ascii="Palatino Linotype" w:eastAsia="Times New Roman" w:hAnsi="Palatino Linotype" w:cs="Arial"/>
          <w:b/>
          <w:color w:val="000000" w:themeColor="text1"/>
          <w:lang w:val="es-ES"/>
        </w:rPr>
        <w:t>María del Rosario Mejía Ayala</w:t>
      </w:r>
      <w:r w:rsidR="005F1362" w:rsidRPr="00624ACF">
        <w:rPr>
          <w:rFonts w:ascii="Palatino Linotype" w:eastAsia="Times New Roman" w:hAnsi="Palatino Linotype" w:cs="Arial"/>
          <w:bCs/>
          <w:color w:val="000000" w:themeColor="text1"/>
          <w:lang w:val="es-ES"/>
        </w:rPr>
        <w:t xml:space="preserve">, con el objeto de </w:t>
      </w:r>
      <w:r w:rsidR="005F1362" w:rsidRPr="00624ACF">
        <w:rPr>
          <w:rFonts w:ascii="Palatino Linotype" w:eastAsia="Times New Roman" w:hAnsi="Palatino Linotype" w:cs="Arial"/>
          <w:bCs/>
          <w:color w:val="000000" w:themeColor="text1"/>
        </w:rPr>
        <w:t>su análisis.</w:t>
      </w:r>
    </w:p>
    <w:p w14:paraId="2BDE682E" w14:textId="77777777" w:rsidR="005F1362" w:rsidRPr="00624ACF" w:rsidRDefault="005F1362" w:rsidP="00E6530C">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0B5994D" w:rsidR="007446C2" w:rsidRPr="00624ACF" w:rsidRDefault="0096234B" w:rsidP="00E6530C">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24ACF">
        <w:rPr>
          <w:rFonts w:ascii="Palatino Linotype" w:eastAsia="Times New Roman" w:hAnsi="Palatino Linotype" w:cs="Arial"/>
          <w:color w:val="000000" w:themeColor="text1"/>
          <w:lang w:val="es-ES"/>
        </w:rPr>
        <w:t>La</w:t>
      </w:r>
      <w:r w:rsidR="00E647FF" w:rsidRPr="00624ACF">
        <w:rPr>
          <w:rFonts w:ascii="Palatino Linotype" w:eastAsia="Times New Roman" w:hAnsi="Palatino Linotype" w:cs="Arial"/>
          <w:color w:val="000000" w:themeColor="text1"/>
          <w:lang w:val="es-ES"/>
        </w:rPr>
        <w:t xml:space="preserve"> </w:t>
      </w:r>
      <w:r w:rsidR="0004686A" w:rsidRPr="00624ACF">
        <w:rPr>
          <w:rFonts w:ascii="Palatino Linotype" w:eastAsia="Calibri" w:hAnsi="Palatino Linotype" w:cs="Arial"/>
          <w:color w:val="000000" w:themeColor="text1"/>
          <w:lang w:val="es-ES"/>
        </w:rPr>
        <w:t>Comisionad</w:t>
      </w:r>
      <w:r w:rsidRPr="00624ACF">
        <w:rPr>
          <w:rFonts w:ascii="Palatino Linotype" w:eastAsia="Calibri" w:hAnsi="Palatino Linotype" w:cs="Arial"/>
          <w:color w:val="000000" w:themeColor="text1"/>
          <w:lang w:val="es-ES"/>
        </w:rPr>
        <w:t>a</w:t>
      </w:r>
      <w:r w:rsidR="0004686A" w:rsidRPr="00624ACF">
        <w:rPr>
          <w:rFonts w:ascii="Palatino Linotype" w:eastAsia="Calibri" w:hAnsi="Palatino Linotype" w:cs="Arial"/>
          <w:color w:val="000000" w:themeColor="text1"/>
          <w:lang w:val="es-ES"/>
        </w:rPr>
        <w:t xml:space="preserve"> Ponente</w:t>
      </w:r>
      <w:r w:rsidR="006B31E7" w:rsidRPr="00624ACF">
        <w:rPr>
          <w:rFonts w:ascii="Palatino Linotype" w:eastAsia="Calibri" w:hAnsi="Palatino Linotype" w:cs="Arial"/>
          <w:color w:val="000000" w:themeColor="text1"/>
          <w:lang w:val="es-ES"/>
        </w:rPr>
        <w:t>,</w:t>
      </w:r>
      <w:r w:rsidR="0004686A" w:rsidRPr="00624ACF">
        <w:rPr>
          <w:rFonts w:ascii="Palatino Linotype" w:eastAsia="Calibri" w:hAnsi="Palatino Linotype" w:cs="Arial"/>
          <w:color w:val="000000" w:themeColor="text1"/>
          <w:lang w:val="es-ES"/>
        </w:rPr>
        <w:t xml:space="preserve"> </w:t>
      </w:r>
      <w:r w:rsidR="004146FC" w:rsidRPr="00624ACF">
        <w:rPr>
          <w:rFonts w:ascii="Palatino Linotype" w:eastAsia="Calibri" w:hAnsi="Palatino Linotype" w:cs="Arial"/>
          <w:color w:val="000000" w:themeColor="text1"/>
        </w:rPr>
        <w:t xml:space="preserve">con fundamento en lo dispuesto por el artículo 185 fracción II de la ley de la materia, a través del acuerdo de admisión de quince (15) de diciembre de dos mil veintiuno, puso a disposición de las partes el expediente electrónico </w:t>
      </w:r>
      <w:r w:rsidR="004146FC" w:rsidRPr="00624ACF">
        <w:rPr>
          <w:rFonts w:ascii="Palatino Linotype" w:eastAsia="Calibri" w:hAnsi="Palatino Linotype" w:cs="Arial"/>
          <w:color w:val="000000" w:themeColor="text1"/>
          <w:lang w:val="es-ES_tradnl"/>
        </w:rPr>
        <w:t xml:space="preserve">vía </w:t>
      </w:r>
      <w:r w:rsidR="004146FC" w:rsidRPr="00624ACF">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4146FC" w:rsidRPr="00624ACF">
        <w:rPr>
          <w:rFonts w:ascii="Palatino Linotype" w:eastAsia="Calibri" w:hAnsi="Palatino Linotype" w:cs="Arial"/>
          <w:b/>
          <w:color w:val="000000" w:themeColor="text1"/>
        </w:rPr>
        <w:t>SUJETO OBLIGADO</w:t>
      </w:r>
      <w:r w:rsidR="004146FC" w:rsidRPr="00624ACF">
        <w:rPr>
          <w:rFonts w:ascii="Palatino Linotype" w:eastAsia="Calibri" w:hAnsi="Palatino Linotype" w:cs="Arial"/>
          <w:color w:val="000000" w:themeColor="text1"/>
        </w:rPr>
        <w:t xml:space="preserve"> presentara el informe justificado procedente.</w:t>
      </w:r>
    </w:p>
    <w:p w14:paraId="455C196B" w14:textId="77777777" w:rsidR="003F0DDA" w:rsidRPr="00624ACF" w:rsidRDefault="003F0DDA" w:rsidP="00E6530C">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270080F" w14:textId="69A834C5" w:rsidR="001E4152" w:rsidRPr="00624ACF" w:rsidRDefault="0096234B" w:rsidP="00E6530C">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eastAsia="Calibri" w:hAnsi="Palatino Linotype" w:cs="Arial"/>
          <w:color w:val="000000" w:themeColor="text1"/>
          <w:lang w:val="es-ES"/>
        </w:rPr>
        <w:lastRenderedPageBreak/>
        <w:t xml:space="preserve">El </w:t>
      </w:r>
      <w:r w:rsidR="004146FC" w:rsidRPr="00624ACF">
        <w:rPr>
          <w:rFonts w:ascii="Palatino Linotype" w:eastAsia="Calibri" w:hAnsi="Palatino Linotype" w:cs="Arial"/>
          <w:color w:val="000000" w:themeColor="text1"/>
          <w:lang w:val="es-ES"/>
        </w:rPr>
        <w:t>once (11) de enero</w:t>
      </w:r>
      <w:r w:rsidR="00833877" w:rsidRPr="00624ACF">
        <w:rPr>
          <w:rFonts w:ascii="Palatino Linotype" w:eastAsia="Calibri" w:hAnsi="Palatino Linotype" w:cs="Arial"/>
          <w:color w:val="000000" w:themeColor="text1"/>
          <w:lang w:val="es-ES"/>
        </w:rPr>
        <w:t xml:space="preserve"> </w:t>
      </w:r>
      <w:r w:rsidR="00A33B22" w:rsidRPr="00624ACF">
        <w:rPr>
          <w:rFonts w:ascii="Palatino Linotype" w:eastAsia="Calibri" w:hAnsi="Palatino Linotype" w:cs="Arial"/>
          <w:color w:val="000000" w:themeColor="text1"/>
          <w:lang w:val="es-ES"/>
        </w:rPr>
        <w:t>de dos mil veintidós</w:t>
      </w:r>
      <w:r w:rsidRPr="00624ACF">
        <w:rPr>
          <w:rFonts w:ascii="Palatino Linotype" w:eastAsia="Calibri" w:hAnsi="Palatino Linotype" w:cs="Arial"/>
          <w:color w:val="000000" w:themeColor="text1"/>
          <w:lang w:val="es-ES"/>
        </w:rPr>
        <w:t xml:space="preserve">, el </w:t>
      </w:r>
      <w:r w:rsidRPr="00624ACF">
        <w:rPr>
          <w:rFonts w:ascii="Palatino Linotype" w:eastAsia="Calibri" w:hAnsi="Palatino Linotype" w:cs="Arial"/>
          <w:b/>
          <w:bCs/>
          <w:color w:val="000000" w:themeColor="text1"/>
          <w:lang w:val="es-ES"/>
        </w:rPr>
        <w:t>SUJETO OBLIGADO</w:t>
      </w:r>
      <w:r w:rsidRPr="00624ACF">
        <w:rPr>
          <w:rFonts w:ascii="Palatino Linotype" w:eastAsia="Calibri" w:hAnsi="Palatino Linotype" w:cs="Arial"/>
          <w:color w:val="000000" w:themeColor="text1"/>
          <w:lang w:val="es-ES"/>
        </w:rPr>
        <w:t xml:space="preserve"> presentó</w:t>
      </w:r>
      <w:r w:rsidR="003E669F" w:rsidRPr="00624ACF">
        <w:rPr>
          <w:rFonts w:ascii="Palatino Linotype" w:eastAsia="Calibri" w:hAnsi="Palatino Linotype" w:cs="Arial"/>
          <w:color w:val="000000" w:themeColor="text1"/>
          <w:lang w:val="es-ES"/>
        </w:rPr>
        <w:t xml:space="preserve">, en vía de informe justificado, </w:t>
      </w:r>
      <w:r w:rsidR="00833877" w:rsidRPr="00624ACF">
        <w:rPr>
          <w:rFonts w:ascii="Palatino Linotype" w:eastAsia="Calibri" w:hAnsi="Palatino Linotype" w:cs="Arial"/>
          <w:color w:val="000000" w:themeColor="text1"/>
          <w:lang w:val="es-ES"/>
        </w:rPr>
        <w:t>los</w:t>
      </w:r>
      <w:r w:rsidR="003E669F" w:rsidRPr="00624ACF">
        <w:rPr>
          <w:rFonts w:ascii="Palatino Linotype" w:eastAsia="Calibri" w:hAnsi="Palatino Linotype" w:cs="Arial"/>
          <w:color w:val="000000" w:themeColor="text1"/>
          <w:lang w:val="es-ES"/>
        </w:rPr>
        <w:t xml:space="preserve"> archivo</w:t>
      </w:r>
      <w:r w:rsidR="00833877" w:rsidRPr="00624ACF">
        <w:rPr>
          <w:rFonts w:ascii="Palatino Linotype" w:eastAsia="Calibri" w:hAnsi="Palatino Linotype" w:cs="Arial"/>
          <w:color w:val="000000" w:themeColor="text1"/>
          <w:lang w:val="es-ES"/>
        </w:rPr>
        <w:t>s</w:t>
      </w:r>
      <w:r w:rsidR="003D13FC" w:rsidRPr="00624ACF">
        <w:rPr>
          <w:rFonts w:ascii="Palatino Linotype" w:eastAsia="Calibri" w:hAnsi="Palatino Linotype" w:cs="Arial"/>
          <w:color w:val="000000" w:themeColor="text1"/>
          <w:lang w:val="es-ES"/>
        </w:rPr>
        <w:t xml:space="preserve"> electrónico</w:t>
      </w:r>
      <w:r w:rsidR="00833877" w:rsidRPr="00624ACF">
        <w:rPr>
          <w:rFonts w:ascii="Palatino Linotype" w:eastAsia="Calibri" w:hAnsi="Palatino Linotype" w:cs="Arial"/>
          <w:color w:val="000000" w:themeColor="text1"/>
          <w:lang w:val="es-ES"/>
        </w:rPr>
        <w:t>s</w:t>
      </w:r>
      <w:r w:rsidR="003E669F" w:rsidRPr="00624ACF">
        <w:rPr>
          <w:rFonts w:ascii="Palatino Linotype" w:eastAsia="Calibri" w:hAnsi="Palatino Linotype" w:cs="Arial"/>
          <w:color w:val="000000" w:themeColor="text1"/>
          <w:lang w:val="es-ES"/>
        </w:rPr>
        <w:t xml:space="preserve"> cuyo contenido se resume en las siguientes líneas:</w:t>
      </w:r>
    </w:p>
    <w:p w14:paraId="289FCDED" w14:textId="77777777" w:rsidR="004146FC" w:rsidRPr="00624ACF" w:rsidRDefault="004146FC" w:rsidP="00BF3FA6">
      <w:pPr>
        <w:pStyle w:val="Prrafodelista"/>
        <w:numPr>
          <w:ilvl w:val="1"/>
          <w:numId w:val="4"/>
        </w:numPr>
        <w:tabs>
          <w:tab w:val="left" w:pos="426"/>
        </w:tabs>
        <w:spacing w:line="360" w:lineRule="auto"/>
        <w:ind w:left="1134"/>
        <w:jc w:val="both"/>
        <w:rPr>
          <w:rFonts w:ascii="Palatino Linotype" w:eastAsia="Calibri" w:hAnsi="Palatino Linotype" w:cs="Arial"/>
          <w:bCs/>
          <w:iCs/>
          <w:color w:val="000000" w:themeColor="text1"/>
          <w:lang w:val="es-ES"/>
        </w:rPr>
      </w:pPr>
      <w:r w:rsidRPr="00624ACF">
        <w:rPr>
          <w:rFonts w:ascii="Palatino Linotype" w:eastAsia="Calibri" w:hAnsi="Palatino Linotype" w:cs="Arial"/>
          <w:b/>
          <w:i/>
          <w:color w:val="000000" w:themeColor="text1"/>
          <w:lang w:val="es-ES"/>
        </w:rPr>
        <w:t xml:space="preserve">“INFORME JUSTIFICADO RR 0628.pdf”: </w:t>
      </w:r>
      <w:r w:rsidRPr="00624ACF">
        <w:rPr>
          <w:rFonts w:ascii="Palatino Linotype" w:eastAsia="Calibri" w:hAnsi="Palatino Linotype" w:cs="Arial"/>
          <w:bCs/>
          <w:iCs/>
          <w:color w:val="000000" w:themeColor="text1"/>
          <w:lang w:val="es-ES"/>
        </w:rPr>
        <w:t>Documento de 27 fojas consistente en el Informe Justificado presentado por la Titular de la Unidad de Transparencia, por el que esencialmente ratifica la respuesta inicial.</w:t>
      </w:r>
    </w:p>
    <w:p w14:paraId="15ABBBBE" w14:textId="351FC856" w:rsidR="004146FC" w:rsidRPr="00624ACF" w:rsidRDefault="004146FC" w:rsidP="00BF3FA6">
      <w:pPr>
        <w:pStyle w:val="Prrafodelista"/>
        <w:numPr>
          <w:ilvl w:val="1"/>
          <w:numId w:val="4"/>
        </w:numPr>
        <w:tabs>
          <w:tab w:val="left" w:pos="426"/>
        </w:tabs>
        <w:spacing w:line="360" w:lineRule="auto"/>
        <w:ind w:left="1134"/>
        <w:jc w:val="both"/>
        <w:rPr>
          <w:rFonts w:ascii="Palatino Linotype" w:eastAsia="Calibri" w:hAnsi="Palatino Linotype" w:cs="Arial"/>
          <w:bCs/>
          <w:iCs/>
          <w:color w:val="000000" w:themeColor="text1"/>
          <w:lang w:val="es-ES"/>
        </w:rPr>
      </w:pPr>
      <w:r w:rsidRPr="00624ACF">
        <w:rPr>
          <w:rFonts w:ascii="Palatino Linotype" w:eastAsia="Calibri" w:hAnsi="Palatino Linotype" w:cs="Arial"/>
          <w:b/>
          <w:i/>
          <w:color w:val="000000" w:themeColor="text1"/>
          <w:lang w:val="es-ES"/>
        </w:rPr>
        <w:t xml:space="preserve">“OFICIO 206C0301000100S COPIA CERTIFICADA.pdf”: </w:t>
      </w:r>
      <w:r w:rsidRPr="00624ACF">
        <w:rPr>
          <w:rFonts w:ascii="Palatino Linotype" w:eastAsia="Calibri" w:hAnsi="Palatino Linotype" w:cs="Arial"/>
          <w:bCs/>
          <w:iCs/>
          <w:color w:val="000000" w:themeColor="text1"/>
          <w:lang w:val="es-ES"/>
        </w:rPr>
        <w:t>Documento de 20 fojas consistente en los siguientes instrumentos:</w:t>
      </w:r>
    </w:p>
    <w:p w14:paraId="784E15CD" w14:textId="77777777" w:rsidR="004146FC" w:rsidRPr="00624ACF" w:rsidRDefault="004146FC" w:rsidP="00BF3FA6">
      <w:pPr>
        <w:pStyle w:val="Prrafodelista"/>
        <w:numPr>
          <w:ilvl w:val="2"/>
          <w:numId w:val="9"/>
        </w:numPr>
        <w:tabs>
          <w:tab w:val="left" w:pos="426"/>
        </w:tabs>
        <w:spacing w:line="360" w:lineRule="auto"/>
        <w:ind w:left="1701"/>
        <w:jc w:val="both"/>
        <w:rPr>
          <w:rFonts w:ascii="Palatino Linotype" w:eastAsia="Calibri" w:hAnsi="Palatino Linotype" w:cs="Arial"/>
          <w:bCs/>
          <w:iCs/>
          <w:color w:val="000000" w:themeColor="text1"/>
          <w:lang w:val="es-ES"/>
        </w:rPr>
      </w:pPr>
      <w:r w:rsidRPr="00624ACF">
        <w:rPr>
          <w:rFonts w:ascii="Palatino Linotype" w:eastAsia="Calibri" w:hAnsi="Palatino Linotype" w:cs="Arial"/>
          <w:bCs/>
          <w:iCs/>
          <w:color w:val="000000" w:themeColor="text1"/>
          <w:lang w:val="es-ES"/>
        </w:rPr>
        <w:t>Oficio número 206C0301000100S/77/2021, de diecinueve (19) de noviembre de dos mil veintiuno, emitido por la Jefa de la Unidad de Normatividad, Apoyo Jurídico e Igualdad de Género, y entregado originalmente en la respuesta a la solicitud de información primigenia.</w:t>
      </w:r>
    </w:p>
    <w:p w14:paraId="66A75900" w14:textId="77777777" w:rsidR="004146FC" w:rsidRPr="00624ACF" w:rsidRDefault="004146FC" w:rsidP="00BF3FA6">
      <w:pPr>
        <w:pStyle w:val="Prrafodelista"/>
        <w:numPr>
          <w:ilvl w:val="2"/>
          <w:numId w:val="9"/>
        </w:numPr>
        <w:tabs>
          <w:tab w:val="left" w:pos="426"/>
        </w:tabs>
        <w:spacing w:line="360" w:lineRule="auto"/>
        <w:ind w:left="1701"/>
        <w:jc w:val="both"/>
        <w:rPr>
          <w:rFonts w:ascii="Palatino Linotype" w:eastAsia="Calibri" w:hAnsi="Palatino Linotype" w:cs="Arial"/>
          <w:bCs/>
          <w:iCs/>
          <w:color w:val="000000" w:themeColor="text1"/>
          <w:lang w:val="es-ES"/>
        </w:rPr>
      </w:pPr>
      <w:r w:rsidRPr="00624ACF">
        <w:rPr>
          <w:rFonts w:ascii="Palatino Linotype" w:eastAsia="Calibri" w:hAnsi="Palatino Linotype" w:cs="Arial"/>
          <w:bCs/>
          <w:iCs/>
          <w:color w:val="000000" w:themeColor="text1"/>
          <w:lang w:val="es-ES"/>
        </w:rPr>
        <w:t>Prueba de daño realizada por la Unidad de Normatividad, Apoyo Jurídico e Igualdad de Género, sobre la información requerida a través de la solicitud 00041/UAI/IP/2021.</w:t>
      </w:r>
    </w:p>
    <w:p w14:paraId="6ACC3FD9" w14:textId="3D0E34D5" w:rsidR="00833877" w:rsidRPr="00624ACF" w:rsidRDefault="004146FC" w:rsidP="00BF3FA6">
      <w:pPr>
        <w:pStyle w:val="Prrafodelista"/>
        <w:numPr>
          <w:ilvl w:val="1"/>
          <w:numId w:val="4"/>
        </w:numPr>
        <w:tabs>
          <w:tab w:val="left" w:pos="426"/>
        </w:tabs>
        <w:spacing w:line="360" w:lineRule="auto"/>
        <w:ind w:left="1134"/>
        <w:jc w:val="both"/>
        <w:rPr>
          <w:rFonts w:ascii="Palatino Linotype" w:hAnsi="Palatino Linotype"/>
          <w:bCs/>
          <w:iCs/>
          <w:color w:val="000000" w:themeColor="text1"/>
        </w:rPr>
      </w:pPr>
      <w:r w:rsidRPr="00624ACF">
        <w:rPr>
          <w:rFonts w:ascii="Palatino Linotype" w:eastAsia="Calibri" w:hAnsi="Palatino Linotype" w:cs="Arial"/>
          <w:b/>
          <w:i/>
          <w:color w:val="000000" w:themeColor="text1"/>
          <w:lang w:val="es-ES"/>
        </w:rPr>
        <w:t xml:space="preserve">“ACTAS SESIONES CONSEJO DIRECTIVO.pdf”: </w:t>
      </w:r>
      <w:r w:rsidRPr="00624ACF">
        <w:rPr>
          <w:rFonts w:ascii="Palatino Linotype" w:eastAsia="Calibri" w:hAnsi="Palatino Linotype" w:cs="Arial"/>
          <w:bCs/>
          <w:iCs/>
          <w:color w:val="000000" w:themeColor="text1"/>
          <w:lang w:val="es-ES"/>
        </w:rPr>
        <w:t>Documento de 65 fojas consistente en las versiones públicas de las Actas de la Primera a la Quinta Sesión Ordinaria del Consejo Directivo.</w:t>
      </w:r>
    </w:p>
    <w:p w14:paraId="5939957C" w14:textId="77777777" w:rsidR="00CD7571" w:rsidRPr="00624ACF" w:rsidRDefault="00CD7571" w:rsidP="00CD7571">
      <w:pPr>
        <w:pStyle w:val="Prrafodelista"/>
        <w:tabs>
          <w:tab w:val="left" w:pos="426"/>
        </w:tabs>
        <w:spacing w:line="360" w:lineRule="auto"/>
        <w:ind w:left="0"/>
        <w:jc w:val="both"/>
        <w:rPr>
          <w:rFonts w:ascii="Palatino Linotype" w:hAnsi="Palatino Linotype"/>
          <w:color w:val="000000" w:themeColor="text1"/>
        </w:rPr>
      </w:pPr>
    </w:p>
    <w:p w14:paraId="23BE587A" w14:textId="7DA07B0E" w:rsidR="0096234B" w:rsidRPr="00624ACF" w:rsidRDefault="004146FC" w:rsidP="00E6530C">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hAnsi="Palatino Linotype"/>
          <w:color w:val="000000" w:themeColor="text1"/>
        </w:rPr>
        <w:t>El diecisiete (17) de febrero de dos mil veintidós</w:t>
      </w:r>
      <w:r w:rsidR="0096234B" w:rsidRPr="00624ACF">
        <w:rPr>
          <w:rFonts w:ascii="Palatino Linotype" w:hAnsi="Palatino Linotype"/>
          <w:color w:val="000000" w:themeColor="text1"/>
        </w:rPr>
        <w:t>,</w:t>
      </w:r>
      <w:r w:rsidRPr="00624ACF">
        <w:rPr>
          <w:rFonts w:ascii="Palatino Linotype" w:hAnsi="Palatino Linotype"/>
          <w:color w:val="000000" w:themeColor="text1"/>
        </w:rPr>
        <w:t xml:space="preserve"> los documentos que integran el informe justificado del </w:t>
      </w:r>
      <w:r w:rsidRPr="00624ACF">
        <w:rPr>
          <w:rFonts w:ascii="Palatino Linotype" w:hAnsi="Palatino Linotype"/>
          <w:b/>
          <w:bCs/>
          <w:color w:val="000000" w:themeColor="text1"/>
        </w:rPr>
        <w:t>SUJETO OBLIGADO</w:t>
      </w:r>
      <w:r w:rsidRPr="00624ACF">
        <w:rPr>
          <w:rFonts w:ascii="Palatino Linotype" w:hAnsi="Palatino Linotype"/>
          <w:color w:val="000000" w:themeColor="text1"/>
        </w:rPr>
        <w:t xml:space="preserve"> se pusieron a la vista del </w:t>
      </w:r>
      <w:r w:rsidRPr="00624ACF">
        <w:rPr>
          <w:rFonts w:ascii="Palatino Linotype" w:hAnsi="Palatino Linotype"/>
          <w:b/>
          <w:bCs/>
          <w:color w:val="000000" w:themeColor="text1"/>
        </w:rPr>
        <w:t>RECURRENTE</w:t>
      </w:r>
      <w:r w:rsidRPr="00624ACF">
        <w:rPr>
          <w:rFonts w:ascii="Palatino Linotype" w:hAnsi="Palatino Linotype"/>
          <w:color w:val="000000" w:themeColor="text1"/>
        </w:rPr>
        <w:t>,</w:t>
      </w:r>
      <w:r w:rsidR="0096234B" w:rsidRPr="00624ACF">
        <w:rPr>
          <w:rFonts w:ascii="Palatino Linotype" w:hAnsi="Palatino Linotype"/>
          <w:color w:val="000000" w:themeColor="text1"/>
        </w:rPr>
        <w:t xml:space="preserve"> concediéndole un plazo de tres (03) días para que manifestara lo que a su derecho conviniera, de conformidad con el artículo 185, fracción III, de la </w:t>
      </w:r>
      <w:r w:rsidR="0096234B" w:rsidRPr="00624ACF">
        <w:rPr>
          <w:rFonts w:ascii="Palatino Linotype" w:hAnsi="Palatino Linotype"/>
          <w:color w:val="000000" w:themeColor="text1"/>
        </w:rPr>
        <w:lastRenderedPageBreak/>
        <w:t>Ley de Transparencia y Acceso a la Información Pública del Estado de México y Municipios</w:t>
      </w:r>
      <w:r w:rsidR="00774AB3" w:rsidRPr="00624ACF">
        <w:rPr>
          <w:rFonts w:ascii="Palatino Linotype" w:hAnsi="Palatino Linotype"/>
          <w:color w:val="000000" w:themeColor="text1"/>
        </w:rPr>
        <w:t xml:space="preserve">; no obstante, </w:t>
      </w:r>
      <w:r w:rsidR="00B7387B" w:rsidRPr="00624ACF">
        <w:rPr>
          <w:rFonts w:ascii="Palatino Linotype" w:hAnsi="Palatino Linotype"/>
          <w:color w:val="000000" w:themeColor="text1"/>
        </w:rPr>
        <w:t xml:space="preserve">se hace constar que </w:t>
      </w:r>
      <w:r w:rsidR="00911D07" w:rsidRPr="00624ACF">
        <w:rPr>
          <w:rFonts w:ascii="Palatino Linotype" w:hAnsi="Palatino Linotype"/>
          <w:color w:val="000000" w:themeColor="text1"/>
        </w:rPr>
        <w:t>el</w:t>
      </w:r>
      <w:r w:rsidR="00774AB3" w:rsidRPr="00624ACF">
        <w:rPr>
          <w:rFonts w:ascii="Palatino Linotype" w:hAnsi="Palatino Linotype"/>
          <w:color w:val="000000" w:themeColor="text1"/>
        </w:rPr>
        <w:t xml:space="preserve"> particular no ejerció su derecho de réplica sobre los nuevos contenidos.</w:t>
      </w:r>
    </w:p>
    <w:p w14:paraId="42E2E2F3" w14:textId="77777777" w:rsidR="007F5D02" w:rsidRPr="00624ACF" w:rsidRDefault="007F5D02" w:rsidP="007F5D02">
      <w:pPr>
        <w:pStyle w:val="Prrafodelista"/>
        <w:tabs>
          <w:tab w:val="left" w:pos="426"/>
        </w:tabs>
        <w:spacing w:line="360" w:lineRule="auto"/>
        <w:ind w:left="0"/>
        <w:jc w:val="both"/>
        <w:rPr>
          <w:rFonts w:ascii="Palatino Linotype" w:hAnsi="Palatino Linotype"/>
          <w:color w:val="000000" w:themeColor="text1"/>
        </w:rPr>
      </w:pPr>
    </w:p>
    <w:p w14:paraId="54F779BF" w14:textId="7750651E" w:rsidR="00D2706E" w:rsidRPr="00624ACF" w:rsidRDefault="00911D07" w:rsidP="00E6530C">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624ACF">
        <w:rPr>
          <w:rFonts w:ascii="Palatino Linotype" w:eastAsia="Calibri" w:hAnsi="Palatino Linotype" w:cs="Arial"/>
          <w:color w:val="000000" w:themeColor="text1"/>
          <w:lang w:val="es-ES"/>
        </w:rPr>
        <w:t xml:space="preserve">El </w:t>
      </w:r>
      <w:r w:rsidR="004146FC" w:rsidRPr="00624ACF">
        <w:rPr>
          <w:rFonts w:ascii="Palatino Linotype" w:hAnsi="Palatino Linotype"/>
          <w:color w:val="000000" w:themeColor="text1"/>
          <w:lang w:val="es-ES_tradnl"/>
        </w:rPr>
        <w:t>once (11</w:t>
      </w:r>
      <w:r w:rsidR="004146FC" w:rsidRPr="00624ACF">
        <w:rPr>
          <w:rFonts w:ascii="Palatino Linotype" w:eastAsia="Calibri" w:hAnsi="Palatino Linotype" w:cs="Arial"/>
          <w:color w:val="000000" w:themeColor="text1"/>
        </w:rPr>
        <w:t>) de marzo de dos mil veintidós</w:t>
      </w:r>
      <w:r w:rsidR="004146FC" w:rsidRPr="00624ACF">
        <w:rPr>
          <w:rFonts w:ascii="Palatino Linotype" w:hAnsi="Palatino Linotype" w:cs="Arial"/>
          <w:color w:val="000000" w:themeColor="text1"/>
        </w:rPr>
        <w:t>, la Comisionada Ponente decretó el cierre del periodo de instrucción, por lo que ordenó turnar el expediente para su resolución; y, en misma fecha, con fundamento en el artículo 181, tercer párrafo, de la Ley de Transparencia y Acceso a la Información Pública del Estado de México y Municipios,</w:t>
      </w:r>
      <w:r w:rsidR="004146FC" w:rsidRPr="00624ACF">
        <w:rPr>
          <w:rFonts w:ascii="Palatino Linotype" w:hAnsi="Palatino Linotype" w:cs="Arial"/>
          <w:bCs/>
          <w:color w:val="000000" w:themeColor="text1"/>
        </w:rPr>
        <w:t xml:space="preserve"> </w:t>
      </w:r>
      <w:r w:rsidR="004146FC" w:rsidRPr="00624ACF">
        <w:rPr>
          <w:rFonts w:ascii="Palatino Linotype" w:hAnsi="Palatino Linotype" w:cs="Arial"/>
          <w:color w:val="000000" w:themeColor="text1"/>
        </w:rPr>
        <w:t>se notificó que el plazo de treinta (30) días para resolver el recurso de revisión sería ampliado por un periodo de quince (15) días hábiles adicionales.</w:t>
      </w:r>
    </w:p>
    <w:p w14:paraId="624438CA" w14:textId="77777777" w:rsidR="004146FC" w:rsidRPr="00624ACF" w:rsidRDefault="004146FC" w:rsidP="004146FC">
      <w:pPr>
        <w:pStyle w:val="Prrafodelista"/>
        <w:tabs>
          <w:tab w:val="left" w:pos="426"/>
        </w:tabs>
        <w:spacing w:line="360" w:lineRule="auto"/>
        <w:ind w:left="0"/>
        <w:jc w:val="both"/>
        <w:rPr>
          <w:rFonts w:ascii="Palatino Linotype" w:hAnsi="Palatino Linotype"/>
          <w:color w:val="000000" w:themeColor="text1"/>
        </w:rPr>
      </w:pPr>
    </w:p>
    <w:p w14:paraId="67753448" w14:textId="6E7D1AF6" w:rsidR="004146FC" w:rsidRPr="00624ACF" w:rsidRDefault="004146FC" w:rsidP="00E6530C">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hAnsi="Palatino Linotype" w:cs="Arial"/>
          <w:color w:val="000000" w:themeColor="text1"/>
        </w:rPr>
        <w:t>El cuatro (04) de abril de dos mil veintidós, se notificó en el SAIMEX la resolución del Pleno de este Organismo Garante, en la que se determinó entregar lo siguiente:</w:t>
      </w:r>
    </w:p>
    <w:p w14:paraId="32325E7A" w14:textId="50804B73" w:rsidR="004146FC" w:rsidRPr="00624ACF" w:rsidRDefault="004146FC" w:rsidP="004146FC">
      <w:pPr>
        <w:pStyle w:val="Prrafodelista"/>
        <w:tabs>
          <w:tab w:val="left" w:pos="426"/>
        </w:tabs>
        <w:spacing w:line="360" w:lineRule="auto"/>
        <w:ind w:left="0"/>
        <w:jc w:val="both"/>
        <w:rPr>
          <w:rFonts w:ascii="Palatino Linotype" w:hAnsi="Palatino Linotype"/>
          <w:color w:val="000000" w:themeColor="text1"/>
        </w:rPr>
      </w:pPr>
    </w:p>
    <w:p w14:paraId="535055AA" w14:textId="77777777" w:rsidR="004146FC" w:rsidRPr="00624ACF" w:rsidRDefault="004146FC" w:rsidP="004146FC">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r w:rsidRPr="00624ACF">
        <w:rPr>
          <w:rFonts w:ascii="Palatino Linotype" w:hAnsi="Palatino Linotype"/>
          <w:b/>
          <w:bCs/>
          <w:i/>
          <w:iCs/>
          <w:color w:val="000000" w:themeColor="text1"/>
          <w:sz w:val="22"/>
          <w:szCs w:val="22"/>
        </w:rPr>
        <w:t xml:space="preserve">SEGUNDO. </w:t>
      </w:r>
      <w:r w:rsidRPr="00624ACF">
        <w:rPr>
          <w:rFonts w:ascii="Palatino Linotype" w:hAnsi="Palatino Linotype"/>
          <w:i/>
          <w:iCs/>
          <w:color w:val="000000" w:themeColor="text1"/>
          <w:sz w:val="22"/>
          <w:szCs w:val="22"/>
        </w:rPr>
        <w:t xml:space="preserve">Se </w:t>
      </w:r>
      <w:r w:rsidRPr="00624ACF">
        <w:rPr>
          <w:rFonts w:ascii="Palatino Linotype" w:hAnsi="Palatino Linotype"/>
          <w:b/>
          <w:bCs/>
          <w:i/>
          <w:iCs/>
          <w:color w:val="000000" w:themeColor="text1"/>
          <w:sz w:val="22"/>
          <w:szCs w:val="22"/>
        </w:rPr>
        <w:t>MODIFICA</w:t>
      </w:r>
      <w:r w:rsidRPr="00624ACF">
        <w:rPr>
          <w:rFonts w:ascii="Palatino Linotype" w:hAnsi="Palatino Linotype"/>
          <w:i/>
          <w:iCs/>
          <w:color w:val="000000" w:themeColor="text1"/>
          <w:sz w:val="22"/>
          <w:szCs w:val="22"/>
        </w:rPr>
        <w:t xml:space="preserve"> la respuesta emitida por la </w:t>
      </w:r>
      <w:r w:rsidRPr="00624ACF">
        <w:rPr>
          <w:rFonts w:ascii="Palatino Linotype" w:hAnsi="Palatino Linotype"/>
          <w:b/>
          <w:bCs/>
          <w:i/>
          <w:iCs/>
          <w:color w:val="000000" w:themeColor="text1"/>
          <w:sz w:val="22"/>
          <w:szCs w:val="22"/>
        </w:rPr>
        <w:t>Unidad de Asuntos Internos</w:t>
      </w:r>
      <w:r w:rsidRPr="00624ACF">
        <w:rPr>
          <w:rFonts w:ascii="Palatino Linotype" w:hAnsi="Palatino Linotype"/>
          <w:i/>
          <w:iCs/>
          <w:color w:val="000000" w:themeColor="text1"/>
          <w:sz w:val="22"/>
          <w:szCs w:val="22"/>
        </w:rPr>
        <w:t xml:space="preserve"> a la solicitud </w:t>
      </w:r>
      <w:r w:rsidRPr="00624ACF">
        <w:rPr>
          <w:rFonts w:ascii="Palatino Linotype" w:hAnsi="Palatino Linotype"/>
          <w:b/>
          <w:bCs/>
          <w:i/>
          <w:iCs/>
          <w:color w:val="000000" w:themeColor="text1"/>
          <w:sz w:val="22"/>
          <w:szCs w:val="22"/>
        </w:rPr>
        <w:t>00041/UAI/IP/2021</w:t>
      </w:r>
      <w:r w:rsidRPr="00624ACF">
        <w:rPr>
          <w:rFonts w:ascii="Palatino Linotype" w:hAnsi="Palatino Linotype"/>
          <w:i/>
          <w:iCs/>
          <w:color w:val="000000" w:themeColor="text1"/>
          <w:sz w:val="22"/>
          <w:szCs w:val="22"/>
        </w:rPr>
        <w:t xml:space="preserve"> y se </w:t>
      </w:r>
      <w:r w:rsidRPr="00624ACF">
        <w:rPr>
          <w:rFonts w:ascii="Palatino Linotype" w:hAnsi="Palatino Linotype"/>
          <w:b/>
          <w:bCs/>
          <w:i/>
          <w:iCs/>
          <w:color w:val="000000" w:themeColor="text1"/>
          <w:sz w:val="22"/>
          <w:szCs w:val="22"/>
        </w:rPr>
        <w:t>ORDENA</w:t>
      </w:r>
      <w:r w:rsidRPr="00624ACF">
        <w:rPr>
          <w:rFonts w:ascii="Palatino Linotype" w:hAnsi="Palatino Linotype"/>
          <w:i/>
          <w:iCs/>
          <w:color w:val="000000" w:themeColor="text1"/>
          <w:sz w:val="22"/>
          <w:szCs w:val="22"/>
        </w:rPr>
        <w:t xml:space="preserve"> entregar, a través del Sistema de Acceso a la Información Pública Mexiquense (SAIMEX), la siguiente información: </w:t>
      </w:r>
    </w:p>
    <w:p w14:paraId="4BF33858" w14:textId="77777777" w:rsidR="004146FC" w:rsidRPr="00624ACF" w:rsidRDefault="004146FC" w:rsidP="004146FC">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64DB4CD2" w14:textId="7B9C337E" w:rsidR="004146FC" w:rsidRPr="00624ACF" w:rsidRDefault="004146FC" w:rsidP="004146FC">
      <w:pPr>
        <w:pStyle w:val="Prrafodelista"/>
        <w:tabs>
          <w:tab w:val="left" w:pos="426"/>
        </w:tabs>
        <w:spacing w:line="276" w:lineRule="auto"/>
        <w:ind w:left="851" w:right="567"/>
        <w:jc w:val="both"/>
        <w:rPr>
          <w:rFonts w:ascii="Palatino Linotype" w:hAnsi="Palatino Linotype"/>
          <w:color w:val="000000" w:themeColor="text1"/>
          <w:sz w:val="22"/>
          <w:szCs w:val="22"/>
        </w:rPr>
      </w:pPr>
      <w:r w:rsidRPr="00624ACF">
        <w:rPr>
          <w:rFonts w:ascii="Palatino Linotype" w:hAnsi="Palatino Linotype"/>
          <w:b/>
          <w:bCs/>
          <w:i/>
          <w:iCs/>
          <w:color w:val="000000" w:themeColor="text1"/>
          <w:sz w:val="22"/>
          <w:szCs w:val="22"/>
        </w:rPr>
        <w:t>I. Acuerdo de Clasificación que determine la adecuada reserva de la información relacionada con las acciones y estrategias de investigación sobre las conductas del personal de la Secretaría de Seguridad del Estado de México, contenida en las Actas de la Primera, Segunda, Tercera, Cuarta y Quinta Sesión Ordinaria del Consejo Directivo, celebradas durante el dos mil veintiuno.</w:t>
      </w:r>
      <w:r w:rsidRPr="00624ACF">
        <w:rPr>
          <w:rFonts w:ascii="Palatino Linotype" w:hAnsi="Palatino Linotype"/>
          <w:i/>
          <w:iCs/>
          <w:color w:val="000000" w:themeColor="text1"/>
          <w:sz w:val="22"/>
          <w:szCs w:val="22"/>
        </w:rPr>
        <w:t>”</w:t>
      </w:r>
    </w:p>
    <w:p w14:paraId="5EC99E4C" w14:textId="77777777" w:rsidR="004146FC" w:rsidRPr="00624ACF" w:rsidRDefault="004146FC" w:rsidP="004146FC">
      <w:pPr>
        <w:pStyle w:val="Prrafodelista"/>
        <w:tabs>
          <w:tab w:val="left" w:pos="426"/>
        </w:tabs>
        <w:spacing w:line="360" w:lineRule="auto"/>
        <w:ind w:left="0"/>
        <w:jc w:val="both"/>
        <w:rPr>
          <w:rFonts w:ascii="Palatino Linotype" w:hAnsi="Palatino Linotype"/>
          <w:color w:val="000000" w:themeColor="text1"/>
        </w:rPr>
      </w:pPr>
    </w:p>
    <w:p w14:paraId="4AE2FE87" w14:textId="426C110C" w:rsidR="004146FC" w:rsidRPr="00624ACF" w:rsidRDefault="004146FC" w:rsidP="00E6530C">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hAnsi="Palatino Linotype" w:cs="Arial"/>
          <w:color w:val="000000" w:themeColor="text1"/>
        </w:rPr>
        <w:lastRenderedPageBreak/>
        <w:t xml:space="preserve">De las constancias que obran en el expediente digital formado en el SAIMEX, se advierte que el </w:t>
      </w:r>
      <w:r w:rsidRPr="00624ACF">
        <w:rPr>
          <w:rFonts w:ascii="Palatino Linotype" w:hAnsi="Palatino Linotype" w:cs="Arial"/>
          <w:b/>
          <w:bCs/>
          <w:color w:val="000000" w:themeColor="text1"/>
        </w:rPr>
        <w:t>SUJETO OBLIGADO</w:t>
      </w:r>
      <w:r w:rsidRPr="00624ACF">
        <w:rPr>
          <w:rFonts w:ascii="Palatino Linotype" w:hAnsi="Palatino Linotype" w:cs="Arial"/>
          <w:color w:val="000000" w:themeColor="text1"/>
        </w:rPr>
        <w:t xml:space="preserve"> no dio cumplimiento a la resolución recaída al recurso de revisión </w:t>
      </w:r>
      <w:r w:rsidRPr="00624ACF">
        <w:rPr>
          <w:rFonts w:ascii="Palatino Linotype" w:hAnsi="Palatino Linotype" w:cs="Arial"/>
          <w:b/>
          <w:bCs/>
          <w:color w:val="000000" w:themeColor="text1"/>
        </w:rPr>
        <w:t>06268/INFOEM/IP/RR/2021</w:t>
      </w:r>
      <w:r w:rsidRPr="00624ACF">
        <w:rPr>
          <w:rFonts w:ascii="Palatino Linotype" w:hAnsi="Palatino Linotype" w:cs="Arial"/>
          <w:color w:val="000000" w:themeColor="text1"/>
        </w:rPr>
        <w:t>.</w:t>
      </w:r>
    </w:p>
    <w:p w14:paraId="4DCDB0AC" w14:textId="77777777" w:rsidR="004146FC" w:rsidRPr="00624ACF" w:rsidRDefault="004146FC" w:rsidP="004146FC">
      <w:pPr>
        <w:pStyle w:val="Prrafodelista"/>
        <w:tabs>
          <w:tab w:val="left" w:pos="426"/>
        </w:tabs>
        <w:spacing w:line="360" w:lineRule="auto"/>
        <w:ind w:left="0"/>
        <w:jc w:val="both"/>
        <w:rPr>
          <w:rFonts w:ascii="Palatino Linotype" w:hAnsi="Palatino Linotype"/>
          <w:color w:val="000000" w:themeColor="text1"/>
        </w:rPr>
      </w:pPr>
    </w:p>
    <w:p w14:paraId="0ED7E33E" w14:textId="5B785897" w:rsidR="004146FC" w:rsidRPr="00624ACF" w:rsidRDefault="004146FC" w:rsidP="00E6530C">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hAnsi="Palatino Linotype" w:cs="Arial"/>
          <w:color w:val="000000" w:themeColor="text1"/>
        </w:rPr>
        <w:t>El veintinueve (29) de abril de dos mil veintidós, la Dirección de Cumplimientos de este Organismo Garante emitió el respectivo Acuerdo de Incumplimiento a la resolución del Pleno</w:t>
      </w:r>
      <w:r w:rsidR="0064203B" w:rsidRPr="00624ACF">
        <w:rPr>
          <w:rFonts w:ascii="Palatino Linotype" w:hAnsi="Palatino Linotype" w:cs="Arial"/>
          <w:color w:val="000000" w:themeColor="text1"/>
        </w:rPr>
        <w:t>; y, en misma fecha, se turnó a la Contraloría Interna para fijarse la imposición de la media de apremio que conforme a derecho correspondiera.</w:t>
      </w:r>
    </w:p>
    <w:p w14:paraId="7578D003" w14:textId="77777777" w:rsidR="004146FC" w:rsidRPr="00624ACF" w:rsidRDefault="004146FC" w:rsidP="004146FC">
      <w:pPr>
        <w:pStyle w:val="Prrafodelista"/>
        <w:tabs>
          <w:tab w:val="left" w:pos="426"/>
        </w:tabs>
        <w:spacing w:line="360" w:lineRule="auto"/>
        <w:ind w:left="0"/>
        <w:jc w:val="both"/>
        <w:rPr>
          <w:rFonts w:ascii="Palatino Linotype" w:hAnsi="Palatino Linotype"/>
          <w:color w:val="000000" w:themeColor="text1"/>
        </w:rPr>
      </w:pPr>
    </w:p>
    <w:p w14:paraId="363911C1" w14:textId="7C301319" w:rsidR="004146FC" w:rsidRPr="00624ACF" w:rsidRDefault="0064203B" w:rsidP="00E6530C">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hAnsi="Palatino Linotype" w:cs="Arial"/>
          <w:color w:val="000000" w:themeColor="text1"/>
        </w:rPr>
        <w:t xml:space="preserve">Derivado de la falta de cumplimiento a la primera resolución por parte del </w:t>
      </w:r>
      <w:r w:rsidRPr="00624ACF">
        <w:rPr>
          <w:rFonts w:ascii="Palatino Linotype" w:hAnsi="Palatino Linotype" w:cs="Arial"/>
          <w:b/>
          <w:bCs/>
          <w:color w:val="000000" w:themeColor="text1"/>
        </w:rPr>
        <w:t>SUJETO OBLIGADO</w:t>
      </w:r>
      <w:r w:rsidRPr="00624ACF">
        <w:rPr>
          <w:rFonts w:ascii="Palatino Linotype" w:hAnsi="Palatino Linotype" w:cs="Arial"/>
          <w:color w:val="000000" w:themeColor="text1"/>
        </w:rPr>
        <w:t xml:space="preserve">, el </w:t>
      </w:r>
      <w:bookmarkStart w:id="6" w:name="_Hlk118361913"/>
      <w:r w:rsidRPr="00624ACF">
        <w:rPr>
          <w:rFonts w:ascii="Palatino Linotype" w:hAnsi="Palatino Linotype" w:cs="Arial"/>
          <w:color w:val="000000" w:themeColor="text1"/>
        </w:rPr>
        <w:t>dieciséis (16) de mayo de dos mil veintidós, el particular interpuso el segundo recurso de revisión</w:t>
      </w:r>
      <w:r w:rsidRPr="00624ACF">
        <w:rPr>
          <w:rFonts w:ascii="Palatino Linotype" w:hAnsi="Palatino Linotype"/>
          <w:color w:val="000000" w:themeColor="text1"/>
        </w:rPr>
        <w:t xml:space="preserve"> </w:t>
      </w:r>
      <w:r w:rsidRPr="00624ACF">
        <w:rPr>
          <w:rFonts w:ascii="Palatino Linotype" w:eastAsia="Calibri" w:hAnsi="Palatino Linotype" w:cs="Arial"/>
          <w:b/>
          <w:color w:val="000000" w:themeColor="text1"/>
        </w:rPr>
        <w:t>06268/INFOEM/ICR-31/IP/RR/2021;</w:t>
      </w:r>
      <w:r w:rsidRPr="00624ACF">
        <w:rPr>
          <w:rFonts w:ascii="Palatino Linotype" w:hAnsi="Palatino Linotype" w:cs="Arial"/>
          <w:color w:val="000000" w:themeColor="text1"/>
        </w:rPr>
        <w:t xml:space="preserve"> impugnación en la que refirió lo siguiente:</w:t>
      </w:r>
      <w:bookmarkEnd w:id="6"/>
    </w:p>
    <w:p w14:paraId="08814823" w14:textId="5B5993A0" w:rsidR="004146FC" w:rsidRPr="00624ACF" w:rsidRDefault="004146FC" w:rsidP="004146FC">
      <w:pPr>
        <w:pStyle w:val="Prrafodelista"/>
        <w:tabs>
          <w:tab w:val="left" w:pos="426"/>
        </w:tabs>
        <w:spacing w:line="360" w:lineRule="auto"/>
        <w:ind w:left="0"/>
        <w:jc w:val="both"/>
        <w:rPr>
          <w:rFonts w:ascii="Palatino Linotype" w:hAnsi="Palatino Linotype"/>
          <w:color w:val="000000" w:themeColor="text1"/>
        </w:rPr>
      </w:pPr>
    </w:p>
    <w:p w14:paraId="16827DC4" w14:textId="6594C362" w:rsidR="0064203B" w:rsidRPr="00624ACF" w:rsidRDefault="0064203B" w:rsidP="0064203B">
      <w:pPr>
        <w:tabs>
          <w:tab w:val="left" w:pos="426"/>
          <w:tab w:val="left" w:pos="720"/>
          <w:tab w:val="left" w:pos="900"/>
        </w:tabs>
        <w:spacing w:line="276" w:lineRule="auto"/>
        <w:ind w:left="567" w:right="567"/>
        <w:contextualSpacing/>
        <w:jc w:val="both"/>
        <w:rPr>
          <w:rFonts w:ascii="Palatino Linotype" w:hAnsi="Palatino Linotype" w:cs="Arial"/>
          <w:color w:val="000000" w:themeColor="text1"/>
          <w:sz w:val="22"/>
        </w:rPr>
      </w:pPr>
      <w:r w:rsidRPr="00624ACF">
        <w:rPr>
          <w:rFonts w:ascii="Palatino Linotype" w:hAnsi="Palatino Linotype" w:cs="Arial"/>
          <w:b/>
          <w:color w:val="000000" w:themeColor="text1"/>
          <w:sz w:val="22"/>
        </w:rPr>
        <w:t>Acto impugnado:</w:t>
      </w:r>
      <w:r w:rsidRPr="00624ACF">
        <w:rPr>
          <w:rFonts w:ascii="Palatino Linotype" w:hAnsi="Palatino Linotype" w:cs="Arial"/>
          <w:color w:val="000000" w:themeColor="text1"/>
          <w:sz w:val="22"/>
        </w:rPr>
        <w:t xml:space="preserve"> </w:t>
      </w:r>
      <w:r w:rsidRPr="00624ACF">
        <w:rPr>
          <w:rFonts w:ascii="Palatino Linotype" w:hAnsi="Palatino Linotype" w:cs="Arial"/>
          <w:i/>
          <w:color w:val="000000" w:themeColor="text1"/>
          <w:sz w:val="22"/>
        </w:rPr>
        <w:t xml:space="preserve">“inconformidad al incumplimiento de resolución, es decir, se resolvió el recurso de revisión y se otorgó el término de 10 días hábiles, no se </w:t>
      </w:r>
      <w:proofErr w:type="spellStart"/>
      <w:r w:rsidRPr="00624ACF">
        <w:rPr>
          <w:rFonts w:ascii="Palatino Linotype" w:hAnsi="Palatino Linotype" w:cs="Arial"/>
          <w:i/>
          <w:color w:val="000000" w:themeColor="text1"/>
          <w:sz w:val="22"/>
        </w:rPr>
        <w:t>dió</w:t>
      </w:r>
      <w:proofErr w:type="spellEnd"/>
      <w:r w:rsidRPr="00624ACF">
        <w:rPr>
          <w:rFonts w:ascii="Palatino Linotype" w:hAnsi="Palatino Linotype" w:cs="Arial"/>
          <w:i/>
          <w:color w:val="000000" w:themeColor="text1"/>
          <w:sz w:val="22"/>
        </w:rPr>
        <w:t xml:space="preserve"> cumplimiento, se emitió el Acuerdo de incumplimiento y se otorgó de nueva cuenta otro término de 5 días hábiles para el cumplimiento, sin embargo, el incumplimiento sigue, por lo anterior, </w:t>
      </w:r>
      <w:proofErr w:type="spellStart"/>
      <w:r w:rsidRPr="00624ACF">
        <w:rPr>
          <w:rFonts w:ascii="Palatino Linotype" w:hAnsi="Palatino Linotype" w:cs="Arial"/>
          <w:i/>
          <w:color w:val="000000" w:themeColor="text1"/>
          <w:sz w:val="22"/>
        </w:rPr>
        <w:t>anexó</w:t>
      </w:r>
      <w:proofErr w:type="spellEnd"/>
      <w:r w:rsidRPr="00624ACF">
        <w:rPr>
          <w:rFonts w:ascii="Palatino Linotype" w:hAnsi="Palatino Linotype" w:cs="Arial"/>
          <w:i/>
          <w:color w:val="000000" w:themeColor="text1"/>
          <w:sz w:val="22"/>
        </w:rPr>
        <w:t xml:space="preserve"> al presente la denuncia respectiva”</w:t>
      </w:r>
      <w:r w:rsidRPr="00624ACF">
        <w:rPr>
          <w:rFonts w:ascii="Palatino Linotype" w:hAnsi="Palatino Linotype" w:cs="Arial"/>
          <w:color w:val="000000" w:themeColor="text1"/>
          <w:sz w:val="22"/>
        </w:rPr>
        <w:t xml:space="preserve"> (Sic).</w:t>
      </w:r>
    </w:p>
    <w:p w14:paraId="271F7456" w14:textId="77777777" w:rsidR="0064203B" w:rsidRPr="00624ACF" w:rsidRDefault="0064203B" w:rsidP="0064203B">
      <w:pPr>
        <w:tabs>
          <w:tab w:val="left" w:pos="0"/>
          <w:tab w:val="left" w:pos="900"/>
        </w:tabs>
        <w:spacing w:line="276" w:lineRule="auto"/>
        <w:ind w:left="567" w:right="567"/>
        <w:contextualSpacing/>
        <w:jc w:val="both"/>
        <w:rPr>
          <w:rFonts w:ascii="Palatino Linotype" w:hAnsi="Palatino Linotype" w:cs="Arial"/>
          <w:color w:val="000000" w:themeColor="text1"/>
          <w:sz w:val="22"/>
        </w:rPr>
      </w:pPr>
    </w:p>
    <w:p w14:paraId="7CBEE08E" w14:textId="09BBBBB9" w:rsidR="0064203B" w:rsidRPr="00624ACF" w:rsidRDefault="0064203B" w:rsidP="0064203B">
      <w:pPr>
        <w:tabs>
          <w:tab w:val="left" w:pos="0"/>
          <w:tab w:val="left" w:pos="900"/>
        </w:tabs>
        <w:spacing w:line="276" w:lineRule="auto"/>
        <w:ind w:left="567" w:right="567"/>
        <w:contextualSpacing/>
        <w:jc w:val="both"/>
        <w:rPr>
          <w:rFonts w:ascii="Palatino Linotype" w:hAnsi="Palatino Linotype" w:cs="Arial"/>
          <w:color w:val="000000" w:themeColor="text1"/>
          <w:sz w:val="22"/>
        </w:rPr>
      </w:pPr>
      <w:r w:rsidRPr="00624ACF">
        <w:rPr>
          <w:rFonts w:ascii="Palatino Linotype" w:hAnsi="Palatino Linotype" w:cs="Arial"/>
          <w:b/>
          <w:color w:val="000000" w:themeColor="text1"/>
          <w:sz w:val="22"/>
        </w:rPr>
        <w:t>Razones o motivos de inconformidad:</w:t>
      </w:r>
      <w:r w:rsidRPr="00624ACF">
        <w:rPr>
          <w:rFonts w:ascii="Palatino Linotype" w:hAnsi="Palatino Linotype" w:cs="Arial"/>
          <w:color w:val="000000" w:themeColor="text1"/>
          <w:sz w:val="22"/>
        </w:rPr>
        <w:t xml:space="preserve"> </w:t>
      </w:r>
      <w:r w:rsidRPr="00624ACF">
        <w:rPr>
          <w:rFonts w:ascii="Palatino Linotype" w:hAnsi="Palatino Linotype" w:cs="Arial"/>
          <w:i/>
          <w:color w:val="000000" w:themeColor="text1"/>
          <w:sz w:val="22"/>
        </w:rPr>
        <w:t xml:space="preserve">“sigue sin dar cumplimiento a la resolución, anexo la resolución del recurso de revisión, el acuerdo de incumplimiento, el oficio dirigido al sujeto obligado donde se le otorga el término de 5 días hábiles y el escrito que contiene las manifestaciones de hecho y de derecho donde denuncio el incumplimiento a las obligaciones del sujeto </w:t>
      </w:r>
      <w:proofErr w:type="spellStart"/>
      <w:r w:rsidRPr="00624ACF">
        <w:rPr>
          <w:rFonts w:ascii="Palatino Linotype" w:hAnsi="Palatino Linotype" w:cs="Arial"/>
          <w:i/>
          <w:color w:val="000000" w:themeColor="text1"/>
          <w:sz w:val="22"/>
        </w:rPr>
        <w:t>obigado</w:t>
      </w:r>
      <w:proofErr w:type="spellEnd"/>
      <w:r w:rsidRPr="00624ACF">
        <w:rPr>
          <w:rFonts w:ascii="Palatino Linotype" w:hAnsi="Palatino Linotype" w:cs="Arial"/>
          <w:i/>
          <w:color w:val="000000" w:themeColor="text1"/>
          <w:sz w:val="22"/>
        </w:rPr>
        <w:t xml:space="preserve">” </w:t>
      </w:r>
      <w:r w:rsidRPr="00624ACF">
        <w:rPr>
          <w:rFonts w:ascii="Palatino Linotype" w:hAnsi="Palatino Linotype" w:cs="Arial"/>
          <w:color w:val="000000" w:themeColor="text1"/>
          <w:sz w:val="22"/>
        </w:rPr>
        <w:t>(Sic).</w:t>
      </w:r>
    </w:p>
    <w:p w14:paraId="4A545451" w14:textId="77777777" w:rsidR="0064203B" w:rsidRPr="00624ACF" w:rsidRDefault="0064203B" w:rsidP="004146FC">
      <w:pPr>
        <w:pStyle w:val="Prrafodelista"/>
        <w:tabs>
          <w:tab w:val="left" w:pos="426"/>
        </w:tabs>
        <w:spacing w:line="360" w:lineRule="auto"/>
        <w:ind w:left="0"/>
        <w:jc w:val="both"/>
        <w:rPr>
          <w:rFonts w:ascii="Palatino Linotype" w:hAnsi="Palatino Linotype"/>
          <w:color w:val="000000" w:themeColor="text1"/>
        </w:rPr>
      </w:pPr>
    </w:p>
    <w:p w14:paraId="2BCFB3D1" w14:textId="65761EB7" w:rsidR="004146FC" w:rsidRPr="00624ACF" w:rsidRDefault="0064203B" w:rsidP="00E6530C">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hAnsi="Palatino Linotype" w:cs="Arial"/>
          <w:color w:val="000000" w:themeColor="text1"/>
        </w:rPr>
        <w:t xml:space="preserve">Se hace constar que, adjunto al recurso de revisión indicado </w:t>
      </w:r>
      <w:r w:rsidRPr="00624ACF">
        <w:rPr>
          <w:rFonts w:ascii="Palatino Linotype" w:hAnsi="Palatino Linotype" w:cs="Arial"/>
          <w:i/>
          <w:iCs/>
          <w:color w:val="000000" w:themeColor="text1"/>
        </w:rPr>
        <w:t>supra</w:t>
      </w:r>
      <w:r w:rsidRPr="00624ACF">
        <w:rPr>
          <w:rFonts w:ascii="Palatino Linotype" w:hAnsi="Palatino Linotype" w:cs="Arial"/>
          <w:color w:val="000000" w:themeColor="text1"/>
        </w:rPr>
        <w:t xml:space="preserve">, el </w:t>
      </w:r>
      <w:r w:rsidRPr="00624ACF">
        <w:rPr>
          <w:rFonts w:ascii="Palatino Linotype" w:hAnsi="Palatino Linotype" w:cs="Arial"/>
          <w:b/>
          <w:bCs/>
          <w:color w:val="000000" w:themeColor="text1"/>
        </w:rPr>
        <w:t>RECURRENTE</w:t>
      </w:r>
      <w:r w:rsidRPr="00624ACF">
        <w:rPr>
          <w:rFonts w:ascii="Palatino Linotype" w:hAnsi="Palatino Linotype" w:cs="Arial"/>
          <w:color w:val="000000" w:themeColor="text1"/>
        </w:rPr>
        <w:t xml:space="preserve"> presentó los siguientes archivos electrónicos:</w:t>
      </w:r>
    </w:p>
    <w:p w14:paraId="7F85365B" w14:textId="12D2E8A3" w:rsidR="0064203B" w:rsidRPr="00624ACF" w:rsidRDefault="0064203B" w:rsidP="00BF3FA6">
      <w:pPr>
        <w:pStyle w:val="Prrafodelista"/>
        <w:numPr>
          <w:ilvl w:val="1"/>
          <w:numId w:val="10"/>
        </w:numPr>
        <w:tabs>
          <w:tab w:val="left" w:pos="426"/>
        </w:tabs>
        <w:spacing w:line="360" w:lineRule="auto"/>
        <w:ind w:left="1134"/>
        <w:jc w:val="both"/>
        <w:rPr>
          <w:rFonts w:ascii="Palatino Linotype" w:hAnsi="Palatino Linotype"/>
          <w:color w:val="000000" w:themeColor="text1"/>
        </w:rPr>
      </w:pPr>
      <w:r w:rsidRPr="00624ACF">
        <w:rPr>
          <w:rFonts w:ascii="Palatino Linotype" w:hAnsi="Palatino Linotype" w:cs="Arial"/>
          <w:b/>
          <w:bCs/>
          <w:i/>
          <w:iCs/>
          <w:color w:val="000000" w:themeColor="text1"/>
        </w:rPr>
        <w:lastRenderedPageBreak/>
        <w:t>“</w:t>
      </w:r>
      <w:r w:rsidR="0060512C" w:rsidRPr="00624ACF">
        <w:rPr>
          <w:rFonts w:ascii="Palatino Linotype" w:hAnsi="Palatino Linotype" w:cs="Arial"/>
          <w:b/>
          <w:bCs/>
          <w:i/>
          <w:iCs/>
          <w:color w:val="000000" w:themeColor="text1"/>
        </w:rPr>
        <w:t>AI-RR-06268-2021</w:t>
      </w:r>
      <w:r w:rsidRPr="00624ACF">
        <w:rPr>
          <w:rFonts w:ascii="Palatino Linotype" w:hAnsi="Palatino Linotype" w:cs="Arial"/>
          <w:b/>
          <w:bCs/>
          <w:i/>
          <w:iCs/>
          <w:color w:val="000000" w:themeColor="text1"/>
        </w:rPr>
        <w:t>.pdf”</w:t>
      </w:r>
      <w:r w:rsidRPr="00624ACF">
        <w:rPr>
          <w:rFonts w:ascii="Palatino Linotype" w:hAnsi="Palatino Linotype" w:cs="Arial"/>
          <w:color w:val="000000" w:themeColor="text1"/>
        </w:rPr>
        <w:t>: Documento</w:t>
      </w:r>
      <w:r w:rsidR="0060512C" w:rsidRPr="00624ACF">
        <w:rPr>
          <w:rFonts w:ascii="Palatino Linotype" w:hAnsi="Palatino Linotype" w:cs="Arial"/>
          <w:color w:val="000000" w:themeColor="text1"/>
        </w:rPr>
        <w:t xml:space="preserve"> de seis fojas consistente en el Acuerdo de Incumplimiento de veintisiete (27) de abril de dos mil veintidós, emitido por el Director de Incumplimientos de este Instituto, con respecto a la resolución recaída al recurso de revisión </w:t>
      </w:r>
      <w:r w:rsidR="0060512C" w:rsidRPr="00624ACF">
        <w:rPr>
          <w:rFonts w:ascii="Palatino Linotype" w:hAnsi="Palatino Linotype" w:cs="Arial"/>
          <w:b/>
          <w:bCs/>
          <w:color w:val="000000" w:themeColor="text1"/>
        </w:rPr>
        <w:t>06268/INFOEM/IP/RR/2021</w:t>
      </w:r>
      <w:r w:rsidR="0060512C" w:rsidRPr="00624ACF">
        <w:rPr>
          <w:rFonts w:ascii="Palatino Linotype" w:hAnsi="Palatino Linotype" w:cs="Arial"/>
          <w:color w:val="000000" w:themeColor="text1"/>
        </w:rPr>
        <w:t>.</w:t>
      </w:r>
    </w:p>
    <w:p w14:paraId="3F447C86" w14:textId="2562F100" w:rsidR="0064203B" w:rsidRPr="00624ACF" w:rsidRDefault="0064203B" w:rsidP="00BF3FA6">
      <w:pPr>
        <w:pStyle w:val="Prrafodelista"/>
        <w:numPr>
          <w:ilvl w:val="1"/>
          <w:numId w:val="10"/>
        </w:numPr>
        <w:tabs>
          <w:tab w:val="left" w:pos="426"/>
        </w:tabs>
        <w:spacing w:line="360" w:lineRule="auto"/>
        <w:ind w:left="1134"/>
        <w:jc w:val="both"/>
        <w:rPr>
          <w:rFonts w:ascii="Palatino Linotype" w:hAnsi="Palatino Linotype"/>
          <w:color w:val="000000" w:themeColor="text1"/>
        </w:rPr>
      </w:pPr>
      <w:r w:rsidRPr="00624ACF">
        <w:rPr>
          <w:rFonts w:ascii="Palatino Linotype" w:hAnsi="Palatino Linotype" w:cs="Arial"/>
          <w:b/>
          <w:bCs/>
          <w:i/>
          <w:iCs/>
          <w:color w:val="000000" w:themeColor="text1"/>
        </w:rPr>
        <w:t>“</w:t>
      </w:r>
      <w:r w:rsidR="0060512C" w:rsidRPr="00624ACF">
        <w:rPr>
          <w:rFonts w:ascii="Palatino Linotype" w:hAnsi="Palatino Linotype" w:cs="Arial"/>
          <w:b/>
          <w:bCs/>
          <w:i/>
          <w:iCs/>
          <w:color w:val="000000" w:themeColor="text1"/>
        </w:rPr>
        <w:t>Recurso de revisión 06268-2021 UAI NO HACE FUNCIONES DE SEGURIDAD</w:t>
      </w:r>
      <w:r w:rsidRPr="00624ACF">
        <w:rPr>
          <w:rFonts w:ascii="Palatino Linotype" w:hAnsi="Palatino Linotype" w:cs="Arial"/>
          <w:b/>
          <w:bCs/>
          <w:i/>
          <w:iCs/>
          <w:color w:val="000000" w:themeColor="text1"/>
        </w:rPr>
        <w:t>.pdf”</w:t>
      </w:r>
      <w:r w:rsidRPr="00624ACF">
        <w:rPr>
          <w:rFonts w:ascii="Palatino Linotype" w:hAnsi="Palatino Linotype" w:cs="Arial"/>
          <w:color w:val="000000" w:themeColor="text1"/>
        </w:rPr>
        <w:t>: Documento</w:t>
      </w:r>
      <w:r w:rsidR="0060512C" w:rsidRPr="00624ACF">
        <w:rPr>
          <w:rFonts w:ascii="Palatino Linotype" w:hAnsi="Palatino Linotype" w:cs="Arial"/>
          <w:color w:val="000000" w:themeColor="text1"/>
        </w:rPr>
        <w:t xml:space="preserve"> de 70 fojas consistente en la resolución aprobada en la 12° Sesión Ordinaria del Pleno de este Instituto, llevada a cabo el treinta (30) de marzo de dos mil veintidós, sobre el recurso de revisión </w:t>
      </w:r>
      <w:r w:rsidR="0060512C" w:rsidRPr="00624ACF">
        <w:rPr>
          <w:rFonts w:ascii="Palatino Linotype" w:hAnsi="Palatino Linotype" w:cs="Arial"/>
          <w:b/>
          <w:bCs/>
          <w:color w:val="000000" w:themeColor="text1"/>
        </w:rPr>
        <w:t>06268/INFOEM/IP/RR/2021</w:t>
      </w:r>
      <w:r w:rsidR="0060512C" w:rsidRPr="00624ACF">
        <w:rPr>
          <w:rFonts w:ascii="Palatino Linotype" w:hAnsi="Palatino Linotype" w:cs="Arial"/>
          <w:color w:val="000000" w:themeColor="text1"/>
        </w:rPr>
        <w:t>.</w:t>
      </w:r>
    </w:p>
    <w:p w14:paraId="4169FF2A" w14:textId="54D5B3FA" w:rsidR="0064203B" w:rsidRPr="00624ACF" w:rsidRDefault="0064203B" w:rsidP="00BF3FA6">
      <w:pPr>
        <w:pStyle w:val="Prrafodelista"/>
        <w:numPr>
          <w:ilvl w:val="1"/>
          <w:numId w:val="10"/>
        </w:numPr>
        <w:tabs>
          <w:tab w:val="left" w:pos="426"/>
        </w:tabs>
        <w:spacing w:line="360" w:lineRule="auto"/>
        <w:ind w:left="1134"/>
        <w:jc w:val="both"/>
        <w:rPr>
          <w:rFonts w:ascii="Palatino Linotype" w:hAnsi="Palatino Linotype"/>
          <w:color w:val="000000" w:themeColor="text1"/>
        </w:rPr>
      </w:pPr>
      <w:r w:rsidRPr="00624ACF">
        <w:rPr>
          <w:rFonts w:ascii="Palatino Linotype" w:hAnsi="Palatino Linotype" w:cs="Arial"/>
          <w:b/>
          <w:bCs/>
          <w:i/>
          <w:iCs/>
          <w:color w:val="000000" w:themeColor="text1"/>
        </w:rPr>
        <w:t>“</w:t>
      </w:r>
      <w:r w:rsidR="0060512C" w:rsidRPr="00624ACF">
        <w:rPr>
          <w:rFonts w:ascii="Palatino Linotype" w:hAnsi="Palatino Linotype" w:cs="Arial"/>
          <w:b/>
          <w:bCs/>
          <w:i/>
          <w:iCs/>
          <w:color w:val="000000" w:themeColor="text1"/>
        </w:rPr>
        <w:t>OFICIO-SJ-RR-06268-2021</w:t>
      </w:r>
      <w:r w:rsidRPr="00624ACF">
        <w:rPr>
          <w:rFonts w:ascii="Palatino Linotype" w:hAnsi="Palatino Linotype" w:cs="Arial"/>
          <w:b/>
          <w:bCs/>
          <w:i/>
          <w:iCs/>
          <w:color w:val="000000" w:themeColor="text1"/>
        </w:rPr>
        <w:t>.pdf”</w:t>
      </w:r>
      <w:r w:rsidRPr="00624ACF">
        <w:rPr>
          <w:rFonts w:ascii="Palatino Linotype" w:hAnsi="Palatino Linotype" w:cs="Arial"/>
          <w:color w:val="000000" w:themeColor="text1"/>
        </w:rPr>
        <w:t>: Documento</w:t>
      </w:r>
      <w:r w:rsidR="0060512C" w:rsidRPr="00624ACF">
        <w:rPr>
          <w:rFonts w:ascii="Palatino Linotype" w:hAnsi="Palatino Linotype" w:cs="Arial"/>
          <w:color w:val="000000" w:themeColor="text1"/>
        </w:rPr>
        <w:t xml:space="preserve"> de dos fojas consistente en el oficio número INFOEM/STP/DC/1908/2022, de veintisiete (27) de abril de dos mil veintidós, emitido por el Director de Cumplimientos de este Instituto, y dirigido al Titular de la Unidad de Transparencia del </w:t>
      </w:r>
      <w:r w:rsidR="0060512C" w:rsidRPr="00624ACF">
        <w:rPr>
          <w:rFonts w:ascii="Palatino Linotype" w:hAnsi="Palatino Linotype" w:cs="Arial"/>
          <w:b/>
          <w:bCs/>
          <w:color w:val="000000" w:themeColor="text1"/>
        </w:rPr>
        <w:t>SUJETO OBLIGADO</w:t>
      </w:r>
      <w:r w:rsidR="0060512C" w:rsidRPr="00624ACF">
        <w:rPr>
          <w:rFonts w:ascii="Palatino Linotype" w:hAnsi="Palatino Linotype" w:cs="Arial"/>
          <w:color w:val="000000" w:themeColor="text1"/>
        </w:rPr>
        <w:t xml:space="preserve">, por el que informa sobre la emisión y notificación de un Acuerdo de Incumplimiento dentro del expediente digital formado en el SAIMEX del recurso de revisión </w:t>
      </w:r>
      <w:r w:rsidR="0060512C" w:rsidRPr="00624ACF">
        <w:rPr>
          <w:rFonts w:ascii="Palatino Linotype" w:hAnsi="Palatino Linotype" w:cs="Arial"/>
          <w:b/>
          <w:bCs/>
          <w:color w:val="000000" w:themeColor="text1"/>
        </w:rPr>
        <w:t>06268/INFOEM/IP/RR/2021</w:t>
      </w:r>
      <w:r w:rsidR="0060512C" w:rsidRPr="00624ACF">
        <w:rPr>
          <w:rFonts w:ascii="Palatino Linotype" w:hAnsi="Palatino Linotype" w:cs="Arial"/>
          <w:color w:val="000000" w:themeColor="text1"/>
        </w:rPr>
        <w:t>.</w:t>
      </w:r>
    </w:p>
    <w:p w14:paraId="6682B41C" w14:textId="470D46E4" w:rsidR="0064203B" w:rsidRPr="00624ACF" w:rsidRDefault="0064203B" w:rsidP="00BF3FA6">
      <w:pPr>
        <w:pStyle w:val="Prrafodelista"/>
        <w:numPr>
          <w:ilvl w:val="1"/>
          <w:numId w:val="10"/>
        </w:numPr>
        <w:tabs>
          <w:tab w:val="left" w:pos="426"/>
        </w:tabs>
        <w:spacing w:line="360" w:lineRule="auto"/>
        <w:ind w:left="1134"/>
        <w:jc w:val="both"/>
        <w:rPr>
          <w:rFonts w:ascii="Palatino Linotype" w:hAnsi="Palatino Linotype"/>
          <w:color w:val="000000" w:themeColor="text1"/>
        </w:rPr>
      </w:pPr>
      <w:r w:rsidRPr="00624ACF">
        <w:rPr>
          <w:rFonts w:ascii="Palatino Linotype" w:hAnsi="Palatino Linotype" w:cs="Arial"/>
          <w:b/>
          <w:bCs/>
          <w:i/>
          <w:iCs/>
          <w:color w:val="000000" w:themeColor="text1"/>
        </w:rPr>
        <w:t>“</w:t>
      </w:r>
      <w:r w:rsidR="0060512C" w:rsidRPr="00624ACF">
        <w:rPr>
          <w:rFonts w:ascii="Palatino Linotype" w:hAnsi="Palatino Linotype" w:cs="Arial"/>
          <w:b/>
          <w:bCs/>
          <w:i/>
          <w:iCs/>
          <w:color w:val="000000" w:themeColor="text1"/>
        </w:rPr>
        <w:t>incumplimiento de resolución UAI</w:t>
      </w:r>
      <w:r w:rsidRPr="00624ACF">
        <w:rPr>
          <w:rFonts w:ascii="Palatino Linotype" w:hAnsi="Palatino Linotype" w:cs="Arial"/>
          <w:b/>
          <w:bCs/>
          <w:i/>
          <w:iCs/>
          <w:color w:val="000000" w:themeColor="text1"/>
        </w:rPr>
        <w:t>.pdf”</w:t>
      </w:r>
      <w:r w:rsidRPr="00624ACF">
        <w:rPr>
          <w:rFonts w:ascii="Palatino Linotype" w:hAnsi="Palatino Linotype" w:cs="Arial"/>
          <w:color w:val="000000" w:themeColor="text1"/>
        </w:rPr>
        <w:t xml:space="preserve">: </w:t>
      </w:r>
      <w:r w:rsidR="0060512C" w:rsidRPr="00624ACF">
        <w:rPr>
          <w:rFonts w:ascii="Palatino Linotype" w:hAnsi="Palatino Linotype" w:cs="Arial"/>
          <w:color w:val="000000" w:themeColor="text1"/>
        </w:rPr>
        <w:t xml:space="preserve">Escrito libre de 10 fojas, redactado por el </w:t>
      </w:r>
      <w:r w:rsidR="0060512C" w:rsidRPr="00624ACF">
        <w:rPr>
          <w:rFonts w:ascii="Palatino Linotype" w:hAnsi="Palatino Linotype" w:cs="Arial"/>
          <w:b/>
          <w:bCs/>
          <w:color w:val="000000" w:themeColor="text1"/>
        </w:rPr>
        <w:t>RECURRENTE</w:t>
      </w:r>
      <w:r w:rsidR="0060512C" w:rsidRPr="00624ACF">
        <w:rPr>
          <w:rFonts w:ascii="Palatino Linotype" w:hAnsi="Palatino Linotype" w:cs="Arial"/>
          <w:color w:val="000000" w:themeColor="text1"/>
        </w:rPr>
        <w:t>, mediante el cual, amplía sus agravios y razones o motivos de inconformidad en los siguientes términos:</w:t>
      </w:r>
    </w:p>
    <w:p w14:paraId="7539986C" w14:textId="5AB5BA7E" w:rsidR="004146FC" w:rsidRPr="00624ACF" w:rsidRDefault="004146FC" w:rsidP="0060512C">
      <w:pPr>
        <w:pStyle w:val="Prrafodelista"/>
        <w:tabs>
          <w:tab w:val="left" w:pos="426"/>
        </w:tabs>
        <w:spacing w:line="360" w:lineRule="auto"/>
        <w:ind w:left="567" w:right="567"/>
        <w:jc w:val="both"/>
        <w:rPr>
          <w:rFonts w:ascii="Palatino Linotype" w:hAnsi="Palatino Linotype"/>
          <w:color w:val="000000" w:themeColor="text1"/>
        </w:rPr>
      </w:pPr>
    </w:p>
    <w:p w14:paraId="3FE12744" w14:textId="73F2ACC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“En el presente apartado se hacen valer lo señalado en los siguientes artículos: </w:t>
      </w:r>
    </w:p>
    <w:p w14:paraId="3FDB529E" w14:textId="77777777" w:rsidR="00E81B50" w:rsidRPr="00624ACF" w:rsidRDefault="00E81B50"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p>
    <w:p w14:paraId="1EE07152" w14:textId="23680B04" w:rsidR="00E81B50" w:rsidRPr="00624ACF" w:rsidRDefault="0060512C" w:rsidP="00E81B50">
      <w:pPr>
        <w:pStyle w:val="Prrafodelista"/>
        <w:tabs>
          <w:tab w:val="left" w:pos="426"/>
        </w:tabs>
        <w:spacing w:after="240" w:line="276" w:lineRule="auto"/>
        <w:ind w:left="567" w:right="567"/>
        <w:jc w:val="center"/>
        <w:rPr>
          <w:rFonts w:ascii="Palatino Linotype" w:hAnsi="Palatino Linotype"/>
          <w:b/>
          <w:bCs/>
          <w:i/>
          <w:iCs/>
          <w:color w:val="000000" w:themeColor="text1"/>
          <w:sz w:val="22"/>
          <w:szCs w:val="22"/>
        </w:rPr>
      </w:pPr>
      <w:r w:rsidRPr="00624ACF">
        <w:rPr>
          <w:rFonts w:ascii="Palatino Linotype" w:hAnsi="Palatino Linotype"/>
          <w:b/>
          <w:bCs/>
          <w:i/>
          <w:iCs/>
          <w:color w:val="000000" w:themeColor="text1"/>
          <w:sz w:val="22"/>
          <w:szCs w:val="22"/>
        </w:rPr>
        <w:t>Ley de Transparencia y Acceso a la Información Pública del Estado de México y Municipios.</w:t>
      </w:r>
    </w:p>
    <w:p w14:paraId="3D94F32C"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Artículo 110. La verificación que realice el Instituto en el ámbito de sus respectivas competencias, se sujetará a lo siguiente: </w:t>
      </w:r>
    </w:p>
    <w:p w14:paraId="712E75E7"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lastRenderedPageBreak/>
        <w:t xml:space="preserve">… </w:t>
      </w:r>
    </w:p>
    <w:p w14:paraId="7D76CA6D"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IV. El Instituto verificará el cumplimiento de la resolución una vez transcurrido el plazo y si consideran que se dio cumplimiento a los requerimientos del dictamen, se emitirá un acuerdo del cumplimiento. </w:t>
      </w:r>
    </w:p>
    <w:p w14:paraId="3C679352"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 </w:t>
      </w:r>
    </w:p>
    <w:p w14:paraId="5A5E01D2"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Cuando el Instituto considere que existe un incumplimiento total o parcial de la determinación, le notificarán, por conducto de la Unidad de Transparencia, al superior jerárquico del servidor público responsable de dar cumplimiento, para efecto que en un plazo no mayor a cinco días hábiles se dé cumplimiento a los requerimientos del dictamen. </w:t>
      </w:r>
    </w:p>
    <w:p w14:paraId="7370391E" w14:textId="0C274A6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En caso que el Instituto considere que subsiste el incumplimiento total o parcial de la resolución, en un plazo no mayor a cinco días hábiles, se informará al Pleno para que, imponga las medidas de apremio o sanciones, conforme a lo establecido por esta Ley.</w:t>
      </w:r>
    </w:p>
    <w:p w14:paraId="3CFC5A92" w14:textId="334C2B56"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 </w:t>
      </w:r>
    </w:p>
    <w:p w14:paraId="74618C64" w14:textId="77777777" w:rsidR="00E81B50" w:rsidRPr="00624ACF" w:rsidRDefault="00E81B50"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p>
    <w:p w14:paraId="29D78029"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Artículo 215. La enunciación de las medidas de apremio a que se refiere este Capítulo, no implica que deban necesariamente ser aplicadas por su orden. En cada caso el Instituto determinará su procedencia atendiendo a las condiciones del mismo, la gravedad de la infracción, la pertinencia de la medida y la reincidencia. </w:t>
      </w:r>
    </w:p>
    <w:p w14:paraId="326BF287"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b/>
          <w:bCs/>
          <w:i/>
          <w:iCs/>
          <w:color w:val="000000" w:themeColor="text1"/>
          <w:sz w:val="22"/>
          <w:szCs w:val="22"/>
          <w:u w:val="single"/>
        </w:rPr>
      </w:pPr>
      <w:r w:rsidRPr="00624ACF">
        <w:rPr>
          <w:rFonts w:ascii="Palatino Linotype" w:hAnsi="Palatino Linotype"/>
          <w:b/>
          <w:bCs/>
          <w:i/>
          <w:iCs/>
          <w:color w:val="000000" w:themeColor="text1"/>
          <w:sz w:val="22"/>
          <w:szCs w:val="22"/>
          <w:u w:val="single"/>
        </w:rPr>
        <w:t xml:space="preserve">El incumplimiento de los sujetos obligados será difundido en el portal de obligaciones de transparencia del Instituto y considerados en las evaluaciones que realicen estos. </w:t>
      </w:r>
    </w:p>
    <w:p w14:paraId="33A1CC47"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b/>
          <w:bCs/>
          <w:i/>
          <w:iCs/>
          <w:color w:val="000000" w:themeColor="text1"/>
          <w:sz w:val="22"/>
          <w:szCs w:val="22"/>
          <w:u w:val="single"/>
        </w:rPr>
      </w:pPr>
      <w:r w:rsidRPr="00624ACF">
        <w:rPr>
          <w:rFonts w:ascii="Palatino Linotype" w:hAnsi="Palatino Linotype"/>
          <w:b/>
          <w:bCs/>
          <w:i/>
          <w:iCs/>
          <w:color w:val="000000" w:themeColor="text1"/>
          <w:sz w:val="22"/>
          <w:szCs w:val="22"/>
          <w:u w:val="single"/>
        </w:rPr>
        <w:t xml:space="preserve">En caso de que el incumplimiento de las determinaciones del Instituto implique la presunta comisión de un delito o una de las conductas señaladas en esta Ley, el Instituto deberá denunciar los hechos ante la autoridad competente. </w:t>
      </w:r>
    </w:p>
    <w:p w14:paraId="1F0942BC"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Las medidas de apremio de carácter económico no podrán ser cubiertas con recursos públicos. </w:t>
      </w:r>
    </w:p>
    <w:p w14:paraId="7F976A82" w14:textId="77777777" w:rsidR="00E81B50" w:rsidRPr="00624ACF" w:rsidRDefault="00E81B50"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p>
    <w:p w14:paraId="53844B66"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Artículo 216. Si a pesar de la ejecución de las medidas de apremio previstas en el artículo anterior no se cumple con la determinación, se requerirá el cumplimiento al superior jerárquico para que en un plazo de cinco días hábiles lo instruya a cumplir sin demora. </w:t>
      </w:r>
    </w:p>
    <w:p w14:paraId="56C24811"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De persistir el incumplimiento se aplicarán sobre el superior jerárquico las medidas de apremio establecidas en el artículo anterior. Transcurrido el plazo, sin que se haya dado cumplimiento, se determinarán las sanciones que correspondan. </w:t>
      </w:r>
    </w:p>
    <w:p w14:paraId="7FC3B261"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 </w:t>
      </w:r>
    </w:p>
    <w:p w14:paraId="2209D8DF" w14:textId="77777777" w:rsidR="00E81B50" w:rsidRPr="00624ACF" w:rsidRDefault="00E81B50"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p>
    <w:p w14:paraId="7B8993EE"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Artículo 218. Además de las medidas de apremio previstas en el presente Capítulo, las leyes de la materia podrán establecer aquellas otras que consideren necesarias. </w:t>
      </w:r>
    </w:p>
    <w:p w14:paraId="713CC848"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p>
    <w:p w14:paraId="76F19512" w14:textId="77777777" w:rsidR="00E81B50" w:rsidRPr="00624ACF" w:rsidRDefault="00E81B50"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p>
    <w:p w14:paraId="37BE51A7"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Artículo 222. Son causas de responsabilidad administrativa de los servidores públicos de los sujetos obligados, por incumplimiento de las obligaciones establecidas en la materia de la presente Ley, las siguientes: </w:t>
      </w:r>
    </w:p>
    <w:p w14:paraId="4A971A55"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 </w:t>
      </w:r>
    </w:p>
    <w:p w14:paraId="4453CF1A"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VIII. Incumplir los plazos de atención previstos en la presente Ley; </w:t>
      </w:r>
    </w:p>
    <w:p w14:paraId="63F0E323"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 </w:t>
      </w:r>
    </w:p>
    <w:p w14:paraId="4FAFED38"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XIX. No atender los requerimientos establecidos en la presente Ley, emitidos por el Instituto; </w:t>
      </w:r>
    </w:p>
    <w:p w14:paraId="604A2A09"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XX. No acatar las resoluciones emitidas por el Instituto, en ejercicio de sus funciones; y </w:t>
      </w:r>
    </w:p>
    <w:p w14:paraId="3F7DDD03" w14:textId="77777777" w:rsidR="00E81B50" w:rsidRPr="00624ACF" w:rsidRDefault="00E81B50"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p>
    <w:p w14:paraId="10B8E39A"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Pues bien, con base en lo anterior, este Instituto cuenta con la obligación de dar las vistas correspondientes cuando se esté ante la probable comisión de un hecho delictuoso y/o ante la comisión de una probable falta administrativa, al respecto el Código Penal y la Ley de Responsabilidades Administrativas señalan lo siguiente: </w:t>
      </w:r>
    </w:p>
    <w:p w14:paraId="46786F1C" w14:textId="77777777" w:rsidR="00E81B50" w:rsidRPr="00624ACF" w:rsidRDefault="00E81B50"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p>
    <w:p w14:paraId="40BF84C4" w14:textId="77777777" w:rsidR="00E81B50" w:rsidRPr="00624ACF" w:rsidRDefault="0060512C" w:rsidP="00E81B50">
      <w:pPr>
        <w:pStyle w:val="Prrafodelista"/>
        <w:tabs>
          <w:tab w:val="left" w:pos="426"/>
        </w:tabs>
        <w:spacing w:after="240" w:line="276" w:lineRule="auto"/>
        <w:ind w:left="567" w:right="567"/>
        <w:jc w:val="center"/>
        <w:rPr>
          <w:rFonts w:ascii="Palatino Linotype" w:hAnsi="Palatino Linotype"/>
          <w:b/>
          <w:bCs/>
          <w:i/>
          <w:iCs/>
          <w:color w:val="000000" w:themeColor="text1"/>
          <w:sz w:val="22"/>
          <w:szCs w:val="22"/>
        </w:rPr>
      </w:pPr>
      <w:r w:rsidRPr="00624ACF">
        <w:rPr>
          <w:rFonts w:ascii="Palatino Linotype" w:hAnsi="Palatino Linotype"/>
          <w:b/>
          <w:bCs/>
          <w:i/>
          <w:iCs/>
          <w:color w:val="000000" w:themeColor="text1"/>
          <w:sz w:val="22"/>
          <w:szCs w:val="22"/>
        </w:rPr>
        <w:t>CÓDIGO PENAL PARA EL ESTADO DE MÉXICO.</w:t>
      </w:r>
    </w:p>
    <w:p w14:paraId="7396FD36"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b/>
          <w:bCs/>
          <w:i/>
          <w:iCs/>
          <w:color w:val="000000" w:themeColor="text1"/>
          <w:sz w:val="22"/>
          <w:szCs w:val="22"/>
          <w:u w:val="single"/>
        </w:rPr>
      </w:pPr>
      <w:r w:rsidRPr="00624ACF">
        <w:rPr>
          <w:rFonts w:ascii="Palatino Linotype" w:hAnsi="Palatino Linotype"/>
          <w:b/>
          <w:bCs/>
          <w:i/>
          <w:iCs/>
          <w:color w:val="000000" w:themeColor="text1"/>
          <w:sz w:val="22"/>
          <w:szCs w:val="22"/>
        </w:rPr>
        <w:t>Artículo 331.</w:t>
      </w:r>
      <w:r w:rsidRPr="00624ACF">
        <w:rPr>
          <w:rFonts w:ascii="Palatino Linotype" w:hAnsi="Palatino Linotype"/>
          <w:b/>
          <w:bCs/>
          <w:i/>
          <w:iCs/>
          <w:color w:val="000000" w:themeColor="text1"/>
          <w:sz w:val="22"/>
          <w:szCs w:val="22"/>
          <w:u w:val="single"/>
        </w:rPr>
        <w:t xml:space="preserve"> Comete el delito de incumplimiento de funciones públicas, el servidor público que incurra en alguna de las conductas siguientes: </w:t>
      </w:r>
    </w:p>
    <w:p w14:paraId="0D2E5126"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 </w:t>
      </w:r>
    </w:p>
    <w:p w14:paraId="29057942"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II. </w:t>
      </w:r>
      <w:r w:rsidRPr="00624ACF">
        <w:rPr>
          <w:rFonts w:ascii="Palatino Linotype" w:hAnsi="Palatino Linotype"/>
          <w:b/>
          <w:bCs/>
          <w:i/>
          <w:iCs/>
          <w:color w:val="000000" w:themeColor="text1"/>
          <w:sz w:val="22"/>
          <w:szCs w:val="22"/>
        </w:rPr>
        <w:t>Impedir el cumplimiento de</w:t>
      </w:r>
      <w:r w:rsidRPr="00624ACF">
        <w:rPr>
          <w:rFonts w:ascii="Palatino Linotype" w:hAnsi="Palatino Linotype"/>
          <w:i/>
          <w:iCs/>
          <w:color w:val="000000" w:themeColor="text1"/>
          <w:sz w:val="22"/>
          <w:szCs w:val="22"/>
        </w:rPr>
        <w:t xml:space="preserve"> una ley, decreto, reglamento o </w:t>
      </w:r>
      <w:r w:rsidRPr="00624ACF">
        <w:rPr>
          <w:rFonts w:ascii="Palatino Linotype" w:hAnsi="Palatino Linotype"/>
          <w:b/>
          <w:bCs/>
          <w:i/>
          <w:iCs/>
          <w:color w:val="000000" w:themeColor="text1"/>
          <w:sz w:val="22"/>
          <w:szCs w:val="22"/>
        </w:rPr>
        <w:t>resolución</w:t>
      </w:r>
      <w:r w:rsidRPr="00624ACF">
        <w:rPr>
          <w:rFonts w:ascii="Palatino Linotype" w:hAnsi="Palatino Linotype"/>
          <w:i/>
          <w:iCs/>
          <w:color w:val="000000" w:themeColor="text1"/>
          <w:sz w:val="22"/>
          <w:szCs w:val="22"/>
        </w:rPr>
        <w:t xml:space="preserve"> judicial o </w:t>
      </w:r>
      <w:r w:rsidRPr="00624ACF">
        <w:rPr>
          <w:rFonts w:ascii="Palatino Linotype" w:hAnsi="Palatino Linotype"/>
          <w:b/>
          <w:bCs/>
          <w:i/>
          <w:iCs/>
          <w:color w:val="000000" w:themeColor="text1"/>
          <w:sz w:val="22"/>
          <w:szCs w:val="22"/>
        </w:rPr>
        <w:t>administrativa</w:t>
      </w:r>
      <w:r w:rsidRPr="00624ACF">
        <w:rPr>
          <w:rFonts w:ascii="Palatino Linotype" w:hAnsi="Palatino Linotype"/>
          <w:i/>
          <w:iCs/>
          <w:color w:val="000000" w:themeColor="text1"/>
          <w:sz w:val="22"/>
          <w:szCs w:val="22"/>
        </w:rPr>
        <w:t xml:space="preserve">, o el cobro de una contribución fiscal, o utilizar el auxilio de la fuerza pública para tal objeto. </w:t>
      </w:r>
    </w:p>
    <w:p w14:paraId="5809DA03" w14:textId="77777777" w:rsidR="00E81B50" w:rsidRPr="00624ACF" w:rsidRDefault="00E81B50"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p>
    <w:p w14:paraId="75B5EE37" w14:textId="5F809EE7" w:rsidR="00E81B50" w:rsidRPr="00624ACF" w:rsidRDefault="0060512C" w:rsidP="00E81B50">
      <w:pPr>
        <w:pStyle w:val="Prrafodelista"/>
        <w:tabs>
          <w:tab w:val="left" w:pos="426"/>
        </w:tabs>
        <w:spacing w:after="240" w:line="276" w:lineRule="auto"/>
        <w:ind w:left="567" w:right="567"/>
        <w:jc w:val="center"/>
        <w:rPr>
          <w:rFonts w:ascii="Palatino Linotype" w:hAnsi="Palatino Linotype"/>
          <w:b/>
          <w:bCs/>
          <w:i/>
          <w:iCs/>
          <w:color w:val="000000" w:themeColor="text1"/>
          <w:sz w:val="22"/>
          <w:szCs w:val="22"/>
        </w:rPr>
      </w:pPr>
      <w:r w:rsidRPr="00624ACF">
        <w:rPr>
          <w:rFonts w:ascii="Palatino Linotype" w:hAnsi="Palatino Linotype"/>
          <w:b/>
          <w:bCs/>
          <w:i/>
          <w:iCs/>
          <w:color w:val="000000" w:themeColor="text1"/>
          <w:sz w:val="22"/>
          <w:szCs w:val="22"/>
        </w:rPr>
        <w:t>LEY DE RESPONSABILIDADES ADMINISTRATIVAS DEL ESTADO DE MÉXICO Y MUNICIPIOS.</w:t>
      </w:r>
    </w:p>
    <w:p w14:paraId="5ADF1FB2"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Artículo 66. Incurrirá en desacato el servidor público que, tratándose de</w:t>
      </w:r>
      <w:r w:rsidRPr="00624ACF">
        <w:rPr>
          <w:rFonts w:ascii="Palatino Linotype" w:hAnsi="Palatino Linotype"/>
          <w:i/>
          <w:iCs/>
          <w:color w:val="000000" w:themeColor="text1"/>
          <w:sz w:val="22"/>
          <w:szCs w:val="22"/>
        </w:rPr>
        <w:t xml:space="preserve"> requerimientos o </w:t>
      </w:r>
      <w:r w:rsidRPr="00624ACF">
        <w:rPr>
          <w:rFonts w:ascii="Palatino Linotype" w:hAnsi="Palatino Linotype"/>
          <w:b/>
          <w:bCs/>
          <w:i/>
          <w:iCs/>
          <w:color w:val="000000" w:themeColor="text1"/>
          <w:sz w:val="22"/>
          <w:szCs w:val="22"/>
        </w:rPr>
        <w:t>resoluciones de autoridades</w:t>
      </w:r>
      <w:r w:rsidRPr="00624ACF">
        <w:rPr>
          <w:rFonts w:ascii="Palatino Linotype" w:hAnsi="Palatino Linotype"/>
          <w:i/>
          <w:iCs/>
          <w:color w:val="000000" w:themeColor="text1"/>
          <w:sz w:val="22"/>
          <w:szCs w:val="22"/>
        </w:rPr>
        <w:t xml:space="preserve"> fiscalizadoras, de control interno, judiciales, electorales o en materia de defensa de los derechos humanos o </w:t>
      </w:r>
      <w:r w:rsidRPr="00624ACF">
        <w:rPr>
          <w:rFonts w:ascii="Palatino Linotype" w:hAnsi="Palatino Linotype"/>
          <w:b/>
          <w:bCs/>
          <w:i/>
          <w:iCs/>
          <w:color w:val="000000" w:themeColor="text1"/>
          <w:sz w:val="22"/>
          <w:szCs w:val="22"/>
        </w:rPr>
        <w:t>cualquier otra competente</w:t>
      </w:r>
      <w:r w:rsidRPr="00624ACF">
        <w:rPr>
          <w:rFonts w:ascii="Palatino Linotype" w:hAnsi="Palatino Linotype"/>
          <w:i/>
          <w:iCs/>
          <w:color w:val="000000" w:themeColor="text1"/>
          <w:sz w:val="22"/>
          <w:szCs w:val="22"/>
        </w:rPr>
        <w:t xml:space="preserve">, proporcione información falsa, </w:t>
      </w:r>
      <w:r w:rsidRPr="00624ACF">
        <w:rPr>
          <w:rFonts w:ascii="Palatino Linotype" w:hAnsi="Palatino Linotype"/>
          <w:b/>
          <w:bCs/>
          <w:i/>
          <w:iCs/>
          <w:color w:val="000000" w:themeColor="text1"/>
          <w:sz w:val="22"/>
          <w:szCs w:val="22"/>
          <w:u w:val="single"/>
        </w:rPr>
        <w:t xml:space="preserve">así como no dé respuesta oportunamente, retrase deliberadamente y sin justificación la entrega de la </w:t>
      </w:r>
      <w:r w:rsidRPr="00624ACF">
        <w:rPr>
          <w:rFonts w:ascii="Palatino Linotype" w:hAnsi="Palatino Linotype"/>
          <w:b/>
          <w:bCs/>
          <w:i/>
          <w:iCs/>
          <w:color w:val="000000" w:themeColor="text1"/>
          <w:sz w:val="22"/>
          <w:szCs w:val="22"/>
          <w:u w:val="single"/>
        </w:rPr>
        <w:lastRenderedPageBreak/>
        <w:t>información, a pesar de que le hayan sido impuestas medidas de apremio conforme a las disposiciones aplicables.</w:t>
      </w:r>
    </w:p>
    <w:p w14:paraId="0F23B57B" w14:textId="77777777" w:rsidR="00E81B50" w:rsidRPr="00624ACF" w:rsidRDefault="00E81B50"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p>
    <w:p w14:paraId="5F96E7E0" w14:textId="77777777" w:rsidR="00E81B50"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 Como podemos observar estamos ante la probable comisión tanto de un hecho delictuoso, así como, de una falta administrativa grave, por lo anterior me veo en la necesidad de solicitar se den las vistas respectivas, pues aún y cuando se pueda dar cumplimiento a lo ordenado, no es suficiente para eximirlos de las omisiones cometidas, sirve de sustento el siguiente criterio aplicado de manera análoga: </w:t>
      </w:r>
    </w:p>
    <w:p w14:paraId="2F5B7C53" w14:textId="77777777" w:rsidR="00E81B50" w:rsidRPr="00624ACF" w:rsidRDefault="00E81B50"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p>
    <w:p w14:paraId="6F42DDD8" w14:textId="77777777" w:rsidR="00E81B50" w:rsidRPr="00624ACF" w:rsidRDefault="0060512C"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Suprema Corte de Justicia de la Nación </w:t>
      </w:r>
    </w:p>
    <w:p w14:paraId="4E672F76" w14:textId="77777777" w:rsidR="00E81B50" w:rsidRPr="00624ACF" w:rsidRDefault="0060512C"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Registro digital: 2004375 </w:t>
      </w:r>
    </w:p>
    <w:p w14:paraId="4AA20660" w14:textId="77777777" w:rsidR="00E81B50" w:rsidRPr="00624ACF" w:rsidRDefault="0060512C"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Instancia: Tribunales Colegiados de Circuito </w:t>
      </w:r>
    </w:p>
    <w:p w14:paraId="303244CF" w14:textId="77777777" w:rsidR="00E81B50" w:rsidRPr="00624ACF" w:rsidRDefault="0060512C"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Décima Época </w:t>
      </w:r>
    </w:p>
    <w:p w14:paraId="2BEF01E0" w14:textId="77777777" w:rsidR="00E81B50" w:rsidRPr="00624ACF" w:rsidRDefault="0060512C"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Materias(s): Administrativa </w:t>
      </w:r>
    </w:p>
    <w:p w14:paraId="0FDCBBCB" w14:textId="77777777" w:rsidR="00E81B50" w:rsidRPr="00624ACF" w:rsidRDefault="0060512C"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Tesis: I.9o.A.42 A (10a.) </w:t>
      </w:r>
    </w:p>
    <w:p w14:paraId="522A162F" w14:textId="77777777" w:rsidR="00E81B50" w:rsidRPr="00624ACF" w:rsidRDefault="0060512C"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Fuente: Semanario Judicial de la Federación y su Gaceta. Libro XXIV, Septiembre de 2013, Tomo 3, página 2434 </w:t>
      </w:r>
    </w:p>
    <w:p w14:paraId="67D256EA" w14:textId="77777777" w:rsidR="00E81B50" w:rsidRPr="00624ACF" w:rsidRDefault="0060512C"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Tipo: Aislada </w:t>
      </w:r>
    </w:p>
    <w:p w14:paraId="1386F562" w14:textId="77777777" w:rsidR="00E81B50" w:rsidRPr="00624ACF" w:rsidRDefault="0060512C"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ACUERDO A/003/2007 DEL PROCURADOR GENERAL DE JUSTICIA DEL DISTRITO FEDERAL POR EL QUE SE ESTABLECEN LAS NORMAS DE ORGANIZACIÓN Y FUNCIONAMIENTO DE LA VISITADURÍA GENERAL. LA OBLIGACIÓN DE LOS VISITADORES DE EMITIR RECOMENDACIONES A LOS SERVIDORES PÚBLICOS RESPECTO DE LAS DEFICIENCIAS DETECTADAS, CON LA FINALIDAD DE QUE LAS SUBSANEN O CORRIJAN, PREVISTA EN SU ARTÍCULO DÉCIMO PRIMERO, NO CONSTITUYE UNA PRERROGATIVA PARA ÉSTOS. </w:t>
      </w:r>
    </w:p>
    <w:p w14:paraId="468F3051" w14:textId="77777777" w:rsidR="00E81B50" w:rsidRPr="00624ACF" w:rsidRDefault="00E81B50"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p>
    <w:p w14:paraId="250EFE24" w14:textId="77777777" w:rsidR="00E81B50" w:rsidRPr="00624ACF" w:rsidRDefault="0060512C"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La citada disposición, publicada en la Gaceta Oficial del Distrito Federal el 7 de febrero de 2007, prevé que los visitadores tienen la obligación de emitir recomendaciones genéricas o específicas a los servidores públicos visitados </w:t>
      </w:r>
      <w:r w:rsidRPr="00624ACF">
        <w:rPr>
          <w:rFonts w:ascii="Palatino Linotype" w:hAnsi="Palatino Linotype"/>
          <w:b/>
          <w:bCs/>
          <w:i/>
          <w:iCs/>
          <w:color w:val="000000" w:themeColor="text1"/>
          <w:sz w:val="22"/>
          <w:szCs w:val="22"/>
        </w:rPr>
        <w:t>respecto de las deficiencias detectadas, con la finalidad de que las subsanen o corrijan, o bien, para que realicen las diligencias necesarias para perfeccionar la actuación</w:t>
      </w:r>
      <w:r w:rsidRPr="00624ACF">
        <w:rPr>
          <w:rFonts w:ascii="Palatino Linotype" w:hAnsi="Palatino Linotype"/>
          <w:i/>
          <w:iCs/>
          <w:color w:val="000000" w:themeColor="text1"/>
          <w:sz w:val="22"/>
          <w:szCs w:val="22"/>
        </w:rPr>
        <w:t xml:space="preserve"> del Ministerio Público y de sus auxiliares en cualquier etapa procedimental; </w:t>
      </w:r>
      <w:r w:rsidRPr="00624ACF">
        <w:rPr>
          <w:rFonts w:ascii="Palatino Linotype" w:hAnsi="Palatino Linotype"/>
          <w:b/>
          <w:bCs/>
          <w:i/>
          <w:iCs/>
          <w:color w:val="000000" w:themeColor="text1"/>
          <w:sz w:val="22"/>
          <w:szCs w:val="22"/>
        </w:rPr>
        <w:t xml:space="preserve">sin embargo, de la interpretación teleológica y sistemática del referido precepto se colige que esta obligación no </w:t>
      </w:r>
      <w:r w:rsidRPr="00624ACF">
        <w:rPr>
          <w:rFonts w:ascii="Palatino Linotype" w:hAnsi="Palatino Linotype"/>
          <w:b/>
          <w:bCs/>
          <w:i/>
          <w:iCs/>
          <w:color w:val="000000" w:themeColor="text1"/>
          <w:sz w:val="22"/>
          <w:szCs w:val="22"/>
        </w:rPr>
        <w:lastRenderedPageBreak/>
        <w:t>constituye una prerrogativa para dichos servidores públicos, sino que su objetivo central es frenar, a la brevedad posible, las conductas que obstaculizan o impiden el correcto actuar del sistema</w:t>
      </w:r>
      <w:r w:rsidRPr="00624ACF">
        <w:rPr>
          <w:rFonts w:ascii="Palatino Linotype" w:hAnsi="Palatino Linotype"/>
          <w:i/>
          <w:iCs/>
          <w:color w:val="000000" w:themeColor="text1"/>
          <w:sz w:val="22"/>
          <w:szCs w:val="22"/>
        </w:rPr>
        <w:t xml:space="preserve"> de procuración de justicia cuando esas prácticas se adviertan durante el desarrollo de una visita. </w:t>
      </w:r>
      <w:r w:rsidRPr="00624ACF">
        <w:rPr>
          <w:rFonts w:ascii="Palatino Linotype" w:hAnsi="Palatino Linotype"/>
          <w:b/>
          <w:bCs/>
          <w:i/>
          <w:iCs/>
          <w:color w:val="000000" w:themeColor="text1"/>
          <w:sz w:val="22"/>
          <w:szCs w:val="22"/>
        </w:rPr>
        <w:t>Pensar lo contrario equivaldría a que</w:t>
      </w:r>
      <w:r w:rsidRPr="00624ACF">
        <w:rPr>
          <w:rFonts w:ascii="Palatino Linotype" w:hAnsi="Palatino Linotype"/>
          <w:i/>
          <w:iCs/>
          <w:color w:val="000000" w:themeColor="text1"/>
          <w:sz w:val="22"/>
          <w:szCs w:val="22"/>
        </w:rPr>
        <w:t xml:space="preserve"> los agentes del Ministerio Público de la Procuraduría General de Justicia del Distrito Federal </w:t>
      </w:r>
      <w:r w:rsidRPr="00624ACF">
        <w:rPr>
          <w:rFonts w:ascii="Palatino Linotype" w:hAnsi="Palatino Linotype"/>
          <w:b/>
          <w:bCs/>
          <w:i/>
          <w:iCs/>
          <w:color w:val="000000" w:themeColor="text1"/>
          <w:sz w:val="22"/>
          <w:szCs w:val="22"/>
          <w:u w:val="single"/>
        </w:rPr>
        <w:t xml:space="preserve">puedan omitir la práctica de actuaciones o simplemente no llevar con la diligencia debida las averiguaciones previas de su conocimiento sin ser sancionados, siempre que subsanen la irregularidad, lo cual nulificaría las disposiciones en materia de responsabilidades de los servidores públicos. </w:t>
      </w:r>
    </w:p>
    <w:p w14:paraId="509550F5" w14:textId="77777777" w:rsidR="00E81B50" w:rsidRPr="00624ACF" w:rsidRDefault="00E81B50"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p>
    <w:p w14:paraId="0BE82CF8" w14:textId="77777777" w:rsidR="00E81B50" w:rsidRPr="00624ACF" w:rsidRDefault="0060512C"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NOVENO TRIBUNAL COLEGIADO EN MATERIA ADMINISTRATIVA DEL PRIMER CIRCUITO. </w:t>
      </w:r>
    </w:p>
    <w:p w14:paraId="778156F8" w14:textId="77777777" w:rsidR="00E81B50" w:rsidRPr="00624ACF" w:rsidRDefault="00E81B50"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p>
    <w:p w14:paraId="558B27C4" w14:textId="6511D0BA" w:rsidR="00E81B50" w:rsidRPr="00624ACF" w:rsidRDefault="0060512C" w:rsidP="00E81B50">
      <w:pPr>
        <w:pStyle w:val="Prrafodelista"/>
        <w:tabs>
          <w:tab w:val="left" w:pos="426"/>
        </w:tabs>
        <w:spacing w:after="240"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Amparo directo 164/2013. Carlos Vargas Rodríguez y otro. 16 de mayo de 2013. Unanimidad de votos. Ponente: Francisco Javier Rebolledo Peña, Juez de Distrito en el cargo de Magistrado de Circuito. Secretario: Antonio Prats García. </w:t>
      </w:r>
    </w:p>
    <w:p w14:paraId="3C3B536E" w14:textId="77777777" w:rsidR="00E81B50" w:rsidRPr="00624ACF" w:rsidRDefault="00E81B50"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p>
    <w:p w14:paraId="1648987D" w14:textId="77777777" w:rsidR="0056550D" w:rsidRPr="00624ACF" w:rsidRDefault="0060512C" w:rsidP="00E81B50">
      <w:pPr>
        <w:pStyle w:val="Prrafodelista"/>
        <w:tabs>
          <w:tab w:val="left" w:pos="426"/>
        </w:tabs>
        <w:spacing w:after="240" w:line="276" w:lineRule="auto"/>
        <w:ind w:left="567" w:right="567"/>
        <w:jc w:val="both"/>
        <w:rPr>
          <w:rFonts w:ascii="Palatino Linotype" w:hAnsi="Palatino Linotype"/>
          <w:b/>
          <w:bCs/>
          <w:i/>
          <w:iCs/>
          <w:color w:val="000000" w:themeColor="text1"/>
          <w:sz w:val="22"/>
          <w:szCs w:val="22"/>
        </w:rPr>
      </w:pPr>
      <w:r w:rsidRPr="00624ACF">
        <w:rPr>
          <w:rFonts w:ascii="Palatino Linotype" w:hAnsi="Palatino Linotype"/>
          <w:b/>
          <w:bCs/>
          <w:i/>
          <w:iCs/>
          <w:color w:val="000000" w:themeColor="text1"/>
          <w:sz w:val="22"/>
          <w:szCs w:val="22"/>
        </w:rPr>
        <w:t xml:space="preserve">Por lo antes expuesto solicito a Usted: </w:t>
      </w:r>
    </w:p>
    <w:p w14:paraId="22FF17C8" w14:textId="77777777" w:rsidR="0056550D" w:rsidRPr="00624ACF" w:rsidRDefault="0056550D"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p>
    <w:p w14:paraId="47332B74" w14:textId="77777777" w:rsidR="0056550D"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 xml:space="preserve">PRIMERO.- </w:t>
      </w:r>
      <w:r w:rsidRPr="00624ACF">
        <w:rPr>
          <w:rFonts w:ascii="Palatino Linotype" w:hAnsi="Palatino Linotype"/>
          <w:i/>
          <w:iCs/>
          <w:color w:val="000000" w:themeColor="text1"/>
          <w:sz w:val="22"/>
          <w:szCs w:val="22"/>
        </w:rPr>
        <w:t xml:space="preserve">Tenerme por presentado en tiempo y forma el presente a través del cual realizo denuncia por incumplimiento a las obligaciones de transparencia del sujeto obligado. </w:t>
      </w:r>
    </w:p>
    <w:p w14:paraId="35151E45" w14:textId="77777777" w:rsidR="0056550D"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SEGUNDO.-</w:t>
      </w:r>
      <w:r w:rsidRPr="00624ACF">
        <w:rPr>
          <w:rFonts w:ascii="Palatino Linotype" w:hAnsi="Palatino Linotype"/>
          <w:i/>
          <w:iCs/>
          <w:color w:val="000000" w:themeColor="text1"/>
          <w:sz w:val="22"/>
          <w:szCs w:val="22"/>
        </w:rPr>
        <w:t xml:space="preserve"> Ordenar al Sujeto Obligado proporcionar la información solicitada. </w:t>
      </w:r>
    </w:p>
    <w:p w14:paraId="1BF94CC9" w14:textId="1116DC7B" w:rsidR="0060512C" w:rsidRPr="00624ACF" w:rsidRDefault="0060512C" w:rsidP="00E81B50">
      <w:pPr>
        <w:pStyle w:val="Prrafodelista"/>
        <w:tabs>
          <w:tab w:val="left" w:pos="426"/>
        </w:tabs>
        <w:spacing w:after="240"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TERCERO.-</w:t>
      </w:r>
      <w:r w:rsidRPr="00624ACF">
        <w:rPr>
          <w:rFonts w:ascii="Palatino Linotype" w:hAnsi="Palatino Linotype"/>
          <w:i/>
          <w:iCs/>
          <w:color w:val="000000" w:themeColor="text1"/>
          <w:sz w:val="22"/>
          <w:szCs w:val="22"/>
        </w:rPr>
        <w:t xml:space="preserve"> Se acuerden favorables las vistas en materia penal y administrativa ante la falta de respuesta. </w:t>
      </w:r>
    </w:p>
    <w:p w14:paraId="098ADE90" w14:textId="77777777" w:rsidR="0056550D" w:rsidRPr="00624ACF" w:rsidRDefault="0056550D" w:rsidP="0060512C">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8C0678B" w14:textId="4F005DD9" w:rsidR="0060512C" w:rsidRPr="00624ACF" w:rsidRDefault="0060512C" w:rsidP="0056550D">
      <w:pPr>
        <w:pStyle w:val="Prrafodelista"/>
        <w:tabs>
          <w:tab w:val="left" w:pos="426"/>
        </w:tabs>
        <w:spacing w:line="276" w:lineRule="auto"/>
        <w:ind w:left="567" w:right="567"/>
        <w:jc w:val="center"/>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PROTESTO LO NECESARIO.</w:t>
      </w:r>
      <w:r w:rsidR="0056550D" w:rsidRPr="00624ACF">
        <w:rPr>
          <w:rFonts w:ascii="Palatino Linotype" w:hAnsi="Palatino Linotype"/>
          <w:i/>
          <w:iCs/>
          <w:color w:val="000000" w:themeColor="text1"/>
          <w:sz w:val="22"/>
          <w:szCs w:val="22"/>
        </w:rPr>
        <w:t>”</w:t>
      </w:r>
    </w:p>
    <w:p w14:paraId="479368C8" w14:textId="77777777" w:rsidR="0060512C" w:rsidRPr="00624ACF" w:rsidRDefault="0060512C" w:rsidP="004146FC">
      <w:pPr>
        <w:pStyle w:val="Prrafodelista"/>
        <w:tabs>
          <w:tab w:val="left" w:pos="426"/>
        </w:tabs>
        <w:spacing w:line="360" w:lineRule="auto"/>
        <w:ind w:left="0"/>
        <w:jc w:val="both"/>
        <w:rPr>
          <w:rFonts w:ascii="Palatino Linotype" w:hAnsi="Palatino Linotype"/>
          <w:color w:val="000000" w:themeColor="text1"/>
        </w:rPr>
      </w:pPr>
    </w:p>
    <w:p w14:paraId="4BE42F09" w14:textId="1FC1E0C3" w:rsidR="004146FC" w:rsidRPr="00624ACF" w:rsidRDefault="0056550D" w:rsidP="00E6530C">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hAnsi="Palatino Linotype" w:cs="Arial"/>
          <w:color w:val="000000" w:themeColor="text1"/>
        </w:rPr>
        <w:t xml:space="preserve">El treinta (30) de mayo, y dos (02) de junio de dos mil veintidós, el </w:t>
      </w:r>
      <w:r w:rsidRPr="00624ACF">
        <w:rPr>
          <w:rFonts w:ascii="Palatino Linotype" w:hAnsi="Palatino Linotype" w:cs="Arial"/>
          <w:b/>
          <w:bCs/>
          <w:color w:val="000000" w:themeColor="text1"/>
        </w:rPr>
        <w:t>SUJETO OBLIGADO</w:t>
      </w:r>
      <w:r w:rsidRPr="00624ACF">
        <w:rPr>
          <w:rFonts w:ascii="Palatino Linotype" w:hAnsi="Palatino Linotype" w:cs="Arial"/>
          <w:color w:val="000000" w:themeColor="text1"/>
        </w:rPr>
        <w:t xml:space="preserve"> presentó, en vía de informe justificado, los archivos electrónicos cuyo contenido se describe a continuación:</w:t>
      </w:r>
    </w:p>
    <w:p w14:paraId="178ABD49" w14:textId="77777777" w:rsidR="009314F2" w:rsidRPr="00624ACF" w:rsidRDefault="0056550D" w:rsidP="00BF3FA6">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624ACF">
        <w:rPr>
          <w:rFonts w:ascii="Palatino Linotype" w:hAnsi="Palatino Linotype" w:cs="Arial"/>
          <w:b/>
          <w:bCs/>
          <w:i/>
          <w:iCs/>
          <w:color w:val="000000" w:themeColor="text1"/>
        </w:rPr>
        <w:lastRenderedPageBreak/>
        <w:t>“ACTA SÉPTIMA SESIÓN EXTRAORDINARIA 2022 Y ANEXOS.pdf”</w:t>
      </w:r>
      <w:r w:rsidRPr="00624ACF">
        <w:rPr>
          <w:rFonts w:ascii="Palatino Linotype" w:hAnsi="Palatino Linotype" w:cs="Arial"/>
          <w:color w:val="000000" w:themeColor="text1"/>
        </w:rPr>
        <w:t xml:space="preserve">: Documento </w:t>
      </w:r>
      <w:r w:rsidR="009314F2" w:rsidRPr="00624ACF">
        <w:rPr>
          <w:rFonts w:ascii="Palatino Linotype" w:hAnsi="Palatino Linotype" w:cs="Arial"/>
          <w:color w:val="000000" w:themeColor="text1"/>
        </w:rPr>
        <w:t>de 20 fojas consistente en los siguientes instrumentos:</w:t>
      </w:r>
    </w:p>
    <w:p w14:paraId="6BD857C7" w14:textId="4F7C6CBF" w:rsidR="0056550D" w:rsidRPr="00624ACF" w:rsidRDefault="009314F2" w:rsidP="00BF3FA6">
      <w:pPr>
        <w:pStyle w:val="Prrafodelista"/>
        <w:numPr>
          <w:ilvl w:val="2"/>
          <w:numId w:val="12"/>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 xml:space="preserve"> Copia digitalizada del </w:t>
      </w:r>
      <w:bookmarkStart w:id="7" w:name="_Hlk118369417"/>
      <w:r w:rsidRPr="00624ACF">
        <w:rPr>
          <w:rFonts w:ascii="Palatino Linotype" w:hAnsi="Palatino Linotype" w:cs="Arial"/>
          <w:color w:val="000000" w:themeColor="text1"/>
        </w:rPr>
        <w:t xml:space="preserve">Acta de la Séptima Sesión Ordinaria del Comité de Transparencia del </w:t>
      </w:r>
      <w:r w:rsidRPr="00624ACF">
        <w:rPr>
          <w:rFonts w:ascii="Palatino Linotype" w:hAnsi="Palatino Linotype" w:cs="Arial"/>
          <w:b/>
          <w:bCs/>
          <w:color w:val="000000" w:themeColor="text1"/>
        </w:rPr>
        <w:t>SUJETO OBLIGADO</w:t>
      </w:r>
      <w:r w:rsidRPr="00624ACF">
        <w:rPr>
          <w:rFonts w:ascii="Palatino Linotype" w:hAnsi="Palatino Linotype" w:cs="Arial"/>
          <w:color w:val="000000" w:themeColor="text1"/>
        </w:rPr>
        <w:t>, celebrada el veintisiete (27) de mayo de dos mil veintidós, por la que se aprueba la clasificación parcial de información, como reservada, de las Actas del Consejo Directivo 2021;</w:t>
      </w:r>
    </w:p>
    <w:p w14:paraId="7364B213" w14:textId="662FE794" w:rsidR="009314F2" w:rsidRPr="00624ACF" w:rsidRDefault="009314F2" w:rsidP="00BF3FA6">
      <w:pPr>
        <w:pStyle w:val="Prrafodelista"/>
        <w:numPr>
          <w:ilvl w:val="2"/>
          <w:numId w:val="12"/>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 xml:space="preserve">Antecedentes del recurso de revisión </w:t>
      </w:r>
      <w:r w:rsidRPr="00624ACF">
        <w:rPr>
          <w:rFonts w:ascii="Palatino Linotype" w:hAnsi="Palatino Linotype" w:cs="Arial"/>
          <w:b/>
          <w:bCs/>
          <w:color w:val="000000" w:themeColor="text1"/>
        </w:rPr>
        <w:t>06268/INFOEM/IP/RR/2021</w:t>
      </w:r>
      <w:r w:rsidRPr="00624ACF">
        <w:rPr>
          <w:rFonts w:ascii="Palatino Linotype" w:hAnsi="Palatino Linotype" w:cs="Arial"/>
          <w:color w:val="000000" w:themeColor="text1"/>
        </w:rPr>
        <w:t>;</w:t>
      </w:r>
    </w:p>
    <w:p w14:paraId="071D2D29" w14:textId="2EA31B57" w:rsidR="009314F2" w:rsidRPr="00624ACF" w:rsidRDefault="009314F2" w:rsidP="00BF3FA6">
      <w:pPr>
        <w:pStyle w:val="Prrafodelista"/>
        <w:numPr>
          <w:ilvl w:val="2"/>
          <w:numId w:val="12"/>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Acta número UAI-CT-EXT-07-2022, consistente en el Proyecto de Clasificación de las Actas del Consejo Directivo 2021.</w:t>
      </w:r>
      <w:bookmarkEnd w:id="7"/>
    </w:p>
    <w:p w14:paraId="60CD8197" w14:textId="7E5B8664" w:rsidR="0056550D" w:rsidRPr="00624ACF" w:rsidRDefault="0056550D" w:rsidP="00BF3FA6">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624ACF">
        <w:rPr>
          <w:rFonts w:ascii="Palatino Linotype" w:hAnsi="Palatino Linotype" w:cs="Arial"/>
          <w:b/>
          <w:bCs/>
          <w:i/>
          <w:iCs/>
          <w:color w:val="000000" w:themeColor="text1"/>
        </w:rPr>
        <w:t>“INFORME JUSTIFICADO CON ANEXOS.pdf”</w:t>
      </w:r>
      <w:r w:rsidRPr="00624ACF">
        <w:rPr>
          <w:rFonts w:ascii="Palatino Linotype" w:hAnsi="Palatino Linotype" w:cs="Arial"/>
          <w:color w:val="000000" w:themeColor="text1"/>
        </w:rPr>
        <w:t xml:space="preserve">: Documento </w:t>
      </w:r>
      <w:r w:rsidR="009314F2" w:rsidRPr="00624ACF">
        <w:rPr>
          <w:rFonts w:ascii="Palatino Linotype" w:hAnsi="Palatino Linotype" w:cs="Arial"/>
          <w:color w:val="000000" w:themeColor="text1"/>
        </w:rPr>
        <w:t>de 27 fojas consistente en los siguientes instrumentos:</w:t>
      </w:r>
    </w:p>
    <w:p w14:paraId="183F9EEB" w14:textId="5214A79B" w:rsidR="009314F2" w:rsidRPr="00624ACF" w:rsidRDefault="009314F2" w:rsidP="00BF3FA6">
      <w:pPr>
        <w:pStyle w:val="Prrafodelista"/>
        <w:numPr>
          <w:ilvl w:val="2"/>
          <w:numId w:val="13"/>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 xml:space="preserve">Informe justificado emitido por la Titular de la Unidad de Transparencia del </w:t>
      </w:r>
      <w:r w:rsidRPr="00624ACF">
        <w:rPr>
          <w:rFonts w:ascii="Palatino Linotype" w:hAnsi="Palatino Linotype" w:cs="Arial"/>
          <w:b/>
          <w:bCs/>
          <w:color w:val="000000" w:themeColor="text1"/>
        </w:rPr>
        <w:t>SUJETO OBLIGADO</w:t>
      </w:r>
      <w:r w:rsidRPr="00624ACF">
        <w:rPr>
          <w:rFonts w:ascii="Palatino Linotype" w:hAnsi="Palatino Linotype" w:cs="Arial"/>
          <w:color w:val="000000" w:themeColor="text1"/>
        </w:rPr>
        <w:t>;</w:t>
      </w:r>
    </w:p>
    <w:p w14:paraId="7D6EBE52" w14:textId="6C4CBAF9" w:rsidR="009314F2" w:rsidRPr="00624ACF" w:rsidRDefault="009314F2" w:rsidP="00BF3FA6">
      <w:pPr>
        <w:pStyle w:val="Prrafodelista"/>
        <w:numPr>
          <w:ilvl w:val="2"/>
          <w:numId w:val="13"/>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 xml:space="preserve">Copia digitalizada del oficio número 206C0301030000L/195/2022, de dieciocho (18) de mayo de dos mil veintidós, emitido por la Titular de la Unidad de Transparencia, y dirigido al Titular de la Unidad de Asuntos Internos, por el que informa sobre los términos de la resolución recaída al recurso de revisión </w:t>
      </w:r>
      <w:r w:rsidRPr="00624ACF">
        <w:rPr>
          <w:rFonts w:ascii="Palatino Linotype" w:hAnsi="Palatino Linotype" w:cs="Arial"/>
          <w:b/>
          <w:bCs/>
          <w:color w:val="000000" w:themeColor="text1"/>
        </w:rPr>
        <w:t>06268/INFOEM/IP/RR/2021</w:t>
      </w:r>
      <w:r w:rsidRPr="00624ACF">
        <w:rPr>
          <w:rFonts w:ascii="Palatino Linotype" w:hAnsi="Palatino Linotype" w:cs="Arial"/>
          <w:color w:val="000000" w:themeColor="text1"/>
        </w:rPr>
        <w:t>;</w:t>
      </w:r>
    </w:p>
    <w:p w14:paraId="56ADC07E" w14:textId="77550CC1" w:rsidR="009314F2" w:rsidRPr="00624ACF" w:rsidRDefault="009314F2" w:rsidP="00BF3FA6">
      <w:pPr>
        <w:pStyle w:val="Prrafodelista"/>
        <w:numPr>
          <w:ilvl w:val="2"/>
          <w:numId w:val="13"/>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Certificación de una copia constante de una foja útil, emitida por la Directora de la UIPPE;</w:t>
      </w:r>
    </w:p>
    <w:p w14:paraId="14D7348A" w14:textId="384D293E" w:rsidR="009314F2" w:rsidRPr="00624ACF" w:rsidRDefault="009314F2" w:rsidP="00BF3FA6">
      <w:pPr>
        <w:pStyle w:val="Prrafodelista"/>
        <w:numPr>
          <w:ilvl w:val="2"/>
          <w:numId w:val="13"/>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Oficio número 206C03010000000/291/2022, de dieciocho (18) de mayo de dos mil veintidós, emitido por</w:t>
      </w:r>
      <w:r w:rsidR="003041E0" w:rsidRPr="00624ACF">
        <w:rPr>
          <w:rFonts w:ascii="Palatino Linotype" w:hAnsi="Palatino Linotype" w:cs="Arial"/>
          <w:color w:val="000000" w:themeColor="text1"/>
        </w:rPr>
        <w:t xml:space="preserve"> la Titular de la Unidad de Asuntos Internos, y dirigido a la Jefa de la Unidad de Normatividad, </w:t>
      </w:r>
      <w:r w:rsidR="003041E0" w:rsidRPr="00624ACF">
        <w:rPr>
          <w:rFonts w:ascii="Palatino Linotype" w:hAnsi="Palatino Linotype" w:cs="Arial"/>
          <w:color w:val="000000" w:themeColor="text1"/>
        </w:rPr>
        <w:lastRenderedPageBreak/>
        <w:t xml:space="preserve">Apoyo Jurídico e Igualdad de Género, por el que requiere realice las diligencias necesarias para dar cumplimiento a la resolución recaída al recurso de revisión </w:t>
      </w:r>
      <w:r w:rsidR="003041E0" w:rsidRPr="00624ACF">
        <w:rPr>
          <w:rFonts w:ascii="Palatino Linotype" w:hAnsi="Palatino Linotype" w:cs="Arial"/>
          <w:b/>
          <w:bCs/>
          <w:color w:val="000000" w:themeColor="text1"/>
        </w:rPr>
        <w:t>06268/INFOEM/IP/RR/2021</w:t>
      </w:r>
      <w:r w:rsidR="003041E0" w:rsidRPr="00624ACF">
        <w:rPr>
          <w:rFonts w:ascii="Palatino Linotype" w:hAnsi="Palatino Linotype" w:cs="Arial"/>
          <w:color w:val="000000" w:themeColor="text1"/>
        </w:rPr>
        <w:t>;</w:t>
      </w:r>
    </w:p>
    <w:p w14:paraId="7C164073" w14:textId="5EB9091A" w:rsidR="003041E0" w:rsidRPr="00624ACF" w:rsidRDefault="003041E0" w:rsidP="00BF3FA6">
      <w:pPr>
        <w:pStyle w:val="Prrafodelista"/>
        <w:numPr>
          <w:ilvl w:val="2"/>
          <w:numId w:val="13"/>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Certificación de una copia constante de dos fojas útiles, emitida por la Directora de la UIPPE;</w:t>
      </w:r>
    </w:p>
    <w:p w14:paraId="0333FA4E" w14:textId="649A2AAA" w:rsidR="003041E0" w:rsidRPr="00624ACF" w:rsidRDefault="003041E0" w:rsidP="00BF3FA6">
      <w:pPr>
        <w:pStyle w:val="Prrafodelista"/>
        <w:numPr>
          <w:ilvl w:val="2"/>
          <w:numId w:val="13"/>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olor w:val="000000" w:themeColor="text1"/>
        </w:rPr>
        <w:t xml:space="preserve">Oficio número 206C0301000100S/24/2022, de veinticuatro de mayo de dos mil veintidós, emitido por la Jefa de la Unidad de Normatividad, Apoyo Jurídico e Igualdad de Género, y dirigido a la Titular de la Unidad de Transparencia, por </w:t>
      </w:r>
      <w:proofErr w:type="spellStart"/>
      <w:r w:rsidRPr="00624ACF">
        <w:rPr>
          <w:rFonts w:ascii="Palatino Linotype" w:hAnsi="Palatino Linotype"/>
          <w:color w:val="000000" w:themeColor="text1"/>
        </w:rPr>
        <w:t>el</w:t>
      </w:r>
      <w:proofErr w:type="spellEnd"/>
      <w:r w:rsidRPr="00624ACF">
        <w:rPr>
          <w:rFonts w:ascii="Palatino Linotype" w:hAnsi="Palatino Linotype"/>
          <w:color w:val="000000" w:themeColor="text1"/>
        </w:rPr>
        <w:t xml:space="preserve"> informa las acciones relativas al complimiento de la </w:t>
      </w:r>
      <w:r w:rsidRPr="00624ACF">
        <w:rPr>
          <w:rFonts w:ascii="Palatino Linotype" w:hAnsi="Palatino Linotype" w:cs="Arial"/>
          <w:color w:val="000000" w:themeColor="text1"/>
        </w:rPr>
        <w:t xml:space="preserve">resolución recaída al recurso de revisión </w:t>
      </w:r>
      <w:r w:rsidRPr="00624ACF">
        <w:rPr>
          <w:rFonts w:ascii="Palatino Linotype" w:hAnsi="Palatino Linotype" w:cs="Arial"/>
          <w:b/>
          <w:bCs/>
          <w:color w:val="000000" w:themeColor="text1"/>
        </w:rPr>
        <w:t>06268/INFOEM/IP/RR/2021</w:t>
      </w:r>
      <w:r w:rsidRPr="00624ACF">
        <w:rPr>
          <w:rFonts w:ascii="Palatino Linotype" w:hAnsi="Palatino Linotype" w:cs="Arial"/>
          <w:color w:val="000000" w:themeColor="text1"/>
        </w:rPr>
        <w:t>; y</w:t>
      </w:r>
    </w:p>
    <w:p w14:paraId="0963AA35" w14:textId="7A2D6C75" w:rsidR="003041E0" w:rsidRPr="00624ACF" w:rsidRDefault="003041E0" w:rsidP="00BF3FA6">
      <w:pPr>
        <w:pStyle w:val="Prrafodelista"/>
        <w:numPr>
          <w:ilvl w:val="2"/>
          <w:numId w:val="13"/>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Certificación de una copia constante de una foja útil, emitida por la Directora de la UIPPE.</w:t>
      </w:r>
    </w:p>
    <w:p w14:paraId="46F1616F" w14:textId="1E42A6DA" w:rsidR="0056550D" w:rsidRPr="00624ACF" w:rsidRDefault="0056550D" w:rsidP="00BF3FA6">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624ACF">
        <w:rPr>
          <w:rFonts w:ascii="Palatino Linotype" w:hAnsi="Palatino Linotype" w:cs="Arial"/>
          <w:b/>
          <w:bCs/>
          <w:i/>
          <w:iCs/>
          <w:color w:val="000000" w:themeColor="text1"/>
        </w:rPr>
        <w:t>“OFICIO UNIDAD DE NORMATIVIDAD</w:t>
      </w:r>
      <w:proofErr w:type="gramStart"/>
      <w:r w:rsidRPr="00624ACF">
        <w:rPr>
          <w:rFonts w:ascii="Palatino Linotype" w:hAnsi="Palatino Linotype" w:cs="Arial"/>
          <w:b/>
          <w:bCs/>
          <w:i/>
          <w:iCs/>
          <w:color w:val="000000" w:themeColor="text1"/>
        </w:rPr>
        <w:t>..</w:t>
      </w:r>
      <w:proofErr w:type="spellStart"/>
      <w:proofErr w:type="gramEnd"/>
      <w:r w:rsidRPr="00624ACF">
        <w:rPr>
          <w:rFonts w:ascii="Palatino Linotype" w:hAnsi="Palatino Linotype" w:cs="Arial"/>
          <w:b/>
          <w:bCs/>
          <w:i/>
          <w:iCs/>
          <w:color w:val="000000" w:themeColor="text1"/>
        </w:rPr>
        <w:t>pdf</w:t>
      </w:r>
      <w:proofErr w:type="spellEnd"/>
      <w:r w:rsidRPr="00624ACF">
        <w:rPr>
          <w:rFonts w:ascii="Palatino Linotype" w:hAnsi="Palatino Linotype" w:cs="Arial"/>
          <w:b/>
          <w:bCs/>
          <w:i/>
          <w:iCs/>
          <w:color w:val="000000" w:themeColor="text1"/>
        </w:rPr>
        <w:t>”</w:t>
      </w:r>
      <w:r w:rsidRPr="00624ACF">
        <w:rPr>
          <w:rFonts w:ascii="Palatino Linotype" w:hAnsi="Palatino Linotype" w:cs="Arial"/>
          <w:color w:val="000000" w:themeColor="text1"/>
        </w:rPr>
        <w:t xml:space="preserve">: Documento </w:t>
      </w:r>
      <w:r w:rsidR="003041E0" w:rsidRPr="00624ACF">
        <w:rPr>
          <w:rFonts w:ascii="Palatino Linotype" w:hAnsi="Palatino Linotype" w:cs="Arial"/>
          <w:color w:val="000000" w:themeColor="text1"/>
        </w:rPr>
        <w:t>de 76 fojas consistente en lo siguiente:</w:t>
      </w:r>
    </w:p>
    <w:p w14:paraId="7E07B369" w14:textId="2B71F832" w:rsidR="003041E0" w:rsidRPr="00624ACF" w:rsidRDefault="003041E0" w:rsidP="00BF3FA6">
      <w:pPr>
        <w:pStyle w:val="Prrafodelista"/>
        <w:numPr>
          <w:ilvl w:val="2"/>
          <w:numId w:val="14"/>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 xml:space="preserve">Oficio </w:t>
      </w:r>
      <w:r w:rsidRPr="00624ACF">
        <w:rPr>
          <w:rFonts w:ascii="Palatino Linotype" w:hAnsi="Palatino Linotype"/>
          <w:color w:val="000000" w:themeColor="text1"/>
        </w:rPr>
        <w:t xml:space="preserve">número 206C0301000100S/24/2022, de veinticuatro de mayo de dos mil veintidós, emitido por la Jefa de la Unidad de Normatividad, Apoyo Jurídico e Igualdad de Género, y dirigido a la Titular de la Unidad de Transparencia, por </w:t>
      </w:r>
      <w:proofErr w:type="spellStart"/>
      <w:r w:rsidRPr="00624ACF">
        <w:rPr>
          <w:rFonts w:ascii="Palatino Linotype" w:hAnsi="Palatino Linotype"/>
          <w:color w:val="000000" w:themeColor="text1"/>
        </w:rPr>
        <w:t>el</w:t>
      </w:r>
      <w:proofErr w:type="spellEnd"/>
      <w:r w:rsidRPr="00624ACF">
        <w:rPr>
          <w:rFonts w:ascii="Palatino Linotype" w:hAnsi="Palatino Linotype"/>
          <w:color w:val="000000" w:themeColor="text1"/>
        </w:rPr>
        <w:t xml:space="preserve"> informa las acciones relativas al complimiento de la </w:t>
      </w:r>
      <w:r w:rsidRPr="00624ACF">
        <w:rPr>
          <w:rFonts w:ascii="Palatino Linotype" w:hAnsi="Palatino Linotype" w:cs="Arial"/>
          <w:color w:val="000000" w:themeColor="text1"/>
        </w:rPr>
        <w:t xml:space="preserve">resolución recaída al recurso de revisión </w:t>
      </w:r>
      <w:r w:rsidRPr="00624ACF">
        <w:rPr>
          <w:rFonts w:ascii="Palatino Linotype" w:hAnsi="Palatino Linotype" w:cs="Arial"/>
          <w:b/>
          <w:bCs/>
          <w:color w:val="000000" w:themeColor="text1"/>
        </w:rPr>
        <w:t>06268/INFOEM/IP/RR/2021</w:t>
      </w:r>
      <w:r w:rsidRPr="00624ACF">
        <w:rPr>
          <w:rFonts w:ascii="Palatino Linotype" w:hAnsi="Palatino Linotype" w:cs="Arial"/>
          <w:color w:val="000000" w:themeColor="text1"/>
        </w:rPr>
        <w:t>;</w:t>
      </w:r>
    </w:p>
    <w:p w14:paraId="4E4B618B" w14:textId="3C585493" w:rsidR="003041E0" w:rsidRPr="00624ACF" w:rsidRDefault="003041E0" w:rsidP="00BF3FA6">
      <w:pPr>
        <w:pStyle w:val="Prrafodelista"/>
        <w:numPr>
          <w:ilvl w:val="2"/>
          <w:numId w:val="14"/>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 xml:space="preserve">Proyecto </w:t>
      </w:r>
      <w:bookmarkStart w:id="8" w:name="_Hlk118369341"/>
      <w:r w:rsidRPr="00624ACF">
        <w:rPr>
          <w:rFonts w:ascii="Palatino Linotype" w:hAnsi="Palatino Linotype" w:cs="Arial"/>
          <w:color w:val="000000" w:themeColor="text1"/>
        </w:rPr>
        <w:t>de Clasificación de las Actas del Consejo Directivo 2021;</w:t>
      </w:r>
    </w:p>
    <w:p w14:paraId="0E45D75F" w14:textId="77777777" w:rsidR="003041E0" w:rsidRPr="00624ACF" w:rsidRDefault="003041E0" w:rsidP="00BF3FA6">
      <w:pPr>
        <w:pStyle w:val="Prrafodelista"/>
        <w:numPr>
          <w:ilvl w:val="2"/>
          <w:numId w:val="14"/>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olor w:val="000000" w:themeColor="text1"/>
        </w:rPr>
        <w:t>Acta de la Primera Sesión Ordinaria del Consejo Directivo de la Unidad de Asuntos Internos, en versión pública, celebrada el veintitrés (23) de marzo de dos mil veintiuno.</w:t>
      </w:r>
    </w:p>
    <w:p w14:paraId="286415B4" w14:textId="77777777" w:rsidR="003041E0" w:rsidRPr="00624ACF" w:rsidRDefault="003041E0" w:rsidP="00BF3FA6">
      <w:pPr>
        <w:pStyle w:val="Prrafodelista"/>
        <w:numPr>
          <w:ilvl w:val="2"/>
          <w:numId w:val="14"/>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olor w:val="000000" w:themeColor="text1"/>
        </w:rPr>
        <w:lastRenderedPageBreak/>
        <w:t>Acta de la Segunda Sesión Ordinaria del Consejo Directivo de la Unidad de Asuntos Internos, en versión pública, celebrada el veintiséis (26) de mayo de dos mil veintiuno.</w:t>
      </w:r>
    </w:p>
    <w:p w14:paraId="22A16B17" w14:textId="77777777" w:rsidR="003041E0" w:rsidRPr="00624ACF" w:rsidRDefault="003041E0" w:rsidP="00BF3FA6">
      <w:pPr>
        <w:pStyle w:val="Prrafodelista"/>
        <w:numPr>
          <w:ilvl w:val="2"/>
          <w:numId w:val="14"/>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olor w:val="000000" w:themeColor="text1"/>
        </w:rPr>
        <w:t>Acta de la Tercera Sesión Ordinaria del Consejo Directivo de la Unidad de Asuntos Internos, en versión pública, celebrada el tres (03) de agosto de dos mil veintiuno.</w:t>
      </w:r>
    </w:p>
    <w:p w14:paraId="25961CE3" w14:textId="77777777" w:rsidR="003041E0" w:rsidRPr="00624ACF" w:rsidRDefault="003041E0" w:rsidP="00BF3FA6">
      <w:pPr>
        <w:pStyle w:val="Prrafodelista"/>
        <w:numPr>
          <w:ilvl w:val="2"/>
          <w:numId w:val="14"/>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olor w:val="000000" w:themeColor="text1"/>
        </w:rPr>
        <w:t>Acta de la Cuarta Sesión Ordinaria del Consejo Directivo de la Unidad de Asuntos Internos, en versión pública, celebrada el ocho (08) de septiembre de dos mil veintiuno.</w:t>
      </w:r>
    </w:p>
    <w:p w14:paraId="23B15E46" w14:textId="0ADEE78A" w:rsidR="003041E0" w:rsidRPr="00624ACF" w:rsidRDefault="003041E0" w:rsidP="00BF3FA6">
      <w:pPr>
        <w:pStyle w:val="Prrafodelista"/>
        <w:numPr>
          <w:ilvl w:val="2"/>
          <w:numId w:val="14"/>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olor w:val="000000" w:themeColor="text1"/>
        </w:rPr>
        <w:t>Acta de la Quinta Sesión Ordinaria del Consejo Directivo de la Unidad de Asuntos Internos, en versión pública, celebrada el dieciocho (18) de octubre de dos mil veintiuno.</w:t>
      </w:r>
      <w:bookmarkEnd w:id="8"/>
    </w:p>
    <w:p w14:paraId="3533C886" w14:textId="5BB5C17C" w:rsidR="0056550D" w:rsidRPr="00624ACF" w:rsidRDefault="0056550D" w:rsidP="00BF3FA6">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624ACF">
        <w:rPr>
          <w:rFonts w:ascii="Palatino Linotype" w:hAnsi="Palatino Linotype" w:cs="Arial"/>
          <w:b/>
          <w:bCs/>
          <w:i/>
          <w:iCs/>
          <w:color w:val="000000" w:themeColor="text1"/>
        </w:rPr>
        <w:t>“VERSIÓN PÚBLICA DE LAS ACTAS DE SESIONES DEL CONSEJO DIRECTIVO 2022.pdf”</w:t>
      </w:r>
      <w:r w:rsidRPr="00624ACF">
        <w:rPr>
          <w:rFonts w:ascii="Palatino Linotype" w:hAnsi="Palatino Linotype" w:cs="Arial"/>
          <w:color w:val="000000" w:themeColor="text1"/>
        </w:rPr>
        <w:t xml:space="preserve">: Documento </w:t>
      </w:r>
      <w:r w:rsidR="003041E0" w:rsidRPr="00624ACF">
        <w:rPr>
          <w:rFonts w:ascii="Palatino Linotype" w:hAnsi="Palatino Linotype" w:cs="Arial"/>
          <w:color w:val="000000" w:themeColor="text1"/>
        </w:rPr>
        <w:t>de 65 fojas consistente en:</w:t>
      </w:r>
    </w:p>
    <w:p w14:paraId="20053414" w14:textId="77777777" w:rsidR="003041E0" w:rsidRPr="00624ACF" w:rsidRDefault="003041E0" w:rsidP="00BF3FA6">
      <w:pPr>
        <w:pStyle w:val="Prrafodelista"/>
        <w:numPr>
          <w:ilvl w:val="2"/>
          <w:numId w:val="15"/>
        </w:numPr>
        <w:tabs>
          <w:tab w:val="left" w:pos="426"/>
        </w:tabs>
        <w:spacing w:line="360" w:lineRule="auto"/>
        <w:ind w:left="1701"/>
        <w:jc w:val="both"/>
        <w:rPr>
          <w:rFonts w:ascii="Palatino Linotype" w:hAnsi="Palatino Linotype" w:cs="Arial"/>
          <w:color w:val="000000" w:themeColor="text1"/>
        </w:rPr>
      </w:pPr>
      <w:r w:rsidRPr="00624ACF">
        <w:rPr>
          <w:rFonts w:ascii="Palatino Linotype" w:hAnsi="Palatino Linotype" w:cs="Arial"/>
          <w:color w:val="000000" w:themeColor="text1"/>
        </w:rPr>
        <w:t>Acta de la Primera Sesión Ordinaria del Consejo Directivo de la Unidad de Asuntos Internos, en versión pública, celebrada el veintitrés (23) de marzo de dos mil veintiuno.</w:t>
      </w:r>
    </w:p>
    <w:p w14:paraId="02ABA967" w14:textId="77777777" w:rsidR="003041E0" w:rsidRPr="00624ACF" w:rsidRDefault="003041E0" w:rsidP="00BF3FA6">
      <w:pPr>
        <w:pStyle w:val="Prrafodelista"/>
        <w:numPr>
          <w:ilvl w:val="2"/>
          <w:numId w:val="15"/>
        </w:numPr>
        <w:tabs>
          <w:tab w:val="left" w:pos="426"/>
        </w:tabs>
        <w:spacing w:line="360" w:lineRule="auto"/>
        <w:ind w:left="1701"/>
        <w:jc w:val="both"/>
        <w:rPr>
          <w:rFonts w:ascii="Palatino Linotype" w:hAnsi="Palatino Linotype" w:cs="Arial"/>
          <w:color w:val="000000" w:themeColor="text1"/>
        </w:rPr>
      </w:pPr>
      <w:r w:rsidRPr="00624ACF">
        <w:rPr>
          <w:rFonts w:ascii="Palatino Linotype" w:hAnsi="Palatino Linotype" w:cs="Arial"/>
          <w:color w:val="000000" w:themeColor="text1"/>
        </w:rPr>
        <w:t>Acta de la Segunda Sesión Ordinaria del Consejo Directivo de la Unidad de Asuntos Internos, en versión pública, celebrada el veintiséis (26) de mayo de dos mil veintiuno.</w:t>
      </w:r>
    </w:p>
    <w:p w14:paraId="0E8E887F" w14:textId="77777777" w:rsidR="003041E0" w:rsidRPr="00624ACF" w:rsidRDefault="003041E0" w:rsidP="00BF3FA6">
      <w:pPr>
        <w:pStyle w:val="Prrafodelista"/>
        <w:numPr>
          <w:ilvl w:val="2"/>
          <w:numId w:val="15"/>
        </w:numPr>
        <w:tabs>
          <w:tab w:val="left" w:pos="426"/>
        </w:tabs>
        <w:spacing w:line="360" w:lineRule="auto"/>
        <w:ind w:left="1701"/>
        <w:jc w:val="both"/>
        <w:rPr>
          <w:rFonts w:ascii="Palatino Linotype" w:hAnsi="Palatino Linotype" w:cs="Arial"/>
          <w:color w:val="000000" w:themeColor="text1"/>
        </w:rPr>
      </w:pPr>
      <w:r w:rsidRPr="00624ACF">
        <w:rPr>
          <w:rFonts w:ascii="Palatino Linotype" w:hAnsi="Palatino Linotype" w:cs="Arial"/>
          <w:color w:val="000000" w:themeColor="text1"/>
        </w:rPr>
        <w:t>Acta de la Tercera Sesión Ordinaria del Consejo Directivo de la Unidad de Asuntos Internos, en versión pública, celebrada el tres (03) de agosto de dos mil veintiuno.</w:t>
      </w:r>
    </w:p>
    <w:p w14:paraId="0D172CD6" w14:textId="77777777" w:rsidR="003041E0" w:rsidRPr="00624ACF" w:rsidRDefault="003041E0" w:rsidP="00BF3FA6">
      <w:pPr>
        <w:pStyle w:val="Prrafodelista"/>
        <w:numPr>
          <w:ilvl w:val="2"/>
          <w:numId w:val="15"/>
        </w:numPr>
        <w:tabs>
          <w:tab w:val="left" w:pos="426"/>
        </w:tabs>
        <w:spacing w:line="360" w:lineRule="auto"/>
        <w:ind w:left="1701"/>
        <w:jc w:val="both"/>
        <w:rPr>
          <w:rFonts w:ascii="Palatino Linotype" w:hAnsi="Palatino Linotype" w:cs="Arial"/>
          <w:color w:val="000000" w:themeColor="text1"/>
        </w:rPr>
      </w:pPr>
      <w:r w:rsidRPr="00624ACF">
        <w:rPr>
          <w:rFonts w:ascii="Palatino Linotype" w:hAnsi="Palatino Linotype" w:cs="Arial"/>
          <w:color w:val="000000" w:themeColor="text1"/>
        </w:rPr>
        <w:lastRenderedPageBreak/>
        <w:t>Acta de la Cuarta Sesión Ordinaria del Consejo Directivo de la Unidad de Asuntos Internos, en versión pública, celebrada el ocho (08) de septiembre de dos mil veintiuno.</w:t>
      </w:r>
    </w:p>
    <w:p w14:paraId="66CCA56F" w14:textId="4D1FB6CD" w:rsidR="003041E0" w:rsidRPr="00624ACF" w:rsidRDefault="003041E0" w:rsidP="00BF3FA6">
      <w:pPr>
        <w:pStyle w:val="Prrafodelista"/>
        <w:numPr>
          <w:ilvl w:val="2"/>
          <w:numId w:val="15"/>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Acta de la Quinta Sesión Ordinaria del Consejo Directivo de la Unidad de Asuntos Internos, en versión pública, celebrada el dieciocho (18) de octubre de dos mil veintiuno.</w:t>
      </w:r>
    </w:p>
    <w:p w14:paraId="72EF48EC" w14:textId="4F282CC2" w:rsidR="0056550D" w:rsidRPr="00624ACF" w:rsidRDefault="0056550D" w:rsidP="00BF3FA6">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624ACF">
        <w:rPr>
          <w:rFonts w:ascii="Palatino Linotype" w:hAnsi="Palatino Linotype" w:cs="Arial"/>
          <w:b/>
          <w:bCs/>
          <w:i/>
          <w:iCs/>
          <w:color w:val="000000" w:themeColor="text1"/>
        </w:rPr>
        <w:t>“INFORME DE CUMPLIMIENTO RR 06268-INFOEM-IP-RR-2021 Y ANEXOS.pdf”</w:t>
      </w:r>
      <w:r w:rsidRPr="00624ACF">
        <w:rPr>
          <w:rFonts w:ascii="Palatino Linotype" w:hAnsi="Palatino Linotype" w:cs="Arial"/>
          <w:color w:val="000000" w:themeColor="text1"/>
        </w:rPr>
        <w:t xml:space="preserve">: Documento </w:t>
      </w:r>
      <w:r w:rsidR="003041E0" w:rsidRPr="00624ACF">
        <w:rPr>
          <w:rFonts w:ascii="Palatino Linotype" w:hAnsi="Palatino Linotype" w:cs="Arial"/>
          <w:color w:val="000000" w:themeColor="text1"/>
        </w:rPr>
        <w:t>de 98 fojas consistente en:</w:t>
      </w:r>
    </w:p>
    <w:p w14:paraId="5349EB3D" w14:textId="72B94365" w:rsidR="003041E0" w:rsidRPr="00624ACF" w:rsidRDefault="003041E0" w:rsidP="00BF3FA6">
      <w:pPr>
        <w:pStyle w:val="Prrafodelista"/>
        <w:numPr>
          <w:ilvl w:val="2"/>
          <w:numId w:val="16"/>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 xml:space="preserve">Oficio número 206C0301030000L/223/2022, de dos (02) de junio de dos mil veintidós, emitido por la Titular de la Unidad de Transparencia, por el que manifiesta el cumplimiento a la resolución recaída sobre el recurso de revisión </w:t>
      </w:r>
      <w:r w:rsidRPr="00624ACF">
        <w:rPr>
          <w:rFonts w:ascii="Palatino Linotype" w:hAnsi="Palatino Linotype" w:cs="Arial"/>
          <w:b/>
          <w:bCs/>
          <w:color w:val="000000" w:themeColor="text1"/>
        </w:rPr>
        <w:t>06268/INFOEM/IP/RR/2021</w:t>
      </w:r>
      <w:r w:rsidRPr="00624ACF">
        <w:rPr>
          <w:rFonts w:ascii="Palatino Linotype" w:hAnsi="Palatino Linotype" w:cs="Arial"/>
          <w:color w:val="000000" w:themeColor="text1"/>
        </w:rPr>
        <w:t>;</w:t>
      </w:r>
    </w:p>
    <w:p w14:paraId="63168A01" w14:textId="3321430E" w:rsidR="003041E0" w:rsidRPr="00624ACF" w:rsidRDefault="0078043E" w:rsidP="00BF3FA6">
      <w:pPr>
        <w:pStyle w:val="Prrafodelista"/>
        <w:numPr>
          <w:ilvl w:val="2"/>
          <w:numId w:val="16"/>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olor w:val="000000" w:themeColor="text1"/>
        </w:rPr>
        <w:t xml:space="preserve">Oficio número 206C03010000100S/24/2022, de veinticuatro (24) de mayo de dos mil veintidós, emitido por la Jefa de Normatividad, Apoyo Jurídico e Igualdad de Género, dirigido a la Titular de la Unidad de Transparencia, por el que por </w:t>
      </w:r>
      <w:proofErr w:type="spellStart"/>
      <w:r w:rsidRPr="00624ACF">
        <w:rPr>
          <w:rFonts w:ascii="Palatino Linotype" w:hAnsi="Palatino Linotype"/>
          <w:color w:val="000000" w:themeColor="text1"/>
        </w:rPr>
        <w:t>el</w:t>
      </w:r>
      <w:proofErr w:type="spellEnd"/>
      <w:r w:rsidRPr="00624ACF">
        <w:rPr>
          <w:rFonts w:ascii="Palatino Linotype" w:hAnsi="Palatino Linotype"/>
          <w:color w:val="000000" w:themeColor="text1"/>
        </w:rPr>
        <w:t xml:space="preserve"> informa las acciones relativas al complimiento de la </w:t>
      </w:r>
      <w:r w:rsidRPr="00624ACF">
        <w:rPr>
          <w:rFonts w:ascii="Palatino Linotype" w:hAnsi="Palatino Linotype" w:cs="Arial"/>
          <w:color w:val="000000" w:themeColor="text1"/>
        </w:rPr>
        <w:t xml:space="preserve">resolución recaída al recurso de revisión </w:t>
      </w:r>
      <w:r w:rsidRPr="00624ACF">
        <w:rPr>
          <w:rFonts w:ascii="Palatino Linotype" w:hAnsi="Palatino Linotype" w:cs="Arial"/>
          <w:b/>
          <w:bCs/>
          <w:color w:val="000000" w:themeColor="text1"/>
        </w:rPr>
        <w:t>06268/INFOEM/IP/RR/2021</w:t>
      </w:r>
      <w:r w:rsidRPr="00624ACF">
        <w:rPr>
          <w:rFonts w:ascii="Palatino Linotype" w:hAnsi="Palatino Linotype" w:cs="Arial"/>
          <w:color w:val="000000" w:themeColor="text1"/>
        </w:rPr>
        <w:t>;</w:t>
      </w:r>
    </w:p>
    <w:p w14:paraId="17F129BD" w14:textId="77777777" w:rsidR="0078043E" w:rsidRPr="00624ACF" w:rsidRDefault="0078043E" w:rsidP="00BF3FA6">
      <w:pPr>
        <w:pStyle w:val="Prrafodelista"/>
        <w:numPr>
          <w:ilvl w:val="2"/>
          <w:numId w:val="16"/>
        </w:numPr>
        <w:tabs>
          <w:tab w:val="left" w:pos="426"/>
        </w:tabs>
        <w:spacing w:line="360" w:lineRule="auto"/>
        <w:ind w:left="1701"/>
        <w:jc w:val="both"/>
        <w:rPr>
          <w:rFonts w:ascii="Palatino Linotype" w:hAnsi="Palatino Linotype" w:cs="Arial"/>
          <w:color w:val="000000" w:themeColor="text1"/>
        </w:rPr>
      </w:pPr>
      <w:r w:rsidRPr="00624ACF">
        <w:rPr>
          <w:rFonts w:ascii="Palatino Linotype" w:hAnsi="Palatino Linotype" w:cs="Arial"/>
          <w:color w:val="000000" w:themeColor="text1"/>
        </w:rPr>
        <w:t>Proyecto de Clasificación de las Actas del Consejo Directivo 2021;</w:t>
      </w:r>
    </w:p>
    <w:p w14:paraId="19DAFC13" w14:textId="77777777" w:rsidR="0078043E" w:rsidRPr="00624ACF" w:rsidRDefault="0078043E" w:rsidP="00BF3FA6">
      <w:pPr>
        <w:pStyle w:val="Prrafodelista"/>
        <w:numPr>
          <w:ilvl w:val="2"/>
          <w:numId w:val="16"/>
        </w:numPr>
        <w:tabs>
          <w:tab w:val="left" w:pos="426"/>
        </w:tabs>
        <w:spacing w:line="360" w:lineRule="auto"/>
        <w:ind w:left="1701"/>
        <w:jc w:val="both"/>
        <w:rPr>
          <w:rFonts w:ascii="Palatino Linotype" w:hAnsi="Palatino Linotype" w:cs="Arial"/>
          <w:color w:val="000000" w:themeColor="text1"/>
        </w:rPr>
      </w:pPr>
      <w:r w:rsidRPr="00624ACF">
        <w:rPr>
          <w:rFonts w:ascii="Palatino Linotype" w:hAnsi="Palatino Linotype" w:cs="Arial"/>
          <w:color w:val="000000" w:themeColor="text1"/>
        </w:rPr>
        <w:t>Acta de la Primera Sesión Ordinaria del Consejo Directivo de la Unidad de Asuntos Internos, en versión pública, celebrada el veintitrés (23) de marzo de dos mil veintiuno.</w:t>
      </w:r>
    </w:p>
    <w:p w14:paraId="0105122A" w14:textId="77777777" w:rsidR="0078043E" w:rsidRPr="00624ACF" w:rsidRDefault="0078043E" w:rsidP="00BF3FA6">
      <w:pPr>
        <w:pStyle w:val="Prrafodelista"/>
        <w:numPr>
          <w:ilvl w:val="2"/>
          <w:numId w:val="16"/>
        </w:numPr>
        <w:tabs>
          <w:tab w:val="left" w:pos="426"/>
        </w:tabs>
        <w:spacing w:line="360" w:lineRule="auto"/>
        <w:ind w:left="1701"/>
        <w:jc w:val="both"/>
        <w:rPr>
          <w:rFonts w:ascii="Palatino Linotype" w:hAnsi="Palatino Linotype" w:cs="Arial"/>
          <w:color w:val="000000" w:themeColor="text1"/>
        </w:rPr>
      </w:pPr>
      <w:r w:rsidRPr="00624ACF">
        <w:rPr>
          <w:rFonts w:ascii="Palatino Linotype" w:hAnsi="Palatino Linotype" w:cs="Arial"/>
          <w:color w:val="000000" w:themeColor="text1"/>
        </w:rPr>
        <w:t>Acta de la Segunda Sesión Ordinaria del Consejo Directivo de la Unidad de Asuntos Internos, en versión pública, celebrada el veintiséis (26) de mayo de dos mil veintiuno.</w:t>
      </w:r>
    </w:p>
    <w:p w14:paraId="3A967DA5" w14:textId="77777777" w:rsidR="0078043E" w:rsidRPr="00624ACF" w:rsidRDefault="0078043E" w:rsidP="00BF3FA6">
      <w:pPr>
        <w:pStyle w:val="Prrafodelista"/>
        <w:numPr>
          <w:ilvl w:val="2"/>
          <w:numId w:val="16"/>
        </w:numPr>
        <w:tabs>
          <w:tab w:val="left" w:pos="426"/>
        </w:tabs>
        <w:spacing w:line="360" w:lineRule="auto"/>
        <w:ind w:left="1701"/>
        <w:jc w:val="both"/>
        <w:rPr>
          <w:rFonts w:ascii="Palatino Linotype" w:hAnsi="Palatino Linotype" w:cs="Arial"/>
          <w:color w:val="000000" w:themeColor="text1"/>
        </w:rPr>
      </w:pPr>
      <w:r w:rsidRPr="00624ACF">
        <w:rPr>
          <w:rFonts w:ascii="Palatino Linotype" w:hAnsi="Palatino Linotype" w:cs="Arial"/>
          <w:color w:val="000000" w:themeColor="text1"/>
        </w:rPr>
        <w:lastRenderedPageBreak/>
        <w:t>Acta de la Tercera Sesión Ordinaria del Consejo Directivo de la Unidad de Asuntos Internos, en versión pública, celebrada el tres (03) de agosto de dos mil veintiuno.</w:t>
      </w:r>
    </w:p>
    <w:p w14:paraId="3A5EF91C" w14:textId="77777777" w:rsidR="0078043E" w:rsidRPr="00624ACF" w:rsidRDefault="0078043E" w:rsidP="00BF3FA6">
      <w:pPr>
        <w:pStyle w:val="Prrafodelista"/>
        <w:numPr>
          <w:ilvl w:val="2"/>
          <w:numId w:val="16"/>
        </w:numPr>
        <w:tabs>
          <w:tab w:val="left" w:pos="426"/>
        </w:tabs>
        <w:spacing w:line="360" w:lineRule="auto"/>
        <w:ind w:left="1701"/>
        <w:jc w:val="both"/>
        <w:rPr>
          <w:rFonts w:ascii="Palatino Linotype" w:hAnsi="Palatino Linotype" w:cs="Arial"/>
          <w:color w:val="000000" w:themeColor="text1"/>
        </w:rPr>
      </w:pPr>
      <w:r w:rsidRPr="00624ACF">
        <w:rPr>
          <w:rFonts w:ascii="Palatino Linotype" w:hAnsi="Palatino Linotype" w:cs="Arial"/>
          <w:color w:val="000000" w:themeColor="text1"/>
        </w:rPr>
        <w:t>Acta de la Cuarta Sesión Ordinaria del Consejo Directivo de la Unidad de Asuntos Internos, en versión pública, celebrada el ocho (08) de septiembre de dos mil veintiuno.</w:t>
      </w:r>
    </w:p>
    <w:p w14:paraId="1E162BCE" w14:textId="6F004E57" w:rsidR="0078043E" w:rsidRPr="00624ACF" w:rsidRDefault="0078043E" w:rsidP="00BF3FA6">
      <w:pPr>
        <w:pStyle w:val="Prrafodelista"/>
        <w:numPr>
          <w:ilvl w:val="2"/>
          <w:numId w:val="16"/>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Acta de la Quinta Sesión Ordinaria del Consejo Directivo de la Unidad de Asuntos Internos, en versión pública, celebrada el dieciocho (18) de octubre de dos mil veintiuno.</w:t>
      </w:r>
    </w:p>
    <w:p w14:paraId="56F5FBDE" w14:textId="7B1DD898" w:rsidR="0078043E" w:rsidRPr="00624ACF" w:rsidRDefault="0078043E" w:rsidP="00BF3FA6">
      <w:pPr>
        <w:pStyle w:val="Prrafodelista"/>
        <w:numPr>
          <w:ilvl w:val="2"/>
          <w:numId w:val="16"/>
        </w:numPr>
        <w:tabs>
          <w:tab w:val="left" w:pos="426"/>
        </w:tabs>
        <w:spacing w:line="360" w:lineRule="auto"/>
        <w:ind w:left="1701"/>
        <w:jc w:val="both"/>
        <w:rPr>
          <w:rFonts w:ascii="Palatino Linotype" w:hAnsi="Palatino Linotype" w:cs="Arial"/>
          <w:color w:val="000000" w:themeColor="text1"/>
        </w:rPr>
      </w:pPr>
      <w:r w:rsidRPr="00624ACF">
        <w:rPr>
          <w:rFonts w:ascii="Palatino Linotype" w:hAnsi="Palatino Linotype" w:cs="Arial"/>
          <w:color w:val="000000" w:themeColor="text1"/>
        </w:rPr>
        <w:t>Acta de la Séptima Sesión Ordinaria del Comité de Transparencia del SUJETO OBLIGADO, celebrada el veintisiete (27) de mayo de dos mil veintidós, por la que se aprueba la clasificación parcial de información, como reservada, de las Actas del Consejo Directivo 2021;</w:t>
      </w:r>
    </w:p>
    <w:p w14:paraId="35CC4971" w14:textId="77777777" w:rsidR="0078043E" w:rsidRPr="00624ACF" w:rsidRDefault="0078043E" w:rsidP="00BF3FA6">
      <w:pPr>
        <w:pStyle w:val="Prrafodelista"/>
        <w:numPr>
          <w:ilvl w:val="2"/>
          <w:numId w:val="16"/>
        </w:numPr>
        <w:tabs>
          <w:tab w:val="left" w:pos="426"/>
        </w:tabs>
        <w:spacing w:line="360" w:lineRule="auto"/>
        <w:ind w:left="1701"/>
        <w:jc w:val="both"/>
        <w:rPr>
          <w:rFonts w:ascii="Palatino Linotype" w:hAnsi="Palatino Linotype" w:cs="Arial"/>
          <w:color w:val="000000" w:themeColor="text1"/>
        </w:rPr>
      </w:pPr>
      <w:r w:rsidRPr="00624ACF">
        <w:rPr>
          <w:rFonts w:ascii="Palatino Linotype" w:hAnsi="Palatino Linotype" w:cs="Arial"/>
          <w:color w:val="000000" w:themeColor="text1"/>
        </w:rPr>
        <w:t>Antecedentes del recurso de revisión 06268/INFOEM/IP/RR/2021;</w:t>
      </w:r>
    </w:p>
    <w:p w14:paraId="79CA613A" w14:textId="792A4D10" w:rsidR="0078043E" w:rsidRPr="00624ACF" w:rsidRDefault="0078043E" w:rsidP="00BF3FA6">
      <w:pPr>
        <w:pStyle w:val="Prrafodelista"/>
        <w:numPr>
          <w:ilvl w:val="2"/>
          <w:numId w:val="16"/>
        </w:numPr>
        <w:tabs>
          <w:tab w:val="left" w:pos="426"/>
        </w:tabs>
        <w:spacing w:line="360" w:lineRule="auto"/>
        <w:ind w:left="1701"/>
        <w:jc w:val="both"/>
        <w:rPr>
          <w:rFonts w:ascii="Palatino Linotype" w:hAnsi="Palatino Linotype"/>
          <w:color w:val="000000" w:themeColor="text1"/>
        </w:rPr>
      </w:pPr>
      <w:r w:rsidRPr="00624ACF">
        <w:rPr>
          <w:rFonts w:ascii="Palatino Linotype" w:hAnsi="Palatino Linotype" w:cs="Arial"/>
          <w:color w:val="000000" w:themeColor="text1"/>
        </w:rPr>
        <w:t>Acta número UAI-CT-EXT-07-2022, consistente en el Proyecto de Clasificación de las Actas del Consejo Directivo 2021.</w:t>
      </w:r>
    </w:p>
    <w:p w14:paraId="406CED82" w14:textId="77777777" w:rsidR="004146FC" w:rsidRPr="00624ACF" w:rsidRDefault="004146FC" w:rsidP="004146FC">
      <w:pPr>
        <w:pStyle w:val="Prrafodelista"/>
        <w:tabs>
          <w:tab w:val="left" w:pos="426"/>
        </w:tabs>
        <w:spacing w:line="360" w:lineRule="auto"/>
        <w:ind w:left="0"/>
        <w:jc w:val="both"/>
        <w:rPr>
          <w:rFonts w:ascii="Palatino Linotype" w:hAnsi="Palatino Linotype"/>
          <w:color w:val="000000" w:themeColor="text1"/>
        </w:rPr>
      </w:pPr>
    </w:p>
    <w:p w14:paraId="2EEBAEA9" w14:textId="345CD4A0" w:rsidR="004146FC" w:rsidRPr="00624ACF" w:rsidRDefault="0078043E" w:rsidP="00E6530C">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hAnsi="Palatino Linotype" w:cs="Arial"/>
          <w:color w:val="000000" w:themeColor="text1"/>
        </w:rPr>
        <w:t xml:space="preserve">Del </w:t>
      </w:r>
      <w:r w:rsidRPr="00624ACF">
        <w:rPr>
          <w:rFonts w:ascii="Palatino Linotype" w:hAnsi="Palatino Linotype"/>
          <w:color w:val="000000" w:themeColor="text1"/>
        </w:rPr>
        <w:t xml:space="preserve">análisis realizado a los archivos presentados por el </w:t>
      </w:r>
      <w:r w:rsidRPr="00624ACF">
        <w:rPr>
          <w:rFonts w:ascii="Palatino Linotype" w:hAnsi="Palatino Linotype"/>
          <w:b/>
          <w:bCs/>
          <w:color w:val="000000" w:themeColor="text1"/>
        </w:rPr>
        <w:t>SUJETO OBLIGADO</w:t>
      </w:r>
      <w:r w:rsidRPr="00624ACF">
        <w:rPr>
          <w:rFonts w:ascii="Palatino Linotype" w:hAnsi="Palatino Linotype"/>
          <w:color w:val="000000" w:themeColor="text1"/>
        </w:rPr>
        <w:t xml:space="preserve"> en el apartado de </w:t>
      </w:r>
      <w:r w:rsidRPr="00624ACF">
        <w:rPr>
          <w:rFonts w:ascii="Palatino Linotype" w:hAnsi="Palatino Linotype"/>
          <w:i/>
          <w:iCs/>
          <w:color w:val="000000" w:themeColor="text1"/>
        </w:rPr>
        <w:t>Manifestaciones</w:t>
      </w:r>
      <w:r w:rsidRPr="00624ACF">
        <w:rPr>
          <w:rFonts w:ascii="Palatino Linotype" w:hAnsi="Palatino Linotype"/>
          <w:color w:val="000000" w:themeColor="text1"/>
        </w:rPr>
        <w:t xml:space="preserve"> del SAIMEX, el Organismo Garante concluyó que éstos contenían información novedosa y de probable interés para el </w:t>
      </w:r>
      <w:r w:rsidRPr="00624ACF">
        <w:rPr>
          <w:rFonts w:ascii="Palatino Linotype" w:hAnsi="Palatino Linotype"/>
          <w:b/>
          <w:bCs/>
          <w:color w:val="000000" w:themeColor="text1"/>
        </w:rPr>
        <w:t>RECURRENTE</w:t>
      </w:r>
      <w:r w:rsidRPr="00624ACF">
        <w:rPr>
          <w:rFonts w:ascii="Palatino Linotype" w:hAnsi="Palatino Linotype"/>
          <w:color w:val="000000" w:themeColor="text1"/>
        </w:rPr>
        <w:t xml:space="preserve">, por lo que se pusieron a la vista del particular el veinticinco (25) de octubre de dos mil veintidós, concediéndole un plazo de tres (03) días para que manifestara lo que a su derecho conviniera, de conformidad con el artículo 185, fracción III, de la Ley </w:t>
      </w:r>
      <w:r w:rsidRPr="00624ACF">
        <w:rPr>
          <w:rFonts w:ascii="Palatino Linotype" w:hAnsi="Palatino Linotype"/>
          <w:color w:val="000000" w:themeColor="text1"/>
        </w:rPr>
        <w:lastRenderedPageBreak/>
        <w:t>de Transparencia y Acceso a la Información Pública del Estado de México y Municipios.</w:t>
      </w:r>
    </w:p>
    <w:p w14:paraId="14840404" w14:textId="77777777" w:rsidR="004146FC" w:rsidRPr="00624ACF" w:rsidRDefault="004146FC" w:rsidP="004146FC">
      <w:pPr>
        <w:pStyle w:val="Prrafodelista"/>
        <w:tabs>
          <w:tab w:val="left" w:pos="426"/>
        </w:tabs>
        <w:spacing w:line="360" w:lineRule="auto"/>
        <w:ind w:left="0"/>
        <w:jc w:val="both"/>
        <w:rPr>
          <w:rFonts w:ascii="Palatino Linotype" w:hAnsi="Palatino Linotype"/>
          <w:color w:val="000000" w:themeColor="text1"/>
        </w:rPr>
      </w:pPr>
    </w:p>
    <w:p w14:paraId="34F250CF" w14:textId="4822A298" w:rsidR="004146FC" w:rsidRPr="00624ACF" w:rsidRDefault="0078043E" w:rsidP="00E6530C">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hAnsi="Palatino Linotype" w:cs="Arial"/>
          <w:color w:val="000000" w:themeColor="text1"/>
        </w:rPr>
        <w:t xml:space="preserve">El dos (02) de noviembre de dos mil veintidós, el </w:t>
      </w:r>
      <w:r w:rsidRPr="00624ACF">
        <w:rPr>
          <w:rFonts w:ascii="Palatino Linotype" w:hAnsi="Palatino Linotype" w:cs="Arial"/>
          <w:b/>
          <w:bCs/>
          <w:color w:val="000000" w:themeColor="text1"/>
        </w:rPr>
        <w:t>RECURRENTE</w:t>
      </w:r>
      <w:r w:rsidRPr="00624ACF">
        <w:rPr>
          <w:rFonts w:ascii="Palatino Linotype" w:hAnsi="Palatino Linotype" w:cs="Arial"/>
          <w:color w:val="000000" w:themeColor="text1"/>
        </w:rPr>
        <w:t xml:space="preserve"> presentó, en vía de alegatos, el documento titulado </w:t>
      </w:r>
      <w:r w:rsidRPr="00624ACF">
        <w:rPr>
          <w:rFonts w:ascii="Palatino Linotype" w:hAnsi="Palatino Linotype" w:cs="Arial"/>
          <w:b/>
          <w:bCs/>
          <w:i/>
          <w:iCs/>
          <w:color w:val="000000" w:themeColor="text1"/>
        </w:rPr>
        <w:t>“incumplimiento de resolución UAI 2.docx”</w:t>
      </w:r>
      <w:r w:rsidRPr="00624ACF">
        <w:rPr>
          <w:rFonts w:ascii="Palatino Linotype" w:hAnsi="Palatino Linotype" w:cs="Arial"/>
          <w:color w:val="000000" w:themeColor="text1"/>
        </w:rPr>
        <w:t>, cuyo contenido se transcribe a continuación:</w:t>
      </w:r>
    </w:p>
    <w:p w14:paraId="2A954343" w14:textId="73C46B52" w:rsidR="004146FC" w:rsidRPr="00624ACF" w:rsidRDefault="004146FC" w:rsidP="004146FC">
      <w:pPr>
        <w:pStyle w:val="Prrafodelista"/>
        <w:tabs>
          <w:tab w:val="left" w:pos="426"/>
        </w:tabs>
        <w:spacing w:line="360" w:lineRule="auto"/>
        <w:ind w:left="0"/>
        <w:jc w:val="both"/>
        <w:rPr>
          <w:rFonts w:ascii="Palatino Linotype" w:hAnsi="Palatino Linotype"/>
          <w:color w:val="000000" w:themeColor="text1"/>
        </w:rPr>
      </w:pPr>
    </w:p>
    <w:p w14:paraId="6BC0EC9F"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“Por medio del presente escrito solicito dé cabal cumplimiento al contenido del artículo 201 de la Ley de Transparencia y Acceso a la Información Pública del Estado de México y Municipios, mismo que dispone lo siguiente:</w:t>
      </w:r>
    </w:p>
    <w:p w14:paraId="6342748A"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p>
    <w:p w14:paraId="077DB7D0"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Artículo 201.</w:t>
      </w:r>
      <w:r w:rsidRPr="00624ACF">
        <w:rPr>
          <w:rFonts w:ascii="Palatino Linotype" w:hAnsi="Palatino Linotype"/>
          <w:i/>
          <w:iCs/>
          <w:color w:val="000000" w:themeColor="text1"/>
          <w:sz w:val="22"/>
          <w:szCs w:val="22"/>
        </w:rPr>
        <w:t xml:space="preserve"> </w:t>
      </w:r>
      <w:r w:rsidRPr="00624ACF">
        <w:rPr>
          <w:rFonts w:ascii="Palatino Linotype" w:hAnsi="Palatino Linotype"/>
          <w:b/>
          <w:bCs/>
          <w:i/>
          <w:iCs/>
          <w:color w:val="000000" w:themeColor="text1"/>
          <w:sz w:val="22"/>
          <w:szCs w:val="22"/>
          <w:u w:val="single"/>
        </w:rPr>
        <w:t>El acatamiento extemporáneo de la resolución del recurso de revisión, si es injustificado, no exime de responsabilidad a los servidores públicos que resulten responsables ni, en su caso, a su superior jerárquico,</w:t>
      </w:r>
      <w:r w:rsidRPr="00624ACF">
        <w:rPr>
          <w:rFonts w:ascii="Palatino Linotype" w:hAnsi="Palatino Linotype"/>
          <w:i/>
          <w:iCs/>
          <w:color w:val="000000" w:themeColor="text1"/>
          <w:sz w:val="22"/>
          <w:szCs w:val="22"/>
        </w:rPr>
        <w:t xml:space="preserve"> pero se tomará en consideración como atenuante al imponer la sanción administrativa o penal, que llegara a corresponder. </w:t>
      </w:r>
      <w:r w:rsidRPr="00624ACF">
        <w:rPr>
          <w:rFonts w:ascii="Palatino Linotype" w:hAnsi="Palatino Linotype"/>
          <w:i/>
          <w:iCs/>
          <w:color w:val="000000" w:themeColor="text1"/>
          <w:sz w:val="22"/>
          <w:szCs w:val="22"/>
          <w:u w:val="single"/>
        </w:rPr>
        <w:t>(</w:t>
      </w:r>
      <w:proofErr w:type="gramStart"/>
      <w:r w:rsidRPr="00624ACF">
        <w:rPr>
          <w:rFonts w:ascii="Palatino Linotype" w:hAnsi="Palatino Linotype"/>
          <w:i/>
          <w:iCs/>
          <w:color w:val="000000" w:themeColor="text1"/>
          <w:sz w:val="22"/>
          <w:szCs w:val="22"/>
          <w:u w:val="single"/>
        </w:rPr>
        <w:t>lo</w:t>
      </w:r>
      <w:proofErr w:type="gramEnd"/>
      <w:r w:rsidRPr="00624ACF">
        <w:rPr>
          <w:rFonts w:ascii="Palatino Linotype" w:hAnsi="Palatino Linotype"/>
          <w:i/>
          <w:iCs/>
          <w:color w:val="000000" w:themeColor="text1"/>
          <w:sz w:val="22"/>
          <w:szCs w:val="22"/>
          <w:u w:val="single"/>
        </w:rPr>
        <w:t xml:space="preserve"> que contiene énfasis es propio.)</w:t>
      </w:r>
    </w:p>
    <w:p w14:paraId="7D016CB1"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ab/>
      </w:r>
    </w:p>
    <w:p w14:paraId="3AB3C31A"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Lo anterior, es así, si tomamos en consideración las manifestaciones que de hecho y de derecho se han vertido al interponer el presente recurso de revisión, pues como es bien sabido, existe una falta administrativa y penal por parte de la autoridad responsable, incluso en su contestación </w:t>
      </w:r>
      <w:r w:rsidRPr="00624ACF">
        <w:rPr>
          <w:rFonts w:ascii="Palatino Linotype" w:hAnsi="Palatino Linotype"/>
          <w:b/>
          <w:bCs/>
          <w:i/>
          <w:iCs/>
          <w:color w:val="000000" w:themeColor="text1"/>
          <w:sz w:val="22"/>
          <w:szCs w:val="22"/>
          <w:u w:val="single"/>
        </w:rPr>
        <w:t>no justificó el motivo de la tardanza POR LO QUE ES INJUSTIFICADA</w:t>
      </w:r>
      <w:r w:rsidRPr="00624ACF">
        <w:rPr>
          <w:rFonts w:ascii="Palatino Linotype" w:hAnsi="Palatino Linotype"/>
          <w:i/>
          <w:iCs/>
          <w:color w:val="000000" w:themeColor="text1"/>
          <w:sz w:val="22"/>
          <w:szCs w:val="22"/>
        </w:rPr>
        <w:t>; sobre todo si tomamos en consideración que ya existe un acuerdo de incumplimiento emitido por el personal a su cargo; además esto encuentra sustento en el criterio de observancia obligatoria, que dispone lo siguiente:</w:t>
      </w:r>
    </w:p>
    <w:p w14:paraId="1D509F94"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3906B028" w14:textId="77777777" w:rsidR="0078043E" w:rsidRPr="00624ACF" w:rsidRDefault="0078043E" w:rsidP="0078043E">
      <w:pPr>
        <w:pStyle w:val="Prrafodelista"/>
        <w:tabs>
          <w:tab w:val="left" w:pos="426"/>
        </w:tabs>
        <w:spacing w:line="276" w:lineRule="auto"/>
        <w:ind w:right="567"/>
        <w:jc w:val="both"/>
        <w:rPr>
          <w:rFonts w:ascii="Palatino Linotype" w:hAnsi="Palatino Linotype"/>
          <w:b/>
          <w:i/>
          <w:iCs/>
          <w:color w:val="000000" w:themeColor="text1"/>
          <w:sz w:val="22"/>
          <w:szCs w:val="22"/>
        </w:rPr>
      </w:pPr>
      <w:r w:rsidRPr="00624ACF">
        <w:rPr>
          <w:rFonts w:ascii="Palatino Linotype" w:hAnsi="Palatino Linotype"/>
          <w:b/>
          <w:bCs/>
          <w:i/>
          <w:iCs/>
          <w:color w:val="000000" w:themeColor="text1"/>
          <w:sz w:val="22"/>
          <w:szCs w:val="22"/>
        </w:rPr>
        <w:t xml:space="preserve">VISTA A LA CONTRALORÍA INTERNA Y ÓRGANO DE CONTROL Y VIGILANCIA DEL INSTITUTO. LO JUSTIFICA LA FALTA DE RESPUESTA POR PARTE DEL SUJETO OBLIGADO A LAS SOLICITUDES DE ACCESO A LA INFORMACIÓN PÚBLICA Y EJERCICIO DE DERECHOS ARCO. </w:t>
      </w:r>
      <w:r w:rsidRPr="00624ACF">
        <w:rPr>
          <w:rFonts w:ascii="Palatino Linotype" w:hAnsi="Palatino Linotype"/>
          <w:i/>
          <w:iCs/>
          <w:color w:val="000000" w:themeColor="text1"/>
          <w:sz w:val="22"/>
          <w:szCs w:val="22"/>
        </w:rPr>
        <w:t xml:space="preserve">De conformidad con el artículo 150 de la Ley de Transparencia y Acceso a la Información Pública del Estado de México y Municipios, el procedimiento de acceso a la información es la garantía primaria del derecho en cuestión, </w:t>
      </w:r>
      <w:r w:rsidRPr="00624ACF">
        <w:rPr>
          <w:rFonts w:ascii="Palatino Linotype" w:hAnsi="Palatino Linotype"/>
          <w:b/>
          <w:bCs/>
          <w:i/>
          <w:iCs/>
          <w:color w:val="000000" w:themeColor="text1"/>
          <w:sz w:val="22"/>
          <w:szCs w:val="22"/>
          <w:u w:val="single"/>
        </w:rPr>
        <w:t xml:space="preserve">siendo la recepción de </w:t>
      </w:r>
      <w:r w:rsidRPr="00624ACF">
        <w:rPr>
          <w:rFonts w:ascii="Palatino Linotype" w:hAnsi="Palatino Linotype"/>
          <w:b/>
          <w:bCs/>
          <w:i/>
          <w:iCs/>
          <w:color w:val="000000" w:themeColor="text1"/>
          <w:sz w:val="22"/>
          <w:szCs w:val="22"/>
          <w:u w:val="single"/>
        </w:rPr>
        <w:lastRenderedPageBreak/>
        <w:t>una solicitud y su respuesta elementos esenciales dentro de dicho procedimiento; por otro lado, en términos de los artículos 163 y 166 párrafo cuarto de la Ley de Transparencia, y el diverso 108 de la Ley de Protección de Datos Personales en Posesión de Sujetos Obligados del Estado de México y Municipios, el titular de la Unidad de Transparencia del Sujeto Obligado deberá notificar la respuesta a las solicitudes de información en el menor tiempo posible, sin que éste exceda del plazo de quince días tratándose del derecho de acceso a la información pública</w:t>
      </w:r>
      <w:r w:rsidRPr="00624ACF">
        <w:rPr>
          <w:rFonts w:ascii="Palatino Linotype" w:hAnsi="Palatino Linotype"/>
          <w:i/>
          <w:iCs/>
          <w:color w:val="000000" w:themeColor="text1"/>
          <w:sz w:val="22"/>
          <w:szCs w:val="22"/>
        </w:rPr>
        <w:t xml:space="preserve"> y de veinte días en el ejercicio de derechos ARCO y en su caso, de la prórroga previamente aprobada sobre dichos términos, pues en el supuesto de no hacerse así, el solicitante podrá interponer recurso de revisión en contra de la falta de respuesta. Bajo ese tenor, resulta indudable que al tratarse de una garantía primaria de los referidos derechos, los Sujetos Obligados a través de las Unidades de Transparencia deberán dar trámite y respuesta a las solicitudes de información y derechos ARCO, en los términos y condiciones establecidas por la Ley de Transparencia y Ley de Protección de Datos Personales en Posesión de Sujetos Obligados vigentes en la entidad y, </w:t>
      </w:r>
      <w:r w:rsidRPr="00624ACF">
        <w:rPr>
          <w:rFonts w:ascii="Palatino Linotype" w:hAnsi="Palatino Linotype"/>
          <w:b/>
          <w:bCs/>
          <w:i/>
          <w:iCs/>
          <w:color w:val="000000" w:themeColor="text1"/>
          <w:sz w:val="22"/>
          <w:szCs w:val="22"/>
          <w:u w:val="single"/>
        </w:rPr>
        <w:t>en caso de desatender el referido procedimiento, la interposición de un recurso de revisión en contra de la negativa de respuesta por un Sujeto Obligado -por la propia y especial naturaleza de la infracción- dará lugar a que el Pleno del Instituto, a través de la resolución a los recursos de revisión de referencia, dé vista a la Contraloría Interna y Órgano de Control y Vigilancia del Instituto, con sustento en lo dispuesto en los artículos 36, fracción XXXVIII y 190 de la Ley de Transparencia Local, para los efectos a que haya lugar</w:t>
      </w:r>
      <w:r w:rsidRPr="00624ACF">
        <w:rPr>
          <w:rFonts w:ascii="Palatino Linotype" w:hAnsi="Palatino Linotype"/>
          <w:i/>
          <w:iCs/>
          <w:color w:val="000000" w:themeColor="text1"/>
          <w:sz w:val="22"/>
          <w:szCs w:val="22"/>
        </w:rPr>
        <w:t>.</w:t>
      </w:r>
    </w:p>
    <w:p w14:paraId="50A0BBA2"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p>
    <w:p w14:paraId="414B0C2B" w14:textId="77777777" w:rsidR="0078043E" w:rsidRPr="00624ACF" w:rsidRDefault="0078043E" w:rsidP="0078043E">
      <w:pPr>
        <w:pStyle w:val="Prrafodelista"/>
        <w:tabs>
          <w:tab w:val="left" w:pos="426"/>
        </w:tabs>
        <w:spacing w:line="276" w:lineRule="auto"/>
        <w:ind w:right="567"/>
        <w:jc w:val="both"/>
        <w:rPr>
          <w:rFonts w:ascii="Palatino Linotype" w:hAnsi="Palatino Linotype"/>
          <w:b/>
          <w:i/>
          <w:iCs/>
          <w:color w:val="000000" w:themeColor="text1"/>
          <w:sz w:val="22"/>
          <w:szCs w:val="22"/>
        </w:rPr>
      </w:pPr>
      <w:r w:rsidRPr="00624ACF">
        <w:rPr>
          <w:rFonts w:ascii="Palatino Linotype" w:hAnsi="Palatino Linotype"/>
          <w:b/>
          <w:i/>
          <w:iCs/>
          <w:color w:val="000000" w:themeColor="text1"/>
          <w:sz w:val="22"/>
          <w:szCs w:val="22"/>
        </w:rPr>
        <w:t>Precedentes</w:t>
      </w:r>
    </w:p>
    <w:p w14:paraId="771EB10C" w14:textId="77777777" w:rsidR="0078043E" w:rsidRPr="00624ACF" w:rsidRDefault="0078043E" w:rsidP="0078043E">
      <w:pPr>
        <w:pStyle w:val="Prrafodelista"/>
        <w:tabs>
          <w:tab w:val="left" w:pos="426"/>
        </w:tabs>
        <w:spacing w:line="276" w:lineRule="auto"/>
        <w:ind w:right="567"/>
        <w:jc w:val="both"/>
        <w:rPr>
          <w:rFonts w:ascii="Palatino Linotype" w:hAnsi="Palatino Linotype"/>
          <w:b/>
          <w:i/>
          <w:iCs/>
          <w:color w:val="000000" w:themeColor="text1"/>
          <w:sz w:val="22"/>
          <w:szCs w:val="22"/>
        </w:rPr>
      </w:pPr>
    </w:p>
    <w:p w14:paraId="6F7B1AFC" w14:textId="77777777" w:rsidR="0078043E" w:rsidRPr="00624ACF" w:rsidRDefault="0078043E" w:rsidP="00BF3FA6">
      <w:pPr>
        <w:pStyle w:val="Prrafodelista"/>
        <w:numPr>
          <w:ilvl w:val="0"/>
          <w:numId w:val="17"/>
        </w:numPr>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En materia de acceso a la información pública. 06740/INFOEM/IP/RR/2019. Aprobado por unanimidad de votos, emitiendo voto particular el Comisionado José Guadalupe Luna Hernández. Ayuntamiento de Atizapán. Comisionada Ponente Zulema Martínez Sánchez. </w:t>
      </w:r>
    </w:p>
    <w:p w14:paraId="60C718AD" w14:textId="77777777" w:rsidR="0078043E" w:rsidRPr="00624ACF" w:rsidRDefault="0078043E" w:rsidP="00BF3FA6">
      <w:pPr>
        <w:pStyle w:val="Prrafodelista"/>
        <w:numPr>
          <w:ilvl w:val="0"/>
          <w:numId w:val="17"/>
        </w:numPr>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En materia de acceso a la información pública. 07007/INFOEM/IP/RR/2019. Aprobado por unanimidad de votos. Ayuntamiento de Naucalpan de Juárez. Comisionada Ponente Eva </w:t>
      </w:r>
      <w:proofErr w:type="spellStart"/>
      <w:r w:rsidRPr="00624ACF">
        <w:rPr>
          <w:rFonts w:ascii="Palatino Linotype" w:hAnsi="Palatino Linotype"/>
          <w:i/>
          <w:iCs/>
          <w:color w:val="000000" w:themeColor="text1"/>
          <w:sz w:val="22"/>
          <w:szCs w:val="22"/>
        </w:rPr>
        <w:t>Abaid</w:t>
      </w:r>
      <w:proofErr w:type="spellEnd"/>
      <w:r w:rsidRPr="00624ACF">
        <w:rPr>
          <w:rFonts w:ascii="Palatino Linotype" w:hAnsi="Palatino Linotype"/>
          <w:i/>
          <w:iCs/>
          <w:color w:val="000000" w:themeColor="text1"/>
          <w:sz w:val="22"/>
          <w:szCs w:val="22"/>
        </w:rPr>
        <w:t xml:space="preserve"> </w:t>
      </w:r>
      <w:proofErr w:type="spellStart"/>
      <w:r w:rsidRPr="00624ACF">
        <w:rPr>
          <w:rFonts w:ascii="Palatino Linotype" w:hAnsi="Palatino Linotype"/>
          <w:i/>
          <w:iCs/>
          <w:color w:val="000000" w:themeColor="text1"/>
          <w:sz w:val="22"/>
          <w:szCs w:val="22"/>
        </w:rPr>
        <w:t>Yapur</w:t>
      </w:r>
      <w:proofErr w:type="spellEnd"/>
      <w:r w:rsidRPr="00624ACF">
        <w:rPr>
          <w:rFonts w:ascii="Palatino Linotype" w:hAnsi="Palatino Linotype"/>
          <w:i/>
          <w:iCs/>
          <w:color w:val="000000" w:themeColor="text1"/>
          <w:sz w:val="22"/>
          <w:szCs w:val="22"/>
        </w:rPr>
        <w:t xml:space="preserve">. </w:t>
      </w:r>
    </w:p>
    <w:p w14:paraId="510A8AAD" w14:textId="77777777" w:rsidR="0078043E" w:rsidRPr="00624ACF" w:rsidRDefault="0078043E" w:rsidP="00BF3FA6">
      <w:pPr>
        <w:pStyle w:val="Prrafodelista"/>
        <w:numPr>
          <w:ilvl w:val="0"/>
          <w:numId w:val="17"/>
        </w:numPr>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lastRenderedPageBreak/>
        <w:t xml:space="preserve">En materia de acceso a la información pública. 06486/INFOEM/IP/RR/2019. Aprobado por unanimidad de votos. Ayuntamiento de </w:t>
      </w:r>
      <w:proofErr w:type="spellStart"/>
      <w:r w:rsidRPr="00624ACF">
        <w:rPr>
          <w:rFonts w:ascii="Palatino Linotype" w:hAnsi="Palatino Linotype"/>
          <w:i/>
          <w:iCs/>
          <w:color w:val="000000" w:themeColor="text1"/>
          <w:sz w:val="22"/>
          <w:szCs w:val="22"/>
        </w:rPr>
        <w:t>Tequixquiac</w:t>
      </w:r>
      <w:proofErr w:type="spellEnd"/>
      <w:r w:rsidRPr="00624ACF">
        <w:rPr>
          <w:rFonts w:ascii="Palatino Linotype" w:hAnsi="Palatino Linotype"/>
          <w:i/>
          <w:iCs/>
          <w:color w:val="000000" w:themeColor="text1"/>
          <w:sz w:val="22"/>
          <w:szCs w:val="22"/>
        </w:rPr>
        <w:t xml:space="preserve">. Comisionado Ponente Luis Gustavo Parra Noriega. </w:t>
      </w:r>
    </w:p>
    <w:p w14:paraId="1C76E2EB"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p>
    <w:tbl>
      <w:tblPr>
        <w:tblW w:w="0" w:type="auto"/>
        <w:jc w:val="center"/>
        <w:tblBorders>
          <w:top w:val="single" w:sz="4" w:space="0" w:color="auto"/>
        </w:tblBorders>
        <w:tblLook w:val="04A0" w:firstRow="1" w:lastRow="0" w:firstColumn="1" w:lastColumn="0" w:noHBand="0" w:noVBand="1"/>
      </w:tblPr>
      <w:tblGrid>
        <w:gridCol w:w="4414"/>
        <w:gridCol w:w="4414"/>
      </w:tblGrid>
      <w:tr w:rsidR="0078043E" w:rsidRPr="00624ACF" w14:paraId="5565276C" w14:textId="77777777" w:rsidTr="0086202E">
        <w:trPr>
          <w:trHeight w:val="498"/>
          <w:jc w:val="center"/>
        </w:trPr>
        <w:tc>
          <w:tcPr>
            <w:tcW w:w="4414" w:type="dxa"/>
          </w:tcPr>
          <w:p w14:paraId="17EC2392" w14:textId="77777777" w:rsidR="0078043E" w:rsidRPr="00624ACF" w:rsidRDefault="0078043E" w:rsidP="0078043E">
            <w:pPr>
              <w:pStyle w:val="Prrafodelista"/>
              <w:tabs>
                <w:tab w:val="left" w:pos="426"/>
              </w:tabs>
              <w:spacing w:line="276" w:lineRule="auto"/>
              <w:ind w:right="567"/>
              <w:jc w:val="both"/>
              <w:rPr>
                <w:rFonts w:ascii="Palatino Linotype" w:hAnsi="Palatino Linotype"/>
                <w:b/>
                <w:i/>
                <w:iCs/>
                <w:color w:val="000000" w:themeColor="text1"/>
                <w:sz w:val="22"/>
                <w:szCs w:val="22"/>
              </w:rPr>
            </w:pPr>
            <w:r w:rsidRPr="00624ACF">
              <w:rPr>
                <w:rFonts w:ascii="Palatino Linotype" w:hAnsi="Palatino Linotype"/>
                <w:b/>
                <w:i/>
                <w:iCs/>
                <w:color w:val="000000" w:themeColor="text1"/>
                <w:sz w:val="22"/>
                <w:szCs w:val="22"/>
              </w:rPr>
              <w:t>Segunda Época</w:t>
            </w:r>
          </w:p>
        </w:tc>
        <w:tc>
          <w:tcPr>
            <w:tcW w:w="4414" w:type="dxa"/>
          </w:tcPr>
          <w:p w14:paraId="591D557B" w14:textId="77777777" w:rsidR="0078043E" w:rsidRPr="00624ACF" w:rsidRDefault="0078043E" w:rsidP="0078043E">
            <w:pPr>
              <w:pStyle w:val="Prrafodelista"/>
              <w:tabs>
                <w:tab w:val="left" w:pos="426"/>
              </w:tabs>
              <w:spacing w:line="276" w:lineRule="auto"/>
              <w:ind w:right="567"/>
              <w:jc w:val="both"/>
              <w:rPr>
                <w:rFonts w:ascii="Palatino Linotype" w:hAnsi="Palatino Linotype"/>
                <w:b/>
                <w:i/>
                <w:iCs/>
                <w:color w:val="000000" w:themeColor="text1"/>
                <w:sz w:val="22"/>
                <w:szCs w:val="22"/>
              </w:rPr>
            </w:pPr>
            <w:r w:rsidRPr="00624ACF">
              <w:rPr>
                <w:rFonts w:ascii="Palatino Linotype" w:hAnsi="Palatino Linotype"/>
                <w:b/>
                <w:i/>
                <w:iCs/>
                <w:color w:val="000000" w:themeColor="text1"/>
                <w:sz w:val="22"/>
                <w:szCs w:val="22"/>
              </w:rPr>
              <w:t xml:space="preserve"> Criterio Reiterado 07/19</w:t>
            </w:r>
          </w:p>
        </w:tc>
      </w:tr>
    </w:tbl>
    <w:p w14:paraId="24A64EFA" w14:textId="77777777" w:rsidR="0078043E" w:rsidRPr="00624ACF" w:rsidRDefault="00054A24" w:rsidP="0078043E">
      <w:pPr>
        <w:pStyle w:val="Prrafodelista"/>
        <w:tabs>
          <w:tab w:val="left" w:pos="426"/>
        </w:tabs>
        <w:spacing w:line="276" w:lineRule="auto"/>
        <w:ind w:right="567"/>
        <w:jc w:val="both"/>
        <w:rPr>
          <w:rFonts w:ascii="Palatino Linotype" w:hAnsi="Palatino Linotype"/>
          <w:b/>
          <w:i/>
          <w:iCs/>
          <w:color w:val="000000" w:themeColor="text1"/>
          <w:sz w:val="22"/>
          <w:szCs w:val="22"/>
        </w:rPr>
      </w:pPr>
      <w:hyperlink r:id="rId8" w:history="1">
        <w:r w:rsidR="0078043E" w:rsidRPr="00624ACF">
          <w:rPr>
            <w:rStyle w:val="Hipervnculo"/>
            <w:rFonts w:ascii="Palatino Linotype" w:hAnsi="Palatino Linotype"/>
            <w:b/>
            <w:i/>
            <w:iCs/>
            <w:sz w:val="22"/>
            <w:szCs w:val="22"/>
          </w:rPr>
          <w:t>https://legislacion.edomex.gob.mx/sites/legislacion.edomex.gob.mx/files/files/pdf/gct/2019/dic181.pdf</w:t>
        </w:r>
      </w:hyperlink>
    </w:p>
    <w:p w14:paraId="1B308026"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2EB0F58B"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Ahora bien, respecto de las nuevas manifestaciones de la autoridad responsable para clasificar la información deseo señalar que la misma, invoca como motivo fundamental lo establecido en los artículos 113 fracción X de la Ley General de Transparencia y Acceso a la Información Pública; 140 fracción X de la Ley de Transparencia y Acceso a la Información Pública del Estado de México y Municipios; y el numeral Vigésimo Noveno de los Lineamientos Generales en Materia de Clasificación y Desclasificación de la información, así como para la Elaboración de Versiones Públicas, en virtud de que de hacerse pública la información antes referida podría ocasionar un perjuicio a los derechos del debido proceso llevado a cabo en los procedimientos de investigación que no hayan quedado firmes sustanciados por la Unidad de Asuntos Internos, tal y como se evidencia de la siguiente transcripción criptográfica:</w:t>
      </w:r>
    </w:p>
    <w:p w14:paraId="55C890C3"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noProof/>
          <w:color w:val="000000" w:themeColor="text1"/>
          <w:sz w:val="22"/>
          <w:szCs w:val="22"/>
          <w:lang w:eastAsia="es-MX"/>
        </w:rPr>
        <w:drawing>
          <wp:inline distT="0" distB="0" distL="0" distR="0" wp14:anchorId="7E298C7C" wp14:editId="1C51F79A">
            <wp:extent cx="4853263" cy="2274967"/>
            <wp:effectExtent l="0" t="0" r="508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rotWithShape="1">
                    <a:blip r:embed="rId9"/>
                    <a:srcRect l="23625" t="18827" r="24235" b="37719"/>
                    <a:stretch/>
                  </pic:blipFill>
                  <pic:spPr bwMode="auto">
                    <a:xfrm>
                      <a:off x="0" y="0"/>
                      <a:ext cx="4880363" cy="2287670"/>
                    </a:xfrm>
                    <a:prstGeom prst="rect">
                      <a:avLst/>
                    </a:prstGeom>
                    <a:ln>
                      <a:noFill/>
                    </a:ln>
                    <a:extLst>
                      <a:ext uri="{53640926-AAD7-44D8-BBD7-CCE9431645EC}">
                        <a14:shadowObscured xmlns:a14="http://schemas.microsoft.com/office/drawing/2010/main"/>
                      </a:ext>
                    </a:extLst>
                  </pic:spPr>
                </pic:pic>
              </a:graphicData>
            </a:graphic>
          </wp:inline>
        </w:drawing>
      </w:r>
    </w:p>
    <w:p w14:paraId="0A667CAF"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18C9F202"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Al respecto, este párrafo en particular me deja en total estado de indefensión, toda vez que es violatorio de garantías mínimas establecidas en los artículos 1, 14 y 16 de la Constitución Política de los Estados Unidos Mexicanos, en razón de que no se sabe si la clasificación de dicha información es para evitar el perjuicio en el </w:t>
      </w:r>
      <w:r w:rsidRPr="00624ACF">
        <w:rPr>
          <w:rFonts w:ascii="Palatino Linotype" w:hAnsi="Palatino Linotype"/>
          <w:b/>
          <w:bCs/>
          <w:i/>
          <w:iCs/>
          <w:color w:val="000000" w:themeColor="text1"/>
          <w:sz w:val="22"/>
          <w:szCs w:val="22"/>
        </w:rPr>
        <w:t xml:space="preserve">PROCESO </w:t>
      </w:r>
      <w:r w:rsidRPr="00624ACF">
        <w:rPr>
          <w:rFonts w:ascii="Palatino Linotype" w:hAnsi="Palatino Linotype"/>
          <w:i/>
          <w:iCs/>
          <w:color w:val="000000" w:themeColor="text1"/>
          <w:sz w:val="22"/>
          <w:szCs w:val="22"/>
        </w:rPr>
        <w:t xml:space="preserve">o el </w:t>
      </w:r>
      <w:r w:rsidRPr="00624ACF">
        <w:rPr>
          <w:rFonts w:ascii="Palatino Linotype" w:hAnsi="Palatino Linotype"/>
          <w:b/>
          <w:bCs/>
          <w:i/>
          <w:iCs/>
          <w:color w:val="000000" w:themeColor="text1"/>
          <w:sz w:val="22"/>
          <w:szCs w:val="22"/>
        </w:rPr>
        <w:lastRenderedPageBreak/>
        <w:t>PROCEDIMIENTO</w:t>
      </w:r>
      <w:r w:rsidRPr="00624ACF">
        <w:rPr>
          <w:rFonts w:ascii="Palatino Linotype" w:hAnsi="Palatino Linotype"/>
          <w:i/>
          <w:iCs/>
          <w:color w:val="000000" w:themeColor="text1"/>
          <w:sz w:val="22"/>
          <w:szCs w:val="22"/>
        </w:rPr>
        <w:t xml:space="preserve">, </w:t>
      </w:r>
      <w:r w:rsidRPr="00624ACF">
        <w:rPr>
          <w:rFonts w:ascii="Palatino Linotype" w:hAnsi="Palatino Linotype"/>
          <w:b/>
          <w:bCs/>
          <w:i/>
          <w:iCs/>
          <w:color w:val="000000" w:themeColor="text1"/>
          <w:sz w:val="22"/>
          <w:szCs w:val="22"/>
          <w:u w:val="single"/>
        </w:rPr>
        <w:t>pues son dos conceptos diferentes</w:t>
      </w:r>
      <w:r w:rsidRPr="00624ACF">
        <w:rPr>
          <w:rFonts w:ascii="Palatino Linotype" w:hAnsi="Palatino Linotype"/>
          <w:i/>
          <w:iCs/>
          <w:color w:val="000000" w:themeColor="text1"/>
          <w:sz w:val="22"/>
          <w:szCs w:val="22"/>
        </w:rPr>
        <w:t>, además de lo anterior, no motiva su determinación, y su fundamentación es incorrecta, pues esta es contradictoria con lo señalado en el apartado denominado “PRUEBA DE DAÑO” en la parte denominada “RIESGO REAL”, en donde señaló entre otras cosas lo siguiente:</w:t>
      </w:r>
    </w:p>
    <w:p w14:paraId="1656058E"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noProof/>
          <w:color w:val="000000" w:themeColor="text1"/>
          <w:sz w:val="22"/>
          <w:szCs w:val="22"/>
          <w:lang w:eastAsia="es-MX"/>
        </w:rPr>
        <w:drawing>
          <wp:inline distT="0" distB="0" distL="0" distR="0" wp14:anchorId="51EDF559" wp14:editId="4DB18CB1">
            <wp:extent cx="4854374" cy="2163090"/>
            <wp:effectExtent l="0" t="0" r="3810" b="8890"/>
            <wp:docPr id="6" name="Imagen 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10;&#10;Descripción generada automáticamente"/>
                    <pic:cNvPicPr/>
                  </pic:nvPicPr>
                  <pic:blipFill rotWithShape="1">
                    <a:blip r:embed="rId10"/>
                    <a:srcRect l="23625" t="28485" r="23965" b="29995"/>
                    <a:stretch/>
                  </pic:blipFill>
                  <pic:spPr bwMode="auto">
                    <a:xfrm>
                      <a:off x="0" y="0"/>
                      <a:ext cx="4881166" cy="2175029"/>
                    </a:xfrm>
                    <a:prstGeom prst="rect">
                      <a:avLst/>
                    </a:prstGeom>
                    <a:ln>
                      <a:noFill/>
                    </a:ln>
                    <a:extLst>
                      <a:ext uri="{53640926-AAD7-44D8-BBD7-CCE9431645EC}">
                        <a14:shadowObscured xmlns:a14="http://schemas.microsoft.com/office/drawing/2010/main"/>
                      </a:ext>
                    </a:extLst>
                  </pic:spPr>
                </pic:pic>
              </a:graphicData>
            </a:graphic>
          </wp:inline>
        </w:drawing>
      </w:r>
    </w:p>
    <w:p w14:paraId="7D1FCF5B"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862CDCB"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Como observamos de lo anterior, se llevan a cabo manifestaciones contrarias a las primeras pues la autoridad señala “…puede afectar la oportunidad de que se lleve a cabo alguna de las garantías del debido proceso, </w:t>
      </w:r>
      <w:r w:rsidRPr="00624ACF">
        <w:rPr>
          <w:rFonts w:ascii="Palatino Linotype" w:hAnsi="Palatino Linotype"/>
          <w:b/>
          <w:bCs/>
          <w:i/>
          <w:iCs/>
          <w:color w:val="000000" w:themeColor="text1"/>
          <w:sz w:val="22"/>
          <w:szCs w:val="22"/>
          <w:u w:val="single"/>
        </w:rPr>
        <w:t>tales como la presunción de inocencia, el derecho a tener un juicio justo, así como el derecho de ser informado</w:t>
      </w:r>
      <w:r w:rsidRPr="00624ACF">
        <w:rPr>
          <w:rFonts w:ascii="Palatino Linotype" w:hAnsi="Palatino Linotype"/>
          <w:i/>
          <w:iCs/>
          <w:color w:val="000000" w:themeColor="text1"/>
          <w:sz w:val="22"/>
          <w:szCs w:val="22"/>
        </w:rPr>
        <w:t xml:space="preserve"> de la responsabilidad administrativa por la cual se le investiga;…” (</w:t>
      </w:r>
      <w:proofErr w:type="gramStart"/>
      <w:r w:rsidRPr="00624ACF">
        <w:rPr>
          <w:rFonts w:ascii="Palatino Linotype" w:hAnsi="Palatino Linotype"/>
          <w:i/>
          <w:iCs/>
          <w:color w:val="000000" w:themeColor="text1"/>
          <w:sz w:val="22"/>
          <w:szCs w:val="22"/>
        </w:rPr>
        <w:t>sic</w:t>
      </w:r>
      <w:proofErr w:type="gramEnd"/>
      <w:r w:rsidRPr="00624ACF">
        <w:rPr>
          <w:rFonts w:ascii="Palatino Linotype" w:hAnsi="Palatino Linotype"/>
          <w:i/>
          <w:iCs/>
          <w:color w:val="000000" w:themeColor="text1"/>
          <w:sz w:val="22"/>
          <w:szCs w:val="22"/>
        </w:rPr>
        <w:t>.) (</w:t>
      </w:r>
      <w:proofErr w:type="gramStart"/>
      <w:r w:rsidRPr="00624ACF">
        <w:rPr>
          <w:rFonts w:ascii="Palatino Linotype" w:hAnsi="Palatino Linotype"/>
          <w:i/>
          <w:iCs/>
          <w:color w:val="000000" w:themeColor="text1"/>
          <w:sz w:val="22"/>
          <w:szCs w:val="22"/>
        </w:rPr>
        <w:t>lo</w:t>
      </w:r>
      <w:proofErr w:type="gramEnd"/>
      <w:r w:rsidRPr="00624ACF">
        <w:rPr>
          <w:rFonts w:ascii="Palatino Linotype" w:hAnsi="Palatino Linotype"/>
          <w:i/>
          <w:iCs/>
          <w:color w:val="000000" w:themeColor="text1"/>
          <w:sz w:val="22"/>
          <w:szCs w:val="22"/>
        </w:rPr>
        <w:t xml:space="preserve"> que contiene énfasis es propio.) </w:t>
      </w:r>
      <w:proofErr w:type="gramStart"/>
      <w:r w:rsidRPr="00624ACF">
        <w:rPr>
          <w:rFonts w:ascii="Palatino Linotype" w:hAnsi="Palatino Linotype"/>
          <w:i/>
          <w:iCs/>
          <w:color w:val="000000" w:themeColor="text1"/>
          <w:sz w:val="22"/>
          <w:szCs w:val="22"/>
        </w:rPr>
        <w:t>manifestaciones</w:t>
      </w:r>
      <w:proofErr w:type="gramEnd"/>
      <w:r w:rsidRPr="00624ACF">
        <w:rPr>
          <w:rFonts w:ascii="Palatino Linotype" w:hAnsi="Palatino Linotype"/>
          <w:i/>
          <w:iCs/>
          <w:color w:val="000000" w:themeColor="text1"/>
          <w:sz w:val="22"/>
          <w:szCs w:val="22"/>
        </w:rPr>
        <w:t xml:space="preserve"> que </w:t>
      </w:r>
      <w:r w:rsidRPr="00624ACF">
        <w:rPr>
          <w:rFonts w:ascii="Palatino Linotype" w:hAnsi="Palatino Linotype"/>
          <w:b/>
          <w:bCs/>
          <w:i/>
          <w:iCs/>
          <w:color w:val="000000" w:themeColor="text1"/>
          <w:sz w:val="22"/>
          <w:szCs w:val="22"/>
        </w:rPr>
        <w:t>NADA TIENEN QUE VER CON EL DEBIDO PROCESO</w:t>
      </w:r>
      <w:r w:rsidRPr="00624ACF">
        <w:rPr>
          <w:rFonts w:ascii="Palatino Linotype" w:hAnsi="Palatino Linotype"/>
          <w:i/>
          <w:iCs/>
          <w:color w:val="000000" w:themeColor="text1"/>
          <w:sz w:val="22"/>
          <w:szCs w:val="22"/>
        </w:rPr>
        <w:t>.</w:t>
      </w:r>
    </w:p>
    <w:p w14:paraId="117DC8C7"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218C4094"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r w:rsidRPr="00624ACF">
        <w:rPr>
          <w:rFonts w:ascii="Palatino Linotype" w:hAnsi="Palatino Linotype"/>
          <w:i/>
          <w:iCs/>
          <w:color w:val="000000" w:themeColor="text1"/>
          <w:sz w:val="22"/>
          <w:szCs w:val="22"/>
        </w:rPr>
        <w:t xml:space="preserve">Además de lo anterior, en este apartado denominado “RIESGO REAL” la autoridad señaló que </w:t>
      </w:r>
      <w:r w:rsidRPr="00624ACF">
        <w:rPr>
          <w:rFonts w:ascii="Palatino Linotype" w:hAnsi="Palatino Linotype"/>
          <w:b/>
          <w:bCs/>
          <w:i/>
          <w:iCs/>
          <w:color w:val="000000" w:themeColor="text1"/>
          <w:sz w:val="22"/>
          <w:szCs w:val="22"/>
          <w:u w:val="single"/>
        </w:rPr>
        <w:t>“… PROPORCIONAR EL PLAN DE TRABAJO EN EL QUE SE PUEDEN INCLUIR LAS ACCIONES Y ESTRATEGIAS DE INVESTIGACIÓN Y LAS TÉCNICAS DE INSPECCIÓN Y SUPERVISIÓN; LA COORDINACIÓN Y REALIZACIÓN DE ACCIONES ESPECÍFICAS, ASÍ COMO DE USUARIOS SIMULADOS QUE ASEGUREN LA OBTENCIÓN Y ANÁLISIS DE INFORMACIÓN EN EL DESARROLLO DE LAS INVESTIGACIONES…”</w:t>
      </w:r>
      <w:r w:rsidRPr="00624ACF">
        <w:rPr>
          <w:rFonts w:ascii="Palatino Linotype" w:hAnsi="Palatino Linotype"/>
          <w:i/>
          <w:iCs/>
          <w:color w:val="000000" w:themeColor="text1"/>
          <w:sz w:val="22"/>
          <w:szCs w:val="22"/>
        </w:rPr>
        <w:t xml:space="preserve"> observamos, que no estamos ni ante el debido proceso y mucho menos ante un procedimiento; es más, al ser un </w:t>
      </w:r>
      <w:r w:rsidRPr="00624ACF">
        <w:rPr>
          <w:rFonts w:ascii="Palatino Linotype" w:hAnsi="Palatino Linotype"/>
          <w:b/>
          <w:bCs/>
          <w:i/>
          <w:iCs/>
          <w:color w:val="000000" w:themeColor="text1"/>
          <w:sz w:val="22"/>
          <w:szCs w:val="22"/>
        </w:rPr>
        <w:t xml:space="preserve">PLAN DE TRABAJO, </w:t>
      </w:r>
      <w:r w:rsidRPr="00624ACF">
        <w:rPr>
          <w:rFonts w:ascii="Palatino Linotype" w:hAnsi="Palatino Linotype"/>
          <w:b/>
          <w:bCs/>
          <w:i/>
          <w:iCs/>
          <w:color w:val="000000" w:themeColor="text1"/>
          <w:sz w:val="22"/>
          <w:szCs w:val="22"/>
          <w:u w:val="single"/>
        </w:rPr>
        <w:t>el mismo debe ser de orden público y de interés general</w:t>
      </w:r>
      <w:r w:rsidRPr="00624ACF">
        <w:rPr>
          <w:rFonts w:ascii="Palatino Linotype" w:hAnsi="Palatino Linotype"/>
          <w:b/>
          <w:bCs/>
          <w:i/>
          <w:iCs/>
          <w:color w:val="000000" w:themeColor="text1"/>
          <w:sz w:val="22"/>
          <w:szCs w:val="22"/>
        </w:rPr>
        <w:t xml:space="preserve">, pues en él debe de contemplarse las guías o protocolos expedidos por la autoridad competente en la materia que respondan para la cristalización escrita de sus CRITERIOS DE PRUDENCIA, sin que </w:t>
      </w:r>
      <w:r w:rsidRPr="00624ACF">
        <w:rPr>
          <w:rFonts w:ascii="Palatino Linotype" w:hAnsi="Palatino Linotype"/>
          <w:b/>
          <w:bCs/>
          <w:i/>
          <w:iCs/>
          <w:color w:val="000000" w:themeColor="text1"/>
          <w:sz w:val="22"/>
          <w:szCs w:val="22"/>
        </w:rPr>
        <w:lastRenderedPageBreak/>
        <w:t xml:space="preserve">constituyan verdades absolutas, universales, únicas y obligatorias en su cumplimiento, pero que permitan habitualmente definir lo que se considera en ese estado, práctica adecuada y prudente ante una situación concreta; </w:t>
      </w:r>
      <w:r w:rsidRPr="00624ACF">
        <w:rPr>
          <w:rFonts w:ascii="Palatino Linotype" w:hAnsi="Palatino Linotype"/>
          <w:i/>
          <w:iCs/>
          <w:color w:val="000000" w:themeColor="text1"/>
          <w:sz w:val="22"/>
          <w:szCs w:val="22"/>
        </w:rPr>
        <w:t xml:space="preserve">luego entonces, de nueva cuenta la </w:t>
      </w:r>
      <w:r w:rsidRPr="00624ACF">
        <w:rPr>
          <w:rFonts w:ascii="Palatino Linotype" w:hAnsi="Palatino Linotype"/>
          <w:b/>
          <w:bCs/>
          <w:i/>
          <w:iCs/>
          <w:color w:val="000000" w:themeColor="text1"/>
          <w:sz w:val="22"/>
          <w:szCs w:val="22"/>
        </w:rPr>
        <w:t>AUTORIDAD</w:t>
      </w:r>
      <w:r w:rsidRPr="00624ACF">
        <w:rPr>
          <w:rFonts w:ascii="Palatino Linotype" w:hAnsi="Palatino Linotype"/>
          <w:i/>
          <w:iCs/>
          <w:color w:val="000000" w:themeColor="text1"/>
          <w:sz w:val="22"/>
          <w:szCs w:val="22"/>
        </w:rPr>
        <w:t xml:space="preserve"> es contradictoria con sus criterios de clasificación, es decir, clasifica la información como reservada por contener</w:t>
      </w:r>
      <w:r w:rsidRPr="00624ACF">
        <w:rPr>
          <w:rFonts w:ascii="Palatino Linotype" w:hAnsi="Palatino Linotype"/>
          <w:b/>
          <w:bCs/>
          <w:i/>
          <w:iCs/>
          <w:color w:val="000000" w:themeColor="text1"/>
          <w:sz w:val="22"/>
          <w:szCs w:val="22"/>
          <w:u w:val="single"/>
        </w:rPr>
        <w:t xml:space="preserve"> PLANES DE TRABAJO o POR FALTAS AL DEBIDO PROCESO</w:t>
      </w:r>
      <w:r w:rsidRPr="00624ACF">
        <w:rPr>
          <w:rFonts w:ascii="Palatino Linotype" w:hAnsi="Palatino Linotype"/>
          <w:b/>
          <w:bCs/>
          <w:i/>
          <w:iCs/>
          <w:color w:val="000000" w:themeColor="text1"/>
          <w:sz w:val="22"/>
          <w:szCs w:val="22"/>
        </w:rPr>
        <w:t xml:space="preserve"> PUES SON CONCEPTOS DIFERENTES, </w:t>
      </w:r>
      <w:r w:rsidRPr="00624ACF">
        <w:rPr>
          <w:rFonts w:ascii="Palatino Linotype" w:hAnsi="Palatino Linotype"/>
          <w:i/>
          <w:iCs/>
          <w:color w:val="000000" w:themeColor="text1"/>
          <w:sz w:val="22"/>
          <w:szCs w:val="22"/>
        </w:rPr>
        <w:t>además de lo anterior, los PLANES DE TRABAJO SON DE ORDEN PÚBLICO Y DE INTERÉS GENERAL y deben publicarse en la Gaceta de Gobierno.</w:t>
      </w:r>
      <w:r w:rsidRPr="00624ACF">
        <w:rPr>
          <w:rFonts w:ascii="Palatino Linotype" w:hAnsi="Palatino Linotype"/>
          <w:b/>
          <w:bCs/>
          <w:i/>
          <w:iCs/>
          <w:color w:val="000000" w:themeColor="text1"/>
          <w:sz w:val="22"/>
          <w:szCs w:val="22"/>
        </w:rPr>
        <w:t xml:space="preserve"> </w:t>
      </w:r>
    </w:p>
    <w:p w14:paraId="1C962FC8"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p>
    <w:p w14:paraId="48B3C01B"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Por lo que una vez resaltadas las contrariedades hechas valer por la autoridad, procederé a realizar lo que el Comité de Transparencia y el Titular de la Unidad de Asuntos Internos, no realizó, que es definir en palabras simples, ¿Qué es el debido proceso?, ¿Qué es el Proceso Administrativo?, ¿Qué es el Procedimiento Administrativo? Y lo más importante ¿Cuándo inicia el procedimiento administrativo?, en palabras simples, deseando señalar, que la Ley de Seguridad del Estado de México, es una Ley Administrativa y desde este ámbito se aplicarán los conceptos.</w:t>
      </w:r>
    </w:p>
    <w:p w14:paraId="32DDAB58"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7D031925"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¿Qué es el debido proceso?</w:t>
      </w:r>
    </w:p>
    <w:p w14:paraId="7AE899E6"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864F754"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Es el derecho que tiene todo ciudadano previo al acto privativo, y al respecto, existe jurisprudencia que señala lo siguiente:</w:t>
      </w:r>
    </w:p>
    <w:p w14:paraId="64712535"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63AD5E55"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DERECHO AL DEBIDO PROCESO. SU CONTENIDO</w:t>
      </w:r>
      <w:r w:rsidRPr="00624ACF">
        <w:rPr>
          <w:rFonts w:ascii="Palatino Linotype" w:hAnsi="Palatino Linotype"/>
          <w:i/>
          <w:iCs/>
          <w:color w:val="000000" w:themeColor="text1"/>
          <w:sz w:val="22"/>
          <w:szCs w:val="22"/>
        </w:rPr>
        <w:t xml:space="preserve">. 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w:t>
      </w:r>
      <w:r w:rsidRPr="00624ACF">
        <w:rPr>
          <w:rFonts w:ascii="Palatino Linotype" w:hAnsi="Palatino Linotype"/>
          <w:b/>
          <w:bCs/>
          <w:i/>
          <w:iCs/>
          <w:color w:val="000000" w:themeColor="text1"/>
          <w:sz w:val="22"/>
          <w:szCs w:val="22"/>
          <w:u w:val="single"/>
        </w:rPr>
        <w:t>son las que esta Suprema Corte de Justicia de la Nación ha identificado como formalidades esenciales del procedimiento</w:t>
      </w:r>
      <w:r w:rsidRPr="00624ACF">
        <w:rPr>
          <w:rFonts w:ascii="Palatino Linotype" w:hAnsi="Palatino Linotype"/>
          <w:i/>
          <w:iCs/>
          <w:color w:val="000000" w:themeColor="text1"/>
          <w:sz w:val="22"/>
          <w:szCs w:val="22"/>
        </w:rPr>
        <w:t xml:space="preserve">, cuyo conjunto integra la “garantía de audiencia”, las cuales permiten que los gobernados ejerzan sus defensas antes de que las autoridades modifiquen su esfera jurídica definitivamente. </w:t>
      </w:r>
    </w:p>
    <w:p w14:paraId="0D08DB4B"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p>
    <w:p w14:paraId="27D17BC1"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 xml:space="preserve">FORMALIDADES ESENCIALES DEL PROCEDIMIENTO. SON LAS QUE GARANTIZAN UNA ADECUADA Y OPORTUNA DEFENSA PREVIA AL </w:t>
      </w:r>
      <w:r w:rsidRPr="00624ACF">
        <w:rPr>
          <w:rFonts w:ascii="Palatino Linotype" w:hAnsi="Palatino Linotype"/>
          <w:b/>
          <w:bCs/>
          <w:i/>
          <w:iCs/>
          <w:color w:val="000000" w:themeColor="text1"/>
          <w:sz w:val="22"/>
          <w:szCs w:val="22"/>
        </w:rPr>
        <w:lastRenderedPageBreak/>
        <w:t>ACTO PRIVATIVO</w:t>
      </w:r>
      <w:r w:rsidRPr="00624ACF">
        <w:rPr>
          <w:rFonts w:ascii="Palatino Linotype" w:hAnsi="Palatino Linotype"/>
          <w:i/>
          <w:iCs/>
          <w:color w:val="000000" w:themeColor="text1"/>
          <w:sz w:val="22"/>
          <w:szCs w:val="22"/>
        </w:rPr>
        <w:t>,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14:paraId="2A8554BC"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8107DEC"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Como observamos de los criterios antes citados, el debido proceso y/o formalidades esenciales del procedimiento, derivan de una interpretación armónica y sistemática de lo señalado en los artículos 14 y 16 de la Constitución Política de los Estados Unidos Mexicanos, mismos que son:</w:t>
      </w:r>
    </w:p>
    <w:p w14:paraId="0BBBA778"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39146D2D"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(i) la notificación del inicio del procedimiento; </w:t>
      </w:r>
    </w:p>
    <w:p w14:paraId="5FAD353B"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(ii) la oportunidad de ofrecer y desahogar las pruebas en que se finque la defensa; </w:t>
      </w:r>
    </w:p>
    <w:p w14:paraId="12E00921"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(iii) la oportunidad de alegar; y, </w:t>
      </w:r>
    </w:p>
    <w:p w14:paraId="37CAF1A8"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(iv) una resolución que dirima las cuestiones debatidas y cuya impugnación ha sido considerada por esta Primera Sala como parte de esta formalidad.</w:t>
      </w:r>
    </w:p>
    <w:p w14:paraId="7FA59C7C"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F7134D0"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Como observamos de lo anterior, el Comité de Transparencia y el Titular de la Unidad de Asuntos Internos, en esta nueva clasificación de información, </w:t>
      </w:r>
      <w:r w:rsidRPr="00624ACF">
        <w:rPr>
          <w:rFonts w:ascii="Palatino Linotype" w:hAnsi="Palatino Linotype"/>
          <w:b/>
          <w:bCs/>
          <w:i/>
          <w:iCs/>
          <w:color w:val="000000" w:themeColor="text1"/>
          <w:sz w:val="22"/>
          <w:szCs w:val="22"/>
          <w:u w:val="single"/>
        </w:rPr>
        <w:t xml:space="preserve">no señalan de manera clara y precisa cual es la violación aplicable al caso concreto, respecto del </w:t>
      </w:r>
      <w:r w:rsidRPr="00624ACF">
        <w:rPr>
          <w:rFonts w:ascii="Palatino Linotype" w:hAnsi="Palatino Linotype"/>
          <w:b/>
          <w:bCs/>
          <w:i/>
          <w:iCs/>
          <w:color w:val="000000" w:themeColor="text1"/>
          <w:sz w:val="22"/>
          <w:szCs w:val="22"/>
          <w:u w:val="single"/>
        </w:rPr>
        <w:lastRenderedPageBreak/>
        <w:t>DEBIDO PROCESO,</w:t>
      </w:r>
      <w:r w:rsidRPr="00624ACF">
        <w:rPr>
          <w:rFonts w:ascii="Palatino Linotype" w:hAnsi="Palatino Linotype"/>
          <w:i/>
          <w:iCs/>
          <w:color w:val="000000" w:themeColor="text1"/>
          <w:sz w:val="22"/>
          <w:szCs w:val="22"/>
        </w:rPr>
        <w:t xml:space="preserve"> POR DEMÁS DEMUESTRAN SU DESCONOCIMIENTO, FALTA DE LEGALIDAD, ABUSO DE AUTORIDAD Y DESESPERACIÓN POR CLASIFICAR UNA INFORMACIÓN QUE A TODAS LUCES ES PÚBLICA.</w:t>
      </w:r>
    </w:p>
    <w:p w14:paraId="0503DB78"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0073E26"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r w:rsidRPr="00624ACF">
        <w:rPr>
          <w:rFonts w:ascii="Palatino Linotype" w:hAnsi="Palatino Linotype"/>
          <w:i/>
          <w:iCs/>
          <w:color w:val="000000" w:themeColor="text1"/>
          <w:sz w:val="22"/>
          <w:szCs w:val="22"/>
        </w:rPr>
        <w:t xml:space="preserve">En conclusión, el Sujeto Obligado, </w:t>
      </w:r>
      <w:r w:rsidRPr="00624ACF">
        <w:rPr>
          <w:rFonts w:ascii="Palatino Linotype" w:hAnsi="Palatino Linotype"/>
          <w:b/>
          <w:bCs/>
          <w:i/>
          <w:iCs/>
          <w:color w:val="000000" w:themeColor="text1"/>
          <w:sz w:val="22"/>
          <w:szCs w:val="22"/>
        </w:rPr>
        <w:t xml:space="preserve">no señala de manera clara y precisa la violación al DEBIDO PROCESO APLICABLE AL CASO CONCRETO, ES DECIR, SU PRUEBA DE DAÑO, NO FUE DEMOSTRADA Y APLICADA DE MANERA CLARA Y PRECISA, POR LO QUE LA CLASIFICACIÓN RESULTA SER INÚTIL E ILEGAL, y sin embargo, si queda acreditado la violación a mis derechos al negarme la información solicitada pues me causa perjuicio a los derechos que consagra nuestra carta magna en materia de acceso a la información pública. </w:t>
      </w:r>
    </w:p>
    <w:p w14:paraId="30E7EA15"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C0BFCE6"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r w:rsidRPr="00624ACF">
        <w:rPr>
          <w:rFonts w:ascii="Palatino Linotype" w:hAnsi="Palatino Linotype"/>
          <w:i/>
          <w:iCs/>
          <w:color w:val="000000" w:themeColor="text1"/>
          <w:sz w:val="22"/>
          <w:szCs w:val="22"/>
        </w:rPr>
        <w:t xml:space="preserve">Ahora bien, ¿Qué es el </w:t>
      </w:r>
      <w:r w:rsidRPr="00624ACF">
        <w:rPr>
          <w:rFonts w:ascii="Palatino Linotype" w:hAnsi="Palatino Linotype"/>
          <w:b/>
          <w:bCs/>
          <w:i/>
          <w:iCs/>
          <w:color w:val="000000" w:themeColor="text1"/>
          <w:sz w:val="22"/>
          <w:szCs w:val="22"/>
        </w:rPr>
        <w:t>PROCESO Y EL PROCEDIMIENTO ADMINISTRATIVO?</w:t>
      </w:r>
    </w:p>
    <w:p w14:paraId="02F1DFCC"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p>
    <w:p w14:paraId="1423393A"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Para responder esta simple pregunta, es necesario, traer a colación lo establecido en las fracciones IX y X del artículo 1 del Código Administrativo del Estado de México, mismos que señalan:</w:t>
      </w:r>
    </w:p>
    <w:p w14:paraId="26572EAE"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79A69410"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CÓDIGO ADMINISTRATIVO DEL ESTADO DE MÉXICO.</w:t>
      </w:r>
    </w:p>
    <w:p w14:paraId="068B1543"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20BB711A"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Artículo 1.-</w:t>
      </w:r>
      <w:r w:rsidRPr="00624ACF">
        <w:rPr>
          <w:rFonts w:ascii="Palatino Linotype" w:hAnsi="Palatino Linotype"/>
          <w:i/>
          <w:iCs/>
          <w:color w:val="000000" w:themeColor="text1"/>
          <w:sz w:val="22"/>
          <w:szCs w:val="22"/>
        </w:rPr>
        <w:t xml:space="preserve"> Las disposiciones de este Código son de orden público e interés general y </w:t>
      </w:r>
      <w:r w:rsidRPr="00624ACF">
        <w:rPr>
          <w:rFonts w:ascii="Palatino Linotype" w:hAnsi="Palatino Linotype"/>
          <w:b/>
          <w:bCs/>
          <w:i/>
          <w:iCs/>
          <w:color w:val="000000" w:themeColor="text1"/>
          <w:sz w:val="22"/>
          <w:szCs w:val="22"/>
          <w:u w:val="single"/>
        </w:rPr>
        <w:t>tienen por objeto regular el acto y el procedimiento administrativo ante las autoridades del Poder Ejecutivo del Estado, los municipios y los organismos descentralizados de carácter estatal y municipal con funciones de autoridad</w:t>
      </w:r>
      <w:r w:rsidRPr="00624ACF">
        <w:rPr>
          <w:rFonts w:ascii="Palatino Linotype" w:hAnsi="Palatino Linotype"/>
          <w:i/>
          <w:iCs/>
          <w:color w:val="000000" w:themeColor="text1"/>
          <w:sz w:val="22"/>
          <w:szCs w:val="22"/>
        </w:rPr>
        <w:t xml:space="preserve">, así como el proceso administrativo ante el Tribunal de lo Contencioso Administrativo del Estado de México. </w:t>
      </w:r>
    </w:p>
    <w:p w14:paraId="51EEAA0B"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p>
    <w:p w14:paraId="4BFE394B"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Salvo disposición expresa en contrario, el presente ordenamiento no es aplicable a los integrantes de la Legislatura del Estado de México, a la Universidad Autónoma del Estado de México, a la Comisión de Derechos Humanos del Estado de México, a la Comisión de Arbitraje Médico del Estado de México, a los consejos tutelares de menores, a las materias laboral y electoral, ni a los conflictos suscitados entre los integrantes de los ayuntamientos, y por la elección de las autoridades auxiliares municipales. </w:t>
      </w:r>
    </w:p>
    <w:p w14:paraId="72E8CF28"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p>
    <w:p w14:paraId="6860145C"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Para efectos de este Código, se entiende por:</w:t>
      </w:r>
    </w:p>
    <w:p w14:paraId="48F9FDBD"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p>
    <w:p w14:paraId="39882037" w14:textId="77777777" w:rsidR="0078043E" w:rsidRPr="00624ACF" w:rsidRDefault="0078043E" w:rsidP="0078043E">
      <w:pPr>
        <w:pStyle w:val="Prrafodelista"/>
        <w:tabs>
          <w:tab w:val="left" w:pos="426"/>
        </w:tabs>
        <w:spacing w:line="276" w:lineRule="auto"/>
        <w:ind w:right="567"/>
        <w:jc w:val="both"/>
        <w:rPr>
          <w:rFonts w:ascii="Palatino Linotype" w:hAnsi="Palatino Linotype"/>
          <w:b/>
          <w:bCs/>
          <w:i/>
          <w:iCs/>
          <w:color w:val="000000" w:themeColor="text1"/>
          <w:sz w:val="22"/>
          <w:szCs w:val="22"/>
          <w:u w:val="single"/>
        </w:rPr>
      </w:pPr>
      <w:r w:rsidRPr="00624ACF">
        <w:rPr>
          <w:rFonts w:ascii="Palatino Linotype" w:hAnsi="Palatino Linotype"/>
          <w:b/>
          <w:bCs/>
          <w:i/>
          <w:iCs/>
          <w:color w:val="000000" w:themeColor="text1"/>
          <w:sz w:val="22"/>
          <w:szCs w:val="22"/>
          <w:u w:val="single"/>
        </w:rPr>
        <w:t xml:space="preserve">IX. Procedimiento administrativo: Serie de trámites que realizan las dependencias y organismos descentralizados de la administración pública estatal o municipal, con la finalidad de producir y, en su caso, ejecutar un acto administrativo; </w:t>
      </w:r>
    </w:p>
    <w:p w14:paraId="3648AEAE" w14:textId="77777777" w:rsidR="0078043E" w:rsidRPr="00624ACF" w:rsidRDefault="0078043E" w:rsidP="0078043E">
      <w:pPr>
        <w:pStyle w:val="Prrafodelista"/>
        <w:tabs>
          <w:tab w:val="left" w:pos="426"/>
        </w:tabs>
        <w:spacing w:line="276" w:lineRule="auto"/>
        <w:ind w:right="567"/>
        <w:jc w:val="both"/>
        <w:rPr>
          <w:rFonts w:ascii="Palatino Linotype" w:hAnsi="Palatino Linotype"/>
          <w:b/>
          <w:bCs/>
          <w:i/>
          <w:iCs/>
          <w:color w:val="000000" w:themeColor="text1"/>
          <w:sz w:val="22"/>
          <w:szCs w:val="22"/>
          <w:u w:val="single"/>
        </w:rPr>
      </w:pPr>
      <w:r w:rsidRPr="00624ACF">
        <w:rPr>
          <w:rFonts w:ascii="Palatino Linotype" w:hAnsi="Palatino Linotype"/>
          <w:b/>
          <w:bCs/>
          <w:i/>
          <w:iCs/>
          <w:color w:val="000000" w:themeColor="text1"/>
          <w:sz w:val="22"/>
          <w:szCs w:val="22"/>
          <w:u w:val="single"/>
        </w:rPr>
        <w:t>X. Proceso administrativo: Serie de etapas del juicio contencioso administrativo, la acción popular, el recurso de revisión y el cumplimiento de sentencia;</w:t>
      </w:r>
    </w:p>
    <w:p w14:paraId="1D6214BE"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6C27418"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r w:rsidRPr="00624ACF">
        <w:rPr>
          <w:rFonts w:ascii="Palatino Linotype" w:hAnsi="Palatino Linotype"/>
          <w:i/>
          <w:iCs/>
          <w:color w:val="000000" w:themeColor="text1"/>
          <w:sz w:val="22"/>
          <w:szCs w:val="22"/>
        </w:rPr>
        <w:t xml:space="preserve">En conclusión, respecto de la clasificación del Sujeto Obligado, es clara, es decir, clasificó la información bajo el argumento de </w:t>
      </w:r>
      <w:r w:rsidRPr="00624ACF">
        <w:rPr>
          <w:rFonts w:ascii="Palatino Linotype" w:hAnsi="Palatino Linotype"/>
          <w:b/>
          <w:bCs/>
          <w:i/>
          <w:iCs/>
          <w:color w:val="000000" w:themeColor="text1"/>
          <w:sz w:val="22"/>
          <w:szCs w:val="22"/>
          <w:u w:val="single"/>
        </w:rPr>
        <w:t>OCASIONAR UN PERJUICIO A LOS DERECHOS DEL DEBIDO PROCESO LLEVADO A CABO EN LOS PROCEDIMIENTOS DE INVESTIGACIÓN,</w:t>
      </w:r>
      <w:r w:rsidRPr="00624ACF">
        <w:rPr>
          <w:rFonts w:ascii="Palatino Linotype" w:hAnsi="Palatino Linotype"/>
          <w:i/>
          <w:iCs/>
          <w:color w:val="000000" w:themeColor="text1"/>
          <w:sz w:val="22"/>
          <w:szCs w:val="22"/>
        </w:rPr>
        <w:t xml:space="preserve"> por lo que es evidente, </w:t>
      </w:r>
      <w:r w:rsidRPr="00624ACF">
        <w:rPr>
          <w:rFonts w:ascii="Palatino Linotype" w:hAnsi="Palatino Linotype"/>
          <w:b/>
          <w:bCs/>
          <w:i/>
          <w:iCs/>
          <w:color w:val="000000" w:themeColor="text1"/>
          <w:sz w:val="22"/>
          <w:szCs w:val="22"/>
        </w:rPr>
        <w:t>SU DESCONOCIMIENTO TOTAL EN MATERIA DE LEGALIDAD, NO ENTIENDE, NI SABE Y SÓLO DEMUESTRA SU DESCONOCIMIENTO DE LA NORMA Y SU ESTUPIDEZ RESPECTO DE LAS CUESTIONES DE LEGALIDAD.</w:t>
      </w:r>
    </w:p>
    <w:p w14:paraId="7CECA9F6"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p>
    <w:p w14:paraId="1E413C21"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Además de lo anterior, el inicio del procedimiento administrativo, </w:t>
      </w:r>
      <w:r w:rsidRPr="00624ACF">
        <w:rPr>
          <w:rFonts w:ascii="Palatino Linotype" w:hAnsi="Palatino Linotype"/>
          <w:b/>
          <w:bCs/>
          <w:i/>
          <w:iCs/>
          <w:color w:val="000000" w:themeColor="text1"/>
          <w:sz w:val="22"/>
          <w:szCs w:val="22"/>
        </w:rPr>
        <w:t xml:space="preserve">NO PUEDE SER SOLICITADO NI POR EL TITULAR y MUCHO MENOS POR LOS DIRECTIVOS DEL ORGANISMO PÚBLICO DESCENTRALIZADO DENOMINADO UNIDAD DE ASUNTOS INTERNOS, </w:t>
      </w:r>
      <w:r w:rsidRPr="00624ACF">
        <w:rPr>
          <w:rFonts w:ascii="Palatino Linotype" w:hAnsi="Palatino Linotype"/>
          <w:i/>
          <w:iCs/>
          <w:color w:val="000000" w:themeColor="text1"/>
          <w:sz w:val="22"/>
          <w:szCs w:val="22"/>
        </w:rPr>
        <w:t xml:space="preserve">pues esta afirmación cobra especial relevancia, si tomamos en consideración la fracción X del artículo 207 de la Ley de Seguridad del Estado de México, </w:t>
      </w:r>
      <w:proofErr w:type="gramStart"/>
      <w:r w:rsidRPr="00624ACF">
        <w:rPr>
          <w:rFonts w:ascii="Palatino Linotype" w:hAnsi="Palatino Linotype"/>
          <w:i/>
          <w:iCs/>
          <w:color w:val="000000" w:themeColor="text1"/>
          <w:sz w:val="22"/>
          <w:szCs w:val="22"/>
        </w:rPr>
        <w:t>mismo</w:t>
      </w:r>
      <w:proofErr w:type="gramEnd"/>
      <w:r w:rsidRPr="00624ACF">
        <w:rPr>
          <w:rFonts w:ascii="Palatino Linotype" w:hAnsi="Palatino Linotype"/>
          <w:i/>
          <w:iCs/>
          <w:color w:val="000000" w:themeColor="text1"/>
          <w:sz w:val="22"/>
          <w:szCs w:val="22"/>
        </w:rPr>
        <w:t xml:space="preserve"> que dispone:</w:t>
      </w:r>
    </w:p>
    <w:p w14:paraId="47AC77E8"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3E80E8C8" w14:textId="77777777" w:rsidR="0078043E" w:rsidRPr="00624ACF" w:rsidRDefault="0078043E" w:rsidP="0078043E">
      <w:pPr>
        <w:pStyle w:val="Prrafodelista"/>
        <w:tabs>
          <w:tab w:val="left" w:pos="426"/>
        </w:tabs>
        <w:spacing w:line="276" w:lineRule="auto"/>
        <w:ind w:right="567"/>
        <w:jc w:val="both"/>
        <w:rPr>
          <w:rFonts w:ascii="Palatino Linotype" w:hAnsi="Palatino Linotype"/>
          <w:b/>
          <w:bCs/>
          <w:i/>
          <w:iCs/>
          <w:color w:val="000000" w:themeColor="text1"/>
          <w:sz w:val="22"/>
          <w:szCs w:val="22"/>
          <w:u w:val="single"/>
        </w:rPr>
      </w:pPr>
      <w:r w:rsidRPr="00624ACF">
        <w:rPr>
          <w:rFonts w:ascii="Palatino Linotype" w:hAnsi="Palatino Linotype"/>
          <w:b/>
          <w:bCs/>
          <w:i/>
          <w:iCs/>
          <w:color w:val="000000" w:themeColor="text1"/>
          <w:sz w:val="22"/>
          <w:szCs w:val="22"/>
          <w:u w:val="single"/>
        </w:rPr>
        <w:t>Artículo 207. El Consejo Directivo tendrá, además de las atribuciones previstas en la Ley para la Coordinación y Control de Organismos Auxiliares del Estado de México y su Reglamento Interno, las siguientes:</w:t>
      </w:r>
    </w:p>
    <w:p w14:paraId="726F10E7"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p>
    <w:p w14:paraId="29E85C5D" w14:textId="77777777" w:rsidR="0078043E" w:rsidRPr="00624ACF" w:rsidRDefault="0078043E" w:rsidP="0078043E">
      <w:pPr>
        <w:pStyle w:val="Prrafodelista"/>
        <w:tabs>
          <w:tab w:val="left" w:pos="426"/>
        </w:tabs>
        <w:spacing w:line="276" w:lineRule="auto"/>
        <w:ind w:right="567"/>
        <w:jc w:val="both"/>
        <w:rPr>
          <w:rFonts w:ascii="Palatino Linotype" w:hAnsi="Palatino Linotype"/>
          <w:b/>
          <w:bCs/>
          <w:i/>
          <w:iCs/>
          <w:color w:val="000000" w:themeColor="text1"/>
          <w:sz w:val="22"/>
          <w:szCs w:val="22"/>
          <w:u w:val="single"/>
        </w:rPr>
      </w:pPr>
      <w:r w:rsidRPr="00624ACF">
        <w:rPr>
          <w:rFonts w:ascii="Palatino Linotype" w:hAnsi="Palatino Linotype"/>
          <w:b/>
          <w:bCs/>
          <w:i/>
          <w:iCs/>
          <w:color w:val="000000" w:themeColor="text1"/>
          <w:sz w:val="22"/>
          <w:szCs w:val="22"/>
          <w:u w:val="single"/>
        </w:rPr>
        <w:t xml:space="preserve">X. Solicitar a la Comisión de Honor y Justicia, mediante escrito fundado y motivado, el inicio del procedimiento correspondiente por incumplimiento a los requisitos de permanencia o incumplimiento a las obligaciones de los </w:t>
      </w:r>
      <w:r w:rsidRPr="00624ACF">
        <w:rPr>
          <w:rFonts w:ascii="Palatino Linotype" w:hAnsi="Palatino Linotype"/>
          <w:b/>
          <w:bCs/>
          <w:i/>
          <w:iCs/>
          <w:color w:val="000000" w:themeColor="text1"/>
          <w:sz w:val="22"/>
          <w:szCs w:val="22"/>
          <w:u w:val="single"/>
        </w:rPr>
        <w:lastRenderedPageBreak/>
        <w:t>integrantes de la Secretaría, remitiendo el expediente de investigación respectivo;</w:t>
      </w:r>
    </w:p>
    <w:p w14:paraId="522C2BBC"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3969DDF"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Como observamos de dicho dispositivo legal, el </w:t>
      </w:r>
      <w:r w:rsidRPr="00624ACF">
        <w:rPr>
          <w:rFonts w:ascii="Palatino Linotype" w:hAnsi="Palatino Linotype"/>
          <w:b/>
          <w:bCs/>
          <w:i/>
          <w:iCs/>
          <w:color w:val="000000" w:themeColor="text1"/>
          <w:sz w:val="22"/>
          <w:szCs w:val="22"/>
        </w:rPr>
        <w:t xml:space="preserve">CONSEJO DIRECTIVO EN LA UNIDAD DE ASUNTOS INTERNOS, CUENTA CON LA </w:t>
      </w:r>
      <w:r w:rsidRPr="00624ACF">
        <w:rPr>
          <w:rFonts w:ascii="Palatino Linotype" w:hAnsi="Palatino Linotype"/>
          <w:b/>
          <w:bCs/>
          <w:i/>
          <w:iCs/>
          <w:color w:val="000000" w:themeColor="text1"/>
          <w:sz w:val="22"/>
          <w:szCs w:val="22"/>
          <w:u w:val="single"/>
        </w:rPr>
        <w:t>FACULTAD EXCLUSIVA</w:t>
      </w:r>
      <w:r w:rsidRPr="00624ACF">
        <w:rPr>
          <w:rFonts w:ascii="Palatino Linotype" w:hAnsi="Palatino Linotype"/>
          <w:b/>
          <w:bCs/>
          <w:i/>
          <w:iCs/>
          <w:color w:val="000000" w:themeColor="text1"/>
          <w:sz w:val="22"/>
          <w:szCs w:val="22"/>
        </w:rPr>
        <w:t xml:space="preserve"> DE SOLICITAR EL INICIO DEL PROCEDIMIENTO ADMINISTRATIVO, </w:t>
      </w:r>
      <w:r w:rsidRPr="00624ACF">
        <w:rPr>
          <w:rFonts w:ascii="Palatino Linotype" w:hAnsi="Palatino Linotype"/>
          <w:i/>
          <w:iCs/>
          <w:color w:val="000000" w:themeColor="text1"/>
          <w:sz w:val="22"/>
          <w:szCs w:val="22"/>
        </w:rPr>
        <w:t xml:space="preserve">es decir, que ni el titular de dicha dependencia y mucho menos sus directores pueden solicitar este inicio del procedimiento, por lo que indudablemente con sus manifestaciones </w:t>
      </w:r>
      <w:r w:rsidRPr="00624ACF">
        <w:rPr>
          <w:rFonts w:ascii="Palatino Linotype" w:hAnsi="Palatino Linotype"/>
          <w:b/>
          <w:bCs/>
          <w:i/>
          <w:iCs/>
          <w:color w:val="000000" w:themeColor="text1"/>
          <w:sz w:val="22"/>
          <w:szCs w:val="22"/>
        </w:rPr>
        <w:t>pretenden sorprender la buena fe de esta autoridad</w:t>
      </w:r>
      <w:r w:rsidRPr="00624ACF">
        <w:rPr>
          <w:rFonts w:ascii="Palatino Linotype" w:hAnsi="Palatino Linotype"/>
          <w:i/>
          <w:iCs/>
          <w:color w:val="000000" w:themeColor="text1"/>
          <w:sz w:val="22"/>
          <w:szCs w:val="22"/>
        </w:rPr>
        <w:t xml:space="preserve"> por lo que el Consejo Directivo es un Órgano Colegiado considerado la Autoridad máxima de dicho Organismo Público Descentralizado integrado por diversos Titulares de las Secretarias y/</w:t>
      </w:r>
      <w:proofErr w:type="spellStart"/>
      <w:r w:rsidRPr="00624ACF">
        <w:rPr>
          <w:rFonts w:ascii="Palatino Linotype" w:hAnsi="Palatino Linotype"/>
          <w:i/>
          <w:iCs/>
          <w:color w:val="000000" w:themeColor="text1"/>
          <w:sz w:val="22"/>
          <w:szCs w:val="22"/>
        </w:rPr>
        <w:t>o</w:t>
      </w:r>
      <w:proofErr w:type="spellEnd"/>
      <w:r w:rsidRPr="00624ACF">
        <w:rPr>
          <w:rFonts w:ascii="Palatino Linotype" w:hAnsi="Palatino Linotype"/>
          <w:i/>
          <w:iCs/>
          <w:color w:val="000000" w:themeColor="text1"/>
          <w:sz w:val="22"/>
          <w:szCs w:val="22"/>
        </w:rPr>
        <w:t xml:space="preserve"> Otros Organismos Descentralizados.</w:t>
      </w:r>
    </w:p>
    <w:p w14:paraId="44332DEE"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7A75ECF5"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En cuanto a la respuesta a la incógnita ¿Cuándo inicia el procedimiento administrativo?, esta es sencilla de responder si se parte de lo que señala el artículo 166 de la Ley de Seguridad del Estado de México, mismo que señala:</w:t>
      </w:r>
    </w:p>
    <w:p w14:paraId="1910699E"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25B09A8E"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Artículo 166.-</w:t>
      </w:r>
      <w:r w:rsidRPr="00624ACF">
        <w:rPr>
          <w:rFonts w:ascii="Palatino Linotype" w:hAnsi="Palatino Linotype"/>
          <w:i/>
          <w:iCs/>
          <w:color w:val="000000" w:themeColor="text1"/>
          <w:sz w:val="22"/>
          <w:szCs w:val="22"/>
        </w:rPr>
        <w:t xml:space="preserve"> </w:t>
      </w:r>
      <w:r w:rsidRPr="00624ACF">
        <w:rPr>
          <w:rFonts w:ascii="Palatino Linotype" w:hAnsi="Palatino Linotype"/>
          <w:b/>
          <w:bCs/>
          <w:i/>
          <w:iCs/>
          <w:color w:val="000000" w:themeColor="text1"/>
          <w:sz w:val="22"/>
          <w:szCs w:val="22"/>
          <w:u w:val="single"/>
        </w:rPr>
        <w:t>De ser procedente, la Comisión de Honor y Justicia, iniciará procedimiento administrativo</w:t>
      </w:r>
      <w:r w:rsidRPr="00624ACF">
        <w:rPr>
          <w:rFonts w:ascii="Palatino Linotype" w:hAnsi="Palatino Linotype"/>
          <w:i/>
          <w:iCs/>
          <w:color w:val="000000" w:themeColor="text1"/>
          <w:sz w:val="22"/>
          <w:szCs w:val="22"/>
        </w:rPr>
        <w:t xml:space="preserve"> al elemento policial, asignándole al expediente correspondiente un número progresivo e incluirá el año que se inicia. El número se anotará en todas las promociones y actuaciones que se produzcan con el mismo.</w:t>
      </w:r>
    </w:p>
    <w:p w14:paraId="0326105B"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664E3392"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Como observamos de dicho dispositivo legal, el inicio del procedimiento administrativo, lo determina la </w:t>
      </w:r>
      <w:r w:rsidRPr="00624ACF">
        <w:rPr>
          <w:rFonts w:ascii="Palatino Linotype" w:hAnsi="Palatino Linotype"/>
          <w:b/>
          <w:bCs/>
          <w:i/>
          <w:iCs/>
          <w:color w:val="000000" w:themeColor="text1"/>
          <w:sz w:val="22"/>
          <w:szCs w:val="22"/>
        </w:rPr>
        <w:t xml:space="preserve">COMISIÓN DE HONOR Y JUSTICIA QUIEN DEBE DE OBSERVAR EL DEBIDO PROCESO Y/O FORMALIDADES ESENCIALES DEL PROCEDIMIENTO, </w:t>
      </w:r>
      <w:r w:rsidRPr="00624ACF">
        <w:rPr>
          <w:rFonts w:ascii="Palatino Linotype" w:hAnsi="Palatino Linotype"/>
          <w:i/>
          <w:iCs/>
          <w:color w:val="000000" w:themeColor="text1"/>
          <w:sz w:val="22"/>
          <w:szCs w:val="22"/>
        </w:rPr>
        <w:t>por lo que la Unidad de Asuntos Internos, nada tiene que ver con el DEBIDO PROCESO.</w:t>
      </w:r>
    </w:p>
    <w:p w14:paraId="611D50F0"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3CB7036B"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Finalmente, hago valer lo establecido en el párrafo segundo del artículo 4 de la Ley de Transparencia y Acceso a la Información Pública del Estado de México y Municipios, mismo que señala:</w:t>
      </w:r>
    </w:p>
    <w:p w14:paraId="540AFFDA"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506422F"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1C25E5CF"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p>
    <w:p w14:paraId="74EDFCC7"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624ACF">
        <w:rPr>
          <w:rFonts w:ascii="Palatino Linotype" w:hAnsi="Palatino Linotype"/>
          <w:i/>
          <w:iCs/>
          <w:color w:val="000000" w:themeColor="text1"/>
          <w:sz w:val="22"/>
          <w:szCs w:val="22"/>
        </w:rPr>
        <w:t xml:space="preserve">. Solo podrá ser clasificada excepcionalmente como reservada temporalmente por razones de interés público, en los términos de las causas legítimas y estrictamente necesarias previstas por esta Ley. </w:t>
      </w:r>
    </w:p>
    <w:p w14:paraId="6907628A"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p>
    <w:p w14:paraId="5B5C38E6"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b/>
          <w:bCs/>
          <w:i/>
          <w:iCs/>
          <w:color w:val="000000" w:themeColor="text1"/>
          <w:sz w:val="22"/>
          <w:szCs w:val="22"/>
          <w:u w:val="single"/>
        </w:rPr>
      </w:pPr>
      <w:r w:rsidRPr="00624ACF">
        <w:rPr>
          <w:rFonts w:ascii="Palatino Linotype" w:hAnsi="Palatino Linotype"/>
          <w:i/>
          <w:iCs/>
          <w:color w:val="000000" w:themeColor="text1"/>
          <w:sz w:val="22"/>
          <w:szCs w:val="22"/>
        </w:rPr>
        <w:t xml:space="preserve">Como se advierte, la información que pretende clasificar la Unidad de Asuntos Internos es </w:t>
      </w:r>
      <w:r w:rsidRPr="00624ACF">
        <w:rPr>
          <w:rFonts w:ascii="Palatino Linotype" w:hAnsi="Palatino Linotype"/>
          <w:b/>
          <w:bCs/>
          <w:i/>
          <w:iCs/>
          <w:color w:val="000000" w:themeColor="text1"/>
          <w:sz w:val="22"/>
          <w:szCs w:val="22"/>
        </w:rPr>
        <w:t xml:space="preserve">PÚBLICA pues la misma no debe ser clasificada excepcionalmente como reservada por no estar expresamente en los términos y causas legítimas y necesarias previstas en la Ley, es decir </w:t>
      </w:r>
      <w:r w:rsidRPr="00624ACF">
        <w:rPr>
          <w:rFonts w:ascii="Palatino Linotype" w:hAnsi="Palatino Linotype"/>
          <w:b/>
          <w:bCs/>
          <w:i/>
          <w:iCs/>
          <w:color w:val="000000" w:themeColor="text1"/>
          <w:sz w:val="22"/>
          <w:szCs w:val="22"/>
          <w:u w:val="single"/>
        </w:rPr>
        <w:t>NO ES SUSCEPTIBLE DE CLASIFICACIÓN BAJO NINGUNA CIRCUNSTANCIA.</w:t>
      </w:r>
    </w:p>
    <w:p w14:paraId="7BFFB78D"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b/>
          <w:bCs/>
          <w:i/>
          <w:iCs/>
          <w:color w:val="000000" w:themeColor="text1"/>
          <w:sz w:val="22"/>
          <w:szCs w:val="22"/>
          <w:u w:val="single"/>
        </w:rPr>
      </w:pPr>
    </w:p>
    <w:p w14:paraId="1C31A0EC"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Lo anterior, cobra especial relevancia en el siguiente criterio:</w:t>
      </w:r>
    </w:p>
    <w:p w14:paraId="36F74B96"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81B88C4" w14:textId="77777777" w:rsidR="0078043E" w:rsidRPr="00624ACF" w:rsidRDefault="0078043E" w:rsidP="0078043E">
      <w:pPr>
        <w:pStyle w:val="Prrafodelista"/>
        <w:tabs>
          <w:tab w:val="left" w:pos="426"/>
        </w:tabs>
        <w:spacing w:line="276" w:lineRule="auto"/>
        <w:ind w:right="567"/>
        <w:jc w:val="both"/>
        <w:rPr>
          <w:rFonts w:ascii="Palatino Linotype" w:hAnsi="Palatino Linotype"/>
          <w:b/>
          <w:i/>
          <w:iCs/>
          <w:color w:val="000000" w:themeColor="text1"/>
          <w:sz w:val="22"/>
          <w:szCs w:val="22"/>
          <w:lang w:val="es-ES_tradnl"/>
        </w:rPr>
      </w:pPr>
      <w:r w:rsidRPr="00624ACF">
        <w:rPr>
          <w:rFonts w:ascii="Palatino Linotype" w:hAnsi="Palatino Linotype"/>
          <w:b/>
          <w:i/>
          <w:iCs/>
          <w:color w:val="000000" w:themeColor="text1"/>
          <w:sz w:val="22"/>
          <w:szCs w:val="22"/>
          <w:lang w:val="es-ES_tradnl"/>
        </w:rPr>
        <w:t xml:space="preserve">VERSIONES PÚBLICAS. PARA SU VALIDEZ LOS SUJETOS OBLIGADOS DEBERÁN GENERARLAS DE CONFORMIDAD CON LAS FORMALIDADES ESTABLECIDAS EN LA NORMATIVIDAD APLICABLE. </w:t>
      </w:r>
      <w:r w:rsidRPr="00624ACF">
        <w:rPr>
          <w:rFonts w:ascii="Palatino Linotype" w:hAnsi="Palatino Linotype"/>
          <w:i/>
          <w:iCs/>
          <w:color w:val="000000" w:themeColor="text1"/>
          <w:sz w:val="22"/>
          <w:szCs w:val="22"/>
          <w:lang w:val="es-ES_tradnl"/>
        </w:rPr>
        <w:t xml:space="preserve">De conformidad con los numerales 100, 109 y 111 de la Ley General de Transparencia y Acceso a la Información Pública; 122, 135, 137 y 168 de la Ley de Transparencia Acceso a la Información Pública del Estado de México y Municipios y primero, noveno, quincuagésimo sexto, sexagésimo segundo de los Lineamientos Generales en Materia de Clasificación y Desclasificación de la Información, así como para la Elaboración de Versiones Públicas, emitidos por el Sistema Nacional de Transparencia, los Sujetos Obligados deberán elaborar las versiones públicas de aquella información que consideren susceptible de protegerse cumpliendo con las formalidades que establece la normatividad aplicable, entre las cuales se encuentra la emisión del acuerdo respectivo por el Comité de Transparencia del Sujeto Obligado, mismo que deberá adjuntarse a la respuesta. En ese orden de ideas, el Sujeto Obligado, para garantizar el derecho de acceso a la información pública y al mismo tiempo respetar el derecho a la protección de datos personales, </w:t>
      </w:r>
      <w:r w:rsidRPr="00624ACF">
        <w:rPr>
          <w:rFonts w:ascii="Palatino Linotype" w:hAnsi="Palatino Linotype"/>
          <w:b/>
          <w:bCs/>
          <w:i/>
          <w:iCs/>
          <w:color w:val="000000" w:themeColor="text1"/>
          <w:sz w:val="22"/>
          <w:szCs w:val="22"/>
          <w:u w:val="single"/>
          <w:lang w:val="es-ES_tradnl"/>
        </w:rPr>
        <w:t xml:space="preserve">a través su Comité deberá emitir el acuerdo mediante el que </w:t>
      </w:r>
      <w:r w:rsidRPr="00624ACF">
        <w:rPr>
          <w:rFonts w:ascii="Palatino Linotype" w:hAnsi="Palatino Linotype"/>
          <w:b/>
          <w:bCs/>
          <w:i/>
          <w:iCs/>
          <w:color w:val="000000" w:themeColor="text1"/>
          <w:sz w:val="22"/>
          <w:szCs w:val="22"/>
          <w:u w:val="single"/>
          <w:lang w:val="es-ES_tradnl"/>
        </w:rPr>
        <w:lastRenderedPageBreak/>
        <w:t>apruebe la clasificación de la información como reservada o confidencial debidamente fundado y motivado</w:t>
      </w:r>
      <w:r w:rsidRPr="00624ACF">
        <w:rPr>
          <w:rFonts w:ascii="Palatino Linotype" w:hAnsi="Palatino Linotype"/>
          <w:i/>
          <w:iCs/>
          <w:color w:val="000000" w:themeColor="text1"/>
          <w:sz w:val="22"/>
          <w:szCs w:val="22"/>
          <w:lang w:val="es-ES_tradnl"/>
        </w:rPr>
        <w:t xml:space="preserve">, </w:t>
      </w:r>
      <w:r w:rsidRPr="00624ACF">
        <w:rPr>
          <w:rFonts w:ascii="Palatino Linotype" w:hAnsi="Palatino Linotype"/>
          <w:b/>
          <w:bCs/>
          <w:i/>
          <w:iCs/>
          <w:color w:val="000000" w:themeColor="text1"/>
          <w:sz w:val="22"/>
          <w:szCs w:val="22"/>
          <w:u w:val="single"/>
          <w:lang w:val="es-ES_tradnl"/>
        </w:rPr>
        <w:t>expresando las razones sobre los datos que se eliminen y supriman en los documentos</w:t>
      </w:r>
      <w:r w:rsidRPr="00624ACF">
        <w:rPr>
          <w:rFonts w:ascii="Palatino Linotype" w:hAnsi="Palatino Linotype"/>
          <w:i/>
          <w:iCs/>
          <w:color w:val="000000" w:themeColor="text1"/>
          <w:sz w:val="22"/>
          <w:szCs w:val="22"/>
          <w:lang w:val="es-ES_tradnl"/>
        </w:rPr>
        <w:t xml:space="preserve">, de conformidad con los arábigos 49, fracción VIII, 122, 131, 132, fracción III, 135 de la Ley en comento y demás aplicables. </w:t>
      </w:r>
      <w:r w:rsidRPr="00624ACF">
        <w:rPr>
          <w:rFonts w:ascii="Palatino Linotype" w:hAnsi="Palatino Linotype"/>
          <w:b/>
          <w:bCs/>
          <w:i/>
          <w:iCs/>
          <w:color w:val="000000" w:themeColor="text1"/>
          <w:sz w:val="22"/>
          <w:szCs w:val="22"/>
          <w:u w:val="single"/>
          <w:lang w:val="es-ES_tradnl"/>
        </w:rPr>
        <w:t>De lo contrario, la información censurada se considerará un documento alterado y por ende ilegal</w:t>
      </w:r>
      <w:r w:rsidRPr="00624ACF">
        <w:rPr>
          <w:rFonts w:ascii="Palatino Linotype" w:hAnsi="Palatino Linotype"/>
          <w:i/>
          <w:iCs/>
          <w:color w:val="000000" w:themeColor="text1"/>
          <w:sz w:val="22"/>
          <w:szCs w:val="22"/>
          <w:lang w:val="es-ES_tradnl"/>
        </w:rPr>
        <w:t>.</w:t>
      </w:r>
    </w:p>
    <w:p w14:paraId="635AA7C9" w14:textId="77777777" w:rsidR="0078043E" w:rsidRPr="00624ACF" w:rsidRDefault="0078043E" w:rsidP="0078043E">
      <w:pPr>
        <w:pStyle w:val="Prrafodelista"/>
        <w:tabs>
          <w:tab w:val="left" w:pos="426"/>
        </w:tabs>
        <w:spacing w:line="276" w:lineRule="auto"/>
        <w:ind w:right="567"/>
        <w:jc w:val="both"/>
        <w:rPr>
          <w:rFonts w:ascii="Palatino Linotype" w:hAnsi="Palatino Linotype"/>
          <w:b/>
          <w:i/>
          <w:iCs/>
          <w:color w:val="000000" w:themeColor="text1"/>
          <w:sz w:val="22"/>
          <w:szCs w:val="22"/>
          <w:lang w:val="es-ES_tradnl"/>
        </w:rPr>
      </w:pPr>
    </w:p>
    <w:p w14:paraId="27E3A908" w14:textId="77777777" w:rsidR="0078043E" w:rsidRPr="00624ACF" w:rsidRDefault="0078043E" w:rsidP="0078043E">
      <w:pPr>
        <w:pStyle w:val="Prrafodelista"/>
        <w:tabs>
          <w:tab w:val="left" w:pos="426"/>
        </w:tabs>
        <w:spacing w:line="276" w:lineRule="auto"/>
        <w:ind w:right="567"/>
        <w:jc w:val="both"/>
        <w:rPr>
          <w:rFonts w:ascii="Palatino Linotype" w:hAnsi="Palatino Linotype"/>
          <w:b/>
          <w:i/>
          <w:iCs/>
          <w:color w:val="000000" w:themeColor="text1"/>
          <w:sz w:val="22"/>
          <w:szCs w:val="22"/>
        </w:rPr>
      </w:pPr>
      <w:r w:rsidRPr="00624ACF">
        <w:rPr>
          <w:rFonts w:ascii="Palatino Linotype" w:hAnsi="Palatino Linotype"/>
          <w:b/>
          <w:i/>
          <w:iCs/>
          <w:color w:val="000000" w:themeColor="text1"/>
          <w:sz w:val="22"/>
          <w:szCs w:val="22"/>
        </w:rPr>
        <w:t xml:space="preserve">Precedentes: </w:t>
      </w:r>
    </w:p>
    <w:p w14:paraId="63D857AB" w14:textId="77777777" w:rsidR="0078043E" w:rsidRPr="00624ACF" w:rsidRDefault="0078043E" w:rsidP="00BF3FA6">
      <w:pPr>
        <w:pStyle w:val="Prrafodelista"/>
        <w:numPr>
          <w:ilvl w:val="0"/>
          <w:numId w:val="18"/>
        </w:numPr>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En materia de acceso a la información pública. 05770/INFOEM/IP/RR/2019. Aprobado por unanimidad de votos. Ayuntamiento de Amecameca. Comisionada Ponente Zulema Martínez Sánchez. </w:t>
      </w:r>
    </w:p>
    <w:p w14:paraId="7DA82B0F" w14:textId="77777777" w:rsidR="0078043E" w:rsidRPr="00624ACF" w:rsidRDefault="0078043E" w:rsidP="00BF3FA6">
      <w:pPr>
        <w:pStyle w:val="Prrafodelista"/>
        <w:numPr>
          <w:ilvl w:val="0"/>
          <w:numId w:val="18"/>
        </w:numPr>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En materia de acceso a la información pública. 04277/INFOEM/IP/RR/2019. Aprobado por unanimidad de votos. Ayuntamiento de Naucalpan de Juárez. Comisionada Ponente Eva </w:t>
      </w:r>
      <w:proofErr w:type="spellStart"/>
      <w:r w:rsidRPr="00624ACF">
        <w:rPr>
          <w:rFonts w:ascii="Palatino Linotype" w:hAnsi="Palatino Linotype"/>
          <w:i/>
          <w:iCs/>
          <w:color w:val="000000" w:themeColor="text1"/>
          <w:sz w:val="22"/>
          <w:szCs w:val="22"/>
        </w:rPr>
        <w:t>Abaid</w:t>
      </w:r>
      <w:proofErr w:type="spellEnd"/>
      <w:r w:rsidRPr="00624ACF">
        <w:rPr>
          <w:rFonts w:ascii="Palatino Linotype" w:hAnsi="Palatino Linotype"/>
          <w:i/>
          <w:iCs/>
          <w:color w:val="000000" w:themeColor="text1"/>
          <w:sz w:val="22"/>
          <w:szCs w:val="22"/>
        </w:rPr>
        <w:t xml:space="preserve"> </w:t>
      </w:r>
      <w:proofErr w:type="spellStart"/>
      <w:r w:rsidRPr="00624ACF">
        <w:rPr>
          <w:rFonts w:ascii="Palatino Linotype" w:hAnsi="Palatino Linotype"/>
          <w:i/>
          <w:iCs/>
          <w:color w:val="000000" w:themeColor="text1"/>
          <w:sz w:val="22"/>
          <w:szCs w:val="22"/>
        </w:rPr>
        <w:t>Yapur</w:t>
      </w:r>
      <w:proofErr w:type="spellEnd"/>
      <w:r w:rsidRPr="00624ACF">
        <w:rPr>
          <w:rFonts w:ascii="Palatino Linotype" w:hAnsi="Palatino Linotype"/>
          <w:i/>
          <w:iCs/>
          <w:color w:val="000000" w:themeColor="text1"/>
          <w:sz w:val="22"/>
          <w:szCs w:val="22"/>
        </w:rPr>
        <w:t>.</w:t>
      </w:r>
    </w:p>
    <w:p w14:paraId="3788ECE4" w14:textId="77777777" w:rsidR="0078043E" w:rsidRPr="00624ACF" w:rsidRDefault="0078043E" w:rsidP="00BF3FA6">
      <w:pPr>
        <w:pStyle w:val="Prrafodelista"/>
        <w:numPr>
          <w:ilvl w:val="0"/>
          <w:numId w:val="18"/>
        </w:numPr>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En materia de acceso a la información pública. 04879/INFOEM/IP/RR/2019. Aprobado por unanimidad de votos, emitiendo voto particular el Comisionado Javier Martínez Cruz. Ayuntamiento de Chicoloapan. Comisionado Ponente Javier Martínez Cruz. </w:t>
      </w:r>
    </w:p>
    <w:p w14:paraId="1AF4A5D8"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p>
    <w:p w14:paraId="368B2018" w14:textId="77777777" w:rsidR="0078043E" w:rsidRPr="00624ACF" w:rsidRDefault="0078043E" w:rsidP="0078043E">
      <w:pPr>
        <w:pStyle w:val="Prrafodelista"/>
        <w:tabs>
          <w:tab w:val="left" w:pos="426"/>
        </w:tabs>
        <w:spacing w:line="276" w:lineRule="auto"/>
        <w:ind w:right="567"/>
        <w:jc w:val="both"/>
        <w:rPr>
          <w:rFonts w:ascii="Palatino Linotype" w:hAnsi="Palatino Linotype"/>
          <w:i/>
          <w:iCs/>
          <w:color w:val="000000" w:themeColor="text1"/>
          <w:sz w:val="22"/>
          <w:szCs w:val="22"/>
        </w:rPr>
      </w:pPr>
      <w:r w:rsidRPr="00624ACF">
        <w:rPr>
          <w:rFonts w:ascii="Palatino Linotype" w:hAnsi="Palatino Linotype"/>
          <w:b/>
          <w:i/>
          <w:iCs/>
          <w:color w:val="000000" w:themeColor="text1"/>
          <w:sz w:val="22"/>
          <w:szCs w:val="22"/>
        </w:rPr>
        <w:t xml:space="preserve">Segunda Época                                                                                                                   Criterio Reiterado 05/19                                                                  </w:t>
      </w:r>
    </w:p>
    <w:p w14:paraId="125AFD48" w14:textId="77777777" w:rsidR="0078043E" w:rsidRPr="00624ACF" w:rsidRDefault="00054A24" w:rsidP="0078043E">
      <w:pPr>
        <w:pStyle w:val="Prrafodelista"/>
        <w:tabs>
          <w:tab w:val="left" w:pos="426"/>
        </w:tabs>
        <w:spacing w:line="276" w:lineRule="auto"/>
        <w:ind w:right="567"/>
        <w:jc w:val="both"/>
        <w:rPr>
          <w:rFonts w:ascii="Palatino Linotype" w:hAnsi="Palatino Linotype"/>
          <w:b/>
          <w:i/>
          <w:iCs/>
          <w:color w:val="000000" w:themeColor="text1"/>
          <w:sz w:val="22"/>
          <w:szCs w:val="22"/>
          <w:u w:val="single"/>
        </w:rPr>
      </w:pPr>
      <w:hyperlink r:id="rId11" w:history="1">
        <w:r w:rsidR="0078043E" w:rsidRPr="00624ACF">
          <w:rPr>
            <w:rStyle w:val="Hipervnculo"/>
            <w:rFonts w:ascii="Palatino Linotype" w:hAnsi="Palatino Linotype"/>
            <w:b/>
            <w:i/>
            <w:iCs/>
            <w:sz w:val="22"/>
            <w:szCs w:val="22"/>
          </w:rPr>
          <w:t>https://legislacion.edomex.gob.mx/sites/legislacion.edomex.gob.mx/files/files/pdf/gct/2019/dic181.pdf</w:t>
        </w:r>
      </w:hyperlink>
    </w:p>
    <w:p w14:paraId="47B36E59"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99D3934"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Por lo anteriormente expuesto y fundado, a Usted, MTRA. MARÍA DEL ROSARIO MEJÍA AYALA, COMISIONADA DEL INSTITUTO DE TRANSPARENCIA, ACCESO A LA INFORMACIÓN PÚBLICA Y PROTECCIÓN DE DATOS PERSONALES DEL ESTADO DE MÉXICO, atentamente pido:</w:t>
      </w:r>
    </w:p>
    <w:p w14:paraId="2FA856CF"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p>
    <w:p w14:paraId="681711A6"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 xml:space="preserve">PRIMERO.- </w:t>
      </w:r>
      <w:r w:rsidRPr="00624ACF">
        <w:rPr>
          <w:rFonts w:ascii="Palatino Linotype" w:hAnsi="Palatino Linotype"/>
          <w:i/>
          <w:iCs/>
          <w:color w:val="000000" w:themeColor="text1"/>
          <w:sz w:val="22"/>
          <w:szCs w:val="22"/>
        </w:rPr>
        <w:t>Tenerme por presentado en tiempo y forma con el presente escrito.</w:t>
      </w:r>
    </w:p>
    <w:p w14:paraId="580CEDF6"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p>
    <w:p w14:paraId="0311DC59"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 xml:space="preserve">SEGUNDO.- </w:t>
      </w:r>
      <w:r w:rsidRPr="00624ACF">
        <w:rPr>
          <w:rFonts w:ascii="Palatino Linotype" w:hAnsi="Palatino Linotype"/>
          <w:i/>
          <w:iCs/>
          <w:color w:val="000000" w:themeColor="text1"/>
          <w:sz w:val="22"/>
          <w:szCs w:val="22"/>
        </w:rPr>
        <w:t>Se aplique la Ley tal y como fue concebida y ordene las vistas tanto al Ministerio Público, al Poder Legislativo por violaciones a Derechos Humanos como el acceso a la Información y las vistas de los Órganos de Control correspondientes.</w:t>
      </w:r>
    </w:p>
    <w:p w14:paraId="5F3EFDF9" w14:textId="77777777" w:rsidR="0078043E" w:rsidRPr="00624ACF" w:rsidRDefault="0078043E" w:rsidP="0078043E">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1561B47" w14:textId="7E5B1C11" w:rsidR="0078043E" w:rsidRPr="00624ACF" w:rsidRDefault="0078043E" w:rsidP="0078043E">
      <w:pPr>
        <w:pStyle w:val="Prrafodelista"/>
        <w:tabs>
          <w:tab w:val="left" w:pos="426"/>
        </w:tabs>
        <w:spacing w:line="276" w:lineRule="auto"/>
        <w:ind w:left="567" w:right="567"/>
        <w:jc w:val="both"/>
        <w:rPr>
          <w:rFonts w:ascii="Palatino Linotype" w:hAnsi="Palatino Linotype"/>
          <w:color w:val="000000" w:themeColor="text1"/>
          <w:sz w:val="22"/>
          <w:szCs w:val="22"/>
        </w:rPr>
      </w:pPr>
      <w:r w:rsidRPr="00624ACF">
        <w:rPr>
          <w:rFonts w:ascii="Palatino Linotype" w:hAnsi="Palatino Linotype"/>
          <w:b/>
          <w:bCs/>
          <w:i/>
          <w:iCs/>
          <w:color w:val="000000" w:themeColor="text1"/>
          <w:sz w:val="22"/>
          <w:szCs w:val="22"/>
        </w:rPr>
        <w:lastRenderedPageBreak/>
        <w:t xml:space="preserve">TERCERO.- </w:t>
      </w:r>
      <w:r w:rsidRPr="00624ACF">
        <w:rPr>
          <w:rFonts w:ascii="Palatino Linotype" w:hAnsi="Palatino Linotype"/>
          <w:i/>
          <w:iCs/>
          <w:color w:val="000000" w:themeColor="text1"/>
          <w:sz w:val="22"/>
          <w:szCs w:val="22"/>
        </w:rPr>
        <w:t>Se ordene al Titular y al Comité de Transparencia del Organismo Público Descentralizado denominado Unidad de Asuntos Internos, la entrega de la información solicitada sin ningún tipo de tachadura o enmendadura en un término inmediato, es decir una copia fiel y exacta de los documentos solicitados al no ser susceptibles de clasificación.”</w:t>
      </w:r>
      <w:r w:rsidRPr="00624ACF">
        <w:rPr>
          <w:rFonts w:ascii="Palatino Linotype" w:hAnsi="Palatino Linotype"/>
          <w:color w:val="000000" w:themeColor="text1"/>
          <w:sz w:val="22"/>
          <w:szCs w:val="22"/>
        </w:rPr>
        <w:t xml:space="preserve"> (Sic)</w:t>
      </w:r>
    </w:p>
    <w:p w14:paraId="05EA9051" w14:textId="77777777" w:rsidR="0078043E" w:rsidRPr="00624ACF" w:rsidRDefault="0078043E" w:rsidP="004146FC">
      <w:pPr>
        <w:pStyle w:val="Prrafodelista"/>
        <w:tabs>
          <w:tab w:val="left" w:pos="426"/>
        </w:tabs>
        <w:spacing w:line="360" w:lineRule="auto"/>
        <w:ind w:left="0"/>
        <w:jc w:val="both"/>
        <w:rPr>
          <w:rFonts w:ascii="Palatino Linotype" w:hAnsi="Palatino Linotype"/>
          <w:color w:val="000000" w:themeColor="text1"/>
        </w:rPr>
      </w:pPr>
    </w:p>
    <w:p w14:paraId="751D6EA8" w14:textId="1EE2F40F" w:rsidR="004146FC" w:rsidRPr="00624ACF" w:rsidRDefault="0078043E" w:rsidP="00E6530C">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hAnsi="Palatino Linotype" w:cs="Arial"/>
          <w:color w:val="000000" w:themeColor="text1"/>
        </w:rPr>
        <w:t>Finalmente, el tres (03) de noviembre de dos mil veintidós, la Comisionada Ponente decretó el cierre del periodo de instrucción, por lo que ordenó turnar el expediente para su resolución, misma que ahora se pronuncia; y, en misma fecha, con fundamento en el artículo 181, tercer párrafo, de la Ley de Transparencia y Acceso a la Información Pública del Estado de México y Municipios,</w:t>
      </w:r>
      <w:r w:rsidRPr="00624ACF">
        <w:rPr>
          <w:rFonts w:ascii="Palatino Linotype" w:hAnsi="Palatino Linotype" w:cs="Arial"/>
          <w:bCs/>
          <w:color w:val="000000" w:themeColor="text1"/>
        </w:rPr>
        <w:t xml:space="preserve"> </w:t>
      </w:r>
      <w:r w:rsidRPr="00624ACF">
        <w:rPr>
          <w:rFonts w:ascii="Palatino Linotype" w:hAnsi="Palatino Linotype" w:cs="Arial"/>
          <w:color w:val="000000" w:themeColor="text1"/>
        </w:rPr>
        <w:t>se notificó que el plazo de treinta (30) días para resolver el recurso de revisión sería ampliado por un periodo de quince (15) días hábiles adicionales.</w:t>
      </w:r>
    </w:p>
    <w:p w14:paraId="7433446B" w14:textId="77777777" w:rsidR="004146FC" w:rsidRPr="00624ACF" w:rsidRDefault="004146FC" w:rsidP="004146FC">
      <w:pPr>
        <w:pStyle w:val="Prrafodelista"/>
        <w:tabs>
          <w:tab w:val="left" w:pos="426"/>
        </w:tabs>
        <w:spacing w:line="360" w:lineRule="auto"/>
        <w:ind w:left="0"/>
        <w:jc w:val="both"/>
        <w:rPr>
          <w:rFonts w:ascii="Palatino Linotype" w:hAnsi="Palatino Linotype"/>
          <w:color w:val="000000" w:themeColor="text1"/>
        </w:rPr>
      </w:pPr>
    </w:p>
    <w:p w14:paraId="04712891" w14:textId="77777777" w:rsidR="0078043E" w:rsidRPr="00624ACF" w:rsidRDefault="0078043E" w:rsidP="0078043E">
      <w:pPr>
        <w:pStyle w:val="Prrafodelista"/>
        <w:numPr>
          <w:ilvl w:val="0"/>
          <w:numId w:val="1"/>
        </w:numPr>
        <w:tabs>
          <w:tab w:val="left" w:pos="426"/>
        </w:tabs>
        <w:spacing w:before="240" w:after="240" w:line="360" w:lineRule="auto"/>
        <w:jc w:val="both"/>
        <w:rPr>
          <w:rFonts w:ascii="Palatino Linotype" w:hAnsi="Palatino Linotype"/>
        </w:rPr>
      </w:pPr>
      <w:r w:rsidRPr="00624ACF">
        <w:rPr>
          <w:rFonts w:ascii="Palatino Linotype" w:hAnsi="Palatino Linotype" w:cs="Arial"/>
          <w:color w:val="000000" w:themeColor="text1"/>
        </w:rPr>
        <w:t xml:space="preserve">Este </w:t>
      </w:r>
      <w:r w:rsidRPr="00624ACF">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42DE5AC" w14:textId="77777777" w:rsidR="0078043E" w:rsidRPr="00624ACF" w:rsidRDefault="0078043E" w:rsidP="0078043E">
      <w:pPr>
        <w:pStyle w:val="Prrafodelista"/>
        <w:tabs>
          <w:tab w:val="left" w:pos="426"/>
        </w:tabs>
        <w:spacing w:before="240" w:after="240" w:line="360" w:lineRule="auto"/>
        <w:ind w:left="0"/>
        <w:jc w:val="both"/>
        <w:rPr>
          <w:rFonts w:ascii="Palatino Linotype" w:hAnsi="Palatino Linotype"/>
        </w:rPr>
      </w:pPr>
    </w:p>
    <w:p w14:paraId="6FD0A44A" w14:textId="77777777" w:rsidR="0078043E" w:rsidRPr="00624ACF" w:rsidRDefault="0078043E" w:rsidP="0078043E">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w:t>
      </w:r>
      <w:r w:rsidRPr="00624ACF">
        <w:rPr>
          <w:rFonts w:ascii="Palatino Linotype" w:hAnsi="Palatino Linotype"/>
        </w:rPr>
        <w:lastRenderedPageBreak/>
        <w:t>medir la razonabilidad del plazo de resolución de asuntos conforme a los parámetros establecidos por diversos órganos jurisdiccionales federales, aplicables también en procedimientos análogos, como el que nos ocupa.</w:t>
      </w:r>
    </w:p>
    <w:p w14:paraId="323B9C8D" w14:textId="77777777" w:rsidR="0078043E" w:rsidRPr="00624ACF" w:rsidRDefault="0078043E" w:rsidP="0078043E">
      <w:pPr>
        <w:pStyle w:val="Prrafodelista"/>
        <w:tabs>
          <w:tab w:val="left" w:pos="426"/>
        </w:tabs>
        <w:spacing w:line="360" w:lineRule="auto"/>
        <w:ind w:left="0"/>
        <w:jc w:val="both"/>
        <w:rPr>
          <w:rFonts w:ascii="Palatino Linotype" w:hAnsi="Palatino Linotype"/>
          <w:color w:val="000000" w:themeColor="text1"/>
        </w:rPr>
      </w:pPr>
    </w:p>
    <w:p w14:paraId="33F195D4" w14:textId="77777777" w:rsidR="0078043E" w:rsidRPr="00624ACF" w:rsidRDefault="0078043E" w:rsidP="0078043E">
      <w:pPr>
        <w:pStyle w:val="Prrafodelista"/>
        <w:numPr>
          <w:ilvl w:val="0"/>
          <w:numId w:val="1"/>
        </w:numPr>
        <w:tabs>
          <w:tab w:val="left" w:pos="426"/>
        </w:tabs>
        <w:spacing w:before="240" w:after="240" w:line="360" w:lineRule="auto"/>
        <w:jc w:val="both"/>
        <w:rPr>
          <w:rFonts w:ascii="Palatino Linotype" w:hAnsi="Palatino Linotype"/>
        </w:rPr>
      </w:pPr>
      <w:r w:rsidRPr="00624ACF">
        <w:rPr>
          <w:rFonts w:ascii="Palatino Linotype" w:eastAsia="Calibri" w:hAnsi="Palatino Linotype" w:cs="Arial"/>
          <w:color w:val="000000" w:themeColor="text1"/>
        </w:rPr>
        <w:t xml:space="preserve">Así, </w:t>
      </w:r>
      <w:r w:rsidRPr="00624ACF">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60DC03A" w14:textId="77777777" w:rsidR="0078043E" w:rsidRPr="00624ACF" w:rsidRDefault="0078043E" w:rsidP="0078043E">
      <w:pPr>
        <w:pStyle w:val="Prrafodelista"/>
        <w:tabs>
          <w:tab w:val="left" w:pos="426"/>
        </w:tabs>
        <w:spacing w:before="240" w:after="240" w:line="360" w:lineRule="auto"/>
        <w:ind w:left="0"/>
        <w:jc w:val="both"/>
        <w:rPr>
          <w:rFonts w:ascii="Palatino Linotype" w:hAnsi="Palatino Linotype"/>
        </w:rPr>
      </w:pPr>
    </w:p>
    <w:p w14:paraId="68946595" w14:textId="77777777" w:rsidR="0078043E" w:rsidRPr="00624ACF" w:rsidRDefault="0078043E" w:rsidP="0078043E">
      <w:pPr>
        <w:pStyle w:val="Prrafodelista"/>
        <w:numPr>
          <w:ilvl w:val="0"/>
          <w:numId w:val="1"/>
        </w:numPr>
        <w:tabs>
          <w:tab w:val="left" w:pos="426"/>
        </w:tabs>
        <w:spacing w:before="240" w:after="240" w:line="360" w:lineRule="auto"/>
        <w:jc w:val="both"/>
        <w:rPr>
          <w:rFonts w:ascii="Palatino Linotype" w:hAnsi="Palatino Linotype"/>
        </w:rPr>
      </w:pPr>
      <w:r w:rsidRPr="00624ACF">
        <w:rPr>
          <w:rFonts w:ascii="Palatino Linotype" w:eastAsia="Calibri" w:hAnsi="Palatino Linotype" w:cs="Arial"/>
        </w:rPr>
        <w:t xml:space="preserve">En </w:t>
      </w:r>
      <w:r w:rsidRPr="00624ACF">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009F047" w14:textId="77777777" w:rsidR="0078043E" w:rsidRPr="00624ACF" w:rsidRDefault="0078043E" w:rsidP="0078043E">
      <w:pPr>
        <w:pStyle w:val="Prrafodelista"/>
        <w:tabs>
          <w:tab w:val="left" w:pos="426"/>
        </w:tabs>
        <w:spacing w:before="240" w:after="240" w:line="360" w:lineRule="auto"/>
        <w:ind w:left="0"/>
        <w:jc w:val="both"/>
        <w:rPr>
          <w:rFonts w:ascii="Palatino Linotype" w:hAnsi="Palatino Linotype"/>
        </w:rPr>
      </w:pPr>
    </w:p>
    <w:p w14:paraId="3853A3E4" w14:textId="77777777" w:rsidR="0078043E" w:rsidRPr="00624ACF" w:rsidRDefault="0078043E" w:rsidP="0078043E">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eastAsia="Calibri" w:hAnsi="Palatino Linotype" w:cs="Arial"/>
        </w:rPr>
        <w:t xml:space="preserve">Por </w:t>
      </w:r>
      <w:r w:rsidRPr="00624ACF">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7BC34255" w14:textId="77777777" w:rsidR="0078043E" w:rsidRPr="00624ACF" w:rsidRDefault="0078043E" w:rsidP="00BF3FA6">
      <w:pPr>
        <w:pStyle w:val="Prrafodelista"/>
        <w:numPr>
          <w:ilvl w:val="1"/>
          <w:numId w:val="19"/>
        </w:numPr>
        <w:tabs>
          <w:tab w:val="left" w:pos="426"/>
        </w:tabs>
        <w:spacing w:line="360" w:lineRule="auto"/>
        <w:ind w:left="1134"/>
        <w:jc w:val="both"/>
        <w:rPr>
          <w:rFonts w:ascii="Palatino Linotype" w:eastAsia="Calibri" w:hAnsi="Palatino Linotype" w:cs="Arial"/>
        </w:rPr>
      </w:pPr>
      <w:r w:rsidRPr="00624ACF">
        <w:rPr>
          <w:rFonts w:ascii="Palatino Linotype" w:eastAsia="Calibri" w:hAnsi="Palatino Linotype" w:cs="Arial"/>
          <w:b/>
          <w:bCs/>
        </w:rPr>
        <w:t>Complejidad del Asunto:</w:t>
      </w:r>
      <w:r w:rsidRPr="00624ACF">
        <w:rPr>
          <w:rFonts w:ascii="Palatino Linotype" w:eastAsia="Calibri" w:hAnsi="Palatino Linotype" w:cs="Arial"/>
        </w:rPr>
        <w:t xml:space="preserve"> La complejidad de la prueba, la pluralidad de sujetos procesales, el tiempo transcurrido, las características y contexto del recurso.</w:t>
      </w:r>
    </w:p>
    <w:p w14:paraId="0CD4B549" w14:textId="77777777" w:rsidR="0078043E" w:rsidRPr="00624ACF" w:rsidRDefault="0078043E" w:rsidP="00BF3FA6">
      <w:pPr>
        <w:pStyle w:val="Prrafodelista"/>
        <w:numPr>
          <w:ilvl w:val="1"/>
          <w:numId w:val="19"/>
        </w:numPr>
        <w:tabs>
          <w:tab w:val="left" w:pos="426"/>
        </w:tabs>
        <w:spacing w:line="360" w:lineRule="auto"/>
        <w:ind w:left="1134"/>
        <w:jc w:val="both"/>
        <w:rPr>
          <w:rFonts w:ascii="Palatino Linotype" w:eastAsia="Calibri" w:hAnsi="Palatino Linotype" w:cs="Arial"/>
        </w:rPr>
      </w:pPr>
      <w:r w:rsidRPr="00624ACF">
        <w:rPr>
          <w:rFonts w:ascii="Palatino Linotype" w:eastAsia="Calibri" w:hAnsi="Palatino Linotype" w:cs="Arial"/>
          <w:b/>
          <w:bCs/>
        </w:rPr>
        <w:t>Actividad Procesal del interesado:</w:t>
      </w:r>
      <w:r w:rsidRPr="00624ACF">
        <w:rPr>
          <w:rFonts w:ascii="Palatino Linotype" w:eastAsia="Calibri" w:hAnsi="Palatino Linotype" w:cs="Arial"/>
        </w:rPr>
        <w:t xml:space="preserve"> Acciones u omisiones del interesado.</w:t>
      </w:r>
    </w:p>
    <w:p w14:paraId="573B757A" w14:textId="77777777" w:rsidR="0078043E" w:rsidRPr="00624ACF" w:rsidRDefault="0078043E" w:rsidP="00BF3FA6">
      <w:pPr>
        <w:pStyle w:val="Prrafodelista"/>
        <w:numPr>
          <w:ilvl w:val="1"/>
          <w:numId w:val="19"/>
        </w:numPr>
        <w:tabs>
          <w:tab w:val="left" w:pos="426"/>
        </w:tabs>
        <w:spacing w:line="360" w:lineRule="auto"/>
        <w:ind w:left="1134"/>
        <w:jc w:val="both"/>
        <w:rPr>
          <w:rFonts w:ascii="Palatino Linotype" w:eastAsia="Calibri" w:hAnsi="Palatino Linotype" w:cs="Arial"/>
        </w:rPr>
      </w:pPr>
      <w:r w:rsidRPr="00624ACF">
        <w:rPr>
          <w:rFonts w:ascii="Palatino Linotype" w:eastAsia="Calibri" w:hAnsi="Palatino Linotype" w:cs="Arial"/>
          <w:b/>
          <w:bCs/>
        </w:rPr>
        <w:t>Conducta de la Autoridad:</w:t>
      </w:r>
      <w:r w:rsidRPr="00624ACF">
        <w:rPr>
          <w:rFonts w:ascii="Palatino Linotype" w:eastAsia="Calibri" w:hAnsi="Palatino Linotype" w:cs="Arial"/>
        </w:rPr>
        <w:t xml:space="preserve"> Las Acciones u omisiones realizadas en el procedimiento. Así como si la autoridad actuó con la debida diligencia.</w:t>
      </w:r>
    </w:p>
    <w:p w14:paraId="1F16BFDC" w14:textId="77777777" w:rsidR="0078043E" w:rsidRPr="00624ACF" w:rsidRDefault="0078043E" w:rsidP="00BF3FA6">
      <w:pPr>
        <w:pStyle w:val="Prrafodelista"/>
        <w:numPr>
          <w:ilvl w:val="1"/>
          <w:numId w:val="19"/>
        </w:numPr>
        <w:tabs>
          <w:tab w:val="left" w:pos="426"/>
        </w:tabs>
        <w:spacing w:line="360" w:lineRule="auto"/>
        <w:ind w:left="1134"/>
        <w:jc w:val="both"/>
        <w:rPr>
          <w:rFonts w:ascii="Palatino Linotype" w:hAnsi="Palatino Linotype"/>
          <w:color w:val="000000" w:themeColor="text1"/>
        </w:rPr>
      </w:pPr>
      <w:r w:rsidRPr="00624ACF">
        <w:rPr>
          <w:rFonts w:ascii="Palatino Linotype" w:eastAsia="Calibri" w:hAnsi="Palatino Linotype" w:cs="Arial"/>
          <w:b/>
          <w:bCs/>
        </w:rPr>
        <w:t xml:space="preserve">La afectación generada en la situación jurídica de la persona involucrada en el proceso: </w:t>
      </w:r>
      <w:r w:rsidRPr="00624ACF">
        <w:rPr>
          <w:rFonts w:ascii="Palatino Linotype" w:eastAsia="Calibri" w:hAnsi="Palatino Linotype" w:cs="Arial"/>
        </w:rPr>
        <w:t>Violación a sus derechos humanos.</w:t>
      </w:r>
    </w:p>
    <w:p w14:paraId="46CB1C09" w14:textId="77777777" w:rsidR="0078043E" w:rsidRPr="00624ACF" w:rsidRDefault="0078043E" w:rsidP="0078043E">
      <w:pPr>
        <w:pStyle w:val="Prrafodelista"/>
        <w:tabs>
          <w:tab w:val="left" w:pos="426"/>
        </w:tabs>
        <w:spacing w:line="360" w:lineRule="auto"/>
        <w:ind w:left="0"/>
        <w:jc w:val="both"/>
        <w:rPr>
          <w:rFonts w:ascii="Palatino Linotype" w:hAnsi="Palatino Linotype"/>
          <w:color w:val="000000" w:themeColor="text1"/>
        </w:rPr>
      </w:pPr>
    </w:p>
    <w:p w14:paraId="78FF5930" w14:textId="77777777" w:rsidR="0078043E" w:rsidRPr="00624ACF" w:rsidRDefault="0078043E" w:rsidP="0078043E">
      <w:pPr>
        <w:pStyle w:val="Prrafodelista"/>
        <w:numPr>
          <w:ilvl w:val="0"/>
          <w:numId w:val="1"/>
        </w:numPr>
        <w:tabs>
          <w:tab w:val="left" w:pos="426"/>
        </w:tabs>
        <w:spacing w:before="240" w:after="240" w:line="360" w:lineRule="auto"/>
        <w:jc w:val="both"/>
        <w:rPr>
          <w:rFonts w:ascii="Palatino Linotype" w:hAnsi="Palatino Linotype"/>
        </w:rPr>
      </w:pPr>
      <w:r w:rsidRPr="00624ACF">
        <w:rPr>
          <w:rFonts w:ascii="Palatino Linotype" w:eastAsia="Calibri" w:hAnsi="Palatino Linotype" w:cs="Arial"/>
          <w:color w:val="000000" w:themeColor="text1"/>
        </w:rPr>
        <w:t xml:space="preserve">De </w:t>
      </w:r>
      <w:r w:rsidRPr="00624ACF">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70D710F" w14:textId="77777777" w:rsidR="0078043E" w:rsidRPr="00624ACF" w:rsidRDefault="0078043E" w:rsidP="0078043E">
      <w:pPr>
        <w:pStyle w:val="Prrafodelista"/>
        <w:tabs>
          <w:tab w:val="left" w:pos="426"/>
        </w:tabs>
        <w:spacing w:before="240" w:after="240" w:line="360" w:lineRule="auto"/>
        <w:ind w:left="0"/>
        <w:jc w:val="both"/>
        <w:rPr>
          <w:rFonts w:ascii="Palatino Linotype" w:hAnsi="Palatino Linotype"/>
        </w:rPr>
      </w:pPr>
    </w:p>
    <w:p w14:paraId="59B73892" w14:textId="77777777" w:rsidR="0078043E" w:rsidRPr="00624ACF" w:rsidRDefault="0078043E" w:rsidP="0078043E">
      <w:pPr>
        <w:pStyle w:val="Prrafodelista"/>
        <w:numPr>
          <w:ilvl w:val="0"/>
          <w:numId w:val="1"/>
        </w:numPr>
        <w:tabs>
          <w:tab w:val="left" w:pos="426"/>
        </w:tabs>
        <w:spacing w:before="240" w:after="240" w:line="360" w:lineRule="auto"/>
        <w:jc w:val="both"/>
        <w:rPr>
          <w:rFonts w:ascii="Palatino Linotype" w:hAnsi="Palatino Linotype"/>
        </w:rPr>
      </w:pPr>
      <w:r w:rsidRPr="00624ACF">
        <w:rPr>
          <w:rFonts w:ascii="Palatino Linotype" w:eastAsia="Calibri" w:hAnsi="Palatino Linotype" w:cs="Arial"/>
        </w:rPr>
        <w:t xml:space="preserve">Argumento </w:t>
      </w:r>
      <w:r w:rsidRPr="00624ACF">
        <w:rPr>
          <w:rFonts w:ascii="Palatino Linotype" w:hAnsi="Palatino Linotype"/>
        </w:rPr>
        <w:t>que encuentra sustento en la jurisprudencia P</w:t>
      </w:r>
      <w:proofErr w:type="gramStart"/>
      <w:r w:rsidRPr="00624ACF">
        <w:rPr>
          <w:rFonts w:ascii="Palatino Linotype" w:hAnsi="Palatino Linotype"/>
        </w:rPr>
        <w:t>./</w:t>
      </w:r>
      <w:proofErr w:type="gramEnd"/>
      <w:r w:rsidRPr="00624ACF">
        <w:rPr>
          <w:rFonts w:ascii="Palatino Linotype" w:hAnsi="Palatino Linotype"/>
        </w:rPr>
        <w:t xml:space="preserve">J. 32/92 emitida por el Pleno de la Suprema Corte de Justicia de la Nación de rubro </w:t>
      </w:r>
      <w:r w:rsidRPr="00624ACF">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624ACF">
        <w:rPr>
          <w:rStyle w:val="Refdenotaalpie"/>
          <w:rFonts w:ascii="Palatino Linotype" w:hAnsi="Palatino Linotype"/>
          <w:i/>
        </w:rPr>
        <w:footnoteReference w:id="1"/>
      </w:r>
      <w:r w:rsidRPr="00624ACF">
        <w:rPr>
          <w:rFonts w:ascii="Palatino Linotype" w:hAnsi="Palatino Linotype"/>
        </w:rPr>
        <w:t>, visible en la Gaceta del Seminario Judicial de la Federación con el registro digital 205635.</w:t>
      </w:r>
    </w:p>
    <w:p w14:paraId="65021712" w14:textId="77777777" w:rsidR="0078043E" w:rsidRPr="00624ACF" w:rsidRDefault="0078043E" w:rsidP="0078043E">
      <w:pPr>
        <w:pStyle w:val="Prrafodelista"/>
        <w:tabs>
          <w:tab w:val="left" w:pos="426"/>
        </w:tabs>
        <w:spacing w:before="240" w:after="240" w:line="360" w:lineRule="auto"/>
        <w:ind w:left="0"/>
        <w:jc w:val="both"/>
        <w:rPr>
          <w:rFonts w:ascii="Palatino Linotype" w:hAnsi="Palatino Linotype"/>
        </w:rPr>
      </w:pPr>
    </w:p>
    <w:p w14:paraId="1C3C0C2C" w14:textId="77777777" w:rsidR="0078043E" w:rsidRPr="00624ACF" w:rsidRDefault="0078043E" w:rsidP="0078043E">
      <w:pPr>
        <w:pStyle w:val="Prrafodelista"/>
        <w:numPr>
          <w:ilvl w:val="0"/>
          <w:numId w:val="1"/>
        </w:numPr>
        <w:tabs>
          <w:tab w:val="left" w:pos="426"/>
        </w:tabs>
        <w:spacing w:before="240" w:after="240" w:line="360" w:lineRule="auto"/>
        <w:jc w:val="both"/>
        <w:rPr>
          <w:rFonts w:ascii="Palatino Linotype" w:hAnsi="Palatino Linotype"/>
        </w:rPr>
      </w:pPr>
      <w:r w:rsidRPr="00624ACF">
        <w:rPr>
          <w:rFonts w:ascii="Palatino Linotype" w:eastAsia="Calibri" w:hAnsi="Palatino Linotype" w:cs="Arial"/>
        </w:rPr>
        <w:t xml:space="preserve">Razones </w:t>
      </w:r>
      <w:r w:rsidRPr="00624ACF">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6ABA669" w14:textId="77777777" w:rsidR="0078043E" w:rsidRPr="00624ACF" w:rsidRDefault="0078043E" w:rsidP="0078043E">
      <w:pPr>
        <w:pStyle w:val="Prrafodelista"/>
        <w:tabs>
          <w:tab w:val="left" w:pos="426"/>
        </w:tabs>
        <w:spacing w:before="240" w:after="240" w:line="360" w:lineRule="auto"/>
        <w:ind w:left="0"/>
        <w:jc w:val="both"/>
        <w:rPr>
          <w:rFonts w:ascii="Palatino Linotype" w:hAnsi="Palatino Linotype"/>
        </w:rPr>
      </w:pPr>
    </w:p>
    <w:p w14:paraId="421BED5A" w14:textId="77777777" w:rsidR="0078043E" w:rsidRPr="00624ACF" w:rsidRDefault="0078043E" w:rsidP="0078043E">
      <w:pPr>
        <w:pStyle w:val="Prrafodelista"/>
        <w:numPr>
          <w:ilvl w:val="0"/>
          <w:numId w:val="1"/>
        </w:numPr>
        <w:tabs>
          <w:tab w:val="left" w:pos="426"/>
        </w:tabs>
        <w:spacing w:before="240" w:after="240" w:line="360" w:lineRule="auto"/>
        <w:jc w:val="both"/>
        <w:rPr>
          <w:rFonts w:ascii="Palatino Linotype" w:hAnsi="Palatino Linotype"/>
        </w:rPr>
      </w:pPr>
      <w:r w:rsidRPr="00624ACF">
        <w:rPr>
          <w:rFonts w:ascii="Palatino Linotype" w:eastAsia="Calibri" w:hAnsi="Palatino Linotype" w:cs="Arial"/>
        </w:rPr>
        <w:t xml:space="preserve">Por </w:t>
      </w:r>
      <w:r w:rsidRPr="00624ACF">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446D5C0E" w14:textId="77777777" w:rsidR="0078043E" w:rsidRPr="00624ACF" w:rsidRDefault="0078043E" w:rsidP="0078043E">
      <w:pPr>
        <w:pStyle w:val="Prrafodelista"/>
        <w:tabs>
          <w:tab w:val="left" w:pos="426"/>
        </w:tabs>
        <w:spacing w:before="240" w:after="240" w:line="360" w:lineRule="auto"/>
        <w:ind w:left="0"/>
        <w:jc w:val="both"/>
        <w:rPr>
          <w:rFonts w:ascii="Palatino Linotype" w:hAnsi="Palatino Linotype"/>
        </w:rPr>
      </w:pPr>
    </w:p>
    <w:p w14:paraId="32714E11" w14:textId="77777777" w:rsidR="0078043E" w:rsidRPr="00624ACF" w:rsidRDefault="0078043E" w:rsidP="0078043E">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eastAsia="Calibri" w:hAnsi="Palatino Linotype" w:cs="Arial"/>
        </w:rPr>
        <w:t xml:space="preserve">Al </w:t>
      </w:r>
      <w:r w:rsidRPr="00624ACF">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3FCCB8DE" w14:textId="77777777" w:rsidR="0078043E" w:rsidRPr="00624ACF" w:rsidRDefault="0078043E" w:rsidP="0078043E">
      <w:pPr>
        <w:pStyle w:val="Prrafodelista"/>
        <w:tabs>
          <w:tab w:val="left" w:pos="426"/>
        </w:tabs>
        <w:spacing w:line="360" w:lineRule="auto"/>
        <w:ind w:left="0"/>
        <w:jc w:val="both"/>
        <w:rPr>
          <w:rFonts w:ascii="Palatino Linotype" w:hAnsi="Palatino Linotype"/>
          <w:color w:val="000000" w:themeColor="text1"/>
        </w:rPr>
      </w:pPr>
    </w:p>
    <w:p w14:paraId="2BDCFC8F" w14:textId="77777777" w:rsidR="0078043E" w:rsidRPr="00624ACF" w:rsidRDefault="0078043E" w:rsidP="0078043E">
      <w:pPr>
        <w:pStyle w:val="Prrafodelista"/>
        <w:spacing w:line="276" w:lineRule="auto"/>
        <w:ind w:left="567" w:right="567"/>
        <w:jc w:val="both"/>
        <w:rPr>
          <w:rFonts w:ascii="Palatino Linotype" w:hAnsi="Palatino Linotype"/>
          <w:i/>
          <w:sz w:val="22"/>
        </w:rPr>
      </w:pPr>
      <w:r w:rsidRPr="00624ACF">
        <w:rPr>
          <w:rFonts w:ascii="Palatino Linotype" w:hAnsi="Palatino Linotype"/>
          <w:b/>
          <w:i/>
          <w:sz w:val="22"/>
        </w:rPr>
        <w:t>PLAZO RAZONABLE PARA RESOLVER. DIMENSIÓN Y EFECTOS DE ESTE CONCEPTO CUANDO SE ADUCE EXCESIVA CARGA DE TRABAJO.</w:t>
      </w:r>
      <w:r w:rsidRPr="00624ACF">
        <w:rPr>
          <w:rFonts w:ascii="Palatino Linotype" w:hAnsi="Palatino Linotype"/>
          <w:i/>
          <w:sz w:val="22"/>
        </w:rPr>
        <w:t xml:space="preserve"> “A partir de la vigencia de la Convención Americana sobre Derechos Humanos y otros </w:t>
      </w:r>
      <w:r w:rsidRPr="00624ACF">
        <w:rPr>
          <w:rFonts w:ascii="Palatino Linotype" w:hAnsi="Palatino Linotype"/>
          <w:i/>
          <w:sz w:val="22"/>
        </w:rPr>
        <w:lastRenderedPageBreak/>
        <w:t>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624ACF">
        <w:rPr>
          <w:rStyle w:val="Refdenotaalpie"/>
          <w:rFonts w:ascii="Palatino Linotype" w:hAnsi="Palatino Linotype"/>
          <w:i/>
          <w:sz w:val="22"/>
        </w:rPr>
        <w:footnoteReference w:id="2"/>
      </w:r>
    </w:p>
    <w:p w14:paraId="57D1C09B" w14:textId="77777777" w:rsidR="0078043E" w:rsidRPr="00624ACF" w:rsidRDefault="0078043E" w:rsidP="0078043E">
      <w:pPr>
        <w:pStyle w:val="Prrafodelista"/>
        <w:spacing w:line="276" w:lineRule="auto"/>
        <w:ind w:left="567" w:right="567"/>
        <w:jc w:val="both"/>
        <w:rPr>
          <w:rFonts w:ascii="Palatino Linotype" w:hAnsi="Palatino Linotype"/>
          <w:i/>
          <w:sz w:val="22"/>
        </w:rPr>
      </w:pPr>
    </w:p>
    <w:p w14:paraId="24D6DF2A" w14:textId="77777777" w:rsidR="0078043E" w:rsidRPr="00624ACF" w:rsidRDefault="0078043E" w:rsidP="0078043E">
      <w:pPr>
        <w:pStyle w:val="Prrafodelista"/>
        <w:spacing w:line="276" w:lineRule="auto"/>
        <w:ind w:left="567" w:right="567"/>
        <w:jc w:val="both"/>
        <w:rPr>
          <w:rFonts w:ascii="Palatino Linotype" w:hAnsi="Palatino Linotype"/>
          <w:i/>
          <w:sz w:val="22"/>
        </w:rPr>
      </w:pPr>
      <w:r w:rsidRPr="00624ACF">
        <w:rPr>
          <w:rFonts w:ascii="Palatino Linotype" w:hAnsi="Palatino Linotype"/>
          <w:b/>
          <w:i/>
          <w:sz w:val="22"/>
        </w:rPr>
        <w:t>PLAZO RAZONABLE PARA RESOLVER. CONCEPTO Y ELEMENTOS QUE LO INTEGRAN A LA LUZ DEL DERECHO INTERNACIONAL DE LOS DERECHOS HUMANOS.</w:t>
      </w:r>
      <w:r w:rsidRPr="00624ACF">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w:t>
      </w:r>
      <w:r w:rsidRPr="00624ACF">
        <w:rPr>
          <w:rFonts w:ascii="Palatino Linotype" w:hAnsi="Palatino Linotype"/>
          <w:i/>
          <w:sz w:val="22"/>
        </w:rPr>
        <w:lastRenderedPageBreak/>
        <w:t>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624ACF">
        <w:rPr>
          <w:rStyle w:val="Refdenotaalpie"/>
          <w:rFonts w:ascii="Palatino Linotype" w:hAnsi="Palatino Linotype"/>
          <w:i/>
          <w:sz w:val="22"/>
        </w:rPr>
        <w:footnoteReference w:id="3"/>
      </w:r>
    </w:p>
    <w:p w14:paraId="623C1477" w14:textId="77777777" w:rsidR="0078043E" w:rsidRPr="00624ACF" w:rsidRDefault="0078043E" w:rsidP="0078043E">
      <w:pPr>
        <w:pStyle w:val="Prrafodelista"/>
        <w:tabs>
          <w:tab w:val="left" w:pos="426"/>
        </w:tabs>
        <w:spacing w:line="360" w:lineRule="auto"/>
        <w:ind w:left="0"/>
        <w:jc w:val="both"/>
        <w:rPr>
          <w:rFonts w:ascii="Palatino Linotype" w:hAnsi="Palatino Linotype"/>
          <w:color w:val="000000" w:themeColor="text1"/>
        </w:rPr>
      </w:pPr>
    </w:p>
    <w:p w14:paraId="2BB4E9E7" w14:textId="35E9FAA3" w:rsidR="004146FC" w:rsidRPr="00624ACF" w:rsidRDefault="0078043E" w:rsidP="0078043E">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eastAsia="Calibri" w:hAnsi="Palatino Linotype" w:cs="Arial"/>
          <w:color w:val="000000" w:themeColor="text1"/>
        </w:rPr>
        <w:t xml:space="preserve">Por </w:t>
      </w:r>
      <w:r w:rsidRPr="00624ACF">
        <w:rPr>
          <w:rFonts w:ascii="Palatino Linotype" w:hAnsi="Palatino Linotype"/>
        </w:rPr>
        <w:t>ello, este Organismo Garante, comprometido con la tutela de los derechos humanos confiados, señala que este exceso del plazo legal para resolver el presente asunto, resulta de carácter excepcional. ----------------------------------------------------------</w:t>
      </w:r>
    </w:p>
    <w:p w14:paraId="528BBB12" w14:textId="77777777" w:rsidR="00D2706E" w:rsidRPr="00624ACF" w:rsidRDefault="00D2706E" w:rsidP="00D2706E">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Pr="00624ACF" w:rsidRDefault="0096234B" w:rsidP="00E6530C">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624ACF" w:rsidRDefault="007C0013" w:rsidP="00E6530C">
      <w:pPr>
        <w:pStyle w:val="Ttulo1"/>
        <w:spacing w:before="0"/>
        <w:jc w:val="center"/>
        <w:rPr>
          <w:b/>
          <w:color w:val="000000" w:themeColor="text1"/>
        </w:rPr>
      </w:pPr>
      <w:bookmarkStart w:id="9" w:name="_Toc86945039"/>
      <w:r w:rsidRPr="00624ACF">
        <w:rPr>
          <w:b/>
          <w:color w:val="000000" w:themeColor="text1"/>
        </w:rPr>
        <w:t>CONSIDERANDO</w:t>
      </w:r>
      <w:bookmarkEnd w:id="4"/>
      <w:bookmarkEnd w:id="5"/>
      <w:bookmarkEnd w:id="9"/>
    </w:p>
    <w:p w14:paraId="435CF9A4" w14:textId="77777777" w:rsidR="00FC1DA7" w:rsidRPr="00624ACF" w:rsidRDefault="00FC1DA7" w:rsidP="00E6530C">
      <w:pPr>
        <w:rPr>
          <w:color w:val="000000" w:themeColor="text1"/>
          <w:lang w:eastAsia="en-US"/>
        </w:rPr>
      </w:pPr>
    </w:p>
    <w:p w14:paraId="629A5BE2" w14:textId="56C3E7D5" w:rsidR="007C0013" w:rsidRPr="00624ACF" w:rsidRDefault="007C0013" w:rsidP="00E6530C">
      <w:pPr>
        <w:pStyle w:val="Ttulo2"/>
        <w:spacing w:before="0"/>
        <w:rPr>
          <w:rFonts w:ascii="Palatino Linotype" w:hAnsi="Palatino Linotype"/>
          <w:b/>
          <w:color w:val="000000" w:themeColor="text1"/>
          <w:sz w:val="24"/>
        </w:rPr>
      </w:pPr>
      <w:bookmarkStart w:id="10" w:name="_Toc461555890"/>
      <w:bookmarkStart w:id="11" w:name="_Toc466371859"/>
      <w:bookmarkStart w:id="12" w:name="_Toc86945040"/>
      <w:r w:rsidRPr="00624ACF">
        <w:rPr>
          <w:rFonts w:ascii="Palatino Linotype" w:hAnsi="Palatino Linotype"/>
          <w:b/>
          <w:color w:val="000000" w:themeColor="text1"/>
          <w:sz w:val="24"/>
        </w:rPr>
        <w:t>PRIMERO. De la competencia</w:t>
      </w:r>
      <w:bookmarkEnd w:id="10"/>
      <w:bookmarkEnd w:id="11"/>
      <w:bookmarkEnd w:id="12"/>
    </w:p>
    <w:p w14:paraId="60FBD8C7" w14:textId="77777777" w:rsidR="00FC1DA7" w:rsidRPr="00624ACF" w:rsidRDefault="00FC1DA7" w:rsidP="00E6530C">
      <w:pPr>
        <w:rPr>
          <w:rFonts w:ascii="Palatino Linotype" w:hAnsi="Palatino Linotype"/>
          <w:color w:val="000000" w:themeColor="text1"/>
          <w:lang w:eastAsia="en-US"/>
        </w:rPr>
      </w:pPr>
    </w:p>
    <w:p w14:paraId="0BF52B18" w14:textId="515C3AEB" w:rsidR="005A228F" w:rsidRPr="00624ACF" w:rsidRDefault="00A45546" w:rsidP="00E6530C">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624ACF">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624ACF">
        <w:rPr>
          <w:rFonts w:ascii="Palatino Linotype" w:eastAsia="Calibri" w:hAnsi="Palatino Linotype" w:cs="Times New Roman"/>
          <w:color w:val="000000" w:themeColor="text1"/>
          <w:lang w:val="es-ES"/>
        </w:rPr>
        <w:t xml:space="preserve">etente para conocer y resolver </w:t>
      </w:r>
      <w:r w:rsidRPr="00624ACF">
        <w:rPr>
          <w:rFonts w:ascii="Palatino Linotype" w:eastAsia="Calibri" w:hAnsi="Palatino Linotype" w:cs="Times New Roman"/>
          <w:color w:val="000000" w:themeColor="text1"/>
          <w:lang w:val="es-ES"/>
        </w:rPr>
        <w:t xml:space="preserve">el presente recurso de conformidad con el artículo: 6, apartado A, fracción IV de la </w:t>
      </w:r>
      <w:r w:rsidRPr="00624ACF">
        <w:rPr>
          <w:rFonts w:ascii="Palatino Linotype" w:eastAsia="Calibri" w:hAnsi="Palatino Linotype" w:cs="Times New Roman"/>
          <w:b/>
          <w:color w:val="000000" w:themeColor="text1"/>
          <w:lang w:val="es-ES"/>
        </w:rPr>
        <w:t>Constitución Política de los Estados Unidos Mexicanos</w:t>
      </w:r>
      <w:r w:rsidRPr="00624ACF">
        <w:rPr>
          <w:rFonts w:ascii="Palatino Linotype" w:eastAsia="Calibri" w:hAnsi="Palatino Linotype" w:cs="Times New Roman"/>
          <w:color w:val="000000" w:themeColor="text1"/>
          <w:lang w:val="es-ES"/>
        </w:rPr>
        <w:t xml:space="preserve">; 5, párrafos </w:t>
      </w:r>
      <w:r w:rsidR="000B7C4F" w:rsidRPr="00624ACF">
        <w:rPr>
          <w:rFonts w:ascii="Palatino Linotype" w:eastAsia="Calibri" w:hAnsi="Palatino Linotype" w:cs="Times New Roman"/>
          <w:color w:val="000000" w:themeColor="text1"/>
          <w:lang w:val="es-ES"/>
        </w:rPr>
        <w:t>trigésimo, trigésimo primero y trigésimo segundo</w:t>
      </w:r>
      <w:r w:rsidR="004F785F" w:rsidRPr="00624ACF">
        <w:rPr>
          <w:rFonts w:ascii="Palatino Linotype" w:eastAsia="Calibri" w:hAnsi="Palatino Linotype" w:cs="Times New Roman"/>
          <w:color w:val="000000" w:themeColor="text1"/>
          <w:lang w:val="es-ES"/>
        </w:rPr>
        <w:t>,</w:t>
      </w:r>
      <w:r w:rsidRPr="00624ACF">
        <w:rPr>
          <w:rFonts w:ascii="Palatino Linotype" w:eastAsia="Calibri" w:hAnsi="Palatino Linotype" w:cs="Times New Roman"/>
          <w:color w:val="000000" w:themeColor="text1"/>
          <w:lang w:val="es-ES"/>
        </w:rPr>
        <w:t xml:space="preserve"> fracciones IV y V</w:t>
      </w:r>
      <w:r w:rsidR="004F785F" w:rsidRPr="00624ACF">
        <w:rPr>
          <w:rFonts w:ascii="Palatino Linotype" w:eastAsia="Calibri" w:hAnsi="Palatino Linotype" w:cs="Times New Roman"/>
          <w:color w:val="000000" w:themeColor="text1"/>
          <w:lang w:val="es-ES"/>
        </w:rPr>
        <w:t>,</w:t>
      </w:r>
      <w:r w:rsidRPr="00624ACF">
        <w:rPr>
          <w:rFonts w:ascii="Palatino Linotype" w:eastAsia="Calibri" w:hAnsi="Palatino Linotype" w:cs="Times New Roman"/>
          <w:color w:val="000000" w:themeColor="text1"/>
          <w:lang w:val="es-ES"/>
        </w:rPr>
        <w:t xml:space="preserve"> de la </w:t>
      </w:r>
      <w:r w:rsidRPr="00624ACF">
        <w:rPr>
          <w:rFonts w:ascii="Palatino Linotype" w:eastAsia="Calibri" w:hAnsi="Palatino Linotype" w:cs="Times New Roman"/>
          <w:b/>
          <w:color w:val="000000" w:themeColor="text1"/>
          <w:lang w:val="es-ES"/>
        </w:rPr>
        <w:t>Constitución Política del Estado Libre y Soberano de México</w:t>
      </w:r>
      <w:r w:rsidRPr="00624ACF">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624ACF">
        <w:rPr>
          <w:rFonts w:ascii="Palatino Linotype" w:eastAsia="Calibri" w:hAnsi="Palatino Linotype" w:cs="Arial"/>
          <w:color w:val="000000" w:themeColor="text1"/>
          <w:lang w:val="es-ES"/>
        </w:rPr>
        <w:t xml:space="preserve">de la </w:t>
      </w:r>
      <w:r w:rsidRPr="00624ACF">
        <w:rPr>
          <w:rFonts w:ascii="Palatino Linotype" w:eastAsia="Calibri" w:hAnsi="Palatino Linotype" w:cs="Arial"/>
          <w:b/>
          <w:color w:val="000000" w:themeColor="text1"/>
          <w:lang w:val="es-ES"/>
        </w:rPr>
        <w:t>Ley de Transparencia y Acceso a la Información Pública del Estado de México y Municipios</w:t>
      </w:r>
      <w:r w:rsidRPr="00624ACF">
        <w:rPr>
          <w:rFonts w:ascii="Palatino Linotype" w:eastAsia="Calibri" w:hAnsi="Palatino Linotype" w:cs="Arial"/>
          <w:color w:val="000000" w:themeColor="text1"/>
          <w:lang w:val="es-ES"/>
        </w:rPr>
        <w:t xml:space="preserve">; y 10, 7, 9 fracciones I y XXIV, y 11 del </w:t>
      </w:r>
      <w:r w:rsidRPr="00624ACF">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624ACF" w:rsidRDefault="00B76C73" w:rsidP="00E6530C">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624ACF" w:rsidRDefault="007C0013" w:rsidP="00E6530C">
      <w:pPr>
        <w:pStyle w:val="Ttulo2"/>
        <w:tabs>
          <w:tab w:val="left" w:pos="426"/>
        </w:tabs>
        <w:spacing w:before="0"/>
        <w:rPr>
          <w:rFonts w:ascii="Palatino Linotype" w:hAnsi="Palatino Linotype"/>
          <w:b/>
          <w:color w:val="000000" w:themeColor="text1"/>
          <w:sz w:val="24"/>
        </w:rPr>
      </w:pPr>
      <w:bookmarkStart w:id="13" w:name="_Toc461555891"/>
      <w:bookmarkStart w:id="14" w:name="_Toc466371860"/>
      <w:bookmarkStart w:id="15" w:name="_Toc86945041"/>
      <w:r w:rsidRPr="00624ACF">
        <w:rPr>
          <w:rFonts w:ascii="Palatino Linotype" w:hAnsi="Palatino Linotype"/>
          <w:b/>
          <w:color w:val="000000" w:themeColor="text1"/>
          <w:sz w:val="24"/>
        </w:rPr>
        <w:t>SEGUNDO. De la oportunidad y proced</w:t>
      </w:r>
      <w:r w:rsidR="00F35C44" w:rsidRPr="00624ACF">
        <w:rPr>
          <w:rFonts w:ascii="Palatino Linotype" w:hAnsi="Palatino Linotype"/>
          <w:b/>
          <w:color w:val="000000" w:themeColor="text1"/>
          <w:sz w:val="24"/>
        </w:rPr>
        <w:t>encia</w:t>
      </w:r>
      <w:r w:rsidRPr="00624ACF">
        <w:rPr>
          <w:rFonts w:ascii="Palatino Linotype" w:hAnsi="Palatino Linotype"/>
          <w:b/>
          <w:color w:val="000000" w:themeColor="text1"/>
          <w:sz w:val="24"/>
        </w:rPr>
        <w:t>.</w:t>
      </w:r>
      <w:bookmarkEnd w:id="13"/>
      <w:bookmarkEnd w:id="14"/>
      <w:bookmarkEnd w:id="15"/>
    </w:p>
    <w:p w14:paraId="18E22450" w14:textId="77777777" w:rsidR="00C6440A" w:rsidRPr="00624ACF" w:rsidRDefault="00C6440A" w:rsidP="00E6530C">
      <w:pPr>
        <w:rPr>
          <w:color w:val="000000" w:themeColor="text1"/>
          <w:lang w:eastAsia="en-US"/>
        </w:rPr>
      </w:pPr>
    </w:p>
    <w:p w14:paraId="128DBB3E" w14:textId="77777777" w:rsidR="006F5FB2" w:rsidRPr="00624ACF" w:rsidRDefault="003E6D0F" w:rsidP="006F5FB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24ACF">
        <w:rPr>
          <w:rFonts w:ascii="Palatino Linotype" w:eastAsia="Calibri" w:hAnsi="Palatino Linotype" w:cs="Arial"/>
          <w:color w:val="000000" w:themeColor="text1"/>
        </w:rPr>
        <w:t>E</w:t>
      </w:r>
      <w:r w:rsidR="006F5FB2" w:rsidRPr="00624ACF">
        <w:rPr>
          <w:rFonts w:ascii="Palatino Linotype" w:eastAsia="Calibri" w:hAnsi="Palatino Linotype" w:cs="Arial"/>
          <w:color w:val="000000" w:themeColor="text1"/>
        </w:rPr>
        <w:t xml:space="preserve">s de </w:t>
      </w:r>
      <w:r w:rsidR="006F5FB2" w:rsidRPr="00624ACF">
        <w:rPr>
          <w:rFonts w:ascii="Palatino Linotype" w:eastAsia="Calibri" w:hAnsi="Palatino Linotype" w:cs="Arial"/>
          <w:color w:val="000000" w:themeColor="text1"/>
          <w:lang w:val="es-ES"/>
        </w:rPr>
        <w:t xml:space="preserve">precisar, que la Ley de Transparencia y Acceso a la Información Pública del Estado de México y Municipios, en el artículo 178 describe la procedencia del recurso de revisión, asimismo señala que el plazo del </w:t>
      </w:r>
      <w:r w:rsidR="006F5FB2" w:rsidRPr="00624ACF">
        <w:rPr>
          <w:rFonts w:ascii="Palatino Linotype" w:eastAsia="Calibri" w:hAnsi="Palatino Linotype" w:cs="Arial"/>
          <w:b/>
          <w:color w:val="000000" w:themeColor="text1"/>
          <w:lang w:val="es-ES"/>
        </w:rPr>
        <w:t>SUJETO OBLIGADO</w:t>
      </w:r>
      <w:r w:rsidR="006F5FB2" w:rsidRPr="00624ACF">
        <w:rPr>
          <w:rFonts w:ascii="Palatino Linotype" w:eastAsia="Calibri" w:hAnsi="Palatino Linotype" w:cs="Arial"/>
          <w:color w:val="000000" w:themeColor="text1"/>
          <w:lang w:val="es-ES"/>
        </w:rPr>
        <w:t xml:space="preserve"> para entregar la respuesta a una solicitud de información pública, es de 15 días hábiles posteriores a la presentación de ésta; por lo que transcurrido este término, cuando no entregue la respuesta a la solicitud dentro del plazo previsto en la Ley, la solicitud se entenderá negada y el </w:t>
      </w:r>
      <w:r w:rsidR="006F5FB2" w:rsidRPr="00624ACF">
        <w:rPr>
          <w:rFonts w:ascii="Palatino Linotype" w:eastAsia="Calibri" w:hAnsi="Palatino Linotype" w:cs="Arial"/>
          <w:bCs/>
          <w:color w:val="000000" w:themeColor="text1"/>
          <w:lang w:val="es-ES"/>
        </w:rPr>
        <w:t>particular</w:t>
      </w:r>
      <w:r w:rsidR="006F5FB2" w:rsidRPr="00624ACF">
        <w:rPr>
          <w:rFonts w:ascii="Palatino Linotype" w:eastAsia="Calibri" w:hAnsi="Palatino Linotype" w:cs="Arial"/>
          <w:color w:val="000000" w:themeColor="text1"/>
          <w:lang w:val="es-ES"/>
        </w:rPr>
        <w:t xml:space="preserve"> podrá interponer el recurso de revisión previsto en el ordenamiento en cita.</w:t>
      </w:r>
    </w:p>
    <w:p w14:paraId="6254ECFF" w14:textId="77777777" w:rsidR="006F5FB2" w:rsidRPr="00624ACF" w:rsidRDefault="006F5FB2" w:rsidP="006F5FB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F14EAAB" w14:textId="77777777" w:rsidR="006F5FB2" w:rsidRPr="00624ACF" w:rsidRDefault="006F5FB2" w:rsidP="006F5FB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24ACF">
        <w:rPr>
          <w:rFonts w:ascii="Palatino Linotype" w:eastAsia="Calibri" w:hAnsi="Palatino Linotype" w:cs="Arial"/>
          <w:color w:val="000000" w:themeColor="text1"/>
        </w:rPr>
        <w:t xml:space="preserve">Por </w:t>
      </w:r>
      <w:r w:rsidRPr="00624ACF">
        <w:rPr>
          <w:rFonts w:ascii="Palatino Linotype" w:eastAsia="Calibri" w:hAnsi="Palatino Linotype" w:cs="Arial"/>
          <w:lang w:val="es-ES"/>
        </w:rPr>
        <w:t xml:space="preserve">ende, se constituye la figura jurídica de la </w:t>
      </w:r>
      <w:r w:rsidRPr="00624ACF">
        <w:rPr>
          <w:rFonts w:ascii="Palatino Linotype" w:eastAsia="Calibri" w:hAnsi="Palatino Linotype" w:cs="Arial"/>
          <w:i/>
          <w:lang w:val="es-ES"/>
        </w:rPr>
        <w:t>negativa ficta</w:t>
      </w:r>
      <w:r w:rsidRPr="00624ACF">
        <w:rPr>
          <w:rFonts w:ascii="Palatino Linotype" w:eastAsia="Calibri" w:hAnsi="Palatino Linotype" w:cs="Arial"/>
          <w:lang w:val="es-ES"/>
        </w:rPr>
        <w:t>, cuya esencia es atribuir un efecto negativo al silencio de la autoridad administrativa frente a las instancias y solicitudes que hagan los particulares, lo cual encuentra sustento en lo que establece el artículo 178 segundo párrafo de la Ley de Transparencia y Acceso a la Información Pública del Estado de México y Municipios</w:t>
      </w:r>
      <w:r w:rsidRPr="00624ACF">
        <w:rPr>
          <w:rFonts w:ascii="Palatino Linotype" w:eastAsia="Calibri" w:hAnsi="Palatino Linotype" w:cs="Arial"/>
        </w:rPr>
        <w:t xml:space="preserve">, el cual dispone que, ante la falta de respuesta del </w:t>
      </w:r>
      <w:r w:rsidRPr="00624ACF">
        <w:rPr>
          <w:rFonts w:ascii="Palatino Linotype" w:eastAsia="Calibri" w:hAnsi="Palatino Linotype" w:cs="Arial"/>
          <w:b/>
        </w:rPr>
        <w:t>SUJETO OBLIGADO,</w:t>
      </w:r>
      <w:r w:rsidRPr="00624ACF">
        <w:rPr>
          <w:rFonts w:ascii="Palatino Linotype" w:eastAsia="Calibri" w:hAnsi="Palatino Linotype" w:cs="Arial"/>
        </w:rPr>
        <w:t xml:space="preserve"> dentro de los plazos establecidos en esta Ley, a una solicitud de acceso a la información pública, el recurso </w:t>
      </w:r>
      <w:r w:rsidRPr="00624ACF">
        <w:rPr>
          <w:rFonts w:ascii="Palatino Linotype" w:eastAsia="Calibri" w:hAnsi="Palatino Linotype" w:cs="Arial"/>
          <w:b/>
        </w:rPr>
        <w:t>podrá ser interpuesto en cualquier momento.</w:t>
      </w:r>
    </w:p>
    <w:p w14:paraId="107BA1E1" w14:textId="77777777" w:rsidR="006F5FB2" w:rsidRPr="00624ACF" w:rsidRDefault="006F5FB2" w:rsidP="006F5FB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1FDDCAC" w14:textId="77777777" w:rsidR="006F5FB2" w:rsidRPr="00624ACF" w:rsidRDefault="006F5FB2" w:rsidP="006F5FB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24ACF">
        <w:rPr>
          <w:rFonts w:ascii="Palatino Linotype" w:eastAsia="Calibri" w:hAnsi="Palatino Linotype" w:cs="Arial"/>
          <w:color w:val="000000" w:themeColor="text1"/>
        </w:rPr>
        <w:t xml:space="preserve">Por </w:t>
      </w:r>
      <w:r w:rsidRPr="00624ACF">
        <w:rPr>
          <w:rFonts w:ascii="Palatino Linotype" w:eastAsia="Calibri" w:hAnsi="Palatino Linotype" w:cs="Arial"/>
          <w:lang w:val="es-ES"/>
        </w:rPr>
        <w:t xml:space="preserve">lo que tratándose de la </w:t>
      </w:r>
      <w:r w:rsidRPr="00624ACF">
        <w:rPr>
          <w:rFonts w:ascii="Palatino Linotype" w:eastAsia="Calibri" w:hAnsi="Palatino Linotype" w:cs="Arial"/>
          <w:i/>
          <w:lang w:val="es-ES"/>
        </w:rPr>
        <w:t>negativa ficta,</w:t>
      </w:r>
      <w:r w:rsidRPr="00624ACF">
        <w:rPr>
          <w:rFonts w:ascii="Palatino Linotype" w:eastAsia="Calibri" w:hAnsi="Palatino Linotype" w:cs="Arial"/>
          <w:lang w:val="es-ES"/>
        </w:rPr>
        <w:t xml:space="preserve"> no existe respuesta que se haga del conocimiento al </w:t>
      </w:r>
      <w:r w:rsidRPr="00624ACF">
        <w:rPr>
          <w:rFonts w:ascii="Palatino Linotype" w:eastAsia="Calibri" w:hAnsi="Palatino Linotype" w:cs="Arial"/>
          <w:b/>
          <w:lang w:val="es-ES"/>
        </w:rPr>
        <w:t>SOLICITANTE</w:t>
      </w:r>
      <w:r w:rsidRPr="00624ACF">
        <w:rPr>
          <w:rFonts w:ascii="Palatino Linotype" w:eastAsia="Calibri" w:hAnsi="Palatino Linotype" w:cs="Arial"/>
          <w:lang w:val="es-ES"/>
        </w:rPr>
        <w:t xml:space="preserve">,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w:t>
      </w:r>
      <w:r w:rsidRPr="00624ACF">
        <w:rPr>
          <w:rFonts w:ascii="Palatino Linotype" w:eastAsia="Calibri" w:hAnsi="Palatino Linotype" w:cs="Arial"/>
          <w:b/>
          <w:lang w:val="es-ES"/>
        </w:rPr>
        <w:t>001-15</w:t>
      </w:r>
      <w:r w:rsidRPr="00624ACF">
        <w:rPr>
          <w:rFonts w:ascii="Palatino Linotype" w:eastAsia="Calibri" w:hAnsi="Palatino Linotype" w:cs="Arial"/>
          <w:lang w:val="es-ES"/>
        </w:rPr>
        <w:t xml:space="preserve">,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624ACF">
        <w:rPr>
          <w:rFonts w:ascii="Palatino Linotype" w:eastAsia="Calibri" w:hAnsi="Palatino Linotype" w:cs="Arial"/>
          <w:i/>
          <w:lang w:val="es-ES"/>
        </w:rPr>
        <w:t>negativa ficta</w:t>
      </w:r>
      <w:r w:rsidRPr="00624ACF">
        <w:rPr>
          <w:rFonts w:ascii="Palatino Linotype" w:eastAsia="Calibri" w:hAnsi="Palatino Linotype" w:cs="Arial"/>
          <w:lang w:val="es-ES"/>
        </w:rPr>
        <w:t>, que señala:</w:t>
      </w:r>
    </w:p>
    <w:p w14:paraId="3307AB92" w14:textId="77777777" w:rsidR="006F5FB2" w:rsidRPr="00624ACF" w:rsidRDefault="006F5FB2" w:rsidP="006F5FB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84DC7E5" w14:textId="77777777" w:rsidR="006F5FB2" w:rsidRPr="00624ACF" w:rsidRDefault="006F5FB2" w:rsidP="006F5FB2">
      <w:pPr>
        <w:pStyle w:val="Sinespaciado"/>
        <w:spacing w:line="276" w:lineRule="auto"/>
        <w:ind w:left="567" w:right="567"/>
        <w:jc w:val="both"/>
        <w:rPr>
          <w:rFonts w:ascii="Palatino Linotype" w:eastAsia="Calibri" w:hAnsi="Palatino Linotype"/>
          <w:i/>
          <w:sz w:val="22"/>
          <w:lang w:val="es-ES"/>
        </w:rPr>
      </w:pPr>
      <w:r w:rsidRPr="00624ACF">
        <w:rPr>
          <w:rFonts w:ascii="Palatino Linotype" w:eastAsia="Calibri" w:hAnsi="Palatino Linotype"/>
          <w:b/>
          <w:i/>
          <w:sz w:val="22"/>
          <w:lang w:val="es-ES"/>
        </w:rPr>
        <w:t>NEGATIVA FICTA. PLAZO PARA INTERPONER EL RECURSO DE REVISIÓN TRATÁNDOSE DE.</w:t>
      </w:r>
      <w:r w:rsidRPr="00624ACF">
        <w:rPr>
          <w:rFonts w:ascii="Palatino Linotype" w:eastAsia="Calibri" w:hAnsi="Palatino Linotype"/>
          <w:i/>
          <w:sz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w:t>
      </w:r>
      <w:r w:rsidRPr="00624ACF">
        <w:rPr>
          <w:rFonts w:ascii="Palatino Linotype" w:eastAsia="Calibri" w:hAnsi="Palatino Linotype"/>
          <w:i/>
          <w:sz w:val="22"/>
          <w:lang w:val="es-ES"/>
        </w:rPr>
        <w:lastRenderedPageBreak/>
        <w:t>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AFA7D72" w14:textId="77777777" w:rsidR="006F5FB2" w:rsidRPr="00624ACF" w:rsidRDefault="006F5FB2" w:rsidP="006F5FB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AB75C7" w14:textId="77777777" w:rsidR="006F5FB2" w:rsidRPr="00624ACF" w:rsidRDefault="006F5FB2" w:rsidP="006F5FB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24ACF">
        <w:rPr>
          <w:rFonts w:ascii="Palatino Linotype" w:eastAsia="Calibri" w:hAnsi="Palatino Linotype" w:cs="Arial"/>
          <w:color w:val="000000" w:themeColor="text1"/>
        </w:rPr>
        <w:t xml:space="preserve">Lo </w:t>
      </w:r>
      <w:r w:rsidRPr="00624ACF">
        <w:rPr>
          <w:rFonts w:ascii="Palatino Linotype" w:eastAsia="Times New Roman" w:hAnsi="Palatino Linotype" w:cs="Arial"/>
          <w:color w:val="000000" w:themeColor="text1"/>
          <w:lang w:val="es-ES" w:eastAsia="es-MX"/>
        </w:rPr>
        <w:t xml:space="preserve">anterior se explica porque la ausencia de una respuesta a la solicitud constituye un acto que vulnera el derecho de manera continua y actualizable cada día, en tanto no se emita la respuesta a la que esté impuesto el </w:t>
      </w:r>
      <w:r w:rsidRPr="00624ACF">
        <w:rPr>
          <w:rFonts w:ascii="Palatino Linotype" w:eastAsia="Times New Roman" w:hAnsi="Palatino Linotype" w:cs="Arial"/>
          <w:b/>
          <w:color w:val="000000" w:themeColor="text1"/>
          <w:lang w:val="es-ES" w:eastAsia="es-MX"/>
        </w:rPr>
        <w:t>SUJETO OBLIGADO</w:t>
      </w:r>
      <w:r w:rsidRPr="00624ACF">
        <w:rPr>
          <w:rFonts w:ascii="Palatino Linotype" w:eastAsia="Times New Roman" w:hAnsi="Palatino Linotype" w:cs="Arial"/>
          <w:color w:val="000000" w:themeColor="text1"/>
          <w:lang w:val="es-ES" w:eastAsia="es-MX"/>
        </w:rPr>
        <w:t>.</w:t>
      </w:r>
    </w:p>
    <w:p w14:paraId="1AD21469" w14:textId="77777777" w:rsidR="006F5FB2" w:rsidRPr="00624ACF" w:rsidRDefault="006F5FB2" w:rsidP="006F5FB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8AF946F" w14:textId="0865ADB4" w:rsidR="006F5FB2" w:rsidRPr="00624ACF" w:rsidRDefault="006F5FB2" w:rsidP="006F5FB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24ACF">
        <w:rPr>
          <w:rFonts w:ascii="Palatino Linotype" w:eastAsia="Calibri" w:hAnsi="Palatino Linotype" w:cs="Arial"/>
          <w:color w:val="000000" w:themeColor="text1"/>
        </w:rPr>
        <w:t xml:space="preserve">Por </w:t>
      </w:r>
      <w:r w:rsidRPr="00624ACF">
        <w:rPr>
          <w:rFonts w:ascii="Palatino Linotype" w:hAnsi="Palatino Linotype"/>
        </w:rPr>
        <w:t>consiguiente, tratándose</w:t>
      </w:r>
      <w:r w:rsidRPr="00624ACF">
        <w:rPr>
          <w:rFonts w:ascii="Palatino Linotype" w:eastAsia="Times New Roman" w:hAnsi="Palatino Linotype" w:cs="Arial"/>
          <w:color w:val="000000" w:themeColor="text1"/>
          <w:lang w:val="es-ES" w:eastAsia="es-MX"/>
        </w:rPr>
        <w:t xml:space="preserve"> de </w:t>
      </w:r>
      <w:r w:rsidRPr="00624ACF">
        <w:rPr>
          <w:rFonts w:ascii="Palatino Linotype" w:eastAsia="Times New Roman" w:hAnsi="Palatino Linotype" w:cs="Arial"/>
          <w:i/>
          <w:color w:val="000000" w:themeColor="text1"/>
          <w:lang w:val="es-ES" w:eastAsia="es-MX"/>
        </w:rPr>
        <w:t>negativa ficta</w:t>
      </w:r>
      <w:r w:rsidRPr="00624ACF">
        <w:rPr>
          <w:rFonts w:ascii="Palatino Linotype" w:eastAsia="Times New Roman" w:hAnsi="Palatino Linotype" w:cs="Arial"/>
          <w:color w:val="000000" w:themeColor="text1"/>
          <w:lang w:val="es-ES" w:eastAsia="es-MX"/>
        </w:rPr>
        <w:t xml:space="preserve"> no existe plazo para la interposición del recurso de revisión por tratarse de una afectación continua al Derecho de Acceso a la Información Pública.</w:t>
      </w:r>
    </w:p>
    <w:p w14:paraId="1A35EF78" w14:textId="77777777" w:rsidR="00911D07" w:rsidRPr="00624ACF" w:rsidRDefault="00911D07" w:rsidP="00911D0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5ACA0792" w:rsidR="005F1362" w:rsidRPr="00624ACF" w:rsidRDefault="00C6440A" w:rsidP="00E6530C">
      <w:pPr>
        <w:pStyle w:val="Prrafodelista"/>
        <w:numPr>
          <w:ilvl w:val="0"/>
          <w:numId w:val="1"/>
        </w:numPr>
        <w:tabs>
          <w:tab w:val="left" w:pos="426"/>
        </w:tabs>
        <w:spacing w:line="360" w:lineRule="auto"/>
        <w:jc w:val="both"/>
        <w:rPr>
          <w:rFonts w:ascii="Palatino Linotype" w:hAnsi="Palatino Linotype"/>
          <w:color w:val="000000" w:themeColor="text1"/>
        </w:rPr>
      </w:pPr>
      <w:r w:rsidRPr="00624ACF">
        <w:rPr>
          <w:rFonts w:ascii="Palatino Linotype" w:eastAsia="Calibri" w:hAnsi="Palatino Linotype" w:cs="Arial"/>
          <w:color w:val="000000" w:themeColor="text1"/>
        </w:rPr>
        <w:t xml:space="preserve">Consecuencia de lo anterior, </w:t>
      </w:r>
      <w:r w:rsidR="008211DC" w:rsidRPr="00624ACF">
        <w:rPr>
          <w:rFonts w:ascii="Palatino Linotype" w:eastAsia="Calibri" w:hAnsi="Palatino Linotype" w:cs="Arial"/>
          <w:color w:val="000000" w:themeColor="text1"/>
        </w:rPr>
        <w:t>se</w:t>
      </w:r>
      <w:r w:rsidRPr="00624ACF">
        <w:rPr>
          <w:rFonts w:ascii="Palatino Linotype" w:eastAsia="Calibri" w:hAnsi="Palatino Linotype" w:cs="Arial"/>
          <w:color w:val="000000" w:themeColor="text1"/>
        </w:rPr>
        <w:t xml:space="preserve"> advierte que </w:t>
      </w:r>
      <w:r w:rsidR="00540208" w:rsidRPr="00624ACF">
        <w:rPr>
          <w:rFonts w:ascii="Palatino Linotype" w:eastAsia="Calibri" w:hAnsi="Palatino Linotype" w:cs="Arial"/>
          <w:color w:val="000000" w:themeColor="text1"/>
        </w:rPr>
        <w:t>el escrito contiene las formalidades previstas por el artículo 180</w:t>
      </w:r>
      <w:r w:rsidR="008211DC" w:rsidRPr="00624ACF">
        <w:rPr>
          <w:rFonts w:ascii="Palatino Linotype" w:eastAsia="Calibri" w:hAnsi="Palatino Linotype" w:cs="Arial"/>
          <w:color w:val="000000" w:themeColor="text1"/>
        </w:rPr>
        <w:t>,</w:t>
      </w:r>
      <w:r w:rsidR="00540208" w:rsidRPr="00624ACF">
        <w:rPr>
          <w:rFonts w:ascii="Palatino Linotype" w:eastAsia="Calibri" w:hAnsi="Palatino Linotype" w:cs="Arial"/>
          <w:color w:val="000000" w:themeColor="text1"/>
        </w:rPr>
        <w:t xml:space="preserve"> último párrafo</w:t>
      </w:r>
      <w:r w:rsidR="008211DC" w:rsidRPr="00624ACF">
        <w:rPr>
          <w:rFonts w:ascii="Palatino Linotype" w:eastAsia="Calibri" w:hAnsi="Palatino Linotype" w:cs="Arial"/>
          <w:color w:val="000000" w:themeColor="text1"/>
        </w:rPr>
        <w:t>,</w:t>
      </w:r>
      <w:r w:rsidR="00540208" w:rsidRPr="00624ACF">
        <w:rPr>
          <w:rFonts w:ascii="Palatino Linotype" w:eastAsia="Calibri" w:hAnsi="Palatino Linotype" w:cs="Arial"/>
          <w:color w:val="000000" w:themeColor="text1"/>
        </w:rPr>
        <w:t xml:space="preserve"> de la Ley </w:t>
      </w:r>
      <w:r w:rsidR="004911B6" w:rsidRPr="00624ACF">
        <w:rPr>
          <w:rFonts w:ascii="Palatino Linotype" w:eastAsia="Calibri" w:hAnsi="Palatino Linotype" w:cs="Arial"/>
          <w:color w:val="000000" w:themeColor="text1"/>
        </w:rPr>
        <w:t>de Transparencia y Acceso a la Información Pública del Estado de México y Municipios</w:t>
      </w:r>
      <w:r w:rsidR="00540208" w:rsidRPr="00624ACF">
        <w:rPr>
          <w:rFonts w:ascii="Palatino Linotype" w:eastAsia="Calibri" w:hAnsi="Palatino Linotype" w:cs="Arial"/>
          <w:color w:val="000000" w:themeColor="text1"/>
        </w:rPr>
        <w:t xml:space="preserve">, por lo que es procedente que </w:t>
      </w:r>
      <w:r w:rsidR="004911B6" w:rsidRPr="00624ACF">
        <w:rPr>
          <w:rFonts w:ascii="Palatino Linotype" w:eastAsia="Calibri" w:hAnsi="Palatino Linotype" w:cs="Arial"/>
          <w:color w:val="000000" w:themeColor="text1"/>
        </w:rPr>
        <w:t>e</w:t>
      </w:r>
      <w:r w:rsidR="00540208" w:rsidRPr="00624ACF">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16CB621" w14:textId="77777777" w:rsidR="00710B50" w:rsidRPr="00624ACF" w:rsidRDefault="00710B50" w:rsidP="00E6530C">
      <w:pPr>
        <w:pStyle w:val="Prrafodelista"/>
        <w:tabs>
          <w:tab w:val="left" w:pos="426"/>
        </w:tabs>
        <w:spacing w:line="360" w:lineRule="auto"/>
        <w:ind w:left="0"/>
        <w:jc w:val="both"/>
        <w:rPr>
          <w:rFonts w:ascii="Palatino Linotype" w:hAnsi="Palatino Linotype"/>
          <w:color w:val="000000" w:themeColor="text1"/>
        </w:rPr>
      </w:pPr>
    </w:p>
    <w:p w14:paraId="2189433C" w14:textId="28C7E679" w:rsidR="000A483B" w:rsidRPr="00624ACF" w:rsidRDefault="007354E4" w:rsidP="000A483B">
      <w:pPr>
        <w:pStyle w:val="Prrafodelista"/>
        <w:tabs>
          <w:tab w:val="left" w:pos="426"/>
        </w:tabs>
        <w:spacing w:after="240" w:line="360" w:lineRule="auto"/>
        <w:ind w:left="0"/>
        <w:jc w:val="both"/>
        <w:outlineLvl w:val="1"/>
        <w:rPr>
          <w:rFonts w:ascii="Palatino Linotype" w:hAnsi="Palatino Linotype" w:cs="Arial"/>
          <w:b/>
          <w:color w:val="000000" w:themeColor="text1"/>
        </w:rPr>
      </w:pPr>
      <w:bookmarkStart w:id="16" w:name="_Toc86945042"/>
      <w:r w:rsidRPr="00624ACF">
        <w:rPr>
          <w:rFonts w:ascii="Palatino Linotype" w:hAnsi="Palatino Linotype"/>
          <w:b/>
          <w:color w:val="000000" w:themeColor="text1"/>
        </w:rPr>
        <w:t>TECERO</w:t>
      </w:r>
      <w:r w:rsidR="00710B50" w:rsidRPr="00624ACF">
        <w:rPr>
          <w:rFonts w:ascii="Palatino Linotype" w:hAnsi="Palatino Linotype"/>
          <w:b/>
          <w:color w:val="000000" w:themeColor="text1"/>
        </w:rPr>
        <w:t>.</w:t>
      </w:r>
      <w:bookmarkStart w:id="17" w:name="_Toc459174366"/>
      <w:bookmarkStart w:id="18" w:name="_Toc459659884"/>
      <w:bookmarkStart w:id="19" w:name="_Toc461687280"/>
      <w:bookmarkStart w:id="20" w:name="_Toc462771051"/>
      <w:bookmarkStart w:id="21" w:name="_Toc464139201"/>
      <w:r w:rsidR="00EF014A" w:rsidRPr="00624ACF">
        <w:rPr>
          <w:rFonts w:ascii="Palatino Linotype" w:hAnsi="Palatino Linotype" w:cs="Arial"/>
          <w:b/>
          <w:color w:val="000000" w:themeColor="text1"/>
        </w:rPr>
        <w:t xml:space="preserve"> </w:t>
      </w:r>
      <w:r w:rsidR="00614DC5" w:rsidRPr="00624ACF">
        <w:rPr>
          <w:rFonts w:ascii="Palatino Linotype" w:hAnsi="Palatino Linotype" w:cs="Arial"/>
          <w:b/>
          <w:color w:val="000000" w:themeColor="text1"/>
        </w:rPr>
        <w:t>De las causales de sobreseimiento</w:t>
      </w:r>
      <w:r w:rsidR="00EF014A" w:rsidRPr="00624ACF">
        <w:rPr>
          <w:rFonts w:ascii="Palatino Linotype" w:hAnsi="Palatino Linotype" w:cs="Arial"/>
          <w:b/>
          <w:color w:val="000000" w:themeColor="text1"/>
        </w:rPr>
        <w:t>.</w:t>
      </w:r>
      <w:bookmarkEnd w:id="16"/>
    </w:p>
    <w:p w14:paraId="575F1603" w14:textId="77777777" w:rsidR="000A483B" w:rsidRPr="00624ACF" w:rsidRDefault="000A483B" w:rsidP="000A483B">
      <w:pPr>
        <w:pStyle w:val="Prrafodelista"/>
        <w:tabs>
          <w:tab w:val="left" w:pos="426"/>
        </w:tabs>
        <w:spacing w:line="360" w:lineRule="auto"/>
        <w:ind w:left="0" w:right="51"/>
        <w:jc w:val="both"/>
        <w:rPr>
          <w:rFonts w:ascii="Palatino Linotype" w:hAnsi="Palatino Linotype"/>
          <w:color w:val="000000" w:themeColor="text1"/>
        </w:rPr>
      </w:pPr>
      <w:bookmarkStart w:id="22" w:name="_Toc466371865"/>
      <w:bookmarkStart w:id="23" w:name="_Toc466377653"/>
      <w:bookmarkEnd w:id="17"/>
      <w:bookmarkEnd w:id="18"/>
      <w:bookmarkEnd w:id="19"/>
      <w:bookmarkEnd w:id="20"/>
      <w:bookmarkEnd w:id="21"/>
    </w:p>
    <w:p w14:paraId="6D7F9A34" w14:textId="77777777" w:rsidR="00D57C45" w:rsidRPr="00624ACF" w:rsidRDefault="00D57C45" w:rsidP="00D57C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24ACF">
        <w:rPr>
          <w:rFonts w:ascii="Palatino Linotype" w:hAnsi="Palatino Linotype"/>
          <w:lang w:val="es-ES"/>
        </w:rPr>
        <w:lastRenderedPageBreak/>
        <w:t xml:space="preserve">Es </w:t>
      </w:r>
      <w:r w:rsidRPr="00624ACF">
        <w:rPr>
          <w:rFonts w:ascii="Palatino Linotype" w:hAnsi="Palatino Linotype"/>
          <w:color w:val="000000" w:themeColor="text1"/>
        </w:rPr>
        <w:t>menester referir, como primer acercamiento, que la Ley de Transparencia y Acceso a la Información Pública del Estado de México y Municipios, en su artículo 4, establece que el derecho humano de acceso a la información pública es la prerrogativa de las personas para buscar, difundir, investigar, recabar, recibir y solicitar información pública, sin necesidad de acreditar personalidad ni interés jurídico.</w:t>
      </w:r>
    </w:p>
    <w:p w14:paraId="534B9FA6" w14:textId="77777777" w:rsidR="00D57C45" w:rsidRPr="00624ACF" w:rsidRDefault="00D57C45" w:rsidP="00D57C45">
      <w:pPr>
        <w:pStyle w:val="Prrafodelista"/>
        <w:tabs>
          <w:tab w:val="left" w:pos="426"/>
        </w:tabs>
        <w:spacing w:before="240" w:after="240" w:line="360" w:lineRule="auto"/>
        <w:ind w:left="0" w:right="51"/>
        <w:jc w:val="both"/>
        <w:rPr>
          <w:rFonts w:ascii="Palatino Linotype" w:hAnsi="Palatino Linotype"/>
          <w:color w:val="000000" w:themeColor="text1"/>
        </w:rPr>
      </w:pPr>
    </w:p>
    <w:p w14:paraId="17387D4C" w14:textId="77777777" w:rsidR="00D57C45" w:rsidRPr="00624ACF" w:rsidRDefault="00D57C45" w:rsidP="00D57C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24ACF">
        <w:rPr>
          <w:rFonts w:ascii="Palatino Linotype" w:hAnsi="Palatino Linotype"/>
          <w:lang w:val="es-ES"/>
        </w:rPr>
        <w:t xml:space="preserve">Asimismo, </w:t>
      </w:r>
      <w:r w:rsidRPr="00624ACF">
        <w:rPr>
          <w:rFonts w:ascii="Palatino Linotype" w:hAnsi="Palatino Linotype"/>
          <w:color w:val="000000" w:themeColor="text1"/>
        </w:rPr>
        <w:t>reconoce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Ley Estatal y demás disposiciones de la materia, privilegiando el principio de máxima publicidad de la información</w:t>
      </w:r>
      <w:r w:rsidRPr="00624ACF">
        <w:rPr>
          <w:rStyle w:val="Refdenotaalpie"/>
          <w:rFonts w:ascii="Palatino Linotype" w:hAnsi="Palatino Linotype"/>
          <w:color w:val="000000" w:themeColor="text1"/>
        </w:rPr>
        <w:footnoteReference w:id="4"/>
      </w:r>
      <w:r w:rsidRPr="00624ACF">
        <w:rPr>
          <w:rFonts w:ascii="Palatino Linotype" w:hAnsi="Palatino Linotype"/>
          <w:color w:val="000000" w:themeColor="text1"/>
        </w:rPr>
        <w:t>.</w:t>
      </w:r>
    </w:p>
    <w:p w14:paraId="6D2B85DA" w14:textId="77777777" w:rsidR="00D57C45" w:rsidRPr="00624ACF" w:rsidRDefault="00D57C45" w:rsidP="00D57C45">
      <w:pPr>
        <w:pStyle w:val="Prrafodelista"/>
        <w:tabs>
          <w:tab w:val="left" w:pos="426"/>
        </w:tabs>
        <w:spacing w:before="240" w:after="240" w:line="360" w:lineRule="auto"/>
        <w:ind w:left="0" w:right="51"/>
        <w:jc w:val="both"/>
        <w:rPr>
          <w:rFonts w:ascii="Palatino Linotype" w:hAnsi="Palatino Linotype"/>
          <w:color w:val="000000" w:themeColor="text1"/>
        </w:rPr>
      </w:pPr>
    </w:p>
    <w:p w14:paraId="040B56AB" w14:textId="39BAF3B5" w:rsidR="00986C73" w:rsidRPr="00624ACF" w:rsidRDefault="00D57C45" w:rsidP="00D57C4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Por </w:t>
      </w:r>
      <w:r w:rsidRPr="00624ACF">
        <w:rPr>
          <w:rFonts w:ascii="Palatino Linotype" w:hAnsi="Palatino Linotype"/>
          <w:color w:val="000000" w:themeColor="text1"/>
        </w:rPr>
        <w:t xml:space="preserve">su parte, el procedimiento de acceso a la información se reconoce como la garantía primaria del derecho en cuestión y se rige por los principios de simplicidad, rapidez gratuidad del procedimiento, auxilio y </w:t>
      </w:r>
      <w:r w:rsidRPr="00624ACF">
        <w:rPr>
          <w:rFonts w:ascii="Palatino Linotype" w:hAnsi="Palatino Linotype"/>
          <w:b/>
          <w:color w:val="000000" w:themeColor="text1"/>
        </w:rPr>
        <w:t>orientación</w:t>
      </w:r>
      <w:r w:rsidRPr="00624ACF">
        <w:rPr>
          <w:rFonts w:ascii="Palatino Linotype" w:hAnsi="Palatino Linotype"/>
          <w:color w:val="000000" w:themeColor="text1"/>
        </w:rPr>
        <w:t xml:space="preserve"> a los particulares, así como atención adecuada a las personas con discapacidad y a los hablantes de lengua indígena con el objeto de otorgar la protección más amplia del derecho de las personas</w:t>
      </w:r>
      <w:r w:rsidRPr="00624ACF">
        <w:rPr>
          <w:rStyle w:val="Refdenotaalpie"/>
          <w:rFonts w:ascii="Palatino Linotype" w:hAnsi="Palatino Linotype"/>
          <w:color w:val="000000" w:themeColor="text1"/>
        </w:rPr>
        <w:footnoteReference w:id="5"/>
      </w:r>
      <w:r w:rsidRPr="00624ACF">
        <w:rPr>
          <w:rFonts w:ascii="Palatino Linotype" w:hAnsi="Palatino Linotype"/>
          <w:color w:val="000000" w:themeColor="text1"/>
        </w:rPr>
        <w:t>.</w:t>
      </w:r>
    </w:p>
    <w:p w14:paraId="5A6BF130" w14:textId="77777777" w:rsidR="007354E4" w:rsidRPr="00624ACF" w:rsidRDefault="007354E4" w:rsidP="007354E4">
      <w:pPr>
        <w:pStyle w:val="Prrafodelista"/>
        <w:tabs>
          <w:tab w:val="left" w:pos="426"/>
        </w:tabs>
        <w:spacing w:line="360" w:lineRule="auto"/>
        <w:ind w:left="0" w:right="51"/>
        <w:jc w:val="both"/>
        <w:rPr>
          <w:rFonts w:ascii="Palatino Linotype" w:hAnsi="Palatino Linotype"/>
          <w:color w:val="000000" w:themeColor="text1"/>
        </w:rPr>
      </w:pPr>
    </w:p>
    <w:p w14:paraId="35FF2C32" w14:textId="194F502F" w:rsidR="00AB3C2E" w:rsidRPr="00624ACF" w:rsidRDefault="007354E4"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Dicho lo anterior, </w:t>
      </w:r>
      <w:r w:rsidR="00AB3C2E" w:rsidRPr="00624ACF">
        <w:rPr>
          <w:rFonts w:ascii="Palatino Linotype" w:hAnsi="Palatino Linotype"/>
          <w:lang w:val="es-ES"/>
        </w:rPr>
        <w:t xml:space="preserve">conviene recapitular que, mediante la solicitud de información </w:t>
      </w:r>
      <w:r w:rsidR="00AB3C2E" w:rsidRPr="00624ACF">
        <w:rPr>
          <w:rFonts w:ascii="Palatino Linotype" w:hAnsi="Palatino Linotype"/>
          <w:b/>
          <w:bCs/>
          <w:lang w:val="es-ES"/>
        </w:rPr>
        <w:t>00041/UAI/IP/2021</w:t>
      </w:r>
      <w:r w:rsidR="00AB3C2E" w:rsidRPr="00624ACF">
        <w:rPr>
          <w:rFonts w:ascii="Palatino Linotype" w:hAnsi="Palatino Linotype"/>
          <w:lang w:val="es-ES"/>
        </w:rPr>
        <w:t xml:space="preserve">, el particular requirió </w:t>
      </w:r>
      <w:r w:rsidR="00AB3C2E" w:rsidRPr="00624ACF">
        <w:rPr>
          <w:rFonts w:ascii="Palatino Linotype" w:eastAsia="MS Mincho" w:hAnsi="Palatino Linotype"/>
          <w:lang w:val="es-ES_tradnl"/>
        </w:rPr>
        <w:t xml:space="preserve">acceso a las Actas de sesiones, </w:t>
      </w:r>
      <w:r w:rsidR="00AB3C2E" w:rsidRPr="00624ACF">
        <w:rPr>
          <w:rFonts w:ascii="Palatino Linotype" w:eastAsia="MS Mincho" w:hAnsi="Palatino Linotype"/>
          <w:lang w:val="es-ES_tradnl"/>
        </w:rPr>
        <w:lastRenderedPageBreak/>
        <w:t xml:space="preserve">ordinarias y extraordinarias, del Comité Directivo de la Unidad de Asuntos Internos. </w:t>
      </w:r>
    </w:p>
    <w:p w14:paraId="12C3E2A2"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3F47563A" w14:textId="658FA975" w:rsidR="007354E4" w:rsidRPr="00624ACF" w:rsidRDefault="00AB3C2E"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eastAsia="MS Mincho" w:hAnsi="Palatino Linotype"/>
          <w:lang w:val="es-ES_tradnl"/>
        </w:rPr>
        <w:t xml:space="preserve">En respuesta a la solicitud de información, el </w:t>
      </w:r>
      <w:r w:rsidRPr="00624ACF">
        <w:rPr>
          <w:rFonts w:ascii="Palatino Linotype" w:eastAsia="MS Mincho" w:hAnsi="Palatino Linotype"/>
          <w:b/>
          <w:lang w:val="es-ES_tradnl"/>
        </w:rPr>
        <w:t>SUJETO OBLIGADO</w:t>
      </w:r>
      <w:r w:rsidRPr="00624ACF">
        <w:rPr>
          <w:rFonts w:ascii="Palatino Linotype" w:eastAsia="MS Mincho" w:hAnsi="Palatino Linotype"/>
          <w:lang w:val="es-ES_tradnl"/>
        </w:rPr>
        <w:t xml:space="preserve"> entregó cinco Actas de Sesiones Ordinarias llevadas a cabo en el dos mil veintiuno, en versión pública; asimismo, informó que no se habían realizado sesiones extraordinarias.</w:t>
      </w:r>
    </w:p>
    <w:p w14:paraId="18BB6FFF"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077201F7" w14:textId="725E2889" w:rsidR="00AB3C2E" w:rsidRPr="00624ACF" w:rsidRDefault="00AB3C2E"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Por su parte, el particular impugnó la respuesta otorgada por el </w:t>
      </w:r>
      <w:r w:rsidRPr="00624ACF">
        <w:rPr>
          <w:rFonts w:ascii="Palatino Linotype" w:hAnsi="Palatino Linotype"/>
          <w:b/>
          <w:bCs/>
          <w:lang w:val="es-ES"/>
        </w:rPr>
        <w:t>SUJETO OBLIGADO</w:t>
      </w:r>
      <w:r w:rsidRPr="00624ACF">
        <w:rPr>
          <w:rFonts w:ascii="Palatino Linotype" w:hAnsi="Palatino Linotype"/>
          <w:lang w:val="es-ES"/>
        </w:rPr>
        <w:t xml:space="preserve"> mediante el recurso de revisión </w:t>
      </w:r>
      <w:r w:rsidRPr="00624ACF">
        <w:rPr>
          <w:rFonts w:ascii="Palatino Linotype" w:hAnsi="Palatino Linotype"/>
          <w:b/>
          <w:bCs/>
          <w:lang w:val="es-ES"/>
        </w:rPr>
        <w:t>06268/INFOEM/IP/RR/2021</w:t>
      </w:r>
      <w:r w:rsidRPr="00624ACF">
        <w:rPr>
          <w:rFonts w:ascii="Palatino Linotype" w:hAnsi="Palatino Linotype"/>
          <w:lang w:val="es-ES"/>
        </w:rPr>
        <w:t xml:space="preserve">, en el que señaló por agravios </w:t>
      </w:r>
      <w:r w:rsidRPr="00624ACF">
        <w:rPr>
          <w:rFonts w:ascii="Palatino Linotype" w:eastAsia="MS Mincho" w:hAnsi="Palatino Linotype"/>
        </w:rPr>
        <w:t>la clasificación de la información y la deficiencia en la fundamentación y motivación.</w:t>
      </w:r>
    </w:p>
    <w:p w14:paraId="2BE74AFD"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12722B43" w14:textId="2F8C13CA" w:rsidR="00AB3C2E" w:rsidRPr="00624ACF" w:rsidRDefault="00AB3C2E"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Dentro del estudio de fondo de la </w:t>
      </w:r>
      <w:proofErr w:type="gramStart"/>
      <w:r w:rsidRPr="00624ACF">
        <w:rPr>
          <w:rFonts w:ascii="Palatino Linotype" w:hAnsi="Palatino Linotype"/>
          <w:lang w:val="es-ES"/>
        </w:rPr>
        <w:t>primer</w:t>
      </w:r>
      <w:proofErr w:type="gramEnd"/>
      <w:r w:rsidRPr="00624ACF">
        <w:rPr>
          <w:rFonts w:ascii="Palatino Linotype" w:hAnsi="Palatino Linotype"/>
          <w:lang w:val="es-ES"/>
        </w:rPr>
        <w:t xml:space="preserve"> resolución, este organismo garante analizó a detalle la fundamentación y motivación del Acuerdo de Clasificación de las cinco Actas del Consejo Directivo, determinándose que, como fuera señalado por el </w:t>
      </w:r>
      <w:r w:rsidRPr="00624ACF">
        <w:rPr>
          <w:rFonts w:ascii="Palatino Linotype" w:hAnsi="Palatino Linotype"/>
          <w:b/>
          <w:bCs/>
          <w:lang w:val="es-ES"/>
        </w:rPr>
        <w:t>RECURRENTE</w:t>
      </w:r>
      <w:r w:rsidRPr="00624ACF">
        <w:rPr>
          <w:rFonts w:ascii="Palatino Linotype" w:hAnsi="Palatino Linotype"/>
          <w:lang w:val="es-ES"/>
        </w:rPr>
        <w:t xml:space="preserve">, el </w:t>
      </w:r>
      <w:r w:rsidRPr="00624ACF">
        <w:rPr>
          <w:rFonts w:ascii="Palatino Linotype" w:hAnsi="Palatino Linotype"/>
          <w:b/>
          <w:bCs/>
          <w:lang w:val="es-ES"/>
        </w:rPr>
        <w:t>SUJETO OBLIGADO</w:t>
      </w:r>
      <w:r w:rsidRPr="00624ACF">
        <w:rPr>
          <w:rFonts w:ascii="Palatino Linotype" w:hAnsi="Palatino Linotype"/>
          <w:lang w:val="es-ES"/>
        </w:rPr>
        <w:t xml:space="preserve"> no había fundado ni motivado la clasificación de la información conforme a derecho. Estudio que se advierte en los párrafos </w:t>
      </w:r>
      <w:r w:rsidRPr="00624ACF">
        <w:rPr>
          <w:rFonts w:ascii="Palatino Linotype" w:hAnsi="Palatino Linotype"/>
          <w:b/>
          <w:bCs/>
          <w:lang w:val="es-ES"/>
        </w:rPr>
        <w:t>74</w:t>
      </w:r>
      <w:r w:rsidRPr="00624ACF">
        <w:rPr>
          <w:rFonts w:ascii="Palatino Linotype" w:hAnsi="Palatino Linotype"/>
          <w:lang w:val="es-ES"/>
        </w:rPr>
        <w:t xml:space="preserve"> al </w:t>
      </w:r>
      <w:r w:rsidRPr="00624ACF">
        <w:rPr>
          <w:rFonts w:ascii="Palatino Linotype" w:hAnsi="Palatino Linotype"/>
          <w:b/>
          <w:bCs/>
          <w:lang w:val="es-ES"/>
        </w:rPr>
        <w:t>82</w:t>
      </w:r>
      <w:r w:rsidRPr="00624ACF">
        <w:rPr>
          <w:rFonts w:ascii="Palatino Linotype" w:hAnsi="Palatino Linotype"/>
          <w:lang w:val="es-ES"/>
        </w:rPr>
        <w:t xml:space="preserve"> de la resolución, y que se transcriben a continuación:</w:t>
      </w:r>
    </w:p>
    <w:p w14:paraId="735D8439" w14:textId="2BAA15B8"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4E3D1501"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r w:rsidRPr="00624ACF">
        <w:rPr>
          <w:rFonts w:ascii="Palatino Linotype" w:hAnsi="Palatino Linotype"/>
          <w:b/>
          <w:bCs/>
          <w:i/>
          <w:iCs/>
          <w:color w:val="000000" w:themeColor="text1"/>
          <w:sz w:val="22"/>
          <w:szCs w:val="22"/>
        </w:rPr>
        <w:t>74.</w:t>
      </w:r>
      <w:r w:rsidRPr="00624ACF">
        <w:rPr>
          <w:rFonts w:ascii="Palatino Linotype" w:hAnsi="Palatino Linotype"/>
          <w:i/>
          <w:iCs/>
          <w:color w:val="000000" w:themeColor="text1"/>
          <w:sz w:val="22"/>
          <w:szCs w:val="22"/>
        </w:rPr>
        <w:tab/>
        <w:t xml:space="preserve">Una vez establecido lo anterior, y como ha sido reiterado a lo largo del presente estudio, se advierte que el </w:t>
      </w:r>
      <w:r w:rsidRPr="00624ACF">
        <w:rPr>
          <w:rFonts w:ascii="Palatino Linotype" w:hAnsi="Palatino Linotype"/>
          <w:b/>
          <w:bCs/>
          <w:i/>
          <w:iCs/>
          <w:color w:val="000000" w:themeColor="text1"/>
          <w:sz w:val="22"/>
          <w:szCs w:val="22"/>
        </w:rPr>
        <w:t>SUJETO OBLIGADO</w:t>
      </w:r>
      <w:r w:rsidRPr="00624ACF">
        <w:rPr>
          <w:rFonts w:ascii="Palatino Linotype" w:hAnsi="Palatino Linotype"/>
          <w:i/>
          <w:iCs/>
          <w:color w:val="000000" w:themeColor="text1"/>
          <w:sz w:val="22"/>
          <w:szCs w:val="22"/>
        </w:rPr>
        <w:t xml:space="preserve"> presentó el Acta de la Décimo Tercera Sesión Extraordinaria del Comité de Transparencia, celebrada el treinta (30) de noviembre de dos mil veintiuno, en la cual, se aprobó la clasificación de información por reserva en razón de lo siguiente:</w:t>
      </w:r>
    </w:p>
    <w:p w14:paraId="185B9D62"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DB18029"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b/>
          <w:bCs/>
          <w:i/>
          <w:iCs/>
          <w:color w:val="000000" w:themeColor="text1"/>
          <w:sz w:val="22"/>
          <w:szCs w:val="22"/>
        </w:rPr>
      </w:pPr>
      <w:r w:rsidRPr="00624ACF">
        <w:rPr>
          <w:rFonts w:ascii="Palatino Linotype" w:hAnsi="Palatino Linotype"/>
          <w:i/>
          <w:iCs/>
          <w:color w:val="000000" w:themeColor="text1"/>
          <w:sz w:val="22"/>
          <w:szCs w:val="22"/>
        </w:rPr>
        <w:lastRenderedPageBreak/>
        <w:t>“</w:t>
      </w:r>
      <w:r w:rsidRPr="00624ACF">
        <w:rPr>
          <w:rFonts w:ascii="Palatino Linotype" w:hAnsi="Palatino Linotype"/>
          <w:b/>
          <w:bCs/>
          <w:i/>
          <w:iCs/>
          <w:color w:val="000000" w:themeColor="text1"/>
          <w:sz w:val="22"/>
          <w:szCs w:val="22"/>
        </w:rPr>
        <w:t>2. Presentación y, en su caso, aprobación de la clasificación de la información como reservada, de la información relativa a las Actas del Consejo Directivo 2021 de la Unidad de Asuntos Internos presentada por el Servidor Público Habilitado de la Unidad de Normatividad, Apoyo Jurídico e Igualdad de Género de la Unidad de Asuntos Internos, con fundamento en lo dispuesto en los artículos 113, fracción I de la Ley de Transparencia y Acceso a la Información Pública del Estado de México y Municipios; y el numeral Décimo Octavo de los Lineamientos Generales en Materia de Clasificación y Desclasificación de la Información, así como para la Elaboración de Versiones Públicas.</w:t>
      </w:r>
    </w:p>
    <w:p w14:paraId="6D8E6A47"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0B900747"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p>
    <w:p w14:paraId="2F73EE69"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0D8DEDCA" w14:textId="77777777" w:rsidR="00AB3C2E" w:rsidRPr="00624ACF" w:rsidRDefault="00AB3C2E" w:rsidP="004574D0">
      <w:pPr>
        <w:pStyle w:val="Prrafodelista"/>
        <w:tabs>
          <w:tab w:val="left" w:pos="426"/>
        </w:tabs>
        <w:spacing w:line="276" w:lineRule="auto"/>
        <w:ind w:left="851" w:right="851"/>
        <w:jc w:val="center"/>
        <w:rPr>
          <w:rFonts w:ascii="Palatino Linotype" w:hAnsi="Palatino Linotype"/>
          <w:b/>
          <w:bCs/>
          <w:i/>
          <w:iCs/>
          <w:color w:val="000000" w:themeColor="text1"/>
          <w:sz w:val="22"/>
          <w:szCs w:val="22"/>
        </w:rPr>
      </w:pPr>
      <w:r w:rsidRPr="00624ACF">
        <w:rPr>
          <w:rFonts w:ascii="Palatino Linotype" w:hAnsi="Palatino Linotype"/>
          <w:b/>
          <w:bCs/>
          <w:i/>
          <w:iCs/>
          <w:color w:val="000000" w:themeColor="text1"/>
          <w:sz w:val="22"/>
          <w:szCs w:val="22"/>
        </w:rPr>
        <w:t>CONSIDERANDOS</w:t>
      </w:r>
    </w:p>
    <w:p w14:paraId="18E82857"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b/>
          <w:bCs/>
          <w:i/>
          <w:iCs/>
          <w:color w:val="000000" w:themeColor="text1"/>
          <w:sz w:val="22"/>
          <w:szCs w:val="22"/>
        </w:rPr>
      </w:pPr>
    </w:p>
    <w:p w14:paraId="1D604FCC"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PRIMERO.- COMPETENCIA.-</w:t>
      </w:r>
      <w:r w:rsidRPr="00624ACF">
        <w:rPr>
          <w:rFonts w:ascii="Palatino Linotype" w:hAnsi="Palatino Linotype"/>
          <w:i/>
          <w:iCs/>
          <w:color w:val="000000" w:themeColor="text1"/>
          <w:sz w:val="22"/>
          <w:szCs w:val="22"/>
        </w:rPr>
        <w:t xml:space="preserve"> Este Comité de Transparencia es competente para aprobar la propuesta de clasificación de información como reservada, en términos de lo dispuesto en los artículos 47 y 49, fracciones II y VII de la Ley de Transparencia y Acceso a la Información Pública del Estado de México y Municipios.</w:t>
      </w:r>
    </w:p>
    <w:p w14:paraId="12E215CF"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066B71BB"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SEGUNDO.- ANÁLISIS DE LA CLASIFICACIÓN REALIZADA POR LA UNIDAD ADMINISTRATIVA COMPETENTE.-</w:t>
      </w:r>
      <w:r w:rsidRPr="00624ACF">
        <w:rPr>
          <w:rFonts w:ascii="Palatino Linotype" w:hAnsi="Palatino Linotype"/>
          <w:i/>
          <w:iCs/>
          <w:color w:val="000000" w:themeColor="text1"/>
          <w:sz w:val="22"/>
          <w:szCs w:val="22"/>
        </w:rPr>
        <w:t xml:space="preserve"> Derivado de la presentación del oficio número (…), remitido por el Servidor Público Habilitado de la Unidad de Normatividad, Apoyo Jurídico e Igualdad de Género, en el que se anexó la Prueba de Daño correspondiente mediante el cual señala lo siguiente:</w:t>
      </w:r>
    </w:p>
    <w:p w14:paraId="62F6CA01"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30B0759C" w14:textId="77777777" w:rsidR="00AB3C2E" w:rsidRPr="00624ACF" w:rsidRDefault="00AB3C2E" w:rsidP="004574D0">
      <w:pPr>
        <w:pStyle w:val="Prrafodelista"/>
        <w:tabs>
          <w:tab w:val="left" w:pos="426"/>
        </w:tabs>
        <w:spacing w:line="276" w:lineRule="auto"/>
        <w:ind w:left="851" w:right="851"/>
        <w:jc w:val="center"/>
        <w:rPr>
          <w:rFonts w:ascii="Palatino Linotype" w:hAnsi="Palatino Linotype"/>
          <w:b/>
          <w:bCs/>
          <w:i/>
          <w:iCs/>
          <w:color w:val="000000" w:themeColor="text1"/>
          <w:sz w:val="22"/>
          <w:szCs w:val="22"/>
        </w:rPr>
      </w:pPr>
      <w:r w:rsidRPr="00624ACF">
        <w:rPr>
          <w:rFonts w:ascii="Palatino Linotype" w:hAnsi="Palatino Linotype"/>
          <w:b/>
          <w:bCs/>
          <w:i/>
          <w:iCs/>
          <w:color w:val="000000" w:themeColor="text1"/>
          <w:sz w:val="22"/>
          <w:szCs w:val="22"/>
        </w:rPr>
        <w:t>PRUEBA DE DAÑO</w:t>
      </w:r>
    </w:p>
    <w:p w14:paraId="7C9CB510"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22DB2D63"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Respecto de la solicitud de información con número de folio </w:t>
      </w:r>
      <w:r w:rsidRPr="00624ACF">
        <w:rPr>
          <w:rFonts w:ascii="Palatino Linotype" w:hAnsi="Palatino Linotype"/>
          <w:b/>
          <w:bCs/>
          <w:i/>
          <w:iCs/>
          <w:color w:val="000000" w:themeColor="text1"/>
          <w:sz w:val="22"/>
          <w:szCs w:val="22"/>
        </w:rPr>
        <w:t>00041/UAI/IP/2021</w:t>
      </w:r>
      <w:r w:rsidRPr="00624ACF">
        <w:rPr>
          <w:rFonts w:ascii="Palatino Linotype" w:hAnsi="Palatino Linotype"/>
          <w:i/>
          <w:iCs/>
          <w:color w:val="000000" w:themeColor="text1"/>
          <w:sz w:val="22"/>
          <w:szCs w:val="22"/>
        </w:rPr>
        <w:t xml:space="preserve">, es dable señalar que esta Unidad de Normatividad, Apoyo Jurídico e Igualdad de Género advierte que las actas (…) contienen información referente al plan de trabajo de la Unidad de Asuntos Internos cuya divulgación puede comprometer la seguridad pública, así como los intereses de orden público, de conformidad con lo dispuesto en los artículos 113, fracción I de la Ley General de Transparencia y </w:t>
      </w:r>
      <w:r w:rsidRPr="00624ACF">
        <w:rPr>
          <w:rFonts w:ascii="Palatino Linotype" w:hAnsi="Palatino Linotype"/>
          <w:i/>
          <w:iCs/>
          <w:color w:val="000000" w:themeColor="text1"/>
          <w:sz w:val="22"/>
          <w:szCs w:val="22"/>
        </w:rPr>
        <w:lastRenderedPageBreak/>
        <w:t>Acceso a la Información Pública; 140, fracción I de la Ley de Transparencia y Acceso a la Información Pública del Estado de México y Municipios y numeral Décimo Octavo de los Lineamientos Generales en Materia de Clasificación y Desclasificación de la Información, así como para la Elaboración de Versiones Públicas, por lo cual es necesario se someta a consideración del Comité de Transparencia de la Unidad de Asuntos Internos la reserva de dicha información, en virtud de que de hacerse pública la misma podría ocasionar un perjuicio real y directo a la seguridad pública del Estado de México y a los intereses de orden público.</w:t>
      </w:r>
    </w:p>
    <w:p w14:paraId="4D68EB22"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4D114BB8"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Atento a lo anterior, es que se presenta y aplica una PRUEBA DE DAÑO, entendiéndose por ésta, la demostración de manera fundada y motivada, que la divulgación de la información lesiona el interés jurídicamente protegido por la Ley y que el menoscabo o daño que puede producirse con la publicidad de la información es mayor que el interés de conocerla y, por consiguiente, debe clasificarse como reservada, precisando las razones objetivas por las que la apertura de la información genera una afectación.</w:t>
      </w:r>
    </w:p>
    <w:p w14:paraId="2B92BFEA"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37D94754"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Conforme a lo antes expuesto, sírvase de referencia la siguiente fundamentación:</w:t>
      </w:r>
    </w:p>
    <w:p w14:paraId="25923AC2"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75E4E4C3"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[Téngase por reproducida la fracción I del artículo 113 de la Ley General de Transparencia y Acceso a la Información Pública]</w:t>
      </w:r>
    </w:p>
    <w:p w14:paraId="69290732"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6605FAD4"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[Ténganse por reproducidos el artículo 3, fracción XXIV, 91, 128, 129, 140, fracción I, y 141 de la Ley de Transparencia y Acceso a la Información Pública del Estado de México y Municipios]</w:t>
      </w:r>
    </w:p>
    <w:p w14:paraId="0E7485EA"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27420EE4"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[Téngase por reproducida la fracción V del artículo 7 del Reglamento Interior de la Unidad de Asuntos Internos].</w:t>
      </w:r>
    </w:p>
    <w:p w14:paraId="2C42131A"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7DE390DA"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[Téngase por reproducido el Lineamiento Décimo Octavo de los Lineamientos Generales en Materia de Clasificación y Desclasificación de la Información, así como para la Elaboración de Versiones Públicas]</w:t>
      </w:r>
    </w:p>
    <w:p w14:paraId="1E38F52E"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0A22B477"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lastRenderedPageBreak/>
        <w:t>Conforme a los preceptos normativos invocados, el acceso a la información pública será restringido excepcionalmente, cuando por razones de interés público, la misma sea clasificada como reservada y en el caso que nos ocupa se advierte que en el contenido de [fracciones específicas contenidas en las Actas de la Primera a la Quinta Sesión Ordinaria del Consejo Directivo] se refieren al plan de trabajo de la Unidad de Asuntos Internos, el cual contiene circunstancias que atañen a la seguridad pública y combate de conductas indebidas por parte de integrantes de la Secretaría de Seguridad del Estado de México, en ese sentido, la divulgación y entrega de la información generaría que se pudiera tener acceso a las estrategias de combate a la corrupción y malas prácticas en el ejercicio de la función de seguridad, con la afectación a la preservación y sigilo que debe existir respecto de las investigaciones que del actuar de los servidores públicos de la Unidad de Asuntos Internos pudieran derivar.</w:t>
      </w:r>
    </w:p>
    <w:p w14:paraId="7071E908"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5D05D3C3"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En esta tesitura, es relevante demostrar que la Prueba de Daño se encuentra apegada a lo dispuesto en el numeral Trigésimo Tercero de los Lineamientos Generales en Materia de Clasificación y Desclasificación de la Información, así como para la Elaboración de Versiones Públicas, en razón de lo subsecuente:</w:t>
      </w:r>
    </w:p>
    <w:p w14:paraId="4399C36B"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7CEAC911"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a) Fracción y, en su caso, la causal aplicable del artículo 113 de la Ley General de Transparencia y Acceso a la Información Pública, vinculándola con el Numeral Décimo Octavo de los Lineamientos Generales en Materia de Clasificación y Desclasificación de la Información, así como para la Elaboración de Versiones Públicas y el supuesto normativo que expresamente le otorga carácter de información reservada.</w:t>
      </w:r>
    </w:p>
    <w:p w14:paraId="56309247"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2068866F"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La reserva de la información aplicable al caso concreto, se encuentra establecida en los artículos 113, fracción I de la Ley General de Transparencia y Acceso a la Información Pública; 140, fracción I de la Ley de Transparencia y Acceso a la Información Pública del Estado de México y Municipios; en relación con el numeral Décimo Octavo de los Lineamientos Generales en Materia de Clasificación y Desclasificación de la Información así como para la Elaboración de Versiones Públicas, toda vez que el artículo 209 de la Ley de Seguridad del Estado de México, prevé que la facultad de la Unidad de Asuntos Internos para establecer la estrategia que coadyuve al cumplimiento de su objetivo, con motivo de faltas </w:t>
      </w:r>
      <w:r w:rsidRPr="00624ACF">
        <w:rPr>
          <w:rFonts w:ascii="Palatino Linotype" w:hAnsi="Palatino Linotype"/>
          <w:i/>
          <w:iCs/>
          <w:color w:val="000000" w:themeColor="text1"/>
          <w:sz w:val="22"/>
          <w:szCs w:val="22"/>
        </w:rPr>
        <w:lastRenderedPageBreak/>
        <w:t>administrativas o infracciones disciplinarias cometidas por los integrantes de la secretaría de seguridad del Estado de México.</w:t>
      </w:r>
    </w:p>
    <w:p w14:paraId="64FA2597"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6B8106D1"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b) Mediante la ponderación de los intereses en conflicto, se demuestra que la publicidad de la información solicitada generaría un riesgo de perjuicio y por lo tanto, se acredita que este último rebasa el interés público protegido por la reserva.</w:t>
      </w:r>
    </w:p>
    <w:p w14:paraId="4FEF6E85"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2F6FC20E"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En la ponderación de los intereses en conflicto, es importante señalar que la Unidad de Asuntos Internos es un organismo auxiliar de la Secretaría de Seguridad por lo que al hacer </w:t>
      </w:r>
      <w:proofErr w:type="spellStart"/>
      <w:r w:rsidRPr="00624ACF">
        <w:rPr>
          <w:rFonts w:ascii="Palatino Linotype" w:hAnsi="Palatino Linotype"/>
          <w:i/>
          <w:iCs/>
          <w:color w:val="000000" w:themeColor="text1"/>
          <w:sz w:val="22"/>
          <w:szCs w:val="22"/>
        </w:rPr>
        <w:t>publico</w:t>
      </w:r>
      <w:proofErr w:type="spellEnd"/>
      <w:r w:rsidRPr="00624ACF">
        <w:rPr>
          <w:rFonts w:ascii="Palatino Linotype" w:hAnsi="Palatino Linotype"/>
          <w:i/>
          <w:iCs/>
          <w:color w:val="000000" w:themeColor="text1"/>
          <w:sz w:val="22"/>
          <w:szCs w:val="22"/>
        </w:rPr>
        <w:t xml:space="preserve"> el plan de trabajo contenido en las actas de la Primera, Segunda, Tercera, Cuarta y Quinta Sesiones Ordinarias del Consejo Directivo 2021, se pondría en peligro su operatividad y generaría un riesgo de perjuicio a la atribución que tiene la Unidad de Asuntos Internos para supervisar y vigilar que los integrantes de la Secretaría de Seguridad del Estado de México cumplan con los deberes y normas establecidas en los ordenamientos legales y disposiciones que rigen su actuación; lo cual rebasa el interés público, poniendo en riesgo la estrategia de investigación y las técnicas de supervisión, repercutiendo de manera directa en las diligencias que se realizan, ya que al darlas a conocer, no se obtendría el resultado final esperado, por lo que no es dable proporcionar todo el contenido de las actas antes mencionadas, toda vez que vulneraría el resultado de las actividades realizadas por los servidores públicos de la Unidad de Asuntos Internos, a efecto de que la misma lleve a cabo sus atribuciones en materia de supervisión y vigilancia.</w:t>
      </w:r>
    </w:p>
    <w:p w14:paraId="6D744F7A"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2219E499"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c) Acreditación del vínculo entre la difusión de la información y la afectación del interés jurídico tutelado de que se trate.</w:t>
      </w:r>
    </w:p>
    <w:p w14:paraId="56637D00"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41BF446A"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El interés jurídico tutelado se materializa en la protección de la seguridad pública, ya que al revela la información contenida en [las fracciones específicas testadas en las versiones públicas de las Actas de la Primera a la Quinta Sesiones Ordinarias del Consejo Directivo] se comprometerían las supervisiones, inspecciones e investigaciones realizadas por la Unidad de Asuntos Internos a los integrantes de la Secretaría de Seguridad del Estado de México.</w:t>
      </w:r>
    </w:p>
    <w:p w14:paraId="61B0610F"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46887263"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lastRenderedPageBreak/>
        <w:t>d) Razones objetivas por las que la apertura de la información generaría una afectación, a través de los elementos de un riesgo real, demostrable e identificable.</w:t>
      </w:r>
    </w:p>
    <w:p w14:paraId="7B99160E"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3AF00BFA"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Como ya se ha expuesto en el contenido de la presente Prueba de Daño, la divulgación de la información solicitada representaría un riesgo real, demostrable e identificable del perjuicio significativo a la seguridad pública o al interés público, en virtud de que en [las fracciones específicas testadas en las versiones públicas de las Actas de la Primera a la Quinta Sesiones Ordinarias del Consejo Directivo] se constituye información relacionada con las estrategias a implementar por la Unidad de Asuntos Internos, con el fin de detectar conductas indebidas de los integrantes de la Secretaría de Seguridad del Estado de México, conforme a lo siguiente:</w:t>
      </w:r>
    </w:p>
    <w:p w14:paraId="26083716"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2436027D"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-Riesgo Real:</w:t>
      </w:r>
      <w:r w:rsidRPr="00624ACF">
        <w:rPr>
          <w:rFonts w:ascii="Palatino Linotype" w:hAnsi="Palatino Linotype"/>
          <w:i/>
          <w:iCs/>
          <w:color w:val="000000" w:themeColor="text1"/>
          <w:sz w:val="22"/>
          <w:szCs w:val="22"/>
        </w:rPr>
        <w:t xml:space="preserve"> El riesgo de vulneración al interés jurídico tutelado es real ya que al proporcionar el plan de trabajo de la Unidad de Asuntos Internos se comprometerían las estrategias y técnicas de investigación y supervisión; asimismo, se originaría una afectación en las actividades de este organismo público descentralizado y como consecuencia en la investigación de las conductas de los integrantes de la Secretaría de Seguridad del Estado de México, que con la divulgación y entrega de la información se afectaría directamente el resultado de las supervisiones e inspecciones.</w:t>
      </w:r>
    </w:p>
    <w:p w14:paraId="470A316D"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6D170F64"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-Riesgo demostrable:</w:t>
      </w:r>
      <w:r w:rsidRPr="00624ACF">
        <w:rPr>
          <w:rFonts w:ascii="Palatino Linotype" w:hAnsi="Palatino Linotype"/>
          <w:i/>
          <w:iCs/>
          <w:color w:val="000000" w:themeColor="text1"/>
          <w:sz w:val="22"/>
          <w:szCs w:val="22"/>
        </w:rPr>
        <w:t xml:space="preserve"> El riesgo es demostrable en virtud de que con fundamento en los artículo 204, 205, fracciones II y III de la Ley de Seguridad del Estado de México y al tratarse de la forma de ejecutar las supervisiones e investigaciones de la Unidad de Asuntos Internos, se puede comprometer la seguridad pública.</w:t>
      </w:r>
    </w:p>
    <w:p w14:paraId="28B665A4"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78661739"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-Riesgo identificable:</w:t>
      </w:r>
      <w:r w:rsidRPr="00624ACF">
        <w:rPr>
          <w:rFonts w:ascii="Palatino Linotype" w:hAnsi="Palatino Linotype"/>
          <w:i/>
          <w:iCs/>
          <w:color w:val="000000" w:themeColor="text1"/>
          <w:sz w:val="22"/>
          <w:szCs w:val="22"/>
        </w:rPr>
        <w:t xml:space="preserve"> El riesgo es identificable toda vez que se podría comprometer la seguridad pública ya que se vería menoscabada la atribución de la Unidad de Asuntos Internos, para llevar a cabo las supervisiones e investigaciones a los integrantes de la Secretaría de Seguridad del Estado de México para que cumplan con los deberes y normas establecidas en los ordenamientos legales y disposiciones que rigen su actuación.</w:t>
      </w:r>
    </w:p>
    <w:p w14:paraId="7F95CCF4"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30E4B888"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e) Circunstancias de modo, tiempo y lugar del daño.</w:t>
      </w:r>
    </w:p>
    <w:p w14:paraId="5188180A"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6D0F2147"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Circunstancias de modo:</w:t>
      </w:r>
      <w:r w:rsidRPr="00624ACF">
        <w:rPr>
          <w:rFonts w:ascii="Palatino Linotype" w:hAnsi="Palatino Linotype"/>
          <w:i/>
          <w:iCs/>
          <w:color w:val="000000" w:themeColor="text1"/>
          <w:sz w:val="22"/>
          <w:szCs w:val="22"/>
        </w:rPr>
        <w:t xml:space="preserve"> Al darse a conocer la información solicitada se causaría un daño a la seguridad pública y, en ese sentido, se podrían comprometer las facultades de actuación de los servidores públicos de la Unidad, que repercuten tanto a la investigación, como a la posible determinación que la Unidad de Asuntos Internos dentro del marco de sus atribuciones pudiera en su caso emitir.</w:t>
      </w:r>
    </w:p>
    <w:p w14:paraId="787CA557"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60DFE0E2"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 </w:t>
      </w:r>
      <w:r w:rsidRPr="00624ACF">
        <w:rPr>
          <w:rFonts w:ascii="Palatino Linotype" w:hAnsi="Palatino Linotype"/>
          <w:b/>
          <w:bCs/>
          <w:i/>
          <w:iCs/>
          <w:color w:val="000000" w:themeColor="text1"/>
          <w:sz w:val="22"/>
          <w:szCs w:val="22"/>
        </w:rPr>
        <w:t>Circunstancias de tiempo:</w:t>
      </w:r>
      <w:r w:rsidRPr="00624ACF">
        <w:rPr>
          <w:rFonts w:ascii="Palatino Linotype" w:hAnsi="Palatino Linotype"/>
          <w:i/>
          <w:iCs/>
          <w:color w:val="000000" w:themeColor="text1"/>
          <w:sz w:val="22"/>
          <w:szCs w:val="22"/>
        </w:rPr>
        <w:t xml:space="preserve"> El daño producido por la publicidad de la información contenida en las actas de la Primera, Segunda, Tercera, Cuarta y Quinta Sesiones Ordinarias del Consejo Directivo 2021, se efectúa en el momento en que dicha información fuera utilizada para obstaculizar las actuaciones que resulten necesarias en las supervisiones y técnicas de investigación respectiva.</w:t>
      </w:r>
    </w:p>
    <w:p w14:paraId="07C315B2"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62240E1A"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 </w:t>
      </w:r>
      <w:r w:rsidRPr="00624ACF">
        <w:rPr>
          <w:rFonts w:ascii="Palatino Linotype" w:hAnsi="Palatino Linotype"/>
          <w:b/>
          <w:bCs/>
          <w:i/>
          <w:iCs/>
          <w:color w:val="000000" w:themeColor="text1"/>
          <w:sz w:val="22"/>
          <w:szCs w:val="22"/>
        </w:rPr>
        <w:t>Circunstancias de lugar:</w:t>
      </w:r>
      <w:r w:rsidRPr="00624ACF">
        <w:rPr>
          <w:rFonts w:ascii="Palatino Linotype" w:hAnsi="Palatino Linotype"/>
          <w:i/>
          <w:iCs/>
          <w:color w:val="000000" w:themeColor="text1"/>
          <w:sz w:val="22"/>
          <w:szCs w:val="22"/>
        </w:rPr>
        <w:t xml:space="preserve"> El daño se causaría en el lugar donde se ejerce la atribución de la Unidad de Asuntos Internos respecto de supervisión y vigilancia a los integrantes de la Secretaría de Seguridad del Estado de México, es decir en el Estado de México, por ser el ámbito territorial donde se llevan a cabo las mismas.</w:t>
      </w:r>
    </w:p>
    <w:p w14:paraId="1C3DDD61"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0C62953A"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f) Opción de excepción al acceso a la información que menos lo restrinja, la cual es adecuada y proporcional para la protección del interés público, por lo que interfiere lo menos posible en el ejercicio efectivo del derecho de acceso a la información.</w:t>
      </w:r>
    </w:p>
    <w:p w14:paraId="3D039462"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4D6043ED"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Conforme a lo antes expuesto, se considera que la opción de excepción al acceso a la información que menos lo restrinja es la reserva parcial de las acta de la Primera, Segunda, Tercera, Cuarta y Quinta Sesiones Ordinarias del Consejo Directivo 2021, siendo ello lo más adecuado y proporcional para la protección del derecho de acceso a la información, ya que el contenido de las actas antes mencionadas establece el plan de trabajo y por tanto la estrategia de investigación de conductas irregulares de los integrantes de la Secretaría de Seguridad del Estado de México, lo cual repercute en el resultado de la misma.</w:t>
      </w:r>
    </w:p>
    <w:p w14:paraId="011AAA27"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76FE3F7B"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 xml:space="preserve">Finalmente, y de conformidad con lo dispuesto en los artículos 123, fracciones I y II; 124, fracción I; 125 y 128, párrafo tercer de la Ley de Transparencia y Acceso a la Información Pública del Estado de México y Municipios; y los numerales </w:t>
      </w:r>
      <w:r w:rsidRPr="00624ACF">
        <w:rPr>
          <w:rFonts w:ascii="Palatino Linotype" w:hAnsi="Palatino Linotype"/>
          <w:i/>
          <w:iCs/>
          <w:color w:val="000000" w:themeColor="text1"/>
          <w:sz w:val="22"/>
          <w:szCs w:val="22"/>
        </w:rPr>
        <w:lastRenderedPageBreak/>
        <w:t xml:space="preserve">Octavo, párrafo tercero y Trigésimo Cuarto de los Lineamientos Generales en Materia de Clasificación y Desclasificación de la Información así como para la Elaboración de Versiones Públicas, se considera la reserva PARCIAL por un período de CUATRO AÑOS para las actas de la Primera, Segunda, Tercera, Cuarta y Quinta Sesiones Ordinarias del Consejo Directivo 2021, mismas que se entregarán en versión pública, toda vez que en ellas se establece la estrategia de investigación y el plan de trabajo de la Unidad de Asuntos Internos, en relación a la actuación de los integrantes de la Secretaría de Seguridad del Estado de México, por lo que al divulgar dicha información se puede causar daño presente, probable y específico al proceso final de las investigaciones y a los intereses de orden público a que se refieren los artículos 113, fracción I de la Ley General de Transparencia y Acceso a la Información Pública; 140, fracción I de la Ley de Transparencia y Acceso a la Información Pública del Estado de México y Municipios; y numeral Décimo Octavo de los Lineamientos Generales en Materia de Clasificación y Desclasificación de la Información así como para la Elaboración de Versiones Públicas. </w:t>
      </w:r>
      <w:proofErr w:type="gramStart"/>
      <w:r w:rsidRPr="00624ACF">
        <w:rPr>
          <w:rFonts w:ascii="Palatino Linotype" w:hAnsi="Palatino Linotype"/>
          <w:i/>
          <w:iCs/>
          <w:color w:val="000000" w:themeColor="text1"/>
          <w:sz w:val="22"/>
          <w:szCs w:val="22"/>
        </w:rPr>
        <w:t>mismo</w:t>
      </w:r>
      <w:proofErr w:type="gramEnd"/>
      <w:r w:rsidRPr="00624ACF">
        <w:rPr>
          <w:rFonts w:ascii="Palatino Linotype" w:hAnsi="Palatino Linotype"/>
          <w:i/>
          <w:iCs/>
          <w:color w:val="000000" w:themeColor="text1"/>
          <w:sz w:val="22"/>
          <w:szCs w:val="22"/>
        </w:rPr>
        <w:t xml:space="preserve"> que es el estrictamente necesario para salvaguardar la información y el bien jurídico tutelado por los supuestos normativos invocados sin perjuicio de que previo al vencimiento de dicho plazo puede llevarse a cabo su desclasificación en caso de que dejen de existir las causas que dieron origen a la clasificación.</w:t>
      </w:r>
    </w:p>
    <w:p w14:paraId="12D63D0F"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3FF132B4"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p>
    <w:p w14:paraId="2332FD75"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763231B7" w14:textId="77777777" w:rsidR="00AB3C2E" w:rsidRPr="00624ACF" w:rsidRDefault="00AB3C2E"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Al no existir ningún pronunciamiento y en virtud de lo expuesto y analizado con anterioridad, el Comité de Transparencia determinó que atendiendo a las circunstancias del caso específico, la divulgación de la información relativa a la estrategia de investigación y plan de trabajo de la Unidad de Asuntos Internos contenidos en [las fracciones específicas testadas en las versiones públicas de las Actas de la Primera a la Quinta Sesiones Ordinarias del Consejo Directivo], generaría una afectación, por ello se procedió a confirmar la clasificación de la información como reservada de manera parcial propuesta por el Servidor Público Habilitado de la Unidad de Normatividad, Apoyo Jurídico e Igualdad de Género.” (Sic)</w:t>
      </w:r>
    </w:p>
    <w:p w14:paraId="7EAA2CDE"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6188365C"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lastRenderedPageBreak/>
        <w:t>75.</w:t>
      </w:r>
      <w:r w:rsidRPr="00624ACF">
        <w:rPr>
          <w:rFonts w:ascii="Palatino Linotype" w:hAnsi="Palatino Linotype"/>
          <w:b/>
          <w:bCs/>
          <w:i/>
          <w:iCs/>
          <w:color w:val="000000" w:themeColor="text1"/>
          <w:sz w:val="22"/>
          <w:szCs w:val="22"/>
        </w:rPr>
        <w:tab/>
      </w:r>
      <w:r w:rsidRPr="00624ACF">
        <w:rPr>
          <w:rFonts w:ascii="Palatino Linotype" w:hAnsi="Palatino Linotype"/>
          <w:i/>
          <w:iCs/>
          <w:color w:val="000000" w:themeColor="text1"/>
          <w:sz w:val="22"/>
          <w:szCs w:val="22"/>
        </w:rPr>
        <w:t xml:space="preserve">De la lectura al contenido elemental del Acta de la Décimo Tercera Sesión Extraordinaria del Comité de Transparencia del </w:t>
      </w:r>
      <w:r w:rsidRPr="00624ACF">
        <w:rPr>
          <w:rFonts w:ascii="Palatino Linotype" w:hAnsi="Palatino Linotype"/>
          <w:b/>
          <w:bCs/>
          <w:i/>
          <w:iCs/>
          <w:color w:val="000000" w:themeColor="text1"/>
          <w:sz w:val="22"/>
          <w:szCs w:val="22"/>
        </w:rPr>
        <w:t>SUJETO OBLIGADO</w:t>
      </w:r>
      <w:r w:rsidRPr="00624ACF">
        <w:rPr>
          <w:rFonts w:ascii="Palatino Linotype" w:hAnsi="Palatino Linotype"/>
          <w:i/>
          <w:iCs/>
          <w:color w:val="000000" w:themeColor="text1"/>
          <w:sz w:val="22"/>
          <w:szCs w:val="22"/>
        </w:rPr>
        <w:t>, podemos advertir que éste fundó su pretensión de reservar la información con base en los dispuesto por el artículo 113, fracción I, de la Ley General de Transparencia y Acceso a la Información Pública, así como con la fracción I del artículo 140 de la Ley de Transparencia y Acceso a la Información Pública del Estado de México y Municipios, en correlación con el Lineamiento Décimo Octavo de los Lineamientos Vigésimo Noveno y Trigésimo de los Lineamientos Generales en Materia de Clasificación y Desclasificación de la Información, así como para la Elaboración de Versiones Públicas, los cuales establecen lo siguiente:</w:t>
      </w:r>
    </w:p>
    <w:p w14:paraId="419A4F0C"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7D76137" w14:textId="77777777" w:rsidR="00AB3C2E" w:rsidRPr="00624ACF" w:rsidRDefault="00AB3C2E" w:rsidP="004574D0">
      <w:pPr>
        <w:pStyle w:val="Prrafodelista"/>
        <w:tabs>
          <w:tab w:val="left" w:pos="426"/>
        </w:tabs>
        <w:spacing w:line="276" w:lineRule="auto"/>
        <w:ind w:left="567" w:right="567"/>
        <w:jc w:val="center"/>
        <w:rPr>
          <w:rFonts w:ascii="Palatino Linotype" w:hAnsi="Palatino Linotype"/>
          <w:b/>
          <w:bCs/>
          <w:i/>
          <w:iCs/>
          <w:color w:val="000000" w:themeColor="text1"/>
          <w:sz w:val="22"/>
          <w:szCs w:val="22"/>
        </w:rPr>
      </w:pPr>
      <w:r w:rsidRPr="00624ACF">
        <w:rPr>
          <w:rFonts w:ascii="Palatino Linotype" w:hAnsi="Palatino Linotype"/>
          <w:b/>
          <w:bCs/>
          <w:i/>
          <w:iCs/>
          <w:color w:val="000000" w:themeColor="text1"/>
          <w:sz w:val="22"/>
          <w:szCs w:val="22"/>
        </w:rPr>
        <w:t>LEY GENERAL DE TRANSPARENCIA Y ACCESO A LA INFORMACIÓN PÚBLICA</w:t>
      </w:r>
    </w:p>
    <w:p w14:paraId="7CB95D5C"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r w:rsidRPr="00624ACF">
        <w:rPr>
          <w:rFonts w:ascii="Palatino Linotype" w:hAnsi="Palatino Linotype"/>
          <w:b/>
          <w:bCs/>
          <w:i/>
          <w:iCs/>
          <w:color w:val="000000" w:themeColor="text1"/>
          <w:sz w:val="22"/>
          <w:szCs w:val="22"/>
        </w:rPr>
        <w:t>Artículo 113.</w:t>
      </w:r>
      <w:r w:rsidRPr="00624ACF">
        <w:rPr>
          <w:rFonts w:ascii="Palatino Linotype" w:hAnsi="Palatino Linotype"/>
          <w:i/>
          <w:iCs/>
          <w:color w:val="000000" w:themeColor="text1"/>
          <w:sz w:val="22"/>
          <w:szCs w:val="22"/>
        </w:rPr>
        <w:t xml:space="preserve"> Como información reservada podrá clasificarse aquella cuya publicación:</w:t>
      </w:r>
    </w:p>
    <w:p w14:paraId="6E3F7F37"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I.</w:t>
      </w:r>
      <w:r w:rsidRPr="00624ACF">
        <w:rPr>
          <w:rFonts w:ascii="Palatino Linotype" w:hAnsi="Palatino Linotype"/>
          <w:i/>
          <w:iCs/>
          <w:color w:val="000000" w:themeColor="text1"/>
          <w:sz w:val="22"/>
          <w:szCs w:val="22"/>
        </w:rPr>
        <w:t xml:space="preserve"> Comprometa la seguridad nacional, la seguridad pública o la defensa nacional y cuente con un propósito genuino y un efecto demostrable;</w:t>
      </w:r>
    </w:p>
    <w:p w14:paraId="1500574C"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p>
    <w:p w14:paraId="4921AAE4"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(Énfasis añadido)</w:t>
      </w:r>
    </w:p>
    <w:p w14:paraId="2BA5D415"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13C5E8A6" w14:textId="77777777" w:rsidR="00AB3C2E" w:rsidRPr="00624ACF" w:rsidRDefault="00AB3C2E" w:rsidP="004574D0">
      <w:pPr>
        <w:pStyle w:val="Prrafodelista"/>
        <w:tabs>
          <w:tab w:val="left" w:pos="426"/>
        </w:tabs>
        <w:spacing w:line="276" w:lineRule="auto"/>
        <w:ind w:left="567" w:right="567"/>
        <w:jc w:val="center"/>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LEY DE TRANSPARENCIA Y ACCESO A LA INFORMAICÓN PÚBLICA DEL ESTADO DE MÉXICO Y MUNICIPIOS</w:t>
      </w:r>
    </w:p>
    <w:p w14:paraId="2A7AD291"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r w:rsidRPr="00624ACF">
        <w:rPr>
          <w:rFonts w:ascii="Palatino Linotype" w:hAnsi="Palatino Linotype"/>
          <w:b/>
          <w:bCs/>
          <w:i/>
          <w:iCs/>
          <w:color w:val="000000" w:themeColor="text1"/>
          <w:sz w:val="22"/>
          <w:szCs w:val="22"/>
        </w:rPr>
        <w:t>Artículo 140.</w:t>
      </w:r>
      <w:r w:rsidRPr="00624ACF">
        <w:rPr>
          <w:rFonts w:ascii="Palatino Linotype" w:hAnsi="Palatino Linotype"/>
          <w:i/>
          <w:iCs/>
          <w:color w:val="000000" w:themeColor="text1"/>
          <w:sz w:val="22"/>
          <w:szCs w:val="22"/>
        </w:rPr>
        <w:t xml:space="preserve"> El acceso a la información pública será restringido excepcionalmente, cuando por razones de interés público, ésta sea clasificada como reservada, conforme a los criterios siguientes:</w:t>
      </w:r>
    </w:p>
    <w:p w14:paraId="44ECC93C"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 xml:space="preserve">I. Comprometa la seguridad pública </w:t>
      </w:r>
      <w:r w:rsidRPr="00624ACF">
        <w:rPr>
          <w:rFonts w:ascii="Palatino Linotype" w:hAnsi="Palatino Linotype"/>
          <w:i/>
          <w:iCs/>
          <w:color w:val="000000" w:themeColor="text1"/>
          <w:sz w:val="22"/>
          <w:szCs w:val="22"/>
        </w:rPr>
        <w:t>y cuente con un propósito genuino y un efecto demostrable; (…)”</w:t>
      </w:r>
    </w:p>
    <w:p w14:paraId="4AF0E45A"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(Énfasis añadido)</w:t>
      </w:r>
    </w:p>
    <w:p w14:paraId="16753D92"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2AC7BA98" w14:textId="77777777" w:rsidR="00AB3C2E" w:rsidRPr="00624ACF" w:rsidRDefault="00AB3C2E" w:rsidP="004574D0">
      <w:pPr>
        <w:pStyle w:val="Prrafodelista"/>
        <w:tabs>
          <w:tab w:val="left" w:pos="426"/>
        </w:tabs>
        <w:spacing w:line="276" w:lineRule="auto"/>
        <w:ind w:left="567" w:right="567"/>
        <w:jc w:val="center"/>
        <w:rPr>
          <w:rFonts w:ascii="Palatino Linotype" w:hAnsi="Palatino Linotype"/>
          <w:b/>
          <w:bCs/>
          <w:i/>
          <w:iCs/>
          <w:color w:val="000000" w:themeColor="text1"/>
          <w:sz w:val="22"/>
          <w:szCs w:val="22"/>
        </w:rPr>
      </w:pPr>
      <w:r w:rsidRPr="00624ACF">
        <w:rPr>
          <w:rFonts w:ascii="Palatino Linotype" w:hAnsi="Palatino Linotype"/>
          <w:b/>
          <w:bCs/>
          <w:i/>
          <w:iCs/>
          <w:color w:val="000000" w:themeColor="text1"/>
          <w:sz w:val="22"/>
          <w:szCs w:val="22"/>
        </w:rPr>
        <w:t>LINEAMIENTOS GENERALES EN MATERIA DE CLASIFICACIÓN Y DESCLASIFICACIÓN DE LA INFORMACIÓN, ASÍ COMO PARA LA ELABORACIÓN DE VERSIONES PÚBLICAS</w:t>
      </w:r>
    </w:p>
    <w:p w14:paraId="4B4E27AB"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r w:rsidRPr="00624ACF">
        <w:rPr>
          <w:rFonts w:ascii="Palatino Linotype" w:hAnsi="Palatino Linotype"/>
          <w:b/>
          <w:bCs/>
          <w:i/>
          <w:iCs/>
          <w:color w:val="000000" w:themeColor="text1"/>
          <w:sz w:val="22"/>
          <w:szCs w:val="22"/>
        </w:rPr>
        <w:t>Décimo octavo.</w:t>
      </w:r>
      <w:r w:rsidRPr="00624ACF">
        <w:rPr>
          <w:rFonts w:ascii="Palatino Linotype" w:hAnsi="Palatino Linotype"/>
          <w:i/>
          <w:iCs/>
          <w:color w:val="000000" w:themeColor="text1"/>
          <w:sz w:val="22"/>
          <w:szCs w:val="22"/>
        </w:rPr>
        <w:t xml:space="preserve"> De conformidad con el artículo 113, fracción I de la Ley General, </w:t>
      </w:r>
      <w:r w:rsidRPr="00624ACF">
        <w:rPr>
          <w:rFonts w:ascii="Palatino Linotype" w:hAnsi="Palatino Linotype"/>
          <w:b/>
          <w:bCs/>
          <w:i/>
          <w:iCs/>
          <w:color w:val="000000" w:themeColor="text1"/>
          <w:sz w:val="22"/>
          <w:szCs w:val="22"/>
        </w:rPr>
        <w:t>podrá considerarse como información reservada, aquella que comprometa la seguridad pública, al poner en peligro las funciones a cargo de</w:t>
      </w:r>
      <w:r w:rsidRPr="00624ACF">
        <w:rPr>
          <w:rFonts w:ascii="Palatino Linotype" w:hAnsi="Palatino Linotype"/>
          <w:i/>
          <w:iCs/>
          <w:color w:val="000000" w:themeColor="text1"/>
          <w:sz w:val="22"/>
          <w:szCs w:val="22"/>
        </w:rPr>
        <w:t xml:space="preserve"> la Federación, la Ciudad de México, </w:t>
      </w:r>
      <w:r w:rsidRPr="00624ACF">
        <w:rPr>
          <w:rFonts w:ascii="Palatino Linotype" w:hAnsi="Palatino Linotype"/>
          <w:b/>
          <w:bCs/>
          <w:i/>
          <w:iCs/>
          <w:color w:val="000000" w:themeColor="text1"/>
          <w:sz w:val="22"/>
          <w:szCs w:val="22"/>
        </w:rPr>
        <w:t>los Estados</w:t>
      </w:r>
      <w:r w:rsidRPr="00624ACF">
        <w:rPr>
          <w:rFonts w:ascii="Palatino Linotype" w:hAnsi="Palatino Linotype"/>
          <w:i/>
          <w:iCs/>
          <w:color w:val="000000" w:themeColor="text1"/>
          <w:sz w:val="22"/>
          <w:szCs w:val="22"/>
        </w:rPr>
        <w:t xml:space="preserve"> y los Municipios, </w:t>
      </w:r>
      <w:r w:rsidRPr="00624ACF">
        <w:rPr>
          <w:rFonts w:ascii="Palatino Linotype" w:hAnsi="Palatino Linotype"/>
          <w:b/>
          <w:bCs/>
          <w:i/>
          <w:iCs/>
          <w:color w:val="000000" w:themeColor="text1"/>
          <w:sz w:val="22"/>
          <w:szCs w:val="22"/>
        </w:rPr>
        <w:t xml:space="preserve">tendientes a preservar y </w:t>
      </w:r>
      <w:r w:rsidRPr="00624ACF">
        <w:rPr>
          <w:rFonts w:ascii="Palatino Linotype" w:hAnsi="Palatino Linotype"/>
          <w:b/>
          <w:bCs/>
          <w:i/>
          <w:iCs/>
          <w:color w:val="000000" w:themeColor="text1"/>
          <w:sz w:val="22"/>
          <w:szCs w:val="22"/>
        </w:rPr>
        <w:lastRenderedPageBreak/>
        <w:t>resguardar la vida, la salud, la integridad y el ejercicio de los derechos de las personas, así como para el mantenimiento del orden público</w:t>
      </w:r>
      <w:r w:rsidRPr="00624ACF">
        <w:rPr>
          <w:rFonts w:ascii="Palatino Linotype" w:hAnsi="Palatino Linotype"/>
          <w:i/>
          <w:iCs/>
          <w:color w:val="000000" w:themeColor="text1"/>
          <w:sz w:val="22"/>
          <w:szCs w:val="22"/>
        </w:rPr>
        <w:t>.</w:t>
      </w:r>
    </w:p>
    <w:p w14:paraId="1054ABC8"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p>
    <w:p w14:paraId="1B4ED746"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(Énfasis añadido)</w:t>
      </w:r>
    </w:p>
    <w:p w14:paraId="3AA55413"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739726DB"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76.</w:t>
      </w:r>
      <w:r w:rsidRPr="00624ACF">
        <w:rPr>
          <w:rFonts w:ascii="Palatino Linotype" w:hAnsi="Palatino Linotype"/>
          <w:i/>
          <w:iCs/>
          <w:color w:val="000000" w:themeColor="text1"/>
          <w:sz w:val="22"/>
          <w:szCs w:val="22"/>
        </w:rPr>
        <w:tab/>
        <w:t>De lo anterior se coligue que se considerará como información reservada, aquélla que, de divulgarse, pueda comprometer la seguridad pública de la entidad, siempre y cuando ésta cuente con un propósito genuino y demostrable.</w:t>
      </w:r>
    </w:p>
    <w:p w14:paraId="08BA841E"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766B1D61"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77.</w:t>
      </w:r>
      <w:r w:rsidRPr="00624ACF">
        <w:rPr>
          <w:rFonts w:ascii="Palatino Linotype" w:hAnsi="Palatino Linotype"/>
          <w:i/>
          <w:iCs/>
          <w:color w:val="000000" w:themeColor="text1"/>
          <w:sz w:val="22"/>
          <w:szCs w:val="22"/>
        </w:rPr>
        <w:tab/>
        <w:t xml:space="preserve">Por su parte, el párrafo segundo del Lineamiento Décimo Octavo de los Lineamientos Vigésimo Noveno y Trigésimo de los Lineamientos Generales en Materia de Clasificación y Desclasificación de la Información, así como para la Elaboración de Versiones Públicas, establece que se pondrá en riesgo el orden público </w:t>
      </w:r>
      <w:r w:rsidRPr="00624ACF">
        <w:rPr>
          <w:rFonts w:ascii="Palatino Linotype" w:hAnsi="Palatino Linotype"/>
          <w:b/>
          <w:bCs/>
          <w:i/>
          <w:iCs/>
          <w:color w:val="000000" w:themeColor="text1"/>
          <w:sz w:val="22"/>
          <w:szCs w:val="22"/>
        </w:rPr>
        <w:t>cuando la difusión de la información pueda menoscabar</w:t>
      </w:r>
      <w:r w:rsidRPr="00624ACF">
        <w:rPr>
          <w:rFonts w:ascii="Palatino Linotype" w:hAnsi="Palatino Linotype"/>
          <w:i/>
          <w:iCs/>
          <w:color w:val="000000" w:themeColor="text1"/>
          <w:sz w:val="22"/>
          <w:szCs w:val="22"/>
        </w:rPr>
        <w:t xml:space="preserve"> en la siguiente semántica:</w:t>
      </w:r>
    </w:p>
    <w:p w14:paraId="06531212" w14:textId="77777777" w:rsidR="00AB3C2E" w:rsidRPr="00624ACF" w:rsidRDefault="00AB3C2E" w:rsidP="004574D0">
      <w:pPr>
        <w:pStyle w:val="Prrafodelista"/>
        <w:tabs>
          <w:tab w:val="left" w:pos="567"/>
        </w:tabs>
        <w:spacing w:line="276" w:lineRule="auto"/>
        <w:ind w:left="851"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I.</w:t>
      </w:r>
      <w:r w:rsidRPr="00624ACF">
        <w:rPr>
          <w:rFonts w:ascii="Palatino Linotype" w:hAnsi="Palatino Linotype"/>
          <w:b/>
          <w:bCs/>
          <w:i/>
          <w:iCs/>
          <w:color w:val="000000" w:themeColor="text1"/>
          <w:sz w:val="22"/>
          <w:szCs w:val="22"/>
        </w:rPr>
        <w:tab/>
      </w:r>
      <w:r w:rsidRPr="00624ACF">
        <w:rPr>
          <w:rFonts w:ascii="Palatino Linotype" w:hAnsi="Palatino Linotype"/>
          <w:i/>
          <w:iCs/>
          <w:color w:val="000000" w:themeColor="text1"/>
          <w:sz w:val="22"/>
          <w:szCs w:val="22"/>
        </w:rPr>
        <w:t>Entorpezca los sistemas de coordinación interinstitucional en materia de seguridad pública;</w:t>
      </w:r>
    </w:p>
    <w:p w14:paraId="3BE8EB85" w14:textId="77777777" w:rsidR="00AB3C2E" w:rsidRPr="00624ACF" w:rsidRDefault="00AB3C2E" w:rsidP="004574D0">
      <w:pPr>
        <w:pStyle w:val="Prrafodelista"/>
        <w:tabs>
          <w:tab w:val="left" w:pos="567"/>
        </w:tabs>
        <w:spacing w:line="276" w:lineRule="auto"/>
        <w:ind w:left="851"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II.</w:t>
      </w:r>
      <w:r w:rsidRPr="00624ACF">
        <w:rPr>
          <w:rFonts w:ascii="Palatino Linotype" w:hAnsi="Palatino Linotype"/>
          <w:i/>
          <w:iCs/>
          <w:color w:val="000000" w:themeColor="text1"/>
          <w:sz w:val="22"/>
          <w:szCs w:val="22"/>
        </w:rPr>
        <w:tab/>
        <w:t xml:space="preserve">Menoscabe o dificulte las estrategias contra la evasión de reos; o </w:t>
      </w:r>
    </w:p>
    <w:p w14:paraId="71A022E2" w14:textId="77777777" w:rsidR="00AB3C2E" w:rsidRPr="00624ACF" w:rsidRDefault="00AB3C2E" w:rsidP="004574D0">
      <w:pPr>
        <w:pStyle w:val="Prrafodelista"/>
        <w:tabs>
          <w:tab w:val="left" w:pos="567"/>
        </w:tabs>
        <w:spacing w:line="276" w:lineRule="auto"/>
        <w:ind w:left="851"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III.</w:t>
      </w:r>
      <w:r w:rsidRPr="00624ACF">
        <w:rPr>
          <w:rFonts w:ascii="Palatino Linotype" w:hAnsi="Palatino Linotype"/>
          <w:i/>
          <w:iCs/>
          <w:color w:val="000000" w:themeColor="text1"/>
          <w:sz w:val="22"/>
          <w:szCs w:val="22"/>
        </w:rPr>
        <w:tab/>
        <w:t>Menoscabe o limite la capacidad de las autoridades encaminadas a disuadir o prevenir disturbios sociales.</w:t>
      </w:r>
    </w:p>
    <w:p w14:paraId="27672294"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3AA63F96"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78.</w:t>
      </w:r>
      <w:r w:rsidRPr="00624ACF">
        <w:rPr>
          <w:rFonts w:ascii="Palatino Linotype" w:hAnsi="Palatino Linotype"/>
          <w:i/>
          <w:iCs/>
          <w:color w:val="000000" w:themeColor="text1"/>
          <w:sz w:val="22"/>
          <w:szCs w:val="22"/>
        </w:rPr>
        <w:tab/>
        <w:t xml:space="preserve">Por su parte, el párrafo tercero del Lineamiento en estudio, reconoce que también se podrá considerar como información reservada, cuando ésta revele datos que pudieran ser aprovechados para </w:t>
      </w:r>
      <w:r w:rsidRPr="00624ACF">
        <w:rPr>
          <w:rFonts w:ascii="Palatino Linotype" w:hAnsi="Palatino Linotype"/>
          <w:b/>
          <w:bCs/>
          <w:i/>
          <w:iCs/>
          <w:color w:val="000000" w:themeColor="text1"/>
          <w:sz w:val="22"/>
          <w:szCs w:val="22"/>
        </w:rPr>
        <w:t>conocer la capacidad de reacción de las instituciones encargadas de la seguridad pública, sus planes, estrategias, tecnología, información, sistemas de comunicaciones</w:t>
      </w:r>
      <w:r w:rsidRPr="00624ACF">
        <w:rPr>
          <w:rFonts w:ascii="Palatino Linotype" w:hAnsi="Palatino Linotype"/>
          <w:i/>
          <w:iCs/>
          <w:color w:val="000000" w:themeColor="text1"/>
          <w:sz w:val="22"/>
          <w:szCs w:val="22"/>
        </w:rPr>
        <w:t>, etc.</w:t>
      </w:r>
    </w:p>
    <w:p w14:paraId="16E243B2"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14BD437"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79.</w:t>
      </w:r>
      <w:r w:rsidRPr="00624ACF">
        <w:rPr>
          <w:rFonts w:ascii="Palatino Linotype" w:hAnsi="Palatino Linotype"/>
          <w:i/>
          <w:iCs/>
          <w:color w:val="000000" w:themeColor="text1"/>
          <w:sz w:val="22"/>
          <w:szCs w:val="22"/>
        </w:rPr>
        <w:tab/>
        <w:t xml:space="preserve">Para justificar la actualización de los dispositivos normativos antes referidos, el </w:t>
      </w:r>
      <w:r w:rsidRPr="00624ACF">
        <w:rPr>
          <w:rFonts w:ascii="Palatino Linotype" w:hAnsi="Palatino Linotype"/>
          <w:b/>
          <w:bCs/>
          <w:i/>
          <w:iCs/>
          <w:color w:val="000000" w:themeColor="text1"/>
          <w:sz w:val="22"/>
          <w:szCs w:val="22"/>
        </w:rPr>
        <w:t>SUJETO OBLIGADO</w:t>
      </w:r>
      <w:r w:rsidRPr="00624ACF">
        <w:rPr>
          <w:rFonts w:ascii="Palatino Linotype" w:hAnsi="Palatino Linotype"/>
          <w:i/>
          <w:iCs/>
          <w:color w:val="000000" w:themeColor="text1"/>
          <w:sz w:val="22"/>
          <w:szCs w:val="22"/>
        </w:rPr>
        <w:t xml:space="preserve"> presentó una prueba de daño en la que, esencialmente, manifestó que el difundir las fracciones testadas, contenidas en las Actas de la Primera a la Quinta Sesión Ordinaria del Consejo Directivo, </w:t>
      </w:r>
      <w:r w:rsidRPr="00624ACF">
        <w:rPr>
          <w:rFonts w:ascii="Palatino Linotype" w:hAnsi="Palatino Linotype"/>
          <w:b/>
          <w:bCs/>
          <w:i/>
          <w:iCs/>
          <w:color w:val="000000" w:themeColor="text1"/>
          <w:sz w:val="22"/>
          <w:szCs w:val="22"/>
        </w:rPr>
        <w:t>comprometería las estrategias y técnicas de investigación y supervisión de las conductas de los integrantes de la Secretaría de Seguridad del Estado de México</w:t>
      </w:r>
      <w:r w:rsidRPr="00624ACF">
        <w:rPr>
          <w:rFonts w:ascii="Palatino Linotype" w:hAnsi="Palatino Linotype"/>
          <w:i/>
          <w:iCs/>
          <w:color w:val="000000" w:themeColor="text1"/>
          <w:sz w:val="22"/>
          <w:szCs w:val="22"/>
        </w:rPr>
        <w:t>.</w:t>
      </w:r>
    </w:p>
    <w:p w14:paraId="5518FF92"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3B1169B8"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80.</w:t>
      </w:r>
      <w:r w:rsidRPr="00624ACF">
        <w:rPr>
          <w:rFonts w:ascii="Palatino Linotype" w:hAnsi="Palatino Linotype"/>
          <w:i/>
          <w:iCs/>
          <w:color w:val="000000" w:themeColor="text1"/>
          <w:sz w:val="22"/>
          <w:szCs w:val="22"/>
        </w:rPr>
        <w:tab/>
        <w:t xml:space="preserve">Derivado de lo anterior, es menester recordar que, como fuera analizado en párrafos previos, la Unidad de Asuntos Internos en un organismo descentralizado, </w:t>
      </w:r>
      <w:r w:rsidRPr="00624ACF">
        <w:rPr>
          <w:rFonts w:ascii="Palatino Linotype" w:hAnsi="Palatino Linotype"/>
          <w:i/>
          <w:iCs/>
          <w:color w:val="000000" w:themeColor="text1"/>
          <w:sz w:val="22"/>
          <w:szCs w:val="22"/>
        </w:rPr>
        <w:lastRenderedPageBreak/>
        <w:t>sectorizado a la Secretaría de Seguridad del Estado de México, el cual tiene por objeto supervisar y vigilar que los integrantes de la propia Secretaría, cumplan con los deberes y normas establecidas en los ordenamientos legales y disposiciones que rigen su actuación; por ello, recibirá quejas y denuncias que se presenten en contra de los integrantes del ente de seguridad, e integrará el expediente correspondiente a efecto de realizar las investigaciones necesarias que le permitan arribar a la conclusión sobre si existió o no la comisión de una probable responsabilidad administrativa, y de ser el caso, remitirá el expediente formado al Órgano de Control Interno, o a la Comisión de Honor y Justicia, según corresponda a la naturaleza del asunto.</w:t>
      </w:r>
    </w:p>
    <w:p w14:paraId="26118971"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9D2867A"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81.</w:t>
      </w:r>
      <w:r w:rsidRPr="00624ACF">
        <w:rPr>
          <w:rFonts w:ascii="Palatino Linotype" w:hAnsi="Palatino Linotype"/>
          <w:i/>
          <w:iCs/>
          <w:color w:val="000000" w:themeColor="text1"/>
          <w:sz w:val="22"/>
          <w:szCs w:val="22"/>
        </w:rPr>
        <w:tab/>
        <w:t xml:space="preserve">Así las cosas, como fuera manifestado por el </w:t>
      </w:r>
      <w:r w:rsidRPr="00624ACF">
        <w:rPr>
          <w:rFonts w:ascii="Palatino Linotype" w:hAnsi="Palatino Linotype"/>
          <w:b/>
          <w:bCs/>
          <w:i/>
          <w:iCs/>
          <w:color w:val="000000" w:themeColor="text1"/>
          <w:sz w:val="22"/>
          <w:szCs w:val="22"/>
        </w:rPr>
        <w:t>RECURRENTE</w:t>
      </w:r>
      <w:r w:rsidRPr="00624ACF">
        <w:rPr>
          <w:rFonts w:ascii="Palatino Linotype" w:hAnsi="Palatino Linotype"/>
          <w:i/>
          <w:iCs/>
          <w:color w:val="000000" w:themeColor="text1"/>
          <w:sz w:val="22"/>
          <w:szCs w:val="22"/>
        </w:rPr>
        <w:t xml:space="preserve"> dentro de su escrito de interposición del recurso de revisión cuyo número se indica al rubro, </w:t>
      </w:r>
      <w:r w:rsidRPr="00624ACF">
        <w:rPr>
          <w:rFonts w:ascii="Palatino Linotype" w:hAnsi="Palatino Linotype"/>
          <w:b/>
          <w:bCs/>
          <w:i/>
          <w:iCs/>
          <w:color w:val="000000" w:themeColor="text1"/>
          <w:sz w:val="22"/>
          <w:szCs w:val="22"/>
        </w:rPr>
        <w:t>el SUJETO OBLIGADO no posee funciones de seguridad cuyas actividades pudieran activar la causal de reserva de información considerada en la fracción I de los artículos 133 de la Ley General de Transparencia y Acceso a la Información Pública, y 140 de la Ley Estatal, respectivamente</w:t>
      </w:r>
      <w:r w:rsidRPr="00624ACF">
        <w:rPr>
          <w:rFonts w:ascii="Palatino Linotype" w:hAnsi="Palatino Linotype"/>
          <w:i/>
          <w:iCs/>
          <w:color w:val="000000" w:themeColor="text1"/>
          <w:sz w:val="22"/>
          <w:szCs w:val="22"/>
        </w:rPr>
        <w:t xml:space="preserve">, toda vez que quien se encarga de las funciones de seguridad, tales como el asegurar y proteger en forma inmediata el orden y la paz públicos, la integridad física de las personas y sus bienes, prevenir la comisión de delitos e infracciones administrativas, realizar la investigación de los delitos bajo la conducción y mando del Ministerio Público, auxiliar en la persecución de éstos y a otras autoridades cuando así lo soliciten, así como concurrir con las autoridades en casos de siniestro o desastre, es el organismo público nuclear: </w:t>
      </w:r>
      <w:r w:rsidRPr="00624ACF">
        <w:rPr>
          <w:rFonts w:ascii="Palatino Linotype" w:hAnsi="Palatino Linotype"/>
          <w:b/>
          <w:bCs/>
          <w:i/>
          <w:iCs/>
          <w:color w:val="000000" w:themeColor="text1"/>
          <w:sz w:val="22"/>
          <w:szCs w:val="22"/>
        </w:rPr>
        <w:t>La Secretaría de Seguridad del Estado de México</w:t>
      </w:r>
      <w:r w:rsidRPr="00624ACF">
        <w:rPr>
          <w:rFonts w:ascii="Palatino Linotype" w:hAnsi="Palatino Linotype"/>
          <w:i/>
          <w:iCs/>
          <w:color w:val="000000" w:themeColor="text1"/>
          <w:sz w:val="22"/>
          <w:szCs w:val="22"/>
        </w:rPr>
        <w:t>.</w:t>
      </w:r>
    </w:p>
    <w:p w14:paraId="6C7DA24D" w14:textId="77777777"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37100657" w14:textId="4F45DAA5" w:rsidR="00AB3C2E" w:rsidRPr="00624ACF" w:rsidRDefault="00AB3C2E"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82</w:t>
      </w:r>
      <w:r w:rsidRPr="00624ACF">
        <w:rPr>
          <w:rFonts w:ascii="Palatino Linotype" w:hAnsi="Palatino Linotype"/>
          <w:i/>
          <w:iCs/>
          <w:color w:val="000000" w:themeColor="text1"/>
          <w:sz w:val="22"/>
          <w:szCs w:val="22"/>
        </w:rPr>
        <w:t>.</w:t>
      </w:r>
      <w:r w:rsidRPr="00624ACF">
        <w:rPr>
          <w:rFonts w:ascii="Palatino Linotype" w:hAnsi="Palatino Linotype"/>
          <w:i/>
          <w:iCs/>
          <w:color w:val="000000" w:themeColor="text1"/>
          <w:sz w:val="22"/>
          <w:szCs w:val="22"/>
        </w:rPr>
        <w:tab/>
        <w:t xml:space="preserve">Consecuencia de lo anterior, por cuanto hace al agravio expuesto por el </w:t>
      </w:r>
      <w:r w:rsidRPr="00624ACF">
        <w:rPr>
          <w:rFonts w:ascii="Palatino Linotype" w:hAnsi="Palatino Linotype"/>
          <w:b/>
          <w:bCs/>
          <w:i/>
          <w:iCs/>
          <w:color w:val="000000" w:themeColor="text1"/>
          <w:sz w:val="22"/>
          <w:szCs w:val="22"/>
        </w:rPr>
        <w:t>RECURRENTE</w:t>
      </w:r>
      <w:r w:rsidRPr="00624ACF">
        <w:rPr>
          <w:rFonts w:ascii="Palatino Linotype" w:hAnsi="Palatino Linotype"/>
          <w:i/>
          <w:iCs/>
          <w:color w:val="000000" w:themeColor="text1"/>
          <w:sz w:val="22"/>
          <w:szCs w:val="22"/>
        </w:rPr>
        <w:t xml:space="preserve"> por el que expresó que el </w:t>
      </w:r>
      <w:r w:rsidRPr="00624ACF">
        <w:rPr>
          <w:rFonts w:ascii="Palatino Linotype" w:hAnsi="Palatino Linotype"/>
          <w:b/>
          <w:bCs/>
          <w:i/>
          <w:iCs/>
          <w:color w:val="000000" w:themeColor="text1"/>
          <w:sz w:val="22"/>
          <w:szCs w:val="22"/>
        </w:rPr>
        <w:t>SUJETO OBLIGADO</w:t>
      </w:r>
      <w:r w:rsidRPr="00624ACF">
        <w:rPr>
          <w:rFonts w:ascii="Palatino Linotype" w:hAnsi="Palatino Linotype"/>
          <w:i/>
          <w:iCs/>
          <w:color w:val="000000" w:themeColor="text1"/>
          <w:sz w:val="22"/>
          <w:szCs w:val="22"/>
        </w:rPr>
        <w:t xml:space="preserve"> no poseía funciones encaminadas a proteger la seguridad pública, este Organismo Garante lo determina fundado.”</w:t>
      </w:r>
    </w:p>
    <w:p w14:paraId="5525F4FD"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4A5A384B" w14:textId="1443EE19" w:rsidR="00AB3C2E" w:rsidRPr="00624ACF" w:rsidRDefault="004574D0"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No obstante lo anterior, de la lectura a las pretensiones de clasificación parcial de las Actas del Consejo Directivo 2021, este Organismo Garante detectó que los párrafos que el </w:t>
      </w:r>
      <w:r w:rsidRPr="00624ACF">
        <w:rPr>
          <w:rFonts w:ascii="Palatino Linotype" w:hAnsi="Palatino Linotype"/>
          <w:b/>
          <w:bCs/>
          <w:lang w:val="es-ES"/>
        </w:rPr>
        <w:t>SUJETO OBLIGADO</w:t>
      </w:r>
      <w:r w:rsidRPr="00624ACF">
        <w:rPr>
          <w:rFonts w:ascii="Palatino Linotype" w:hAnsi="Palatino Linotype"/>
          <w:lang w:val="es-ES"/>
        </w:rPr>
        <w:t xml:space="preserve"> pretendía restringir se relacionaban con </w:t>
      </w:r>
      <w:r w:rsidRPr="00624ACF">
        <w:rPr>
          <w:rFonts w:ascii="Palatino Linotype" w:hAnsi="Palatino Linotype"/>
          <w:lang w:val="es-ES"/>
        </w:rPr>
        <w:lastRenderedPageBreak/>
        <w:t>acciones y actividades tendientes a planear, ejecutar y manejar investigaciones a los servidores públicos adscritos a la Secretaría de Seguridad.</w:t>
      </w:r>
    </w:p>
    <w:p w14:paraId="3FDB1CE8"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75CEAFEC" w14:textId="4CBB3D4E" w:rsidR="00AB3C2E" w:rsidRPr="00624ACF" w:rsidRDefault="004574D0"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Razón de lo anterior, se realizó de oficio un ejercicio de análisis de la naturaleza de la información, para determinar si efectivamente actualizaba alguna causal de reserva contenida en el artículo 140 de la Ley de Transparencia y Acceso a la Información Pública del Estado de México y Municipios, estableciéndose lo siguiente:</w:t>
      </w:r>
    </w:p>
    <w:p w14:paraId="55FD0AA6" w14:textId="462BB92B"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06910626" w14:textId="07461F7F"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r w:rsidRPr="00624ACF">
        <w:rPr>
          <w:rFonts w:ascii="Palatino Linotype" w:hAnsi="Palatino Linotype"/>
          <w:b/>
          <w:bCs/>
          <w:i/>
          <w:iCs/>
          <w:color w:val="000000" w:themeColor="text1"/>
          <w:sz w:val="22"/>
          <w:szCs w:val="22"/>
        </w:rPr>
        <w:t xml:space="preserve">83.         </w:t>
      </w:r>
      <w:r w:rsidRPr="00624ACF">
        <w:rPr>
          <w:rFonts w:ascii="Palatino Linotype" w:hAnsi="Palatino Linotype"/>
          <w:i/>
          <w:iCs/>
          <w:color w:val="000000" w:themeColor="text1"/>
          <w:sz w:val="22"/>
          <w:szCs w:val="22"/>
        </w:rPr>
        <w:t xml:space="preserve">(…) no debe perderse de vista que si bien es cierto que el </w:t>
      </w:r>
      <w:r w:rsidRPr="00624ACF">
        <w:rPr>
          <w:rFonts w:ascii="Palatino Linotype" w:hAnsi="Palatino Linotype"/>
          <w:b/>
          <w:bCs/>
          <w:i/>
          <w:iCs/>
          <w:color w:val="000000" w:themeColor="text1"/>
          <w:sz w:val="22"/>
          <w:szCs w:val="22"/>
        </w:rPr>
        <w:t>SUJETO OBLIGADO</w:t>
      </w:r>
      <w:r w:rsidRPr="00624ACF">
        <w:rPr>
          <w:rFonts w:ascii="Palatino Linotype" w:hAnsi="Palatino Linotype"/>
          <w:i/>
          <w:iCs/>
          <w:color w:val="000000" w:themeColor="text1"/>
          <w:sz w:val="22"/>
          <w:szCs w:val="22"/>
        </w:rPr>
        <w:t xml:space="preserve"> no realiza actividades relacionadas con la seguridad pública, también lo es que su función principal como órgano desconcentrado de la Secretaría de Seguridad es la de </w:t>
      </w:r>
      <w:r w:rsidRPr="00624ACF">
        <w:rPr>
          <w:rFonts w:ascii="Palatino Linotype" w:hAnsi="Palatino Linotype"/>
          <w:b/>
          <w:bCs/>
          <w:i/>
          <w:iCs/>
          <w:color w:val="000000" w:themeColor="text1"/>
          <w:sz w:val="22"/>
          <w:szCs w:val="22"/>
        </w:rPr>
        <w:t>planear, ejecutar y manejar investigaciones a los servidores públicos adscritos a la propia Secretaría</w:t>
      </w:r>
      <w:r w:rsidRPr="00624ACF">
        <w:rPr>
          <w:rFonts w:ascii="Palatino Linotype" w:hAnsi="Palatino Linotype"/>
          <w:i/>
          <w:iCs/>
          <w:color w:val="000000" w:themeColor="text1"/>
          <w:sz w:val="22"/>
          <w:szCs w:val="22"/>
        </w:rPr>
        <w:t>, a efecto de determinar si existen elementos de convicción que demuestren la realización de acciones o faltas que deriven en una responsabilidad administrativa.</w:t>
      </w:r>
    </w:p>
    <w:p w14:paraId="04A58DD1"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E3E2C44"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84.</w:t>
      </w:r>
      <w:r w:rsidRPr="00624ACF">
        <w:rPr>
          <w:rFonts w:ascii="Palatino Linotype" w:hAnsi="Palatino Linotype"/>
          <w:i/>
          <w:iCs/>
          <w:color w:val="000000" w:themeColor="text1"/>
          <w:sz w:val="22"/>
          <w:szCs w:val="22"/>
        </w:rPr>
        <w:tab/>
        <w:t>Razón de lo anterior, es que resulta imperativo mencionar que los artículos 113, fracción X, de la ley General de Transparencia y Acceso a la Información Pública, y 140, fracción X, de la Ley de Transparencia y Acceso a la Información Pública del Estado de México y Municipios, en concatenación con lo establecido por el lineamiento Vigésimo Noveno de los Lineamientos Generales en Materia de Clasificación y Desclasificación de la Información, así como para la Elaboración de Versiones Públicas, establecen lo siguiente:</w:t>
      </w:r>
    </w:p>
    <w:p w14:paraId="12352664"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1C0E7D35" w14:textId="77777777" w:rsidR="004574D0" w:rsidRPr="00624ACF" w:rsidRDefault="004574D0"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r w:rsidRPr="00624ACF">
        <w:rPr>
          <w:rFonts w:ascii="Palatino Linotype" w:hAnsi="Palatino Linotype"/>
          <w:b/>
          <w:bCs/>
          <w:i/>
          <w:iCs/>
          <w:color w:val="000000" w:themeColor="text1"/>
          <w:sz w:val="22"/>
          <w:szCs w:val="22"/>
        </w:rPr>
        <w:t>Artículo 113.</w:t>
      </w:r>
      <w:r w:rsidRPr="00624ACF">
        <w:rPr>
          <w:rFonts w:ascii="Palatino Linotype" w:hAnsi="Palatino Linotype"/>
          <w:i/>
          <w:iCs/>
          <w:color w:val="000000" w:themeColor="text1"/>
          <w:sz w:val="22"/>
          <w:szCs w:val="22"/>
        </w:rPr>
        <w:t xml:space="preserve"> Como información reservada podrá clasificarse aquella cuya publicación:</w:t>
      </w:r>
    </w:p>
    <w:p w14:paraId="72E61A8A" w14:textId="77777777" w:rsidR="004574D0" w:rsidRPr="00624ACF" w:rsidRDefault="004574D0"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p>
    <w:p w14:paraId="00951A7F" w14:textId="77777777" w:rsidR="004574D0" w:rsidRPr="00624ACF" w:rsidRDefault="004574D0" w:rsidP="004574D0">
      <w:pPr>
        <w:pStyle w:val="Prrafodelista"/>
        <w:tabs>
          <w:tab w:val="left" w:pos="426"/>
        </w:tabs>
        <w:spacing w:line="276" w:lineRule="auto"/>
        <w:ind w:left="851" w:right="851"/>
        <w:jc w:val="both"/>
        <w:rPr>
          <w:rFonts w:ascii="Palatino Linotype" w:hAnsi="Palatino Linotype"/>
          <w:b/>
          <w:bCs/>
          <w:i/>
          <w:iCs/>
          <w:color w:val="000000" w:themeColor="text1"/>
          <w:sz w:val="22"/>
          <w:szCs w:val="22"/>
        </w:rPr>
      </w:pPr>
      <w:r w:rsidRPr="00624ACF">
        <w:rPr>
          <w:rFonts w:ascii="Palatino Linotype" w:hAnsi="Palatino Linotype"/>
          <w:b/>
          <w:bCs/>
          <w:i/>
          <w:iCs/>
          <w:color w:val="000000" w:themeColor="text1"/>
          <w:sz w:val="22"/>
          <w:szCs w:val="22"/>
        </w:rPr>
        <w:t>X. Afecte los derechos del debido proceso;</w:t>
      </w:r>
    </w:p>
    <w:p w14:paraId="73261F13" w14:textId="77777777" w:rsidR="004574D0" w:rsidRPr="00624ACF" w:rsidRDefault="004574D0"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p>
    <w:p w14:paraId="18830ACD" w14:textId="77777777" w:rsidR="004574D0" w:rsidRPr="00624ACF" w:rsidRDefault="004574D0"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764212E4" w14:textId="77777777" w:rsidR="004574D0" w:rsidRPr="00624ACF" w:rsidRDefault="004574D0"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lastRenderedPageBreak/>
        <w:t>Artículo 140.</w:t>
      </w:r>
      <w:r w:rsidRPr="00624ACF">
        <w:rPr>
          <w:rFonts w:ascii="Palatino Linotype" w:hAnsi="Palatino Linotype"/>
          <w:i/>
          <w:iCs/>
          <w:color w:val="000000" w:themeColor="text1"/>
          <w:sz w:val="22"/>
          <w:szCs w:val="22"/>
        </w:rPr>
        <w:t xml:space="preserve"> El acceso a la información pública será restringido excepcionalmente, cuando por razones de interés público, ésta sea clasificada como reservada, conforme a los criterios siguientes:</w:t>
      </w:r>
    </w:p>
    <w:p w14:paraId="5FDBAC69" w14:textId="77777777" w:rsidR="004574D0" w:rsidRPr="00624ACF" w:rsidRDefault="004574D0"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p>
    <w:p w14:paraId="09723474" w14:textId="77777777" w:rsidR="004574D0" w:rsidRPr="00624ACF" w:rsidRDefault="004574D0" w:rsidP="004574D0">
      <w:pPr>
        <w:pStyle w:val="Prrafodelista"/>
        <w:tabs>
          <w:tab w:val="left" w:pos="426"/>
        </w:tabs>
        <w:spacing w:line="276" w:lineRule="auto"/>
        <w:ind w:left="851" w:right="851"/>
        <w:jc w:val="both"/>
        <w:rPr>
          <w:rFonts w:ascii="Palatino Linotype" w:hAnsi="Palatino Linotype"/>
          <w:b/>
          <w:bCs/>
          <w:i/>
          <w:iCs/>
          <w:color w:val="000000" w:themeColor="text1"/>
          <w:sz w:val="22"/>
          <w:szCs w:val="22"/>
        </w:rPr>
      </w:pPr>
      <w:r w:rsidRPr="00624ACF">
        <w:rPr>
          <w:rFonts w:ascii="Palatino Linotype" w:hAnsi="Palatino Linotype"/>
          <w:b/>
          <w:bCs/>
          <w:i/>
          <w:iCs/>
          <w:color w:val="000000" w:themeColor="text1"/>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D5306BA" w14:textId="77777777" w:rsidR="004574D0" w:rsidRPr="00624ACF" w:rsidRDefault="004574D0"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p>
    <w:p w14:paraId="7535FD6F" w14:textId="77777777" w:rsidR="004574D0" w:rsidRPr="00624ACF" w:rsidRDefault="004574D0" w:rsidP="004574D0">
      <w:pPr>
        <w:pStyle w:val="Prrafodelista"/>
        <w:tabs>
          <w:tab w:val="left" w:pos="426"/>
        </w:tabs>
        <w:spacing w:line="276" w:lineRule="auto"/>
        <w:ind w:left="851" w:right="851"/>
        <w:jc w:val="both"/>
        <w:rPr>
          <w:rFonts w:ascii="Palatino Linotype" w:hAnsi="Palatino Linotype"/>
          <w:i/>
          <w:iCs/>
          <w:color w:val="000000" w:themeColor="text1"/>
          <w:sz w:val="22"/>
          <w:szCs w:val="22"/>
        </w:rPr>
      </w:pPr>
    </w:p>
    <w:p w14:paraId="334892DF" w14:textId="77777777" w:rsidR="004574D0" w:rsidRPr="00624ACF" w:rsidRDefault="004574D0" w:rsidP="004574D0">
      <w:pPr>
        <w:pStyle w:val="Prrafodelista"/>
        <w:tabs>
          <w:tab w:val="left" w:pos="426"/>
        </w:tabs>
        <w:spacing w:line="276" w:lineRule="auto"/>
        <w:ind w:left="851" w:right="851"/>
        <w:jc w:val="both"/>
        <w:rPr>
          <w:rFonts w:ascii="Palatino Linotype" w:hAnsi="Palatino Linotype"/>
          <w:b/>
          <w:bCs/>
          <w:i/>
          <w:iCs/>
          <w:color w:val="000000" w:themeColor="text1"/>
          <w:sz w:val="22"/>
          <w:szCs w:val="22"/>
        </w:rPr>
      </w:pPr>
      <w:r w:rsidRPr="00624ACF">
        <w:rPr>
          <w:rFonts w:ascii="Palatino Linotype" w:hAnsi="Palatino Linotype"/>
          <w:i/>
          <w:iCs/>
          <w:color w:val="000000" w:themeColor="text1"/>
          <w:sz w:val="22"/>
          <w:szCs w:val="22"/>
        </w:rPr>
        <w:t>“</w:t>
      </w:r>
      <w:r w:rsidRPr="00624ACF">
        <w:rPr>
          <w:rFonts w:ascii="Palatino Linotype" w:hAnsi="Palatino Linotype"/>
          <w:b/>
          <w:bCs/>
          <w:i/>
          <w:iCs/>
          <w:color w:val="000000" w:themeColor="text1"/>
          <w:sz w:val="22"/>
          <w:szCs w:val="22"/>
        </w:rPr>
        <w:t>Vigésimo noveno.</w:t>
      </w:r>
      <w:r w:rsidRPr="00624ACF">
        <w:rPr>
          <w:rFonts w:ascii="Palatino Linotype" w:hAnsi="Palatino Linotype"/>
          <w:i/>
          <w:iCs/>
          <w:color w:val="000000" w:themeColor="text1"/>
          <w:sz w:val="22"/>
          <w:szCs w:val="22"/>
        </w:rPr>
        <w:t xml:space="preserve"> De conformidad con el artículo 113, fracción X de la Ley General, </w:t>
      </w:r>
      <w:r w:rsidRPr="00624ACF">
        <w:rPr>
          <w:rFonts w:ascii="Palatino Linotype" w:hAnsi="Palatino Linotype"/>
          <w:b/>
          <w:bCs/>
          <w:i/>
          <w:iCs/>
          <w:color w:val="000000" w:themeColor="text1"/>
          <w:sz w:val="22"/>
          <w:szCs w:val="22"/>
        </w:rPr>
        <w:t>podrá considerarse como información reservada, aquella que de divulgarse afecte el debido proceso al actualizarse los siguientes elementos:</w:t>
      </w:r>
    </w:p>
    <w:p w14:paraId="02373F1F" w14:textId="77777777" w:rsidR="004574D0" w:rsidRPr="00624ACF" w:rsidRDefault="004574D0" w:rsidP="004574D0">
      <w:pPr>
        <w:pStyle w:val="Prrafodelista"/>
        <w:tabs>
          <w:tab w:val="left" w:pos="426"/>
        </w:tabs>
        <w:spacing w:line="276" w:lineRule="auto"/>
        <w:ind w:left="1134" w:right="1134"/>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I.</w:t>
      </w:r>
      <w:r w:rsidRPr="00624ACF">
        <w:rPr>
          <w:rFonts w:ascii="Palatino Linotype" w:hAnsi="Palatino Linotype"/>
          <w:i/>
          <w:iCs/>
          <w:color w:val="000000" w:themeColor="text1"/>
          <w:sz w:val="22"/>
          <w:szCs w:val="22"/>
        </w:rPr>
        <w:t xml:space="preserve"> La </w:t>
      </w:r>
      <w:r w:rsidRPr="00624ACF">
        <w:rPr>
          <w:rFonts w:ascii="Palatino Linotype" w:hAnsi="Palatino Linotype"/>
          <w:b/>
          <w:bCs/>
          <w:i/>
          <w:iCs/>
          <w:color w:val="000000" w:themeColor="text1"/>
          <w:sz w:val="22"/>
          <w:szCs w:val="22"/>
        </w:rPr>
        <w:t>existencia de un procedimiento</w:t>
      </w:r>
      <w:r w:rsidRPr="00624ACF">
        <w:rPr>
          <w:rFonts w:ascii="Palatino Linotype" w:hAnsi="Palatino Linotype"/>
          <w:i/>
          <w:iCs/>
          <w:color w:val="000000" w:themeColor="text1"/>
          <w:sz w:val="22"/>
          <w:szCs w:val="22"/>
        </w:rPr>
        <w:t xml:space="preserve"> judicial, </w:t>
      </w:r>
      <w:r w:rsidRPr="00624ACF">
        <w:rPr>
          <w:rFonts w:ascii="Palatino Linotype" w:hAnsi="Palatino Linotype"/>
          <w:b/>
          <w:bCs/>
          <w:i/>
          <w:iCs/>
          <w:color w:val="000000" w:themeColor="text1"/>
          <w:sz w:val="22"/>
          <w:szCs w:val="22"/>
        </w:rPr>
        <w:t>administrativo</w:t>
      </w:r>
      <w:r w:rsidRPr="00624ACF">
        <w:rPr>
          <w:rFonts w:ascii="Palatino Linotype" w:hAnsi="Palatino Linotype"/>
          <w:i/>
          <w:iCs/>
          <w:color w:val="000000" w:themeColor="text1"/>
          <w:sz w:val="22"/>
          <w:szCs w:val="22"/>
        </w:rPr>
        <w:t xml:space="preserve"> o arbitral </w:t>
      </w:r>
      <w:r w:rsidRPr="00624ACF">
        <w:rPr>
          <w:rFonts w:ascii="Palatino Linotype" w:hAnsi="Palatino Linotype"/>
          <w:b/>
          <w:bCs/>
          <w:i/>
          <w:iCs/>
          <w:color w:val="000000" w:themeColor="text1"/>
          <w:sz w:val="22"/>
          <w:szCs w:val="22"/>
        </w:rPr>
        <w:t>en trámite</w:t>
      </w:r>
      <w:r w:rsidRPr="00624ACF">
        <w:rPr>
          <w:rFonts w:ascii="Palatino Linotype" w:hAnsi="Palatino Linotype"/>
          <w:i/>
          <w:iCs/>
          <w:color w:val="000000" w:themeColor="text1"/>
          <w:sz w:val="22"/>
          <w:szCs w:val="22"/>
        </w:rPr>
        <w:t>;</w:t>
      </w:r>
    </w:p>
    <w:p w14:paraId="1C7D2E07" w14:textId="77777777" w:rsidR="004574D0" w:rsidRPr="00624ACF" w:rsidRDefault="004574D0" w:rsidP="004574D0">
      <w:pPr>
        <w:pStyle w:val="Prrafodelista"/>
        <w:tabs>
          <w:tab w:val="left" w:pos="426"/>
        </w:tabs>
        <w:spacing w:line="276" w:lineRule="auto"/>
        <w:ind w:left="1134" w:right="1134"/>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II.</w:t>
      </w:r>
      <w:r w:rsidRPr="00624ACF">
        <w:rPr>
          <w:rFonts w:ascii="Palatino Linotype" w:hAnsi="Palatino Linotype"/>
          <w:i/>
          <w:iCs/>
          <w:color w:val="000000" w:themeColor="text1"/>
          <w:sz w:val="22"/>
          <w:szCs w:val="22"/>
        </w:rPr>
        <w:t xml:space="preserve"> </w:t>
      </w:r>
      <w:r w:rsidRPr="00624ACF">
        <w:rPr>
          <w:rFonts w:ascii="Palatino Linotype" w:hAnsi="Palatino Linotype"/>
          <w:b/>
          <w:bCs/>
          <w:i/>
          <w:iCs/>
          <w:color w:val="000000" w:themeColor="text1"/>
          <w:sz w:val="22"/>
          <w:szCs w:val="22"/>
        </w:rPr>
        <w:t>Que el sujeto obligado sea parte</w:t>
      </w:r>
      <w:r w:rsidRPr="00624ACF">
        <w:rPr>
          <w:rFonts w:ascii="Palatino Linotype" w:hAnsi="Palatino Linotype"/>
          <w:i/>
          <w:iCs/>
          <w:color w:val="000000" w:themeColor="text1"/>
          <w:sz w:val="22"/>
          <w:szCs w:val="22"/>
        </w:rPr>
        <w:t xml:space="preserve"> en ese procedimiento;</w:t>
      </w:r>
    </w:p>
    <w:p w14:paraId="095B8B01" w14:textId="77777777" w:rsidR="004574D0" w:rsidRPr="00624ACF" w:rsidRDefault="004574D0" w:rsidP="004574D0">
      <w:pPr>
        <w:pStyle w:val="Prrafodelista"/>
        <w:tabs>
          <w:tab w:val="left" w:pos="426"/>
        </w:tabs>
        <w:spacing w:line="276" w:lineRule="auto"/>
        <w:ind w:left="1134" w:right="1134"/>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III.</w:t>
      </w:r>
      <w:r w:rsidRPr="00624ACF">
        <w:rPr>
          <w:rFonts w:ascii="Palatino Linotype" w:hAnsi="Palatino Linotype"/>
          <w:i/>
          <w:iCs/>
          <w:color w:val="000000" w:themeColor="text1"/>
          <w:sz w:val="22"/>
          <w:szCs w:val="22"/>
        </w:rPr>
        <w:t xml:space="preserve"> </w:t>
      </w:r>
      <w:r w:rsidRPr="00624ACF">
        <w:rPr>
          <w:rFonts w:ascii="Palatino Linotype" w:hAnsi="Palatino Linotype"/>
          <w:b/>
          <w:bCs/>
          <w:i/>
          <w:iCs/>
          <w:color w:val="000000" w:themeColor="text1"/>
          <w:sz w:val="22"/>
          <w:szCs w:val="22"/>
        </w:rPr>
        <w:t>Que la información no sea conocida por la contraparte</w:t>
      </w:r>
      <w:r w:rsidRPr="00624ACF">
        <w:rPr>
          <w:rFonts w:ascii="Palatino Linotype" w:hAnsi="Palatino Linotype"/>
          <w:i/>
          <w:iCs/>
          <w:color w:val="000000" w:themeColor="text1"/>
          <w:sz w:val="22"/>
          <w:szCs w:val="22"/>
        </w:rPr>
        <w:t xml:space="preserve"> antes de la presentación de la misma en el proceso, y</w:t>
      </w:r>
    </w:p>
    <w:p w14:paraId="17F06248" w14:textId="77777777" w:rsidR="004574D0" w:rsidRPr="00624ACF" w:rsidRDefault="004574D0" w:rsidP="004574D0">
      <w:pPr>
        <w:pStyle w:val="Prrafodelista"/>
        <w:tabs>
          <w:tab w:val="left" w:pos="426"/>
        </w:tabs>
        <w:spacing w:line="276" w:lineRule="auto"/>
        <w:ind w:left="1134" w:right="1134"/>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IV.</w:t>
      </w:r>
      <w:r w:rsidRPr="00624ACF">
        <w:rPr>
          <w:rFonts w:ascii="Palatino Linotype" w:hAnsi="Palatino Linotype"/>
          <w:i/>
          <w:iCs/>
          <w:color w:val="000000" w:themeColor="text1"/>
          <w:sz w:val="22"/>
          <w:szCs w:val="22"/>
        </w:rPr>
        <w:t xml:space="preserve"> </w:t>
      </w:r>
      <w:r w:rsidRPr="00624ACF">
        <w:rPr>
          <w:rFonts w:ascii="Palatino Linotype" w:hAnsi="Palatino Linotype"/>
          <w:b/>
          <w:bCs/>
          <w:i/>
          <w:iCs/>
          <w:color w:val="000000" w:themeColor="text1"/>
          <w:sz w:val="22"/>
          <w:szCs w:val="22"/>
        </w:rPr>
        <w:t>Que</w:t>
      </w:r>
      <w:r w:rsidRPr="00624ACF">
        <w:rPr>
          <w:rFonts w:ascii="Palatino Linotype" w:hAnsi="Palatino Linotype"/>
          <w:i/>
          <w:iCs/>
          <w:color w:val="000000" w:themeColor="text1"/>
          <w:sz w:val="22"/>
          <w:szCs w:val="22"/>
        </w:rPr>
        <w:t xml:space="preserve"> con </w:t>
      </w:r>
      <w:r w:rsidRPr="00624ACF">
        <w:rPr>
          <w:rFonts w:ascii="Palatino Linotype" w:hAnsi="Palatino Linotype"/>
          <w:b/>
          <w:bCs/>
          <w:i/>
          <w:iCs/>
          <w:color w:val="000000" w:themeColor="text1"/>
          <w:sz w:val="22"/>
          <w:szCs w:val="22"/>
        </w:rPr>
        <w:t>su divulgación</w:t>
      </w:r>
      <w:r w:rsidRPr="00624ACF">
        <w:rPr>
          <w:rFonts w:ascii="Palatino Linotype" w:hAnsi="Palatino Linotype"/>
          <w:i/>
          <w:iCs/>
          <w:color w:val="000000" w:themeColor="text1"/>
          <w:sz w:val="22"/>
          <w:szCs w:val="22"/>
        </w:rPr>
        <w:t xml:space="preserve"> se </w:t>
      </w:r>
      <w:r w:rsidRPr="00624ACF">
        <w:rPr>
          <w:rFonts w:ascii="Palatino Linotype" w:hAnsi="Palatino Linotype"/>
          <w:b/>
          <w:bCs/>
          <w:i/>
          <w:iCs/>
          <w:color w:val="000000" w:themeColor="text1"/>
          <w:sz w:val="22"/>
          <w:szCs w:val="22"/>
        </w:rPr>
        <w:t>afecte</w:t>
      </w:r>
      <w:r w:rsidRPr="00624ACF">
        <w:rPr>
          <w:rFonts w:ascii="Palatino Linotype" w:hAnsi="Palatino Linotype"/>
          <w:i/>
          <w:iCs/>
          <w:color w:val="000000" w:themeColor="text1"/>
          <w:sz w:val="22"/>
          <w:szCs w:val="22"/>
        </w:rPr>
        <w:t xml:space="preserve"> la oportunidad de llevar a cabo </w:t>
      </w:r>
      <w:r w:rsidRPr="00624ACF">
        <w:rPr>
          <w:rFonts w:ascii="Palatino Linotype" w:hAnsi="Palatino Linotype"/>
          <w:b/>
          <w:bCs/>
          <w:i/>
          <w:iCs/>
          <w:color w:val="000000" w:themeColor="text1"/>
          <w:sz w:val="22"/>
          <w:szCs w:val="22"/>
        </w:rPr>
        <w:t>alguna de las garantías del debido proceso</w:t>
      </w:r>
      <w:r w:rsidRPr="00624ACF">
        <w:rPr>
          <w:rFonts w:ascii="Palatino Linotype" w:hAnsi="Palatino Linotype"/>
          <w:i/>
          <w:iCs/>
          <w:color w:val="000000" w:themeColor="text1"/>
          <w:sz w:val="22"/>
          <w:szCs w:val="22"/>
        </w:rPr>
        <w:t>.”</w:t>
      </w:r>
    </w:p>
    <w:p w14:paraId="7BF7317B"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53226E8"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85.</w:t>
      </w:r>
      <w:r w:rsidRPr="00624ACF">
        <w:rPr>
          <w:rFonts w:ascii="Palatino Linotype" w:hAnsi="Palatino Linotype"/>
          <w:b/>
          <w:bCs/>
          <w:i/>
          <w:iCs/>
          <w:color w:val="000000" w:themeColor="text1"/>
          <w:sz w:val="22"/>
          <w:szCs w:val="22"/>
        </w:rPr>
        <w:tab/>
      </w:r>
      <w:r w:rsidRPr="00624ACF">
        <w:rPr>
          <w:rFonts w:ascii="Palatino Linotype" w:hAnsi="Palatino Linotype"/>
          <w:i/>
          <w:iCs/>
          <w:color w:val="000000" w:themeColor="text1"/>
          <w:sz w:val="22"/>
          <w:szCs w:val="22"/>
        </w:rPr>
        <w:t xml:space="preserve">De lo anterior se coligue que se considerará como información reservada, aquélla que, de divulgarse, </w:t>
      </w:r>
      <w:r w:rsidRPr="00624ACF">
        <w:rPr>
          <w:rFonts w:ascii="Palatino Linotype" w:hAnsi="Palatino Linotype"/>
          <w:b/>
          <w:bCs/>
          <w:i/>
          <w:iCs/>
          <w:color w:val="000000" w:themeColor="text1"/>
          <w:sz w:val="22"/>
          <w:szCs w:val="22"/>
        </w:rPr>
        <w:t>afecte los derechos del debido proceso dentro de procedimientos administrativos que no hayan quedado firmes</w:t>
      </w:r>
      <w:r w:rsidRPr="00624ACF">
        <w:rPr>
          <w:rFonts w:ascii="Palatino Linotype" w:hAnsi="Palatino Linotype"/>
          <w:i/>
          <w:iCs/>
          <w:color w:val="000000" w:themeColor="text1"/>
          <w:sz w:val="22"/>
          <w:szCs w:val="22"/>
        </w:rPr>
        <w:t>, por lo que el daño que podría producir su difusión, resultaría mayor que el interés público de conocerla, siempre y cuando se actualicen los siguientes elementos:</w:t>
      </w:r>
    </w:p>
    <w:p w14:paraId="000B696D" w14:textId="77777777" w:rsidR="004574D0" w:rsidRPr="00624ACF" w:rsidRDefault="004574D0" w:rsidP="004574D0">
      <w:pPr>
        <w:pStyle w:val="Prrafodelista"/>
        <w:tabs>
          <w:tab w:val="left" w:pos="426"/>
        </w:tabs>
        <w:spacing w:line="276" w:lineRule="auto"/>
        <w:ind w:left="851"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I.</w:t>
      </w:r>
      <w:r w:rsidRPr="00624ACF">
        <w:rPr>
          <w:rFonts w:ascii="Palatino Linotype" w:hAnsi="Palatino Linotype"/>
          <w:b/>
          <w:bCs/>
          <w:i/>
          <w:iCs/>
          <w:color w:val="000000" w:themeColor="text1"/>
          <w:sz w:val="22"/>
          <w:szCs w:val="22"/>
        </w:rPr>
        <w:tab/>
        <w:t>La existencia de un procedimiento</w:t>
      </w:r>
      <w:r w:rsidRPr="00624ACF">
        <w:rPr>
          <w:rFonts w:ascii="Palatino Linotype" w:hAnsi="Palatino Linotype"/>
          <w:i/>
          <w:iCs/>
          <w:color w:val="000000" w:themeColor="text1"/>
          <w:sz w:val="22"/>
          <w:szCs w:val="22"/>
        </w:rPr>
        <w:t xml:space="preserve"> judicial, </w:t>
      </w:r>
      <w:r w:rsidRPr="00624ACF">
        <w:rPr>
          <w:rFonts w:ascii="Palatino Linotype" w:hAnsi="Palatino Linotype"/>
          <w:b/>
          <w:bCs/>
          <w:i/>
          <w:iCs/>
          <w:color w:val="000000" w:themeColor="text1"/>
          <w:sz w:val="22"/>
          <w:szCs w:val="22"/>
        </w:rPr>
        <w:t>administrativo</w:t>
      </w:r>
      <w:r w:rsidRPr="00624ACF">
        <w:rPr>
          <w:rFonts w:ascii="Palatino Linotype" w:hAnsi="Palatino Linotype"/>
          <w:i/>
          <w:iCs/>
          <w:color w:val="000000" w:themeColor="text1"/>
          <w:sz w:val="22"/>
          <w:szCs w:val="22"/>
        </w:rPr>
        <w:t xml:space="preserve"> o arbitral en </w:t>
      </w:r>
      <w:r w:rsidRPr="00624ACF">
        <w:rPr>
          <w:rFonts w:ascii="Palatino Linotype" w:hAnsi="Palatino Linotype"/>
          <w:b/>
          <w:bCs/>
          <w:i/>
          <w:iCs/>
          <w:color w:val="000000" w:themeColor="text1"/>
          <w:sz w:val="22"/>
          <w:szCs w:val="22"/>
        </w:rPr>
        <w:t>trámite</w:t>
      </w:r>
      <w:r w:rsidRPr="00624ACF">
        <w:rPr>
          <w:rFonts w:ascii="Palatino Linotype" w:hAnsi="Palatino Linotype"/>
          <w:i/>
          <w:iCs/>
          <w:color w:val="000000" w:themeColor="text1"/>
          <w:sz w:val="22"/>
          <w:szCs w:val="22"/>
        </w:rPr>
        <w:t>;</w:t>
      </w:r>
    </w:p>
    <w:p w14:paraId="50D83797" w14:textId="77777777" w:rsidR="004574D0" w:rsidRPr="00624ACF" w:rsidRDefault="004574D0" w:rsidP="004574D0">
      <w:pPr>
        <w:pStyle w:val="Prrafodelista"/>
        <w:tabs>
          <w:tab w:val="left" w:pos="426"/>
        </w:tabs>
        <w:spacing w:line="276" w:lineRule="auto"/>
        <w:ind w:left="851"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II.</w:t>
      </w:r>
      <w:r w:rsidRPr="00624ACF">
        <w:rPr>
          <w:rFonts w:ascii="Palatino Linotype" w:hAnsi="Palatino Linotype"/>
          <w:i/>
          <w:iCs/>
          <w:color w:val="000000" w:themeColor="text1"/>
          <w:sz w:val="22"/>
          <w:szCs w:val="22"/>
        </w:rPr>
        <w:tab/>
      </w:r>
      <w:r w:rsidRPr="00624ACF">
        <w:rPr>
          <w:rFonts w:ascii="Palatino Linotype" w:hAnsi="Palatino Linotype"/>
          <w:b/>
          <w:bCs/>
          <w:i/>
          <w:iCs/>
          <w:color w:val="000000" w:themeColor="text1"/>
          <w:sz w:val="22"/>
          <w:szCs w:val="22"/>
        </w:rPr>
        <w:t>Que el SUJETO OBLIGADO sea parte</w:t>
      </w:r>
      <w:r w:rsidRPr="00624ACF">
        <w:rPr>
          <w:rFonts w:ascii="Palatino Linotype" w:hAnsi="Palatino Linotype"/>
          <w:i/>
          <w:iCs/>
          <w:color w:val="000000" w:themeColor="text1"/>
          <w:sz w:val="22"/>
          <w:szCs w:val="22"/>
        </w:rPr>
        <w:t xml:space="preserve"> en ese procedimiento;</w:t>
      </w:r>
    </w:p>
    <w:p w14:paraId="11D97028" w14:textId="77777777" w:rsidR="004574D0" w:rsidRPr="00624ACF" w:rsidRDefault="004574D0" w:rsidP="004574D0">
      <w:pPr>
        <w:pStyle w:val="Prrafodelista"/>
        <w:tabs>
          <w:tab w:val="left" w:pos="426"/>
        </w:tabs>
        <w:spacing w:line="276" w:lineRule="auto"/>
        <w:ind w:left="851"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III.</w:t>
      </w:r>
      <w:r w:rsidRPr="00624ACF">
        <w:rPr>
          <w:rFonts w:ascii="Palatino Linotype" w:hAnsi="Palatino Linotype"/>
          <w:i/>
          <w:iCs/>
          <w:color w:val="000000" w:themeColor="text1"/>
          <w:sz w:val="22"/>
          <w:szCs w:val="22"/>
        </w:rPr>
        <w:tab/>
      </w:r>
      <w:r w:rsidRPr="00624ACF">
        <w:rPr>
          <w:rFonts w:ascii="Palatino Linotype" w:hAnsi="Palatino Linotype"/>
          <w:b/>
          <w:bCs/>
          <w:i/>
          <w:iCs/>
          <w:color w:val="000000" w:themeColor="text1"/>
          <w:sz w:val="22"/>
          <w:szCs w:val="22"/>
        </w:rPr>
        <w:t>Que la información no sea conocida por la contraparte</w:t>
      </w:r>
      <w:r w:rsidRPr="00624ACF">
        <w:rPr>
          <w:rFonts w:ascii="Palatino Linotype" w:hAnsi="Palatino Linotype"/>
          <w:i/>
          <w:iCs/>
          <w:color w:val="000000" w:themeColor="text1"/>
          <w:sz w:val="22"/>
          <w:szCs w:val="22"/>
        </w:rPr>
        <w:t xml:space="preserve"> antes de la presentación de la misma en el proceso, y</w:t>
      </w:r>
    </w:p>
    <w:p w14:paraId="5DB0568B" w14:textId="77777777" w:rsidR="004574D0" w:rsidRPr="00624ACF" w:rsidRDefault="004574D0" w:rsidP="004574D0">
      <w:pPr>
        <w:pStyle w:val="Prrafodelista"/>
        <w:tabs>
          <w:tab w:val="left" w:pos="426"/>
        </w:tabs>
        <w:spacing w:line="276" w:lineRule="auto"/>
        <w:ind w:left="851"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IV.</w:t>
      </w:r>
      <w:r w:rsidRPr="00624ACF">
        <w:rPr>
          <w:rFonts w:ascii="Palatino Linotype" w:hAnsi="Palatino Linotype"/>
          <w:i/>
          <w:iCs/>
          <w:color w:val="000000" w:themeColor="text1"/>
          <w:sz w:val="22"/>
          <w:szCs w:val="22"/>
        </w:rPr>
        <w:tab/>
      </w:r>
      <w:r w:rsidRPr="00624ACF">
        <w:rPr>
          <w:rFonts w:ascii="Palatino Linotype" w:hAnsi="Palatino Linotype"/>
          <w:b/>
          <w:bCs/>
          <w:i/>
          <w:iCs/>
          <w:color w:val="000000" w:themeColor="text1"/>
          <w:sz w:val="22"/>
          <w:szCs w:val="22"/>
        </w:rPr>
        <w:t>Que</w:t>
      </w:r>
      <w:r w:rsidRPr="00624ACF">
        <w:rPr>
          <w:rFonts w:ascii="Palatino Linotype" w:hAnsi="Palatino Linotype"/>
          <w:i/>
          <w:iCs/>
          <w:color w:val="000000" w:themeColor="text1"/>
          <w:sz w:val="22"/>
          <w:szCs w:val="22"/>
        </w:rPr>
        <w:t xml:space="preserve"> con </w:t>
      </w:r>
      <w:r w:rsidRPr="00624ACF">
        <w:rPr>
          <w:rFonts w:ascii="Palatino Linotype" w:hAnsi="Palatino Linotype"/>
          <w:b/>
          <w:bCs/>
          <w:i/>
          <w:iCs/>
          <w:color w:val="000000" w:themeColor="text1"/>
          <w:sz w:val="22"/>
          <w:szCs w:val="22"/>
        </w:rPr>
        <w:t>su divulgación</w:t>
      </w:r>
      <w:r w:rsidRPr="00624ACF">
        <w:rPr>
          <w:rFonts w:ascii="Palatino Linotype" w:hAnsi="Palatino Linotype"/>
          <w:i/>
          <w:iCs/>
          <w:color w:val="000000" w:themeColor="text1"/>
          <w:sz w:val="22"/>
          <w:szCs w:val="22"/>
        </w:rPr>
        <w:t xml:space="preserve"> se </w:t>
      </w:r>
      <w:r w:rsidRPr="00624ACF">
        <w:rPr>
          <w:rFonts w:ascii="Palatino Linotype" w:hAnsi="Palatino Linotype"/>
          <w:b/>
          <w:bCs/>
          <w:i/>
          <w:iCs/>
          <w:color w:val="000000" w:themeColor="text1"/>
          <w:sz w:val="22"/>
          <w:szCs w:val="22"/>
        </w:rPr>
        <w:t>afecte</w:t>
      </w:r>
      <w:r w:rsidRPr="00624ACF">
        <w:rPr>
          <w:rFonts w:ascii="Palatino Linotype" w:hAnsi="Palatino Linotype"/>
          <w:i/>
          <w:iCs/>
          <w:color w:val="000000" w:themeColor="text1"/>
          <w:sz w:val="22"/>
          <w:szCs w:val="22"/>
        </w:rPr>
        <w:t xml:space="preserve"> </w:t>
      </w:r>
      <w:r w:rsidRPr="00624ACF">
        <w:rPr>
          <w:rFonts w:ascii="Palatino Linotype" w:hAnsi="Palatino Linotype"/>
          <w:b/>
          <w:bCs/>
          <w:i/>
          <w:iCs/>
          <w:color w:val="000000" w:themeColor="text1"/>
          <w:sz w:val="22"/>
          <w:szCs w:val="22"/>
        </w:rPr>
        <w:t xml:space="preserve">la oportunidad de llevar a cabo </w:t>
      </w:r>
      <w:proofErr w:type="gramStart"/>
      <w:r w:rsidRPr="00624ACF">
        <w:rPr>
          <w:rFonts w:ascii="Palatino Linotype" w:hAnsi="Palatino Linotype"/>
          <w:b/>
          <w:bCs/>
          <w:i/>
          <w:iCs/>
          <w:color w:val="000000" w:themeColor="text1"/>
          <w:sz w:val="22"/>
          <w:szCs w:val="22"/>
        </w:rPr>
        <w:t>alguna</w:t>
      </w:r>
      <w:proofErr w:type="gramEnd"/>
      <w:r w:rsidRPr="00624ACF">
        <w:rPr>
          <w:rFonts w:ascii="Palatino Linotype" w:hAnsi="Palatino Linotype"/>
          <w:b/>
          <w:bCs/>
          <w:i/>
          <w:iCs/>
          <w:color w:val="000000" w:themeColor="text1"/>
          <w:sz w:val="22"/>
          <w:szCs w:val="22"/>
        </w:rPr>
        <w:t xml:space="preserve"> de las garantías del debido proceso</w:t>
      </w:r>
      <w:r w:rsidRPr="00624ACF">
        <w:rPr>
          <w:rFonts w:ascii="Palatino Linotype" w:hAnsi="Palatino Linotype"/>
          <w:i/>
          <w:iCs/>
          <w:color w:val="000000" w:themeColor="text1"/>
          <w:sz w:val="22"/>
          <w:szCs w:val="22"/>
        </w:rPr>
        <w:t>.</w:t>
      </w:r>
    </w:p>
    <w:p w14:paraId="50F4EC2F"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F15B12C"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lastRenderedPageBreak/>
        <w:t>86.</w:t>
      </w:r>
      <w:r w:rsidRPr="00624ACF">
        <w:rPr>
          <w:rFonts w:ascii="Palatino Linotype" w:hAnsi="Palatino Linotype"/>
          <w:i/>
          <w:iCs/>
          <w:color w:val="000000" w:themeColor="text1"/>
          <w:sz w:val="22"/>
          <w:szCs w:val="22"/>
        </w:rPr>
        <w:tab/>
        <w:t xml:space="preserve">Por cuanto hace al primer elemento, se advierte que sí </w:t>
      </w:r>
      <w:r w:rsidRPr="00624ACF">
        <w:rPr>
          <w:rFonts w:ascii="Palatino Linotype" w:hAnsi="Palatino Linotype"/>
          <w:b/>
          <w:bCs/>
          <w:i/>
          <w:iCs/>
          <w:color w:val="000000" w:themeColor="text1"/>
          <w:sz w:val="22"/>
          <w:szCs w:val="22"/>
        </w:rPr>
        <w:t>existen procedimientos administrativos en trámite</w:t>
      </w:r>
      <w:r w:rsidRPr="00624ACF">
        <w:rPr>
          <w:rFonts w:ascii="Palatino Linotype" w:hAnsi="Palatino Linotype"/>
          <w:i/>
          <w:iCs/>
          <w:color w:val="000000" w:themeColor="text1"/>
          <w:sz w:val="22"/>
          <w:szCs w:val="22"/>
        </w:rPr>
        <w:t xml:space="preserve">, toda vez que el </w:t>
      </w:r>
      <w:r w:rsidRPr="00624ACF">
        <w:rPr>
          <w:rFonts w:ascii="Palatino Linotype" w:hAnsi="Palatino Linotype"/>
          <w:b/>
          <w:bCs/>
          <w:i/>
          <w:iCs/>
          <w:color w:val="000000" w:themeColor="text1"/>
          <w:sz w:val="22"/>
          <w:szCs w:val="22"/>
        </w:rPr>
        <w:t>SUJETO OBLIGADO</w:t>
      </w:r>
      <w:r w:rsidRPr="00624ACF">
        <w:rPr>
          <w:rFonts w:ascii="Palatino Linotype" w:hAnsi="Palatino Linotype"/>
          <w:i/>
          <w:iCs/>
          <w:color w:val="000000" w:themeColor="text1"/>
          <w:sz w:val="22"/>
          <w:szCs w:val="22"/>
        </w:rPr>
        <w:t xml:space="preserve"> no sólo se encarga de recibir las quejas y denuncias que se presenten en contra de los servidores públicos adscritos a la Secretaría de Seguridad del Estado de México, sino también de implementar </w:t>
      </w:r>
      <w:r w:rsidRPr="00624ACF">
        <w:rPr>
          <w:rFonts w:ascii="Palatino Linotype" w:hAnsi="Palatino Linotype"/>
          <w:b/>
          <w:bCs/>
          <w:i/>
          <w:iCs/>
          <w:color w:val="000000" w:themeColor="text1"/>
          <w:sz w:val="22"/>
          <w:szCs w:val="22"/>
        </w:rPr>
        <w:t>ejercicios de investigación</w:t>
      </w:r>
      <w:r w:rsidRPr="00624ACF">
        <w:rPr>
          <w:rFonts w:ascii="Palatino Linotype" w:hAnsi="Palatino Linotype"/>
          <w:i/>
          <w:iCs/>
          <w:color w:val="000000" w:themeColor="text1"/>
          <w:sz w:val="22"/>
          <w:szCs w:val="22"/>
        </w:rPr>
        <w:t xml:space="preserve"> de oficio a efecto de detectar omisiones o faltas perpetradas por los elementos adscritos a la Secretaría, y una vez conseguidos los suficientes medios de prueba y convicción de que se ha cometido una falta, se envía el expediente a la Comisión de Honor y Justicia, o al Órgano de Control Interno para que dé inicio el procedimiento de responsabilidad administrativa procedente.</w:t>
      </w:r>
    </w:p>
    <w:p w14:paraId="5E3AC69D"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FE268E1"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87.</w:t>
      </w:r>
      <w:r w:rsidRPr="00624ACF">
        <w:rPr>
          <w:rFonts w:ascii="Palatino Linotype" w:hAnsi="Palatino Linotype"/>
          <w:i/>
          <w:iCs/>
          <w:color w:val="000000" w:themeColor="text1"/>
          <w:sz w:val="22"/>
          <w:szCs w:val="22"/>
        </w:rPr>
        <w:tab/>
        <w:t xml:space="preserve">Por cuanto hace al segundo elemento, se acredita que el SUJETO OBLIGADO </w:t>
      </w:r>
      <w:r w:rsidRPr="00624ACF">
        <w:rPr>
          <w:rFonts w:ascii="Palatino Linotype" w:hAnsi="Palatino Linotype"/>
          <w:b/>
          <w:bCs/>
          <w:i/>
          <w:iCs/>
          <w:color w:val="000000" w:themeColor="text1"/>
          <w:sz w:val="22"/>
          <w:szCs w:val="22"/>
        </w:rPr>
        <w:t>funge como parte dentro de estos procedimientos</w:t>
      </w:r>
      <w:r w:rsidRPr="00624ACF">
        <w:rPr>
          <w:rFonts w:ascii="Palatino Linotype" w:hAnsi="Palatino Linotype"/>
          <w:i/>
          <w:iCs/>
          <w:color w:val="000000" w:themeColor="text1"/>
          <w:sz w:val="22"/>
          <w:szCs w:val="22"/>
        </w:rPr>
        <w:t xml:space="preserve">, específicamente como </w:t>
      </w:r>
      <w:r w:rsidRPr="00624ACF">
        <w:rPr>
          <w:rFonts w:ascii="Palatino Linotype" w:hAnsi="Palatino Linotype"/>
          <w:b/>
          <w:bCs/>
          <w:i/>
          <w:iCs/>
          <w:color w:val="000000" w:themeColor="text1"/>
          <w:sz w:val="22"/>
          <w:szCs w:val="22"/>
        </w:rPr>
        <w:t>autoridad investigadora</w:t>
      </w:r>
      <w:r w:rsidRPr="00624ACF">
        <w:rPr>
          <w:rFonts w:ascii="Palatino Linotype" w:hAnsi="Palatino Linotype"/>
          <w:i/>
          <w:iCs/>
          <w:color w:val="000000" w:themeColor="text1"/>
          <w:sz w:val="22"/>
          <w:szCs w:val="22"/>
        </w:rPr>
        <w:t xml:space="preserve">, cuya actividad jurisdiccional se activa al momento de la presentación de una queja o denuncia, o bien, </w:t>
      </w:r>
      <w:r w:rsidRPr="00624ACF">
        <w:rPr>
          <w:rFonts w:ascii="Palatino Linotype" w:hAnsi="Palatino Linotype"/>
          <w:b/>
          <w:bCs/>
          <w:i/>
          <w:iCs/>
          <w:color w:val="000000" w:themeColor="text1"/>
          <w:sz w:val="22"/>
          <w:szCs w:val="22"/>
        </w:rPr>
        <w:t>de oficio de acuerdo con las líneas de acción que se tengan contempladas en su Plan de Trabajo</w:t>
      </w:r>
      <w:r w:rsidRPr="00624ACF">
        <w:rPr>
          <w:rFonts w:ascii="Palatino Linotype" w:hAnsi="Palatino Linotype"/>
          <w:i/>
          <w:iCs/>
          <w:color w:val="000000" w:themeColor="text1"/>
          <w:sz w:val="22"/>
          <w:szCs w:val="22"/>
        </w:rPr>
        <w:t xml:space="preserve">, en las que se pueden incluir el </w:t>
      </w:r>
      <w:r w:rsidRPr="00624ACF">
        <w:rPr>
          <w:rFonts w:ascii="Palatino Linotype" w:hAnsi="Palatino Linotype"/>
          <w:b/>
          <w:bCs/>
          <w:i/>
          <w:iCs/>
          <w:color w:val="000000" w:themeColor="text1"/>
          <w:sz w:val="22"/>
          <w:szCs w:val="22"/>
        </w:rPr>
        <w:t>coordinar y realizar acciones específicas, así como de usuarios simulados, que aseguren la obtención y análisis de información en el desarrollo de las investigaciones</w:t>
      </w:r>
      <w:r w:rsidRPr="00624ACF">
        <w:rPr>
          <w:rFonts w:ascii="Palatino Linotype" w:hAnsi="Palatino Linotype"/>
          <w:i/>
          <w:iCs/>
          <w:color w:val="000000" w:themeColor="text1"/>
          <w:sz w:val="22"/>
          <w:szCs w:val="22"/>
        </w:rPr>
        <w:t>.</w:t>
      </w:r>
    </w:p>
    <w:p w14:paraId="7BDE2C2B"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155162D0"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88.</w:t>
      </w:r>
      <w:r w:rsidRPr="00624ACF">
        <w:rPr>
          <w:rFonts w:ascii="Palatino Linotype" w:hAnsi="Palatino Linotype"/>
          <w:i/>
          <w:iCs/>
          <w:color w:val="000000" w:themeColor="text1"/>
          <w:sz w:val="22"/>
          <w:szCs w:val="22"/>
        </w:rPr>
        <w:tab/>
        <w:t xml:space="preserve">En lo que respecta al tercer elemento para acreditar que la información vulnera el debido proceso, el </w:t>
      </w:r>
      <w:r w:rsidRPr="00624ACF">
        <w:rPr>
          <w:rFonts w:ascii="Palatino Linotype" w:hAnsi="Palatino Linotype"/>
          <w:b/>
          <w:bCs/>
          <w:i/>
          <w:iCs/>
          <w:color w:val="000000" w:themeColor="text1"/>
          <w:sz w:val="22"/>
          <w:szCs w:val="22"/>
        </w:rPr>
        <w:t>SUJETO OBLIGADO</w:t>
      </w:r>
      <w:r w:rsidRPr="00624ACF">
        <w:rPr>
          <w:rFonts w:ascii="Palatino Linotype" w:hAnsi="Palatino Linotype"/>
          <w:i/>
          <w:iCs/>
          <w:color w:val="000000" w:themeColor="text1"/>
          <w:sz w:val="22"/>
          <w:szCs w:val="22"/>
        </w:rPr>
        <w:t xml:space="preserve"> reiteró a lo largo de su Acuerdo de Clasificación, que el dar a conocer la información contenida en los párrafos suprimidos en las versiones públicas de las Actas del Consejo Directivo, afectaría directamente las estrategias y técnicas de investigación y supervisión de las conductas de los integrantes de la Secretaría de Seguridad del Estado de México, pues los párrafos de mérito se relacionan justamente con la exposición de estas tácticas. Así las cosas, </w:t>
      </w:r>
      <w:r w:rsidRPr="00624ACF">
        <w:rPr>
          <w:rFonts w:ascii="Palatino Linotype" w:hAnsi="Palatino Linotype"/>
          <w:b/>
          <w:bCs/>
          <w:i/>
          <w:iCs/>
          <w:color w:val="000000" w:themeColor="text1"/>
          <w:sz w:val="22"/>
          <w:szCs w:val="22"/>
        </w:rPr>
        <w:t>resulta evidente que la contraparte</w:t>
      </w:r>
      <w:r w:rsidRPr="00624ACF">
        <w:rPr>
          <w:rFonts w:ascii="Palatino Linotype" w:hAnsi="Palatino Linotype"/>
          <w:i/>
          <w:iCs/>
          <w:color w:val="000000" w:themeColor="text1"/>
          <w:sz w:val="22"/>
          <w:szCs w:val="22"/>
        </w:rPr>
        <w:t xml:space="preserve">, esto es, el servidor público presunto responsable, </w:t>
      </w:r>
      <w:r w:rsidRPr="00624ACF">
        <w:rPr>
          <w:rFonts w:ascii="Palatino Linotype" w:hAnsi="Palatino Linotype"/>
          <w:b/>
          <w:bCs/>
          <w:i/>
          <w:iCs/>
          <w:color w:val="000000" w:themeColor="text1"/>
          <w:sz w:val="22"/>
          <w:szCs w:val="22"/>
        </w:rPr>
        <w:t>no tiene conocimiento de las estrategias de investigación que la Unidad de Asuntos Internos lleva a cabo para hacerse de los elementos probatorios suficientes para determinar si ha lugar o no denunciar el cometimiento de una posible responsabilidad administrativa.</w:t>
      </w:r>
    </w:p>
    <w:p w14:paraId="6E487C55"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6DD6C09D"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89.</w:t>
      </w:r>
      <w:r w:rsidRPr="00624ACF">
        <w:rPr>
          <w:rFonts w:ascii="Palatino Linotype" w:hAnsi="Palatino Linotype"/>
          <w:i/>
          <w:iCs/>
          <w:color w:val="000000" w:themeColor="text1"/>
          <w:sz w:val="22"/>
          <w:szCs w:val="22"/>
        </w:rPr>
        <w:tab/>
        <w:t xml:space="preserve">Finalmente, por cuanto al cuarto elemento de convicción, se advierte que la divulgación de la información clasificada en las Actas del Consejo Directivo sí puede </w:t>
      </w:r>
      <w:r w:rsidRPr="00624ACF">
        <w:rPr>
          <w:rFonts w:ascii="Palatino Linotype" w:hAnsi="Palatino Linotype"/>
          <w:i/>
          <w:iCs/>
          <w:color w:val="000000" w:themeColor="text1"/>
          <w:sz w:val="22"/>
          <w:szCs w:val="22"/>
        </w:rPr>
        <w:lastRenderedPageBreak/>
        <w:t xml:space="preserve">afectar la oportunidad de que se lleve a cabo alguna de las garantías del debido proceso, tales como la </w:t>
      </w:r>
      <w:r w:rsidRPr="00624ACF">
        <w:rPr>
          <w:rFonts w:ascii="Palatino Linotype" w:hAnsi="Palatino Linotype"/>
          <w:b/>
          <w:bCs/>
          <w:i/>
          <w:iCs/>
          <w:color w:val="000000" w:themeColor="text1"/>
          <w:sz w:val="22"/>
          <w:szCs w:val="22"/>
        </w:rPr>
        <w:t>presunción inocencia</w:t>
      </w:r>
      <w:r w:rsidRPr="00624ACF">
        <w:rPr>
          <w:rFonts w:ascii="Palatino Linotype" w:hAnsi="Palatino Linotype"/>
          <w:i/>
          <w:iCs/>
          <w:color w:val="000000" w:themeColor="text1"/>
          <w:sz w:val="22"/>
          <w:szCs w:val="22"/>
        </w:rPr>
        <w:t xml:space="preserve">, el </w:t>
      </w:r>
      <w:r w:rsidRPr="00624ACF">
        <w:rPr>
          <w:rFonts w:ascii="Palatino Linotype" w:hAnsi="Palatino Linotype"/>
          <w:b/>
          <w:bCs/>
          <w:i/>
          <w:iCs/>
          <w:color w:val="000000" w:themeColor="text1"/>
          <w:sz w:val="22"/>
          <w:szCs w:val="22"/>
        </w:rPr>
        <w:t>derecho a tener un juicio justo, así como el derecho de ser informado de la responsabilidad administrativa específica de la que se le acuse</w:t>
      </w:r>
      <w:r w:rsidRPr="00624ACF">
        <w:rPr>
          <w:rFonts w:ascii="Palatino Linotype" w:hAnsi="Palatino Linotype"/>
          <w:i/>
          <w:iCs/>
          <w:color w:val="000000" w:themeColor="text1"/>
          <w:sz w:val="22"/>
          <w:szCs w:val="22"/>
        </w:rPr>
        <w:t xml:space="preserve"> al servidor público presunto responsable; todas estas garantías son atendidas durante el </w:t>
      </w:r>
      <w:r w:rsidRPr="00624ACF">
        <w:rPr>
          <w:rFonts w:ascii="Palatino Linotype" w:hAnsi="Palatino Linotype"/>
          <w:b/>
          <w:bCs/>
          <w:i/>
          <w:iCs/>
          <w:color w:val="000000" w:themeColor="text1"/>
          <w:sz w:val="22"/>
          <w:szCs w:val="22"/>
        </w:rPr>
        <w:t>periodo de investigación</w:t>
      </w:r>
      <w:r w:rsidRPr="00624ACF">
        <w:rPr>
          <w:rFonts w:ascii="Palatino Linotype" w:hAnsi="Palatino Linotype"/>
          <w:i/>
          <w:iCs/>
          <w:color w:val="000000" w:themeColor="text1"/>
          <w:sz w:val="22"/>
          <w:szCs w:val="22"/>
        </w:rPr>
        <w:t xml:space="preserve"> de la presunta responsabilidad administrativa, pues la Unidad de Asuntos Internos se encontrará recabando todas las pruebas y elementos de convicción que le hagan determinar si ha lugar a denunciar ante la Comisión de Honor y Justicia, o el Órgano Interno de Control, la existencia de una probable responsabilidad administrativa.</w:t>
      </w:r>
    </w:p>
    <w:p w14:paraId="62A82B10"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6888F188"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90.</w:t>
      </w:r>
      <w:r w:rsidRPr="00624ACF">
        <w:rPr>
          <w:rFonts w:ascii="Palatino Linotype" w:hAnsi="Palatino Linotype"/>
          <w:i/>
          <w:iCs/>
          <w:color w:val="000000" w:themeColor="text1"/>
          <w:sz w:val="22"/>
          <w:szCs w:val="22"/>
        </w:rPr>
        <w:tab/>
        <w:t xml:space="preserve">Atento al análisis anterior, este Organismo Garante concluye que, si bien es cierto que el </w:t>
      </w:r>
      <w:r w:rsidRPr="00624ACF">
        <w:rPr>
          <w:rFonts w:ascii="Palatino Linotype" w:hAnsi="Palatino Linotype"/>
          <w:b/>
          <w:bCs/>
          <w:i/>
          <w:iCs/>
          <w:color w:val="000000" w:themeColor="text1"/>
          <w:sz w:val="22"/>
          <w:szCs w:val="22"/>
        </w:rPr>
        <w:t>SUJETO OBLIGADO</w:t>
      </w:r>
      <w:r w:rsidRPr="00624ACF">
        <w:rPr>
          <w:rFonts w:ascii="Palatino Linotype" w:hAnsi="Palatino Linotype"/>
          <w:i/>
          <w:iCs/>
          <w:color w:val="000000" w:themeColor="text1"/>
          <w:sz w:val="22"/>
          <w:szCs w:val="22"/>
        </w:rPr>
        <w:t xml:space="preserve"> realizó un ejercicio de clasificación atendiendo el procedimiento legal establecido en la Ley General de Transparencia y Acceso a la Información Pública, la Ley de Transparencia y Acceso a la Información Pública del Estado de México y Municipios, así como en los Lineamientos Generales en Materia de Clasificación y Desclasificación de la Información, así como para la Elaboración de Versiones Públicas, también lo es que </w:t>
      </w:r>
      <w:r w:rsidRPr="00624ACF">
        <w:rPr>
          <w:rFonts w:ascii="Palatino Linotype" w:hAnsi="Palatino Linotype"/>
          <w:b/>
          <w:bCs/>
          <w:i/>
          <w:iCs/>
          <w:color w:val="000000" w:themeColor="text1"/>
          <w:sz w:val="22"/>
          <w:szCs w:val="22"/>
        </w:rPr>
        <w:t>no fundó ni motivó conforme a derecho la reserva de la información, toda vez que, como ha sido demostrado, la Unidad de Asuntos Internos pretendió clasificar la información porque, a su entendimiento, la difusión de la información relacionada con las estrategias de investigación que se llevan a cabo sobre las conductas del personal de la Secretaría de Seguridad del Estado de México vulneraría la seguridad pública, lo cual carece de toda relación o concordancia</w:t>
      </w:r>
      <w:r w:rsidRPr="00624ACF">
        <w:rPr>
          <w:rFonts w:ascii="Palatino Linotype" w:hAnsi="Palatino Linotype"/>
          <w:i/>
          <w:iCs/>
          <w:color w:val="000000" w:themeColor="text1"/>
          <w:sz w:val="22"/>
          <w:szCs w:val="22"/>
        </w:rPr>
        <w:t>.</w:t>
      </w:r>
    </w:p>
    <w:p w14:paraId="68A6DDBF"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6495E571"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91.</w:t>
      </w:r>
      <w:r w:rsidRPr="00624ACF">
        <w:rPr>
          <w:rFonts w:ascii="Palatino Linotype" w:hAnsi="Palatino Linotype"/>
          <w:i/>
          <w:iCs/>
          <w:color w:val="000000" w:themeColor="text1"/>
          <w:sz w:val="22"/>
          <w:szCs w:val="22"/>
        </w:rPr>
        <w:tab/>
        <w:t xml:space="preserve">Sin embargo, también se demostró que la publicidad de la información clasificada en las versiones públicas de las Actas de la Primera a la Quinta Sesión Ordinaria del Consejo Directivo, </w:t>
      </w:r>
      <w:r w:rsidRPr="00624ACF">
        <w:rPr>
          <w:rFonts w:ascii="Palatino Linotype" w:hAnsi="Palatino Linotype"/>
          <w:b/>
          <w:bCs/>
          <w:i/>
          <w:iCs/>
          <w:color w:val="000000" w:themeColor="text1"/>
          <w:sz w:val="22"/>
          <w:szCs w:val="22"/>
        </w:rPr>
        <w:t>puede obstruir los procedimientos para fincar responsabilidad administrativa a los servidores públicos adscritos a la Secretaría de Seguridad del Estado de México</w:t>
      </w:r>
      <w:r w:rsidRPr="00624ACF">
        <w:rPr>
          <w:rFonts w:ascii="Palatino Linotype" w:hAnsi="Palatino Linotype"/>
          <w:i/>
          <w:iCs/>
          <w:color w:val="000000" w:themeColor="text1"/>
          <w:sz w:val="22"/>
          <w:szCs w:val="22"/>
        </w:rPr>
        <w:t>.</w:t>
      </w:r>
    </w:p>
    <w:p w14:paraId="658FFFF5" w14:textId="77777777"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166B8CAD" w14:textId="44676F34" w:rsidR="004574D0" w:rsidRPr="00624ACF" w:rsidRDefault="004574D0" w:rsidP="004574D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92.</w:t>
      </w:r>
      <w:r w:rsidRPr="00624ACF">
        <w:rPr>
          <w:rFonts w:ascii="Palatino Linotype" w:hAnsi="Palatino Linotype"/>
          <w:i/>
          <w:iCs/>
          <w:color w:val="000000" w:themeColor="text1"/>
          <w:sz w:val="22"/>
          <w:szCs w:val="22"/>
        </w:rPr>
        <w:tab/>
        <w:t xml:space="preserve">Por lo tanto, por cuanto hace al requerimiento del particular expuesto en el PETITORIO SEGUNDO de su escrito impugnativo por el que solicitó que se ordene la desclasificación de la información contenida en las Actas del Consejo Directivo, y éstas de le entreguen de manera íntegra, se determina </w:t>
      </w:r>
      <w:r w:rsidRPr="00624ACF">
        <w:rPr>
          <w:rFonts w:ascii="Palatino Linotype" w:hAnsi="Palatino Linotype"/>
          <w:b/>
          <w:bCs/>
          <w:i/>
          <w:iCs/>
          <w:color w:val="000000" w:themeColor="text1"/>
          <w:sz w:val="22"/>
          <w:szCs w:val="22"/>
        </w:rPr>
        <w:t>infundado</w:t>
      </w:r>
      <w:r w:rsidRPr="00624ACF">
        <w:rPr>
          <w:rFonts w:ascii="Palatino Linotype" w:hAnsi="Palatino Linotype"/>
          <w:i/>
          <w:iCs/>
          <w:color w:val="000000" w:themeColor="text1"/>
          <w:sz w:val="22"/>
          <w:szCs w:val="22"/>
        </w:rPr>
        <w:t xml:space="preserve">; toda vez que, como se ha advertido, la información contenida en las Actas relacionada con las estrategias y líneas </w:t>
      </w:r>
      <w:r w:rsidRPr="00624ACF">
        <w:rPr>
          <w:rFonts w:ascii="Palatino Linotype" w:hAnsi="Palatino Linotype"/>
          <w:i/>
          <w:iCs/>
          <w:color w:val="000000" w:themeColor="text1"/>
          <w:sz w:val="22"/>
          <w:szCs w:val="22"/>
        </w:rPr>
        <w:lastRenderedPageBreak/>
        <w:t xml:space="preserve">de acción en las investigaciones de las conductas del personal adscrito a la Secretaría de Seguridad, de difundirse, puede violentar el debido proceso llevado a cabo en los diversos procedimientos de investigación sustanciados por la Unidad de  Asuntos Internos, </w:t>
      </w:r>
      <w:r w:rsidRPr="00624ACF">
        <w:rPr>
          <w:rFonts w:ascii="Palatino Linotype" w:hAnsi="Palatino Linotype"/>
          <w:b/>
          <w:bCs/>
          <w:i/>
          <w:iCs/>
          <w:color w:val="000000" w:themeColor="text1"/>
          <w:sz w:val="22"/>
          <w:szCs w:val="22"/>
        </w:rPr>
        <w:t>situación que deberá ser acreditada por el SUJETO OBLIGADO llevando a cabo una nueva prueba de daño con base en la causal de reserva aplicable a la naturaleza del asunto</w:t>
      </w:r>
      <w:r w:rsidRPr="00624ACF">
        <w:rPr>
          <w:rFonts w:ascii="Palatino Linotype" w:hAnsi="Palatino Linotype"/>
          <w:i/>
          <w:iCs/>
          <w:color w:val="000000" w:themeColor="text1"/>
          <w:sz w:val="22"/>
          <w:szCs w:val="22"/>
        </w:rPr>
        <w:t>.”</w:t>
      </w:r>
    </w:p>
    <w:p w14:paraId="2AF2F3B4" w14:textId="77777777" w:rsidR="004574D0" w:rsidRPr="00624ACF" w:rsidRDefault="004574D0" w:rsidP="00AB3C2E">
      <w:pPr>
        <w:pStyle w:val="Prrafodelista"/>
        <w:tabs>
          <w:tab w:val="left" w:pos="426"/>
        </w:tabs>
        <w:spacing w:line="360" w:lineRule="auto"/>
        <w:ind w:left="0" w:right="51"/>
        <w:jc w:val="both"/>
        <w:rPr>
          <w:rFonts w:ascii="Palatino Linotype" w:hAnsi="Palatino Linotype"/>
          <w:color w:val="000000" w:themeColor="text1"/>
        </w:rPr>
      </w:pPr>
    </w:p>
    <w:p w14:paraId="1FFE37EB" w14:textId="06868E85" w:rsidR="00AB3C2E" w:rsidRPr="00624ACF" w:rsidRDefault="00B63694"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Así las cosas, el cuatro (04) de abril de dos mil veintidós, se notificó en el SAIMEX la resolución del Pleno de este Instituto, sobre el recurso de revisión </w:t>
      </w:r>
      <w:r w:rsidRPr="00624ACF">
        <w:rPr>
          <w:rFonts w:ascii="Palatino Linotype" w:hAnsi="Palatino Linotype"/>
          <w:b/>
          <w:bCs/>
          <w:lang w:val="es-ES"/>
        </w:rPr>
        <w:t>06268/INFOEM/IP/RR/2021</w:t>
      </w:r>
      <w:r w:rsidRPr="00624ACF">
        <w:rPr>
          <w:rFonts w:ascii="Palatino Linotype" w:hAnsi="Palatino Linotype"/>
          <w:lang w:val="es-ES"/>
        </w:rPr>
        <w:t xml:space="preserve">, dentro del cual, en su </w:t>
      </w:r>
      <w:r w:rsidRPr="00624ACF">
        <w:rPr>
          <w:rFonts w:ascii="Palatino Linotype" w:hAnsi="Palatino Linotype"/>
          <w:b/>
          <w:bCs/>
          <w:lang w:val="es-ES"/>
        </w:rPr>
        <w:t>Resolutivo SEGUNDO</w:t>
      </w:r>
      <w:r w:rsidRPr="00624ACF">
        <w:rPr>
          <w:rFonts w:ascii="Palatino Linotype" w:hAnsi="Palatino Linotype"/>
          <w:lang w:val="es-ES"/>
        </w:rPr>
        <w:t>, se ordenó lo siguiente:</w:t>
      </w:r>
    </w:p>
    <w:p w14:paraId="5F7F7A6D" w14:textId="7316414E"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0BF9AB14" w14:textId="77777777" w:rsidR="00B63694" w:rsidRPr="00624ACF" w:rsidRDefault="00B63694" w:rsidP="00B63694">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i/>
          <w:iCs/>
          <w:color w:val="000000" w:themeColor="text1"/>
          <w:sz w:val="22"/>
          <w:szCs w:val="22"/>
        </w:rPr>
        <w:t>“</w:t>
      </w:r>
      <w:r w:rsidRPr="00624ACF">
        <w:rPr>
          <w:rFonts w:ascii="Palatino Linotype" w:hAnsi="Palatino Linotype"/>
          <w:b/>
          <w:bCs/>
          <w:i/>
          <w:iCs/>
          <w:color w:val="000000" w:themeColor="text1"/>
          <w:sz w:val="22"/>
          <w:szCs w:val="22"/>
        </w:rPr>
        <w:t>SEGUNDO</w:t>
      </w:r>
      <w:r w:rsidRPr="00624ACF">
        <w:rPr>
          <w:rFonts w:ascii="Palatino Linotype" w:hAnsi="Palatino Linotype"/>
          <w:i/>
          <w:iCs/>
          <w:color w:val="000000" w:themeColor="text1"/>
          <w:sz w:val="22"/>
          <w:szCs w:val="22"/>
        </w:rPr>
        <w:t xml:space="preserve">. Se </w:t>
      </w:r>
      <w:r w:rsidRPr="00624ACF">
        <w:rPr>
          <w:rFonts w:ascii="Palatino Linotype" w:hAnsi="Palatino Linotype"/>
          <w:b/>
          <w:bCs/>
          <w:i/>
          <w:iCs/>
          <w:color w:val="000000" w:themeColor="text1"/>
          <w:sz w:val="22"/>
          <w:szCs w:val="22"/>
        </w:rPr>
        <w:t>MODIFICA</w:t>
      </w:r>
      <w:r w:rsidRPr="00624ACF">
        <w:rPr>
          <w:rFonts w:ascii="Palatino Linotype" w:hAnsi="Palatino Linotype"/>
          <w:i/>
          <w:iCs/>
          <w:color w:val="000000" w:themeColor="text1"/>
          <w:sz w:val="22"/>
          <w:szCs w:val="22"/>
        </w:rPr>
        <w:t xml:space="preserve"> la respuesta emitida por la </w:t>
      </w:r>
      <w:r w:rsidRPr="00624ACF">
        <w:rPr>
          <w:rFonts w:ascii="Palatino Linotype" w:hAnsi="Palatino Linotype"/>
          <w:b/>
          <w:bCs/>
          <w:i/>
          <w:iCs/>
          <w:color w:val="000000" w:themeColor="text1"/>
          <w:sz w:val="22"/>
          <w:szCs w:val="22"/>
        </w:rPr>
        <w:t>Unidad de Asuntos Internos</w:t>
      </w:r>
      <w:r w:rsidRPr="00624ACF">
        <w:rPr>
          <w:rFonts w:ascii="Palatino Linotype" w:hAnsi="Palatino Linotype"/>
          <w:i/>
          <w:iCs/>
          <w:color w:val="000000" w:themeColor="text1"/>
          <w:sz w:val="22"/>
          <w:szCs w:val="22"/>
        </w:rPr>
        <w:t xml:space="preserve"> a la solicitud </w:t>
      </w:r>
      <w:r w:rsidRPr="00624ACF">
        <w:rPr>
          <w:rFonts w:ascii="Palatino Linotype" w:hAnsi="Palatino Linotype"/>
          <w:b/>
          <w:bCs/>
          <w:i/>
          <w:iCs/>
          <w:color w:val="000000" w:themeColor="text1"/>
          <w:sz w:val="22"/>
          <w:szCs w:val="22"/>
        </w:rPr>
        <w:t>00041/UAI/IP/2021</w:t>
      </w:r>
      <w:r w:rsidRPr="00624ACF">
        <w:rPr>
          <w:rFonts w:ascii="Palatino Linotype" w:hAnsi="Palatino Linotype"/>
          <w:i/>
          <w:iCs/>
          <w:color w:val="000000" w:themeColor="text1"/>
          <w:sz w:val="22"/>
          <w:szCs w:val="22"/>
        </w:rPr>
        <w:t xml:space="preserve"> y se </w:t>
      </w:r>
      <w:r w:rsidRPr="00624ACF">
        <w:rPr>
          <w:rFonts w:ascii="Palatino Linotype" w:hAnsi="Palatino Linotype"/>
          <w:b/>
          <w:bCs/>
          <w:i/>
          <w:iCs/>
          <w:color w:val="000000" w:themeColor="text1"/>
          <w:sz w:val="22"/>
          <w:szCs w:val="22"/>
        </w:rPr>
        <w:t>ORDENA</w:t>
      </w:r>
      <w:r w:rsidRPr="00624ACF">
        <w:rPr>
          <w:rFonts w:ascii="Palatino Linotype" w:hAnsi="Palatino Linotype"/>
          <w:i/>
          <w:iCs/>
          <w:color w:val="000000" w:themeColor="text1"/>
          <w:sz w:val="22"/>
          <w:szCs w:val="22"/>
        </w:rPr>
        <w:t xml:space="preserve"> entregar, a través del Sistema de Acceso a la Información Pública Mexiquense (SAIMEX), la siguiente información: </w:t>
      </w:r>
    </w:p>
    <w:p w14:paraId="0424C828" w14:textId="77777777" w:rsidR="00B63694" w:rsidRPr="00624ACF" w:rsidRDefault="00B63694" w:rsidP="00B63694">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37D447FF" w14:textId="0C3E2FC9" w:rsidR="00B63694" w:rsidRPr="00624ACF" w:rsidRDefault="00B63694" w:rsidP="00B63694">
      <w:pPr>
        <w:pStyle w:val="Prrafodelista"/>
        <w:tabs>
          <w:tab w:val="left" w:pos="426"/>
        </w:tabs>
        <w:spacing w:line="276" w:lineRule="auto"/>
        <w:ind w:left="851" w:right="851"/>
        <w:jc w:val="both"/>
        <w:rPr>
          <w:rFonts w:ascii="Palatino Linotype" w:hAnsi="Palatino Linotype"/>
          <w:b/>
          <w:bCs/>
          <w:i/>
          <w:iCs/>
          <w:color w:val="000000" w:themeColor="text1"/>
          <w:sz w:val="22"/>
          <w:szCs w:val="22"/>
        </w:rPr>
      </w:pPr>
      <w:r w:rsidRPr="00624ACF">
        <w:rPr>
          <w:rFonts w:ascii="Palatino Linotype" w:hAnsi="Palatino Linotype"/>
          <w:b/>
          <w:bCs/>
          <w:i/>
          <w:iCs/>
          <w:color w:val="000000" w:themeColor="text1"/>
          <w:sz w:val="22"/>
          <w:szCs w:val="22"/>
        </w:rPr>
        <w:t>I. Acuerdo de Clasificación que determine la adecuada reserva de la información relacionada con las acciones y estrategias de investigación sobre las conductas del personal de la Secretaría de Seguridad del Estado de México, contenida en las Actas de la Primera, Segunda, Tercera, Cuarta y Quinta Sesión Ordinaria del Consejo Directivo, celebradas durante el dos mil veintiuno.</w:t>
      </w:r>
      <w:r w:rsidRPr="00624ACF">
        <w:rPr>
          <w:rFonts w:ascii="Palatino Linotype" w:hAnsi="Palatino Linotype"/>
          <w:i/>
          <w:iCs/>
          <w:color w:val="000000" w:themeColor="text1"/>
          <w:sz w:val="22"/>
          <w:szCs w:val="22"/>
        </w:rPr>
        <w:t>”</w:t>
      </w:r>
    </w:p>
    <w:p w14:paraId="14629431" w14:textId="77777777" w:rsidR="00B63694" w:rsidRPr="00624ACF" w:rsidRDefault="00B63694" w:rsidP="00AB3C2E">
      <w:pPr>
        <w:pStyle w:val="Prrafodelista"/>
        <w:tabs>
          <w:tab w:val="left" w:pos="426"/>
        </w:tabs>
        <w:spacing w:line="360" w:lineRule="auto"/>
        <w:ind w:left="0" w:right="51"/>
        <w:jc w:val="both"/>
        <w:rPr>
          <w:rFonts w:ascii="Palatino Linotype" w:hAnsi="Palatino Linotype"/>
          <w:color w:val="000000" w:themeColor="text1"/>
        </w:rPr>
      </w:pPr>
    </w:p>
    <w:p w14:paraId="0EA2D466" w14:textId="7DB4EF29" w:rsidR="00AB3C2E" w:rsidRPr="00624ACF" w:rsidRDefault="00B63694"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i/>
          <w:iCs/>
          <w:lang w:val="es-ES"/>
        </w:rPr>
        <w:t>Grosso modo</w:t>
      </w:r>
      <w:r w:rsidRPr="00624ACF">
        <w:rPr>
          <w:rFonts w:ascii="Palatino Linotype" w:hAnsi="Palatino Linotype"/>
          <w:lang w:val="es-ES"/>
        </w:rPr>
        <w:t xml:space="preserve">, la resolución recaída al recurso de revisión </w:t>
      </w:r>
      <w:r w:rsidRPr="00624ACF">
        <w:rPr>
          <w:rFonts w:ascii="Palatino Linotype" w:hAnsi="Palatino Linotype"/>
          <w:b/>
          <w:bCs/>
          <w:lang w:val="es-ES"/>
        </w:rPr>
        <w:t>06268/INFOEM/IP/RR/2021</w:t>
      </w:r>
      <w:r w:rsidRPr="00624ACF">
        <w:rPr>
          <w:rFonts w:ascii="Palatino Linotype" w:hAnsi="Palatino Linotype"/>
          <w:lang w:val="es-ES"/>
        </w:rPr>
        <w:t xml:space="preserve">, determinó ordenar a la Unidad de Asuntos Internos la emisión de un adecuado Acuerdo de Clasificación en el que, con base en las consideraciones vertidas en el estudio de la propia resolución, se reserven los párrafos de las Actas del Consejo Directivo que traten temas relativos a acciones o </w:t>
      </w:r>
      <w:r w:rsidRPr="00624ACF">
        <w:rPr>
          <w:rFonts w:ascii="Palatino Linotype" w:hAnsi="Palatino Linotype"/>
          <w:lang w:val="es-ES"/>
        </w:rPr>
        <w:lastRenderedPageBreak/>
        <w:t>estrategias de investigación para fincar responsabilidades administrativas a los servidores públicos adscritos a la Secretaría de Seguridad.</w:t>
      </w:r>
    </w:p>
    <w:p w14:paraId="690E0985"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756D8E6E" w14:textId="2E4991AC" w:rsidR="00AB3C2E" w:rsidRPr="00624ACF" w:rsidRDefault="00B63694"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No obstante, de las constancias que obran en el expediente digital formado en el SAIMEX, se advierte que el </w:t>
      </w:r>
      <w:r w:rsidRPr="00624ACF">
        <w:rPr>
          <w:rFonts w:ascii="Palatino Linotype" w:hAnsi="Palatino Linotype"/>
          <w:b/>
          <w:bCs/>
          <w:lang w:val="es-ES"/>
        </w:rPr>
        <w:t>SUJETO OBLIGADO</w:t>
      </w:r>
      <w:r w:rsidRPr="00624ACF">
        <w:rPr>
          <w:rFonts w:ascii="Palatino Linotype" w:hAnsi="Palatino Linotype"/>
          <w:lang w:val="es-ES"/>
        </w:rPr>
        <w:t xml:space="preserve"> no dio cumplimiento a la resolución de mérito en tiempo y forma, tan es así que inmediatamente después de la notificación de la resolución, aparece la notificación del Acuerdo de Incumplimiento emitido por la Dirección de Cumplimientos de este Organismo Garante. Se adjunta captura del expediente digital como referencia:</w:t>
      </w:r>
    </w:p>
    <w:p w14:paraId="662CC87B" w14:textId="57663EF0"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088953A9" w14:textId="689F17D0" w:rsidR="00B63694" w:rsidRPr="00624ACF" w:rsidRDefault="00624ACF" w:rsidP="00B63694">
      <w:pPr>
        <w:pStyle w:val="Prrafodelista"/>
        <w:tabs>
          <w:tab w:val="left" w:pos="426"/>
        </w:tabs>
        <w:spacing w:line="360" w:lineRule="auto"/>
        <w:ind w:left="0" w:right="51"/>
        <w:jc w:val="center"/>
        <w:rPr>
          <w:rFonts w:ascii="Palatino Linotype" w:hAnsi="Palatino Linotype"/>
          <w:color w:val="000000" w:themeColor="text1"/>
        </w:rPr>
      </w:pPr>
      <w:r w:rsidRPr="00624ACF">
        <w:rPr>
          <w:noProof/>
          <w:lang w:eastAsia="es-MX"/>
        </w:rPr>
        <w:drawing>
          <wp:inline distT="0" distB="0" distL="0" distR="0" wp14:anchorId="3A616A84" wp14:editId="65B27C38">
            <wp:extent cx="4465411" cy="3409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98" t="31697" r="31263" b="17589"/>
                    <a:stretch/>
                  </pic:blipFill>
                  <pic:spPr bwMode="auto">
                    <a:xfrm>
                      <a:off x="0" y="0"/>
                      <a:ext cx="4475258" cy="3417470"/>
                    </a:xfrm>
                    <a:prstGeom prst="rect">
                      <a:avLst/>
                    </a:prstGeom>
                    <a:ln>
                      <a:noFill/>
                    </a:ln>
                    <a:extLst>
                      <a:ext uri="{53640926-AAD7-44D8-BBD7-CCE9431645EC}">
                        <a14:shadowObscured xmlns:a14="http://schemas.microsoft.com/office/drawing/2010/main"/>
                      </a:ext>
                    </a:extLst>
                  </pic:spPr>
                </pic:pic>
              </a:graphicData>
            </a:graphic>
          </wp:inline>
        </w:drawing>
      </w:r>
    </w:p>
    <w:p w14:paraId="1DC26F4B" w14:textId="77777777" w:rsidR="00B63694" w:rsidRPr="00624ACF" w:rsidRDefault="00B63694" w:rsidP="00AB3C2E">
      <w:pPr>
        <w:pStyle w:val="Prrafodelista"/>
        <w:tabs>
          <w:tab w:val="left" w:pos="426"/>
        </w:tabs>
        <w:spacing w:line="360" w:lineRule="auto"/>
        <w:ind w:left="0" w:right="51"/>
        <w:jc w:val="both"/>
        <w:rPr>
          <w:rFonts w:ascii="Palatino Linotype" w:hAnsi="Palatino Linotype"/>
          <w:color w:val="000000" w:themeColor="text1"/>
        </w:rPr>
      </w:pPr>
    </w:p>
    <w:p w14:paraId="08F238DD" w14:textId="4C188913" w:rsidR="00AB3C2E" w:rsidRPr="00624ACF" w:rsidRDefault="00C37B84"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Consecuencia de la omisión en el cumplimiento de la primera resolución dictada por este Instituto, el </w:t>
      </w:r>
      <w:r w:rsidRPr="00624ACF">
        <w:rPr>
          <w:rFonts w:ascii="Palatino Linotype" w:hAnsi="Palatino Linotype"/>
          <w:b/>
          <w:bCs/>
          <w:lang w:val="es-ES"/>
        </w:rPr>
        <w:t>RECURRENTE</w:t>
      </w:r>
      <w:r w:rsidRPr="00624ACF">
        <w:rPr>
          <w:rFonts w:ascii="Palatino Linotype" w:hAnsi="Palatino Linotype"/>
          <w:lang w:val="es-ES"/>
        </w:rPr>
        <w:t xml:space="preserve"> promovió el recurso de revisión </w:t>
      </w:r>
      <w:r w:rsidRPr="00624ACF">
        <w:rPr>
          <w:rFonts w:ascii="Palatino Linotype" w:hAnsi="Palatino Linotype"/>
          <w:b/>
          <w:bCs/>
          <w:lang w:val="es-ES"/>
        </w:rPr>
        <w:lastRenderedPageBreak/>
        <w:t>06268/INFOEM/ICR-31/IP/RR/2021</w:t>
      </w:r>
      <w:r w:rsidRPr="00624ACF">
        <w:rPr>
          <w:rFonts w:ascii="Palatino Linotype" w:hAnsi="Palatino Linotype"/>
          <w:lang w:val="es-ES"/>
        </w:rPr>
        <w:t>, contra la Unidad de Asuntos Internos, en el que señaló por agravios, esencialmente lo siguiente:</w:t>
      </w:r>
    </w:p>
    <w:p w14:paraId="6CD27464" w14:textId="56C8B02B" w:rsidR="00C37B84" w:rsidRPr="00624ACF" w:rsidRDefault="00C37B84" w:rsidP="00C37B84">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624ACF">
        <w:rPr>
          <w:rFonts w:ascii="Palatino Linotype" w:hAnsi="Palatino Linotype"/>
          <w:lang w:val="es-ES"/>
        </w:rPr>
        <w:t xml:space="preserve">La falta de cumplimiento a la resolución recaída al recurso de revisión </w:t>
      </w:r>
      <w:r w:rsidRPr="00624ACF">
        <w:rPr>
          <w:rFonts w:ascii="Palatino Linotype" w:hAnsi="Palatino Linotype"/>
          <w:b/>
          <w:bCs/>
          <w:lang w:val="es-ES"/>
        </w:rPr>
        <w:t>06268/INFOEM/IP/RR/2021.</w:t>
      </w:r>
    </w:p>
    <w:p w14:paraId="6C1B55E8" w14:textId="4D045B74" w:rsidR="00C37B84" w:rsidRPr="00624ACF" w:rsidRDefault="00C37B84" w:rsidP="00C37B84">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624ACF">
        <w:rPr>
          <w:rFonts w:ascii="Palatino Linotype" w:hAnsi="Palatino Linotype"/>
          <w:lang w:val="es-ES"/>
        </w:rPr>
        <w:t xml:space="preserve">Se den vistas a las autoridades administrativas y penales competentes derivado de la omisión en el cumplimiento de la resolución recaída al recurso de revisión </w:t>
      </w:r>
      <w:r w:rsidRPr="00624ACF">
        <w:rPr>
          <w:rFonts w:ascii="Palatino Linotype" w:hAnsi="Palatino Linotype"/>
          <w:b/>
          <w:bCs/>
          <w:lang w:val="es-ES"/>
        </w:rPr>
        <w:t>06268/INFOEM/IP/RR/2021.</w:t>
      </w:r>
    </w:p>
    <w:p w14:paraId="1FA800AF"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395A1040" w14:textId="6D342E1E" w:rsidR="00AB3C2E" w:rsidRPr="00624ACF" w:rsidRDefault="00C37B84"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Por su parte, una vez admitido el segundo recurso de revisión con número al rubro citado, el </w:t>
      </w:r>
      <w:r w:rsidRPr="00624ACF">
        <w:rPr>
          <w:rFonts w:ascii="Palatino Linotype" w:hAnsi="Palatino Linotype"/>
          <w:b/>
          <w:bCs/>
          <w:lang w:val="es-ES"/>
        </w:rPr>
        <w:t>SUJETO OBLIGADO</w:t>
      </w:r>
      <w:r w:rsidRPr="00624ACF">
        <w:rPr>
          <w:rFonts w:ascii="Palatino Linotype" w:hAnsi="Palatino Linotype"/>
          <w:lang w:val="es-ES"/>
        </w:rPr>
        <w:t xml:space="preserve"> presentó, dentro del apartado de </w:t>
      </w:r>
      <w:r w:rsidRPr="00624ACF">
        <w:rPr>
          <w:rFonts w:ascii="Palatino Linotype" w:hAnsi="Palatino Linotype"/>
          <w:i/>
          <w:iCs/>
          <w:lang w:val="es-ES"/>
        </w:rPr>
        <w:t>Manifestaciones</w:t>
      </w:r>
      <w:r w:rsidRPr="00624ACF">
        <w:rPr>
          <w:rFonts w:ascii="Palatino Linotype" w:hAnsi="Palatino Linotype"/>
          <w:lang w:val="es-ES"/>
        </w:rPr>
        <w:t xml:space="preserve"> del SAIMEX, el archivo denominado </w:t>
      </w:r>
      <w:r w:rsidRPr="00624ACF">
        <w:rPr>
          <w:rFonts w:ascii="Palatino Linotype" w:hAnsi="Palatino Linotype"/>
          <w:b/>
          <w:bCs/>
          <w:i/>
          <w:iCs/>
          <w:lang w:val="es-ES"/>
        </w:rPr>
        <w:t>“INFORME JUSTIFICADO CON ANEXOS.pdf”</w:t>
      </w:r>
      <w:r w:rsidRPr="00624ACF">
        <w:rPr>
          <w:rFonts w:ascii="Palatino Linotype" w:hAnsi="Palatino Linotype"/>
          <w:lang w:val="es-ES"/>
        </w:rPr>
        <w:t>, dentro del cual presenta su respectivo informe justificado, y en el que vierte las siguientes manifestaciones:</w:t>
      </w:r>
    </w:p>
    <w:p w14:paraId="24A1A25E" w14:textId="05DA1543"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20F83DF9" w14:textId="14AA454B" w:rsidR="00E35979" w:rsidRPr="00624ACF" w:rsidRDefault="00C37B84" w:rsidP="00E35979">
      <w:pPr>
        <w:pStyle w:val="Prrafodelista"/>
        <w:tabs>
          <w:tab w:val="left" w:pos="426"/>
        </w:tabs>
        <w:spacing w:line="276" w:lineRule="auto"/>
        <w:ind w:left="567" w:right="567"/>
        <w:jc w:val="center"/>
        <w:rPr>
          <w:rFonts w:ascii="Palatino Linotype" w:hAnsi="Palatino Linotype"/>
          <w:b/>
          <w:bCs/>
          <w:i/>
          <w:iCs/>
          <w:color w:val="000000" w:themeColor="text1"/>
          <w:sz w:val="22"/>
          <w:szCs w:val="22"/>
        </w:rPr>
      </w:pPr>
      <w:r w:rsidRPr="00624ACF">
        <w:rPr>
          <w:rFonts w:ascii="Palatino Linotype" w:hAnsi="Palatino Linotype"/>
          <w:i/>
          <w:iCs/>
          <w:color w:val="000000" w:themeColor="text1"/>
          <w:sz w:val="22"/>
          <w:szCs w:val="22"/>
        </w:rPr>
        <w:t>“</w:t>
      </w:r>
      <w:r w:rsidR="00E35979" w:rsidRPr="00624ACF">
        <w:rPr>
          <w:rFonts w:ascii="Palatino Linotype" w:hAnsi="Palatino Linotype"/>
          <w:b/>
          <w:bCs/>
          <w:i/>
          <w:iCs/>
          <w:color w:val="000000" w:themeColor="text1"/>
          <w:sz w:val="22"/>
          <w:szCs w:val="22"/>
        </w:rPr>
        <w:t>INFORME JUSTIFICADO</w:t>
      </w:r>
    </w:p>
    <w:p w14:paraId="156DCB1A" w14:textId="77777777" w:rsidR="00E35979" w:rsidRPr="00624ACF" w:rsidRDefault="00E35979" w:rsidP="00C37B84">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p>
    <w:p w14:paraId="1A6E4F3C" w14:textId="6E6E382B" w:rsidR="00C37B84" w:rsidRPr="00624ACF" w:rsidRDefault="00C37B84" w:rsidP="00C37B84">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624ACF">
        <w:rPr>
          <w:rFonts w:ascii="Palatino Linotype" w:hAnsi="Palatino Linotype"/>
          <w:b/>
          <w:bCs/>
          <w:i/>
          <w:iCs/>
          <w:color w:val="000000" w:themeColor="text1"/>
          <w:sz w:val="22"/>
          <w:szCs w:val="22"/>
        </w:rPr>
        <w:t>I.</w:t>
      </w:r>
      <w:r w:rsidRPr="00624ACF">
        <w:rPr>
          <w:rFonts w:ascii="Palatino Linotype" w:hAnsi="Palatino Linotype"/>
          <w:i/>
          <w:iCs/>
          <w:color w:val="000000" w:themeColor="text1"/>
          <w:sz w:val="22"/>
          <w:szCs w:val="22"/>
        </w:rPr>
        <w:t xml:space="preserve"> Respecto del incumplimiento a lo ordenado en el Resolutivo Segundo a que se refiere la Resolución del Pleno que nos ocupa, es importante advertir que el SAIMEX conforme a lo dispuesto en las Guías de Uso del Sistema SAIMEX, particularmente en la Guía de Seguimiento de Recursos de Revisión establece el procedimiento para dar seguimiento a los mismos, señalándose que una vez que se ingresa al Sistema, se visualiza la pantalla con el menú principal conforme a lo siguiente:</w:t>
      </w:r>
    </w:p>
    <w:p w14:paraId="2A215823" w14:textId="508196F4" w:rsidR="00C37B84" w:rsidRPr="00624ACF" w:rsidRDefault="00C37B84" w:rsidP="00C37B84">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1688F093" w14:textId="039F68AD" w:rsidR="00E35979" w:rsidRPr="00624ACF" w:rsidRDefault="00E35979" w:rsidP="00E35979">
      <w:pPr>
        <w:pStyle w:val="Prrafodelista"/>
        <w:tabs>
          <w:tab w:val="left" w:pos="426"/>
        </w:tabs>
        <w:spacing w:line="276" w:lineRule="auto"/>
        <w:ind w:left="567" w:right="567"/>
        <w:jc w:val="center"/>
        <w:rPr>
          <w:rFonts w:ascii="Palatino Linotype" w:hAnsi="Palatino Linotype"/>
          <w:i/>
          <w:iCs/>
          <w:color w:val="000000" w:themeColor="text1"/>
          <w:sz w:val="22"/>
          <w:szCs w:val="22"/>
        </w:rPr>
      </w:pPr>
      <w:r w:rsidRPr="00624ACF">
        <w:rPr>
          <w:rFonts w:ascii="Palatino Linotype" w:hAnsi="Palatino Linotype"/>
          <w:i/>
          <w:iCs/>
          <w:noProof/>
          <w:color w:val="000000" w:themeColor="text1"/>
          <w:sz w:val="22"/>
          <w:szCs w:val="22"/>
          <w:lang w:eastAsia="es-MX"/>
        </w:rPr>
        <w:lastRenderedPageBreak/>
        <w:drawing>
          <wp:inline distT="0" distB="0" distL="0" distR="0" wp14:anchorId="157F58F8" wp14:editId="0E844501">
            <wp:extent cx="4331970" cy="2278720"/>
            <wp:effectExtent l="0" t="0" r="0" b="762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3"/>
                    <a:stretch>
                      <a:fillRect/>
                    </a:stretch>
                  </pic:blipFill>
                  <pic:spPr>
                    <a:xfrm>
                      <a:off x="0" y="0"/>
                      <a:ext cx="4353592" cy="2290094"/>
                    </a:xfrm>
                    <a:prstGeom prst="rect">
                      <a:avLst/>
                    </a:prstGeom>
                  </pic:spPr>
                </pic:pic>
              </a:graphicData>
            </a:graphic>
          </wp:inline>
        </w:drawing>
      </w:r>
    </w:p>
    <w:p w14:paraId="7B6F90A3" w14:textId="77777777" w:rsidR="00E35979" w:rsidRPr="00624ACF" w:rsidRDefault="00E35979" w:rsidP="00C37B84">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78C45C44" w14:textId="1E2C5E36" w:rsidR="00C37B84" w:rsidRPr="00624ACF" w:rsidRDefault="00E35979" w:rsidP="00C37B84">
      <w:pPr>
        <w:pStyle w:val="Prrafodelista"/>
        <w:tabs>
          <w:tab w:val="left" w:pos="426"/>
        </w:tabs>
        <w:spacing w:line="276" w:lineRule="auto"/>
        <w:ind w:left="567" w:right="567"/>
        <w:jc w:val="both"/>
        <w:rPr>
          <w:rFonts w:ascii="Palatino Linotype" w:hAnsi="Palatino Linotype"/>
          <w:color w:val="000000" w:themeColor="text1"/>
          <w:sz w:val="22"/>
          <w:szCs w:val="22"/>
        </w:rPr>
      </w:pPr>
      <w:r w:rsidRPr="00624ACF">
        <w:rPr>
          <w:rFonts w:ascii="Palatino Linotype" w:hAnsi="Palatino Linotype"/>
          <w:i/>
          <w:iCs/>
          <w:color w:val="000000" w:themeColor="text1"/>
          <w:sz w:val="22"/>
          <w:szCs w:val="22"/>
        </w:rPr>
        <w:t xml:space="preserve">En ese sentido, se advierte que el SAIMEX siempre había emitido una alerta cuando llegaba cualquier notificación respecto del seguimiento a los Recursos de Revisión interpuestos; sin embargo, respecto del Recurso 06268/INFOEM/IP/RR/2021 en la bandeja de entrada del citado Sistema no se advirtió en su momento ninguna alerta sobre la Resolución del Pleno ni del Acuerdo de Incumplimiento por lo que este Sujeto Obligado no advirtió la existencia de dichas notificaciones y en consecuencia no pudo dar cumplimiento en tiempo y forma a lo señalado en los citados documentos; sin que obrara dolo o mala fe por parte de este Sujeto Obligado para dar cumplimiento a lo ordenado por el Pleno del </w:t>
      </w:r>
      <w:proofErr w:type="spellStart"/>
      <w:r w:rsidRPr="00624ACF">
        <w:rPr>
          <w:rFonts w:ascii="Palatino Linotype" w:hAnsi="Palatino Linotype"/>
          <w:i/>
          <w:iCs/>
          <w:color w:val="000000" w:themeColor="text1"/>
          <w:sz w:val="22"/>
          <w:szCs w:val="22"/>
        </w:rPr>
        <w:t>Infoem</w:t>
      </w:r>
      <w:proofErr w:type="spellEnd"/>
      <w:r w:rsidRPr="00624ACF">
        <w:rPr>
          <w:rFonts w:ascii="Palatino Linotype" w:hAnsi="Palatino Linotype"/>
          <w:i/>
          <w:iCs/>
          <w:color w:val="000000" w:themeColor="text1"/>
          <w:sz w:val="22"/>
          <w:szCs w:val="22"/>
        </w:rPr>
        <w:t xml:space="preserve"> ya que como se puede confirmar tanto en la respuesta inicial a la solicitud de información que nos ocupa, así como en el Informe Justificado referido en el numeral 6, los mimos se entregaron en tiempo y forma; ello con la finalidad de dar cumplimiento al principio de máxima publicidad a que se refiere la Ley de Transparencia y Acceso a la Información Pública del Estado de México y Municipios.”</w:t>
      </w:r>
      <w:r w:rsidRPr="00624ACF">
        <w:rPr>
          <w:rFonts w:ascii="Palatino Linotype" w:hAnsi="Palatino Linotype"/>
          <w:color w:val="000000" w:themeColor="text1"/>
          <w:sz w:val="22"/>
          <w:szCs w:val="22"/>
        </w:rPr>
        <w:t xml:space="preserve"> (Sic)</w:t>
      </w:r>
    </w:p>
    <w:p w14:paraId="4C3642B7" w14:textId="77777777" w:rsidR="00C37B84" w:rsidRPr="00624ACF" w:rsidRDefault="00C37B84" w:rsidP="00AB3C2E">
      <w:pPr>
        <w:pStyle w:val="Prrafodelista"/>
        <w:tabs>
          <w:tab w:val="left" w:pos="426"/>
        </w:tabs>
        <w:spacing w:line="360" w:lineRule="auto"/>
        <w:ind w:left="0" w:right="51"/>
        <w:jc w:val="both"/>
        <w:rPr>
          <w:rFonts w:ascii="Palatino Linotype" w:hAnsi="Palatino Linotype"/>
          <w:color w:val="000000" w:themeColor="text1"/>
        </w:rPr>
      </w:pPr>
    </w:p>
    <w:p w14:paraId="4C47DB5E" w14:textId="5C77DA64" w:rsidR="00AB3C2E" w:rsidRPr="00624ACF" w:rsidRDefault="00E35979"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De lo anterior se colige que el </w:t>
      </w:r>
      <w:r w:rsidRPr="00624ACF">
        <w:rPr>
          <w:rFonts w:ascii="Palatino Linotype" w:hAnsi="Palatino Linotype"/>
          <w:b/>
          <w:bCs/>
          <w:lang w:val="es-ES"/>
        </w:rPr>
        <w:t>SUJETO OBLIGADO</w:t>
      </w:r>
      <w:r w:rsidRPr="00624ACF">
        <w:rPr>
          <w:rFonts w:ascii="Palatino Linotype" w:hAnsi="Palatino Linotype"/>
          <w:lang w:val="es-ES"/>
        </w:rPr>
        <w:t xml:space="preserve"> justificó su omisión en el cumplimiento de la resolución recaída al recurso de revisión </w:t>
      </w:r>
      <w:r w:rsidRPr="00624ACF">
        <w:rPr>
          <w:rFonts w:ascii="Palatino Linotype" w:hAnsi="Palatino Linotype"/>
          <w:b/>
          <w:bCs/>
          <w:lang w:val="es-ES"/>
        </w:rPr>
        <w:t xml:space="preserve"> 06268/INFOEM/IP/RR/2021</w:t>
      </w:r>
      <w:r w:rsidRPr="00624ACF">
        <w:rPr>
          <w:rFonts w:ascii="Palatino Linotype" w:hAnsi="Palatino Linotype"/>
          <w:lang w:val="es-ES"/>
        </w:rPr>
        <w:t xml:space="preserve"> derivado de que, a su dicho, el SAIMEX no había emitido una alerta automatizada</w:t>
      </w:r>
      <w:r w:rsidR="00A86968" w:rsidRPr="00624ACF">
        <w:rPr>
          <w:rFonts w:ascii="Palatino Linotype" w:hAnsi="Palatino Linotype"/>
          <w:lang w:val="es-ES"/>
        </w:rPr>
        <w:t xml:space="preserve"> que hace saber a los Titulares de las Unidades de Transparencia de los Sujetos Obligados cuando existen notificaciones y/o actuaciones novedosas en los expediente digitales que tengan en trámite.</w:t>
      </w:r>
    </w:p>
    <w:p w14:paraId="664E7F3B"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5BBB6C78" w14:textId="4C08ED85" w:rsidR="00AB3C2E" w:rsidRPr="00624ACF" w:rsidRDefault="00A86968"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Sin embargo, es necesario recordar al </w:t>
      </w:r>
      <w:r w:rsidRPr="00624ACF">
        <w:rPr>
          <w:rFonts w:ascii="Palatino Linotype" w:hAnsi="Palatino Linotype"/>
          <w:b/>
          <w:bCs/>
          <w:lang w:val="es-ES"/>
        </w:rPr>
        <w:t>SUJETO OBLIGADO</w:t>
      </w:r>
      <w:r w:rsidRPr="00624ACF">
        <w:rPr>
          <w:rFonts w:ascii="Palatino Linotype" w:hAnsi="Palatino Linotype"/>
          <w:lang w:val="es-ES"/>
        </w:rPr>
        <w:t xml:space="preserve"> que la automatización de notificaciones no exime de su obligación de mantener un control en tiempo real del </w:t>
      </w:r>
      <w:r w:rsidRPr="00624ACF">
        <w:rPr>
          <w:rFonts w:ascii="Palatino Linotype" w:hAnsi="Palatino Linotype"/>
          <w:i/>
          <w:iCs/>
          <w:lang w:val="es-ES"/>
        </w:rPr>
        <w:t>status</w:t>
      </w:r>
      <w:r w:rsidRPr="00624ACF">
        <w:rPr>
          <w:rFonts w:ascii="Palatino Linotype" w:hAnsi="Palatino Linotype"/>
          <w:lang w:val="es-ES"/>
        </w:rPr>
        <w:t xml:space="preserve"> que guardan todos y cada uno de los procedimientos de acceso a la información, sean solicitudes o recursos de revisión, presentados a la Unidad de Asuntos Internos. Por ello, se exhorta al </w:t>
      </w:r>
      <w:r w:rsidRPr="00624ACF">
        <w:rPr>
          <w:rFonts w:ascii="Palatino Linotype" w:hAnsi="Palatino Linotype"/>
          <w:b/>
          <w:bCs/>
          <w:lang w:val="es-ES"/>
        </w:rPr>
        <w:t>SUJETO OBLIGADO</w:t>
      </w:r>
      <w:r w:rsidRPr="00624ACF">
        <w:rPr>
          <w:rFonts w:ascii="Palatino Linotype" w:hAnsi="Palatino Linotype"/>
          <w:lang w:val="es-ES"/>
        </w:rPr>
        <w:t xml:space="preserve"> a procurar una revisión constante de los asuntos, a fin de evitar acreditar incumplimientos, los cuales, no eximen responsabilidad por la falta de una alerta automatizada en el SAIMEX.</w:t>
      </w:r>
    </w:p>
    <w:p w14:paraId="3535957D"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1748528D" w14:textId="4B3D7E24" w:rsidR="00AB3C2E" w:rsidRPr="00624ACF" w:rsidRDefault="00A86968"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No debe perderse de vista que la esencia del informe justificado se encuentra contenida en el archivo titulado </w:t>
      </w:r>
      <w:r w:rsidR="001E5FCF" w:rsidRPr="00624ACF">
        <w:rPr>
          <w:rFonts w:ascii="Palatino Linotype" w:hAnsi="Palatino Linotype"/>
          <w:b/>
          <w:bCs/>
          <w:i/>
          <w:iCs/>
          <w:lang w:val="es-ES"/>
        </w:rPr>
        <w:t>“ACTA SÉPTIMA SESIÓN EXTRAORDINARIA 2022 Y ANEXOS.pdf”</w:t>
      </w:r>
      <w:r w:rsidR="001E5FCF" w:rsidRPr="00624ACF">
        <w:rPr>
          <w:rFonts w:ascii="Palatino Linotype" w:hAnsi="Palatino Linotype"/>
          <w:lang w:val="es-ES"/>
        </w:rPr>
        <w:t xml:space="preserve">, que como fuera señalado en el apartado de </w:t>
      </w:r>
      <w:r w:rsidR="001E5FCF" w:rsidRPr="00624ACF">
        <w:rPr>
          <w:rFonts w:ascii="Palatino Linotype" w:hAnsi="Palatino Linotype"/>
          <w:i/>
          <w:iCs/>
          <w:lang w:val="es-ES"/>
        </w:rPr>
        <w:t>Antecedentes</w:t>
      </w:r>
      <w:r w:rsidR="001E5FCF" w:rsidRPr="00624ACF">
        <w:rPr>
          <w:rFonts w:ascii="Palatino Linotype" w:hAnsi="Palatino Linotype"/>
          <w:lang w:val="es-ES"/>
        </w:rPr>
        <w:t xml:space="preserve"> de la presente resolución, contiene el Acta de la Séptima Sesión Extraordinaria del Comité de Transparencia de la Unidad de Asuntos Internos, celebrada el veintisiete (27) de mayo de dos mil veintidós; así como el Acta UAI-CT-EXT-07-2022, consistente en el Proyecto de Clasificación de la información requerida en la solicitud </w:t>
      </w:r>
      <w:r w:rsidR="001E5FCF" w:rsidRPr="00624ACF">
        <w:rPr>
          <w:rFonts w:ascii="Palatino Linotype" w:hAnsi="Palatino Linotype"/>
          <w:b/>
          <w:bCs/>
          <w:lang w:val="es-ES"/>
        </w:rPr>
        <w:t>00041/UAI/IP/2021</w:t>
      </w:r>
      <w:r w:rsidR="001E5FCF" w:rsidRPr="00624ACF">
        <w:rPr>
          <w:rFonts w:ascii="Palatino Linotype" w:hAnsi="Palatino Linotype"/>
          <w:lang w:val="es-ES"/>
        </w:rPr>
        <w:t>.</w:t>
      </w:r>
    </w:p>
    <w:p w14:paraId="233FAF46"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2B67F40A" w14:textId="3A4E9283" w:rsidR="00AB3C2E" w:rsidRPr="00624ACF" w:rsidRDefault="001E5FCF"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Por lo que resulta necesario analizar dicho acuerdos a la luz de lo establecido en la resolución recaída al recurso de revisión </w:t>
      </w:r>
      <w:r w:rsidRPr="00624ACF">
        <w:rPr>
          <w:rFonts w:ascii="Palatino Linotype" w:hAnsi="Palatino Linotype"/>
          <w:b/>
          <w:bCs/>
          <w:lang w:val="es-ES"/>
        </w:rPr>
        <w:t>06268/INFOEM/IP/RR/</w:t>
      </w:r>
      <w:r w:rsidR="00BF3FA6" w:rsidRPr="00624ACF">
        <w:rPr>
          <w:rFonts w:ascii="Palatino Linotype" w:hAnsi="Palatino Linotype"/>
          <w:b/>
          <w:bCs/>
          <w:lang w:val="es-ES"/>
        </w:rPr>
        <w:t>2021</w:t>
      </w:r>
      <w:r w:rsidRPr="00624ACF">
        <w:rPr>
          <w:rFonts w:ascii="Palatino Linotype" w:hAnsi="Palatino Linotype"/>
          <w:lang w:val="es-ES"/>
        </w:rPr>
        <w:t xml:space="preserve">, y cuyo núcleo de estudio fuera transcrito en párrafos previos, a fin de determinar si con los documentos de mérito, el </w:t>
      </w:r>
      <w:r w:rsidRPr="00624ACF">
        <w:rPr>
          <w:rFonts w:ascii="Palatino Linotype" w:hAnsi="Palatino Linotype"/>
          <w:b/>
          <w:bCs/>
          <w:lang w:val="es-ES"/>
        </w:rPr>
        <w:t>SUJETO OBLIGADO</w:t>
      </w:r>
      <w:r w:rsidRPr="00624ACF">
        <w:rPr>
          <w:rFonts w:ascii="Palatino Linotype" w:hAnsi="Palatino Linotype"/>
          <w:lang w:val="es-ES"/>
        </w:rPr>
        <w:t xml:space="preserve"> finalmente logró cumplir con la resolución original, y en consecuencia, colmó el derecho de acceso a la información ejercido por el particular a través de la solicitud </w:t>
      </w:r>
      <w:r w:rsidRPr="00624ACF">
        <w:rPr>
          <w:rFonts w:ascii="Palatino Linotype" w:hAnsi="Palatino Linotype"/>
          <w:b/>
          <w:bCs/>
          <w:lang w:val="es-ES"/>
        </w:rPr>
        <w:t>00041/UAI/IP/2022</w:t>
      </w:r>
      <w:r w:rsidRPr="00624ACF">
        <w:rPr>
          <w:rFonts w:ascii="Palatino Linotype" w:hAnsi="Palatino Linotype"/>
          <w:lang w:val="es-ES"/>
        </w:rPr>
        <w:t>.</w:t>
      </w:r>
    </w:p>
    <w:p w14:paraId="28D50B97"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193797C5" w14:textId="667313C4" w:rsidR="00AB3C2E" w:rsidRPr="00624ACF" w:rsidRDefault="001E5FCF"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A fin de conseguir un análisis fehaciente del cumplimiento de las </w:t>
      </w:r>
      <w:r w:rsidRPr="00624ACF">
        <w:rPr>
          <w:rFonts w:ascii="Palatino Linotype" w:hAnsi="Palatino Linotype" w:cs="Arial"/>
        </w:rPr>
        <w:t>formalidades exigidas por la Ley General de Transparencia y Acceso a la Información Pública, los Lineamientos Generales en Materia de Clasificación y Desclasificación de la Información, así como para la Elaboración de Versiones Públicas, así como la Ley de Transparencia y Acceso a la Información Pública del Estado de México y Municipios, se considera idóneo elaborar la siguiente tabla informativa:</w:t>
      </w:r>
    </w:p>
    <w:p w14:paraId="445E2372" w14:textId="67CA3A44"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tbl>
      <w:tblPr>
        <w:tblStyle w:val="Tablaconcuadrcula"/>
        <w:tblW w:w="9072" w:type="dxa"/>
        <w:tblLayout w:type="fixed"/>
        <w:tblLook w:val="04A0" w:firstRow="1" w:lastRow="0" w:firstColumn="1" w:lastColumn="0" w:noHBand="0" w:noVBand="1"/>
      </w:tblPr>
      <w:tblGrid>
        <w:gridCol w:w="1560"/>
        <w:gridCol w:w="1417"/>
        <w:gridCol w:w="6095"/>
      </w:tblGrid>
      <w:tr w:rsidR="001E5FCF" w:rsidRPr="00624ACF" w14:paraId="3A9BF775" w14:textId="77777777" w:rsidTr="0086202E">
        <w:tc>
          <w:tcPr>
            <w:tcW w:w="1560" w:type="dxa"/>
            <w:tcBorders>
              <w:top w:val="nil"/>
              <w:left w:val="nil"/>
            </w:tcBorders>
          </w:tcPr>
          <w:p w14:paraId="4ED9E443" w14:textId="77777777" w:rsidR="001E5FCF" w:rsidRPr="00624ACF" w:rsidRDefault="001E5FCF" w:rsidP="0086202E">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1816AFA4" w14:textId="77777777" w:rsidR="001E5FCF" w:rsidRPr="00624ACF" w:rsidRDefault="001E5FCF" w:rsidP="0086202E">
            <w:pPr>
              <w:pStyle w:val="Prrafodelista"/>
              <w:spacing w:after="120"/>
              <w:ind w:left="47"/>
              <w:jc w:val="center"/>
              <w:rPr>
                <w:rFonts w:ascii="Palatino Linotype" w:hAnsi="Palatino Linotype"/>
                <w:b/>
                <w:sz w:val="20"/>
                <w:szCs w:val="20"/>
              </w:rPr>
            </w:pPr>
            <w:r w:rsidRPr="00624ACF">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395CDD20" w14:textId="77777777" w:rsidR="001E5FCF" w:rsidRPr="00624ACF" w:rsidRDefault="001E5FCF" w:rsidP="0086202E">
            <w:pPr>
              <w:pStyle w:val="Prrafodelista"/>
              <w:spacing w:after="120"/>
              <w:ind w:left="47"/>
              <w:jc w:val="center"/>
              <w:rPr>
                <w:rFonts w:ascii="Palatino Linotype" w:hAnsi="Palatino Linotype"/>
                <w:b/>
              </w:rPr>
            </w:pPr>
            <w:r w:rsidRPr="00624ACF">
              <w:rPr>
                <w:rFonts w:ascii="Palatino Linotype" w:hAnsi="Palatino Linotype"/>
                <w:b/>
              </w:rPr>
              <w:t>Contenido</w:t>
            </w:r>
          </w:p>
        </w:tc>
      </w:tr>
      <w:tr w:rsidR="001E5FCF" w:rsidRPr="00624ACF" w14:paraId="5EA87A05" w14:textId="77777777" w:rsidTr="0086202E">
        <w:tc>
          <w:tcPr>
            <w:tcW w:w="1560" w:type="dxa"/>
            <w:vAlign w:val="center"/>
          </w:tcPr>
          <w:p w14:paraId="0C710D63" w14:textId="77777777" w:rsidR="001E5FCF" w:rsidRPr="00624ACF" w:rsidRDefault="001E5FCF" w:rsidP="0086202E">
            <w:pPr>
              <w:spacing w:after="120"/>
              <w:jc w:val="center"/>
              <w:rPr>
                <w:rFonts w:ascii="Palatino Linotype" w:hAnsi="Palatino Linotype"/>
                <w:b/>
                <w:sz w:val="16"/>
                <w:szCs w:val="16"/>
              </w:rPr>
            </w:pPr>
            <w:r w:rsidRPr="00624ACF">
              <w:rPr>
                <w:rFonts w:ascii="Palatino Linotype" w:hAnsi="Palatino Linotype"/>
                <w:b/>
                <w:sz w:val="16"/>
                <w:szCs w:val="16"/>
              </w:rPr>
              <w:t>Número de folio de la solicitud</w:t>
            </w:r>
          </w:p>
        </w:tc>
        <w:tc>
          <w:tcPr>
            <w:tcW w:w="1417" w:type="dxa"/>
            <w:tcBorders>
              <w:top w:val="single" w:sz="4" w:space="0" w:color="auto"/>
            </w:tcBorders>
            <w:vAlign w:val="center"/>
          </w:tcPr>
          <w:p w14:paraId="681B462F" w14:textId="77777777" w:rsidR="001E5FCF" w:rsidRPr="00624ACF" w:rsidRDefault="001E5FCF" w:rsidP="0086202E">
            <w:pPr>
              <w:spacing w:after="120"/>
              <w:ind w:left="47"/>
              <w:jc w:val="center"/>
              <w:rPr>
                <w:rFonts w:ascii="Palatino Linotype" w:hAnsi="Palatino Linotype"/>
                <w:b/>
              </w:rPr>
            </w:pPr>
            <w:r w:rsidRPr="00624ACF">
              <w:rPr>
                <w:rFonts w:ascii="Palatino Linotype" w:hAnsi="Palatino Linotype"/>
                <w:b/>
              </w:rPr>
              <w:t>Sí</w:t>
            </w:r>
          </w:p>
        </w:tc>
        <w:tc>
          <w:tcPr>
            <w:tcW w:w="6095" w:type="dxa"/>
            <w:tcBorders>
              <w:top w:val="single" w:sz="4" w:space="0" w:color="auto"/>
            </w:tcBorders>
            <w:vAlign w:val="center"/>
          </w:tcPr>
          <w:p w14:paraId="79607441" w14:textId="77777777" w:rsidR="001E5FCF" w:rsidRPr="00624ACF" w:rsidRDefault="001E5FCF" w:rsidP="0086202E">
            <w:pPr>
              <w:spacing w:after="120"/>
              <w:ind w:left="-115"/>
              <w:jc w:val="center"/>
              <w:rPr>
                <w:rFonts w:ascii="Palatino Linotype" w:hAnsi="Palatino Linotype"/>
                <w:sz w:val="2"/>
              </w:rPr>
            </w:pPr>
          </w:p>
          <w:p w14:paraId="0458D322" w14:textId="213E2525" w:rsidR="001E5FCF" w:rsidRPr="00624ACF" w:rsidRDefault="00E537DE" w:rsidP="0086202E">
            <w:pPr>
              <w:spacing w:after="120"/>
              <w:ind w:left="-115"/>
              <w:jc w:val="center"/>
              <w:rPr>
                <w:rFonts w:ascii="Palatino Linotype" w:hAnsi="Palatino Linotype"/>
              </w:rPr>
            </w:pPr>
            <w:r w:rsidRPr="00624ACF">
              <w:rPr>
                <w:rFonts w:ascii="Palatino Linotype" w:hAnsi="Palatino Linotype"/>
                <w:b/>
                <w:noProof/>
                <w:lang w:eastAsia="es-MX"/>
              </w:rPr>
              <w:drawing>
                <wp:inline distT="0" distB="0" distL="0" distR="0" wp14:anchorId="6823C7E4" wp14:editId="3FB872A9">
                  <wp:extent cx="3733165" cy="1690370"/>
                  <wp:effectExtent l="0" t="0" r="63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1690370"/>
                          </a:xfrm>
                          <a:prstGeom prst="rect">
                            <a:avLst/>
                          </a:prstGeom>
                        </pic:spPr>
                      </pic:pic>
                    </a:graphicData>
                  </a:graphic>
                </wp:inline>
              </w:drawing>
            </w:r>
          </w:p>
        </w:tc>
      </w:tr>
      <w:tr w:rsidR="001E5FCF" w:rsidRPr="00624ACF" w14:paraId="4EDE2B96" w14:textId="77777777" w:rsidTr="0086202E">
        <w:tc>
          <w:tcPr>
            <w:tcW w:w="1560" w:type="dxa"/>
            <w:vAlign w:val="center"/>
          </w:tcPr>
          <w:p w14:paraId="005DF447" w14:textId="77777777" w:rsidR="001E5FCF" w:rsidRPr="00624ACF" w:rsidRDefault="001E5FCF" w:rsidP="0086202E">
            <w:pPr>
              <w:spacing w:after="120"/>
              <w:jc w:val="center"/>
              <w:rPr>
                <w:rFonts w:ascii="Palatino Linotype" w:hAnsi="Palatino Linotype"/>
                <w:b/>
                <w:sz w:val="16"/>
                <w:szCs w:val="16"/>
              </w:rPr>
            </w:pPr>
            <w:r w:rsidRPr="00624ACF">
              <w:rPr>
                <w:rFonts w:ascii="Palatino Linotype" w:hAnsi="Palatino Linotype"/>
                <w:b/>
                <w:sz w:val="16"/>
                <w:szCs w:val="16"/>
              </w:rPr>
              <w:t>Referencia de la información solicitada</w:t>
            </w:r>
          </w:p>
        </w:tc>
        <w:tc>
          <w:tcPr>
            <w:tcW w:w="1417" w:type="dxa"/>
            <w:vAlign w:val="center"/>
          </w:tcPr>
          <w:p w14:paraId="2F70EED5" w14:textId="77777777" w:rsidR="001E5FCF" w:rsidRPr="00624ACF" w:rsidRDefault="001E5FCF" w:rsidP="0086202E">
            <w:pPr>
              <w:spacing w:after="120"/>
              <w:ind w:left="47"/>
              <w:jc w:val="center"/>
              <w:rPr>
                <w:rFonts w:ascii="Palatino Linotype" w:hAnsi="Palatino Linotype"/>
                <w:b/>
              </w:rPr>
            </w:pPr>
            <w:r w:rsidRPr="00624ACF">
              <w:rPr>
                <w:rFonts w:ascii="Palatino Linotype" w:hAnsi="Palatino Linotype"/>
                <w:b/>
              </w:rPr>
              <w:t>Sí</w:t>
            </w:r>
          </w:p>
        </w:tc>
        <w:tc>
          <w:tcPr>
            <w:tcW w:w="6095" w:type="dxa"/>
            <w:vAlign w:val="center"/>
          </w:tcPr>
          <w:p w14:paraId="1A872D36" w14:textId="1B1B31BC" w:rsidR="001E5FCF" w:rsidRPr="00624ACF" w:rsidRDefault="00E537DE" w:rsidP="0086202E">
            <w:pPr>
              <w:spacing w:after="120"/>
              <w:jc w:val="center"/>
              <w:rPr>
                <w:rFonts w:ascii="Palatino Linotype" w:hAnsi="Palatino Linotype"/>
                <w:b/>
              </w:rPr>
            </w:pPr>
            <w:r w:rsidRPr="00624ACF">
              <w:rPr>
                <w:rFonts w:ascii="Palatino Linotype" w:hAnsi="Palatino Linotype"/>
                <w:b/>
                <w:noProof/>
                <w:lang w:eastAsia="es-MX"/>
              </w:rPr>
              <w:drawing>
                <wp:inline distT="0" distB="0" distL="0" distR="0" wp14:anchorId="7D4FC366" wp14:editId="7808128B">
                  <wp:extent cx="3733165" cy="1614170"/>
                  <wp:effectExtent l="0" t="0" r="63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1614170"/>
                          </a:xfrm>
                          <a:prstGeom prst="rect">
                            <a:avLst/>
                          </a:prstGeom>
                        </pic:spPr>
                      </pic:pic>
                    </a:graphicData>
                  </a:graphic>
                </wp:inline>
              </w:drawing>
            </w:r>
          </w:p>
        </w:tc>
      </w:tr>
      <w:tr w:rsidR="001E5FCF" w:rsidRPr="00624ACF" w14:paraId="4A098F31" w14:textId="77777777" w:rsidTr="0086202E">
        <w:tc>
          <w:tcPr>
            <w:tcW w:w="1560" w:type="dxa"/>
            <w:vAlign w:val="center"/>
          </w:tcPr>
          <w:p w14:paraId="3C3AF175" w14:textId="77777777" w:rsidR="001E5FCF" w:rsidRPr="00624ACF" w:rsidRDefault="001E5FCF" w:rsidP="0086202E">
            <w:pPr>
              <w:spacing w:after="120"/>
              <w:jc w:val="center"/>
              <w:rPr>
                <w:rFonts w:ascii="Palatino Linotype" w:hAnsi="Palatino Linotype"/>
                <w:b/>
                <w:sz w:val="16"/>
                <w:szCs w:val="16"/>
              </w:rPr>
            </w:pPr>
            <w:r w:rsidRPr="00624ACF">
              <w:rPr>
                <w:rFonts w:ascii="Palatino Linotype" w:hAnsi="Palatino Linotype"/>
                <w:b/>
                <w:sz w:val="16"/>
                <w:szCs w:val="16"/>
              </w:rPr>
              <w:t xml:space="preserve">Causal aplicable del artículo 113 de la Ley General, vinculándola con el Lineamiento específico del presente ordenamiento y, cuando corresponda, el </w:t>
            </w:r>
            <w:r w:rsidRPr="00624ACF">
              <w:rPr>
                <w:rFonts w:ascii="Palatino Linotype" w:hAnsi="Palatino Linotype"/>
                <w:b/>
                <w:sz w:val="16"/>
                <w:szCs w:val="16"/>
              </w:rPr>
              <w:lastRenderedPageBreak/>
              <w:t>supuesto normativo que expresamente le otorga el carácter de información reservada</w:t>
            </w:r>
          </w:p>
        </w:tc>
        <w:tc>
          <w:tcPr>
            <w:tcW w:w="1417" w:type="dxa"/>
            <w:vAlign w:val="center"/>
          </w:tcPr>
          <w:p w14:paraId="3C4DF8C9" w14:textId="77777777" w:rsidR="001E5FCF" w:rsidRPr="00624ACF" w:rsidRDefault="001E5FCF" w:rsidP="0086202E">
            <w:pPr>
              <w:spacing w:after="120"/>
              <w:ind w:left="47"/>
              <w:jc w:val="center"/>
              <w:rPr>
                <w:rFonts w:ascii="Palatino Linotype" w:hAnsi="Palatino Linotype"/>
                <w:b/>
              </w:rPr>
            </w:pPr>
            <w:r w:rsidRPr="00624ACF">
              <w:rPr>
                <w:rFonts w:ascii="Palatino Linotype" w:hAnsi="Palatino Linotype"/>
                <w:b/>
              </w:rPr>
              <w:lastRenderedPageBreak/>
              <w:t>Sí</w:t>
            </w:r>
          </w:p>
        </w:tc>
        <w:tc>
          <w:tcPr>
            <w:tcW w:w="6095" w:type="dxa"/>
            <w:vAlign w:val="center"/>
          </w:tcPr>
          <w:p w14:paraId="1743100D" w14:textId="77777777" w:rsidR="001E5FCF" w:rsidRPr="00624ACF" w:rsidRDefault="00E537DE" w:rsidP="0086202E">
            <w:pPr>
              <w:spacing w:after="120"/>
              <w:jc w:val="center"/>
              <w:rPr>
                <w:rFonts w:ascii="Palatino Linotype" w:hAnsi="Palatino Linotype"/>
                <w:b/>
                <w:noProof/>
                <w:lang w:eastAsia="es-MX"/>
              </w:rPr>
            </w:pPr>
            <w:r w:rsidRPr="00624ACF">
              <w:rPr>
                <w:rFonts w:ascii="Palatino Linotype" w:hAnsi="Palatino Linotype"/>
                <w:b/>
                <w:noProof/>
                <w:lang w:eastAsia="es-MX"/>
              </w:rPr>
              <w:drawing>
                <wp:inline distT="0" distB="0" distL="0" distR="0" wp14:anchorId="6C652E4D" wp14:editId="00AE43A0">
                  <wp:extent cx="3733165" cy="982980"/>
                  <wp:effectExtent l="0" t="0" r="63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982980"/>
                          </a:xfrm>
                          <a:prstGeom prst="rect">
                            <a:avLst/>
                          </a:prstGeom>
                        </pic:spPr>
                      </pic:pic>
                    </a:graphicData>
                  </a:graphic>
                </wp:inline>
              </w:drawing>
            </w:r>
          </w:p>
          <w:p w14:paraId="45235EC9" w14:textId="6BDA6EEC" w:rsidR="00E537DE" w:rsidRPr="00624ACF" w:rsidRDefault="00E537DE" w:rsidP="0086202E">
            <w:pPr>
              <w:spacing w:after="120"/>
              <w:jc w:val="center"/>
              <w:rPr>
                <w:rFonts w:ascii="Palatino Linotype" w:hAnsi="Palatino Linotype"/>
                <w:b/>
                <w:noProof/>
                <w:lang w:eastAsia="es-MX"/>
              </w:rPr>
            </w:pPr>
            <w:r w:rsidRPr="00624ACF">
              <w:rPr>
                <w:rFonts w:ascii="Palatino Linotype" w:hAnsi="Palatino Linotype"/>
                <w:b/>
                <w:noProof/>
                <w:lang w:eastAsia="es-MX"/>
              </w:rPr>
              <w:lastRenderedPageBreak/>
              <w:drawing>
                <wp:inline distT="0" distB="0" distL="0" distR="0" wp14:anchorId="35DE4374" wp14:editId="2ACE8C63">
                  <wp:extent cx="3733165" cy="34671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346710"/>
                          </a:xfrm>
                          <a:prstGeom prst="rect">
                            <a:avLst/>
                          </a:prstGeom>
                        </pic:spPr>
                      </pic:pic>
                    </a:graphicData>
                  </a:graphic>
                </wp:inline>
              </w:drawing>
            </w:r>
          </w:p>
          <w:p w14:paraId="164E0459" w14:textId="5B436FC2" w:rsidR="00E537DE" w:rsidRPr="00624ACF" w:rsidRDefault="00E537DE" w:rsidP="0086202E">
            <w:pPr>
              <w:spacing w:after="120"/>
              <w:jc w:val="center"/>
              <w:rPr>
                <w:rFonts w:ascii="Palatino Linotype" w:hAnsi="Palatino Linotype"/>
                <w:b/>
                <w:noProof/>
                <w:lang w:eastAsia="es-MX"/>
              </w:rPr>
            </w:pPr>
            <w:r w:rsidRPr="00624ACF">
              <w:rPr>
                <w:rFonts w:ascii="Palatino Linotype" w:hAnsi="Palatino Linotype"/>
                <w:b/>
                <w:noProof/>
                <w:lang w:eastAsia="es-MX"/>
              </w:rPr>
              <w:drawing>
                <wp:inline distT="0" distB="0" distL="0" distR="0" wp14:anchorId="4B205164" wp14:editId="31DF36BB">
                  <wp:extent cx="3733165" cy="1405255"/>
                  <wp:effectExtent l="0" t="0" r="63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1405255"/>
                          </a:xfrm>
                          <a:prstGeom prst="rect">
                            <a:avLst/>
                          </a:prstGeom>
                        </pic:spPr>
                      </pic:pic>
                    </a:graphicData>
                  </a:graphic>
                </wp:inline>
              </w:drawing>
            </w:r>
          </w:p>
        </w:tc>
      </w:tr>
      <w:tr w:rsidR="001E5FCF" w:rsidRPr="00624ACF" w14:paraId="7D2E7DD3" w14:textId="77777777" w:rsidTr="0086202E">
        <w:tc>
          <w:tcPr>
            <w:tcW w:w="1560" w:type="dxa"/>
            <w:vAlign w:val="center"/>
          </w:tcPr>
          <w:p w14:paraId="6BC721DD" w14:textId="77777777" w:rsidR="001E5FCF" w:rsidRPr="00624ACF" w:rsidRDefault="001E5FCF" w:rsidP="0086202E">
            <w:pPr>
              <w:tabs>
                <w:tab w:val="left" w:pos="317"/>
              </w:tabs>
              <w:spacing w:after="120"/>
              <w:jc w:val="center"/>
              <w:rPr>
                <w:rFonts w:ascii="Palatino Linotype" w:hAnsi="Palatino Linotype"/>
                <w:b/>
                <w:sz w:val="16"/>
                <w:szCs w:val="16"/>
              </w:rPr>
            </w:pPr>
            <w:r w:rsidRPr="00624ACF">
              <w:rPr>
                <w:rFonts w:ascii="Palatino Linotype" w:hAnsi="Palatino Linotype"/>
                <w:b/>
                <w:sz w:val="16"/>
                <w:szCs w:val="16"/>
              </w:rPr>
              <w:lastRenderedPageBreak/>
              <w:t>Fundamento y Motivación Legal</w:t>
            </w:r>
          </w:p>
        </w:tc>
        <w:tc>
          <w:tcPr>
            <w:tcW w:w="1417" w:type="dxa"/>
            <w:vAlign w:val="center"/>
          </w:tcPr>
          <w:p w14:paraId="516B1E09" w14:textId="77777777" w:rsidR="001E5FCF" w:rsidRPr="00624ACF" w:rsidRDefault="001E5FCF" w:rsidP="0086202E">
            <w:pPr>
              <w:spacing w:after="120"/>
              <w:ind w:left="47"/>
              <w:jc w:val="center"/>
              <w:rPr>
                <w:rFonts w:ascii="Palatino Linotype" w:hAnsi="Palatino Linotype"/>
                <w:b/>
              </w:rPr>
            </w:pPr>
            <w:r w:rsidRPr="00624ACF">
              <w:rPr>
                <w:rFonts w:ascii="Palatino Linotype" w:hAnsi="Palatino Linotype"/>
                <w:b/>
              </w:rPr>
              <w:t>Sí.</w:t>
            </w:r>
          </w:p>
        </w:tc>
        <w:tc>
          <w:tcPr>
            <w:tcW w:w="6095" w:type="dxa"/>
            <w:vAlign w:val="center"/>
          </w:tcPr>
          <w:p w14:paraId="58499403" w14:textId="77777777" w:rsidR="001E5FCF" w:rsidRPr="00624ACF" w:rsidRDefault="00E537DE" w:rsidP="0086202E">
            <w:pPr>
              <w:spacing w:after="120"/>
              <w:ind w:left="47"/>
              <w:jc w:val="center"/>
              <w:rPr>
                <w:rFonts w:ascii="Palatino Linotype" w:hAnsi="Palatino Linotype"/>
                <w:b/>
              </w:rPr>
            </w:pPr>
            <w:r w:rsidRPr="00624ACF">
              <w:rPr>
                <w:rFonts w:ascii="Palatino Linotype" w:hAnsi="Palatino Linotype"/>
                <w:b/>
                <w:noProof/>
                <w:lang w:eastAsia="es-MX"/>
              </w:rPr>
              <w:drawing>
                <wp:inline distT="0" distB="0" distL="0" distR="0" wp14:anchorId="65865FFC" wp14:editId="6F1D34C4">
                  <wp:extent cx="3733165" cy="3366770"/>
                  <wp:effectExtent l="0" t="0" r="63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3366770"/>
                          </a:xfrm>
                          <a:prstGeom prst="rect">
                            <a:avLst/>
                          </a:prstGeom>
                        </pic:spPr>
                      </pic:pic>
                    </a:graphicData>
                  </a:graphic>
                </wp:inline>
              </w:drawing>
            </w:r>
          </w:p>
          <w:p w14:paraId="257599EB" w14:textId="77777777" w:rsidR="00E537DE" w:rsidRPr="00624ACF" w:rsidRDefault="00E537DE" w:rsidP="0086202E">
            <w:pPr>
              <w:spacing w:after="120"/>
              <w:ind w:left="47"/>
              <w:jc w:val="center"/>
              <w:rPr>
                <w:rFonts w:ascii="Palatino Linotype" w:hAnsi="Palatino Linotype"/>
                <w:b/>
              </w:rPr>
            </w:pPr>
            <w:r w:rsidRPr="00624ACF">
              <w:rPr>
                <w:rFonts w:ascii="Palatino Linotype" w:hAnsi="Palatino Linotype"/>
                <w:b/>
                <w:noProof/>
                <w:lang w:eastAsia="es-MX"/>
              </w:rPr>
              <w:drawing>
                <wp:inline distT="0" distB="0" distL="0" distR="0" wp14:anchorId="1DC80B84" wp14:editId="7C01DC98">
                  <wp:extent cx="3155264" cy="323215"/>
                  <wp:effectExtent l="0" t="0" r="762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1585" cy="323863"/>
                          </a:xfrm>
                          <a:prstGeom prst="rect">
                            <a:avLst/>
                          </a:prstGeom>
                        </pic:spPr>
                      </pic:pic>
                    </a:graphicData>
                  </a:graphic>
                </wp:inline>
              </w:drawing>
            </w:r>
          </w:p>
          <w:p w14:paraId="4FAAF2FB" w14:textId="77777777" w:rsidR="00E537DE" w:rsidRPr="00624ACF" w:rsidRDefault="00E537DE" w:rsidP="0086202E">
            <w:pPr>
              <w:spacing w:after="120"/>
              <w:ind w:left="47"/>
              <w:jc w:val="center"/>
              <w:rPr>
                <w:rFonts w:ascii="Palatino Linotype" w:hAnsi="Palatino Linotype"/>
                <w:b/>
              </w:rPr>
            </w:pPr>
            <w:r w:rsidRPr="00624ACF">
              <w:rPr>
                <w:rFonts w:ascii="Palatino Linotype" w:hAnsi="Palatino Linotype"/>
                <w:b/>
                <w:noProof/>
                <w:lang w:eastAsia="es-MX"/>
              </w:rPr>
              <w:lastRenderedPageBreak/>
              <w:drawing>
                <wp:inline distT="0" distB="0" distL="0" distR="0" wp14:anchorId="7C0E2230" wp14:editId="45427AC8">
                  <wp:extent cx="3733165" cy="387413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3874135"/>
                          </a:xfrm>
                          <a:prstGeom prst="rect">
                            <a:avLst/>
                          </a:prstGeom>
                        </pic:spPr>
                      </pic:pic>
                    </a:graphicData>
                  </a:graphic>
                </wp:inline>
              </w:drawing>
            </w:r>
          </w:p>
          <w:p w14:paraId="23E56BF2" w14:textId="77777777" w:rsidR="00E537DE" w:rsidRPr="00624ACF" w:rsidRDefault="00E537DE" w:rsidP="0086202E">
            <w:pPr>
              <w:spacing w:after="120"/>
              <w:ind w:left="47"/>
              <w:jc w:val="center"/>
              <w:rPr>
                <w:rFonts w:ascii="Palatino Linotype" w:hAnsi="Palatino Linotype"/>
                <w:b/>
              </w:rPr>
            </w:pPr>
            <w:r w:rsidRPr="00624ACF">
              <w:rPr>
                <w:rFonts w:ascii="Palatino Linotype" w:hAnsi="Palatino Linotype"/>
                <w:b/>
                <w:noProof/>
                <w:lang w:eastAsia="es-MX"/>
              </w:rPr>
              <w:lastRenderedPageBreak/>
              <w:drawing>
                <wp:inline distT="0" distB="0" distL="0" distR="0" wp14:anchorId="696DE7D4" wp14:editId="3863A1C2">
                  <wp:extent cx="3667637" cy="4953691"/>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67637" cy="4953691"/>
                          </a:xfrm>
                          <a:prstGeom prst="rect">
                            <a:avLst/>
                          </a:prstGeom>
                        </pic:spPr>
                      </pic:pic>
                    </a:graphicData>
                  </a:graphic>
                </wp:inline>
              </w:drawing>
            </w:r>
          </w:p>
          <w:p w14:paraId="6ED85B2B" w14:textId="24D96537" w:rsidR="00E537DE" w:rsidRPr="00624ACF" w:rsidRDefault="00E537DE" w:rsidP="0086202E">
            <w:pPr>
              <w:spacing w:after="120"/>
              <w:ind w:left="47"/>
              <w:jc w:val="center"/>
              <w:rPr>
                <w:rFonts w:ascii="Palatino Linotype" w:hAnsi="Palatino Linotype"/>
                <w:b/>
              </w:rPr>
            </w:pPr>
            <w:r w:rsidRPr="00624ACF">
              <w:rPr>
                <w:rFonts w:ascii="Palatino Linotype" w:hAnsi="Palatino Linotype"/>
                <w:b/>
                <w:noProof/>
                <w:lang w:eastAsia="es-MX"/>
              </w:rPr>
              <w:drawing>
                <wp:inline distT="0" distB="0" distL="0" distR="0" wp14:anchorId="430CA946" wp14:editId="57C6C868">
                  <wp:extent cx="3733165" cy="1522730"/>
                  <wp:effectExtent l="0" t="0" r="63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3165" cy="1522730"/>
                          </a:xfrm>
                          <a:prstGeom prst="rect">
                            <a:avLst/>
                          </a:prstGeom>
                        </pic:spPr>
                      </pic:pic>
                    </a:graphicData>
                  </a:graphic>
                </wp:inline>
              </w:drawing>
            </w:r>
          </w:p>
        </w:tc>
      </w:tr>
      <w:tr w:rsidR="001E5FCF" w:rsidRPr="00624ACF" w14:paraId="3FF7016C" w14:textId="77777777" w:rsidTr="0086202E">
        <w:tc>
          <w:tcPr>
            <w:tcW w:w="1560" w:type="dxa"/>
            <w:vAlign w:val="center"/>
          </w:tcPr>
          <w:p w14:paraId="7B9DF592" w14:textId="77777777" w:rsidR="001E5FCF" w:rsidRPr="00624ACF" w:rsidRDefault="001E5FCF" w:rsidP="0086202E">
            <w:pPr>
              <w:spacing w:after="120"/>
              <w:jc w:val="center"/>
              <w:rPr>
                <w:rFonts w:ascii="Palatino Linotype" w:hAnsi="Palatino Linotype"/>
                <w:b/>
                <w:sz w:val="16"/>
                <w:szCs w:val="16"/>
              </w:rPr>
            </w:pPr>
            <w:r w:rsidRPr="00624ACF">
              <w:rPr>
                <w:rFonts w:ascii="Palatino Linotype" w:hAnsi="Palatino Linotype"/>
                <w:b/>
                <w:sz w:val="16"/>
                <w:szCs w:val="16"/>
              </w:rPr>
              <w:lastRenderedPageBreak/>
              <w:t>Conexión entre los fundamentos y motivos que dieron origen a la Reserva de la información</w:t>
            </w:r>
          </w:p>
        </w:tc>
        <w:tc>
          <w:tcPr>
            <w:tcW w:w="1417" w:type="dxa"/>
            <w:vAlign w:val="center"/>
          </w:tcPr>
          <w:p w14:paraId="75E2CDDC" w14:textId="77777777" w:rsidR="001E5FCF" w:rsidRPr="00624ACF" w:rsidRDefault="001E5FCF" w:rsidP="0086202E">
            <w:pPr>
              <w:spacing w:after="120"/>
              <w:ind w:left="47"/>
              <w:jc w:val="center"/>
              <w:rPr>
                <w:rFonts w:ascii="Palatino Linotype" w:hAnsi="Palatino Linotype"/>
                <w:b/>
              </w:rPr>
            </w:pPr>
            <w:r w:rsidRPr="00624ACF">
              <w:rPr>
                <w:rFonts w:ascii="Palatino Linotype" w:hAnsi="Palatino Linotype"/>
                <w:b/>
              </w:rPr>
              <w:t xml:space="preserve">No </w:t>
            </w:r>
          </w:p>
        </w:tc>
        <w:tc>
          <w:tcPr>
            <w:tcW w:w="6095" w:type="dxa"/>
            <w:vAlign w:val="center"/>
          </w:tcPr>
          <w:p w14:paraId="19005973" w14:textId="310830F3" w:rsidR="001E5FCF" w:rsidRPr="00624ACF" w:rsidRDefault="00E537DE" w:rsidP="0086202E">
            <w:pPr>
              <w:pStyle w:val="Prrafodelista"/>
              <w:spacing w:after="120"/>
              <w:ind w:left="29" w:firstLine="18"/>
              <w:jc w:val="center"/>
            </w:pPr>
            <w:r w:rsidRPr="00624ACF">
              <w:rPr>
                <w:noProof/>
                <w:lang w:eastAsia="es-MX"/>
              </w:rPr>
              <w:drawing>
                <wp:inline distT="0" distB="0" distL="0" distR="0" wp14:anchorId="06D1116F" wp14:editId="1D967B62">
                  <wp:extent cx="3733165" cy="189103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3165" cy="1891030"/>
                          </a:xfrm>
                          <a:prstGeom prst="rect">
                            <a:avLst/>
                          </a:prstGeom>
                        </pic:spPr>
                      </pic:pic>
                    </a:graphicData>
                  </a:graphic>
                </wp:inline>
              </w:drawing>
            </w:r>
          </w:p>
          <w:p w14:paraId="224AA5A8" w14:textId="3FA18E34" w:rsidR="00E537DE" w:rsidRPr="00624ACF" w:rsidRDefault="00E537DE" w:rsidP="0086202E">
            <w:pPr>
              <w:pStyle w:val="Prrafodelista"/>
              <w:spacing w:after="120"/>
              <w:ind w:left="29" w:firstLine="18"/>
              <w:jc w:val="center"/>
            </w:pPr>
            <w:r w:rsidRPr="00624ACF">
              <w:rPr>
                <w:noProof/>
                <w:lang w:eastAsia="es-MX"/>
              </w:rPr>
              <w:drawing>
                <wp:inline distT="0" distB="0" distL="0" distR="0" wp14:anchorId="2C5F4AB3" wp14:editId="5EC17B3C">
                  <wp:extent cx="3733165" cy="514731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3165" cy="5147310"/>
                          </a:xfrm>
                          <a:prstGeom prst="rect">
                            <a:avLst/>
                          </a:prstGeom>
                        </pic:spPr>
                      </pic:pic>
                    </a:graphicData>
                  </a:graphic>
                </wp:inline>
              </w:drawing>
            </w:r>
          </w:p>
          <w:p w14:paraId="4503DB0B" w14:textId="4E9C8B3F" w:rsidR="001E5FCF" w:rsidRPr="00624ACF" w:rsidRDefault="00E537DE" w:rsidP="00E537DE">
            <w:pPr>
              <w:pStyle w:val="Prrafodelista"/>
              <w:spacing w:after="120"/>
              <w:ind w:left="29" w:firstLine="18"/>
              <w:jc w:val="center"/>
            </w:pPr>
            <w:r w:rsidRPr="00624ACF">
              <w:rPr>
                <w:noProof/>
                <w:lang w:eastAsia="es-MX"/>
              </w:rPr>
              <w:lastRenderedPageBreak/>
              <w:drawing>
                <wp:inline distT="0" distB="0" distL="0" distR="0" wp14:anchorId="492786F4" wp14:editId="0C711AF5">
                  <wp:extent cx="3733165" cy="4163695"/>
                  <wp:effectExtent l="0" t="0" r="63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3165" cy="4163695"/>
                          </a:xfrm>
                          <a:prstGeom prst="rect">
                            <a:avLst/>
                          </a:prstGeom>
                        </pic:spPr>
                      </pic:pic>
                    </a:graphicData>
                  </a:graphic>
                </wp:inline>
              </w:drawing>
            </w:r>
          </w:p>
        </w:tc>
      </w:tr>
      <w:tr w:rsidR="001E5FCF" w:rsidRPr="00624ACF" w14:paraId="19312679" w14:textId="77777777" w:rsidTr="0086202E">
        <w:tc>
          <w:tcPr>
            <w:tcW w:w="9072" w:type="dxa"/>
            <w:gridSpan w:val="3"/>
            <w:shd w:val="clear" w:color="auto" w:fill="D9D9D9" w:themeFill="background1" w:themeFillShade="D9"/>
            <w:vAlign w:val="center"/>
          </w:tcPr>
          <w:p w14:paraId="01FE7091" w14:textId="77777777" w:rsidR="001E5FCF" w:rsidRPr="00624ACF" w:rsidRDefault="001E5FCF" w:rsidP="0086202E">
            <w:pPr>
              <w:pStyle w:val="Prrafodelista"/>
              <w:spacing w:after="120"/>
              <w:ind w:left="29" w:firstLine="18"/>
              <w:jc w:val="center"/>
              <w:rPr>
                <w:rFonts w:ascii="Palatino Linotype" w:hAnsi="Palatino Linotype"/>
              </w:rPr>
            </w:pPr>
            <w:r w:rsidRPr="00624ACF">
              <w:rPr>
                <w:rFonts w:ascii="Palatino Linotype" w:hAnsi="Palatino Linotype"/>
                <w:b/>
              </w:rPr>
              <w:lastRenderedPageBreak/>
              <w:t>Prueba de Daño</w:t>
            </w:r>
          </w:p>
        </w:tc>
      </w:tr>
      <w:tr w:rsidR="001E5FCF" w:rsidRPr="00624ACF" w14:paraId="005C73B8" w14:textId="77777777" w:rsidTr="0086202E">
        <w:tc>
          <w:tcPr>
            <w:tcW w:w="1560" w:type="dxa"/>
            <w:vAlign w:val="center"/>
          </w:tcPr>
          <w:p w14:paraId="0D9DA17E" w14:textId="77777777" w:rsidR="001E5FCF" w:rsidRPr="00624ACF" w:rsidRDefault="001E5FCF" w:rsidP="0086202E">
            <w:pPr>
              <w:spacing w:after="120"/>
              <w:jc w:val="center"/>
              <w:rPr>
                <w:rFonts w:ascii="Palatino Linotype" w:hAnsi="Palatino Linotype"/>
                <w:b/>
                <w:sz w:val="16"/>
                <w:szCs w:val="16"/>
              </w:rPr>
            </w:pPr>
            <w:r w:rsidRPr="00624ACF">
              <w:rPr>
                <w:rFonts w:ascii="Palatino Linotype" w:hAnsi="Palatino Linotype"/>
                <w:b/>
                <w:sz w:val="16"/>
                <w:szCs w:val="16"/>
              </w:rPr>
              <w:lastRenderedPageBreak/>
              <w:t>Riesgo Real, Demostrable e Identificable</w:t>
            </w:r>
          </w:p>
          <w:p w14:paraId="7349055C" w14:textId="77777777" w:rsidR="001E5FCF" w:rsidRPr="00624ACF" w:rsidRDefault="001E5FCF" w:rsidP="0086202E">
            <w:pPr>
              <w:spacing w:after="120"/>
              <w:jc w:val="center"/>
              <w:rPr>
                <w:rFonts w:ascii="Palatino Linotype" w:hAnsi="Palatino Linotype"/>
                <w:b/>
                <w:sz w:val="16"/>
                <w:szCs w:val="16"/>
              </w:rPr>
            </w:pPr>
            <w:r w:rsidRPr="00624ACF">
              <w:rPr>
                <w:rFonts w:ascii="Palatino Linotype" w:hAnsi="Palatino Linotype"/>
                <w:b/>
                <w:sz w:val="16"/>
                <w:szCs w:val="16"/>
              </w:rPr>
              <w:t>(Modo, Tiempo y Lugar)</w:t>
            </w:r>
          </w:p>
        </w:tc>
        <w:tc>
          <w:tcPr>
            <w:tcW w:w="1417" w:type="dxa"/>
            <w:vAlign w:val="center"/>
          </w:tcPr>
          <w:p w14:paraId="535F892A" w14:textId="6FA805A1" w:rsidR="001E5FCF" w:rsidRPr="00624ACF" w:rsidRDefault="00E537DE" w:rsidP="0086202E">
            <w:pPr>
              <w:pStyle w:val="Prrafodelista"/>
              <w:spacing w:after="120"/>
              <w:ind w:left="29" w:firstLine="18"/>
              <w:jc w:val="center"/>
              <w:rPr>
                <w:rFonts w:ascii="Palatino Linotype" w:hAnsi="Palatino Linotype"/>
                <w:b/>
              </w:rPr>
            </w:pPr>
            <w:r w:rsidRPr="00624ACF">
              <w:rPr>
                <w:rFonts w:ascii="Palatino Linotype" w:hAnsi="Palatino Linotype"/>
                <w:b/>
              </w:rPr>
              <w:t>Sí</w:t>
            </w:r>
          </w:p>
        </w:tc>
        <w:tc>
          <w:tcPr>
            <w:tcW w:w="6095" w:type="dxa"/>
            <w:vAlign w:val="center"/>
          </w:tcPr>
          <w:p w14:paraId="507F61F4" w14:textId="77777777" w:rsidR="001E5FCF" w:rsidRPr="00624ACF" w:rsidRDefault="00F05AD5" w:rsidP="0086202E">
            <w:pPr>
              <w:pStyle w:val="Prrafodelista"/>
              <w:spacing w:after="120"/>
              <w:ind w:left="29" w:firstLine="18"/>
              <w:jc w:val="center"/>
              <w:rPr>
                <w:rFonts w:ascii="Palatino Linotype" w:hAnsi="Palatino Linotype"/>
              </w:rPr>
            </w:pPr>
            <w:r w:rsidRPr="00624ACF">
              <w:rPr>
                <w:rFonts w:ascii="Palatino Linotype" w:hAnsi="Palatino Linotype"/>
                <w:noProof/>
                <w:lang w:eastAsia="es-MX"/>
              </w:rPr>
              <w:drawing>
                <wp:inline distT="0" distB="0" distL="0" distR="0" wp14:anchorId="6D7713DE" wp14:editId="0C420CFC">
                  <wp:extent cx="3733165" cy="369570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3165" cy="3695700"/>
                          </a:xfrm>
                          <a:prstGeom prst="rect">
                            <a:avLst/>
                          </a:prstGeom>
                        </pic:spPr>
                      </pic:pic>
                    </a:graphicData>
                  </a:graphic>
                </wp:inline>
              </w:drawing>
            </w:r>
          </w:p>
          <w:p w14:paraId="22601D4A" w14:textId="77777777" w:rsidR="00F05AD5" w:rsidRPr="00624ACF" w:rsidRDefault="00F05AD5" w:rsidP="0086202E">
            <w:pPr>
              <w:pStyle w:val="Prrafodelista"/>
              <w:spacing w:after="120"/>
              <w:ind w:left="29" w:firstLine="18"/>
              <w:jc w:val="center"/>
              <w:rPr>
                <w:rFonts w:ascii="Palatino Linotype" w:hAnsi="Palatino Linotype"/>
              </w:rPr>
            </w:pPr>
          </w:p>
          <w:p w14:paraId="131DFC15" w14:textId="296BA9DC" w:rsidR="00F05AD5" w:rsidRPr="00624ACF" w:rsidRDefault="00F05AD5" w:rsidP="0086202E">
            <w:pPr>
              <w:pStyle w:val="Prrafodelista"/>
              <w:spacing w:after="120"/>
              <w:ind w:left="29" w:firstLine="18"/>
              <w:jc w:val="center"/>
              <w:rPr>
                <w:rFonts w:ascii="Palatino Linotype" w:hAnsi="Palatino Linotype"/>
              </w:rPr>
            </w:pPr>
            <w:r w:rsidRPr="00624ACF">
              <w:rPr>
                <w:rFonts w:ascii="Palatino Linotype" w:hAnsi="Palatino Linotype"/>
                <w:noProof/>
                <w:lang w:eastAsia="es-MX"/>
              </w:rPr>
              <w:drawing>
                <wp:inline distT="0" distB="0" distL="0" distR="0" wp14:anchorId="06CBC8AB" wp14:editId="52DDFE25">
                  <wp:extent cx="3733165" cy="165925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3165" cy="1659255"/>
                          </a:xfrm>
                          <a:prstGeom prst="rect">
                            <a:avLst/>
                          </a:prstGeom>
                        </pic:spPr>
                      </pic:pic>
                    </a:graphicData>
                  </a:graphic>
                </wp:inline>
              </w:drawing>
            </w:r>
          </w:p>
        </w:tc>
      </w:tr>
      <w:tr w:rsidR="001E5FCF" w:rsidRPr="00624ACF" w14:paraId="7B33C4C3" w14:textId="77777777" w:rsidTr="0086202E">
        <w:tc>
          <w:tcPr>
            <w:tcW w:w="1560" w:type="dxa"/>
            <w:vAlign w:val="center"/>
          </w:tcPr>
          <w:p w14:paraId="75D01542" w14:textId="77777777" w:rsidR="001E5FCF" w:rsidRPr="00624ACF" w:rsidRDefault="001E5FCF" w:rsidP="0086202E">
            <w:pPr>
              <w:spacing w:after="120"/>
              <w:jc w:val="center"/>
              <w:rPr>
                <w:rFonts w:ascii="Palatino Linotype" w:hAnsi="Palatino Linotype"/>
                <w:b/>
                <w:sz w:val="16"/>
                <w:szCs w:val="16"/>
              </w:rPr>
            </w:pPr>
            <w:r w:rsidRPr="00624ACF">
              <w:rPr>
                <w:rFonts w:ascii="Palatino Linotype" w:hAnsi="Palatino Linotype"/>
                <w:b/>
                <w:sz w:val="16"/>
                <w:szCs w:val="16"/>
              </w:rPr>
              <w:t>Temporalidad de la Reserva de la información</w:t>
            </w:r>
          </w:p>
        </w:tc>
        <w:tc>
          <w:tcPr>
            <w:tcW w:w="1417" w:type="dxa"/>
            <w:vAlign w:val="center"/>
          </w:tcPr>
          <w:p w14:paraId="4ACC86C1" w14:textId="77777777" w:rsidR="001E5FCF" w:rsidRPr="00624ACF" w:rsidRDefault="001E5FCF" w:rsidP="0086202E">
            <w:pPr>
              <w:pStyle w:val="Prrafodelista"/>
              <w:spacing w:after="120"/>
              <w:ind w:left="29" w:firstLine="18"/>
              <w:jc w:val="center"/>
              <w:rPr>
                <w:rFonts w:ascii="Palatino Linotype" w:hAnsi="Palatino Linotype"/>
                <w:b/>
              </w:rPr>
            </w:pPr>
            <w:r w:rsidRPr="00624ACF">
              <w:rPr>
                <w:rFonts w:ascii="Palatino Linotype" w:hAnsi="Palatino Linotype"/>
                <w:b/>
              </w:rPr>
              <w:t>Sí</w:t>
            </w:r>
          </w:p>
        </w:tc>
        <w:tc>
          <w:tcPr>
            <w:tcW w:w="6095" w:type="dxa"/>
            <w:vAlign w:val="center"/>
          </w:tcPr>
          <w:p w14:paraId="235A730E" w14:textId="1C24EF55" w:rsidR="001E5FCF" w:rsidRPr="00624ACF" w:rsidRDefault="001E5FCF" w:rsidP="0086202E">
            <w:pPr>
              <w:pStyle w:val="Prrafodelista"/>
              <w:spacing w:after="120"/>
              <w:ind w:left="29" w:firstLine="18"/>
              <w:jc w:val="center"/>
            </w:pPr>
          </w:p>
          <w:p w14:paraId="5FFCAADD" w14:textId="3D98B224" w:rsidR="001E5FCF" w:rsidRPr="00624ACF" w:rsidRDefault="00F05AD5" w:rsidP="0086202E">
            <w:pPr>
              <w:pStyle w:val="Prrafodelista"/>
              <w:spacing w:after="120"/>
              <w:ind w:left="29" w:firstLine="18"/>
              <w:jc w:val="center"/>
              <w:rPr>
                <w:rFonts w:ascii="Palatino Linotype" w:hAnsi="Palatino Linotype"/>
              </w:rPr>
            </w:pPr>
            <w:r w:rsidRPr="00624ACF">
              <w:rPr>
                <w:rFonts w:ascii="Palatino Linotype" w:hAnsi="Palatino Linotype"/>
                <w:noProof/>
                <w:lang w:eastAsia="es-MX"/>
              </w:rPr>
              <w:drawing>
                <wp:inline distT="0" distB="0" distL="0" distR="0" wp14:anchorId="25F6F3EF" wp14:editId="0DF8DE09">
                  <wp:extent cx="3733165" cy="1783080"/>
                  <wp:effectExtent l="0" t="0" r="635"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3165" cy="1783080"/>
                          </a:xfrm>
                          <a:prstGeom prst="rect">
                            <a:avLst/>
                          </a:prstGeom>
                        </pic:spPr>
                      </pic:pic>
                    </a:graphicData>
                  </a:graphic>
                </wp:inline>
              </w:drawing>
            </w:r>
          </w:p>
        </w:tc>
      </w:tr>
      <w:tr w:rsidR="001E5FCF" w:rsidRPr="00624ACF" w14:paraId="336DA116" w14:textId="77777777" w:rsidTr="0086202E">
        <w:trPr>
          <w:trHeight w:val="3517"/>
        </w:trPr>
        <w:tc>
          <w:tcPr>
            <w:tcW w:w="1560" w:type="dxa"/>
            <w:vAlign w:val="center"/>
          </w:tcPr>
          <w:p w14:paraId="0C105CF0" w14:textId="77777777" w:rsidR="001E5FCF" w:rsidRPr="00624ACF" w:rsidRDefault="001E5FCF" w:rsidP="0086202E">
            <w:pPr>
              <w:tabs>
                <w:tab w:val="left" w:pos="317"/>
              </w:tabs>
              <w:spacing w:after="120"/>
              <w:jc w:val="center"/>
              <w:rPr>
                <w:rFonts w:ascii="Palatino Linotype" w:hAnsi="Palatino Linotype"/>
                <w:b/>
                <w:sz w:val="16"/>
                <w:szCs w:val="16"/>
              </w:rPr>
            </w:pPr>
            <w:r w:rsidRPr="00624ACF">
              <w:rPr>
                <w:rFonts w:ascii="Palatino Linotype" w:hAnsi="Palatino Linotype"/>
                <w:b/>
                <w:sz w:val="16"/>
                <w:szCs w:val="16"/>
              </w:rPr>
              <w:lastRenderedPageBreak/>
              <w:t>Autoridades competentes.</w:t>
            </w:r>
          </w:p>
        </w:tc>
        <w:tc>
          <w:tcPr>
            <w:tcW w:w="1417" w:type="dxa"/>
            <w:vAlign w:val="center"/>
          </w:tcPr>
          <w:p w14:paraId="6ACA0C79" w14:textId="77777777" w:rsidR="001E5FCF" w:rsidRPr="00624ACF" w:rsidRDefault="001E5FCF" w:rsidP="0086202E">
            <w:pPr>
              <w:pStyle w:val="Prrafodelista"/>
              <w:spacing w:after="120"/>
              <w:ind w:left="29" w:firstLine="18"/>
              <w:jc w:val="center"/>
              <w:rPr>
                <w:rFonts w:ascii="Palatino Linotype" w:hAnsi="Palatino Linotype"/>
                <w:b/>
              </w:rPr>
            </w:pPr>
            <w:r w:rsidRPr="00624ACF">
              <w:rPr>
                <w:rFonts w:ascii="Palatino Linotype" w:hAnsi="Palatino Linotype"/>
                <w:b/>
              </w:rPr>
              <w:t>Sí</w:t>
            </w:r>
          </w:p>
        </w:tc>
        <w:tc>
          <w:tcPr>
            <w:tcW w:w="6095" w:type="dxa"/>
          </w:tcPr>
          <w:p w14:paraId="3A2B47DB" w14:textId="77777777" w:rsidR="001E5FCF" w:rsidRPr="00624ACF" w:rsidRDefault="00F05AD5" w:rsidP="00F05AD5">
            <w:pPr>
              <w:jc w:val="center"/>
            </w:pPr>
            <w:r w:rsidRPr="00624ACF">
              <w:rPr>
                <w:noProof/>
                <w:lang w:eastAsia="es-MX"/>
              </w:rPr>
              <w:drawing>
                <wp:inline distT="0" distB="0" distL="0" distR="0" wp14:anchorId="06E3E7CD" wp14:editId="70405BAB">
                  <wp:extent cx="3733165" cy="1619885"/>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33165" cy="1619885"/>
                          </a:xfrm>
                          <a:prstGeom prst="rect">
                            <a:avLst/>
                          </a:prstGeom>
                        </pic:spPr>
                      </pic:pic>
                    </a:graphicData>
                  </a:graphic>
                </wp:inline>
              </w:drawing>
            </w:r>
          </w:p>
          <w:p w14:paraId="06A99960" w14:textId="5781B2BB" w:rsidR="00F05AD5" w:rsidRPr="00624ACF" w:rsidRDefault="00F05AD5" w:rsidP="00F05AD5">
            <w:pPr>
              <w:jc w:val="center"/>
            </w:pPr>
            <w:r w:rsidRPr="00624ACF">
              <w:rPr>
                <w:noProof/>
                <w:lang w:eastAsia="es-MX"/>
              </w:rPr>
              <w:drawing>
                <wp:inline distT="0" distB="0" distL="0" distR="0" wp14:anchorId="25B2A1D4" wp14:editId="50F6F916">
                  <wp:extent cx="3733165" cy="2353310"/>
                  <wp:effectExtent l="0" t="0" r="635"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33165" cy="2353310"/>
                          </a:xfrm>
                          <a:prstGeom prst="rect">
                            <a:avLst/>
                          </a:prstGeom>
                        </pic:spPr>
                      </pic:pic>
                    </a:graphicData>
                  </a:graphic>
                </wp:inline>
              </w:drawing>
            </w:r>
          </w:p>
        </w:tc>
      </w:tr>
    </w:tbl>
    <w:p w14:paraId="3A701D99"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7D1B213F" w14:textId="3B5DDFA1" w:rsidR="00AB3C2E" w:rsidRPr="00624ACF" w:rsidRDefault="00F05AD5"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Así las cosas, como fuera establecido en la resolución recaída al recurso de revisión </w:t>
      </w:r>
      <w:r w:rsidRPr="00624ACF">
        <w:rPr>
          <w:rFonts w:ascii="Palatino Linotype" w:hAnsi="Palatino Linotype"/>
          <w:b/>
          <w:bCs/>
          <w:lang w:val="es-ES"/>
        </w:rPr>
        <w:t>06268/INFOEM/IP/RR/2021</w:t>
      </w:r>
      <w:r w:rsidRPr="00624ACF">
        <w:rPr>
          <w:rFonts w:ascii="Palatino Linotype" w:hAnsi="Palatino Linotype"/>
          <w:lang w:val="es-ES"/>
        </w:rPr>
        <w:t xml:space="preserve">, el </w:t>
      </w:r>
      <w:r w:rsidRPr="00624ACF">
        <w:rPr>
          <w:rFonts w:ascii="Palatino Linotype" w:hAnsi="Palatino Linotype"/>
          <w:b/>
          <w:bCs/>
          <w:lang w:val="es-ES"/>
        </w:rPr>
        <w:t>SUJETO OBLIGADO</w:t>
      </w:r>
      <w:r w:rsidRPr="00624ACF">
        <w:rPr>
          <w:rFonts w:ascii="Palatino Linotype" w:hAnsi="Palatino Linotype"/>
          <w:lang w:val="es-ES"/>
        </w:rPr>
        <w:t xml:space="preserve"> fundó su clasificación con base en lo dispuesto por los artículos 113, fracción X, de la Ley General de Transparencia y Acceso a la Información Pública; 140, fracción X, de la Ley de Transparencia y Acceso a la Información Pública del Estado de México y Municipios; y el Lineamiento Vigésimo Noveno de los </w:t>
      </w:r>
      <w:r w:rsidRPr="00624ACF">
        <w:rPr>
          <w:rFonts w:ascii="Palatino Linotype" w:hAnsi="Palatino Linotype"/>
        </w:rPr>
        <w:t>Lineamientos Generales en Materia de Clasificación y Desclasificación de la Información, así como para la Elaboración de Versiones Públicas.</w:t>
      </w:r>
    </w:p>
    <w:p w14:paraId="1132CF9E"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1205FDC0" w14:textId="36FDC0DE" w:rsidR="00AB3C2E" w:rsidRPr="00624ACF" w:rsidRDefault="00F05AD5"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Lo anterior, en razón de que </w:t>
      </w:r>
      <w:r w:rsidRPr="00624ACF">
        <w:rPr>
          <w:rFonts w:ascii="Palatino Linotype" w:hAnsi="Palatino Linotype"/>
          <w:b/>
          <w:bCs/>
          <w:lang w:val="es-ES"/>
        </w:rPr>
        <w:t xml:space="preserve">la información solicitada se relaciona con el plan de trabajo en el que se pueden incluir acciones y estrategias de investigación y </w:t>
      </w:r>
      <w:r w:rsidRPr="00624ACF">
        <w:rPr>
          <w:rFonts w:ascii="Palatino Linotype" w:hAnsi="Palatino Linotype"/>
          <w:b/>
          <w:bCs/>
          <w:lang w:val="es-ES"/>
        </w:rPr>
        <w:lastRenderedPageBreak/>
        <w:t>las técnicas de inspección y supervisión; la coordinación y realización de acciones específicas, así como de usuarios simulados que aseguren la obtención y análisis de información en el desarrollo de las investigaciones por presuntas faltas administrativas en contra de los integrantes de la Secretaría de Seguridad del Estado de México</w:t>
      </w:r>
      <w:r w:rsidRPr="00624ACF">
        <w:rPr>
          <w:rFonts w:ascii="Palatino Linotype" w:hAnsi="Palatino Linotype"/>
          <w:lang w:val="es-ES"/>
        </w:rPr>
        <w:t>.</w:t>
      </w:r>
    </w:p>
    <w:p w14:paraId="56889521" w14:textId="77777777" w:rsidR="00F05AD5" w:rsidRPr="00624ACF" w:rsidRDefault="00F05AD5" w:rsidP="00F05AD5">
      <w:pPr>
        <w:pStyle w:val="Prrafodelista"/>
        <w:tabs>
          <w:tab w:val="left" w:pos="426"/>
        </w:tabs>
        <w:spacing w:line="360" w:lineRule="auto"/>
        <w:ind w:left="0" w:right="51"/>
        <w:jc w:val="both"/>
        <w:rPr>
          <w:rFonts w:ascii="Palatino Linotype" w:hAnsi="Palatino Linotype"/>
          <w:color w:val="000000" w:themeColor="text1"/>
        </w:rPr>
      </w:pPr>
    </w:p>
    <w:p w14:paraId="3C40FC20" w14:textId="743360D4" w:rsidR="00F05AD5" w:rsidRPr="00624ACF" w:rsidRDefault="00F05AD5"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Correlativo a lo anterior, por cuanto hace al estudio de los elementos de acreditación establecidos en el Lineamiento Vigésimo Noveno de los Lineamientos Generales en Materia de Clasificación y Desclasificación de la Información, así como para la Elaboración de Versiones Públicas, relacionada con información cuya divulgación pueda afectar las garantías del debido proceso dentro de los procedimientos administrativos que no hayan quedado firmes, el </w:t>
      </w:r>
      <w:r w:rsidRPr="00624ACF">
        <w:rPr>
          <w:rFonts w:ascii="Palatino Linotype" w:hAnsi="Palatino Linotype"/>
          <w:b/>
          <w:bCs/>
          <w:lang w:val="es-ES"/>
        </w:rPr>
        <w:t>SUJETO OBLIGADO</w:t>
      </w:r>
      <w:r w:rsidRPr="00624ACF">
        <w:rPr>
          <w:rFonts w:ascii="Palatino Linotype" w:hAnsi="Palatino Linotype"/>
          <w:lang w:val="es-ES"/>
        </w:rPr>
        <w:t xml:space="preserve"> </w:t>
      </w:r>
      <w:r w:rsidR="00BF3FA6" w:rsidRPr="00624ACF">
        <w:rPr>
          <w:rFonts w:ascii="Palatino Linotype" w:hAnsi="Palatino Linotype"/>
          <w:lang w:val="es-ES"/>
        </w:rPr>
        <w:t>señaló lo siguiente:</w:t>
      </w:r>
    </w:p>
    <w:p w14:paraId="0A3C4D93" w14:textId="72169841" w:rsidR="00F05AD5" w:rsidRPr="00624ACF" w:rsidRDefault="00F05AD5" w:rsidP="00F05AD5">
      <w:pPr>
        <w:pStyle w:val="Prrafodelista"/>
        <w:tabs>
          <w:tab w:val="left" w:pos="426"/>
        </w:tabs>
        <w:spacing w:line="360" w:lineRule="auto"/>
        <w:ind w:left="0" w:right="51"/>
        <w:jc w:val="both"/>
        <w:rPr>
          <w:rFonts w:ascii="Palatino Linotype" w:hAnsi="Palatino Linotype"/>
          <w:color w:val="000000" w:themeColor="text1"/>
        </w:rPr>
      </w:pPr>
    </w:p>
    <w:p w14:paraId="67DBDD89" w14:textId="6AE4A472" w:rsidR="00BF3FA6" w:rsidRPr="00624ACF" w:rsidRDefault="00BF3FA6" w:rsidP="00BF3FA6">
      <w:pPr>
        <w:pStyle w:val="Prrafodelista"/>
        <w:tabs>
          <w:tab w:val="left" w:pos="426"/>
        </w:tabs>
        <w:ind w:left="0" w:right="51"/>
        <w:jc w:val="center"/>
        <w:rPr>
          <w:rFonts w:ascii="Palatino Linotype" w:hAnsi="Palatino Linotype"/>
          <w:color w:val="000000" w:themeColor="text1"/>
        </w:rPr>
      </w:pPr>
      <w:r w:rsidRPr="00624ACF">
        <w:rPr>
          <w:rFonts w:ascii="Palatino Linotype" w:hAnsi="Palatino Linotype"/>
          <w:noProof/>
          <w:color w:val="000000" w:themeColor="text1"/>
          <w:lang w:eastAsia="es-MX"/>
        </w:rPr>
        <w:lastRenderedPageBreak/>
        <w:drawing>
          <wp:inline distT="0" distB="0" distL="0" distR="0" wp14:anchorId="10F96124" wp14:editId="4E26C1D8">
            <wp:extent cx="4806639" cy="5176464"/>
            <wp:effectExtent l="57150" t="57150" r="89535" b="10096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17013" cy="51876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859A54" w14:textId="5A904455" w:rsidR="00BF3FA6" w:rsidRPr="00624ACF" w:rsidRDefault="00BF3FA6" w:rsidP="00BF3FA6">
      <w:pPr>
        <w:pStyle w:val="Prrafodelista"/>
        <w:tabs>
          <w:tab w:val="left" w:pos="426"/>
        </w:tabs>
        <w:ind w:left="567" w:right="567"/>
        <w:jc w:val="both"/>
        <w:rPr>
          <w:rFonts w:ascii="Palatino Linotype" w:hAnsi="Palatino Linotype"/>
          <w:color w:val="000000" w:themeColor="text1"/>
        </w:rPr>
      </w:pPr>
      <w:r w:rsidRPr="00624ACF">
        <w:rPr>
          <w:rFonts w:ascii="Palatino Linotype" w:hAnsi="Palatino Linotype"/>
          <w:color w:val="000000" w:themeColor="text1"/>
        </w:rPr>
        <w:t>(Fragmento recuperado del Acta UAI-CT-EXT-07-2022)</w:t>
      </w:r>
    </w:p>
    <w:p w14:paraId="30D7B645" w14:textId="77777777" w:rsidR="00BF3FA6" w:rsidRPr="00624ACF" w:rsidRDefault="00BF3FA6" w:rsidP="00F05AD5">
      <w:pPr>
        <w:pStyle w:val="Prrafodelista"/>
        <w:tabs>
          <w:tab w:val="left" w:pos="426"/>
        </w:tabs>
        <w:spacing w:line="360" w:lineRule="auto"/>
        <w:ind w:left="0" w:right="51"/>
        <w:jc w:val="both"/>
        <w:rPr>
          <w:rFonts w:ascii="Palatino Linotype" w:hAnsi="Palatino Linotype"/>
          <w:color w:val="000000" w:themeColor="text1"/>
        </w:rPr>
      </w:pPr>
    </w:p>
    <w:p w14:paraId="5DD09DC5" w14:textId="1FE510BE" w:rsidR="00F05AD5" w:rsidRPr="00624ACF" w:rsidRDefault="00BF3FA6"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Para acreditar la existencia de los elementos establecidos en el Lineamiento Vigésimo Noveno de los Lineamientos antes señalados, el </w:t>
      </w:r>
      <w:r w:rsidRPr="00624ACF">
        <w:rPr>
          <w:rFonts w:ascii="Palatino Linotype" w:hAnsi="Palatino Linotype"/>
          <w:b/>
          <w:bCs/>
          <w:lang w:val="es-ES"/>
        </w:rPr>
        <w:t>SUJETO OBLIGADO</w:t>
      </w:r>
      <w:r w:rsidRPr="00624ACF">
        <w:rPr>
          <w:rFonts w:ascii="Palatino Linotype" w:hAnsi="Palatino Linotype"/>
          <w:lang w:val="es-ES"/>
        </w:rPr>
        <w:t xml:space="preserve"> realizó la siguiente prueba de daño:</w:t>
      </w:r>
    </w:p>
    <w:p w14:paraId="208265F0" w14:textId="31C0106E" w:rsidR="00F05AD5" w:rsidRPr="00624ACF" w:rsidRDefault="00F05AD5" w:rsidP="00F05AD5">
      <w:pPr>
        <w:pStyle w:val="Prrafodelista"/>
        <w:tabs>
          <w:tab w:val="left" w:pos="426"/>
        </w:tabs>
        <w:spacing w:line="360" w:lineRule="auto"/>
        <w:ind w:left="0" w:right="51"/>
        <w:jc w:val="both"/>
        <w:rPr>
          <w:rFonts w:ascii="Palatino Linotype" w:hAnsi="Palatino Linotype"/>
          <w:color w:val="000000" w:themeColor="text1"/>
        </w:rPr>
      </w:pPr>
    </w:p>
    <w:p w14:paraId="304329C6" w14:textId="65E56EAB" w:rsidR="00BF3FA6" w:rsidRPr="00624ACF" w:rsidRDefault="00BF3FA6" w:rsidP="00BF3FA6">
      <w:pPr>
        <w:pStyle w:val="Prrafodelista"/>
        <w:tabs>
          <w:tab w:val="left" w:pos="426"/>
        </w:tabs>
        <w:ind w:left="0" w:right="51"/>
        <w:jc w:val="center"/>
        <w:rPr>
          <w:rFonts w:ascii="Palatino Linotype" w:hAnsi="Palatino Linotype"/>
          <w:color w:val="000000" w:themeColor="text1"/>
        </w:rPr>
      </w:pPr>
      <w:r w:rsidRPr="00624ACF">
        <w:rPr>
          <w:rFonts w:ascii="Palatino Linotype" w:hAnsi="Palatino Linotype"/>
          <w:noProof/>
          <w:color w:val="000000" w:themeColor="text1"/>
          <w:lang w:eastAsia="es-MX"/>
        </w:rPr>
        <w:lastRenderedPageBreak/>
        <w:drawing>
          <wp:inline distT="0" distB="0" distL="0" distR="0" wp14:anchorId="5FBD1D29" wp14:editId="1CF93127">
            <wp:extent cx="4814319" cy="4790896"/>
            <wp:effectExtent l="57150" t="57150" r="100965" b="86360"/>
            <wp:docPr id="28" name="Imagen 28"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a captura de pantalla de un celular&#10;&#10;Descripción generada automáticamente con confianza media"/>
                    <pic:cNvPicPr/>
                  </pic:nvPicPr>
                  <pic:blipFill>
                    <a:blip r:embed="rId33"/>
                    <a:stretch>
                      <a:fillRect/>
                    </a:stretch>
                  </pic:blipFill>
                  <pic:spPr>
                    <a:xfrm>
                      <a:off x="0" y="0"/>
                      <a:ext cx="4820679" cy="4797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94169C" w14:textId="77777777" w:rsidR="00BF3FA6" w:rsidRPr="00624ACF" w:rsidRDefault="00BF3FA6" w:rsidP="00BF3FA6">
      <w:pPr>
        <w:pStyle w:val="Prrafodelista"/>
        <w:tabs>
          <w:tab w:val="left" w:pos="426"/>
        </w:tabs>
        <w:ind w:left="567" w:right="567"/>
        <w:jc w:val="both"/>
        <w:rPr>
          <w:rFonts w:ascii="Palatino Linotype" w:hAnsi="Palatino Linotype"/>
          <w:color w:val="000000" w:themeColor="text1"/>
        </w:rPr>
      </w:pPr>
      <w:r w:rsidRPr="00624ACF">
        <w:rPr>
          <w:rFonts w:ascii="Palatino Linotype" w:hAnsi="Palatino Linotype"/>
          <w:color w:val="000000" w:themeColor="text1"/>
        </w:rPr>
        <w:t>(Fragmento recuperado del Acta UAI-CT-EXT-07-2022)</w:t>
      </w:r>
    </w:p>
    <w:p w14:paraId="2DD385D7" w14:textId="77777777" w:rsidR="00BF3FA6" w:rsidRPr="00624ACF" w:rsidRDefault="00BF3FA6" w:rsidP="00BF3FA6">
      <w:pPr>
        <w:pStyle w:val="Prrafodelista"/>
        <w:tabs>
          <w:tab w:val="left" w:pos="426"/>
        </w:tabs>
        <w:ind w:left="0" w:right="51"/>
        <w:jc w:val="center"/>
        <w:rPr>
          <w:rFonts w:ascii="Palatino Linotype" w:hAnsi="Palatino Linotype"/>
          <w:color w:val="000000" w:themeColor="text1"/>
        </w:rPr>
      </w:pPr>
    </w:p>
    <w:p w14:paraId="56FC8009" w14:textId="77777777" w:rsidR="00BF3FA6" w:rsidRPr="00624ACF" w:rsidRDefault="00BF3FA6" w:rsidP="00F05AD5">
      <w:pPr>
        <w:pStyle w:val="Prrafodelista"/>
        <w:tabs>
          <w:tab w:val="left" w:pos="426"/>
        </w:tabs>
        <w:spacing w:line="360" w:lineRule="auto"/>
        <w:ind w:left="0" w:right="51"/>
        <w:jc w:val="both"/>
        <w:rPr>
          <w:rFonts w:ascii="Palatino Linotype" w:hAnsi="Palatino Linotype"/>
          <w:color w:val="000000" w:themeColor="text1"/>
        </w:rPr>
      </w:pPr>
    </w:p>
    <w:p w14:paraId="738AB8DA" w14:textId="49B9FD13" w:rsidR="00F05AD5" w:rsidRPr="00624ACF" w:rsidRDefault="00BF3FA6" w:rsidP="00AB3C2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lang w:val="es-ES"/>
        </w:rPr>
        <w:t xml:space="preserve">Por lo tanto, este Organismo Garante concluye que el </w:t>
      </w:r>
      <w:r w:rsidRPr="00624ACF">
        <w:rPr>
          <w:rFonts w:ascii="Palatino Linotype" w:hAnsi="Palatino Linotype"/>
          <w:b/>
          <w:bCs/>
          <w:lang w:val="es-ES"/>
        </w:rPr>
        <w:t>SUJETO OBLIGADO</w:t>
      </w:r>
      <w:r w:rsidRPr="00624ACF">
        <w:rPr>
          <w:rFonts w:ascii="Palatino Linotype" w:hAnsi="Palatino Linotype"/>
          <w:lang w:val="es-ES"/>
        </w:rPr>
        <w:t xml:space="preserve"> dio cumplimiento a la resolución recaída al recurso de revisión </w:t>
      </w:r>
      <w:r w:rsidRPr="00624ACF">
        <w:rPr>
          <w:rFonts w:ascii="Palatino Linotype" w:hAnsi="Palatino Linotype"/>
          <w:b/>
          <w:bCs/>
          <w:lang w:val="es-ES"/>
        </w:rPr>
        <w:t>06268/INFOEM/IP/RR/2021</w:t>
      </w:r>
      <w:r w:rsidRPr="00624ACF">
        <w:rPr>
          <w:rFonts w:ascii="Palatino Linotype" w:hAnsi="Palatino Linotype"/>
          <w:lang w:val="es-ES"/>
        </w:rPr>
        <w:t xml:space="preserve">, pues aquél emitió un nuevo Acuerdo de Clasificación de la Información, en la que, de manera fundada y motivada, justificó las razones por las que párrafos específicos de las Actas de la Primera a la Quinta Sesiones Ordinarias del Consejo Directivo no podían difundirse a la ciudadanía, pues en éstos se incluían acciones y estrategias de investigación y las técnicas de inspección </w:t>
      </w:r>
      <w:r w:rsidRPr="00624ACF">
        <w:rPr>
          <w:rFonts w:ascii="Palatino Linotype" w:hAnsi="Palatino Linotype"/>
          <w:lang w:val="es-ES"/>
        </w:rPr>
        <w:lastRenderedPageBreak/>
        <w:t>y supervisión; la coordinación y realización de acciones específicas, así como de usuarios simulados que aseguren la obtención y análisis de información en el desarrollo de las investigaciones por presuntas faltas administrativas en contra de los integrantes de la Secretaría de Seguridad del Estado de México</w:t>
      </w:r>
    </w:p>
    <w:p w14:paraId="6CD8560D" w14:textId="77777777" w:rsidR="00AB3C2E" w:rsidRPr="00624ACF" w:rsidRDefault="00AB3C2E" w:rsidP="00AB3C2E">
      <w:pPr>
        <w:pStyle w:val="Prrafodelista"/>
        <w:tabs>
          <w:tab w:val="left" w:pos="426"/>
        </w:tabs>
        <w:spacing w:line="360" w:lineRule="auto"/>
        <w:ind w:left="0" w:right="51"/>
        <w:jc w:val="both"/>
        <w:rPr>
          <w:rFonts w:ascii="Palatino Linotype" w:hAnsi="Palatino Linotype"/>
          <w:color w:val="000000" w:themeColor="text1"/>
        </w:rPr>
      </w:pPr>
    </w:p>
    <w:p w14:paraId="2FB8E326" w14:textId="1DC236BB" w:rsidR="00C13622" w:rsidRPr="00624ACF" w:rsidRDefault="004B621C"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color w:val="000000" w:themeColor="text1"/>
        </w:rPr>
        <w:t>De lo anterior se colige</w:t>
      </w:r>
      <w:r w:rsidR="00C13622" w:rsidRPr="00624ACF">
        <w:rPr>
          <w:rFonts w:ascii="Palatino Linotype" w:hAnsi="Palatino Linotype"/>
          <w:color w:val="000000" w:themeColor="text1"/>
        </w:rPr>
        <w:t xml:space="preserve"> que el </w:t>
      </w:r>
      <w:r w:rsidR="00C13622" w:rsidRPr="00624ACF">
        <w:rPr>
          <w:rFonts w:ascii="Palatino Linotype" w:hAnsi="Palatino Linotype"/>
          <w:b/>
          <w:bCs/>
          <w:color w:val="000000" w:themeColor="text1"/>
        </w:rPr>
        <w:t>SUJETO OBLIGADO</w:t>
      </w:r>
      <w:r w:rsidR="008B1890" w:rsidRPr="00624ACF">
        <w:rPr>
          <w:rFonts w:ascii="Palatino Linotype" w:hAnsi="Palatino Linotype"/>
          <w:color w:val="000000" w:themeColor="text1"/>
        </w:rPr>
        <w:t>, en un ejercicio de máxima publicidad,</w:t>
      </w:r>
      <w:r w:rsidR="00C13622" w:rsidRPr="00624ACF">
        <w:rPr>
          <w:rFonts w:ascii="Palatino Linotype" w:hAnsi="Palatino Linotype"/>
          <w:color w:val="000000" w:themeColor="text1"/>
        </w:rPr>
        <w:t xml:space="preserve"> aprovechó el término procesal identificado como </w:t>
      </w:r>
      <w:r w:rsidR="00C13622" w:rsidRPr="00624ACF">
        <w:rPr>
          <w:rFonts w:ascii="Palatino Linotype" w:hAnsi="Palatino Linotype"/>
          <w:i/>
          <w:iCs/>
          <w:color w:val="000000" w:themeColor="text1"/>
        </w:rPr>
        <w:t>Etapa de instrucció</w:t>
      </w:r>
      <w:r w:rsidR="00BF3FA6" w:rsidRPr="00624ACF">
        <w:rPr>
          <w:rFonts w:ascii="Palatino Linotype" w:hAnsi="Palatino Linotype"/>
          <w:i/>
          <w:iCs/>
          <w:color w:val="000000" w:themeColor="text1"/>
        </w:rPr>
        <w:t>n</w:t>
      </w:r>
      <w:r w:rsidR="00BF3FA6" w:rsidRPr="00624ACF">
        <w:rPr>
          <w:rFonts w:ascii="Palatino Linotype" w:hAnsi="Palatino Linotype"/>
          <w:color w:val="000000" w:themeColor="text1"/>
        </w:rPr>
        <w:t xml:space="preserve"> del segundo recurso de revisión</w:t>
      </w:r>
      <w:r w:rsidR="00E40F68" w:rsidRPr="00624ACF">
        <w:rPr>
          <w:rFonts w:ascii="Palatino Linotype" w:hAnsi="Palatino Linotype"/>
          <w:color w:val="000000" w:themeColor="text1"/>
        </w:rPr>
        <w:t>, para subsanar las omisiones causadas por motivo de su falta de respuesta a la solicitud de información.</w:t>
      </w:r>
    </w:p>
    <w:p w14:paraId="55521B81" w14:textId="77777777" w:rsidR="00C13622" w:rsidRPr="00624ACF" w:rsidRDefault="00C13622" w:rsidP="00C13622">
      <w:pPr>
        <w:pStyle w:val="Prrafodelista"/>
        <w:tabs>
          <w:tab w:val="left" w:pos="426"/>
        </w:tabs>
        <w:spacing w:line="360" w:lineRule="auto"/>
        <w:ind w:left="0" w:right="51"/>
        <w:jc w:val="both"/>
        <w:rPr>
          <w:rFonts w:ascii="Palatino Linotype" w:hAnsi="Palatino Linotype"/>
          <w:color w:val="000000" w:themeColor="text1"/>
        </w:rPr>
      </w:pPr>
    </w:p>
    <w:p w14:paraId="3DA259F4" w14:textId="62EF01F8" w:rsidR="00714E0F" w:rsidRPr="00624ACF" w:rsidRDefault="00C13622"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color w:val="000000" w:themeColor="text1"/>
        </w:rPr>
        <w:t>E</w:t>
      </w:r>
      <w:r w:rsidR="00714E0F" w:rsidRPr="00624ACF">
        <w:rPr>
          <w:rFonts w:ascii="Palatino Linotype" w:hAnsi="Palatino Linotype"/>
          <w:color w:val="000000" w:themeColor="text1"/>
        </w:rPr>
        <w:t xml:space="preserve">n </w:t>
      </w:r>
      <w:r w:rsidR="00714E0F" w:rsidRPr="00624ACF">
        <w:rPr>
          <w:rFonts w:ascii="Palatino Linotype" w:eastAsia="Times New Roman" w:hAnsi="Palatino Linotype" w:cs="Arial"/>
        </w:rPr>
        <w:t xml:space="preserve">ese sentido, al existir un pronunciamiento directo por parte del </w:t>
      </w:r>
      <w:r w:rsidR="00714E0F" w:rsidRPr="00624ACF">
        <w:rPr>
          <w:rFonts w:ascii="Palatino Linotype" w:eastAsia="Times New Roman" w:hAnsi="Palatino Linotype" w:cs="Arial"/>
          <w:b/>
        </w:rPr>
        <w:t>SUJETO OBLIGADO</w:t>
      </w:r>
      <w:r w:rsidR="00714E0F" w:rsidRPr="00624ACF">
        <w:rPr>
          <w:rFonts w:ascii="Palatino Linotype" w:eastAsia="Times New Roman" w:hAnsi="Palatino Linotype" w:cs="Arial"/>
        </w:rPr>
        <w:t xml:space="preserve">, a fin de atender la solicitud planteada por el hoy </w:t>
      </w:r>
      <w:r w:rsidR="00714E0F" w:rsidRPr="00624ACF">
        <w:rPr>
          <w:rFonts w:ascii="Palatino Linotype" w:eastAsia="Times New Roman" w:hAnsi="Palatino Linotype" w:cs="Arial"/>
          <w:b/>
        </w:rPr>
        <w:t>RECURRENTE</w:t>
      </w:r>
      <w:r w:rsidR="00714E0F" w:rsidRPr="00624ACF">
        <w:rPr>
          <w:rFonts w:ascii="Palatino Linotype" w:eastAsia="Times New Roman" w:hAnsi="Palatino Linotype" w:cs="Arial"/>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00714E0F" w:rsidRPr="00624ACF">
        <w:rPr>
          <w:rFonts w:ascii="Palatino Linotype" w:eastAsia="Times New Roman" w:hAnsi="Palatino Linotype" w:cs="Arial"/>
          <w:bCs/>
          <w:iCs/>
        </w:rPr>
        <w:t>SAIMEX</w:t>
      </w:r>
      <w:r w:rsidR="00714E0F" w:rsidRPr="00624ACF">
        <w:rPr>
          <w:rFonts w:ascii="Palatino Linotype" w:eastAsia="Times New Roman" w:hAnsi="Palatino Linotype" w:cs="Arial"/>
        </w:rPr>
        <w:t>.</w:t>
      </w:r>
    </w:p>
    <w:p w14:paraId="1861B584" w14:textId="77777777" w:rsidR="00714E0F" w:rsidRPr="00624ACF" w:rsidRDefault="00714E0F" w:rsidP="00E6530C">
      <w:pPr>
        <w:pStyle w:val="Prrafodelista"/>
        <w:tabs>
          <w:tab w:val="left" w:pos="426"/>
        </w:tabs>
        <w:spacing w:line="360" w:lineRule="auto"/>
        <w:ind w:left="0" w:right="51"/>
        <w:jc w:val="both"/>
        <w:rPr>
          <w:rFonts w:ascii="Palatino Linotype" w:hAnsi="Palatino Linotype"/>
          <w:color w:val="000000" w:themeColor="text1"/>
        </w:rPr>
      </w:pPr>
    </w:p>
    <w:p w14:paraId="777D548D" w14:textId="77777777" w:rsidR="00714E0F" w:rsidRPr="00624ACF" w:rsidRDefault="00714E0F"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color w:val="000000" w:themeColor="text1"/>
        </w:rPr>
        <w:t xml:space="preserve">Sirve </w:t>
      </w:r>
      <w:r w:rsidRPr="00624ACF">
        <w:rPr>
          <w:rFonts w:ascii="Palatino Linotype" w:eastAsia="Times New Roman" w:hAnsi="Palatino Linotype" w:cs="Arial"/>
        </w:rPr>
        <w:t>de apoyo a lo anterior por analogía, el Criterio 31-10 emitido por el ahora Instituto Nacional de Transparencia, Acceso a la Información y Protección de Datos Personales, que a la letra dice:</w:t>
      </w:r>
    </w:p>
    <w:p w14:paraId="1E21AFFE" w14:textId="77777777" w:rsidR="00714E0F" w:rsidRPr="00624ACF" w:rsidRDefault="00714E0F" w:rsidP="00E6530C">
      <w:pPr>
        <w:pStyle w:val="Prrafodelista"/>
        <w:tabs>
          <w:tab w:val="left" w:pos="426"/>
        </w:tabs>
        <w:spacing w:line="360" w:lineRule="auto"/>
        <w:ind w:left="0" w:right="51"/>
        <w:jc w:val="both"/>
        <w:rPr>
          <w:rFonts w:ascii="Palatino Linotype" w:hAnsi="Palatino Linotype"/>
          <w:color w:val="000000" w:themeColor="text1"/>
        </w:rPr>
      </w:pPr>
    </w:p>
    <w:p w14:paraId="0D69660A" w14:textId="77777777" w:rsidR="00714E0F" w:rsidRPr="00624ACF" w:rsidRDefault="00714E0F" w:rsidP="00E6530C">
      <w:pPr>
        <w:pStyle w:val="Default"/>
        <w:spacing w:line="276" w:lineRule="auto"/>
        <w:ind w:left="567" w:right="567"/>
        <w:jc w:val="both"/>
        <w:rPr>
          <w:rFonts w:ascii="Palatino Linotype" w:hAnsi="Palatino Linotype"/>
          <w:sz w:val="22"/>
          <w:szCs w:val="20"/>
        </w:rPr>
      </w:pPr>
      <w:r w:rsidRPr="00624ACF">
        <w:rPr>
          <w:rFonts w:ascii="Palatino Linotype" w:hAnsi="Palatino Linotype"/>
          <w:b/>
          <w:i/>
          <w:sz w:val="22"/>
          <w:szCs w:val="20"/>
        </w:rPr>
        <w:t>EL INSTITUTO FEDERAL DE ACCESO A LA INFORMACIÓN Y PROTECCIÓN DE DATOS</w:t>
      </w:r>
      <w:r w:rsidRPr="00624ACF">
        <w:rPr>
          <w:rFonts w:ascii="Palatino Linotype" w:hAnsi="Palatino Linotype"/>
          <w:i/>
          <w:sz w:val="22"/>
          <w:szCs w:val="20"/>
        </w:rPr>
        <w:t xml:space="preserve"> </w:t>
      </w:r>
      <w:r w:rsidRPr="00624ACF">
        <w:rPr>
          <w:rFonts w:ascii="Palatino Linotype" w:hAnsi="Palatino Linotype"/>
          <w:b/>
          <w:i/>
          <w:sz w:val="22"/>
          <w:szCs w:val="20"/>
        </w:rPr>
        <w:t>NO CUENTA CON FACULTADES PARA PRONUNCIARSE RESPECTO DE LA VERACIDAD DE LOS DOCUMENTOS PROPORCIONADOS POR LOS SUJETOS OBLIGADOS.</w:t>
      </w:r>
      <w:r w:rsidRPr="00624ACF">
        <w:rPr>
          <w:rFonts w:ascii="Palatino Linotype" w:hAnsi="Palatino Linotype"/>
          <w:i/>
          <w:sz w:val="22"/>
          <w:szCs w:val="20"/>
        </w:rPr>
        <w:t xml:space="preserve"> “El Instituto Federal </w:t>
      </w:r>
      <w:r w:rsidRPr="00624ACF">
        <w:rPr>
          <w:rFonts w:ascii="Palatino Linotype" w:hAnsi="Palatino Linotype"/>
          <w:i/>
          <w:sz w:val="22"/>
          <w:szCs w:val="20"/>
        </w:rPr>
        <w:lastRenderedPageBreak/>
        <w:t xml:space="preserve">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624ACF">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624ACF">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24ACF">
        <w:rPr>
          <w:rFonts w:ascii="Palatino Linotype" w:hAnsi="Palatino Linotype"/>
          <w:i/>
          <w:sz w:val="22"/>
          <w:szCs w:val="20"/>
        </w:rPr>
        <w:br/>
      </w:r>
      <w:r w:rsidRPr="00624ACF">
        <w:rPr>
          <w:rFonts w:ascii="Palatino Linotype" w:hAnsi="Palatino Linotype"/>
          <w:sz w:val="22"/>
          <w:szCs w:val="20"/>
        </w:rPr>
        <w:t>(Énfasis añadido)</w:t>
      </w:r>
    </w:p>
    <w:p w14:paraId="1F7C3B0B" w14:textId="77777777" w:rsidR="00714E0F" w:rsidRPr="00624ACF" w:rsidRDefault="00714E0F" w:rsidP="00E6530C">
      <w:pPr>
        <w:pStyle w:val="Prrafodelista"/>
        <w:tabs>
          <w:tab w:val="left" w:pos="426"/>
        </w:tabs>
        <w:spacing w:line="360" w:lineRule="auto"/>
        <w:ind w:left="0" w:right="51"/>
        <w:jc w:val="both"/>
        <w:rPr>
          <w:rFonts w:ascii="Palatino Linotype" w:hAnsi="Palatino Linotype"/>
          <w:color w:val="000000" w:themeColor="text1"/>
        </w:rPr>
      </w:pPr>
    </w:p>
    <w:p w14:paraId="7BF1CB51" w14:textId="77777777" w:rsidR="00714E0F" w:rsidRPr="00624ACF" w:rsidRDefault="00714E0F"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color w:val="000000" w:themeColor="text1"/>
        </w:rPr>
        <w:t xml:space="preserve">En </w:t>
      </w:r>
      <w:r w:rsidRPr="00624ACF">
        <w:rPr>
          <w:rFonts w:ascii="Palatino Linotype" w:eastAsia="Times New Roman" w:hAnsi="Palatino Linotype" w:cs="Arial"/>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0611D6B8" w14:textId="77777777" w:rsidR="00714E0F" w:rsidRPr="00624ACF" w:rsidRDefault="00714E0F" w:rsidP="00E6530C">
      <w:pPr>
        <w:pStyle w:val="Prrafodelista"/>
        <w:tabs>
          <w:tab w:val="left" w:pos="426"/>
        </w:tabs>
        <w:spacing w:line="360" w:lineRule="auto"/>
        <w:ind w:left="0" w:right="51"/>
        <w:jc w:val="both"/>
        <w:rPr>
          <w:rFonts w:ascii="Palatino Linotype" w:hAnsi="Palatino Linotype"/>
          <w:color w:val="000000" w:themeColor="text1"/>
        </w:rPr>
      </w:pPr>
    </w:p>
    <w:p w14:paraId="756700B8" w14:textId="77777777" w:rsidR="00714E0F" w:rsidRPr="00624ACF" w:rsidRDefault="00714E0F" w:rsidP="00E6530C">
      <w:pPr>
        <w:pStyle w:val="Prrafodelista"/>
        <w:spacing w:line="276" w:lineRule="auto"/>
        <w:ind w:left="567" w:right="567"/>
        <w:jc w:val="both"/>
        <w:rPr>
          <w:rFonts w:ascii="Palatino Linotype" w:hAnsi="Palatino Linotype" w:cs="Arial"/>
          <w:b/>
          <w:i/>
          <w:sz w:val="22"/>
          <w:szCs w:val="22"/>
        </w:rPr>
      </w:pPr>
      <w:r w:rsidRPr="00624ACF">
        <w:rPr>
          <w:rFonts w:ascii="Palatino Linotype" w:hAnsi="Palatino Linotype" w:cs="Arial"/>
          <w:b/>
          <w:i/>
          <w:sz w:val="22"/>
          <w:szCs w:val="22"/>
        </w:rPr>
        <w:t>Artículo 3.-</w:t>
      </w:r>
      <w:r w:rsidRPr="00624ACF">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624ACF">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0B9395AC" w14:textId="77777777" w:rsidR="00714E0F" w:rsidRPr="00624ACF" w:rsidRDefault="00714E0F" w:rsidP="00E6530C">
      <w:pPr>
        <w:pStyle w:val="Prrafodelista"/>
        <w:spacing w:line="276" w:lineRule="auto"/>
        <w:ind w:left="567" w:right="567"/>
        <w:jc w:val="both"/>
        <w:rPr>
          <w:rFonts w:ascii="Palatino Linotype" w:hAnsi="Palatino Linotype" w:cs="Arial"/>
          <w:iCs/>
          <w:sz w:val="22"/>
          <w:szCs w:val="22"/>
        </w:rPr>
      </w:pPr>
      <w:r w:rsidRPr="00624ACF">
        <w:rPr>
          <w:rFonts w:ascii="Palatino Linotype" w:hAnsi="Palatino Linotype" w:cs="Arial"/>
          <w:iCs/>
          <w:sz w:val="22"/>
          <w:szCs w:val="22"/>
        </w:rPr>
        <w:t>(Énfasis añadido)</w:t>
      </w:r>
    </w:p>
    <w:p w14:paraId="37E1A0A8" w14:textId="77777777" w:rsidR="00714E0F" w:rsidRPr="00624ACF" w:rsidRDefault="00714E0F" w:rsidP="00E6530C">
      <w:pPr>
        <w:pStyle w:val="Prrafodelista"/>
        <w:tabs>
          <w:tab w:val="left" w:pos="426"/>
        </w:tabs>
        <w:spacing w:line="360" w:lineRule="auto"/>
        <w:ind w:left="0" w:right="51"/>
        <w:jc w:val="both"/>
        <w:rPr>
          <w:rFonts w:ascii="Palatino Linotype" w:hAnsi="Palatino Linotype"/>
          <w:color w:val="000000" w:themeColor="text1"/>
        </w:rPr>
      </w:pPr>
    </w:p>
    <w:p w14:paraId="2F4AA468" w14:textId="12C9DAFB" w:rsidR="00E909ED" w:rsidRPr="00624ACF" w:rsidRDefault="00714E0F"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color w:val="000000" w:themeColor="text1"/>
        </w:rPr>
        <w:lastRenderedPageBreak/>
        <w:t xml:space="preserve">Disposiciones que compelen al </w:t>
      </w:r>
      <w:r w:rsidRPr="00624ACF">
        <w:rPr>
          <w:rFonts w:ascii="Palatino Linotype" w:hAnsi="Palatino Linotype"/>
          <w:b/>
          <w:color w:val="000000" w:themeColor="text1"/>
        </w:rPr>
        <w:t>SUJETO OBLIGADO</w:t>
      </w:r>
      <w:r w:rsidRPr="00624ACF">
        <w:rPr>
          <w:rFonts w:ascii="Palatino Linotype" w:hAnsi="Palatino Linotype"/>
          <w:color w:val="000000" w:themeColor="text1"/>
        </w:rPr>
        <w:t xml:space="preserve"> a apegarse en todo momento a los criterios ya expuestos, impidiendo a este Órgano Colegiado cuestionar la veracidad de la información.</w:t>
      </w:r>
    </w:p>
    <w:p w14:paraId="64E2891A" w14:textId="77777777" w:rsidR="002E7F75" w:rsidRPr="00624ACF" w:rsidRDefault="002E7F75" w:rsidP="00E6530C">
      <w:pPr>
        <w:pStyle w:val="Prrafodelista"/>
        <w:tabs>
          <w:tab w:val="left" w:pos="426"/>
        </w:tabs>
        <w:spacing w:line="360" w:lineRule="auto"/>
        <w:ind w:left="0" w:right="51"/>
        <w:jc w:val="both"/>
        <w:rPr>
          <w:rFonts w:ascii="Palatino Linotype" w:hAnsi="Palatino Linotype"/>
          <w:color w:val="000000" w:themeColor="text1"/>
        </w:rPr>
      </w:pPr>
    </w:p>
    <w:p w14:paraId="636376A7" w14:textId="210F78F2" w:rsidR="00614DC5" w:rsidRPr="00624ACF" w:rsidRDefault="00C63722"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color w:val="000000" w:themeColor="text1"/>
        </w:rPr>
        <w:t>Así las cosas</w:t>
      </w:r>
      <w:r w:rsidR="00560018" w:rsidRPr="00624ACF">
        <w:rPr>
          <w:rFonts w:ascii="Palatino Linotype" w:hAnsi="Palatino Linotype"/>
          <w:color w:val="000000" w:themeColor="text1"/>
        </w:rPr>
        <w:t>, conviene señalar que</w:t>
      </w:r>
      <w:r w:rsidR="00B741AA" w:rsidRPr="00624ACF">
        <w:rPr>
          <w:rFonts w:ascii="Palatino Linotype" w:hAnsi="Palatino Linotype"/>
          <w:color w:val="000000" w:themeColor="text1"/>
        </w:rPr>
        <w:t xml:space="preserve"> </w:t>
      </w:r>
      <w:r w:rsidR="00B741AA" w:rsidRPr="00624ACF">
        <w:rPr>
          <w:rFonts w:ascii="Palatino Linotype" w:eastAsia="MS Mincho" w:hAnsi="Palatino Linotype" w:cs="Times New Roman"/>
          <w:color w:val="000000"/>
        </w:rPr>
        <w:t xml:space="preserve">el </w:t>
      </w:r>
      <w:r w:rsidR="00560018" w:rsidRPr="00624ACF">
        <w:rPr>
          <w:rFonts w:ascii="Palatino Linotype" w:eastAsia="MS Mincho" w:hAnsi="Palatino Linotype" w:cs="Times New Roman"/>
          <w:color w:val="000000"/>
        </w:rPr>
        <w:t>artículo</w:t>
      </w:r>
      <w:r w:rsidR="00B741AA" w:rsidRPr="00624ACF">
        <w:rPr>
          <w:rFonts w:ascii="Palatino Linotype" w:eastAsia="MS Mincho" w:hAnsi="Palatino Linotype" w:cs="Times New Roman"/>
          <w:color w:val="000000"/>
        </w:rPr>
        <w:t xml:space="preserve"> 192</w:t>
      </w:r>
      <w:r w:rsidR="00B741AA" w:rsidRPr="00624ACF">
        <w:rPr>
          <w:rFonts w:ascii="Palatino Linotype" w:hAnsi="Palatino Linotype"/>
        </w:rPr>
        <w:t xml:space="preserve"> </w:t>
      </w:r>
      <w:r w:rsidR="00560018" w:rsidRPr="00624ACF">
        <w:rPr>
          <w:rFonts w:ascii="Palatino Linotype" w:hAnsi="Palatino Linotype"/>
        </w:rPr>
        <w:t xml:space="preserve">de la </w:t>
      </w:r>
      <w:r w:rsidR="00B741AA" w:rsidRPr="00624ACF">
        <w:rPr>
          <w:rFonts w:ascii="Palatino Linotype" w:eastAsia="MS Mincho" w:hAnsi="Palatino Linotype" w:cs="Times New Roman"/>
          <w:color w:val="000000"/>
        </w:rPr>
        <w:t>Ley de Transparencia y Acceso a la Información Pública del Estado de México y Municipios, establece lo siguiente:</w:t>
      </w:r>
    </w:p>
    <w:p w14:paraId="53061086" w14:textId="77777777" w:rsidR="00B741AA" w:rsidRPr="00624ACF" w:rsidRDefault="00B741AA" w:rsidP="00E6530C">
      <w:pPr>
        <w:pStyle w:val="Prrafodelista"/>
        <w:tabs>
          <w:tab w:val="left" w:pos="426"/>
        </w:tabs>
        <w:spacing w:line="360" w:lineRule="auto"/>
        <w:ind w:left="0" w:right="51"/>
        <w:jc w:val="both"/>
        <w:rPr>
          <w:rFonts w:ascii="Palatino Linotype" w:hAnsi="Palatino Linotype"/>
          <w:color w:val="000000" w:themeColor="text1"/>
        </w:rPr>
      </w:pPr>
    </w:p>
    <w:p w14:paraId="4AA2D707" w14:textId="5FF9E64C" w:rsidR="00B741AA" w:rsidRPr="00624ACF" w:rsidRDefault="00B741AA" w:rsidP="00E6530C">
      <w:pPr>
        <w:pStyle w:val="Prrafodelista"/>
        <w:tabs>
          <w:tab w:val="left" w:pos="426"/>
        </w:tabs>
        <w:spacing w:line="276" w:lineRule="auto"/>
        <w:ind w:left="567" w:right="567"/>
        <w:jc w:val="both"/>
        <w:rPr>
          <w:rFonts w:ascii="Palatino Linotype" w:hAnsi="Palatino Linotype"/>
          <w:i/>
          <w:sz w:val="22"/>
        </w:rPr>
      </w:pPr>
      <w:r w:rsidRPr="00624ACF">
        <w:rPr>
          <w:rFonts w:ascii="Palatino Linotype" w:hAnsi="Palatino Linotype"/>
          <w:i/>
          <w:sz w:val="22"/>
        </w:rPr>
        <w:t>“</w:t>
      </w:r>
      <w:r w:rsidRPr="00624ACF">
        <w:rPr>
          <w:rFonts w:ascii="Palatino Linotype" w:hAnsi="Palatino Linotype"/>
          <w:b/>
          <w:i/>
          <w:sz w:val="22"/>
        </w:rPr>
        <w:t>Artículo 192.</w:t>
      </w:r>
      <w:r w:rsidRPr="00624ACF">
        <w:rPr>
          <w:rFonts w:ascii="Palatino Linotype" w:hAnsi="Palatino Linotype"/>
          <w:i/>
          <w:sz w:val="22"/>
        </w:rPr>
        <w:t xml:space="preserve"> El recurso será sobreseído, en todo o en parte, cuando una vez admitido, se actualicen alguno de los siguientes supuestos:</w:t>
      </w:r>
    </w:p>
    <w:p w14:paraId="7A1B363A" w14:textId="64A52893" w:rsidR="00B741AA" w:rsidRPr="00624ACF" w:rsidRDefault="00B741AA" w:rsidP="00E6530C">
      <w:pPr>
        <w:pStyle w:val="Prrafodelista"/>
        <w:tabs>
          <w:tab w:val="left" w:pos="426"/>
        </w:tabs>
        <w:spacing w:line="276" w:lineRule="auto"/>
        <w:ind w:left="567" w:right="567"/>
        <w:jc w:val="both"/>
        <w:rPr>
          <w:rFonts w:ascii="Palatino Linotype" w:hAnsi="Palatino Linotype"/>
          <w:i/>
          <w:sz w:val="22"/>
        </w:rPr>
      </w:pPr>
      <w:r w:rsidRPr="00624ACF">
        <w:rPr>
          <w:rFonts w:ascii="Palatino Linotype" w:hAnsi="Palatino Linotype"/>
          <w:i/>
          <w:sz w:val="22"/>
        </w:rPr>
        <w:t>(…)</w:t>
      </w:r>
    </w:p>
    <w:p w14:paraId="2F128DF5" w14:textId="142F6043" w:rsidR="00B741AA" w:rsidRPr="00624ACF" w:rsidRDefault="00B741AA" w:rsidP="00E6530C">
      <w:pPr>
        <w:pStyle w:val="Prrafodelista"/>
        <w:tabs>
          <w:tab w:val="left" w:pos="426"/>
        </w:tabs>
        <w:spacing w:line="276" w:lineRule="auto"/>
        <w:ind w:left="567" w:right="567"/>
        <w:jc w:val="both"/>
        <w:rPr>
          <w:rFonts w:ascii="Palatino Linotype" w:hAnsi="Palatino Linotype"/>
          <w:i/>
          <w:sz w:val="22"/>
        </w:rPr>
      </w:pPr>
      <w:r w:rsidRPr="00624ACF">
        <w:rPr>
          <w:rFonts w:ascii="Palatino Linotype" w:hAnsi="Palatino Linotype"/>
          <w:b/>
          <w:i/>
          <w:sz w:val="22"/>
        </w:rPr>
        <w:t>III.</w:t>
      </w:r>
      <w:r w:rsidRPr="00624ACF">
        <w:rPr>
          <w:rFonts w:ascii="Palatino Linotype" w:hAnsi="Palatino Linotype"/>
          <w:i/>
          <w:sz w:val="22"/>
        </w:rPr>
        <w:t xml:space="preserve"> </w:t>
      </w:r>
      <w:r w:rsidRPr="00624ACF">
        <w:rPr>
          <w:rFonts w:ascii="Palatino Linotype" w:hAnsi="Palatino Linotype"/>
          <w:b/>
          <w:i/>
          <w:sz w:val="22"/>
        </w:rPr>
        <w:t>El sujeto obligado responsable del acto lo modifique</w:t>
      </w:r>
      <w:r w:rsidRPr="00624ACF">
        <w:rPr>
          <w:rFonts w:ascii="Palatino Linotype" w:hAnsi="Palatino Linotype"/>
          <w:i/>
          <w:sz w:val="22"/>
        </w:rPr>
        <w:t xml:space="preserve"> o revoque de tal manera que el recurso de revisión quede sin materia;</w:t>
      </w:r>
    </w:p>
    <w:p w14:paraId="788CA90D" w14:textId="56BCE269" w:rsidR="00B741AA" w:rsidRPr="00624ACF" w:rsidRDefault="00B741AA" w:rsidP="00E6530C">
      <w:pPr>
        <w:pStyle w:val="Prrafodelista"/>
        <w:tabs>
          <w:tab w:val="left" w:pos="426"/>
        </w:tabs>
        <w:spacing w:line="276" w:lineRule="auto"/>
        <w:ind w:left="567" w:right="567"/>
        <w:jc w:val="both"/>
        <w:rPr>
          <w:rFonts w:ascii="Palatino Linotype" w:hAnsi="Palatino Linotype"/>
          <w:i/>
          <w:sz w:val="22"/>
        </w:rPr>
      </w:pPr>
      <w:r w:rsidRPr="00624ACF">
        <w:rPr>
          <w:rFonts w:ascii="Palatino Linotype" w:hAnsi="Palatino Linotype"/>
          <w:i/>
          <w:sz w:val="22"/>
        </w:rPr>
        <w:t>(…)”</w:t>
      </w:r>
    </w:p>
    <w:p w14:paraId="313E871E" w14:textId="3E68790A" w:rsidR="00BD66D6" w:rsidRPr="00624ACF" w:rsidRDefault="00BD66D6" w:rsidP="00E6530C">
      <w:pPr>
        <w:pStyle w:val="Prrafodelista"/>
        <w:tabs>
          <w:tab w:val="left" w:pos="426"/>
        </w:tabs>
        <w:spacing w:line="276" w:lineRule="auto"/>
        <w:ind w:left="567" w:right="567"/>
        <w:jc w:val="both"/>
        <w:rPr>
          <w:rFonts w:ascii="Palatino Linotype" w:hAnsi="Palatino Linotype"/>
          <w:color w:val="000000" w:themeColor="text1"/>
          <w:sz w:val="22"/>
        </w:rPr>
      </w:pPr>
      <w:r w:rsidRPr="00624ACF">
        <w:rPr>
          <w:rFonts w:ascii="Palatino Linotype" w:hAnsi="Palatino Linotype"/>
          <w:sz w:val="22"/>
        </w:rPr>
        <w:t>(Énfasis añadido)</w:t>
      </w:r>
    </w:p>
    <w:p w14:paraId="641FF5C4" w14:textId="77777777" w:rsidR="00B741AA" w:rsidRPr="00624ACF" w:rsidRDefault="00B741AA" w:rsidP="00E6530C">
      <w:pPr>
        <w:pStyle w:val="Prrafodelista"/>
        <w:tabs>
          <w:tab w:val="left" w:pos="426"/>
        </w:tabs>
        <w:spacing w:line="360" w:lineRule="auto"/>
        <w:ind w:left="0" w:right="51"/>
        <w:jc w:val="both"/>
        <w:rPr>
          <w:rFonts w:ascii="Palatino Linotype" w:hAnsi="Palatino Linotype"/>
          <w:color w:val="000000" w:themeColor="text1"/>
        </w:rPr>
      </w:pPr>
    </w:p>
    <w:p w14:paraId="5D2E4099" w14:textId="26F3B363" w:rsidR="00B741AA" w:rsidRPr="00624ACF" w:rsidRDefault="00E15E31"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color w:val="000000" w:themeColor="text1"/>
        </w:rPr>
        <w:t xml:space="preserve">Precisado </w:t>
      </w:r>
      <w:r w:rsidRPr="00624ACF">
        <w:rPr>
          <w:rFonts w:ascii="Palatino Linotype" w:hAnsi="Palatino Linotype"/>
          <w:lang w:eastAsia="en-US"/>
        </w:rPr>
        <w:t xml:space="preserve">lo anterior, </w:t>
      </w:r>
      <w:r w:rsidRPr="00624ACF">
        <w:rPr>
          <w:rFonts w:ascii="Palatino Linotype" w:eastAsia="Batang" w:hAnsi="Palatino Linotype" w:cs="Arial"/>
        </w:rPr>
        <w:t xml:space="preserve">por lo que hace a las causas de sobreseimiento contenidas en </w:t>
      </w:r>
      <w:r w:rsidRPr="00624ACF">
        <w:rPr>
          <w:rFonts w:ascii="Palatino Linotype" w:hAnsi="Palatino Linotype" w:cs="Arial"/>
        </w:rPr>
        <w:t xml:space="preserve">la fracción III del artículo 192 </w:t>
      </w:r>
      <w:r w:rsidRPr="00624ACF">
        <w:rPr>
          <w:rFonts w:ascii="Palatino Linotype" w:eastAsia="Batang" w:hAnsi="Palatino Linotype" w:cs="Arial"/>
        </w:rPr>
        <w:t xml:space="preserve">de la </w:t>
      </w:r>
      <w:r w:rsidRPr="00624ACF">
        <w:rPr>
          <w:rFonts w:ascii="Palatino Linotype" w:eastAsia="Batang" w:hAnsi="Palatino Linotype" w:cs="Arial"/>
          <w:b/>
        </w:rPr>
        <w:t>Ley de Transparencia y Acceso a la Información Pública del Estado de México y Municipios</w:t>
      </w:r>
      <w:r w:rsidRPr="00624ACF">
        <w:rPr>
          <w:rFonts w:ascii="Palatino Linotype" w:eastAsia="Batang" w:hAnsi="Palatino Linotype" w:cs="Arial"/>
        </w:rPr>
        <w:t xml:space="preserve">, es oportuno señalar que estos requisitos privilegian la existencia de elementos de fondo, tales como el desistimiento o fallecimiento </w:t>
      </w:r>
      <w:r w:rsidR="0012485C" w:rsidRPr="00624ACF">
        <w:rPr>
          <w:rFonts w:ascii="Palatino Linotype" w:eastAsia="Batang" w:hAnsi="Palatino Linotype" w:cs="Arial"/>
        </w:rPr>
        <w:t>de quien recurra el acto</w:t>
      </w:r>
      <w:r w:rsidR="00560018" w:rsidRPr="00624ACF">
        <w:rPr>
          <w:rFonts w:ascii="Palatino Linotype" w:eastAsia="Batang" w:hAnsi="Palatino Linotype" w:cs="Arial"/>
          <w:b/>
        </w:rPr>
        <w:t>,</w:t>
      </w:r>
      <w:r w:rsidRPr="00624ACF">
        <w:rPr>
          <w:rFonts w:ascii="Palatino Linotype" w:eastAsia="Batang" w:hAnsi="Palatino Linotype" w:cs="Arial"/>
        </w:rPr>
        <w:t xml:space="preserve"> o que el </w:t>
      </w:r>
      <w:r w:rsidRPr="00624ACF">
        <w:rPr>
          <w:rFonts w:ascii="Palatino Linotype" w:eastAsia="Batang" w:hAnsi="Palatino Linotype" w:cs="Arial"/>
          <w:b/>
        </w:rPr>
        <w:t>SUJETO OBLIGADO</w:t>
      </w:r>
      <w:r w:rsidRPr="00624ACF">
        <w:rPr>
          <w:rFonts w:ascii="Palatino Linotype" w:eastAsia="Batang" w:hAnsi="Palatino Linotype" w:cs="Arial"/>
        </w:rPr>
        <w:t xml:space="preserve"> </w:t>
      </w:r>
      <w:r w:rsidRPr="00624ACF">
        <w:rPr>
          <w:rFonts w:ascii="Palatino Linotype" w:eastAsia="Batang" w:hAnsi="Palatino Linotype" w:cs="Arial"/>
          <w:b/>
          <w:u w:val="single"/>
        </w:rPr>
        <w:t>modifique o revoque el acto</w:t>
      </w:r>
      <w:r w:rsidRPr="00624ACF">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206DBB13" w14:textId="77777777" w:rsidR="00E15E31" w:rsidRPr="00624ACF" w:rsidRDefault="00E15E31" w:rsidP="00E6530C">
      <w:pPr>
        <w:pStyle w:val="Prrafodelista"/>
        <w:tabs>
          <w:tab w:val="left" w:pos="426"/>
        </w:tabs>
        <w:spacing w:line="360" w:lineRule="auto"/>
        <w:ind w:left="0" w:right="51"/>
        <w:jc w:val="both"/>
        <w:rPr>
          <w:rFonts w:ascii="Palatino Linotype" w:hAnsi="Palatino Linotype"/>
          <w:color w:val="000000" w:themeColor="text1"/>
        </w:rPr>
      </w:pPr>
    </w:p>
    <w:p w14:paraId="5BC6F2FC" w14:textId="46828347" w:rsidR="00E15E31" w:rsidRPr="00624ACF" w:rsidRDefault="00E15E31"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eastAsia="Batang" w:hAnsi="Palatino Linotype" w:cs="Arial"/>
        </w:rPr>
        <w:t xml:space="preserve">Por </w:t>
      </w:r>
      <w:r w:rsidRPr="00624ACF">
        <w:rPr>
          <w:rFonts w:ascii="Palatino Linotype" w:eastAsia="Batang" w:hAnsi="Palatino Linotype" w:cs="Arial"/>
          <w:lang w:val="es-ES"/>
        </w:rPr>
        <w:t xml:space="preserve">otra parte, la doctrina establece que el sobreseimiento provoca que un procedimiento se suspenda o se resuelva en definitiva sin que se entre al estudio de </w:t>
      </w:r>
      <w:r w:rsidRPr="00624ACF">
        <w:rPr>
          <w:rFonts w:ascii="Palatino Linotype" w:eastAsia="Batang" w:hAnsi="Palatino Linotype" w:cs="Arial"/>
          <w:lang w:val="es-ES"/>
        </w:rPr>
        <w:lastRenderedPageBreak/>
        <w:t>los agravios o motivos de inconformidad. Este mismo criterio es compartido por el más alto tribunal del país en múltiples jurisprudencias, por lo que a continuación se agrega una de ellas que sirve como orientador en esta resolución:</w:t>
      </w:r>
    </w:p>
    <w:p w14:paraId="21864AAC" w14:textId="77777777" w:rsidR="00E15E31" w:rsidRPr="00624ACF" w:rsidRDefault="00E15E31" w:rsidP="00E6530C">
      <w:pPr>
        <w:pStyle w:val="Prrafodelista"/>
        <w:tabs>
          <w:tab w:val="left" w:pos="426"/>
        </w:tabs>
        <w:spacing w:line="360" w:lineRule="auto"/>
        <w:ind w:left="0" w:right="51"/>
        <w:jc w:val="both"/>
        <w:rPr>
          <w:rFonts w:ascii="Palatino Linotype" w:eastAsia="Batang" w:hAnsi="Palatino Linotype" w:cs="Arial"/>
          <w:lang w:val="es-ES"/>
        </w:rPr>
      </w:pPr>
    </w:p>
    <w:p w14:paraId="31A5D752" w14:textId="101FE08C" w:rsidR="00E15E31" w:rsidRPr="00624ACF" w:rsidRDefault="00E15E31" w:rsidP="00E6530C">
      <w:pPr>
        <w:pStyle w:val="Prrafodelista"/>
        <w:autoSpaceDE w:val="0"/>
        <w:autoSpaceDN w:val="0"/>
        <w:adjustRightInd w:val="0"/>
        <w:spacing w:line="276" w:lineRule="auto"/>
        <w:ind w:right="616"/>
        <w:jc w:val="both"/>
        <w:rPr>
          <w:rFonts w:ascii="Palatino Linotype" w:eastAsia="Batang" w:hAnsi="Palatino Linotype" w:cs="Arial"/>
          <w:iCs/>
          <w:sz w:val="22"/>
          <w:lang w:val="es-AR"/>
        </w:rPr>
      </w:pPr>
      <w:r w:rsidRPr="00624ACF">
        <w:rPr>
          <w:rFonts w:ascii="Palatino Linotype" w:eastAsia="Batang" w:hAnsi="Palatino Linotype" w:cs="Arial"/>
          <w:b/>
          <w:i/>
          <w:sz w:val="22"/>
          <w:lang w:val="es-AR"/>
        </w:rPr>
        <w:t>SOBRESEIMIENTO EN EL JUICIO DE AMPARO DIRECTO. IMPIDE EL ESTUDIO DE LAS VIOLACIONES PROCESALES PLANTEADAS EN LOS CONCEPTOS DE VIOLACIÓN. “El sobreseimiento</w:t>
      </w:r>
      <w:r w:rsidRPr="00624ACF">
        <w:rPr>
          <w:rFonts w:ascii="Palatino Linotype" w:eastAsia="Batang" w:hAnsi="Palatino Linotype" w:cs="Arial"/>
          <w:i/>
          <w:sz w:val="22"/>
          <w:lang w:val="es-AR"/>
        </w:rPr>
        <w:t xml:space="preserve"> en el juicio de amparo directo </w:t>
      </w:r>
      <w:r w:rsidRPr="00624ACF">
        <w:rPr>
          <w:rFonts w:ascii="Palatino Linotype" w:eastAsia="Batang" w:hAnsi="Palatino Linotype" w:cs="Arial"/>
          <w:b/>
          <w:i/>
          <w:sz w:val="22"/>
          <w:lang w:val="es-AR"/>
        </w:rPr>
        <w:t>provoca la terminación de la controversia planteada</w:t>
      </w:r>
      <w:r w:rsidRPr="00624ACF">
        <w:rPr>
          <w:rFonts w:ascii="Palatino Linotype" w:eastAsia="Batang" w:hAnsi="Palatino Linotype" w:cs="Arial"/>
          <w:i/>
          <w:sz w:val="22"/>
          <w:lang w:val="es-AR"/>
        </w:rPr>
        <w:t xml:space="preserve"> por el quejoso en la demanda de amparo</w:t>
      </w:r>
      <w:r w:rsidRPr="00624ACF">
        <w:rPr>
          <w:rFonts w:ascii="Palatino Linotype" w:eastAsia="Batang" w:hAnsi="Palatino Linotype" w:cs="Arial"/>
          <w:b/>
          <w:i/>
          <w:sz w:val="22"/>
          <w:lang w:val="es-AR"/>
        </w:rPr>
        <w:t>, sin hacer un pronunciamiento de fondo sobre la legalidad o ilegalidad de la sentencia reclamada</w:t>
      </w:r>
      <w:r w:rsidRPr="00624ACF">
        <w:rPr>
          <w:rFonts w:ascii="Palatino Linotype" w:eastAsia="Batang" w:hAnsi="Palatino Linotype" w:cs="Arial"/>
          <w:i/>
          <w:sz w:val="22"/>
          <w:lang w:val="es-AR"/>
        </w:rPr>
        <w:t xml:space="preserve">. </w:t>
      </w:r>
      <w:r w:rsidRPr="00624ACF">
        <w:rPr>
          <w:rFonts w:ascii="Palatino Linotype" w:eastAsia="Batang" w:hAnsi="Palatino Linotype" w:cs="Arial"/>
          <w:b/>
          <w:i/>
          <w:sz w:val="22"/>
          <w:lang w:val="es-AR"/>
        </w:rPr>
        <w:t xml:space="preserve">Por consiguiente, si al sobreseerse en el juicio de amparo </w:t>
      </w:r>
      <w:r w:rsidRPr="00624ACF">
        <w:rPr>
          <w:rFonts w:ascii="Palatino Linotype" w:eastAsia="Batang" w:hAnsi="Palatino Linotype" w:cs="Arial"/>
          <w:b/>
          <w:i/>
          <w:sz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24ACF">
        <w:rPr>
          <w:rFonts w:ascii="Palatino Linotype" w:eastAsia="Batang" w:hAnsi="Palatino Linotype" w:cs="Arial"/>
          <w:i/>
          <w:sz w:val="22"/>
          <w:lang w:val="es-AR"/>
        </w:rPr>
        <w:t>.”</w:t>
      </w:r>
    </w:p>
    <w:p w14:paraId="31F60C17" w14:textId="1E244D4E" w:rsidR="00560018" w:rsidRPr="00624ACF" w:rsidRDefault="00560018" w:rsidP="00E6530C">
      <w:pPr>
        <w:pStyle w:val="Prrafodelista"/>
        <w:autoSpaceDE w:val="0"/>
        <w:autoSpaceDN w:val="0"/>
        <w:adjustRightInd w:val="0"/>
        <w:spacing w:line="276" w:lineRule="auto"/>
        <w:ind w:right="616"/>
        <w:jc w:val="both"/>
        <w:rPr>
          <w:rFonts w:ascii="Palatino Linotype" w:eastAsia="Batang" w:hAnsi="Palatino Linotype" w:cs="Arial"/>
          <w:iCs/>
          <w:sz w:val="22"/>
          <w:lang w:val="es-AR"/>
        </w:rPr>
      </w:pPr>
      <w:r w:rsidRPr="00624ACF">
        <w:rPr>
          <w:rFonts w:ascii="Palatino Linotype" w:eastAsia="Batang" w:hAnsi="Palatino Linotype" w:cs="Arial"/>
          <w:iCs/>
          <w:sz w:val="22"/>
          <w:lang w:val="es-AR"/>
        </w:rPr>
        <w:t>(Énfasis añadido)</w:t>
      </w:r>
    </w:p>
    <w:p w14:paraId="5EFC7274" w14:textId="77777777" w:rsidR="00E15E31" w:rsidRPr="00624ACF" w:rsidRDefault="00E15E31" w:rsidP="00E6530C">
      <w:pPr>
        <w:pStyle w:val="Prrafodelista"/>
        <w:tabs>
          <w:tab w:val="left" w:pos="426"/>
        </w:tabs>
        <w:spacing w:line="360" w:lineRule="auto"/>
        <w:ind w:left="0" w:right="51"/>
        <w:jc w:val="both"/>
        <w:rPr>
          <w:rFonts w:ascii="Palatino Linotype" w:hAnsi="Palatino Linotype"/>
          <w:color w:val="000000" w:themeColor="text1"/>
        </w:rPr>
      </w:pPr>
    </w:p>
    <w:p w14:paraId="17F321D2" w14:textId="2CF021E5" w:rsidR="00E15E31" w:rsidRPr="00624ACF" w:rsidRDefault="00E15E31"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eastAsia="Batang" w:hAnsi="Palatino Linotype" w:cs="Arial"/>
          <w:lang w:val="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624ACF">
        <w:rPr>
          <w:rFonts w:ascii="Palatino Linotype" w:eastAsia="Batang" w:hAnsi="Palatino Linotype" w:cs="Arial"/>
          <w:b/>
          <w:lang w:val="es-ES"/>
        </w:rPr>
        <w:t xml:space="preserve">192 </w:t>
      </w:r>
      <w:r w:rsidRPr="00624ACF">
        <w:rPr>
          <w:rFonts w:ascii="Palatino Linotype" w:eastAsia="Batang" w:hAnsi="Palatino Linotype" w:cs="Arial"/>
          <w:lang w:val="es-ES"/>
        </w:rPr>
        <w:t xml:space="preserve">de la </w:t>
      </w:r>
      <w:r w:rsidRPr="00624ACF">
        <w:rPr>
          <w:rFonts w:ascii="Palatino Linotype" w:eastAsia="Batang" w:hAnsi="Palatino Linotype" w:cs="Arial"/>
          <w:b/>
          <w:lang w:val="es-ES"/>
        </w:rPr>
        <w:t>Ley de Transparencia y Acceso a la Información Pública del Estado de México y Municipios</w:t>
      </w:r>
      <w:r w:rsidRPr="00624ACF">
        <w:rPr>
          <w:rFonts w:ascii="Palatino Linotype" w:eastAsia="Batang" w:hAnsi="Palatino Linotype" w:cs="Arial"/>
          <w:lang w:val="es-ES"/>
        </w:rPr>
        <w:t xml:space="preserve">, nos encontramos ante un sobreseimiento definitivo toda vez que pone fin al procedimiento sin entrar al estudio de fondo </w:t>
      </w:r>
      <w:r w:rsidR="00560018" w:rsidRPr="00624ACF">
        <w:rPr>
          <w:rFonts w:ascii="Palatino Linotype" w:eastAsia="Batang" w:hAnsi="Palatino Linotype" w:cs="Arial"/>
          <w:lang w:val="es-ES"/>
        </w:rPr>
        <w:t>de éste</w:t>
      </w:r>
      <w:r w:rsidRPr="00624ACF">
        <w:rPr>
          <w:rFonts w:ascii="Palatino Linotype" w:eastAsia="Batang" w:hAnsi="Palatino Linotype" w:cs="Arial"/>
          <w:lang w:val="es-ES"/>
        </w:rPr>
        <w:t>.</w:t>
      </w:r>
    </w:p>
    <w:p w14:paraId="7521AFC5" w14:textId="77777777" w:rsidR="005F130C" w:rsidRPr="00624ACF" w:rsidRDefault="005F130C" w:rsidP="00E6530C">
      <w:pPr>
        <w:pStyle w:val="Prrafodelista"/>
        <w:tabs>
          <w:tab w:val="left" w:pos="426"/>
        </w:tabs>
        <w:spacing w:line="360" w:lineRule="auto"/>
        <w:ind w:left="0" w:right="51"/>
        <w:jc w:val="both"/>
        <w:rPr>
          <w:rFonts w:ascii="Palatino Linotype" w:hAnsi="Palatino Linotype"/>
          <w:color w:val="000000" w:themeColor="text1"/>
        </w:rPr>
      </w:pPr>
    </w:p>
    <w:p w14:paraId="605EE32D" w14:textId="112A4609" w:rsidR="005F130C" w:rsidRPr="00624ACF" w:rsidRDefault="005F130C"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eastAsia="Batang" w:hAnsi="Palatino Linotype" w:cs="Arial"/>
          <w:lang w:val="es-ES"/>
        </w:rPr>
        <w:t xml:space="preserve">Para </w:t>
      </w:r>
      <w:r w:rsidRPr="00624ACF">
        <w:rPr>
          <w:rFonts w:ascii="Palatino Linotype" w:eastAsia="Calibri" w:hAnsi="Palatino Linotype" w:cs="Arial"/>
          <w:lang w:val="es-ES"/>
        </w:rPr>
        <w:t xml:space="preserve">los efectos de esta resolución, es oportuno precisar los alcances jurídicos de la </w:t>
      </w:r>
      <w:r w:rsidRPr="00624ACF">
        <w:rPr>
          <w:rFonts w:ascii="Palatino Linotype" w:eastAsia="Calibri" w:hAnsi="Palatino Linotype" w:cs="Arial"/>
          <w:b/>
          <w:lang w:val="es-ES"/>
        </w:rPr>
        <w:t>fracción III</w:t>
      </w:r>
      <w:r w:rsidRPr="00624ACF">
        <w:rPr>
          <w:rFonts w:ascii="Palatino Linotype" w:eastAsia="Calibri" w:hAnsi="Palatino Linotype" w:cs="Arial"/>
          <w:lang w:val="es-ES"/>
        </w:rPr>
        <w:t xml:space="preserve"> de la disposición legal transcrita. Así, procede el sobreseimiento del recurso de revisión cuando el </w:t>
      </w:r>
      <w:r w:rsidRPr="00624ACF">
        <w:rPr>
          <w:rFonts w:ascii="Palatino Linotype" w:eastAsia="Calibri" w:hAnsi="Palatino Linotype" w:cs="Arial"/>
          <w:b/>
          <w:lang w:val="es-ES"/>
        </w:rPr>
        <w:t>SUJETO OBLIGADO</w:t>
      </w:r>
      <w:r w:rsidRPr="00624ACF">
        <w:rPr>
          <w:rFonts w:ascii="Palatino Linotype" w:eastAsia="Calibri" w:hAnsi="Palatino Linotype" w:cs="Arial"/>
          <w:lang w:val="es-ES"/>
        </w:rPr>
        <w:t>:</w:t>
      </w:r>
    </w:p>
    <w:p w14:paraId="1DCD86D0" w14:textId="503C20AC" w:rsidR="005F130C" w:rsidRPr="00624ACF" w:rsidRDefault="005F130C" w:rsidP="00E6530C">
      <w:pPr>
        <w:pStyle w:val="Prrafodelista"/>
        <w:numPr>
          <w:ilvl w:val="1"/>
          <w:numId w:val="1"/>
        </w:numPr>
        <w:tabs>
          <w:tab w:val="left" w:pos="426"/>
        </w:tabs>
        <w:spacing w:line="360" w:lineRule="auto"/>
        <w:ind w:left="993" w:right="51"/>
        <w:jc w:val="both"/>
        <w:rPr>
          <w:rFonts w:ascii="Palatino Linotype" w:hAnsi="Palatino Linotype"/>
          <w:color w:val="000000" w:themeColor="text1"/>
        </w:rPr>
      </w:pPr>
      <w:r w:rsidRPr="00624ACF">
        <w:rPr>
          <w:rFonts w:ascii="Palatino Linotype" w:hAnsi="Palatino Linotype"/>
          <w:b/>
          <w:color w:val="000000" w:themeColor="text1"/>
        </w:rPr>
        <w:lastRenderedPageBreak/>
        <w:t xml:space="preserve">Modifique </w:t>
      </w:r>
      <w:r w:rsidRPr="00624ACF">
        <w:rPr>
          <w:rFonts w:ascii="Palatino Linotype" w:eastAsia="Calibri" w:hAnsi="Palatino Linotype" w:cs="Arial"/>
          <w:b/>
          <w:lang w:val="es-ES"/>
        </w:rPr>
        <w:t>el acto impugnado:</w:t>
      </w:r>
      <w:r w:rsidRPr="00624ACF">
        <w:rPr>
          <w:rFonts w:ascii="Palatino Linotype" w:eastAsia="Calibri" w:hAnsi="Palatino Linotype" w:cs="Arial"/>
          <w:lang w:val="es-ES"/>
        </w:rPr>
        <w:t xml:space="preserve"> Se actualiza cuando el </w:t>
      </w:r>
      <w:r w:rsidRPr="00624ACF">
        <w:rPr>
          <w:rFonts w:ascii="Palatino Linotype" w:eastAsia="Calibri" w:hAnsi="Palatino Linotype" w:cs="Arial"/>
          <w:b/>
          <w:lang w:val="es-ES"/>
        </w:rPr>
        <w:t>SUJETO OBLIGADO</w:t>
      </w:r>
      <w:r w:rsidRPr="00624ACF">
        <w:rPr>
          <w:rFonts w:ascii="Palatino Linotype" w:eastAsia="Calibri" w:hAnsi="Palatino Linotype" w:cs="Arial"/>
          <w:lang w:val="es-ES"/>
        </w:rPr>
        <w:t xml:space="preserve"> después de haber otorgado una respuesta y hasta antes de dictada la resolución del recurso de revisión, emite una diversa en la que subsane las deficiencias que hubiera tenido.</w:t>
      </w:r>
    </w:p>
    <w:p w14:paraId="2DBE38E8" w14:textId="27A69438" w:rsidR="005F130C" w:rsidRPr="00624ACF" w:rsidRDefault="005F130C" w:rsidP="00E6530C">
      <w:pPr>
        <w:pStyle w:val="Prrafodelista"/>
        <w:numPr>
          <w:ilvl w:val="1"/>
          <w:numId w:val="1"/>
        </w:numPr>
        <w:tabs>
          <w:tab w:val="left" w:pos="426"/>
        </w:tabs>
        <w:spacing w:line="360" w:lineRule="auto"/>
        <w:ind w:left="993" w:right="51"/>
        <w:jc w:val="both"/>
        <w:rPr>
          <w:rFonts w:ascii="Palatino Linotype" w:hAnsi="Palatino Linotype"/>
          <w:color w:val="000000" w:themeColor="text1"/>
        </w:rPr>
      </w:pPr>
      <w:r w:rsidRPr="00624ACF">
        <w:rPr>
          <w:rFonts w:ascii="Palatino Linotype" w:hAnsi="Palatino Linotype"/>
          <w:b/>
          <w:color w:val="000000" w:themeColor="text1"/>
        </w:rPr>
        <w:t xml:space="preserve">Revoque </w:t>
      </w:r>
      <w:r w:rsidRPr="00624ACF">
        <w:rPr>
          <w:rFonts w:ascii="Palatino Linotype" w:eastAsia="Calibri" w:hAnsi="Palatino Linotype" w:cs="Arial"/>
          <w:b/>
          <w:lang w:val="es-ES"/>
        </w:rPr>
        <w:t xml:space="preserve">el acto impugnado: </w:t>
      </w:r>
      <w:r w:rsidRPr="00624ACF">
        <w:rPr>
          <w:rFonts w:ascii="Palatino Linotype" w:eastAsia="Calibri" w:hAnsi="Palatino Linotype" w:cs="Arial"/>
          <w:lang w:val="es-ES"/>
        </w:rPr>
        <w:t xml:space="preserve">En este supuesto, el </w:t>
      </w:r>
      <w:r w:rsidRPr="00624ACF">
        <w:rPr>
          <w:rFonts w:ascii="Palatino Linotype" w:eastAsia="Calibri" w:hAnsi="Palatino Linotype" w:cs="Arial"/>
          <w:b/>
          <w:lang w:val="es-ES"/>
        </w:rPr>
        <w:t>SUJETO OBLIGADO</w:t>
      </w:r>
      <w:r w:rsidRPr="00624ACF">
        <w:rPr>
          <w:rFonts w:ascii="Palatino Linotype" w:eastAsia="Calibri" w:hAnsi="Palatino Linotype" w:cs="Arial"/>
          <w:lang w:val="es-ES"/>
        </w:rPr>
        <w:t xml:space="preserve"> deja sin efectos la primera respuesta y en su lugar emite otra que satisfaga lo solicitado por el particular.</w:t>
      </w:r>
    </w:p>
    <w:p w14:paraId="2860FD6C" w14:textId="77777777" w:rsidR="005F130C" w:rsidRPr="00624ACF" w:rsidRDefault="005F130C" w:rsidP="00E6530C">
      <w:pPr>
        <w:pStyle w:val="Prrafodelista"/>
        <w:tabs>
          <w:tab w:val="left" w:pos="426"/>
        </w:tabs>
        <w:spacing w:line="360" w:lineRule="auto"/>
        <w:ind w:left="0" w:right="51"/>
        <w:jc w:val="both"/>
        <w:rPr>
          <w:rFonts w:ascii="Palatino Linotype" w:hAnsi="Palatino Linotype"/>
          <w:color w:val="000000" w:themeColor="text1"/>
        </w:rPr>
      </w:pPr>
    </w:p>
    <w:p w14:paraId="333E0E4A" w14:textId="10457024" w:rsidR="005F130C" w:rsidRPr="00624ACF" w:rsidRDefault="005F130C"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eastAsia="Batang" w:hAnsi="Palatino Linotype" w:cs="Arial"/>
          <w:lang w:val="es-ES"/>
        </w:rPr>
        <w:t xml:space="preserve">Las </w:t>
      </w:r>
      <w:r w:rsidRPr="00624ACF">
        <w:rPr>
          <w:rFonts w:ascii="Palatino Linotype" w:eastAsia="Calibri" w:hAnsi="Palatino Linotype" w:cs="Times New Roman"/>
          <w:lang w:val="es-ES"/>
        </w:rPr>
        <w:t xml:space="preserve">consecuencias jurídicas de esta modificación o revocación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624ACF">
        <w:rPr>
          <w:rFonts w:ascii="Palatino Linotype" w:eastAsia="Calibri" w:hAnsi="Palatino Linotype" w:cs="Times New Roman"/>
          <w:b/>
          <w:lang w:val="es-ES"/>
        </w:rPr>
        <w:t>cuando ha</w:t>
      </w:r>
      <w:r w:rsidR="00E40F68" w:rsidRPr="00624ACF">
        <w:rPr>
          <w:rFonts w:ascii="Palatino Linotype" w:eastAsia="Calibri" w:hAnsi="Palatino Linotype" w:cs="Times New Roman"/>
          <w:b/>
          <w:lang w:val="es-ES"/>
        </w:rPr>
        <w:t>ya</w:t>
      </w:r>
      <w:r w:rsidRPr="00624ACF">
        <w:rPr>
          <w:rFonts w:ascii="Palatino Linotype" w:eastAsia="Calibri" w:hAnsi="Palatino Linotype" w:cs="Times New Roman"/>
          <w:b/>
          <w:lang w:val="es-ES"/>
        </w:rPr>
        <w:t xml:space="preserve"> sido satisfecha la pretensión del particular</w:t>
      </w:r>
      <w:r w:rsidRPr="00624ACF">
        <w:rPr>
          <w:rFonts w:ascii="Palatino Linotype" w:eastAsia="Calibri" w:hAnsi="Palatino Linotype" w:cs="Times New Roman"/>
          <w:lang w:val="es-ES"/>
        </w:rPr>
        <w:t>, ya sea porque se hizo la entrega de la información solicitada o porque se completó la misma.</w:t>
      </w:r>
    </w:p>
    <w:p w14:paraId="2BE6DE98" w14:textId="77777777" w:rsidR="005F130C" w:rsidRPr="00624ACF" w:rsidRDefault="005F130C" w:rsidP="00E6530C">
      <w:pPr>
        <w:pStyle w:val="Prrafodelista"/>
        <w:tabs>
          <w:tab w:val="left" w:pos="426"/>
        </w:tabs>
        <w:spacing w:line="360" w:lineRule="auto"/>
        <w:ind w:left="0" w:right="51"/>
        <w:jc w:val="both"/>
        <w:rPr>
          <w:rFonts w:ascii="Palatino Linotype" w:hAnsi="Palatino Linotype"/>
          <w:color w:val="000000" w:themeColor="text1"/>
        </w:rPr>
      </w:pPr>
    </w:p>
    <w:p w14:paraId="1C93CC68" w14:textId="1B730E36" w:rsidR="005F130C" w:rsidRPr="00624ACF" w:rsidRDefault="005F130C" w:rsidP="00E40F68">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eastAsia="Batang" w:hAnsi="Palatino Linotype" w:cs="Arial"/>
          <w:lang w:val="es-ES"/>
        </w:rPr>
        <w:t xml:space="preserve">En </w:t>
      </w:r>
      <w:r w:rsidRPr="00624ACF">
        <w:rPr>
          <w:rFonts w:ascii="Palatino Linotype" w:eastAsia="Calibri" w:hAnsi="Palatino Linotype" w:cs="Arial"/>
          <w:lang w:val="es-ES"/>
        </w:rPr>
        <w:t xml:space="preserve">el presente asunto, este Pleno advierte que el </w:t>
      </w:r>
      <w:r w:rsidRPr="00624ACF">
        <w:rPr>
          <w:rFonts w:ascii="Palatino Linotype" w:eastAsia="Times New Roman" w:hAnsi="Palatino Linotype" w:cs="Arial"/>
          <w:b/>
          <w:lang w:val="es-ES"/>
        </w:rPr>
        <w:t>SUJETO OBLIGADO</w:t>
      </w:r>
      <w:r w:rsidR="00560018" w:rsidRPr="00624ACF">
        <w:rPr>
          <w:rFonts w:ascii="Palatino Linotype" w:eastAsia="Times New Roman" w:hAnsi="Palatino Linotype" w:cs="Arial"/>
          <w:bCs/>
          <w:lang w:val="es-ES"/>
        </w:rPr>
        <w:t>,</w:t>
      </w:r>
      <w:r w:rsidRPr="00624ACF">
        <w:rPr>
          <w:rFonts w:ascii="Palatino Linotype" w:eastAsia="Calibri" w:hAnsi="Palatino Linotype" w:cs="Arial"/>
          <w:lang w:val="es-ES"/>
        </w:rPr>
        <w:t xml:space="preserve"> con la información enviada a este Órgano Garante en vía de Informe Justificado, </w:t>
      </w:r>
      <w:r w:rsidR="008B1890" w:rsidRPr="00624ACF">
        <w:rPr>
          <w:rFonts w:ascii="Palatino Linotype" w:eastAsia="Calibri" w:hAnsi="Palatino Linotype" w:cs="Arial"/>
          <w:b/>
          <w:lang w:val="es-ES"/>
        </w:rPr>
        <w:t>revoca</w:t>
      </w:r>
      <w:r w:rsidRPr="00624ACF">
        <w:rPr>
          <w:rFonts w:ascii="Palatino Linotype" w:eastAsia="Calibri" w:hAnsi="Palatino Linotype" w:cs="Arial"/>
          <w:b/>
          <w:lang w:val="es-ES"/>
        </w:rPr>
        <w:t xml:space="preserve"> el acto que le dio origen al recurso de revisión, por lo que trae como consecuencia que el mismo quede sin materia</w:t>
      </w:r>
      <w:r w:rsidRPr="00624ACF">
        <w:rPr>
          <w:rFonts w:ascii="Palatino Linotype" w:eastAsia="Calibri" w:hAnsi="Palatino Linotype" w:cs="Arial"/>
          <w:lang w:val="es-ES"/>
        </w:rPr>
        <w:t>, actualizándose de este modo la hipótesis jurídica contenida en la fracción III del citado artículo 192.</w:t>
      </w:r>
    </w:p>
    <w:p w14:paraId="52F63633" w14:textId="77777777" w:rsidR="005F130C" w:rsidRPr="00624ACF" w:rsidRDefault="005F130C" w:rsidP="00E6530C">
      <w:pPr>
        <w:pStyle w:val="Prrafodelista"/>
        <w:tabs>
          <w:tab w:val="left" w:pos="426"/>
        </w:tabs>
        <w:spacing w:line="360" w:lineRule="auto"/>
        <w:ind w:left="0" w:right="51"/>
        <w:jc w:val="both"/>
        <w:rPr>
          <w:rFonts w:ascii="Palatino Linotype" w:hAnsi="Palatino Linotype"/>
          <w:color w:val="000000" w:themeColor="text1"/>
        </w:rPr>
      </w:pPr>
    </w:p>
    <w:p w14:paraId="4A8B7684" w14:textId="6B4632E2" w:rsidR="005F130C" w:rsidRPr="00624ACF" w:rsidRDefault="005F130C"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eastAsia="Batang" w:hAnsi="Palatino Linotype" w:cs="Arial"/>
          <w:lang w:val="es-ES"/>
        </w:rPr>
        <w:t xml:space="preserve">De </w:t>
      </w:r>
      <w:r w:rsidRPr="00624ACF">
        <w:rPr>
          <w:rFonts w:ascii="Palatino Linotype" w:eastAsia="Calibri" w:hAnsi="Palatino Linotype" w:cs="Arial"/>
          <w:lang w:val="es-ES"/>
        </w:rPr>
        <w:t xml:space="preserve">este modo, cuando el </w:t>
      </w:r>
      <w:r w:rsidRPr="00624ACF">
        <w:rPr>
          <w:rFonts w:ascii="Palatino Linotype" w:eastAsia="Calibri" w:hAnsi="Palatino Linotype" w:cs="Arial"/>
          <w:b/>
          <w:lang w:val="es-ES"/>
        </w:rPr>
        <w:t xml:space="preserve">SUJETO OBLIGADO, </w:t>
      </w:r>
      <w:r w:rsidRPr="00624ACF">
        <w:rPr>
          <w:rFonts w:ascii="Palatino Linotype" w:eastAsia="Calibri" w:hAnsi="Palatino Linotype" w:cs="Arial"/>
          <w:lang w:val="es-ES"/>
        </w:rPr>
        <w:t xml:space="preserve">antes de que se dicte resolución definitiva, entrega la información solicitada o completa la respuesta que en un primer momento fue incompleta o no correspondió con lo solicitado; </w:t>
      </w:r>
      <w:r w:rsidRPr="00624ACF">
        <w:rPr>
          <w:rFonts w:ascii="Palatino Linotype" w:eastAsia="Calibri" w:hAnsi="Palatino Linotype" w:cs="Arial"/>
          <w:b/>
          <w:lang w:val="es-ES"/>
        </w:rPr>
        <w:t xml:space="preserve">el recurso de </w:t>
      </w:r>
      <w:r w:rsidRPr="00624ACF">
        <w:rPr>
          <w:rFonts w:ascii="Palatino Linotype" w:eastAsia="Calibri" w:hAnsi="Palatino Linotype" w:cs="Arial"/>
          <w:b/>
          <w:lang w:val="es-ES"/>
        </w:rPr>
        <w:lastRenderedPageBreak/>
        <w:t>revisión que al efecto se haya interpuesto quedará sin materia</w:t>
      </w:r>
      <w:r w:rsidRPr="00624ACF">
        <w:rPr>
          <w:rFonts w:ascii="Palatino Linotype" w:eastAsia="Calibri" w:hAnsi="Palatino Linotype" w:cs="Arial"/>
          <w:lang w:val="es-ES"/>
        </w:rPr>
        <w:t xml:space="preserve"> lo que imposibilita el estudio de fondo de la </w:t>
      </w:r>
      <w:proofErr w:type="spellStart"/>
      <w:r w:rsidRPr="00624ACF">
        <w:rPr>
          <w:rFonts w:ascii="Palatino Linotype" w:eastAsia="Calibri" w:hAnsi="Palatino Linotype" w:cs="Arial"/>
          <w:i/>
          <w:lang w:val="es-ES"/>
        </w:rPr>
        <w:t>litis</w:t>
      </w:r>
      <w:proofErr w:type="spellEnd"/>
      <w:r w:rsidRPr="00624ACF">
        <w:rPr>
          <w:rFonts w:ascii="Palatino Linotype" w:eastAsia="Calibri" w:hAnsi="Palatino Linotype" w:cs="Arial"/>
          <w:lang w:val="es-ES"/>
        </w:rPr>
        <w:t xml:space="preserve"> planteada, debido a que la afectación en su esfera de derechos fue restituida por la propia autoridad que emitió el acto motivo de impugnación</w:t>
      </w:r>
      <w:r w:rsidRPr="00624ACF">
        <w:rPr>
          <w:rFonts w:ascii="Palatino Linotype" w:hAnsi="Palatino Linotype"/>
        </w:rPr>
        <w:t>.</w:t>
      </w:r>
    </w:p>
    <w:p w14:paraId="4A8A1938" w14:textId="77777777" w:rsidR="005F130C" w:rsidRPr="00624ACF" w:rsidRDefault="005F130C" w:rsidP="00E6530C">
      <w:pPr>
        <w:pStyle w:val="Prrafodelista"/>
        <w:tabs>
          <w:tab w:val="left" w:pos="426"/>
        </w:tabs>
        <w:spacing w:line="360" w:lineRule="auto"/>
        <w:ind w:left="0" w:right="51"/>
        <w:jc w:val="both"/>
        <w:rPr>
          <w:rFonts w:ascii="Palatino Linotype" w:hAnsi="Palatino Linotype"/>
          <w:color w:val="000000" w:themeColor="text1"/>
        </w:rPr>
      </w:pPr>
    </w:p>
    <w:p w14:paraId="2B8EDDEC" w14:textId="48ACDBE6" w:rsidR="005F130C" w:rsidRPr="00624ACF" w:rsidRDefault="005F130C"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eastAsia="Batang" w:hAnsi="Palatino Linotype" w:cs="Arial"/>
          <w:lang w:val="es-ES"/>
        </w:rPr>
        <w:t xml:space="preserve">Por </w:t>
      </w:r>
      <w:r w:rsidRPr="00624ACF">
        <w:rPr>
          <w:rFonts w:ascii="Palatino Linotype" w:eastAsia="Calibri" w:hAnsi="Palatino Linotype" w:cs="Arial"/>
          <w:lang w:val="es-ES"/>
        </w:rPr>
        <w:t xml:space="preserve">lo tanto, para que se actualice el sobreseimiento de un recurso de revisión, el </w:t>
      </w:r>
      <w:r w:rsidRPr="00624ACF">
        <w:rPr>
          <w:rFonts w:ascii="Palatino Linotype" w:eastAsia="Calibri" w:hAnsi="Palatino Linotype" w:cs="Arial"/>
          <w:b/>
          <w:lang w:val="es-ES"/>
        </w:rPr>
        <w:t>SUJETO OBLIGADO</w:t>
      </w:r>
      <w:r w:rsidRPr="00624ACF">
        <w:rPr>
          <w:rFonts w:ascii="Palatino Linotype" w:eastAsia="Calibri" w:hAnsi="Palatino Linotype" w:cs="Arial"/>
          <w:lang w:val="es-ES"/>
        </w:rPr>
        <w:t xml:space="preserve"> puede entregar o completar la información al momento de rendir su informe de justificación </w:t>
      </w:r>
      <w:r w:rsidRPr="00624ACF">
        <w:rPr>
          <w:rFonts w:ascii="Palatino Linotype" w:hAnsi="Palatino Linotype"/>
          <w:u w:val="single"/>
        </w:rPr>
        <w:t>dentro de los siete días previstos para manifestar lo que a su derecho convenga, lo anterior también puede ocurrir posteriormente, siempre y cuando el Pleno del Instituto no haya dictado resolución definitiva.</w:t>
      </w:r>
    </w:p>
    <w:p w14:paraId="3A33B22A" w14:textId="77777777" w:rsidR="005F130C" w:rsidRPr="00624ACF" w:rsidRDefault="005F130C" w:rsidP="00E6530C">
      <w:pPr>
        <w:pStyle w:val="Prrafodelista"/>
        <w:tabs>
          <w:tab w:val="left" w:pos="426"/>
        </w:tabs>
        <w:spacing w:line="360" w:lineRule="auto"/>
        <w:ind w:left="0" w:right="51"/>
        <w:jc w:val="both"/>
        <w:rPr>
          <w:rFonts w:ascii="Palatino Linotype" w:hAnsi="Palatino Linotype"/>
          <w:color w:val="000000" w:themeColor="text1"/>
        </w:rPr>
      </w:pPr>
    </w:p>
    <w:p w14:paraId="2A7CEAF6" w14:textId="1295332D" w:rsidR="005F130C" w:rsidRPr="00624ACF" w:rsidRDefault="005F130C"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eastAsia="Batang" w:hAnsi="Palatino Linotype" w:cs="Arial"/>
          <w:lang w:val="es-ES"/>
        </w:rPr>
        <w:t xml:space="preserve">Finalmente, </w:t>
      </w:r>
      <w:r w:rsidRPr="00624ACF">
        <w:rPr>
          <w:rFonts w:ascii="Palatino Linotype" w:hAnsi="Palatino Linotype" w:cs="Arial"/>
          <w:lang w:val="es-CO"/>
        </w:rPr>
        <w:t xml:space="preserve">en términos del artículo 186, fracción I, de la Ley de Transparencia y Acceso a la Información Pública del Estado de México y Municipios, este Pleno determina el </w:t>
      </w:r>
      <w:r w:rsidRPr="00624ACF">
        <w:rPr>
          <w:rFonts w:ascii="Palatino Linotype" w:hAnsi="Palatino Linotype" w:cs="Arial"/>
          <w:b/>
          <w:lang w:val="es-CO"/>
        </w:rPr>
        <w:t xml:space="preserve">SOBRESEIMIENTO </w:t>
      </w:r>
      <w:r w:rsidRPr="00624ACF">
        <w:rPr>
          <w:rFonts w:ascii="Palatino Linotype" w:hAnsi="Palatino Linotype" w:cs="Arial"/>
          <w:lang w:val="es-CO"/>
        </w:rPr>
        <w:t>del presente recurso de revisión, toda vez que la afectación al derecho de acceso a la información pública establecido constitucionalmente a favor del particular ha sido resarcida al proporcionar la información que ha sido observada por este Órgano Garante.</w:t>
      </w:r>
    </w:p>
    <w:p w14:paraId="0F384FB3" w14:textId="699FA3FE" w:rsidR="00614DC5" w:rsidRPr="00624ACF" w:rsidRDefault="00614DC5" w:rsidP="00E6530C">
      <w:pPr>
        <w:pStyle w:val="Prrafodelista"/>
        <w:tabs>
          <w:tab w:val="left" w:pos="426"/>
        </w:tabs>
        <w:spacing w:line="360" w:lineRule="auto"/>
        <w:ind w:left="0" w:right="51"/>
        <w:jc w:val="both"/>
        <w:rPr>
          <w:rFonts w:ascii="Palatino Linotype" w:hAnsi="Palatino Linotype"/>
          <w:color w:val="000000" w:themeColor="text1"/>
        </w:rPr>
      </w:pPr>
    </w:p>
    <w:p w14:paraId="2F05640F" w14:textId="3D9DB043" w:rsidR="00953B03" w:rsidRPr="00624ACF" w:rsidRDefault="00E40F68" w:rsidP="00E6530C">
      <w:pPr>
        <w:pStyle w:val="Prrafodelista"/>
        <w:tabs>
          <w:tab w:val="left" w:pos="426"/>
        </w:tabs>
        <w:spacing w:line="360" w:lineRule="auto"/>
        <w:ind w:left="0" w:right="51"/>
        <w:jc w:val="both"/>
        <w:outlineLvl w:val="1"/>
        <w:rPr>
          <w:rFonts w:ascii="Palatino Linotype" w:hAnsi="Palatino Linotype"/>
          <w:b/>
          <w:bCs/>
          <w:color w:val="000000" w:themeColor="text1"/>
        </w:rPr>
      </w:pPr>
      <w:bookmarkStart w:id="24" w:name="_Toc86945046"/>
      <w:r w:rsidRPr="00624ACF">
        <w:rPr>
          <w:rFonts w:ascii="Palatino Linotype" w:hAnsi="Palatino Linotype"/>
          <w:b/>
          <w:bCs/>
          <w:color w:val="000000" w:themeColor="text1"/>
        </w:rPr>
        <w:t>CUARTO</w:t>
      </w:r>
      <w:r w:rsidR="00953B03" w:rsidRPr="00624ACF">
        <w:rPr>
          <w:rFonts w:ascii="Palatino Linotype" w:hAnsi="Palatino Linotype"/>
          <w:b/>
          <w:bCs/>
          <w:color w:val="000000" w:themeColor="text1"/>
        </w:rPr>
        <w:t>. Decisión</w:t>
      </w:r>
      <w:bookmarkEnd w:id="24"/>
    </w:p>
    <w:p w14:paraId="2B8DED45" w14:textId="77777777" w:rsidR="00953B03" w:rsidRPr="00624ACF" w:rsidRDefault="00953B03" w:rsidP="00E6530C">
      <w:pPr>
        <w:pStyle w:val="Prrafodelista"/>
        <w:tabs>
          <w:tab w:val="left" w:pos="426"/>
        </w:tabs>
        <w:spacing w:line="360" w:lineRule="auto"/>
        <w:ind w:left="0" w:right="51"/>
        <w:jc w:val="both"/>
        <w:rPr>
          <w:rFonts w:ascii="Palatino Linotype" w:hAnsi="Palatino Linotype"/>
          <w:color w:val="000000" w:themeColor="text1"/>
        </w:rPr>
      </w:pPr>
    </w:p>
    <w:p w14:paraId="07E67D9C" w14:textId="2040D1DD" w:rsidR="00F6300E" w:rsidRPr="00624ACF" w:rsidRDefault="006B2A9C" w:rsidP="00291090">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color w:val="000000" w:themeColor="text1"/>
        </w:rPr>
        <w:t xml:space="preserve">Luego de analizar </w:t>
      </w:r>
      <w:r w:rsidR="00BD66D6" w:rsidRPr="00624ACF">
        <w:rPr>
          <w:rFonts w:ascii="Palatino Linotype" w:hAnsi="Palatino Linotype"/>
          <w:color w:val="000000" w:themeColor="text1"/>
        </w:rPr>
        <w:t>todas y cada una de las constancias que obran en el expediente digital formado en el SAIMEX</w:t>
      </w:r>
      <w:r w:rsidRPr="00624ACF">
        <w:rPr>
          <w:rFonts w:ascii="Palatino Linotype" w:hAnsi="Palatino Linotype"/>
          <w:color w:val="000000" w:themeColor="text1"/>
        </w:rPr>
        <w:t xml:space="preserve">, </w:t>
      </w:r>
      <w:r w:rsidR="00E40F68" w:rsidRPr="00624ACF">
        <w:rPr>
          <w:rFonts w:ascii="Palatino Linotype" w:hAnsi="Palatino Linotype"/>
          <w:color w:val="000000" w:themeColor="text1"/>
        </w:rPr>
        <w:t xml:space="preserve">se determinó que si bien, en un primer momento, el </w:t>
      </w:r>
      <w:r w:rsidR="00E40F68" w:rsidRPr="00624ACF">
        <w:rPr>
          <w:rFonts w:ascii="Palatino Linotype" w:hAnsi="Palatino Linotype"/>
          <w:b/>
          <w:color w:val="000000" w:themeColor="text1"/>
        </w:rPr>
        <w:t>SUJETO OBLIGADO</w:t>
      </w:r>
      <w:r w:rsidR="00E40F68" w:rsidRPr="00624ACF">
        <w:rPr>
          <w:rFonts w:ascii="Palatino Linotype" w:hAnsi="Palatino Linotype"/>
          <w:color w:val="000000" w:themeColor="text1"/>
        </w:rPr>
        <w:t xml:space="preserve"> no había dado </w:t>
      </w:r>
      <w:r w:rsidR="00BF3FA6" w:rsidRPr="00624ACF">
        <w:rPr>
          <w:rFonts w:ascii="Palatino Linotype" w:hAnsi="Palatino Linotype"/>
          <w:color w:val="000000" w:themeColor="text1"/>
        </w:rPr>
        <w:t xml:space="preserve">cumplimiento a la resolución recaída al recurso de revisión </w:t>
      </w:r>
      <w:r w:rsidR="00BF3FA6" w:rsidRPr="00624ACF">
        <w:rPr>
          <w:rFonts w:ascii="Palatino Linotype" w:hAnsi="Palatino Linotype"/>
          <w:b/>
          <w:bCs/>
          <w:color w:val="000000" w:themeColor="text1"/>
        </w:rPr>
        <w:t>06268/INFOEM/IP/RR/2021</w:t>
      </w:r>
      <w:r w:rsidR="00E40F68" w:rsidRPr="00624ACF">
        <w:rPr>
          <w:rFonts w:ascii="Palatino Linotype" w:hAnsi="Palatino Linotype"/>
          <w:color w:val="000000" w:themeColor="text1"/>
        </w:rPr>
        <w:t xml:space="preserve">, se subsanó esta omisión </w:t>
      </w:r>
      <w:r w:rsidR="00E40F68" w:rsidRPr="00624ACF">
        <w:rPr>
          <w:rFonts w:ascii="Palatino Linotype" w:hAnsi="Palatino Linotype"/>
          <w:color w:val="000000" w:themeColor="text1"/>
        </w:rPr>
        <w:lastRenderedPageBreak/>
        <w:t>mediante la entrega de información en vía de informe justificado, colmando con ello el derecho de acceso a la información ejercido por el particular.</w:t>
      </w:r>
    </w:p>
    <w:p w14:paraId="599C6C34" w14:textId="77777777" w:rsidR="0012485C" w:rsidRPr="00624ACF" w:rsidRDefault="0012485C" w:rsidP="0012485C">
      <w:pPr>
        <w:pStyle w:val="Prrafodelista"/>
        <w:tabs>
          <w:tab w:val="left" w:pos="426"/>
        </w:tabs>
        <w:spacing w:line="360" w:lineRule="auto"/>
        <w:ind w:left="0" w:right="51"/>
        <w:jc w:val="both"/>
        <w:rPr>
          <w:rFonts w:ascii="Palatino Linotype" w:hAnsi="Palatino Linotype"/>
          <w:color w:val="000000" w:themeColor="text1"/>
        </w:rPr>
      </w:pPr>
    </w:p>
    <w:p w14:paraId="61B5E6A2" w14:textId="6C437729" w:rsidR="00F01443" w:rsidRPr="00624ACF" w:rsidRDefault="003E6079"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color w:val="000000" w:themeColor="text1"/>
        </w:rPr>
        <w:t xml:space="preserve">Por </w:t>
      </w:r>
      <w:r w:rsidRPr="00624ACF">
        <w:rPr>
          <w:rFonts w:ascii="Palatino Linotype" w:eastAsia="MS Mincho" w:hAnsi="Palatino Linotype" w:cstheme="majorBidi"/>
        </w:rPr>
        <w:t>lo tanto,</w:t>
      </w:r>
      <w:r w:rsidRPr="00624ACF">
        <w:rPr>
          <w:rFonts w:ascii="Palatino Linotype" w:eastAsia="MS Mincho" w:hAnsi="Palatino Linotype" w:cstheme="majorBidi"/>
          <w:lang w:val="es-ES"/>
        </w:rPr>
        <w:t xml:space="preserve"> en consecuencia y en mérito de lo expuesto en líneas anteriores, </w:t>
      </w:r>
      <w:r w:rsidR="00B741AA" w:rsidRPr="00624ACF">
        <w:rPr>
          <w:rFonts w:ascii="Palatino Linotype" w:eastAsia="MS Mincho" w:hAnsi="Palatino Linotype" w:cstheme="majorBidi"/>
          <w:lang w:val="es-ES"/>
        </w:rPr>
        <w:t>con fundamento en la fracción III del artículo 192,</w:t>
      </w:r>
      <w:r w:rsidR="00B741AA" w:rsidRPr="00624ACF">
        <w:rPr>
          <w:rFonts w:ascii="Palatino Linotype" w:eastAsia="MS Mincho" w:hAnsi="Palatino Linotype" w:cstheme="majorBidi"/>
          <w:b/>
          <w:lang w:val="es-ES"/>
        </w:rPr>
        <w:t xml:space="preserve"> </w:t>
      </w:r>
      <w:r w:rsidR="00B741AA" w:rsidRPr="00624ACF">
        <w:rPr>
          <w:rFonts w:ascii="Palatino Linotype" w:eastAsia="MS Mincho" w:hAnsi="Palatino Linotype" w:cstheme="majorBidi"/>
          <w:lang w:val="es-ES"/>
        </w:rPr>
        <w:t xml:space="preserve">de la Ley de Transparencia y Acceso a la Información Pública del Estado de México y Municipios, se </w:t>
      </w:r>
      <w:r w:rsidR="00B741AA" w:rsidRPr="00624ACF">
        <w:rPr>
          <w:rFonts w:ascii="Palatino Linotype" w:eastAsia="MS Mincho" w:hAnsi="Palatino Linotype" w:cstheme="majorBidi"/>
          <w:b/>
          <w:lang w:val="es-ES"/>
        </w:rPr>
        <w:t xml:space="preserve">SOBRESEE </w:t>
      </w:r>
      <w:r w:rsidR="00B741AA" w:rsidRPr="00624ACF">
        <w:rPr>
          <w:rFonts w:ascii="Palatino Linotype" w:eastAsia="MS Mincho" w:hAnsi="Palatino Linotype" w:cstheme="majorBidi"/>
          <w:lang w:val="es-ES"/>
        </w:rPr>
        <w:t xml:space="preserve">el recurso de revisión </w:t>
      </w:r>
      <w:r w:rsidR="006E7F9E" w:rsidRPr="00624ACF">
        <w:rPr>
          <w:rFonts w:ascii="Palatino Linotype" w:eastAsia="MS Mincho" w:hAnsi="Palatino Linotype" w:cstheme="majorBidi"/>
          <w:b/>
          <w:lang w:val="es-ES"/>
        </w:rPr>
        <w:t>06268/INFOEM/ICR-31/IP/RR/2021</w:t>
      </w:r>
      <w:r w:rsidR="00B741AA" w:rsidRPr="00624ACF">
        <w:rPr>
          <w:rFonts w:ascii="Palatino Linotype" w:eastAsia="MS Mincho" w:hAnsi="Palatino Linotype" w:cstheme="majorBidi"/>
          <w:lang w:val="es-ES"/>
        </w:rPr>
        <w:t>, que ha sido materia del presente fallo.</w:t>
      </w:r>
    </w:p>
    <w:p w14:paraId="370E910A" w14:textId="77777777" w:rsidR="00F01443" w:rsidRPr="00624ACF" w:rsidRDefault="00F01443" w:rsidP="00E6530C">
      <w:pPr>
        <w:pStyle w:val="Prrafodelista"/>
        <w:tabs>
          <w:tab w:val="left" w:pos="426"/>
        </w:tabs>
        <w:spacing w:line="360" w:lineRule="auto"/>
        <w:ind w:left="0" w:right="51"/>
        <w:jc w:val="both"/>
        <w:rPr>
          <w:rFonts w:ascii="Palatino Linotype" w:hAnsi="Palatino Linotype"/>
          <w:color w:val="000000" w:themeColor="text1"/>
        </w:rPr>
      </w:pPr>
    </w:p>
    <w:p w14:paraId="7CFC3FBC" w14:textId="288FA27E" w:rsidR="00266588" w:rsidRPr="00624ACF" w:rsidRDefault="00F01801" w:rsidP="00E653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24ACF">
        <w:rPr>
          <w:rFonts w:ascii="Palatino Linotype" w:hAnsi="Palatino Linotype"/>
          <w:color w:val="000000" w:themeColor="text1"/>
          <w:lang w:val="es-ES"/>
        </w:rPr>
        <w:t xml:space="preserve">Por </w:t>
      </w:r>
      <w:r w:rsidR="00B41516" w:rsidRPr="00624ACF">
        <w:rPr>
          <w:rFonts w:ascii="Palatino Linotype" w:hAnsi="Palatino Linotype"/>
          <w:color w:val="000000" w:themeColor="text1"/>
        </w:rPr>
        <w:t xml:space="preserve">lo anteriormente expuesto y fundado, </w:t>
      </w:r>
      <w:r w:rsidR="003E6079" w:rsidRPr="00624ACF">
        <w:rPr>
          <w:rFonts w:ascii="Palatino Linotype" w:hAnsi="Palatino Linotype"/>
          <w:color w:val="000000" w:themeColor="text1"/>
        </w:rPr>
        <w:t>e</w:t>
      </w:r>
      <w:r w:rsidR="00B41516" w:rsidRPr="00624ACF">
        <w:rPr>
          <w:rFonts w:ascii="Palatino Linotype" w:hAnsi="Palatino Linotype"/>
          <w:color w:val="000000" w:themeColor="text1"/>
        </w:rPr>
        <w:t xml:space="preserve">ste </w:t>
      </w:r>
      <w:r w:rsidR="00B41516" w:rsidRPr="00624ACF">
        <w:rPr>
          <w:rFonts w:ascii="Palatino Linotype" w:hAnsi="Palatino Linotype"/>
          <w:b/>
          <w:color w:val="000000" w:themeColor="text1"/>
        </w:rPr>
        <w:t>ÓRGANO GARANTE</w:t>
      </w:r>
      <w:r w:rsidR="00B41516" w:rsidRPr="00624ACF">
        <w:rPr>
          <w:rFonts w:ascii="Palatino Linotype" w:hAnsi="Palatino Linotype"/>
          <w:color w:val="000000" w:themeColor="text1"/>
        </w:rPr>
        <w:t xml:space="preserve"> emite los siguientes:</w:t>
      </w:r>
      <w:r w:rsidR="003E6079" w:rsidRPr="00624ACF">
        <w:rPr>
          <w:rFonts w:ascii="Palatino Linotype" w:hAnsi="Palatino Linotype"/>
          <w:color w:val="000000" w:themeColor="text1"/>
        </w:rPr>
        <w:t xml:space="preserve"> </w:t>
      </w:r>
      <w:r w:rsidR="00D71057" w:rsidRPr="00624ACF">
        <w:rPr>
          <w:rFonts w:ascii="Palatino Linotype" w:hAnsi="Palatino Linotype"/>
          <w:color w:val="000000" w:themeColor="text1"/>
        </w:rPr>
        <w:t>--------------------------------------------------------------------------</w:t>
      </w:r>
      <w:r w:rsidR="00E10AC3" w:rsidRPr="00624ACF">
        <w:rPr>
          <w:rFonts w:ascii="Palatino Linotype" w:hAnsi="Palatino Linotype"/>
          <w:color w:val="000000" w:themeColor="text1"/>
        </w:rPr>
        <w:t>-----------------</w:t>
      </w:r>
      <w:r w:rsidR="00895335" w:rsidRPr="00624ACF">
        <w:rPr>
          <w:rFonts w:ascii="Palatino Linotype" w:hAnsi="Palatino Linotype"/>
          <w:color w:val="000000" w:themeColor="text1"/>
        </w:rPr>
        <w:t>--</w:t>
      </w:r>
      <w:r w:rsidR="003E6079" w:rsidRPr="00624ACF">
        <w:rPr>
          <w:rFonts w:ascii="Palatino Linotype" w:hAnsi="Palatino Linotype"/>
          <w:color w:val="000000" w:themeColor="text1"/>
        </w:rPr>
        <w:t>-------------------------------------------------------------------------------------------------------------</w:t>
      </w:r>
      <w:r w:rsidR="00895335" w:rsidRPr="00624ACF">
        <w:rPr>
          <w:rFonts w:ascii="Palatino Linotype" w:hAnsi="Palatino Linotype"/>
          <w:color w:val="000000" w:themeColor="text1"/>
        </w:rPr>
        <w:t>--</w:t>
      </w:r>
      <w:r w:rsidR="00690E72" w:rsidRPr="00624ACF">
        <w:rPr>
          <w:rFonts w:ascii="Palatino Linotype" w:hAnsi="Palatino Linotype"/>
          <w:color w:val="000000" w:themeColor="text1"/>
        </w:rPr>
        <w:t>-------------------------------------------------------------------------------------------------------------</w:t>
      </w:r>
    </w:p>
    <w:p w14:paraId="0315FFA9" w14:textId="77777777" w:rsidR="00CF248E" w:rsidRPr="00624ACF" w:rsidRDefault="00CF248E" w:rsidP="00690E72">
      <w:pPr>
        <w:pStyle w:val="Prrafodelista"/>
        <w:tabs>
          <w:tab w:val="left" w:pos="426"/>
        </w:tabs>
        <w:spacing w:line="360" w:lineRule="auto"/>
        <w:ind w:left="0" w:right="51"/>
        <w:jc w:val="both"/>
        <w:rPr>
          <w:rFonts w:ascii="Palatino Linotype" w:hAnsi="Palatino Linotype"/>
          <w:color w:val="000000" w:themeColor="text1"/>
        </w:rPr>
      </w:pPr>
    </w:p>
    <w:p w14:paraId="18C7D92B" w14:textId="77777777" w:rsidR="009959DB" w:rsidRPr="00624ACF" w:rsidRDefault="009959DB" w:rsidP="00E6530C">
      <w:pPr>
        <w:pStyle w:val="Ttulo1"/>
        <w:spacing w:before="0" w:line="360" w:lineRule="auto"/>
        <w:jc w:val="center"/>
        <w:rPr>
          <w:b/>
          <w:color w:val="000000" w:themeColor="text1"/>
          <w:szCs w:val="24"/>
        </w:rPr>
      </w:pPr>
      <w:bookmarkStart w:id="25" w:name="_Toc495427547"/>
      <w:bookmarkStart w:id="26" w:name="_Toc497905366"/>
      <w:bookmarkStart w:id="27" w:name="_Toc86945047"/>
      <w:r w:rsidRPr="00624ACF">
        <w:rPr>
          <w:b/>
          <w:color w:val="000000" w:themeColor="text1"/>
          <w:szCs w:val="24"/>
        </w:rPr>
        <w:t>R E S O L U T I V O S</w:t>
      </w:r>
      <w:bookmarkEnd w:id="22"/>
      <w:bookmarkEnd w:id="23"/>
      <w:bookmarkEnd w:id="25"/>
      <w:bookmarkEnd w:id="26"/>
      <w:bookmarkEnd w:id="27"/>
    </w:p>
    <w:p w14:paraId="73D50A6B" w14:textId="77777777" w:rsidR="005F130C" w:rsidRPr="00624ACF" w:rsidRDefault="005F130C" w:rsidP="00E6530C">
      <w:pPr>
        <w:pStyle w:val="Sinespaciado"/>
        <w:spacing w:line="360" w:lineRule="auto"/>
        <w:jc w:val="both"/>
        <w:rPr>
          <w:rFonts w:ascii="Palatino Linotype" w:hAnsi="Palatino Linotype"/>
          <w:b/>
          <w:szCs w:val="20"/>
        </w:rPr>
      </w:pPr>
    </w:p>
    <w:p w14:paraId="33754448" w14:textId="122E2802" w:rsidR="005F130C" w:rsidRPr="00624ACF" w:rsidRDefault="005F130C" w:rsidP="00E6530C">
      <w:pPr>
        <w:pStyle w:val="Sinespaciado"/>
        <w:spacing w:line="360" w:lineRule="auto"/>
        <w:jc w:val="both"/>
        <w:rPr>
          <w:rFonts w:ascii="Palatino Linotype" w:hAnsi="Palatino Linotype"/>
          <w:szCs w:val="20"/>
        </w:rPr>
      </w:pPr>
      <w:r w:rsidRPr="00624ACF">
        <w:rPr>
          <w:rFonts w:ascii="Palatino Linotype" w:hAnsi="Palatino Linotype"/>
          <w:b/>
          <w:szCs w:val="20"/>
        </w:rPr>
        <w:t xml:space="preserve">PRIMERO. </w:t>
      </w:r>
      <w:r w:rsidRPr="00624ACF">
        <w:rPr>
          <w:rFonts w:ascii="Palatino Linotype" w:hAnsi="Palatino Linotype"/>
          <w:szCs w:val="20"/>
        </w:rPr>
        <w:t xml:space="preserve">Se </w:t>
      </w:r>
      <w:r w:rsidRPr="00624ACF">
        <w:rPr>
          <w:rFonts w:ascii="Palatino Linotype" w:hAnsi="Palatino Linotype"/>
          <w:b/>
          <w:szCs w:val="20"/>
        </w:rPr>
        <w:t>SOBRESEE</w:t>
      </w:r>
      <w:r w:rsidRPr="00624ACF">
        <w:rPr>
          <w:rFonts w:ascii="Palatino Linotype" w:hAnsi="Palatino Linotype"/>
          <w:szCs w:val="20"/>
        </w:rPr>
        <w:t xml:space="preserve"> el recurso de revisión número </w:t>
      </w:r>
      <w:r w:rsidR="006E7F9E" w:rsidRPr="00624ACF">
        <w:rPr>
          <w:rFonts w:ascii="Palatino Linotype" w:hAnsi="Palatino Linotype"/>
          <w:b/>
          <w:szCs w:val="20"/>
        </w:rPr>
        <w:t>06268/INFOEM/ICR-31/IP/RR/2021</w:t>
      </w:r>
      <w:r w:rsidRPr="00624ACF">
        <w:rPr>
          <w:rFonts w:ascii="Palatino Linotype" w:hAnsi="Palatino Linotype"/>
          <w:szCs w:val="20"/>
        </w:rPr>
        <w:t xml:space="preserve">, </w:t>
      </w:r>
      <w:r w:rsidR="00003442" w:rsidRPr="00624ACF">
        <w:rPr>
          <w:rFonts w:ascii="Palatino Linotype" w:hAnsi="Palatino Linotype"/>
          <w:szCs w:val="20"/>
        </w:rPr>
        <w:t>conforme al artículo 192</w:t>
      </w:r>
      <w:r w:rsidR="009868C5" w:rsidRPr="00624ACF">
        <w:rPr>
          <w:rFonts w:ascii="Palatino Linotype" w:hAnsi="Palatino Linotype"/>
          <w:szCs w:val="20"/>
        </w:rPr>
        <w:t>,</w:t>
      </w:r>
      <w:r w:rsidR="00003442" w:rsidRPr="00624ACF">
        <w:rPr>
          <w:rFonts w:ascii="Palatino Linotype" w:hAnsi="Palatino Linotype"/>
          <w:szCs w:val="20"/>
        </w:rPr>
        <w:t xml:space="preserve"> fracción III</w:t>
      </w:r>
      <w:r w:rsidR="009868C5" w:rsidRPr="00624ACF">
        <w:rPr>
          <w:rFonts w:ascii="Palatino Linotype" w:hAnsi="Palatino Linotype"/>
          <w:szCs w:val="20"/>
        </w:rPr>
        <w:t>,</w:t>
      </w:r>
      <w:r w:rsidR="00003442" w:rsidRPr="00624ACF">
        <w:rPr>
          <w:rFonts w:ascii="Palatino Linotype" w:hAnsi="Palatino Linotype"/>
          <w:szCs w:val="20"/>
        </w:rPr>
        <w:t xml:space="preserve"> de la Ley de Transparencia y Acceso a la Información Pública del Estado de México y Municipios, en términos del </w:t>
      </w:r>
      <w:r w:rsidR="00003442" w:rsidRPr="00624ACF">
        <w:rPr>
          <w:rFonts w:ascii="Palatino Linotype" w:hAnsi="Palatino Linotype"/>
          <w:b/>
          <w:bCs/>
          <w:szCs w:val="20"/>
        </w:rPr>
        <w:t xml:space="preserve">Considerando </w:t>
      </w:r>
      <w:r w:rsidR="00E40F68" w:rsidRPr="00624ACF">
        <w:rPr>
          <w:rFonts w:ascii="Palatino Linotype" w:hAnsi="Palatino Linotype"/>
          <w:b/>
          <w:bCs/>
          <w:szCs w:val="20"/>
        </w:rPr>
        <w:t>TERCERO</w:t>
      </w:r>
      <w:r w:rsidR="00003442" w:rsidRPr="00624ACF">
        <w:rPr>
          <w:rFonts w:ascii="Palatino Linotype" w:hAnsi="Palatino Linotype"/>
          <w:szCs w:val="20"/>
        </w:rPr>
        <w:t xml:space="preserve"> de la presente Resolución.</w:t>
      </w:r>
    </w:p>
    <w:p w14:paraId="34C9500E" w14:textId="77777777" w:rsidR="005F130C" w:rsidRPr="00624ACF" w:rsidRDefault="005F130C" w:rsidP="00E6530C">
      <w:pPr>
        <w:pStyle w:val="Sinespaciado"/>
        <w:spacing w:line="360" w:lineRule="auto"/>
        <w:jc w:val="both"/>
        <w:rPr>
          <w:rFonts w:ascii="Palatino Linotype" w:hAnsi="Palatino Linotype"/>
          <w:szCs w:val="20"/>
        </w:rPr>
      </w:pPr>
    </w:p>
    <w:p w14:paraId="2A10F105" w14:textId="0F1224EF" w:rsidR="005F130C" w:rsidRPr="00624ACF" w:rsidRDefault="005F130C" w:rsidP="00E6530C">
      <w:pPr>
        <w:pStyle w:val="Sinespaciado"/>
        <w:spacing w:line="360" w:lineRule="auto"/>
        <w:jc w:val="both"/>
        <w:rPr>
          <w:rFonts w:ascii="Palatino Linotype" w:eastAsia="Calibri" w:hAnsi="Palatino Linotype" w:cs="Arial"/>
          <w:b/>
          <w:bCs/>
          <w:lang w:val="es-ES"/>
        </w:rPr>
      </w:pPr>
      <w:r w:rsidRPr="00624ACF">
        <w:rPr>
          <w:rFonts w:ascii="Palatino Linotype" w:eastAsia="Calibri" w:hAnsi="Palatino Linotype" w:cs="Arial"/>
          <w:b/>
          <w:bCs/>
          <w:lang w:val="es-ES"/>
        </w:rPr>
        <w:t xml:space="preserve">SEGUNDO. </w:t>
      </w:r>
      <w:r w:rsidR="00C84CB9" w:rsidRPr="00624ACF">
        <w:rPr>
          <w:rFonts w:ascii="Palatino Linotype" w:eastAsia="Calibri" w:hAnsi="Palatino Linotype" w:cs="Arial"/>
          <w:b/>
          <w:bCs/>
          <w:lang w:val="es-ES"/>
        </w:rPr>
        <w:t>Notifíquese</w:t>
      </w:r>
      <w:r w:rsidRPr="00624ACF">
        <w:rPr>
          <w:rFonts w:ascii="Palatino Linotype" w:eastAsia="Calibri" w:hAnsi="Palatino Linotype" w:cs="Arial"/>
          <w:b/>
          <w:bCs/>
          <w:lang w:val="es-ES"/>
        </w:rPr>
        <w:t xml:space="preserve"> </w:t>
      </w:r>
      <w:r w:rsidRPr="00624ACF">
        <w:rPr>
          <w:rFonts w:ascii="Palatino Linotype" w:eastAsia="Calibri" w:hAnsi="Palatino Linotype" w:cs="Arial"/>
          <w:bCs/>
          <w:lang w:val="es-ES"/>
        </w:rPr>
        <w:t>a través del Sistema de Acceso a la Información Mexiquense (SAIMEX) la presente resolución a</w:t>
      </w:r>
      <w:r w:rsidR="008413A6" w:rsidRPr="00624ACF">
        <w:rPr>
          <w:rFonts w:ascii="Palatino Linotype" w:eastAsia="Calibri" w:hAnsi="Palatino Linotype" w:cs="Arial"/>
          <w:bCs/>
          <w:lang w:val="es-ES"/>
        </w:rPr>
        <w:t xml:space="preserve"> </w:t>
      </w:r>
      <w:r w:rsidRPr="00624ACF">
        <w:rPr>
          <w:rFonts w:ascii="Palatino Linotype" w:eastAsia="Calibri" w:hAnsi="Palatino Linotype" w:cs="Arial"/>
          <w:bCs/>
          <w:lang w:val="es-ES"/>
        </w:rPr>
        <w:t>l</w:t>
      </w:r>
      <w:r w:rsidR="008413A6" w:rsidRPr="00624ACF">
        <w:rPr>
          <w:rFonts w:ascii="Palatino Linotype" w:eastAsia="Calibri" w:hAnsi="Palatino Linotype" w:cs="Arial"/>
          <w:bCs/>
          <w:lang w:val="es-ES"/>
        </w:rPr>
        <w:t>a</w:t>
      </w:r>
      <w:r w:rsidRPr="00624ACF">
        <w:rPr>
          <w:rFonts w:ascii="Palatino Linotype" w:eastAsia="Calibri" w:hAnsi="Palatino Linotype" w:cs="Arial"/>
          <w:bCs/>
          <w:lang w:val="es-ES"/>
        </w:rPr>
        <w:t xml:space="preserve"> Titular de la Unidad de Transparencia del</w:t>
      </w:r>
      <w:r w:rsidRPr="00624ACF">
        <w:rPr>
          <w:rFonts w:ascii="Palatino Linotype" w:eastAsia="Calibri" w:hAnsi="Palatino Linotype" w:cs="Arial"/>
          <w:b/>
          <w:bCs/>
          <w:lang w:val="es-ES"/>
        </w:rPr>
        <w:t xml:space="preserve"> SUJETO OBLIGADO. </w:t>
      </w:r>
    </w:p>
    <w:p w14:paraId="66FB0EAD" w14:textId="77777777" w:rsidR="005F130C" w:rsidRPr="00624ACF" w:rsidRDefault="005F130C" w:rsidP="00E6530C">
      <w:pPr>
        <w:pStyle w:val="Sinespaciado"/>
        <w:spacing w:line="360" w:lineRule="auto"/>
        <w:jc w:val="both"/>
        <w:rPr>
          <w:rFonts w:ascii="Palatino Linotype" w:eastAsia="Palatino Linotype" w:hAnsi="Palatino Linotype" w:cs="Palatino Linotype"/>
          <w:b/>
        </w:rPr>
      </w:pPr>
    </w:p>
    <w:p w14:paraId="486EF616" w14:textId="456E7AF8" w:rsidR="005F130C" w:rsidRPr="00624ACF" w:rsidRDefault="005F130C" w:rsidP="00E6530C">
      <w:pPr>
        <w:pStyle w:val="Sinespaciado"/>
        <w:spacing w:line="360" w:lineRule="auto"/>
        <w:jc w:val="both"/>
        <w:rPr>
          <w:rFonts w:ascii="Palatino Linotype" w:eastAsia="Times New Roman" w:hAnsi="Palatino Linotype" w:cs="Times New Roman"/>
          <w:color w:val="222222"/>
          <w:lang w:val="es-ES" w:eastAsia="es-MX"/>
        </w:rPr>
      </w:pPr>
      <w:r w:rsidRPr="00624ACF">
        <w:rPr>
          <w:rFonts w:ascii="Palatino Linotype" w:eastAsia="Times New Roman" w:hAnsi="Palatino Linotype" w:cs="Arial"/>
          <w:b/>
        </w:rPr>
        <w:lastRenderedPageBreak/>
        <w:t xml:space="preserve">TERCERO. </w:t>
      </w:r>
      <w:r w:rsidRPr="00624ACF">
        <w:rPr>
          <w:rFonts w:ascii="Palatino Linotype" w:eastAsia="Times New Roman" w:hAnsi="Palatino Linotype" w:cs="Times New Roman"/>
          <w:b/>
          <w:bCs/>
          <w:color w:val="222222"/>
          <w:lang w:val="es-ES"/>
        </w:rPr>
        <w:t xml:space="preserve">Notifíquese </w:t>
      </w:r>
      <w:r w:rsidRPr="00624ACF">
        <w:rPr>
          <w:rFonts w:ascii="Palatino Linotype" w:eastAsia="Times New Roman" w:hAnsi="Palatino Linotype" w:cs="Times New Roman"/>
          <w:bCs/>
          <w:color w:val="222222"/>
          <w:lang w:val="es-ES"/>
        </w:rPr>
        <w:t xml:space="preserve">al </w:t>
      </w:r>
      <w:r w:rsidRPr="00624ACF">
        <w:rPr>
          <w:rFonts w:ascii="Palatino Linotype" w:eastAsia="Times New Roman" w:hAnsi="Palatino Linotype" w:cs="Times New Roman"/>
          <w:b/>
          <w:bCs/>
          <w:color w:val="222222"/>
          <w:lang w:val="es-ES"/>
        </w:rPr>
        <w:t>RECURRENTE</w:t>
      </w:r>
      <w:r w:rsidRPr="00624ACF">
        <w:rPr>
          <w:rFonts w:ascii="Palatino Linotype" w:hAnsi="Palatino Linotype"/>
          <w:b/>
        </w:rPr>
        <w:t xml:space="preserve"> </w:t>
      </w:r>
      <w:r w:rsidRPr="00624ACF">
        <w:rPr>
          <w:rFonts w:ascii="Palatino Linotype" w:eastAsia="Times New Roman" w:hAnsi="Palatino Linotype" w:cs="Times New Roman"/>
          <w:color w:val="222222"/>
          <w:lang w:val="es-ES" w:eastAsia="es-MX"/>
        </w:rPr>
        <w:t>la presente resolución</w:t>
      </w:r>
      <w:r w:rsidR="00C63722" w:rsidRPr="00624ACF">
        <w:rPr>
          <w:rFonts w:ascii="Palatino Linotype" w:eastAsia="Times New Roman" w:hAnsi="Palatino Linotype" w:cs="Times New Roman"/>
          <w:color w:val="222222"/>
          <w:lang w:val="es-ES" w:eastAsia="es-MX"/>
        </w:rPr>
        <w:t>, vía Sistema de Acceso a la Información Mexiquense (SAIMEX)</w:t>
      </w:r>
      <w:r w:rsidR="00C1195A" w:rsidRPr="00624ACF">
        <w:rPr>
          <w:rFonts w:ascii="Palatino Linotype" w:eastAsia="Times New Roman" w:hAnsi="Palatino Linotype" w:cs="Times New Roman"/>
          <w:color w:val="222222"/>
          <w:lang w:val="es-ES" w:eastAsia="es-MX"/>
        </w:rPr>
        <w:t>.</w:t>
      </w:r>
    </w:p>
    <w:p w14:paraId="63E391C4" w14:textId="77777777" w:rsidR="005F130C" w:rsidRPr="00624ACF" w:rsidRDefault="005F130C" w:rsidP="00E6530C">
      <w:pPr>
        <w:pStyle w:val="Sinespaciado"/>
        <w:spacing w:line="360" w:lineRule="auto"/>
        <w:jc w:val="both"/>
        <w:rPr>
          <w:rFonts w:ascii="Palatino Linotype" w:eastAsia="Times New Roman" w:hAnsi="Palatino Linotype" w:cs="Times New Roman"/>
          <w:color w:val="222222"/>
          <w:lang w:val="es-ES" w:eastAsia="es-MX"/>
        </w:rPr>
      </w:pPr>
    </w:p>
    <w:p w14:paraId="1D694E98" w14:textId="77777777" w:rsidR="00182A38" w:rsidRPr="00624ACF" w:rsidRDefault="005F130C" w:rsidP="00182A38">
      <w:pPr>
        <w:spacing w:line="360" w:lineRule="auto"/>
        <w:jc w:val="both"/>
        <w:rPr>
          <w:rFonts w:ascii="Palatino Linotype" w:eastAsia="MS Mincho" w:hAnsi="Palatino Linotype" w:cs="Times New Roman"/>
          <w:color w:val="000000"/>
          <w:lang w:val="es-ES"/>
        </w:rPr>
      </w:pPr>
      <w:r w:rsidRPr="00624ACF">
        <w:rPr>
          <w:rFonts w:ascii="Palatino Linotype" w:eastAsia="MS Mincho" w:hAnsi="Palatino Linotype" w:cs="Times New Roman"/>
          <w:b/>
        </w:rPr>
        <w:t>CUARTO.</w:t>
      </w:r>
      <w:r w:rsidRPr="00624ACF">
        <w:rPr>
          <w:rFonts w:ascii="Palatino Linotype" w:eastAsia="MS Mincho" w:hAnsi="Palatino Linotype" w:cs="Times New Roman"/>
        </w:rPr>
        <w:t xml:space="preserve"> </w:t>
      </w:r>
      <w:r w:rsidRPr="00624ACF">
        <w:rPr>
          <w:rFonts w:ascii="Palatino Linotype" w:eastAsia="MS Mincho" w:hAnsi="Palatino Linotype" w:cs="Times New Roman"/>
          <w:lang w:val="es-ES"/>
        </w:rPr>
        <w:t>Se hace del conocimiento de</w:t>
      </w:r>
      <w:r w:rsidRPr="00624ACF">
        <w:rPr>
          <w:rFonts w:ascii="Palatino Linotype" w:hAnsi="Palatino Linotype"/>
        </w:rPr>
        <w:t>l</w:t>
      </w:r>
      <w:r w:rsidRPr="00624ACF">
        <w:rPr>
          <w:rFonts w:ascii="Palatino Linotype" w:hAnsi="Palatino Linotype"/>
          <w:b/>
        </w:rPr>
        <w:t xml:space="preserve"> RECURRENTE </w:t>
      </w:r>
      <w:r w:rsidRPr="00624ACF">
        <w:rPr>
          <w:rFonts w:ascii="Palatino Linotype" w:eastAsia="MS Mincho" w:hAnsi="Palatino Linotype" w:cs="Times New Roman"/>
          <w:lang w:val="es-ES"/>
        </w:rPr>
        <w:t xml:space="preserve">que, </w:t>
      </w:r>
      <w:r w:rsidR="00234796" w:rsidRPr="00624ACF">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234796" w:rsidRPr="00624ACF">
        <w:rPr>
          <w:rFonts w:ascii="Palatino Linotype" w:eastAsia="MS Mincho" w:hAnsi="Palatino Linotype" w:cs="Times New Roman"/>
          <w:bCs/>
          <w:color w:val="000000"/>
          <w:lang w:val="es-ES"/>
        </w:rPr>
        <w:t xml:space="preserve">juicio de amparo </w:t>
      </w:r>
      <w:r w:rsidR="00234796" w:rsidRPr="00624ACF">
        <w:rPr>
          <w:rFonts w:ascii="Palatino Linotype" w:eastAsia="MS Mincho" w:hAnsi="Palatino Linotype" w:cs="Times New Roman"/>
          <w:color w:val="000000"/>
          <w:lang w:val="es-ES"/>
        </w:rPr>
        <w:t>en los términos de las Leyes aplicables.</w:t>
      </w:r>
    </w:p>
    <w:p w14:paraId="44D81DE9" w14:textId="77777777" w:rsidR="00182A38" w:rsidRPr="00624ACF" w:rsidRDefault="00182A38" w:rsidP="00182A38">
      <w:pPr>
        <w:spacing w:line="360" w:lineRule="auto"/>
        <w:jc w:val="both"/>
        <w:rPr>
          <w:rFonts w:ascii="Palatino Linotype" w:eastAsia="MS Mincho" w:hAnsi="Palatino Linotype" w:cs="Times New Roman"/>
          <w:color w:val="000000"/>
          <w:lang w:val="es-ES"/>
        </w:rPr>
      </w:pPr>
    </w:p>
    <w:p w14:paraId="28261989" w14:textId="77777777" w:rsidR="00204B9F" w:rsidRDefault="00204B9F" w:rsidP="00204B9F">
      <w:pPr>
        <w:spacing w:before="240" w:after="240" w:line="360" w:lineRule="auto"/>
        <w:jc w:val="both"/>
        <w:rPr>
          <w:rFonts w:ascii="Palatino Linotype" w:hAnsi="Palatino Linotype"/>
        </w:rPr>
      </w:pPr>
      <w:r w:rsidRPr="00624AC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DIECISÉIS (16) DE NOVIEMBRE DE DOS MIL VEINTIDÓS, ANTE EL SECRETARIO TÉCNICO DEL PLENO ALEXIS TAPIA RAMÍREZ.</w:t>
      </w:r>
      <w:bookmarkStart w:id="28" w:name="_GoBack"/>
      <w:bookmarkEnd w:id="28"/>
      <w:r w:rsidRPr="00624AAD">
        <w:rPr>
          <w:rFonts w:ascii="Palatino Linotype" w:hAnsi="Palatino Linotype"/>
        </w:rPr>
        <w:t xml:space="preserve"> </w:t>
      </w:r>
    </w:p>
    <w:p w14:paraId="7EFA4F21" w14:textId="05B81529" w:rsidR="00895335" w:rsidRDefault="00895335" w:rsidP="00182A38">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34"/>
      <w:footerReference w:type="default" r:id="rId35"/>
      <w:headerReference w:type="first" r:id="rId36"/>
      <w:footerReference w:type="first" r:id="rId3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71AB2" w14:textId="77777777" w:rsidR="00054A24" w:rsidRDefault="00054A24" w:rsidP="00587366">
      <w:r>
        <w:separator/>
      </w:r>
    </w:p>
  </w:endnote>
  <w:endnote w:type="continuationSeparator" w:id="0">
    <w:p w14:paraId="51E06D26" w14:textId="77777777" w:rsidR="00054A24" w:rsidRDefault="00054A2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291090" w:rsidRPr="00883450" w:rsidRDefault="0029109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24ACF">
              <w:rPr>
                <w:rFonts w:ascii="Palatino Linotype" w:hAnsi="Palatino Linotype"/>
                <w:b/>
                <w:bCs/>
                <w:noProof/>
                <w:sz w:val="22"/>
                <w:szCs w:val="20"/>
              </w:rPr>
              <w:t>80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24ACF">
              <w:rPr>
                <w:rFonts w:ascii="Palatino Linotype" w:hAnsi="Palatino Linotype"/>
                <w:b/>
                <w:bCs/>
                <w:noProof/>
                <w:sz w:val="22"/>
                <w:szCs w:val="20"/>
              </w:rPr>
              <w:t>80</w:t>
            </w:r>
            <w:r w:rsidRPr="00883450">
              <w:rPr>
                <w:rFonts w:ascii="Palatino Linotype" w:hAnsi="Palatino Linotype"/>
                <w:b/>
                <w:bCs/>
                <w:sz w:val="22"/>
                <w:szCs w:val="20"/>
              </w:rPr>
              <w:fldChar w:fldCharType="end"/>
            </w:r>
          </w:p>
        </w:sdtContent>
      </w:sdt>
    </w:sdtContent>
  </w:sdt>
  <w:p w14:paraId="6243EC1B" w14:textId="47B193F0" w:rsidR="00291090" w:rsidRDefault="002910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291090" w:rsidRPr="00883450" w:rsidRDefault="0029109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24ACF" w:rsidRPr="00624AC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24ACF" w:rsidRPr="00624ACF">
      <w:rPr>
        <w:rFonts w:ascii="Palatino Linotype" w:hAnsi="Palatino Linotype"/>
        <w:noProof/>
        <w:sz w:val="22"/>
        <w:szCs w:val="22"/>
        <w:lang w:val="es-ES"/>
      </w:rPr>
      <w:t>80</w:t>
    </w:r>
    <w:r w:rsidRPr="00883450">
      <w:rPr>
        <w:rFonts w:ascii="Palatino Linotype" w:hAnsi="Palatino Linotype"/>
        <w:sz w:val="22"/>
        <w:szCs w:val="22"/>
      </w:rPr>
      <w:fldChar w:fldCharType="end"/>
    </w:r>
  </w:p>
  <w:p w14:paraId="5F5C4865" w14:textId="0A9A2B26" w:rsidR="00291090" w:rsidRPr="00883450" w:rsidRDefault="0029109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6323A" w14:textId="77777777" w:rsidR="00054A24" w:rsidRDefault="00054A24" w:rsidP="00587366">
      <w:r>
        <w:separator/>
      </w:r>
    </w:p>
  </w:footnote>
  <w:footnote w:type="continuationSeparator" w:id="0">
    <w:p w14:paraId="154BD5A8" w14:textId="77777777" w:rsidR="00054A24" w:rsidRDefault="00054A24" w:rsidP="00587366">
      <w:r>
        <w:continuationSeparator/>
      </w:r>
    </w:p>
  </w:footnote>
  <w:footnote w:id="1">
    <w:p w14:paraId="6C411E26" w14:textId="77777777" w:rsidR="0078043E" w:rsidRPr="00C7183E" w:rsidRDefault="0078043E" w:rsidP="0078043E">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192E76F7" w14:textId="77777777" w:rsidR="0078043E" w:rsidRDefault="0078043E" w:rsidP="0078043E">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3">
    <w:p w14:paraId="2696AF95" w14:textId="77777777" w:rsidR="0078043E" w:rsidRDefault="0078043E" w:rsidP="0078043E">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4">
    <w:p w14:paraId="542435CD" w14:textId="77777777" w:rsidR="00291090" w:rsidRDefault="00291090" w:rsidP="00D57C45">
      <w:pPr>
        <w:pStyle w:val="Textonotapie"/>
      </w:pPr>
      <w:r>
        <w:rPr>
          <w:rStyle w:val="Refdenotaalpie"/>
        </w:rPr>
        <w:footnoteRef/>
      </w:r>
      <w:r>
        <w:t xml:space="preserve"> Artículo 4, Ley de Transparencia y Acceso a la Información Pública del Estado de México y Municipios.</w:t>
      </w:r>
    </w:p>
  </w:footnote>
  <w:footnote w:id="5">
    <w:p w14:paraId="0C30EB84" w14:textId="77777777" w:rsidR="00291090" w:rsidRDefault="00291090" w:rsidP="00D57C45">
      <w:pPr>
        <w:pStyle w:val="Textonotapie"/>
      </w:pPr>
      <w:r>
        <w:rPr>
          <w:rStyle w:val="Refdenotaalpie"/>
        </w:rPr>
        <w:footnoteRef/>
      </w:r>
      <w:r>
        <w:t xml:space="preserve"> Artículo 150,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37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690"/>
    </w:tblGrid>
    <w:tr w:rsidR="00291090" w:rsidRPr="00E51B25" w14:paraId="193F4C28" w14:textId="77777777" w:rsidTr="009D23B6">
      <w:trPr>
        <w:trHeight w:val="138"/>
        <w:jc w:val="right"/>
      </w:trPr>
      <w:tc>
        <w:tcPr>
          <w:tcW w:w="3686" w:type="dxa"/>
          <w:vAlign w:val="center"/>
        </w:tcPr>
        <w:p w14:paraId="02F176D0" w14:textId="77777777" w:rsidR="00291090" w:rsidRPr="00E51B25" w:rsidRDefault="00291090" w:rsidP="005F1362">
          <w:pPr>
            <w:ind w:right="34"/>
            <w:jc w:val="right"/>
            <w:rPr>
              <w:rFonts w:ascii="Palatino Linotype" w:hAnsi="Palatino Linotype"/>
              <w:b/>
              <w:sz w:val="22"/>
              <w:szCs w:val="22"/>
            </w:rPr>
          </w:pPr>
        </w:p>
      </w:tc>
      <w:tc>
        <w:tcPr>
          <w:tcW w:w="3690" w:type="dxa"/>
          <w:vAlign w:val="center"/>
        </w:tcPr>
        <w:p w14:paraId="0467B2B4" w14:textId="77777777" w:rsidR="00291090" w:rsidRPr="00E51B25" w:rsidRDefault="00291090" w:rsidP="005F1362">
          <w:pPr>
            <w:pStyle w:val="Encabezado"/>
            <w:jc w:val="both"/>
            <w:rPr>
              <w:rFonts w:ascii="Palatino Linotype" w:hAnsi="Palatino Linotype"/>
              <w:b/>
              <w:sz w:val="22"/>
              <w:szCs w:val="22"/>
            </w:rPr>
          </w:pPr>
        </w:p>
      </w:tc>
    </w:tr>
    <w:tr w:rsidR="00291090" w:rsidRPr="00E51B25" w14:paraId="07F2896E" w14:textId="77777777" w:rsidTr="009D23B6">
      <w:trPr>
        <w:trHeight w:val="138"/>
        <w:jc w:val="right"/>
      </w:trPr>
      <w:tc>
        <w:tcPr>
          <w:tcW w:w="3686" w:type="dxa"/>
          <w:vAlign w:val="center"/>
        </w:tcPr>
        <w:p w14:paraId="4A5B1974" w14:textId="73185C4A" w:rsidR="00291090" w:rsidRPr="00E51B25" w:rsidRDefault="00291090" w:rsidP="005F1362">
          <w:pPr>
            <w:ind w:right="34"/>
            <w:jc w:val="right"/>
            <w:rPr>
              <w:rFonts w:ascii="Palatino Linotype" w:hAnsi="Palatino Linotype"/>
              <w:b/>
              <w:sz w:val="22"/>
              <w:szCs w:val="22"/>
            </w:rPr>
          </w:pPr>
          <w:r w:rsidRPr="00E51B25">
            <w:rPr>
              <w:rFonts w:ascii="Palatino Linotype" w:hAnsi="Palatino Linotype"/>
              <w:b/>
              <w:sz w:val="22"/>
              <w:szCs w:val="22"/>
            </w:rPr>
            <w:t>RECURSO DE REVISIÓN:</w:t>
          </w:r>
        </w:p>
      </w:tc>
      <w:tc>
        <w:tcPr>
          <w:tcW w:w="3690" w:type="dxa"/>
          <w:vAlign w:val="center"/>
        </w:tcPr>
        <w:p w14:paraId="3A05B4B6" w14:textId="0517097C" w:rsidR="00291090" w:rsidRPr="00E51B25" w:rsidRDefault="005D4629" w:rsidP="005F1362">
          <w:pPr>
            <w:pStyle w:val="Encabezado"/>
            <w:jc w:val="both"/>
            <w:rPr>
              <w:rFonts w:ascii="Palatino Linotype" w:hAnsi="Palatino Linotype"/>
              <w:b/>
              <w:sz w:val="22"/>
              <w:szCs w:val="22"/>
            </w:rPr>
          </w:pPr>
          <w:r>
            <w:rPr>
              <w:rFonts w:ascii="Palatino Linotype" w:hAnsi="Palatino Linotype"/>
              <w:b/>
              <w:sz w:val="22"/>
              <w:szCs w:val="22"/>
            </w:rPr>
            <w:t>06268</w:t>
          </w:r>
          <w:r w:rsidRPr="00025127">
            <w:rPr>
              <w:rFonts w:ascii="Palatino Linotype" w:hAnsi="Palatino Linotype"/>
              <w:b/>
              <w:sz w:val="22"/>
              <w:szCs w:val="22"/>
            </w:rPr>
            <w:t>/INFOEM/</w:t>
          </w:r>
          <w:r>
            <w:rPr>
              <w:rFonts w:ascii="Palatino Linotype" w:hAnsi="Palatino Linotype"/>
              <w:b/>
              <w:sz w:val="22"/>
              <w:szCs w:val="22"/>
            </w:rPr>
            <w:t>ICR-31/</w:t>
          </w:r>
          <w:r w:rsidRPr="00025127">
            <w:rPr>
              <w:rFonts w:ascii="Palatino Linotype" w:hAnsi="Palatino Linotype"/>
              <w:b/>
              <w:sz w:val="22"/>
              <w:szCs w:val="22"/>
            </w:rPr>
            <w:t>IP/RR/</w:t>
          </w:r>
          <w:r>
            <w:rPr>
              <w:rFonts w:ascii="Palatino Linotype" w:hAnsi="Palatino Linotype"/>
              <w:b/>
              <w:sz w:val="22"/>
              <w:szCs w:val="22"/>
            </w:rPr>
            <w:t>2021</w:t>
          </w:r>
        </w:p>
      </w:tc>
    </w:tr>
    <w:tr w:rsidR="00291090" w:rsidRPr="00E51B25" w14:paraId="1B5D8690" w14:textId="77777777" w:rsidTr="009D23B6">
      <w:trPr>
        <w:trHeight w:val="233"/>
        <w:jc w:val="right"/>
      </w:trPr>
      <w:tc>
        <w:tcPr>
          <w:tcW w:w="3686" w:type="dxa"/>
          <w:vAlign w:val="center"/>
        </w:tcPr>
        <w:p w14:paraId="3903F2C6" w14:textId="22D569F8" w:rsidR="00291090" w:rsidRPr="00E51B25" w:rsidRDefault="00291090" w:rsidP="00833877">
          <w:pPr>
            <w:ind w:right="34"/>
            <w:jc w:val="right"/>
            <w:rPr>
              <w:rFonts w:ascii="Palatino Linotype" w:hAnsi="Palatino Linotype"/>
              <w:b/>
              <w:sz w:val="22"/>
              <w:szCs w:val="22"/>
            </w:rPr>
          </w:pPr>
          <w:r w:rsidRPr="00E51B25">
            <w:rPr>
              <w:rFonts w:ascii="Palatino Linotype" w:hAnsi="Palatino Linotype"/>
              <w:b/>
              <w:sz w:val="22"/>
              <w:szCs w:val="22"/>
            </w:rPr>
            <w:t>SUJETO OBLIGADO:</w:t>
          </w:r>
        </w:p>
      </w:tc>
      <w:tc>
        <w:tcPr>
          <w:tcW w:w="3690" w:type="dxa"/>
          <w:vAlign w:val="center"/>
        </w:tcPr>
        <w:p w14:paraId="03C799A2" w14:textId="2767D651" w:rsidR="00291090" w:rsidRPr="00E51B25" w:rsidRDefault="005D4629" w:rsidP="00833877">
          <w:pPr>
            <w:pStyle w:val="Encabezado"/>
            <w:rPr>
              <w:rFonts w:ascii="Palatino Linotype" w:hAnsi="Palatino Linotype"/>
              <w:b/>
              <w:sz w:val="22"/>
              <w:szCs w:val="22"/>
            </w:rPr>
          </w:pPr>
          <w:r>
            <w:rPr>
              <w:rFonts w:ascii="Palatino Linotype" w:hAnsi="Palatino Linotype"/>
              <w:b/>
              <w:sz w:val="22"/>
              <w:szCs w:val="22"/>
            </w:rPr>
            <w:t>Unidad de Asuntos Internos</w:t>
          </w:r>
        </w:p>
      </w:tc>
    </w:tr>
    <w:tr w:rsidR="00291090" w:rsidRPr="00E51B25" w14:paraId="095EB01B" w14:textId="77777777" w:rsidTr="009D23B6">
      <w:trPr>
        <w:trHeight w:val="321"/>
        <w:jc w:val="right"/>
      </w:trPr>
      <w:tc>
        <w:tcPr>
          <w:tcW w:w="3686" w:type="dxa"/>
          <w:vAlign w:val="center"/>
        </w:tcPr>
        <w:p w14:paraId="6E000A51" w14:textId="05E1861A" w:rsidR="00291090" w:rsidRPr="00E51B25" w:rsidRDefault="00291090" w:rsidP="006E6B65">
          <w:pPr>
            <w:ind w:right="34"/>
            <w:jc w:val="right"/>
            <w:rPr>
              <w:rFonts w:ascii="Palatino Linotype" w:hAnsi="Palatino Linotype"/>
              <w:b/>
              <w:sz w:val="22"/>
              <w:szCs w:val="22"/>
            </w:rPr>
          </w:pPr>
          <w:r w:rsidRPr="00E51B25">
            <w:rPr>
              <w:rFonts w:ascii="Palatino Linotype" w:hAnsi="Palatino Linotype"/>
              <w:b/>
              <w:sz w:val="22"/>
              <w:szCs w:val="22"/>
            </w:rPr>
            <w:t>COMISIONADA PONENTE:</w:t>
          </w:r>
        </w:p>
      </w:tc>
      <w:tc>
        <w:tcPr>
          <w:tcW w:w="3690" w:type="dxa"/>
          <w:vAlign w:val="center"/>
        </w:tcPr>
        <w:p w14:paraId="07560085" w14:textId="64DC8836" w:rsidR="00291090" w:rsidRPr="00E51B25" w:rsidRDefault="00291090" w:rsidP="00472C41">
          <w:pPr>
            <w:pStyle w:val="Encabezado"/>
            <w:rPr>
              <w:rFonts w:ascii="Palatino Linotype" w:hAnsi="Palatino Linotype"/>
              <w:b/>
              <w:sz w:val="22"/>
              <w:szCs w:val="22"/>
            </w:rPr>
          </w:pPr>
          <w:r w:rsidRPr="00E51B25">
            <w:rPr>
              <w:rFonts w:ascii="Palatino Linotype" w:hAnsi="Palatino Linotype"/>
              <w:b/>
              <w:sz w:val="22"/>
              <w:szCs w:val="22"/>
            </w:rPr>
            <w:t>María del Rosario Mejía Ayala</w:t>
          </w:r>
        </w:p>
      </w:tc>
    </w:tr>
  </w:tbl>
  <w:p w14:paraId="1096C1B8" w14:textId="08997A06" w:rsidR="00291090" w:rsidRDefault="00291090" w:rsidP="00472C41">
    <w:pPr>
      <w:pStyle w:val="Encabezado"/>
    </w:pPr>
    <w:r>
      <w:rPr>
        <w:noProof/>
        <w:lang w:eastAsia="es-MX"/>
      </w:rPr>
      <w:drawing>
        <wp:anchor distT="0" distB="0" distL="114300" distR="114300" simplePos="0" relativeHeight="251657216" behindDoc="1" locked="0" layoutInCell="0" allowOverlap="1" wp14:anchorId="1A29E15A" wp14:editId="1FD849AE">
          <wp:simplePos x="0" y="0"/>
          <wp:positionH relativeFrom="margin">
            <wp:posOffset>-1080135</wp:posOffset>
          </wp:positionH>
          <wp:positionV relativeFrom="page">
            <wp:posOffset>47625</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51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970"/>
    </w:tblGrid>
    <w:tr w:rsidR="00291090" w:rsidRPr="00025127" w14:paraId="0A3256F2" w14:textId="77777777" w:rsidTr="001728F6">
      <w:trPr>
        <w:trHeight w:val="138"/>
        <w:jc w:val="right"/>
      </w:trPr>
      <w:tc>
        <w:tcPr>
          <w:tcW w:w="3544" w:type="dxa"/>
          <w:vAlign w:val="center"/>
        </w:tcPr>
        <w:p w14:paraId="3D80769D" w14:textId="2177C5BB" w:rsidR="00291090" w:rsidRPr="00025127" w:rsidRDefault="00291090"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970" w:type="dxa"/>
          <w:vAlign w:val="center"/>
        </w:tcPr>
        <w:p w14:paraId="0453495E" w14:textId="49CC5FE2" w:rsidR="00291090" w:rsidRPr="00025127" w:rsidRDefault="005D4629" w:rsidP="005F1362">
          <w:pPr>
            <w:pStyle w:val="Encabezado"/>
            <w:rPr>
              <w:rFonts w:ascii="Palatino Linotype" w:hAnsi="Palatino Linotype"/>
              <w:b/>
              <w:sz w:val="22"/>
              <w:szCs w:val="22"/>
            </w:rPr>
          </w:pPr>
          <w:r>
            <w:rPr>
              <w:rFonts w:ascii="Palatino Linotype" w:hAnsi="Palatino Linotype"/>
              <w:b/>
              <w:sz w:val="22"/>
              <w:szCs w:val="22"/>
            </w:rPr>
            <w:t>06268</w:t>
          </w:r>
          <w:r w:rsidR="00291090" w:rsidRPr="00025127">
            <w:rPr>
              <w:rFonts w:ascii="Palatino Linotype" w:hAnsi="Palatino Linotype"/>
              <w:b/>
              <w:sz w:val="22"/>
              <w:szCs w:val="22"/>
            </w:rPr>
            <w:t>/INFOEM/</w:t>
          </w:r>
          <w:r>
            <w:rPr>
              <w:rFonts w:ascii="Palatino Linotype" w:hAnsi="Palatino Linotype"/>
              <w:b/>
              <w:sz w:val="22"/>
              <w:szCs w:val="22"/>
            </w:rPr>
            <w:t>ICR-31/</w:t>
          </w:r>
          <w:r w:rsidR="00291090" w:rsidRPr="00025127">
            <w:rPr>
              <w:rFonts w:ascii="Palatino Linotype" w:hAnsi="Palatino Linotype"/>
              <w:b/>
              <w:sz w:val="22"/>
              <w:szCs w:val="22"/>
            </w:rPr>
            <w:t>IP/RR/</w:t>
          </w:r>
          <w:r w:rsidR="00291090">
            <w:rPr>
              <w:rFonts w:ascii="Palatino Linotype" w:hAnsi="Palatino Linotype"/>
              <w:b/>
              <w:sz w:val="22"/>
              <w:szCs w:val="22"/>
            </w:rPr>
            <w:t>202</w:t>
          </w:r>
          <w:r>
            <w:rPr>
              <w:rFonts w:ascii="Palatino Linotype" w:hAnsi="Palatino Linotype"/>
              <w:b/>
              <w:sz w:val="22"/>
              <w:szCs w:val="22"/>
            </w:rPr>
            <w:t>1</w:t>
          </w:r>
        </w:p>
      </w:tc>
    </w:tr>
    <w:tr w:rsidR="00291090" w:rsidRPr="00025127" w14:paraId="128C8B3C" w14:textId="77777777" w:rsidTr="00291090">
      <w:trPr>
        <w:trHeight w:val="233"/>
        <w:jc w:val="right"/>
      </w:trPr>
      <w:tc>
        <w:tcPr>
          <w:tcW w:w="3544" w:type="dxa"/>
          <w:vAlign w:val="center"/>
        </w:tcPr>
        <w:p w14:paraId="483E3371" w14:textId="66B1BC74" w:rsidR="00291090" w:rsidRPr="00025127" w:rsidRDefault="00291090" w:rsidP="009D23B6">
          <w:pPr>
            <w:jc w:val="right"/>
            <w:rPr>
              <w:rFonts w:ascii="Palatino Linotype" w:hAnsi="Palatino Linotype"/>
              <w:b/>
              <w:sz w:val="22"/>
              <w:szCs w:val="22"/>
            </w:rPr>
          </w:pPr>
          <w:r w:rsidRPr="00025127">
            <w:rPr>
              <w:rFonts w:ascii="Palatino Linotype" w:hAnsi="Palatino Linotype"/>
              <w:b/>
              <w:sz w:val="22"/>
              <w:szCs w:val="22"/>
            </w:rPr>
            <w:t>RECURRENTE:</w:t>
          </w:r>
        </w:p>
      </w:tc>
      <w:tc>
        <w:tcPr>
          <w:tcW w:w="3970" w:type="dxa"/>
          <w:vAlign w:val="center"/>
        </w:tcPr>
        <w:p w14:paraId="1548525E" w14:textId="3AB97D77" w:rsidR="00291090" w:rsidRPr="00025127" w:rsidRDefault="00624ACF" w:rsidP="009D23B6">
          <w:pPr>
            <w:pStyle w:val="Encabezado"/>
            <w:rPr>
              <w:rFonts w:ascii="Palatino Linotype" w:hAnsi="Palatino Linotype"/>
              <w:b/>
              <w:sz w:val="22"/>
              <w:szCs w:val="22"/>
            </w:rPr>
          </w:pPr>
          <w:r>
            <w:rPr>
              <w:rFonts w:ascii="Palatino Linotype" w:hAnsi="Palatino Linotype"/>
              <w:b/>
              <w:bCs/>
              <w:color w:val="000000"/>
              <w:sz w:val="22"/>
              <w:szCs w:val="22"/>
            </w:rPr>
            <w:t xml:space="preserve">XXXX </w:t>
          </w:r>
          <w:proofErr w:type="spellStart"/>
          <w:r>
            <w:rPr>
              <w:rFonts w:ascii="Palatino Linotype" w:hAnsi="Palatino Linotype"/>
              <w:b/>
              <w:bCs/>
              <w:color w:val="000000"/>
              <w:sz w:val="22"/>
              <w:szCs w:val="22"/>
            </w:rPr>
            <w:t>XXXX</w:t>
          </w:r>
          <w:proofErr w:type="spellEnd"/>
          <w:r>
            <w:rPr>
              <w:rFonts w:ascii="Palatino Linotype" w:hAnsi="Palatino Linotype"/>
              <w:b/>
              <w:bCs/>
              <w:color w:val="000000"/>
              <w:sz w:val="22"/>
              <w:szCs w:val="22"/>
            </w:rPr>
            <w:t xml:space="preserve"> XXXXX</w:t>
          </w:r>
        </w:p>
      </w:tc>
    </w:tr>
    <w:tr w:rsidR="00291090" w:rsidRPr="00025127" w14:paraId="41BE0704" w14:textId="77777777" w:rsidTr="001728F6">
      <w:trPr>
        <w:trHeight w:val="321"/>
        <w:jc w:val="right"/>
      </w:trPr>
      <w:tc>
        <w:tcPr>
          <w:tcW w:w="3544" w:type="dxa"/>
          <w:vAlign w:val="center"/>
        </w:tcPr>
        <w:p w14:paraId="34C64148" w14:textId="10C6C8A9" w:rsidR="00291090" w:rsidRPr="00025127" w:rsidRDefault="00291090"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970" w:type="dxa"/>
          <w:vAlign w:val="center"/>
        </w:tcPr>
        <w:p w14:paraId="34C341BF" w14:textId="26ED9450" w:rsidR="00291090" w:rsidRPr="00025127" w:rsidRDefault="005D4629" w:rsidP="00833877">
          <w:pPr>
            <w:pStyle w:val="Encabezado"/>
            <w:rPr>
              <w:rFonts w:ascii="Palatino Linotype" w:hAnsi="Palatino Linotype"/>
              <w:b/>
              <w:sz w:val="22"/>
              <w:szCs w:val="22"/>
            </w:rPr>
          </w:pPr>
          <w:r>
            <w:rPr>
              <w:rFonts w:ascii="Palatino Linotype" w:hAnsi="Palatino Linotype"/>
              <w:b/>
              <w:sz w:val="22"/>
              <w:szCs w:val="22"/>
            </w:rPr>
            <w:t>Unidad de Asuntos Internos</w:t>
          </w:r>
        </w:p>
      </w:tc>
    </w:tr>
    <w:tr w:rsidR="00291090" w:rsidRPr="00025127" w14:paraId="0C8B6193" w14:textId="77777777" w:rsidTr="001728F6">
      <w:trPr>
        <w:trHeight w:val="321"/>
        <w:jc w:val="right"/>
      </w:trPr>
      <w:tc>
        <w:tcPr>
          <w:tcW w:w="3544" w:type="dxa"/>
          <w:vAlign w:val="center"/>
        </w:tcPr>
        <w:p w14:paraId="321FFAFF" w14:textId="0E8C2CE7" w:rsidR="00291090" w:rsidRPr="00025127" w:rsidRDefault="00291090"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970" w:type="dxa"/>
          <w:vAlign w:val="center"/>
        </w:tcPr>
        <w:p w14:paraId="0FECDA9D" w14:textId="6D336FD0" w:rsidR="00291090" w:rsidRPr="00025127" w:rsidRDefault="00291090"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0AE94B16" w:rsidR="00291090" w:rsidRDefault="00054A24"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8.3pt;margin-top:-131.4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CE59AC"/>
    <w:multiLevelType w:val="hybridMultilevel"/>
    <w:tmpl w:val="B8865D34"/>
    <w:lvl w:ilvl="0" w:tplc="4A029FF2">
      <w:start w:val="1"/>
      <w:numFmt w:val="decimal"/>
      <w:lvlText w:val="%1."/>
      <w:lvlJc w:val="left"/>
      <w:pPr>
        <w:ind w:left="720" w:hanging="360"/>
      </w:pPr>
      <w:rPr>
        <w:rFonts w:hint="default"/>
        <w:b/>
        <w:i w:val="0"/>
      </w:rPr>
    </w:lvl>
    <w:lvl w:ilvl="1" w:tplc="71949BB8">
      <w:start w:val="1"/>
      <w:numFmt w:val="upperRoman"/>
      <w:lvlText w:val="%2."/>
      <w:lvlJc w:val="right"/>
      <w:pPr>
        <w:ind w:left="1440" w:hanging="360"/>
      </w:pPr>
      <w:rPr>
        <w:b/>
      </w:rPr>
    </w:lvl>
    <w:lvl w:ilvl="2" w:tplc="08EC81EA">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E86434"/>
    <w:multiLevelType w:val="hybridMultilevel"/>
    <w:tmpl w:val="788E5874"/>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C19E6202">
      <w:start w:val="1"/>
      <w:numFmt w:val="lowerLetter"/>
      <w:lvlText w:val="%3)"/>
      <w:lvlJc w:val="left"/>
      <w:pPr>
        <w:ind w:left="23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8617F4"/>
    <w:multiLevelType w:val="hybridMultilevel"/>
    <w:tmpl w:val="46D0103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58343C08">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932751"/>
    <w:multiLevelType w:val="hybridMultilevel"/>
    <w:tmpl w:val="59F22946"/>
    <w:lvl w:ilvl="0" w:tplc="4A029FF2">
      <w:start w:val="1"/>
      <w:numFmt w:val="decimal"/>
      <w:lvlText w:val="%1."/>
      <w:lvlJc w:val="left"/>
      <w:pPr>
        <w:ind w:left="720" w:hanging="360"/>
      </w:pPr>
      <w:rPr>
        <w:rFonts w:hint="default"/>
        <w:b/>
        <w:i w:val="0"/>
      </w:rPr>
    </w:lvl>
    <w:lvl w:ilvl="1" w:tplc="71949BB8">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D97B09"/>
    <w:multiLevelType w:val="hybridMultilevel"/>
    <w:tmpl w:val="955A4B4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326A874E">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A052FAC"/>
    <w:multiLevelType w:val="hybridMultilevel"/>
    <w:tmpl w:val="12AA50F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4A6C875C">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BE4E09"/>
    <w:multiLevelType w:val="hybridMultilevel"/>
    <w:tmpl w:val="074A17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B8281A"/>
    <w:multiLevelType w:val="hybridMultilevel"/>
    <w:tmpl w:val="5C0A77EA"/>
    <w:lvl w:ilvl="0" w:tplc="4A029FF2">
      <w:start w:val="1"/>
      <w:numFmt w:val="decimal"/>
      <w:lvlText w:val="%1."/>
      <w:lvlJc w:val="left"/>
      <w:pPr>
        <w:ind w:left="720" w:hanging="360"/>
      </w:pPr>
      <w:rPr>
        <w:rFonts w:hint="default"/>
        <w:b/>
        <w:i w:val="0"/>
      </w:rPr>
    </w:lvl>
    <w:lvl w:ilvl="1" w:tplc="71949BB8">
      <w:start w:val="1"/>
      <w:numFmt w:val="upperRoman"/>
      <w:lvlText w:val="%2."/>
      <w:lvlJc w:val="right"/>
      <w:pPr>
        <w:ind w:left="1440" w:hanging="360"/>
      </w:pPr>
      <w:rPr>
        <w:b/>
      </w:rPr>
    </w:lvl>
    <w:lvl w:ilvl="2" w:tplc="CC4871CA">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6CC359A"/>
    <w:multiLevelType w:val="hybridMultilevel"/>
    <w:tmpl w:val="438A6916"/>
    <w:lvl w:ilvl="0" w:tplc="FFFFFFFF">
      <w:start w:val="1"/>
      <w:numFmt w:val="decimal"/>
      <w:lvlText w:val="%1."/>
      <w:lvlJc w:val="left"/>
      <w:pPr>
        <w:ind w:left="0" w:firstLine="0"/>
      </w:pPr>
      <w:rPr>
        <w:rFonts w:ascii="Palatino Linotype" w:hAnsi="Palatino Linotype" w:hint="default"/>
        <w:b/>
        <w:i w:val="0"/>
        <w:sz w:val="24"/>
      </w:rPr>
    </w:lvl>
    <w:lvl w:ilvl="1" w:tplc="D096C21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C970B17"/>
    <w:multiLevelType w:val="hybridMultilevel"/>
    <w:tmpl w:val="0BE21D36"/>
    <w:lvl w:ilvl="0" w:tplc="FFFFFFFF">
      <w:start w:val="1"/>
      <w:numFmt w:val="decimal"/>
      <w:lvlText w:val="%1."/>
      <w:lvlJc w:val="left"/>
      <w:pPr>
        <w:ind w:left="0" w:firstLine="0"/>
      </w:pPr>
      <w:rPr>
        <w:rFonts w:ascii="Palatino Linotype" w:hAnsi="Palatino Linotype" w:hint="default"/>
        <w:b/>
        <w:i w:val="0"/>
        <w:sz w:val="24"/>
      </w:rPr>
    </w:lvl>
    <w:lvl w:ilvl="1" w:tplc="EA6A9AB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55130D65"/>
    <w:multiLevelType w:val="hybridMultilevel"/>
    <w:tmpl w:val="9EF0F95A"/>
    <w:lvl w:ilvl="0" w:tplc="FFFFFFFF">
      <w:start w:val="1"/>
      <w:numFmt w:val="decimal"/>
      <w:lvlText w:val="%1."/>
      <w:lvlJc w:val="left"/>
      <w:pPr>
        <w:ind w:left="0" w:firstLine="0"/>
      </w:pPr>
      <w:rPr>
        <w:rFonts w:ascii="Palatino Linotype" w:hAnsi="Palatino Linotype" w:hint="default"/>
        <w:b/>
        <w:i w:val="0"/>
        <w:sz w:val="24"/>
      </w:rPr>
    </w:lvl>
    <w:lvl w:ilvl="1" w:tplc="BBFAE8C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5D478FD"/>
    <w:multiLevelType w:val="hybridMultilevel"/>
    <w:tmpl w:val="E9C01C98"/>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57E8DA6C">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390205"/>
    <w:multiLevelType w:val="hybridMultilevel"/>
    <w:tmpl w:val="54DE2BD8"/>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47FC215E">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13"/>
  </w:num>
  <w:num w:numId="3">
    <w:abstractNumId w:val="0"/>
  </w:num>
  <w:num w:numId="4">
    <w:abstractNumId w:val="8"/>
  </w:num>
  <w:num w:numId="5">
    <w:abstractNumId w:val="4"/>
  </w:num>
  <w:num w:numId="6">
    <w:abstractNumId w:val="10"/>
  </w:num>
  <w:num w:numId="7">
    <w:abstractNumId w:val="1"/>
  </w:num>
  <w:num w:numId="8">
    <w:abstractNumId w:val="14"/>
  </w:num>
  <w:num w:numId="9">
    <w:abstractNumId w:val="2"/>
  </w:num>
  <w:num w:numId="10">
    <w:abstractNumId w:val="12"/>
  </w:num>
  <w:num w:numId="11">
    <w:abstractNumId w:val="11"/>
  </w:num>
  <w:num w:numId="12">
    <w:abstractNumId w:val="15"/>
  </w:num>
  <w:num w:numId="13">
    <w:abstractNumId w:val="5"/>
  </w:num>
  <w:num w:numId="14">
    <w:abstractNumId w:val="7"/>
  </w:num>
  <w:num w:numId="15">
    <w:abstractNumId w:val="3"/>
  </w:num>
  <w:num w:numId="16">
    <w:abstractNumId w:val="18"/>
  </w:num>
  <w:num w:numId="17">
    <w:abstractNumId w:val="16"/>
  </w:num>
  <w:num w:numId="18">
    <w:abstractNumId w:val="17"/>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02FA"/>
    <w:rsid w:val="000012FD"/>
    <w:rsid w:val="0000310F"/>
    <w:rsid w:val="00003442"/>
    <w:rsid w:val="0000381E"/>
    <w:rsid w:val="00003A05"/>
    <w:rsid w:val="0000407F"/>
    <w:rsid w:val="000058E3"/>
    <w:rsid w:val="000067AC"/>
    <w:rsid w:val="0000797D"/>
    <w:rsid w:val="00007E8A"/>
    <w:rsid w:val="000100D7"/>
    <w:rsid w:val="0001106B"/>
    <w:rsid w:val="00012472"/>
    <w:rsid w:val="0001398B"/>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1E2"/>
    <w:rsid w:val="0004193F"/>
    <w:rsid w:val="00042380"/>
    <w:rsid w:val="00044DB9"/>
    <w:rsid w:val="0004686A"/>
    <w:rsid w:val="000468E2"/>
    <w:rsid w:val="00046CEE"/>
    <w:rsid w:val="000478BA"/>
    <w:rsid w:val="000518AF"/>
    <w:rsid w:val="0005237C"/>
    <w:rsid w:val="00052A3C"/>
    <w:rsid w:val="00054A03"/>
    <w:rsid w:val="00054A24"/>
    <w:rsid w:val="00056A79"/>
    <w:rsid w:val="0005777B"/>
    <w:rsid w:val="00061344"/>
    <w:rsid w:val="000622ED"/>
    <w:rsid w:val="0006247F"/>
    <w:rsid w:val="00062648"/>
    <w:rsid w:val="000629FC"/>
    <w:rsid w:val="000631D9"/>
    <w:rsid w:val="0006381D"/>
    <w:rsid w:val="00063D06"/>
    <w:rsid w:val="0006407E"/>
    <w:rsid w:val="00064577"/>
    <w:rsid w:val="00064A37"/>
    <w:rsid w:val="00064B95"/>
    <w:rsid w:val="00070361"/>
    <w:rsid w:val="00071287"/>
    <w:rsid w:val="0007221E"/>
    <w:rsid w:val="00074573"/>
    <w:rsid w:val="000770CE"/>
    <w:rsid w:val="000800AC"/>
    <w:rsid w:val="0008230A"/>
    <w:rsid w:val="00082D11"/>
    <w:rsid w:val="00082E28"/>
    <w:rsid w:val="000834FE"/>
    <w:rsid w:val="0008465D"/>
    <w:rsid w:val="00084E31"/>
    <w:rsid w:val="0008542A"/>
    <w:rsid w:val="00090658"/>
    <w:rsid w:val="00090D6F"/>
    <w:rsid w:val="00091C2C"/>
    <w:rsid w:val="00093FB4"/>
    <w:rsid w:val="00093FC7"/>
    <w:rsid w:val="000953E2"/>
    <w:rsid w:val="00095BB9"/>
    <w:rsid w:val="000A01F4"/>
    <w:rsid w:val="000A26B8"/>
    <w:rsid w:val="000A3F90"/>
    <w:rsid w:val="000A4554"/>
    <w:rsid w:val="000A45FD"/>
    <w:rsid w:val="000A483B"/>
    <w:rsid w:val="000A4E44"/>
    <w:rsid w:val="000A556A"/>
    <w:rsid w:val="000A77ED"/>
    <w:rsid w:val="000B0370"/>
    <w:rsid w:val="000B5AB1"/>
    <w:rsid w:val="000B5D79"/>
    <w:rsid w:val="000B6D31"/>
    <w:rsid w:val="000B750B"/>
    <w:rsid w:val="000B7C4F"/>
    <w:rsid w:val="000C0061"/>
    <w:rsid w:val="000C0663"/>
    <w:rsid w:val="000C0BBB"/>
    <w:rsid w:val="000C10B9"/>
    <w:rsid w:val="000C1304"/>
    <w:rsid w:val="000C1701"/>
    <w:rsid w:val="000C1D19"/>
    <w:rsid w:val="000C2E5F"/>
    <w:rsid w:val="000C3423"/>
    <w:rsid w:val="000C3861"/>
    <w:rsid w:val="000C48CA"/>
    <w:rsid w:val="000C4A8E"/>
    <w:rsid w:val="000C5A04"/>
    <w:rsid w:val="000C5AF7"/>
    <w:rsid w:val="000C7651"/>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C6D"/>
    <w:rsid w:val="00100DDD"/>
    <w:rsid w:val="00102D65"/>
    <w:rsid w:val="00103662"/>
    <w:rsid w:val="00103888"/>
    <w:rsid w:val="00107499"/>
    <w:rsid w:val="00107557"/>
    <w:rsid w:val="0011167C"/>
    <w:rsid w:val="00111F02"/>
    <w:rsid w:val="0011279B"/>
    <w:rsid w:val="00112B02"/>
    <w:rsid w:val="00112F09"/>
    <w:rsid w:val="00114A21"/>
    <w:rsid w:val="00115F2B"/>
    <w:rsid w:val="00117441"/>
    <w:rsid w:val="0012006D"/>
    <w:rsid w:val="00121F4A"/>
    <w:rsid w:val="00122E4B"/>
    <w:rsid w:val="0012380D"/>
    <w:rsid w:val="00123F6A"/>
    <w:rsid w:val="00124015"/>
    <w:rsid w:val="0012485C"/>
    <w:rsid w:val="00124CF1"/>
    <w:rsid w:val="001250B4"/>
    <w:rsid w:val="001253D1"/>
    <w:rsid w:val="00127E68"/>
    <w:rsid w:val="001318D2"/>
    <w:rsid w:val="001328AB"/>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778"/>
    <w:rsid w:val="001468E9"/>
    <w:rsid w:val="00147864"/>
    <w:rsid w:val="00151114"/>
    <w:rsid w:val="0015233C"/>
    <w:rsid w:val="00152F19"/>
    <w:rsid w:val="001534BC"/>
    <w:rsid w:val="0015371B"/>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5DC8"/>
    <w:rsid w:val="00166794"/>
    <w:rsid w:val="00167813"/>
    <w:rsid w:val="0017273C"/>
    <w:rsid w:val="001728F6"/>
    <w:rsid w:val="001732E3"/>
    <w:rsid w:val="00174E02"/>
    <w:rsid w:val="0017653A"/>
    <w:rsid w:val="00176607"/>
    <w:rsid w:val="001775DF"/>
    <w:rsid w:val="00182A38"/>
    <w:rsid w:val="001848C0"/>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4CBC"/>
    <w:rsid w:val="001C54A9"/>
    <w:rsid w:val="001C6012"/>
    <w:rsid w:val="001C67B0"/>
    <w:rsid w:val="001C79FA"/>
    <w:rsid w:val="001D07C9"/>
    <w:rsid w:val="001D3AB5"/>
    <w:rsid w:val="001D5464"/>
    <w:rsid w:val="001D7D8F"/>
    <w:rsid w:val="001D7DF0"/>
    <w:rsid w:val="001D7E82"/>
    <w:rsid w:val="001E018C"/>
    <w:rsid w:val="001E0AD2"/>
    <w:rsid w:val="001E3596"/>
    <w:rsid w:val="001E3F91"/>
    <w:rsid w:val="001E4152"/>
    <w:rsid w:val="001E489D"/>
    <w:rsid w:val="001E5C94"/>
    <w:rsid w:val="001E5FCF"/>
    <w:rsid w:val="001E6668"/>
    <w:rsid w:val="001E6822"/>
    <w:rsid w:val="001E74A5"/>
    <w:rsid w:val="001E7B9E"/>
    <w:rsid w:val="001F025B"/>
    <w:rsid w:val="001F2B8C"/>
    <w:rsid w:val="001F394F"/>
    <w:rsid w:val="001F783F"/>
    <w:rsid w:val="001F7AFD"/>
    <w:rsid w:val="001F7DE2"/>
    <w:rsid w:val="002001BE"/>
    <w:rsid w:val="002008EC"/>
    <w:rsid w:val="002031F3"/>
    <w:rsid w:val="00204B9F"/>
    <w:rsid w:val="002058A7"/>
    <w:rsid w:val="00205A1A"/>
    <w:rsid w:val="00207665"/>
    <w:rsid w:val="00211229"/>
    <w:rsid w:val="00211E8C"/>
    <w:rsid w:val="00212C9C"/>
    <w:rsid w:val="00212FCA"/>
    <w:rsid w:val="00213108"/>
    <w:rsid w:val="00213901"/>
    <w:rsid w:val="0021453E"/>
    <w:rsid w:val="0021475E"/>
    <w:rsid w:val="002179AC"/>
    <w:rsid w:val="00220ADB"/>
    <w:rsid w:val="002217BA"/>
    <w:rsid w:val="00221E74"/>
    <w:rsid w:val="00223507"/>
    <w:rsid w:val="00223ACC"/>
    <w:rsid w:val="0022448D"/>
    <w:rsid w:val="002275DE"/>
    <w:rsid w:val="00230170"/>
    <w:rsid w:val="002305CF"/>
    <w:rsid w:val="00232AB3"/>
    <w:rsid w:val="0023305F"/>
    <w:rsid w:val="00233E08"/>
    <w:rsid w:val="002345FF"/>
    <w:rsid w:val="00234796"/>
    <w:rsid w:val="00235DF2"/>
    <w:rsid w:val="00237611"/>
    <w:rsid w:val="002408D7"/>
    <w:rsid w:val="00241008"/>
    <w:rsid w:val="002426EA"/>
    <w:rsid w:val="00244476"/>
    <w:rsid w:val="00245760"/>
    <w:rsid w:val="002457CF"/>
    <w:rsid w:val="002507D8"/>
    <w:rsid w:val="00252A20"/>
    <w:rsid w:val="00252B41"/>
    <w:rsid w:val="0025524F"/>
    <w:rsid w:val="002578EE"/>
    <w:rsid w:val="00257E5F"/>
    <w:rsid w:val="00260C1D"/>
    <w:rsid w:val="00261001"/>
    <w:rsid w:val="002617DC"/>
    <w:rsid w:val="00261A42"/>
    <w:rsid w:val="00261D84"/>
    <w:rsid w:val="002620B9"/>
    <w:rsid w:val="002629A6"/>
    <w:rsid w:val="002630E4"/>
    <w:rsid w:val="00263F23"/>
    <w:rsid w:val="00264D02"/>
    <w:rsid w:val="00264DA7"/>
    <w:rsid w:val="0026500D"/>
    <w:rsid w:val="00265CD7"/>
    <w:rsid w:val="00266588"/>
    <w:rsid w:val="002665BD"/>
    <w:rsid w:val="00271B06"/>
    <w:rsid w:val="00272FEC"/>
    <w:rsid w:val="00273013"/>
    <w:rsid w:val="0027319E"/>
    <w:rsid w:val="00273C37"/>
    <w:rsid w:val="0027430D"/>
    <w:rsid w:val="002746D9"/>
    <w:rsid w:val="00274ED2"/>
    <w:rsid w:val="002754FC"/>
    <w:rsid w:val="002765F2"/>
    <w:rsid w:val="00277A35"/>
    <w:rsid w:val="00280994"/>
    <w:rsid w:val="00280E3F"/>
    <w:rsid w:val="00280F05"/>
    <w:rsid w:val="0028248C"/>
    <w:rsid w:val="002834A6"/>
    <w:rsid w:val="002862C6"/>
    <w:rsid w:val="00286DDB"/>
    <w:rsid w:val="002871EB"/>
    <w:rsid w:val="00291090"/>
    <w:rsid w:val="002948C4"/>
    <w:rsid w:val="00297E45"/>
    <w:rsid w:val="002A2099"/>
    <w:rsid w:val="002A229B"/>
    <w:rsid w:val="002A35B6"/>
    <w:rsid w:val="002A4172"/>
    <w:rsid w:val="002A4516"/>
    <w:rsid w:val="002A541B"/>
    <w:rsid w:val="002A54DE"/>
    <w:rsid w:val="002A633F"/>
    <w:rsid w:val="002A7FAB"/>
    <w:rsid w:val="002B085C"/>
    <w:rsid w:val="002B1AE9"/>
    <w:rsid w:val="002B2278"/>
    <w:rsid w:val="002B284F"/>
    <w:rsid w:val="002B2A2E"/>
    <w:rsid w:val="002B2F59"/>
    <w:rsid w:val="002B309C"/>
    <w:rsid w:val="002B4D21"/>
    <w:rsid w:val="002B6AC2"/>
    <w:rsid w:val="002C0074"/>
    <w:rsid w:val="002C0159"/>
    <w:rsid w:val="002C0804"/>
    <w:rsid w:val="002C0DC5"/>
    <w:rsid w:val="002C1007"/>
    <w:rsid w:val="002C2D44"/>
    <w:rsid w:val="002C4715"/>
    <w:rsid w:val="002C4780"/>
    <w:rsid w:val="002C47ED"/>
    <w:rsid w:val="002C484A"/>
    <w:rsid w:val="002C5692"/>
    <w:rsid w:val="002C570D"/>
    <w:rsid w:val="002C6561"/>
    <w:rsid w:val="002C6DB3"/>
    <w:rsid w:val="002C74F8"/>
    <w:rsid w:val="002C76A0"/>
    <w:rsid w:val="002D0E3D"/>
    <w:rsid w:val="002D10C8"/>
    <w:rsid w:val="002D1A38"/>
    <w:rsid w:val="002D1AA7"/>
    <w:rsid w:val="002D1C2C"/>
    <w:rsid w:val="002D28CB"/>
    <w:rsid w:val="002D2E16"/>
    <w:rsid w:val="002D35AE"/>
    <w:rsid w:val="002D373C"/>
    <w:rsid w:val="002E126F"/>
    <w:rsid w:val="002E160F"/>
    <w:rsid w:val="002E191E"/>
    <w:rsid w:val="002E19EA"/>
    <w:rsid w:val="002E1C05"/>
    <w:rsid w:val="002E3FAE"/>
    <w:rsid w:val="002E482C"/>
    <w:rsid w:val="002E5399"/>
    <w:rsid w:val="002E5A0B"/>
    <w:rsid w:val="002E6295"/>
    <w:rsid w:val="002E6531"/>
    <w:rsid w:val="002E66CA"/>
    <w:rsid w:val="002E689B"/>
    <w:rsid w:val="002E6CFE"/>
    <w:rsid w:val="002E74CE"/>
    <w:rsid w:val="002E76FD"/>
    <w:rsid w:val="002E7AD0"/>
    <w:rsid w:val="002E7BED"/>
    <w:rsid w:val="002E7F75"/>
    <w:rsid w:val="002F1871"/>
    <w:rsid w:val="002F3672"/>
    <w:rsid w:val="002F37C1"/>
    <w:rsid w:val="002F72FA"/>
    <w:rsid w:val="002F7BEF"/>
    <w:rsid w:val="002F7D11"/>
    <w:rsid w:val="003007E0"/>
    <w:rsid w:val="0030150B"/>
    <w:rsid w:val="00301B41"/>
    <w:rsid w:val="00301D47"/>
    <w:rsid w:val="003030B1"/>
    <w:rsid w:val="00303717"/>
    <w:rsid w:val="00304013"/>
    <w:rsid w:val="00304137"/>
    <w:rsid w:val="003041E0"/>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0E47"/>
    <w:rsid w:val="00332E6B"/>
    <w:rsid w:val="003337F3"/>
    <w:rsid w:val="00333BE8"/>
    <w:rsid w:val="003344DB"/>
    <w:rsid w:val="003344FB"/>
    <w:rsid w:val="00335898"/>
    <w:rsid w:val="00335BFE"/>
    <w:rsid w:val="00335E9C"/>
    <w:rsid w:val="0033608B"/>
    <w:rsid w:val="0033675D"/>
    <w:rsid w:val="00337941"/>
    <w:rsid w:val="003407D0"/>
    <w:rsid w:val="0034181B"/>
    <w:rsid w:val="00341B17"/>
    <w:rsid w:val="00342C51"/>
    <w:rsid w:val="00343280"/>
    <w:rsid w:val="00345856"/>
    <w:rsid w:val="0034595C"/>
    <w:rsid w:val="00345B79"/>
    <w:rsid w:val="00345D0F"/>
    <w:rsid w:val="0034614E"/>
    <w:rsid w:val="00346885"/>
    <w:rsid w:val="003472B3"/>
    <w:rsid w:val="0035104F"/>
    <w:rsid w:val="0035199B"/>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0D72"/>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97DB6"/>
    <w:rsid w:val="003A03D0"/>
    <w:rsid w:val="003A04FF"/>
    <w:rsid w:val="003A1B01"/>
    <w:rsid w:val="003A2029"/>
    <w:rsid w:val="003A63D9"/>
    <w:rsid w:val="003A6417"/>
    <w:rsid w:val="003A65FE"/>
    <w:rsid w:val="003A6A5A"/>
    <w:rsid w:val="003A6F21"/>
    <w:rsid w:val="003A7221"/>
    <w:rsid w:val="003A730E"/>
    <w:rsid w:val="003B123F"/>
    <w:rsid w:val="003B1CEE"/>
    <w:rsid w:val="003B2199"/>
    <w:rsid w:val="003B2856"/>
    <w:rsid w:val="003B2A0D"/>
    <w:rsid w:val="003B31FA"/>
    <w:rsid w:val="003B55AD"/>
    <w:rsid w:val="003B6E2A"/>
    <w:rsid w:val="003B7EC4"/>
    <w:rsid w:val="003C183D"/>
    <w:rsid w:val="003C7282"/>
    <w:rsid w:val="003D00D5"/>
    <w:rsid w:val="003D0A29"/>
    <w:rsid w:val="003D0BC7"/>
    <w:rsid w:val="003D13FC"/>
    <w:rsid w:val="003D181D"/>
    <w:rsid w:val="003D1FB3"/>
    <w:rsid w:val="003D20C4"/>
    <w:rsid w:val="003D4163"/>
    <w:rsid w:val="003D46D0"/>
    <w:rsid w:val="003D5661"/>
    <w:rsid w:val="003D657A"/>
    <w:rsid w:val="003D792A"/>
    <w:rsid w:val="003E2E98"/>
    <w:rsid w:val="003E4701"/>
    <w:rsid w:val="003E6079"/>
    <w:rsid w:val="003E6128"/>
    <w:rsid w:val="003E6679"/>
    <w:rsid w:val="003E669F"/>
    <w:rsid w:val="003E6D0F"/>
    <w:rsid w:val="003E712E"/>
    <w:rsid w:val="003F0769"/>
    <w:rsid w:val="003F0DDA"/>
    <w:rsid w:val="003F140F"/>
    <w:rsid w:val="003F15DB"/>
    <w:rsid w:val="003F2702"/>
    <w:rsid w:val="003F2778"/>
    <w:rsid w:val="003F36A4"/>
    <w:rsid w:val="003F4900"/>
    <w:rsid w:val="003F70CA"/>
    <w:rsid w:val="003F7823"/>
    <w:rsid w:val="003F7F50"/>
    <w:rsid w:val="00400E76"/>
    <w:rsid w:val="0040137F"/>
    <w:rsid w:val="00402179"/>
    <w:rsid w:val="0040278D"/>
    <w:rsid w:val="00403249"/>
    <w:rsid w:val="00405372"/>
    <w:rsid w:val="00405EFA"/>
    <w:rsid w:val="004078C8"/>
    <w:rsid w:val="004102DE"/>
    <w:rsid w:val="00412696"/>
    <w:rsid w:val="00412E24"/>
    <w:rsid w:val="004146FC"/>
    <w:rsid w:val="004147B1"/>
    <w:rsid w:val="00414B5B"/>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33"/>
    <w:rsid w:val="00445FDA"/>
    <w:rsid w:val="004466B2"/>
    <w:rsid w:val="004473B2"/>
    <w:rsid w:val="00447F0D"/>
    <w:rsid w:val="00450A5F"/>
    <w:rsid w:val="00451514"/>
    <w:rsid w:val="00453BB4"/>
    <w:rsid w:val="00454B9D"/>
    <w:rsid w:val="00456317"/>
    <w:rsid w:val="00456348"/>
    <w:rsid w:val="004572A1"/>
    <w:rsid w:val="004574D0"/>
    <w:rsid w:val="00457F74"/>
    <w:rsid w:val="004613B1"/>
    <w:rsid w:val="00461F2A"/>
    <w:rsid w:val="0046231E"/>
    <w:rsid w:val="0046340E"/>
    <w:rsid w:val="004635E2"/>
    <w:rsid w:val="00464CB6"/>
    <w:rsid w:val="0046532D"/>
    <w:rsid w:val="0046566E"/>
    <w:rsid w:val="00466049"/>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2EA2"/>
    <w:rsid w:val="004A3085"/>
    <w:rsid w:val="004A3C58"/>
    <w:rsid w:val="004A4178"/>
    <w:rsid w:val="004A4BD5"/>
    <w:rsid w:val="004A4CFD"/>
    <w:rsid w:val="004A677C"/>
    <w:rsid w:val="004A6C04"/>
    <w:rsid w:val="004A7D4A"/>
    <w:rsid w:val="004B05A5"/>
    <w:rsid w:val="004B0EB6"/>
    <w:rsid w:val="004B176B"/>
    <w:rsid w:val="004B2713"/>
    <w:rsid w:val="004B293C"/>
    <w:rsid w:val="004B3A2A"/>
    <w:rsid w:val="004B3D59"/>
    <w:rsid w:val="004B4713"/>
    <w:rsid w:val="004B4BE7"/>
    <w:rsid w:val="004B50F8"/>
    <w:rsid w:val="004B56EE"/>
    <w:rsid w:val="004B58EA"/>
    <w:rsid w:val="004B621C"/>
    <w:rsid w:val="004B73EF"/>
    <w:rsid w:val="004C09B4"/>
    <w:rsid w:val="004C20F2"/>
    <w:rsid w:val="004C251E"/>
    <w:rsid w:val="004C3F25"/>
    <w:rsid w:val="004C4E77"/>
    <w:rsid w:val="004C525E"/>
    <w:rsid w:val="004C608B"/>
    <w:rsid w:val="004C6796"/>
    <w:rsid w:val="004C67E2"/>
    <w:rsid w:val="004C7263"/>
    <w:rsid w:val="004C7A27"/>
    <w:rsid w:val="004D0490"/>
    <w:rsid w:val="004D12F1"/>
    <w:rsid w:val="004D1805"/>
    <w:rsid w:val="004D1CB6"/>
    <w:rsid w:val="004D2229"/>
    <w:rsid w:val="004D257A"/>
    <w:rsid w:val="004D2676"/>
    <w:rsid w:val="004D26F1"/>
    <w:rsid w:val="004D3142"/>
    <w:rsid w:val="004D36A1"/>
    <w:rsid w:val="004D37D7"/>
    <w:rsid w:val="004D4509"/>
    <w:rsid w:val="004D5294"/>
    <w:rsid w:val="004D52DD"/>
    <w:rsid w:val="004D5A36"/>
    <w:rsid w:val="004D68F8"/>
    <w:rsid w:val="004D6D19"/>
    <w:rsid w:val="004D7686"/>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29AD"/>
    <w:rsid w:val="005041C2"/>
    <w:rsid w:val="00505CA0"/>
    <w:rsid w:val="00507043"/>
    <w:rsid w:val="00507C08"/>
    <w:rsid w:val="00507D18"/>
    <w:rsid w:val="0051016E"/>
    <w:rsid w:val="00511182"/>
    <w:rsid w:val="00511A30"/>
    <w:rsid w:val="00512F22"/>
    <w:rsid w:val="005140E4"/>
    <w:rsid w:val="00514343"/>
    <w:rsid w:val="00514426"/>
    <w:rsid w:val="00515C2C"/>
    <w:rsid w:val="00515DEC"/>
    <w:rsid w:val="00516603"/>
    <w:rsid w:val="005166F9"/>
    <w:rsid w:val="005167B1"/>
    <w:rsid w:val="00516D19"/>
    <w:rsid w:val="00517A46"/>
    <w:rsid w:val="00517D20"/>
    <w:rsid w:val="00520763"/>
    <w:rsid w:val="005215EE"/>
    <w:rsid w:val="00521F15"/>
    <w:rsid w:val="00522599"/>
    <w:rsid w:val="00522F5F"/>
    <w:rsid w:val="00523640"/>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CE8"/>
    <w:rsid w:val="00546FBD"/>
    <w:rsid w:val="00550671"/>
    <w:rsid w:val="0055159A"/>
    <w:rsid w:val="005516E0"/>
    <w:rsid w:val="00551A9B"/>
    <w:rsid w:val="005520BF"/>
    <w:rsid w:val="00552213"/>
    <w:rsid w:val="005526F4"/>
    <w:rsid w:val="00554F6A"/>
    <w:rsid w:val="0055544F"/>
    <w:rsid w:val="00556B04"/>
    <w:rsid w:val="00556F72"/>
    <w:rsid w:val="00556F82"/>
    <w:rsid w:val="00560018"/>
    <w:rsid w:val="00560C00"/>
    <w:rsid w:val="00561ED1"/>
    <w:rsid w:val="00562B0A"/>
    <w:rsid w:val="00562CCE"/>
    <w:rsid w:val="00563FC3"/>
    <w:rsid w:val="00564457"/>
    <w:rsid w:val="0056550D"/>
    <w:rsid w:val="0056555A"/>
    <w:rsid w:val="005669D6"/>
    <w:rsid w:val="0056788F"/>
    <w:rsid w:val="00567998"/>
    <w:rsid w:val="00570911"/>
    <w:rsid w:val="00573BC6"/>
    <w:rsid w:val="005759CD"/>
    <w:rsid w:val="00575D39"/>
    <w:rsid w:val="00575F2C"/>
    <w:rsid w:val="00577884"/>
    <w:rsid w:val="00581C0F"/>
    <w:rsid w:val="00582919"/>
    <w:rsid w:val="0058374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B32"/>
    <w:rsid w:val="005A1FAB"/>
    <w:rsid w:val="005A228F"/>
    <w:rsid w:val="005A2A65"/>
    <w:rsid w:val="005A2F65"/>
    <w:rsid w:val="005A339D"/>
    <w:rsid w:val="005A3513"/>
    <w:rsid w:val="005A3581"/>
    <w:rsid w:val="005A3BD7"/>
    <w:rsid w:val="005A5F8D"/>
    <w:rsid w:val="005A60E1"/>
    <w:rsid w:val="005A6788"/>
    <w:rsid w:val="005A786F"/>
    <w:rsid w:val="005B13E4"/>
    <w:rsid w:val="005B169C"/>
    <w:rsid w:val="005B2DD1"/>
    <w:rsid w:val="005B3A49"/>
    <w:rsid w:val="005B6ADF"/>
    <w:rsid w:val="005B6AE1"/>
    <w:rsid w:val="005B6AE7"/>
    <w:rsid w:val="005B773D"/>
    <w:rsid w:val="005B7C5D"/>
    <w:rsid w:val="005C02B5"/>
    <w:rsid w:val="005C0821"/>
    <w:rsid w:val="005C1A74"/>
    <w:rsid w:val="005C3294"/>
    <w:rsid w:val="005C347F"/>
    <w:rsid w:val="005C3B63"/>
    <w:rsid w:val="005C3CEB"/>
    <w:rsid w:val="005C450C"/>
    <w:rsid w:val="005C5652"/>
    <w:rsid w:val="005C6961"/>
    <w:rsid w:val="005C6F55"/>
    <w:rsid w:val="005D0EB4"/>
    <w:rsid w:val="005D18A6"/>
    <w:rsid w:val="005D27DD"/>
    <w:rsid w:val="005D3493"/>
    <w:rsid w:val="005D4629"/>
    <w:rsid w:val="005D622E"/>
    <w:rsid w:val="005D6617"/>
    <w:rsid w:val="005D6FF0"/>
    <w:rsid w:val="005E0EF0"/>
    <w:rsid w:val="005E11D5"/>
    <w:rsid w:val="005E29DD"/>
    <w:rsid w:val="005E34D4"/>
    <w:rsid w:val="005E3716"/>
    <w:rsid w:val="005E3AE2"/>
    <w:rsid w:val="005E3FDE"/>
    <w:rsid w:val="005E55F2"/>
    <w:rsid w:val="005E68FC"/>
    <w:rsid w:val="005E7271"/>
    <w:rsid w:val="005E76A0"/>
    <w:rsid w:val="005E7CC9"/>
    <w:rsid w:val="005E7DC2"/>
    <w:rsid w:val="005F0007"/>
    <w:rsid w:val="005F0E6C"/>
    <w:rsid w:val="005F130C"/>
    <w:rsid w:val="005F1362"/>
    <w:rsid w:val="005F1BAD"/>
    <w:rsid w:val="005F3685"/>
    <w:rsid w:val="005F487C"/>
    <w:rsid w:val="005F53A4"/>
    <w:rsid w:val="005F5FE1"/>
    <w:rsid w:val="005F62B2"/>
    <w:rsid w:val="005F715E"/>
    <w:rsid w:val="006010DA"/>
    <w:rsid w:val="006017AB"/>
    <w:rsid w:val="00604AC3"/>
    <w:rsid w:val="0060512C"/>
    <w:rsid w:val="00605865"/>
    <w:rsid w:val="00611DC1"/>
    <w:rsid w:val="00613655"/>
    <w:rsid w:val="006144EE"/>
    <w:rsid w:val="00614DC5"/>
    <w:rsid w:val="00616350"/>
    <w:rsid w:val="00617125"/>
    <w:rsid w:val="00617813"/>
    <w:rsid w:val="006206CC"/>
    <w:rsid w:val="00622B06"/>
    <w:rsid w:val="00624425"/>
    <w:rsid w:val="00624ACF"/>
    <w:rsid w:val="006257C2"/>
    <w:rsid w:val="00627163"/>
    <w:rsid w:val="0063034E"/>
    <w:rsid w:val="00632E24"/>
    <w:rsid w:val="00634476"/>
    <w:rsid w:val="00637475"/>
    <w:rsid w:val="0064203B"/>
    <w:rsid w:val="0064273E"/>
    <w:rsid w:val="0064393B"/>
    <w:rsid w:val="006439A1"/>
    <w:rsid w:val="00644375"/>
    <w:rsid w:val="00644A5C"/>
    <w:rsid w:val="00646A08"/>
    <w:rsid w:val="00650392"/>
    <w:rsid w:val="0065061D"/>
    <w:rsid w:val="00651701"/>
    <w:rsid w:val="00652854"/>
    <w:rsid w:val="00655146"/>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139B"/>
    <w:rsid w:val="00681740"/>
    <w:rsid w:val="00682297"/>
    <w:rsid w:val="006842C0"/>
    <w:rsid w:val="00685689"/>
    <w:rsid w:val="0068594B"/>
    <w:rsid w:val="00686B04"/>
    <w:rsid w:val="00687CAD"/>
    <w:rsid w:val="006901FA"/>
    <w:rsid w:val="006904D3"/>
    <w:rsid w:val="00690E72"/>
    <w:rsid w:val="00690ED0"/>
    <w:rsid w:val="00692D5E"/>
    <w:rsid w:val="00693427"/>
    <w:rsid w:val="00693FA4"/>
    <w:rsid w:val="00694C00"/>
    <w:rsid w:val="0069579C"/>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030"/>
    <w:rsid w:val="006A79C3"/>
    <w:rsid w:val="006B004E"/>
    <w:rsid w:val="006B0198"/>
    <w:rsid w:val="006B12E8"/>
    <w:rsid w:val="006B1C19"/>
    <w:rsid w:val="006B2A9C"/>
    <w:rsid w:val="006B31E7"/>
    <w:rsid w:val="006B65D4"/>
    <w:rsid w:val="006B74F1"/>
    <w:rsid w:val="006B7A58"/>
    <w:rsid w:val="006C26B3"/>
    <w:rsid w:val="006C2FEE"/>
    <w:rsid w:val="006C50B1"/>
    <w:rsid w:val="006C50C2"/>
    <w:rsid w:val="006C563A"/>
    <w:rsid w:val="006C6C8C"/>
    <w:rsid w:val="006C6E1A"/>
    <w:rsid w:val="006D24C4"/>
    <w:rsid w:val="006D27EF"/>
    <w:rsid w:val="006D2ED6"/>
    <w:rsid w:val="006D425C"/>
    <w:rsid w:val="006D4D0A"/>
    <w:rsid w:val="006D52D1"/>
    <w:rsid w:val="006D77A2"/>
    <w:rsid w:val="006E013D"/>
    <w:rsid w:val="006E1056"/>
    <w:rsid w:val="006E3A2A"/>
    <w:rsid w:val="006E3C4C"/>
    <w:rsid w:val="006E4BD4"/>
    <w:rsid w:val="006E4E2A"/>
    <w:rsid w:val="006E5950"/>
    <w:rsid w:val="006E6B65"/>
    <w:rsid w:val="006E6C14"/>
    <w:rsid w:val="006E73D4"/>
    <w:rsid w:val="006E7CC5"/>
    <w:rsid w:val="006E7F9E"/>
    <w:rsid w:val="006F07E9"/>
    <w:rsid w:val="006F1E31"/>
    <w:rsid w:val="006F2C12"/>
    <w:rsid w:val="006F2F92"/>
    <w:rsid w:val="006F3266"/>
    <w:rsid w:val="006F51AA"/>
    <w:rsid w:val="006F5FB2"/>
    <w:rsid w:val="006F69E5"/>
    <w:rsid w:val="006F76B4"/>
    <w:rsid w:val="00701218"/>
    <w:rsid w:val="007050B1"/>
    <w:rsid w:val="00705527"/>
    <w:rsid w:val="00707096"/>
    <w:rsid w:val="00710B50"/>
    <w:rsid w:val="007127BB"/>
    <w:rsid w:val="007136BC"/>
    <w:rsid w:val="00714576"/>
    <w:rsid w:val="00714E0F"/>
    <w:rsid w:val="00714FEC"/>
    <w:rsid w:val="00715A04"/>
    <w:rsid w:val="00715B7D"/>
    <w:rsid w:val="0072017B"/>
    <w:rsid w:val="00721335"/>
    <w:rsid w:val="00721924"/>
    <w:rsid w:val="00721F66"/>
    <w:rsid w:val="00722B93"/>
    <w:rsid w:val="0072445A"/>
    <w:rsid w:val="00731F1F"/>
    <w:rsid w:val="0073324B"/>
    <w:rsid w:val="007337E6"/>
    <w:rsid w:val="007354E4"/>
    <w:rsid w:val="00735A75"/>
    <w:rsid w:val="007365AD"/>
    <w:rsid w:val="0073671A"/>
    <w:rsid w:val="00736E6E"/>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69"/>
    <w:rsid w:val="0075600D"/>
    <w:rsid w:val="0075604A"/>
    <w:rsid w:val="0075650E"/>
    <w:rsid w:val="00757995"/>
    <w:rsid w:val="00760BAE"/>
    <w:rsid w:val="00760EE4"/>
    <w:rsid w:val="00762511"/>
    <w:rsid w:val="00762697"/>
    <w:rsid w:val="00763BB0"/>
    <w:rsid w:val="007644E6"/>
    <w:rsid w:val="007652EA"/>
    <w:rsid w:val="00766CDD"/>
    <w:rsid w:val="007674F3"/>
    <w:rsid w:val="00767CD2"/>
    <w:rsid w:val="00770859"/>
    <w:rsid w:val="0077277D"/>
    <w:rsid w:val="00774A5F"/>
    <w:rsid w:val="00774AB3"/>
    <w:rsid w:val="00774DFD"/>
    <w:rsid w:val="007753FA"/>
    <w:rsid w:val="0077544D"/>
    <w:rsid w:val="007758D3"/>
    <w:rsid w:val="00775D67"/>
    <w:rsid w:val="00776C78"/>
    <w:rsid w:val="0078043E"/>
    <w:rsid w:val="0078079A"/>
    <w:rsid w:val="0078095E"/>
    <w:rsid w:val="0078249C"/>
    <w:rsid w:val="00784AA0"/>
    <w:rsid w:val="00784F3D"/>
    <w:rsid w:val="00785321"/>
    <w:rsid w:val="007854A0"/>
    <w:rsid w:val="00785E63"/>
    <w:rsid w:val="007860B9"/>
    <w:rsid w:val="00786DD5"/>
    <w:rsid w:val="00787184"/>
    <w:rsid w:val="007914E4"/>
    <w:rsid w:val="00791E58"/>
    <w:rsid w:val="00792AD7"/>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22EB"/>
    <w:rsid w:val="007C255D"/>
    <w:rsid w:val="007C37D2"/>
    <w:rsid w:val="007C3985"/>
    <w:rsid w:val="007C6110"/>
    <w:rsid w:val="007C6AE2"/>
    <w:rsid w:val="007C7154"/>
    <w:rsid w:val="007D0C01"/>
    <w:rsid w:val="007D26D2"/>
    <w:rsid w:val="007D3FBD"/>
    <w:rsid w:val="007D49A0"/>
    <w:rsid w:val="007D7EF3"/>
    <w:rsid w:val="007E0553"/>
    <w:rsid w:val="007E5125"/>
    <w:rsid w:val="007E5DB4"/>
    <w:rsid w:val="007E6334"/>
    <w:rsid w:val="007E64B6"/>
    <w:rsid w:val="007E72DF"/>
    <w:rsid w:val="007F0617"/>
    <w:rsid w:val="007F313E"/>
    <w:rsid w:val="007F372C"/>
    <w:rsid w:val="007F3993"/>
    <w:rsid w:val="007F3A5A"/>
    <w:rsid w:val="007F5AD6"/>
    <w:rsid w:val="007F5D02"/>
    <w:rsid w:val="007F6F57"/>
    <w:rsid w:val="007F729E"/>
    <w:rsid w:val="007F7963"/>
    <w:rsid w:val="00800E69"/>
    <w:rsid w:val="00800EFF"/>
    <w:rsid w:val="00802BFE"/>
    <w:rsid w:val="00803827"/>
    <w:rsid w:val="0080391F"/>
    <w:rsid w:val="008039C2"/>
    <w:rsid w:val="008046E4"/>
    <w:rsid w:val="00804992"/>
    <w:rsid w:val="008055FF"/>
    <w:rsid w:val="00806782"/>
    <w:rsid w:val="00807493"/>
    <w:rsid w:val="00810302"/>
    <w:rsid w:val="00810F94"/>
    <w:rsid w:val="008118AF"/>
    <w:rsid w:val="00814A17"/>
    <w:rsid w:val="00815804"/>
    <w:rsid w:val="008167F5"/>
    <w:rsid w:val="0081794B"/>
    <w:rsid w:val="00817D8E"/>
    <w:rsid w:val="008200A3"/>
    <w:rsid w:val="00820BF2"/>
    <w:rsid w:val="008211DC"/>
    <w:rsid w:val="00824C4E"/>
    <w:rsid w:val="00826125"/>
    <w:rsid w:val="00826F38"/>
    <w:rsid w:val="0083031A"/>
    <w:rsid w:val="00830D70"/>
    <w:rsid w:val="00831969"/>
    <w:rsid w:val="00833877"/>
    <w:rsid w:val="00833E4C"/>
    <w:rsid w:val="00834316"/>
    <w:rsid w:val="00836224"/>
    <w:rsid w:val="008374E9"/>
    <w:rsid w:val="008376CD"/>
    <w:rsid w:val="00837BE4"/>
    <w:rsid w:val="00840559"/>
    <w:rsid w:val="008413A6"/>
    <w:rsid w:val="00842534"/>
    <w:rsid w:val="00843153"/>
    <w:rsid w:val="008433C1"/>
    <w:rsid w:val="00843908"/>
    <w:rsid w:val="008443E1"/>
    <w:rsid w:val="00845127"/>
    <w:rsid w:val="0084587A"/>
    <w:rsid w:val="00845D12"/>
    <w:rsid w:val="00846713"/>
    <w:rsid w:val="00846D48"/>
    <w:rsid w:val="008473FA"/>
    <w:rsid w:val="008477CE"/>
    <w:rsid w:val="00847830"/>
    <w:rsid w:val="008511DC"/>
    <w:rsid w:val="0085147F"/>
    <w:rsid w:val="00851A81"/>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98C"/>
    <w:rsid w:val="00885A71"/>
    <w:rsid w:val="00885C6E"/>
    <w:rsid w:val="00886AF2"/>
    <w:rsid w:val="0088743F"/>
    <w:rsid w:val="0089067B"/>
    <w:rsid w:val="00890700"/>
    <w:rsid w:val="00892AB9"/>
    <w:rsid w:val="0089308F"/>
    <w:rsid w:val="00893857"/>
    <w:rsid w:val="0089412A"/>
    <w:rsid w:val="00894767"/>
    <w:rsid w:val="00895335"/>
    <w:rsid w:val="00895536"/>
    <w:rsid w:val="008965EF"/>
    <w:rsid w:val="00896AD4"/>
    <w:rsid w:val="00897752"/>
    <w:rsid w:val="008A2811"/>
    <w:rsid w:val="008A307C"/>
    <w:rsid w:val="008A32B4"/>
    <w:rsid w:val="008A3FC8"/>
    <w:rsid w:val="008A52F3"/>
    <w:rsid w:val="008A5456"/>
    <w:rsid w:val="008A7536"/>
    <w:rsid w:val="008A7F7D"/>
    <w:rsid w:val="008B1890"/>
    <w:rsid w:val="008B1A5A"/>
    <w:rsid w:val="008B382F"/>
    <w:rsid w:val="008B38BC"/>
    <w:rsid w:val="008B4590"/>
    <w:rsid w:val="008B5AB4"/>
    <w:rsid w:val="008B66A6"/>
    <w:rsid w:val="008B6849"/>
    <w:rsid w:val="008B7FFE"/>
    <w:rsid w:val="008C0446"/>
    <w:rsid w:val="008C2B3C"/>
    <w:rsid w:val="008C33F9"/>
    <w:rsid w:val="008C41A7"/>
    <w:rsid w:val="008C6F34"/>
    <w:rsid w:val="008C7108"/>
    <w:rsid w:val="008C75C8"/>
    <w:rsid w:val="008D02A3"/>
    <w:rsid w:val="008D22D8"/>
    <w:rsid w:val="008D259C"/>
    <w:rsid w:val="008D2BCD"/>
    <w:rsid w:val="008D3E2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0C5E"/>
    <w:rsid w:val="008F12E6"/>
    <w:rsid w:val="008F1558"/>
    <w:rsid w:val="008F2B44"/>
    <w:rsid w:val="008F5927"/>
    <w:rsid w:val="008F5F96"/>
    <w:rsid w:val="008F7752"/>
    <w:rsid w:val="0090174A"/>
    <w:rsid w:val="00902E52"/>
    <w:rsid w:val="009036B3"/>
    <w:rsid w:val="00904A01"/>
    <w:rsid w:val="0090620F"/>
    <w:rsid w:val="009071FE"/>
    <w:rsid w:val="00907761"/>
    <w:rsid w:val="00907A46"/>
    <w:rsid w:val="00910076"/>
    <w:rsid w:val="00911D07"/>
    <w:rsid w:val="0091242A"/>
    <w:rsid w:val="00912E53"/>
    <w:rsid w:val="0091395C"/>
    <w:rsid w:val="00913AA4"/>
    <w:rsid w:val="00914149"/>
    <w:rsid w:val="00914BBA"/>
    <w:rsid w:val="00915778"/>
    <w:rsid w:val="009164DD"/>
    <w:rsid w:val="00916DF1"/>
    <w:rsid w:val="009210C9"/>
    <w:rsid w:val="009225CD"/>
    <w:rsid w:val="00925C68"/>
    <w:rsid w:val="009314F2"/>
    <w:rsid w:val="009315B0"/>
    <w:rsid w:val="009316E9"/>
    <w:rsid w:val="00931C93"/>
    <w:rsid w:val="00931EE2"/>
    <w:rsid w:val="00931FD8"/>
    <w:rsid w:val="0093282F"/>
    <w:rsid w:val="0093416D"/>
    <w:rsid w:val="009362A8"/>
    <w:rsid w:val="0093652D"/>
    <w:rsid w:val="00937309"/>
    <w:rsid w:val="00937D66"/>
    <w:rsid w:val="0094065A"/>
    <w:rsid w:val="00940FE2"/>
    <w:rsid w:val="00943E62"/>
    <w:rsid w:val="00944D10"/>
    <w:rsid w:val="00945A61"/>
    <w:rsid w:val="00950154"/>
    <w:rsid w:val="00950C6E"/>
    <w:rsid w:val="00951ECA"/>
    <w:rsid w:val="00953054"/>
    <w:rsid w:val="009531D6"/>
    <w:rsid w:val="00953610"/>
    <w:rsid w:val="0095382C"/>
    <w:rsid w:val="00953B03"/>
    <w:rsid w:val="009548C1"/>
    <w:rsid w:val="00956219"/>
    <w:rsid w:val="009563A5"/>
    <w:rsid w:val="00956868"/>
    <w:rsid w:val="00956C90"/>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896"/>
    <w:rsid w:val="00972C36"/>
    <w:rsid w:val="00972DF8"/>
    <w:rsid w:val="009750AA"/>
    <w:rsid w:val="00977D37"/>
    <w:rsid w:val="009813EA"/>
    <w:rsid w:val="009830D3"/>
    <w:rsid w:val="00983B8F"/>
    <w:rsid w:val="0098595E"/>
    <w:rsid w:val="00986073"/>
    <w:rsid w:val="009868C5"/>
    <w:rsid w:val="00986C73"/>
    <w:rsid w:val="0099062A"/>
    <w:rsid w:val="00990EE2"/>
    <w:rsid w:val="009916D2"/>
    <w:rsid w:val="009917E9"/>
    <w:rsid w:val="009918B7"/>
    <w:rsid w:val="009918C6"/>
    <w:rsid w:val="0099229C"/>
    <w:rsid w:val="00992D4F"/>
    <w:rsid w:val="00994E5F"/>
    <w:rsid w:val="009959DB"/>
    <w:rsid w:val="00995C9F"/>
    <w:rsid w:val="0099752D"/>
    <w:rsid w:val="00997C2A"/>
    <w:rsid w:val="009A0358"/>
    <w:rsid w:val="009A0461"/>
    <w:rsid w:val="009A0E2A"/>
    <w:rsid w:val="009A1E9E"/>
    <w:rsid w:val="009A28A2"/>
    <w:rsid w:val="009A2D33"/>
    <w:rsid w:val="009A5191"/>
    <w:rsid w:val="009A593A"/>
    <w:rsid w:val="009A5FBB"/>
    <w:rsid w:val="009B0863"/>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C57AC"/>
    <w:rsid w:val="009D1378"/>
    <w:rsid w:val="009D1780"/>
    <w:rsid w:val="009D20CB"/>
    <w:rsid w:val="009D2384"/>
    <w:rsid w:val="009D23B6"/>
    <w:rsid w:val="009D3240"/>
    <w:rsid w:val="009D3A6E"/>
    <w:rsid w:val="009D60B6"/>
    <w:rsid w:val="009D61D9"/>
    <w:rsid w:val="009D624D"/>
    <w:rsid w:val="009D6AD5"/>
    <w:rsid w:val="009E0AB4"/>
    <w:rsid w:val="009E10C7"/>
    <w:rsid w:val="009E260E"/>
    <w:rsid w:val="009E360A"/>
    <w:rsid w:val="009E38A4"/>
    <w:rsid w:val="009E3D82"/>
    <w:rsid w:val="009E4942"/>
    <w:rsid w:val="009E6E48"/>
    <w:rsid w:val="009F0B67"/>
    <w:rsid w:val="009F1566"/>
    <w:rsid w:val="009F1E4B"/>
    <w:rsid w:val="009F307E"/>
    <w:rsid w:val="009F37D5"/>
    <w:rsid w:val="009F462C"/>
    <w:rsid w:val="009F50DE"/>
    <w:rsid w:val="009F5F3E"/>
    <w:rsid w:val="009F6D34"/>
    <w:rsid w:val="009F74A2"/>
    <w:rsid w:val="009F7BB0"/>
    <w:rsid w:val="00A0179F"/>
    <w:rsid w:val="00A01B7D"/>
    <w:rsid w:val="00A02140"/>
    <w:rsid w:val="00A036C5"/>
    <w:rsid w:val="00A03AD2"/>
    <w:rsid w:val="00A050D8"/>
    <w:rsid w:val="00A05DA0"/>
    <w:rsid w:val="00A073A0"/>
    <w:rsid w:val="00A07D84"/>
    <w:rsid w:val="00A10336"/>
    <w:rsid w:val="00A10CE2"/>
    <w:rsid w:val="00A13703"/>
    <w:rsid w:val="00A13811"/>
    <w:rsid w:val="00A14877"/>
    <w:rsid w:val="00A15C42"/>
    <w:rsid w:val="00A16DF1"/>
    <w:rsid w:val="00A17302"/>
    <w:rsid w:val="00A17A17"/>
    <w:rsid w:val="00A20B1F"/>
    <w:rsid w:val="00A21050"/>
    <w:rsid w:val="00A235D0"/>
    <w:rsid w:val="00A24131"/>
    <w:rsid w:val="00A26236"/>
    <w:rsid w:val="00A27A7F"/>
    <w:rsid w:val="00A3276A"/>
    <w:rsid w:val="00A33B22"/>
    <w:rsid w:val="00A349D2"/>
    <w:rsid w:val="00A34C05"/>
    <w:rsid w:val="00A35492"/>
    <w:rsid w:val="00A4044E"/>
    <w:rsid w:val="00A415FA"/>
    <w:rsid w:val="00A42475"/>
    <w:rsid w:val="00A42869"/>
    <w:rsid w:val="00A4379F"/>
    <w:rsid w:val="00A4434D"/>
    <w:rsid w:val="00A45039"/>
    <w:rsid w:val="00A454E0"/>
    <w:rsid w:val="00A45546"/>
    <w:rsid w:val="00A4585A"/>
    <w:rsid w:val="00A459B3"/>
    <w:rsid w:val="00A459D6"/>
    <w:rsid w:val="00A45B12"/>
    <w:rsid w:val="00A45EB8"/>
    <w:rsid w:val="00A462D5"/>
    <w:rsid w:val="00A4650A"/>
    <w:rsid w:val="00A46F7C"/>
    <w:rsid w:val="00A471A7"/>
    <w:rsid w:val="00A47279"/>
    <w:rsid w:val="00A50720"/>
    <w:rsid w:val="00A50922"/>
    <w:rsid w:val="00A50B8A"/>
    <w:rsid w:val="00A51F40"/>
    <w:rsid w:val="00A52C7A"/>
    <w:rsid w:val="00A55D2B"/>
    <w:rsid w:val="00A572BC"/>
    <w:rsid w:val="00A57A82"/>
    <w:rsid w:val="00A62B7B"/>
    <w:rsid w:val="00A66AE9"/>
    <w:rsid w:val="00A67428"/>
    <w:rsid w:val="00A676AA"/>
    <w:rsid w:val="00A70CF3"/>
    <w:rsid w:val="00A7155E"/>
    <w:rsid w:val="00A74EDE"/>
    <w:rsid w:val="00A763AE"/>
    <w:rsid w:val="00A76619"/>
    <w:rsid w:val="00A766D5"/>
    <w:rsid w:val="00A76766"/>
    <w:rsid w:val="00A76B0D"/>
    <w:rsid w:val="00A80223"/>
    <w:rsid w:val="00A816EE"/>
    <w:rsid w:val="00A81AB5"/>
    <w:rsid w:val="00A82724"/>
    <w:rsid w:val="00A82C5A"/>
    <w:rsid w:val="00A83FF6"/>
    <w:rsid w:val="00A85CB7"/>
    <w:rsid w:val="00A8620F"/>
    <w:rsid w:val="00A8652F"/>
    <w:rsid w:val="00A86968"/>
    <w:rsid w:val="00A86AAB"/>
    <w:rsid w:val="00A86D49"/>
    <w:rsid w:val="00A8769A"/>
    <w:rsid w:val="00A87B22"/>
    <w:rsid w:val="00A90FF4"/>
    <w:rsid w:val="00A92E9F"/>
    <w:rsid w:val="00A92EC0"/>
    <w:rsid w:val="00A92EED"/>
    <w:rsid w:val="00A93838"/>
    <w:rsid w:val="00A975D5"/>
    <w:rsid w:val="00A9772B"/>
    <w:rsid w:val="00AA0660"/>
    <w:rsid w:val="00AA1409"/>
    <w:rsid w:val="00AA3875"/>
    <w:rsid w:val="00AA404A"/>
    <w:rsid w:val="00AA40DC"/>
    <w:rsid w:val="00AA6228"/>
    <w:rsid w:val="00AA69A4"/>
    <w:rsid w:val="00AB1131"/>
    <w:rsid w:val="00AB1B91"/>
    <w:rsid w:val="00AB2744"/>
    <w:rsid w:val="00AB274F"/>
    <w:rsid w:val="00AB3C2E"/>
    <w:rsid w:val="00AB5F30"/>
    <w:rsid w:val="00AB61E4"/>
    <w:rsid w:val="00AB6BE3"/>
    <w:rsid w:val="00AB7AAA"/>
    <w:rsid w:val="00AC2197"/>
    <w:rsid w:val="00AC37C3"/>
    <w:rsid w:val="00AC3E65"/>
    <w:rsid w:val="00AC535B"/>
    <w:rsid w:val="00AC5F6A"/>
    <w:rsid w:val="00AD0B3C"/>
    <w:rsid w:val="00AD0FC3"/>
    <w:rsid w:val="00AD1CC0"/>
    <w:rsid w:val="00AD22B5"/>
    <w:rsid w:val="00AD2718"/>
    <w:rsid w:val="00AD33D3"/>
    <w:rsid w:val="00AD3DB4"/>
    <w:rsid w:val="00AD5133"/>
    <w:rsid w:val="00AD5712"/>
    <w:rsid w:val="00AD5FE2"/>
    <w:rsid w:val="00AD6AC5"/>
    <w:rsid w:val="00AD76A1"/>
    <w:rsid w:val="00AE48E8"/>
    <w:rsid w:val="00AE7F20"/>
    <w:rsid w:val="00AF02E2"/>
    <w:rsid w:val="00AF0E7C"/>
    <w:rsid w:val="00AF1F04"/>
    <w:rsid w:val="00AF3B55"/>
    <w:rsid w:val="00AF3D59"/>
    <w:rsid w:val="00AF6794"/>
    <w:rsid w:val="00AF6F48"/>
    <w:rsid w:val="00AF717E"/>
    <w:rsid w:val="00B016F7"/>
    <w:rsid w:val="00B02BDD"/>
    <w:rsid w:val="00B04E10"/>
    <w:rsid w:val="00B055B9"/>
    <w:rsid w:val="00B056F3"/>
    <w:rsid w:val="00B07F23"/>
    <w:rsid w:val="00B13243"/>
    <w:rsid w:val="00B13511"/>
    <w:rsid w:val="00B13D85"/>
    <w:rsid w:val="00B16296"/>
    <w:rsid w:val="00B16576"/>
    <w:rsid w:val="00B16CC7"/>
    <w:rsid w:val="00B1786A"/>
    <w:rsid w:val="00B202A2"/>
    <w:rsid w:val="00B206D8"/>
    <w:rsid w:val="00B20C75"/>
    <w:rsid w:val="00B230E5"/>
    <w:rsid w:val="00B23E88"/>
    <w:rsid w:val="00B267A4"/>
    <w:rsid w:val="00B26A5F"/>
    <w:rsid w:val="00B312C7"/>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B8A"/>
    <w:rsid w:val="00B56F9B"/>
    <w:rsid w:val="00B63694"/>
    <w:rsid w:val="00B64099"/>
    <w:rsid w:val="00B643D6"/>
    <w:rsid w:val="00B64919"/>
    <w:rsid w:val="00B667C6"/>
    <w:rsid w:val="00B66BC8"/>
    <w:rsid w:val="00B71F08"/>
    <w:rsid w:val="00B73838"/>
    <w:rsid w:val="00B7387B"/>
    <w:rsid w:val="00B741AA"/>
    <w:rsid w:val="00B7421A"/>
    <w:rsid w:val="00B74366"/>
    <w:rsid w:val="00B75F20"/>
    <w:rsid w:val="00B762FD"/>
    <w:rsid w:val="00B76C73"/>
    <w:rsid w:val="00B808A4"/>
    <w:rsid w:val="00B81371"/>
    <w:rsid w:val="00B818B8"/>
    <w:rsid w:val="00B8225B"/>
    <w:rsid w:val="00B83E2E"/>
    <w:rsid w:val="00B855AA"/>
    <w:rsid w:val="00B8780A"/>
    <w:rsid w:val="00B902E7"/>
    <w:rsid w:val="00B922D9"/>
    <w:rsid w:val="00B926D6"/>
    <w:rsid w:val="00B93351"/>
    <w:rsid w:val="00B945F2"/>
    <w:rsid w:val="00B95204"/>
    <w:rsid w:val="00B95670"/>
    <w:rsid w:val="00B959FD"/>
    <w:rsid w:val="00B966BF"/>
    <w:rsid w:val="00B970A2"/>
    <w:rsid w:val="00B974B4"/>
    <w:rsid w:val="00BA0012"/>
    <w:rsid w:val="00BA0458"/>
    <w:rsid w:val="00BA104A"/>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6D6"/>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29F7"/>
    <w:rsid w:val="00BF3B85"/>
    <w:rsid w:val="00BF3FA6"/>
    <w:rsid w:val="00BF485E"/>
    <w:rsid w:val="00BF6B5B"/>
    <w:rsid w:val="00BF6D83"/>
    <w:rsid w:val="00BF704D"/>
    <w:rsid w:val="00BF7365"/>
    <w:rsid w:val="00BF7824"/>
    <w:rsid w:val="00C020F8"/>
    <w:rsid w:val="00C02535"/>
    <w:rsid w:val="00C04666"/>
    <w:rsid w:val="00C04D22"/>
    <w:rsid w:val="00C06C02"/>
    <w:rsid w:val="00C10DC7"/>
    <w:rsid w:val="00C11482"/>
    <w:rsid w:val="00C1195A"/>
    <w:rsid w:val="00C1254E"/>
    <w:rsid w:val="00C12E38"/>
    <w:rsid w:val="00C13622"/>
    <w:rsid w:val="00C14CDF"/>
    <w:rsid w:val="00C150E0"/>
    <w:rsid w:val="00C150F6"/>
    <w:rsid w:val="00C15F97"/>
    <w:rsid w:val="00C16762"/>
    <w:rsid w:val="00C17637"/>
    <w:rsid w:val="00C179FC"/>
    <w:rsid w:val="00C203F6"/>
    <w:rsid w:val="00C20EB1"/>
    <w:rsid w:val="00C2139F"/>
    <w:rsid w:val="00C24101"/>
    <w:rsid w:val="00C24B25"/>
    <w:rsid w:val="00C24FF3"/>
    <w:rsid w:val="00C2575E"/>
    <w:rsid w:val="00C26121"/>
    <w:rsid w:val="00C27ABF"/>
    <w:rsid w:val="00C3086E"/>
    <w:rsid w:val="00C315FB"/>
    <w:rsid w:val="00C31713"/>
    <w:rsid w:val="00C317BD"/>
    <w:rsid w:val="00C33279"/>
    <w:rsid w:val="00C34B8F"/>
    <w:rsid w:val="00C35332"/>
    <w:rsid w:val="00C37421"/>
    <w:rsid w:val="00C37B84"/>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2FCF"/>
    <w:rsid w:val="00C5401F"/>
    <w:rsid w:val="00C54922"/>
    <w:rsid w:val="00C55FE8"/>
    <w:rsid w:val="00C601EF"/>
    <w:rsid w:val="00C6220B"/>
    <w:rsid w:val="00C62658"/>
    <w:rsid w:val="00C634D6"/>
    <w:rsid w:val="00C63722"/>
    <w:rsid w:val="00C63CF2"/>
    <w:rsid w:val="00C6440A"/>
    <w:rsid w:val="00C648FC"/>
    <w:rsid w:val="00C65726"/>
    <w:rsid w:val="00C65EDE"/>
    <w:rsid w:val="00C663BE"/>
    <w:rsid w:val="00C70AB7"/>
    <w:rsid w:val="00C71858"/>
    <w:rsid w:val="00C722C5"/>
    <w:rsid w:val="00C74346"/>
    <w:rsid w:val="00C744AE"/>
    <w:rsid w:val="00C74781"/>
    <w:rsid w:val="00C76B87"/>
    <w:rsid w:val="00C80034"/>
    <w:rsid w:val="00C80729"/>
    <w:rsid w:val="00C828E8"/>
    <w:rsid w:val="00C8349D"/>
    <w:rsid w:val="00C83579"/>
    <w:rsid w:val="00C83EA7"/>
    <w:rsid w:val="00C843EC"/>
    <w:rsid w:val="00C84559"/>
    <w:rsid w:val="00C84CB9"/>
    <w:rsid w:val="00C84E31"/>
    <w:rsid w:val="00C862C4"/>
    <w:rsid w:val="00C86977"/>
    <w:rsid w:val="00C86B34"/>
    <w:rsid w:val="00C86FFF"/>
    <w:rsid w:val="00C871C7"/>
    <w:rsid w:val="00C91060"/>
    <w:rsid w:val="00C928FD"/>
    <w:rsid w:val="00C95593"/>
    <w:rsid w:val="00CA0640"/>
    <w:rsid w:val="00CA2022"/>
    <w:rsid w:val="00CA25DF"/>
    <w:rsid w:val="00CA4741"/>
    <w:rsid w:val="00CA5465"/>
    <w:rsid w:val="00CA62D4"/>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571"/>
    <w:rsid w:val="00CD76D4"/>
    <w:rsid w:val="00CD7893"/>
    <w:rsid w:val="00CD7911"/>
    <w:rsid w:val="00CE03CC"/>
    <w:rsid w:val="00CE7E6A"/>
    <w:rsid w:val="00CF030B"/>
    <w:rsid w:val="00CF23A2"/>
    <w:rsid w:val="00CF248E"/>
    <w:rsid w:val="00CF5D77"/>
    <w:rsid w:val="00CF6EB2"/>
    <w:rsid w:val="00D00269"/>
    <w:rsid w:val="00D01D89"/>
    <w:rsid w:val="00D02D25"/>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06E"/>
    <w:rsid w:val="00D2734A"/>
    <w:rsid w:val="00D276CF"/>
    <w:rsid w:val="00D27F25"/>
    <w:rsid w:val="00D30003"/>
    <w:rsid w:val="00D306AB"/>
    <w:rsid w:val="00D31B93"/>
    <w:rsid w:val="00D31D5F"/>
    <w:rsid w:val="00D32293"/>
    <w:rsid w:val="00D33323"/>
    <w:rsid w:val="00D33F79"/>
    <w:rsid w:val="00D34574"/>
    <w:rsid w:val="00D3469A"/>
    <w:rsid w:val="00D3478C"/>
    <w:rsid w:val="00D34A5C"/>
    <w:rsid w:val="00D35986"/>
    <w:rsid w:val="00D36CE3"/>
    <w:rsid w:val="00D37494"/>
    <w:rsid w:val="00D3789A"/>
    <w:rsid w:val="00D407B7"/>
    <w:rsid w:val="00D409B3"/>
    <w:rsid w:val="00D40B61"/>
    <w:rsid w:val="00D41B84"/>
    <w:rsid w:val="00D41E2D"/>
    <w:rsid w:val="00D42588"/>
    <w:rsid w:val="00D4287D"/>
    <w:rsid w:val="00D42957"/>
    <w:rsid w:val="00D446E7"/>
    <w:rsid w:val="00D47265"/>
    <w:rsid w:val="00D47500"/>
    <w:rsid w:val="00D4793C"/>
    <w:rsid w:val="00D525E2"/>
    <w:rsid w:val="00D57C45"/>
    <w:rsid w:val="00D60582"/>
    <w:rsid w:val="00D61222"/>
    <w:rsid w:val="00D63800"/>
    <w:rsid w:val="00D63990"/>
    <w:rsid w:val="00D65068"/>
    <w:rsid w:val="00D65243"/>
    <w:rsid w:val="00D658A1"/>
    <w:rsid w:val="00D65BBD"/>
    <w:rsid w:val="00D67E99"/>
    <w:rsid w:val="00D71057"/>
    <w:rsid w:val="00D730F6"/>
    <w:rsid w:val="00D738F0"/>
    <w:rsid w:val="00D75E6C"/>
    <w:rsid w:val="00D764F5"/>
    <w:rsid w:val="00D819FF"/>
    <w:rsid w:val="00D82CB3"/>
    <w:rsid w:val="00D82FC0"/>
    <w:rsid w:val="00D8322A"/>
    <w:rsid w:val="00D83C17"/>
    <w:rsid w:val="00D8541E"/>
    <w:rsid w:val="00D85885"/>
    <w:rsid w:val="00D8720F"/>
    <w:rsid w:val="00D87527"/>
    <w:rsid w:val="00D87652"/>
    <w:rsid w:val="00D87A89"/>
    <w:rsid w:val="00D9022D"/>
    <w:rsid w:val="00D905C2"/>
    <w:rsid w:val="00D92D08"/>
    <w:rsid w:val="00D9372E"/>
    <w:rsid w:val="00D938BE"/>
    <w:rsid w:val="00D9392E"/>
    <w:rsid w:val="00D947F0"/>
    <w:rsid w:val="00D9630B"/>
    <w:rsid w:val="00D963CC"/>
    <w:rsid w:val="00DA22D8"/>
    <w:rsid w:val="00DA2D95"/>
    <w:rsid w:val="00DA3A4F"/>
    <w:rsid w:val="00DA42C0"/>
    <w:rsid w:val="00DA52A2"/>
    <w:rsid w:val="00DA57B0"/>
    <w:rsid w:val="00DA7E2F"/>
    <w:rsid w:val="00DB0C0B"/>
    <w:rsid w:val="00DB2446"/>
    <w:rsid w:val="00DB31E7"/>
    <w:rsid w:val="00DB3A66"/>
    <w:rsid w:val="00DB3ED5"/>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478"/>
    <w:rsid w:val="00DD353B"/>
    <w:rsid w:val="00DD3902"/>
    <w:rsid w:val="00DD417A"/>
    <w:rsid w:val="00DD45C1"/>
    <w:rsid w:val="00DD4849"/>
    <w:rsid w:val="00DD54CB"/>
    <w:rsid w:val="00DE0FC0"/>
    <w:rsid w:val="00DE190A"/>
    <w:rsid w:val="00DE1A76"/>
    <w:rsid w:val="00DE31D8"/>
    <w:rsid w:val="00DE3A31"/>
    <w:rsid w:val="00DE47D5"/>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6BAB"/>
    <w:rsid w:val="00E07128"/>
    <w:rsid w:val="00E073C2"/>
    <w:rsid w:val="00E10AC3"/>
    <w:rsid w:val="00E10C25"/>
    <w:rsid w:val="00E1123F"/>
    <w:rsid w:val="00E12D1C"/>
    <w:rsid w:val="00E14024"/>
    <w:rsid w:val="00E14266"/>
    <w:rsid w:val="00E14307"/>
    <w:rsid w:val="00E15911"/>
    <w:rsid w:val="00E15E31"/>
    <w:rsid w:val="00E16412"/>
    <w:rsid w:val="00E165DD"/>
    <w:rsid w:val="00E16A98"/>
    <w:rsid w:val="00E226C5"/>
    <w:rsid w:val="00E227C3"/>
    <w:rsid w:val="00E22843"/>
    <w:rsid w:val="00E23111"/>
    <w:rsid w:val="00E2429E"/>
    <w:rsid w:val="00E24C79"/>
    <w:rsid w:val="00E26881"/>
    <w:rsid w:val="00E26DFE"/>
    <w:rsid w:val="00E2713B"/>
    <w:rsid w:val="00E274D7"/>
    <w:rsid w:val="00E3177E"/>
    <w:rsid w:val="00E32652"/>
    <w:rsid w:val="00E32DDF"/>
    <w:rsid w:val="00E33108"/>
    <w:rsid w:val="00E34622"/>
    <w:rsid w:val="00E34657"/>
    <w:rsid w:val="00E34706"/>
    <w:rsid w:val="00E35537"/>
    <w:rsid w:val="00E35979"/>
    <w:rsid w:val="00E36F7D"/>
    <w:rsid w:val="00E40F68"/>
    <w:rsid w:val="00E43ABE"/>
    <w:rsid w:val="00E44057"/>
    <w:rsid w:val="00E445BD"/>
    <w:rsid w:val="00E46673"/>
    <w:rsid w:val="00E47A5F"/>
    <w:rsid w:val="00E50385"/>
    <w:rsid w:val="00E506E7"/>
    <w:rsid w:val="00E507A5"/>
    <w:rsid w:val="00E51416"/>
    <w:rsid w:val="00E51A57"/>
    <w:rsid w:val="00E51B25"/>
    <w:rsid w:val="00E528D2"/>
    <w:rsid w:val="00E537DE"/>
    <w:rsid w:val="00E54E89"/>
    <w:rsid w:val="00E56DBA"/>
    <w:rsid w:val="00E57E0F"/>
    <w:rsid w:val="00E601CE"/>
    <w:rsid w:val="00E602CF"/>
    <w:rsid w:val="00E60B1D"/>
    <w:rsid w:val="00E61EE8"/>
    <w:rsid w:val="00E62061"/>
    <w:rsid w:val="00E62441"/>
    <w:rsid w:val="00E63879"/>
    <w:rsid w:val="00E647FF"/>
    <w:rsid w:val="00E650C6"/>
    <w:rsid w:val="00E6530C"/>
    <w:rsid w:val="00E65552"/>
    <w:rsid w:val="00E66A80"/>
    <w:rsid w:val="00E66EE6"/>
    <w:rsid w:val="00E7063D"/>
    <w:rsid w:val="00E71329"/>
    <w:rsid w:val="00E71633"/>
    <w:rsid w:val="00E7218C"/>
    <w:rsid w:val="00E72689"/>
    <w:rsid w:val="00E730AA"/>
    <w:rsid w:val="00E74C7A"/>
    <w:rsid w:val="00E76F52"/>
    <w:rsid w:val="00E80E0E"/>
    <w:rsid w:val="00E81B50"/>
    <w:rsid w:val="00E82B54"/>
    <w:rsid w:val="00E8380C"/>
    <w:rsid w:val="00E838B2"/>
    <w:rsid w:val="00E84521"/>
    <w:rsid w:val="00E84D6B"/>
    <w:rsid w:val="00E856B0"/>
    <w:rsid w:val="00E85D85"/>
    <w:rsid w:val="00E86868"/>
    <w:rsid w:val="00E86C2A"/>
    <w:rsid w:val="00E86CA1"/>
    <w:rsid w:val="00E87F07"/>
    <w:rsid w:val="00E909ED"/>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280E"/>
    <w:rsid w:val="00EE3E9C"/>
    <w:rsid w:val="00EE4AE9"/>
    <w:rsid w:val="00EE4D4C"/>
    <w:rsid w:val="00EE4FBE"/>
    <w:rsid w:val="00EF014A"/>
    <w:rsid w:val="00EF01CE"/>
    <w:rsid w:val="00EF0558"/>
    <w:rsid w:val="00EF1D84"/>
    <w:rsid w:val="00EF1DC8"/>
    <w:rsid w:val="00EF1F30"/>
    <w:rsid w:val="00EF26CB"/>
    <w:rsid w:val="00EF2E2B"/>
    <w:rsid w:val="00EF34D2"/>
    <w:rsid w:val="00EF3F10"/>
    <w:rsid w:val="00EF4C26"/>
    <w:rsid w:val="00EF5CC0"/>
    <w:rsid w:val="00EF7540"/>
    <w:rsid w:val="00EF75DE"/>
    <w:rsid w:val="00F00649"/>
    <w:rsid w:val="00F01443"/>
    <w:rsid w:val="00F01801"/>
    <w:rsid w:val="00F02412"/>
    <w:rsid w:val="00F026B4"/>
    <w:rsid w:val="00F0292D"/>
    <w:rsid w:val="00F02E9D"/>
    <w:rsid w:val="00F03FFC"/>
    <w:rsid w:val="00F04044"/>
    <w:rsid w:val="00F046C8"/>
    <w:rsid w:val="00F047AB"/>
    <w:rsid w:val="00F05AD5"/>
    <w:rsid w:val="00F05DE1"/>
    <w:rsid w:val="00F05EBB"/>
    <w:rsid w:val="00F06D58"/>
    <w:rsid w:val="00F07353"/>
    <w:rsid w:val="00F104AB"/>
    <w:rsid w:val="00F10D6B"/>
    <w:rsid w:val="00F12C08"/>
    <w:rsid w:val="00F12CDC"/>
    <w:rsid w:val="00F13E45"/>
    <w:rsid w:val="00F147C6"/>
    <w:rsid w:val="00F1697F"/>
    <w:rsid w:val="00F17EFA"/>
    <w:rsid w:val="00F20933"/>
    <w:rsid w:val="00F21705"/>
    <w:rsid w:val="00F231FC"/>
    <w:rsid w:val="00F24AB7"/>
    <w:rsid w:val="00F2567E"/>
    <w:rsid w:val="00F25E84"/>
    <w:rsid w:val="00F26068"/>
    <w:rsid w:val="00F2706D"/>
    <w:rsid w:val="00F2723F"/>
    <w:rsid w:val="00F27ADB"/>
    <w:rsid w:val="00F31178"/>
    <w:rsid w:val="00F3117D"/>
    <w:rsid w:val="00F325F9"/>
    <w:rsid w:val="00F32971"/>
    <w:rsid w:val="00F3400B"/>
    <w:rsid w:val="00F35C44"/>
    <w:rsid w:val="00F37336"/>
    <w:rsid w:val="00F37B6F"/>
    <w:rsid w:val="00F40C05"/>
    <w:rsid w:val="00F40E86"/>
    <w:rsid w:val="00F42168"/>
    <w:rsid w:val="00F425B3"/>
    <w:rsid w:val="00F44C78"/>
    <w:rsid w:val="00F44F38"/>
    <w:rsid w:val="00F452C0"/>
    <w:rsid w:val="00F459E6"/>
    <w:rsid w:val="00F53104"/>
    <w:rsid w:val="00F53C70"/>
    <w:rsid w:val="00F55309"/>
    <w:rsid w:val="00F55BF4"/>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09F1"/>
    <w:rsid w:val="00F81620"/>
    <w:rsid w:val="00F84240"/>
    <w:rsid w:val="00F85237"/>
    <w:rsid w:val="00F8564F"/>
    <w:rsid w:val="00F85E14"/>
    <w:rsid w:val="00F87DAE"/>
    <w:rsid w:val="00F9000A"/>
    <w:rsid w:val="00F9002A"/>
    <w:rsid w:val="00F906D0"/>
    <w:rsid w:val="00F90CC8"/>
    <w:rsid w:val="00F93FEB"/>
    <w:rsid w:val="00F94E43"/>
    <w:rsid w:val="00F96156"/>
    <w:rsid w:val="00F96460"/>
    <w:rsid w:val="00F965B8"/>
    <w:rsid w:val="00F97AFE"/>
    <w:rsid w:val="00F97E65"/>
    <w:rsid w:val="00FA0128"/>
    <w:rsid w:val="00FA0F09"/>
    <w:rsid w:val="00FA1786"/>
    <w:rsid w:val="00FA17C2"/>
    <w:rsid w:val="00FA215F"/>
    <w:rsid w:val="00FA2406"/>
    <w:rsid w:val="00FA3191"/>
    <w:rsid w:val="00FA3201"/>
    <w:rsid w:val="00FA5AE3"/>
    <w:rsid w:val="00FA73DD"/>
    <w:rsid w:val="00FB13C2"/>
    <w:rsid w:val="00FB201B"/>
    <w:rsid w:val="00FB27FA"/>
    <w:rsid w:val="00FB35D3"/>
    <w:rsid w:val="00FB380D"/>
    <w:rsid w:val="00FB3FB7"/>
    <w:rsid w:val="00FB42E1"/>
    <w:rsid w:val="00FB68A4"/>
    <w:rsid w:val="00FB76C5"/>
    <w:rsid w:val="00FB7FBE"/>
    <w:rsid w:val="00FC0824"/>
    <w:rsid w:val="00FC0C57"/>
    <w:rsid w:val="00FC1329"/>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82F"/>
    <w:rsid w:val="00FD7996"/>
    <w:rsid w:val="00FD7B5E"/>
    <w:rsid w:val="00FD7EFE"/>
    <w:rsid w:val="00FE0837"/>
    <w:rsid w:val="00FE2025"/>
    <w:rsid w:val="00FE2298"/>
    <w:rsid w:val="00FE2D9D"/>
    <w:rsid w:val="00FE3280"/>
    <w:rsid w:val="00FE3629"/>
    <w:rsid w:val="00FE38A6"/>
    <w:rsid w:val="00FE45B9"/>
    <w:rsid w:val="00FE4790"/>
    <w:rsid w:val="00FE49E3"/>
    <w:rsid w:val="00FE4E1B"/>
    <w:rsid w:val="00FE562B"/>
    <w:rsid w:val="00FE7171"/>
    <w:rsid w:val="00FE7904"/>
    <w:rsid w:val="00FE79C6"/>
    <w:rsid w:val="00FF078B"/>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character" w:customStyle="1" w:styleId="UnresolvedMention">
    <w:name w:val="Unresolved Mention"/>
    <w:basedOn w:val="Fuentedeprrafopredeter"/>
    <w:uiPriority w:val="99"/>
    <w:semiHidden/>
    <w:unhideWhenUsed/>
    <w:rsid w:val="007804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37401">
      <w:bodyDiv w:val="1"/>
      <w:marLeft w:val="0"/>
      <w:marRight w:val="0"/>
      <w:marTop w:val="0"/>
      <w:marBottom w:val="0"/>
      <w:divBdr>
        <w:top w:val="none" w:sz="0" w:space="0" w:color="auto"/>
        <w:left w:val="none" w:sz="0" w:space="0" w:color="auto"/>
        <w:bottom w:val="none" w:sz="0" w:space="0" w:color="auto"/>
        <w:right w:val="none" w:sz="0" w:space="0" w:color="auto"/>
      </w:divBdr>
    </w:div>
    <w:div w:id="31465506">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4761445">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2911611">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29618048">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1162335">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67637980">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21387255">
      <w:bodyDiv w:val="1"/>
      <w:marLeft w:val="0"/>
      <w:marRight w:val="0"/>
      <w:marTop w:val="0"/>
      <w:marBottom w:val="0"/>
      <w:divBdr>
        <w:top w:val="none" w:sz="0" w:space="0" w:color="auto"/>
        <w:left w:val="none" w:sz="0" w:space="0" w:color="auto"/>
        <w:bottom w:val="none" w:sz="0" w:space="0" w:color="auto"/>
        <w:right w:val="none" w:sz="0" w:space="0" w:color="auto"/>
      </w:divBdr>
    </w:div>
    <w:div w:id="115141182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1260128">
      <w:bodyDiv w:val="1"/>
      <w:marLeft w:val="0"/>
      <w:marRight w:val="0"/>
      <w:marTop w:val="0"/>
      <w:marBottom w:val="0"/>
      <w:divBdr>
        <w:top w:val="none" w:sz="0" w:space="0" w:color="auto"/>
        <w:left w:val="none" w:sz="0" w:space="0" w:color="auto"/>
        <w:bottom w:val="none" w:sz="0" w:space="0" w:color="auto"/>
        <w:right w:val="none" w:sz="0" w:space="0" w:color="auto"/>
      </w:divBdr>
      <w:divsChild>
        <w:div w:id="2075926427">
          <w:marLeft w:val="0"/>
          <w:marRight w:val="0"/>
          <w:marTop w:val="0"/>
          <w:marBottom w:val="101"/>
          <w:divBdr>
            <w:top w:val="none" w:sz="0" w:space="0" w:color="auto"/>
            <w:left w:val="none" w:sz="0" w:space="0" w:color="auto"/>
            <w:bottom w:val="none" w:sz="0" w:space="0" w:color="auto"/>
            <w:right w:val="none" w:sz="0" w:space="0" w:color="auto"/>
          </w:divBdr>
        </w:div>
        <w:div w:id="486820255">
          <w:marLeft w:val="864"/>
          <w:marRight w:val="0"/>
          <w:marTop w:val="0"/>
          <w:marBottom w:val="101"/>
          <w:divBdr>
            <w:top w:val="none" w:sz="0" w:space="0" w:color="auto"/>
            <w:left w:val="none" w:sz="0" w:space="0" w:color="auto"/>
            <w:bottom w:val="none" w:sz="0" w:space="0" w:color="auto"/>
            <w:right w:val="none" w:sz="0" w:space="0" w:color="auto"/>
          </w:divBdr>
        </w:div>
        <w:div w:id="1737825621">
          <w:marLeft w:val="864"/>
          <w:marRight w:val="0"/>
          <w:marTop w:val="0"/>
          <w:marBottom w:val="101"/>
          <w:divBdr>
            <w:top w:val="none" w:sz="0" w:space="0" w:color="auto"/>
            <w:left w:val="none" w:sz="0" w:space="0" w:color="auto"/>
            <w:bottom w:val="none" w:sz="0" w:space="0" w:color="auto"/>
            <w:right w:val="none" w:sz="0" w:space="0" w:color="auto"/>
          </w:divBdr>
        </w:div>
      </w:divsChild>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9924442">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45634273">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293570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 w:id="2117938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gct/2019/dic181.pd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edomex.gob.mx/sites/legislacion.edomex.gob.mx/files/files/pdf/gct/2019/dic181.pdf"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EBB32-5E37-4FD4-A665-3AD9ABC60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80</Pages>
  <Words>18762</Words>
  <Characters>103192</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DELL</cp:lastModifiedBy>
  <cp:revision>9</cp:revision>
  <cp:lastPrinted>2021-11-04T19:26:00Z</cp:lastPrinted>
  <dcterms:created xsi:type="dcterms:W3CDTF">2022-11-03T15:38:00Z</dcterms:created>
  <dcterms:modified xsi:type="dcterms:W3CDTF">2022-11-28T03:48:00Z</dcterms:modified>
</cp:coreProperties>
</file>