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b w:val="1"/>
          <w:sz w:val="23"/>
          <w:szCs w:val="23"/>
        </w:rPr>
      </w:pPr>
      <w:r w:rsidDel="00000000" w:rsidR="00000000" w:rsidRPr="00000000">
        <w:rPr>
          <w:rFonts w:ascii="Palatino Linotype" w:cs="Palatino Linotype" w:eastAsia="Palatino Linotype" w:hAnsi="Palatino Linotype"/>
          <w:b w:val="1"/>
          <w:sz w:val="23"/>
          <w:szCs w:val="23"/>
          <w:rtl w:val="0"/>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VIGÉSIMA TERCERA SESIÓN ORDINARIA DEL VEINTIUNO DE JUNIO DE DOS MIL VEINTIDÓS, EN EL RECURSO DE REVISIÓN 05531/INFOEM/IP/RR/2022.</w:t>
      </w:r>
    </w:p>
    <w:p w:rsidR="00000000" w:rsidDel="00000000" w:rsidP="00000000" w:rsidRDefault="00000000" w:rsidRPr="00000000" w14:paraId="00000003">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El pleno del Instituto de Transparencia, Acceso a la Información Pública y Protección de Datos Personales del Estado de México y Municipios, aprobó por mayoría de votos, la resolución relativa al recurso de revisión </w:t>
      </w:r>
      <w:r w:rsidDel="00000000" w:rsidR="00000000" w:rsidRPr="00000000">
        <w:rPr>
          <w:rFonts w:ascii="Palatino Linotype" w:cs="Palatino Linotype" w:eastAsia="Palatino Linotype" w:hAnsi="Palatino Linotype"/>
          <w:b w:val="1"/>
          <w:sz w:val="23"/>
          <w:szCs w:val="23"/>
          <w:rtl w:val="0"/>
        </w:rPr>
        <w:t xml:space="preserve">05531/INFOEM/IP/RR/2022, </w:t>
      </w:r>
      <w:r w:rsidDel="00000000" w:rsidR="00000000" w:rsidRPr="00000000">
        <w:rPr>
          <w:rFonts w:ascii="Palatino Linotype" w:cs="Palatino Linotype" w:eastAsia="Palatino Linotype" w:hAnsi="Palatino Linotype"/>
          <w:sz w:val="23"/>
          <w:szCs w:val="23"/>
          <w:rtl w:val="0"/>
        </w:rPr>
        <w:t xml:space="preserve">presentada por el Comisionado Luis Gustavo Parra Noriega, respecto de la cual, la suscrita formula </w:t>
      </w:r>
      <w:r w:rsidDel="00000000" w:rsidR="00000000" w:rsidRPr="00000000">
        <w:rPr>
          <w:rFonts w:ascii="Palatino Linotype" w:cs="Palatino Linotype" w:eastAsia="Palatino Linotype" w:hAnsi="Palatino Linotype"/>
          <w:b w:val="1"/>
          <w:sz w:val="23"/>
          <w:szCs w:val="23"/>
          <w:rtl w:val="0"/>
        </w:rPr>
        <w:t xml:space="preserve">OPINIÓN  PARTICULAR</w:t>
      </w:r>
      <w:r w:rsidDel="00000000" w:rsidR="00000000" w:rsidRPr="00000000">
        <w:rPr>
          <w:rFonts w:ascii="Palatino Linotype" w:cs="Palatino Linotype" w:eastAsia="Palatino Linotype" w:hAnsi="Palatino Linotype"/>
          <w:sz w:val="23"/>
          <w:szCs w:val="23"/>
          <w:rtl w:val="0"/>
        </w:rPr>
        <w:t xml:space="preserve">,  con fundamento en el artículo 14 fracción XI del Reglamento Interior del Instituto de Transparencia, Acceso a la Información Pública y Protección de Datos Personales del Estado de México y Municipios.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000000" w:rsidDel="00000000" w:rsidP="00000000" w:rsidRDefault="00000000" w:rsidRPr="00000000" w14:paraId="00000005">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el caso concreto el hoy Recurrente requirió al Ayuntamiento de Toluca, que en esencia se le proporcionara el nombre del departamento y de los servidores públicos salientes de la administración 2006-2009, 2010-2012, 2013-2015, 2016-2018, 2019-2021 a los que se les realizaron observaciones derivadas de su entrega recepción al momento de dejar el cargo que incluya jefes de departamento, directores, subdirectores, directores generales, coordinadores, presidente municipal, síndicos y regidores..</w:t>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Sujeto Obligado, en su respuesta refiere que la información relacionada con las administraciones 2016-2018, 2019-2021 se encontraba clasificada como reservada,.</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Ante la respuesta proporcionada por el Sujeto Obligado, el particular se inconforma, por la clasificación y por la falta de pronunciamiento respecto de las demás administraciones,</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el Sujeto Obligado mediante Informe Justificado, ratifica su respuesta inicial en términos generales. </w:t>
      </w:r>
    </w:p>
    <w:p w:rsidR="00000000" w:rsidDel="00000000" w:rsidP="00000000" w:rsidRDefault="00000000" w:rsidRPr="00000000" w14:paraId="00000009">
      <w:pPr>
        <w:spacing w:after="0" w:line="36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sz w:val="23"/>
          <w:szCs w:val="23"/>
          <w:rtl w:val="0"/>
        </w:rPr>
        <w:t xml:space="preserve">Por lo que, previo análisis de las constancias y de la naturaleza de la información, la Ponencia Resolutora determinó en su resolutivo SEGUNDO ordenar “</w:t>
      </w:r>
      <w:r w:rsidDel="00000000" w:rsidR="00000000" w:rsidRPr="00000000">
        <w:rPr>
          <w:rFonts w:ascii="Palatino Linotype" w:cs="Palatino Linotype" w:eastAsia="Palatino Linotype" w:hAnsi="Palatino Linotype"/>
          <w:i w:val="1"/>
          <w:sz w:val="23"/>
          <w:szCs w:val="23"/>
          <w:rtl w:val="0"/>
        </w:rPr>
        <w:t xml:space="preserve">a efecto de que, previa búsqueda exhaustiva y razonable en los archivos de sus áreas competentes, remita, a través del Sistema de Acceso a la Información Mexiquense (SAIMEX), los documentos en los que obre lo siguiente:</w:t>
      </w:r>
    </w:p>
    <w:p w:rsidR="00000000" w:rsidDel="00000000" w:rsidP="00000000" w:rsidRDefault="00000000" w:rsidRPr="00000000" w14:paraId="0000000A">
      <w:pPr>
        <w:spacing w:after="0" w:line="360" w:lineRule="auto"/>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0B">
      <w:pPr>
        <w:spacing w:after="0" w:line="36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1.</w:t>
        <w:tab/>
        <w:t xml:space="preserve">Nombre de los servidores públicos salientes a los que se les realizaron observaciones y que fueron solventadas, derivadas de su entrega recepción al momento de dejar el cargo, así como el nombre de la unidad administrativa a la que pertenecían, de las administraciones 2016-2018 y 2019-2021.</w:t>
      </w:r>
    </w:p>
    <w:p w:rsidR="00000000" w:rsidDel="00000000" w:rsidP="00000000" w:rsidRDefault="00000000" w:rsidRPr="00000000" w14:paraId="0000000C">
      <w:pPr>
        <w:spacing w:after="0" w:line="360" w:lineRule="auto"/>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0D">
      <w:pPr>
        <w:spacing w:after="0" w:line="36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2.</w:t>
        <w:tab/>
        <w:t xml:space="preserve">El Acuerdo del Comité de Transparencia, donde clasifique de manera fundada y motivada el nombre de los servidores públicos salientes a los que se les realizaron observaciones derivadas de su entrega recepción al momento de dejar el cargo, así como el nombre de la unidad administrativa a la que pertenecían, de las administraciones 2016-2018 y 2019-2021, que hayan incurrido en algún tipo de responsabilidad y aun no haya resolución que se encuentre firme, según lo establecido por los artículos 49, fracciones II y VIII, 140 fracción VI y 141 de la Ley de Transparencia y Acceso a la Información Pública del Estado de México y Municipios.</w:t>
      </w:r>
    </w:p>
    <w:p w:rsidR="00000000" w:rsidDel="00000000" w:rsidP="00000000" w:rsidRDefault="00000000" w:rsidRPr="00000000" w14:paraId="0000000E">
      <w:pPr>
        <w:spacing w:after="0" w:line="360" w:lineRule="auto"/>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0F">
      <w:pPr>
        <w:spacing w:after="0" w:line="36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3.</w:t>
        <w:tab/>
        <w:t xml:space="preserve">El nombre de los servidores públicos salientes a los que se les realizaron observaciones derivadas de su entrega recepción al momento de dejar el cargo, así como el nombre de la unidad administrativa a la que pertenecían, de las administraciones 2016-2018 y 2019-2021, que hayan incurrido en algún tipo de responsabilidad vinculada con actos de corrupción o violaciones graves a derechos humanos.</w:t>
      </w:r>
    </w:p>
    <w:p w:rsidR="00000000" w:rsidDel="00000000" w:rsidP="00000000" w:rsidRDefault="00000000" w:rsidRPr="00000000" w14:paraId="00000010">
      <w:pPr>
        <w:spacing w:after="0" w:line="360" w:lineRule="auto"/>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11">
      <w:pPr>
        <w:spacing w:after="0" w:line="36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De ser necesarias las versiones públicas, se deberá proporcionar el Acuerdo de Clasificación donde el Comité de Transparencia, confirme la eliminación de los datos y documentos clasificados en su totalidad, de conformidad con los artículos 49, fracciones II y VIII y 132, fracción II, de la Ley de Transparencia y Acceso a la Información Pública del Estado de México y Municipios.</w:t>
      </w:r>
    </w:p>
    <w:p w:rsidR="00000000" w:rsidDel="00000000" w:rsidP="00000000" w:rsidRDefault="00000000" w:rsidRPr="00000000" w14:paraId="00000012">
      <w:pPr>
        <w:spacing w:after="0" w:line="36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 (SIC)</w:t>
      </w:r>
    </w:p>
    <w:p w:rsidR="00000000" w:rsidDel="00000000" w:rsidP="00000000" w:rsidRDefault="00000000" w:rsidRPr="00000000" w14:paraId="00000013">
      <w:pPr>
        <w:spacing w:after="0" w:lineRule="auto"/>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14">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ese sentido debe mencionarse que, tratándose de información reservada como lo son de expedientes que se generaron por las observaciones de las entregas recepción en las que se puede observar responsabilidades administrativas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sz w:val="23"/>
          <w:szCs w:val="23"/>
          <w:rtl w:val="0"/>
        </w:rPr>
        <w:t xml:space="preserve">para lo que es necesario el desarrollo de la prueba de daño, </w:t>
      </w:r>
      <w:r w:rsidDel="00000000" w:rsidR="00000000" w:rsidRPr="00000000">
        <w:rPr>
          <w:rFonts w:ascii="Palatino Linotype" w:cs="Palatino Linotype" w:eastAsia="Palatino Linotype" w:hAnsi="Palatino Linotype"/>
          <w:b w:val="1"/>
          <w:sz w:val="23"/>
          <w:szCs w:val="23"/>
          <w:rtl w:val="0"/>
        </w:rPr>
        <w:t xml:space="preserve">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Del="00000000" w:rsidR="00000000" w:rsidRPr="00000000">
        <w:rPr>
          <w:rFonts w:ascii="Palatino Linotype" w:cs="Palatino Linotype" w:eastAsia="Palatino Linotype" w:hAnsi="Palatino Linotype"/>
          <w:sz w:val="23"/>
          <w:szCs w:val="23"/>
          <w:rtl w:val="0"/>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000000" w:rsidDel="00000000" w:rsidP="00000000" w:rsidRDefault="00000000" w:rsidRPr="00000000" w14:paraId="00000015">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esta perspectiva, el Acuerdo de Clasificación de Información tiene como propósito primordial </w:t>
      </w:r>
      <w:r w:rsidDel="00000000" w:rsidR="00000000" w:rsidRPr="00000000">
        <w:rPr>
          <w:rFonts w:ascii="Palatino Linotype" w:cs="Palatino Linotype" w:eastAsia="Palatino Linotype" w:hAnsi="Palatino Linotype"/>
          <w:b w:val="1"/>
          <w:sz w:val="23"/>
          <w:szCs w:val="23"/>
          <w:rtl w:val="0"/>
        </w:rPr>
        <w:t xml:space="preserve">que los particulares conozcan de manera completa las condiciones y circunstancias que determinaron negar el acceso a la información</w:t>
      </w:r>
      <w:r w:rsidDel="00000000" w:rsidR="00000000" w:rsidRPr="00000000">
        <w:rPr>
          <w:rFonts w:ascii="Palatino Linotype" w:cs="Palatino Linotype" w:eastAsia="Palatino Linotype" w:hAnsi="Palatino Linotype"/>
          <w:sz w:val="23"/>
          <w:szCs w:val="23"/>
          <w:rtl w:val="0"/>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00000" w:rsidDel="00000000" w:rsidP="00000000" w:rsidRDefault="00000000" w:rsidRPr="00000000" w14:paraId="00000016">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"Trigésimo tercero. Para la aplicación de la prueba de daño a la que hace referencia el artículo 104 de la Ley General, los sujetos obligados atenderán lo siguiente: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II. Mediante la ponderación de los intereses en conflicto, los sujetos obligados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deberán demostrar que la publicidad de la información solicitada generaría un riesgo de perjuicio y por lo tanto, tendrán que acreditar que este último rebasa el interés público protegido por la reserva</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III.</w:t>
        <w:tab/>
        <w:t xml:space="preserve">Se debe de acreditar el vínculo entre la difusión de la información y la afectación del interés jurídico tutelado de que se trate;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IV.</w:t>
        <w:tab/>
        <w:t xml:space="preserve">Precisar las razones objetivas por las que la apertura de la información generaría una afectación, a través de los elementos de un riesgo real, demostrable e identificable;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V.</w:t>
        <w:tab/>
        <w:t xml:space="preserve">En la motivación de la clasificación,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el sujeto obligado deberá acreditar las circunstancias de modo, tiempo y lugar del daño</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VI.</w:t>
        <w:tab/>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conclusión, para convalidar la clasificación como información reservada, </w:t>
      </w:r>
      <w:r w:rsidDel="00000000" w:rsidR="00000000" w:rsidRPr="00000000">
        <w:rPr>
          <w:rFonts w:ascii="Palatino Linotype" w:cs="Palatino Linotype" w:eastAsia="Palatino Linotype" w:hAnsi="Palatino Linotype"/>
          <w:b w:val="1"/>
          <w:sz w:val="23"/>
          <w:szCs w:val="23"/>
          <w:rtl w:val="0"/>
        </w:rPr>
        <w:t xml:space="preserve">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Del="00000000" w:rsidR="00000000" w:rsidRPr="00000000">
        <w:rPr>
          <w:rFonts w:ascii="Palatino Linotype" w:cs="Palatino Linotype" w:eastAsia="Palatino Linotype" w:hAnsi="Palatino Linotype"/>
          <w:sz w:val="23"/>
          <w:szCs w:val="23"/>
          <w:rtl w:val="0"/>
        </w:rPr>
        <w:t xml:space="preserve">, como es la figura de la clasificación de la información para verificar que se acredita la prueba de daño.</w:t>
      </w:r>
    </w:p>
    <w:p w:rsidR="00000000" w:rsidDel="00000000" w:rsidP="00000000" w:rsidRDefault="00000000" w:rsidRPr="00000000" w14:paraId="00000020">
      <w:pPr>
        <w:spacing w:line="360" w:lineRule="auto"/>
        <w:jc w:val="both"/>
        <w:rPr>
          <w:rFonts w:ascii="Palatino Linotype" w:cs="Palatino Linotype" w:eastAsia="Palatino Linotype" w:hAnsi="Palatino Linotype"/>
          <w:sz w:val="23"/>
          <w:szCs w:val="23"/>
        </w:rPr>
      </w:pPr>
      <w:bookmarkStart w:colFirst="0" w:colLast="0" w:name="_heading=h.gjdgxs" w:id="0"/>
      <w:bookmarkEnd w:id="0"/>
      <w:r w:rsidDel="00000000" w:rsidR="00000000" w:rsidRPr="00000000">
        <w:rPr>
          <w:rFonts w:ascii="Palatino Linotype" w:cs="Palatino Linotype" w:eastAsia="Palatino Linotype" w:hAnsi="Palatino Linotype"/>
          <w:sz w:val="23"/>
          <w:szCs w:val="23"/>
          <w:rtl w:val="0"/>
        </w:rPr>
        <w:t xml:space="preserve">Bajo este contexto, se analizó la resolución del recurso de revisión </w:t>
      </w:r>
      <w:r w:rsidDel="00000000" w:rsidR="00000000" w:rsidRPr="00000000">
        <w:rPr>
          <w:rFonts w:ascii="Palatino Linotype" w:cs="Palatino Linotype" w:eastAsia="Palatino Linotype" w:hAnsi="Palatino Linotype"/>
          <w:b w:val="1"/>
          <w:sz w:val="23"/>
          <w:szCs w:val="23"/>
          <w:rtl w:val="0"/>
        </w:rPr>
        <w:t xml:space="preserve">05531/INFOEM/IP/RR/</w:t>
      </w:r>
      <w:r w:rsidDel="00000000" w:rsidR="00000000" w:rsidRPr="00000000">
        <w:rPr>
          <w:rFonts w:ascii="Palatino Linotype" w:cs="Palatino Linotype" w:eastAsia="Palatino Linotype" w:hAnsi="Palatino Linotype"/>
          <w:b w:val="1"/>
          <w:color w:val="000000"/>
          <w:sz w:val="23"/>
          <w:szCs w:val="23"/>
          <w:rtl w:val="0"/>
        </w:rPr>
        <w:t xml:space="preserve">2022 </w:t>
      </w:r>
      <w:r w:rsidDel="00000000" w:rsidR="00000000" w:rsidRPr="00000000">
        <w:rPr>
          <w:rFonts w:ascii="Palatino Linotype" w:cs="Palatino Linotype" w:eastAsia="Palatino Linotype" w:hAnsi="Palatino Linotype"/>
          <w:sz w:val="23"/>
          <w:szCs w:val="23"/>
          <w:rtl w:val="0"/>
        </w:rPr>
        <w:t xml:space="preserve">en la cual, el Comisionado Ponente, desarrolla la prueba de daño, circunstancia que a consideración de la suscrita y derivado de lo antes señalado, </w:t>
      </w:r>
      <w:r w:rsidDel="00000000" w:rsidR="00000000" w:rsidRPr="00000000">
        <w:rPr>
          <w:rFonts w:ascii="Palatino Linotype" w:cs="Palatino Linotype" w:eastAsia="Palatino Linotype" w:hAnsi="Palatino Linotype"/>
          <w:b w:val="1"/>
          <w:sz w:val="23"/>
          <w:szCs w:val="23"/>
          <w:rtl w:val="0"/>
        </w:rPr>
        <w:t xml:space="preserve">les corresponde comprobar y desarrollar a los Sujetos Obligados</w:t>
      </w:r>
      <w:r w:rsidDel="00000000" w:rsidR="00000000" w:rsidRPr="00000000">
        <w:rPr>
          <w:rFonts w:ascii="Palatino Linotype" w:cs="Palatino Linotype" w:eastAsia="Palatino Linotype" w:hAnsi="Palatino Linotype"/>
          <w:sz w:val="23"/>
          <w:szCs w:val="23"/>
          <w:rtl w:val="0"/>
        </w:rPr>
        <w:t xml:space="preserve">,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899"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“XXXIII. Prueba de Daño: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Responsabilidad de los sujetos obligados de demostrar de manera fundada y motivada que la divulgación de información lesiona el interés jurídicamente protegido por la Ley,</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y que el menoscabo o daño que puede producirse con la publicidad de la información es mayor que el interés de conocerla y por consiguiente debe clasificarse como reservada…” (Sic)</w:t>
      </w:r>
      <w:r w:rsidDel="00000000" w:rsidR="00000000" w:rsidRPr="00000000">
        <w:rPr>
          <w:rtl w:val="0"/>
        </w:rPr>
      </w:r>
    </w:p>
    <w:p w:rsidR="00000000" w:rsidDel="00000000" w:rsidP="00000000" w:rsidRDefault="00000000" w:rsidRPr="00000000" w14:paraId="00000022">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3">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Precepto legal en donde establece que </w:t>
      </w:r>
      <w:r w:rsidDel="00000000" w:rsidR="00000000" w:rsidRPr="00000000">
        <w:rPr>
          <w:rFonts w:ascii="Palatino Linotype" w:cs="Palatino Linotype" w:eastAsia="Palatino Linotype" w:hAnsi="Palatino Linotype"/>
          <w:b w:val="1"/>
          <w:sz w:val="23"/>
          <w:szCs w:val="23"/>
          <w:rtl w:val="0"/>
        </w:rPr>
        <w:t xml:space="preserve">es obligación de los Sujeto Obligados, realizar la prueba de daño;</w:t>
      </w:r>
      <w:r w:rsidDel="00000000" w:rsidR="00000000" w:rsidRPr="00000000">
        <w:rPr>
          <w:rFonts w:ascii="Palatino Linotype" w:cs="Palatino Linotype" w:eastAsia="Palatino Linotype" w:hAnsi="Palatino Linotype"/>
          <w:sz w:val="23"/>
          <w:szCs w:val="23"/>
          <w:rtl w:val="0"/>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00000" w:rsidDel="00000000" w:rsidP="00000000" w:rsidRDefault="00000000" w:rsidRPr="00000000" w14:paraId="00000024">
      <w:pPr>
        <w:spacing w:line="360" w:lineRule="auto"/>
        <w:jc w:val="both"/>
        <w:rPr>
          <w:rFonts w:ascii="Palatino Linotype" w:cs="Palatino Linotype" w:eastAsia="Palatino Linotype" w:hAnsi="Palatino Linotype"/>
          <w:b w:val="1"/>
          <w:sz w:val="23"/>
          <w:szCs w:val="23"/>
        </w:rPr>
      </w:pPr>
      <w:r w:rsidDel="00000000" w:rsidR="00000000" w:rsidRPr="00000000">
        <w:rPr>
          <w:rFonts w:ascii="Palatino Linotype" w:cs="Palatino Linotype" w:eastAsia="Palatino Linotype" w:hAnsi="Palatino Linotype"/>
          <w:sz w:val="23"/>
          <w:szCs w:val="23"/>
          <w:rtl w:val="0"/>
        </w:rPr>
        <w:t xml:space="preserve">Esto es, que, a través de la prueba de daño, </w:t>
      </w:r>
      <w:r w:rsidDel="00000000" w:rsidR="00000000" w:rsidRPr="00000000">
        <w:rPr>
          <w:rFonts w:ascii="Palatino Linotype" w:cs="Palatino Linotype" w:eastAsia="Palatino Linotype" w:hAnsi="Palatino Linotype"/>
          <w:b w:val="1"/>
          <w:sz w:val="23"/>
          <w:szCs w:val="23"/>
          <w:rtl w:val="0"/>
        </w:rPr>
        <w:t xml:space="preserve">los sujetos obligados expongan las razones, motivos o circunstancias especiales que los lleven a concluir que la información adquiere el carácter de reservada, y se ajusta a los supuestos previstos en la normatividad como fundamento. </w:t>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p w:rsidR="00000000" w:rsidDel="00000000" w:rsidP="00000000" w:rsidRDefault="00000000" w:rsidRPr="00000000" w14:paraId="00000026">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Lo expuesto, constituyen las razones y fundamentos que me llevan a emitir la opinión particular que se ha expresado. </w:t>
      </w:r>
    </w:p>
    <w:p w:rsidR="00000000" w:rsidDel="00000000" w:rsidP="00000000" w:rsidRDefault="00000000" w:rsidRPr="00000000" w14:paraId="00000027">
      <w:pPr>
        <w:spacing w:after="240" w:before="240" w:line="360" w:lineRule="auto"/>
        <w:jc w:val="both"/>
        <w:rPr>
          <w:rFonts w:ascii="Palatino Linotype" w:cs="Palatino Linotype" w:eastAsia="Palatino Linotype" w:hAnsi="Palatino Linotype"/>
          <w:sz w:val="23"/>
          <w:szCs w:val="23"/>
        </w:rPr>
        <w:sectPr>
          <w:headerReference r:id="rId7" w:type="default"/>
          <w:headerReference r:id="rId8" w:type="first"/>
          <w:headerReference r:id="rId9" w:type="even"/>
          <w:footerReference r:id="rId10" w:type="default"/>
          <w:pgSz w:h="15840" w:w="12240" w:orient="portrait"/>
          <w:pgMar w:bottom="2836" w:top="1983" w:left="1985" w:right="1327" w:header="709" w:footer="586"/>
          <w:pgNumType w:start="1"/>
        </w:sectPr>
      </w:pPr>
      <w:r w:rsidDel="00000000" w:rsidR="00000000" w:rsidRPr="00000000">
        <w:rPr>
          <w:rtl w:val="0"/>
        </w:rPr>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29">
      <w:pPr>
        <w:spacing w:after="240" w:before="240" w:line="360" w:lineRule="auto"/>
        <w:jc w:val="center"/>
        <w:rPr>
          <w:rFonts w:ascii="Palatino Linotype" w:cs="Palatino Linotype" w:eastAsia="Palatino Linotype" w:hAnsi="Palatino Linotype"/>
          <w:b w:val="1"/>
          <w:sz w:val="23"/>
          <w:szCs w:val="23"/>
        </w:rPr>
      </w:pPr>
      <w:r w:rsidDel="00000000" w:rsidR="00000000" w:rsidRPr="00000000">
        <w:rPr>
          <w:rtl w:val="0"/>
        </w:rPr>
      </w:r>
    </w:p>
    <w:p w:rsidR="00000000" w:rsidDel="00000000" w:rsidP="00000000" w:rsidRDefault="00000000" w:rsidRPr="00000000" w14:paraId="0000002A">
      <w:pPr>
        <w:spacing w:after="0" w:line="240" w:lineRule="auto"/>
        <w:jc w:val="center"/>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2B">
      <w:pPr>
        <w:spacing w:after="240" w:before="24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11" w:type="default"/>
      <w:type w:val="nextPage"/>
      <w:pgSz w:h="15840" w:w="12240" w:orient="portrait"/>
      <w:pgMar w:bottom="2836" w:top="1871" w:left="1985" w:right="1327" w:header="709" w:footer="5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1843"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-1114013</wp:posOffset>
          </wp:positionH>
          <wp:positionV relativeFrom="paragraph">
            <wp:posOffset>-449579</wp:posOffset>
          </wp:positionV>
          <wp:extent cx="7510628" cy="988377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5685"/>
        <w:tab w:val="right" w:pos="89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ab/>
      <w:tab/>
      <w:tab/>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OPINIÓN PARTICULAR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1134" w:right="0" w:firstLine="0"/>
      <w:jc w:val="righ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RECURSO DE REVISIÓN 05531/INFOEM/IP/RR/2022.</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Calibri&amp;quot;;font-size:1pt;"/>
        </v:shape>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3" name=""/>
              <a:graphic>
                <a:graphicData uri="http://schemas.microsoft.com/office/word/2010/wordprocessingShape">
                  <wps:wsp>
                    <wps:cNvSpPr/>
                    <wps:cNvPr id="2" name="Shape 2"/>
                    <wps:spPr>
                      <a:xfrm rot="-2700000">
                        <a:off x="2440875" y="2945610"/>
                        <a:ext cx="5810250" cy="166878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d7d31"/>
                              <w:sz w:val="144"/>
                              <w:vertAlign w:val="baseline"/>
                            </w:rPr>
                            <w:t xml:space="preserve">VOTO DISIDENTE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01943" cy="5301943"/>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Calibri&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5685"/>
        <w:tab w:val="right" w:pos="89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95404"/>
    <w:pPr>
      <w:spacing w:line="256" w:lineRule="auto"/>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95404"/>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E95404"/>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E95404"/>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E95404"/>
    <w:rPr>
      <w:rFonts w:ascii="Times New Roman" w:cs="Times New Roman" w:eastAsia="Times New Roman" w:hAnsi="Times New Roman"/>
      <w:sz w:val="24"/>
      <w:szCs w:val="24"/>
      <w:lang w:eastAsia="es-ES" w:val="es-ES"/>
    </w:rPr>
  </w:style>
  <w:style w:type="paragraph" w:styleId="NormalWeb">
    <w:name w:val="Normal (Web)"/>
    <w:basedOn w:val="Normal"/>
    <w:uiPriority w:val="99"/>
    <w:rsid w:val="00E95404"/>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character" w:styleId="normaltextrun" w:customStyle="1">
    <w:name w:val="normaltextrun"/>
    <w:basedOn w:val="Fuentedeprrafopredeter"/>
    <w:rsid w:val="00E95404"/>
  </w:style>
  <w:style w:type="paragraph" w:styleId="Sinespaciado">
    <w:name w:val="No Spacing"/>
    <w:aliases w:val="Francesa"/>
    <w:link w:val="SinespaciadoCar"/>
    <w:uiPriority w:val="1"/>
    <w:qFormat w:val="1"/>
    <w:rsid w:val="00E95404"/>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
    <w:link w:val="Sinespaciado"/>
    <w:uiPriority w:val="1"/>
    <w:locked w:val="1"/>
    <w:rsid w:val="00E95404"/>
    <w:rPr>
      <w:rFonts w:ascii="Times New Roman" w:cs="Times New Roman" w:eastAsia="Times New Roman" w:hAnsi="Times New Roman"/>
      <w:sz w:val="24"/>
      <w:szCs w:val="24"/>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4.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Xg2wl6GTlBsCcKs2lBQwbO40nA==">AMUW2mV1NzlfOdHCsQn6WSmpntv4QCJ3ymm7khvFCkmR6lUwtDCEYFEAZUB/AePqpaqNsO8cm9fvz65n/1HHmNshhRYOzaFXLdq9ik1Wr/2kU2w8ngT0sxYPFYZIR6xNXQQG0uGlz5TV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2022-06-21T22:35:00Z</dcterms:created>
  <dc:creator>USUARIO</dc:creator>
</cp:coreProperties>
</file>