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6A1B0FC7"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nueve</w:t>
      </w:r>
      <w:r w:rsidR="00620A1D">
        <w:rPr>
          <w:rFonts w:ascii="Palatino Linotype" w:hAnsi="Palatino Linotype" w:cs="Arial"/>
          <w:color w:val="000000"/>
          <w:lang w:eastAsia="es-MX"/>
        </w:rPr>
        <w:t xml:space="preserve"> de marzo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232D9592"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14089B" w:rsidRPr="0014089B">
        <w:rPr>
          <w:rFonts w:ascii="Palatino Linotype" w:hAnsi="Palatino Linotype" w:cs="Arial"/>
          <w:b/>
          <w:bCs/>
          <w:lang w:eastAsia="es-MX"/>
        </w:rPr>
        <w:t>00425/INFOEM/IP/RR/2022</w:t>
      </w:r>
      <w:r w:rsidR="000D4CB2" w:rsidRPr="00B21190">
        <w:rPr>
          <w:rFonts w:ascii="Palatino Linotype" w:hAnsi="Palatino Linotype" w:cs="Arial"/>
        </w:rPr>
        <w:t>, interpuesto por</w:t>
      </w:r>
      <w:r w:rsidR="005219ED">
        <w:rPr>
          <w:rFonts w:ascii="Palatino Linotype" w:hAnsi="Palatino Linotype" w:cs="Arial"/>
        </w:rPr>
        <w:t xml:space="preserve"> </w:t>
      </w:r>
      <w:r w:rsidR="00134DCA">
        <w:rPr>
          <w:rFonts w:ascii="Palatino Linotype" w:hAnsi="Palatino Linotype" w:cs="Arial"/>
        </w:rPr>
        <w:t>el</w:t>
      </w:r>
      <w:r w:rsidRPr="00B21190">
        <w:rPr>
          <w:rFonts w:ascii="Palatino Linotype" w:hAnsi="Palatino Linotype" w:cs="Arial"/>
        </w:rPr>
        <w:t xml:space="preserve"> </w:t>
      </w:r>
      <w:r w:rsidR="008504C5">
        <w:rPr>
          <w:rFonts w:ascii="Palatino Linotype" w:hAnsi="Palatino Linotype" w:cs="Arial"/>
          <w:b/>
        </w:rPr>
        <w:t>XXXXXXXXXXXXXXX</w:t>
      </w:r>
      <w:r w:rsidRPr="00B21190">
        <w:rPr>
          <w:rFonts w:ascii="Palatino Linotype" w:hAnsi="Palatino Linotype" w:cs="Arial"/>
        </w:rPr>
        <w:t xml:space="preserve"> en lo sucesivo </w:t>
      </w:r>
      <w:r w:rsidR="00134DCA">
        <w:rPr>
          <w:rFonts w:ascii="Palatino Linotype" w:hAnsi="Palatino Linotype" w:cs="Arial"/>
          <w:b/>
        </w:rPr>
        <w:t>El</w:t>
      </w:r>
      <w:r w:rsidRPr="00B21190">
        <w:rPr>
          <w:rFonts w:ascii="Palatino Linotype" w:hAnsi="Palatino Linotype" w:cs="Arial"/>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CE02B6">
        <w:rPr>
          <w:rFonts w:ascii="Palatino Linotype" w:hAnsi="Palatino Linotype" w:cs="Arial"/>
        </w:rPr>
        <w:t>l</w:t>
      </w:r>
      <w:r w:rsidRPr="00B21190">
        <w:rPr>
          <w:rFonts w:ascii="Palatino Linotype" w:hAnsi="Palatino Linotype" w:cs="Arial"/>
        </w:rPr>
        <w:t xml:space="preserve"> </w:t>
      </w:r>
      <w:r w:rsidR="00134DCA" w:rsidRPr="00134DCA">
        <w:rPr>
          <w:rFonts w:ascii="Palatino Linotype" w:hAnsi="Palatino Linotype" w:cs="Arial"/>
          <w:b/>
        </w:rPr>
        <w:t>Ayuntamiento de Nezahualcóyotl</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2D68F8D8"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620A1D">
        <w:rPr>
          <w:rFonts w:ascii="Palatino Linotype" w:hAnsi="Palatino Linotype" w:cs="Arial"/>
        </w:rPr>
        <w:t>diez de enero de dos mil veintidós</w:t>
      </w:r>
      <w:r>
        <w:rPr>
          <w:rFonts w:ascii="Palatino Linotype" w:hAnsi="Palatino Linotype" w:cs="Arial"/>
        </w:rPr>
        <w:t xml:space="preserve">, </w:t>
      </w:r>
      <w:r w:rsidR="00134DCA">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presentó a través del Sistema de Acceso a la Información Mexiquense (</w:t>
      </w:r>
      <w:r>
        <w:rPr>
          <w:rFonts w:ascii="Palatino Linotype" w:hAnsi="Palatino Linotype" w:cs="Arial"/>
          <w:b/>
        </w:rPr>
        <w:t>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rPr>
        <w:t>, solicitud de acceso a la información pública, registrada bajo el número de expediente</w:t>
      </w:r>
      <w:r>
        <w:rPr>
          <w:rFonts w:ascii="Palatino Linotype" w:hAnsi="Palatino Linotype" w:cs="Arial"/>
          <w:b/>
        </w:rPr>
        <w:t xml:space="preserve"> </w:t>
      </w:r>
      <w:r w:rsidR="00134DCA" w:rsidRPr="00134DCA">
        <w:rPr>
          <w:rFonts w:ascii="Palatino Linotype" w:hAnsi="Palatino Linotype" w:cs="Arial"/>
          <w:b/>
        </w:rPr>
        <w:t>00003/NEZA/IP/2022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2F1F351C" w14:textId="77777777" w:rsidR="00134DCA" w:rsidRPr="006B26E3" w:rsidRDefault="00134DCA" w:rsidP="00ED72E2">
      <w:pPr>
        <w:spacing w:line="360" w:lineRule="auto"/>
        <w:jc w:val="both"/>
        <w:rPr>
          <w:rFonts w:ascii="Palatino Linotype" w:hAnsi="Palatino Linotype" w:cs="Arial"/>
        </w:rPr>
      </w:pPr>
    </w:p>
    <w:p w14:paraId="5C641CB9" w14:textId="27875DED" w:rsidR="008D6D96" w:rsidRPr="006B26E3" w:rsidRDefault="008D6D96" w:rsidP="00ED72E2">
      <w:pPr>
        <w:ind w:left="851" w:right="851"/>
        <w:jc w:val="both"/>
        <w:rPr>
          <w:rFonts w:ascii="Palatino Linotype" w:hAnsi="Palatino Linotype"/>
          <w:i/>
          <w:lang w:val="es-ES_tradnl"/>
        </w:rPr>
      </w:pPr>
      <w:r w:rsidRPr="006B26E3">
        <w:rPr>
          <w:rFonts w:ascii="Palatino Linotype" w:hAnsi="Palatino Linotype"/>
          <w:i/>
          <w:lang w:val="es-ES_tradnl"/>
        </w:rPr>
        <w:t>“</w:t>
      </w:r>
      <w:r w:rsidR="00134DCA" w:rsidRPr="00134DCA">
        <w:rPr>
          <w:rFonts w:ascii="Palatino Linotype" w:hAnsi="Palatino Linotype"/>
          <w:i/>
          <w:lang w:val="es-ES_tradnl"/>
        </w:rPr>
        <w:t xml:space="preserve">Respecto del establecimiento mercantil destinado a pollería ubicado en la calle </w:t>
      </w:r>
      <w:proofErr w:type="spellStart"/>
      <w:r w:rsidR="006C5F18">
        <w:rPr>
          <w:rFonts w:ascii="Palatino Linotype" w:hAnsi="Palatino Linotype"/>
          <w:i/>
          <w:lang w:val="es-ES_tradnl"/>
        </w:rPr>
        <w:t>xxxxxx</w:t>
      </w:r>
      <w:proofErr w:type="spellEnd"/>
      <w:r w:rsidR="00134DCA" w:rsidRPr="00134DCA">
        <w:rPr>
          <w:rFonts w:ascii="Palatino Linotype" w:hAnsi="Palatino Linotype"/>
          <w:i/>
          <w:lang w:val="es-ES_tradnl"/>
        </w:rPr>
        <w:t xml:space="preserve">, esquina con </w:t>
      </w:r>
      <w:proofErr w:type="spellStart"/>
      <w:r w:rsidR="006C5F18">
        <w:rPr>
          <w:rFonts w:ascii="Palatino Linotype" w:hAnsi="Palatino Linotype"/>
          <w:i/>
          <w:lang w:val="es-ES_tradnl"/>
        </w:rPr>
        <w:t>xxxxxxxxxxxxxxxxxx</w:t>
      </w:r>
      <w:proofErr w:type="spellEnd"/>
      <w:r w:rsidR="00134DCA" w:rsidRPr="00134DCA">
        <w:rPr>
          <w:rFonts w:ascii="Palatino Linotype" w:hAnsi="Palatino Linotype"/>
          <w:i/>
          <w:lang w:val="es-ES_tradnl"/>
        </w:rPr>
        <w:t xml:space="preserve">, colonia </w:t>
      </w:r>
      <w:proofErr w:type="spellStart"/>
      <w:r w:rsidR="006C5F18">
        <w:rPr>
          <w:rFonts w:ascii="Palatino Linotype" w:hAnsi="Palatino Linotype"/>
          <w:i/>
          <w:lang w:val="es-ES_tradnl"/>
        </w:rPr>
        <w:t>xxxxxxxxxxxxx</w:t>
      </w:r>
      <w:proofErr w:type="spellEnd"/>
      <w:r w:rsidR="00134DCA" w:rsidRPr="00134DCA">
        <w:rPr>
          <w:rFonts w:ascii="Palatino Linotype" w:hAnsi="Palatino Linotype"/>
          <w:i/>
          <w:lang w:val="es-ES_tradnl"/>
        </w:rPr>
        <w:t xml:space="preserve">, C.P. </w:t>
      </w:r>
      <w:proofErr w:type="spellStart"/>
      <w:r w:rsidR="006C5F18">
        <w:rPr>
          <w:rFonts w:ascii="Palatino Linotype" w:hAnsi="Palatino Linotype"/>
          <w:i/>
          <w:lang w:val="es-ES_tradnl"/>
        </w:rPr>
        <w:t>xxxxxx</w:t>
      </w:r>
      <w:proofErr w:type="spellEnd"/>
      <w:r w:rsidR="00134DCA" w:rsidRPr="00134DCA">
        <w:rPr>
          <w:rFonts w:ascii="Palatino Linotype" w:hAnsi="Palatino Linotype"/>
          <w:i/>
          <w:lang w:val="es-ES_tradnl"/>
        </w:rPr>
        <w:t xml:space="preserve">, del Municipio de Nezahualcóyotl, estado de México, requiero todo el soporte documental que acredite lo siguiente: 1.- Constancia de uso de suelo. 2.- Licencia de funcionamiento. 3.- Permiso de la autoridad sanitaria que permita al establecimiento el recibir aves vivas, sacrificarlas y procesarlas para su venta al mayoreo. 4.- Comprobantes con los cuales se acredite que se </w:t>
      </w:r>
      <w:r w:rsidR="00134DCA" w:rsidRPr="00134DCA">
        <w:rPr>
          <w:rFonts w:ascii="Palatino Linotype" w:hAnsi="Palatino Linotype"/>
          <w:i/>
          <w:lang w:val="es-ES_tradnl"/>
        </w:rPr>
        <w:lastRenderedPageBreak/>
        <w:t>encuentra al corriente en el pago de sus impuestos locales, agua, predio, luz eléctrica. 5.- Permiso de construcción y autorización que le permita construir 3 niveles. Aclaro que esta información la solicité en el año 2020 (solicitud 00400/NEZA/IP/2020) y también en este año 2021 (Solicitud 00459/NEZA/IP/2021) en donde me indican que NO existe esa información y por tal motivo clausuraron la pollería y me entregaron copia del procedimiento (Anexo 1) A pesar de lo sellos de clausura el establecimiento siguió funcionando y despachando en la acera de enfrente; pero hace unos días, coincidentemente con la llegada del nuevo Presidente Municipal, en la pollería retiraron los sellos de clausura y despachan con normalidad (Fotos en anexo 2), lo que me hace pensar que ya están regularizados y que, en consecuencia, ya tienen los documentos que ahora solicito. Ahora bien, si no hay autorización y retiraron los sellos de manera indebida, este hecho es un delito que persigue de oficio y si la autoridad responsable de verificar no hace lo que le corresponde en el ámbito de sus atribuciones, puede ser partícipe de dicho delito.</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56541BFD" w14:textId="1EB08464" w:rsidR="008D6D96" w:rsidRDefault="008D6D96" w:rsidP="00ED72E2">
      <w:pPr>
        <w:spacing w:line="360" w:lineRule="auto"/>
        <w:ind w:right="851"/>
        <w:jc w:val="both"/>
        <w:rPr>
          <w:rFonts w:ascii="Palatino Linotype" w:hAnsi="Palatino Linotype"/>
          <w:lang w:val="es-ES_tradnl"/>
        </w:rPr>
      </w:pPr>
      <w:r w:rsidRPr="00CA1161">
        <w:rPr>
          <w:rFonts w:ascii="Palatino Linotype" w:hAnsi="Palatino Linotype"/>
          <w:lang w:val="es-ES_tradnl"/>
        </w:rPr>
        <w:t xml:space="preserve">Modalidad de entrega: </w:t>
      </w:r>
      <w:r>
        <w:rPr>
          <w:rFonts w:ascii="Palatino Linotype" w:hAnsi="Palatino Linotype"/>
          <w:lang w:val="es-ES_tradnl"/>
        </w:rPr>
        <w:t xml:space="preserve">A través del </w:t>
      </w:r>
      <w:r w:rsidRPr="00BB29CD">
        <w:rPr>
          <w:rFonts w:ascii="Palatino Linotype" w:hAnsi="Palatino Linotype"/>
          <w:b/>
          <w:lang w:val="es-ES_tradnl"/>
        </w:rPr>
        <w:t>SAIMEX</w:t>
      </w:r>
      <w:r>
        <w:rPr>
          <w:rFonts w:ascii="Palatino Linotype" w:hAnsi="Palatino Linotype"/>
          <w:lang w:val="es-ES_tradnl"/>
        </w:rPr>
        <w:t>.</w:t>
      </w:r>
    </w:p>
    <w:p w14:paraId="74D3A992" w14:textId="77777777" w:rsidR="00ED72E2" w:rsidRDefault="00ED72E2" w:rsidP="00ED72E2">
      <w:pPr>
        <w:spacing w:line="360" w:lineRule="auto"/>
        <w:ind w:right="851"/>
        <w:jc w:val="both"/>
        <w:rPr>
          <w:rFonts w:ascii="Palatino Linotype" w:hAnsi="Palatino Linotype"/>
          <w:lang w:val="es-ES_tradnl"/>
        </w:rPr>
      </w:pPr>
    </w:p>
    <w:p w14:paraId="50908099" w14:textId="78AD2672" w:rsidR="00EE5D6D" w:rsidRPr="00EE5D6D" w:rsidRDefault="00EE5D6D" w:rsidP="00ED72E2">
      <w:pPr>
        <w:spacing w:line="360" w:lineRule="auto"/>
        <w:jc w:val="both"/>
        <w:rPr>
          <w:rFonts w:ascii="Palatino Linotype" w:eastAsia="Calibri" w:hAnsi="Palatino Linotype"/>
          <w:i/>
          <w:lang w:val="es-MX" w:eastAsia="en-US"/>
        </w:rPr>
      </w:pPr>
      <w:r w:rsidRPr="00EE5D6D">
        <w:rPr>
          <w:rFonts w:ascii="Palatino Linotype" w:eastAsia="Calibri" w:hAnsi="Palatino Linotype"/>
          <w:lang w:val="es-MX" w:eastAsia="en-US"/>
        </w:rPr>
        <w:t>A su solicitud de información</w:t>
      </w:r>
      <w:r w:rsidR="00EA3297">
        <w:rPr>
          <w:rFonts w:ascii="Palatino Linotype" w:eastAsia="Calibri" w:hAnsi="Palatino Linotype"/>
          <w:lang w:val="es-MX" w:eastAsia="en-US"/>
        </w:rPr>
        <w:t xml:space="preserve"> el hoy recurrente</w:t>
      </w:r>
      <w:r w:rsidRPr="00EE5D6D">
        <w:rPr>
          <w:rFonts w:ascii="Palatino Linotype" w:eastAsia="Calibri" w:hAnsi="Palatino Linotype"/>
          <w:lang w:val="es-MX" w:eastAsia="en-US"/>
        </w:rPr>
        <w:t xml:space="preserve"> anexó los archivos electrónicos denominados </w:t>
      </w:r>
      <w:r w:rsidRPr="00EE5D6D">
        <w:rPr>
          <w:rFonts w:ascii="Palatino Linotype" w:eastAsia="Calibri" w:hAnsi="Palatino Linotype"/>
          <w:b/>
          <w:lang w:val="es-MX" w:eastAsia="en-US"/>
        </w:rPr>
        <w:t>“</w:t>
      </w:r>
      <w:r w:rsidRPr="00EE5D6D">
        <w:rPr>
          <w:rFonts w:ascii="Palatino Linotype" w:hAnsi="Palatino Linotype"/>
          <w:b/>
        </w:rPr>
        <w:t>Fotos Pollería.pdf</w:t>
      </w:r>
      <w:r w:rsidRPr="00EE5D6D">
        <w:rPr>
          <w:rFonts w:ascii="Palatino Linotype" w:eastAsia="Calibri" w:hAnsi="Palatino Linotype"/>
          <w:b/>
          <w:lang w:val="es-MX" w:eastAsia="en-US"/>
        </w:rPr>
        <w:t>”, “</w:t>
      </w:r>
      <w:r w:rsidRPr="00EE5D6D">
        <w:rPr>
          <w:rFonts w:ascii="Palatino Linotype" w:hAnsi="Palatino Linotype"/>
          <w:b/>
        </w:rPr>
        <w:t>RESPUESTA 00484-2021 (1).pdf</w:t>
      </w:r>
      <w:r w:rsidRPr="00EE5D6D">
        <w:rPr>
          <w:rFonts w:ascii="Palatino Linotype" w:eastAsia="Calibri" w:hAnsi="Palatino Linotype"/>
          <w:b/>
          <w:lang w:val="es-MX" w:eastAsia="en-US"/>
        </w:rPr>
        <w:t>”</w:t>
      </w:r>
      <w:r w:rsidRPr="00EE5D6D">
        <w:rPr>
          <w:rFonts w:ascii="Palatino Linotype" w:eastAsia="Calibri" w:hAnsi="Palatino Linotype"/>
          <w:lang w:val="es-MX" w:eastAsia="en-US"/>
        </w:rPr>
        <w:t>,</w:t>
      </w:r>
      <w:r>
        <w:rPr>
          <w:rFonts w:ascii="Palatino Linotype" w:hAnsi="Palatino Linotype"/>
        </w:rPr>
        <w:t xml:space="preserve">de los cuales, el primero de ellos, consiste en imágenes fotográficas del establecimiento referido por el particular en la solicitud de información; mientras que el segundo de ellos contiene diversos archivos electrónicos otorgados previamente por el Sujeto obligado en respuesta a una solicitud de información diversa a la formulada con motivo del presente recurso de revisión.  </w:t>
      </w:r>
      <w:r w:rsidRPr="00EE5D6D">
        <w:rPr>
          <w:rFonts w:ascii="Palatino Linotype" w:eastAsia="Calibri" w:hAnsi="Palatino Linotype"/>
          <w:lang w:val="es-MX" w:eastAsia="en-US"/>
        </w:rPr>
        <w:t>.</w:t>
      </w:r>
    </w:p>
    <w:p w14:paraId="73C28B07" w14:textId="77777777" w:rsidR="008D6D96" w:rsidRDefault="008D6D96" w:rsidP="008D6D96">
      <w:pPr>
        <w:spacing w:before="240" w:line="360" w:lineRule="auto"/>
        <w:jc w:val="both"/>
        <w:rPr>
          <w:rFonts w:ascii="Palatino Linotype" w:hAnsi="Palatino Linotype" w:cs="Arial"/>
          <w:b/>
          <w:sz w:val="28"/>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4F7735C0"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lastRenderedPageBreak/>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134DCA">
        <w:rPr>
          <w:rFonts w:ascii="Palatino Linotype" w:hAnsi="Palatino Linotype" w:cs="Arial"/>
        </w:rPr>
        <w:t>treinta y uno</w:t>
      </w:r>
      <w:r w:rsidR="001B0A88">
        <w:rPr>
          <w:rFonts w:ascii="Palatino Linotype" w:hAnsi="Palatino Linotype" w:cs="Arial"/>
        </w:rPr>
        <w:t xml:space="preserve"> de enero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2AFC91AB" w14:textId="77777777" w:rsidR="00134DCA" w:rsidRPr="00134DCA" w:rsidRDefault="008D6D96" w:rsidP="00134DCA">
      <w:pPr>
        <w:ind w:left="851" w:right="851"/>
        <w:jc w:val="right"/>
        <w:rPr>
          <w:rFonts w:ascii="Palatino Linotype" w:hAnsi="Palatino Linotype" w:cs="Arial"/>
          <w:i/>
        </w:rPr>
      </w:pPr>
      <w:r w:rsidRPr="006E2D8D">
        <w:rPr>
          <w:rFonts w:ascii="Palatino Linotype" w:hAnsi="Palatino Linotype" w:cs="Arial"/>
          <w:i/>
        </w:rPr>
        <w:t xml:space="preserve"> “</w:t>
      </w:r>
      <w:r w:rsidR="00134DCA" w:rsidRPr="00134DCA">
        <w:rPr>
          <w:rFonts w:ascii="Palatino Linotype" w:hAnsi="Palatino Linotype" w:cs="Arial"/>
          <w:i/>
        </w:rPr>
        <w:t xml:space="preserve">Folio de la solicitud: </w:t>
      </w:r>
      <w:r w:rsidR="00134DCA" w:rsidRPr="00134DCA">
        <w:rPr>
          <w:rFonts w:ascii="Palatino Linotype" w:hAnsi="Palatino Linotype" w:cs="Arial"/>
          <w:b/>
          <w:bCs/>
          <w:i/>
          <w:u w:val="single"/>
        </w:rPr>
        <w:t>00003/NEZA/IP/2022</w:t>
      </w:r>
    </w:p>
    <w:p w14:paraId="3B2D06C2" w14:textId="77777777" w:rsidR="00134DCA" w:rsidRDefault="00134DCA" w:rsidP="00134DCA">
      <w:pPr>
        <w:ind w:left="851" w:right="851"/>
        <w:jc w:val="both"/>
        <w:rPr>
          <w:rFonts w:ascii="Palatino Linotype" w:hAnsi="Palatino Linotype" w:cs="Arial"/>
          <w:i/>
        </w:rPr>
      </w:pPr>
    </w:p>
    <w:p w14:paraId="366D1222" w14:textId="313436F4" w:rsidR="00134DCA" w:rsidRPr="00134DCA" w:rsidRDefault="00134DCA" w:rsidP="00134DCA">
      <w:pPr>
        <w:ind w:left="851" w:right="851"/>
        <w:jc w:val="both"/>
        <w:rPr>
          <w:rFonts w:ascii="Palatino Linotype" w:hAnsi="Palatino Linotype" w:cs="Arial"/>
          <w:i/>
        </w:rPr>
      </w:pPr>
      <w:r w:rsidRPr="00134DC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E480F6" w14:textId="77777777" w:rsidR="00134DCA" w:rsidRDefault="00134DCA" w:rsidP="00134DCA">
      <w:pPr>
        <w:ind w:left="851" w:right="851"/>
        <w:jc w:val="both"/>
        <w:rPr>
          <w:rFonts w:ascii="Palatino Linotype" w:hAnsi="Palatino Linotype" w:cs="Arial"/>
          <w:i/>
        </w:rPr>
      </w:pPr>
    </w:p>
    <w:p w14:paraId="4AEE5EA1" w14:textId="1B62219F" w:rsidR="00134DCA" w:rsidRDefault="00134DCA" w:rsidP="00ED72E2">
      <w:pPr>
        <w:ind w:left="851" w:right="851"/>
        <w:jc w:val="both"/>
        <w:rPr>
          <w:rFonts w:ascii="Palatino Linotype" w:hAnsi="Palatino Linotype" w:cs="Arial"/>
          <w:i/>
        </w:rPr>
      </w:pPr>
      <w:r w:rsidRPr="00134DCA">
        <w:rPr>
          <w:rFonts w:ascii="Palatino Linotype" w:hAnsi="Palatino Linotype" w:cs="Arial"/>
          <w:i/>
        </w:rPr>
        <w:t>me permito remitir a usted, las respuestas generadas bajo su más estricta responsabilidad por los Servidores Públicos Habilitados de Desarrollo Urbano, mediante el oficio DDU/0019/2022, Dirección de Fomento Económico mediante el oficio DFE/DGG-0018/2022, mismos que se anexan a la presente</w:t>
      </w:r>
    </w:p>
    <w:p w14:paraId="465EC46B" w14:textId="22344957" w:rsidR="00134DCA" w:rsidRPr="00134DCA" w:rsidRDefault="00134DCA" w:rsidP="00134DCA">
      <w:pPr>
        <w:ind w:left="851" w:right="851"/>
        <w:jc w:val="both"/>
        <w:rPr>
          <w:rFonts w:ascii="Palatino Linotype" w:hAnsi="Palatino Linotype" w:cs="Arial"/>
          <w:i/>
        </w:rPr>
      </w:pPr>
      <w:r w:rsidRPr="00134DCA">
        <w:rPr>
          <w:rFonts w:ascii="Palatino Linotype" w:hAnsi="Palatino Linotype" w:cs="Arial"/>
          <w:i/>
        </w:rPr>
        <w:t>ATENTAMENTE</w:t>
      </w:r>
    </w:p>
    <w:p w14:paraId="37226462" w14:textId="3CA21609" w:rsidR="008D6D96" w:rsidRDefault="00134DCA" w:rsidP="00134DCA">
      <w:pPr>
        <w:ind w:left="851" w:right="851"/>
        <w:jc w:val="both"/>
        <w:rPr>
          <w:rFonts w:ascii="Palatino Linotype" w:hAnsi="Palatino Linotype" w:cs="Arial"/>
          <w:i/>
        </w:rPr>
      </w:pPr>
      <w:r w:rsidRPr="00134DCA">
        <w:rPr>
          <w:rFonts w:ascii="Palatino Linotype" w:hAnsi="Palatino Linotype" w:cs="Arial"/>
          <w:i/>
        </w:rPr>
        <w:t>C. MARIA GUADALUPE PÉREZ HERNÁNDEZ</w:t>
      </w:r>
      <w:r w:rsidR="008D6D96" w:rsidRPr="006E2D8D">
        <w:rPr>
          <w:rFonts w:ascii="Palatino Linotype" w:hAnsi="Palatino Linotype" w:cs="Arial"/>
          <w:i/>
        </w:rPr>
        <w:t>”</w:t>
      </w:r>
    </w:p>
    <w:p w14:paraId="3D71D1C1" w14:textId="77777777" w:rsidR="008D6D96" w:rsidRPr="002246A2" w:rsidRDefault="008D6D96" w:rsidP="009A00AB">
      <w:pPr>
        <w:ind w:left="851" w:right="851"/>
        <w:jc w:val="both"/>
        <w:rPr>
          <w:rFonts w:ascii="Palatino Linotype" w:hAnsi="Palatino Linotype" w:cs="Arial"/>
          <w:i/>
        </w:rPr>
      </w:pPr>
    </w:p>
    <w:p w14:paraId="52889DE6" w14:textId="2D0E459F" w:rsidR="008D6D96" w:rsidRDefault="009F3DA1" w:rsidP="008D6D96">
      <w:pPr>
        <w:spacing w:before="240" w:line="360" w:lineRule="auto"/>
        <w:jc w:val="both"/>
        <w:rPr>
          <w:rFonts w:ascii="Palatino Linotype" w:hAnsi="Palatino Linotype"/>
          <w:color w:val="000000"/>
        </w:rPr>
      </w:pPr>
      <w:r>
        <w:rPr>
          <w:rFonts w:ascii="Palatino Linotype" w:hAnsi="Palatino Linotype"/>
          <w:color w:val="000000"/>
        </w:rPr>
        <w:t>P</w:t>
      </w:r>
      <w:r w:rsidR="008D6D96">
        <w:rPr>
          <w:rFonts w:ascii="Palatino Linotype" w:hAnsi="Palatino Linotype"/>
          <w:color w:val="000000"/>
        </w:rPr>
        <w:t>ara tal efecto</w:t>
      </w:r>
      <w:r>
        <w:rPr>
          <w:rFonts w:ascii="Palatino Linotype" w:hAnsi="Palatino Linotype"/>
          <w:color w:val="000000"/>
        </w:rPr>
        <w:t>, el Sujeto Obligado adjuntó</w:t>
      </w:r>
      <w:r w:rsidR="008D6D96">
        <w:rPr>
          <w:rFonts w:ascii="Palatino Linotype" w:hAnsi="Palatino Linotype"/>
          <w:color w:val="000000"/>
        </w:rPr>
        <w:t xml:space="preserve"> </w:t>
      </w:r>
      <w:r w:rsidR="00134DCA">
        <w:rPr>
          <w:rFonts w:ascii="Palatino Linotype" w:hAnsi="Palatino Linotype"/>
          <w:color w:val="000000"/>
        </w:rPr>
        <w:t>los</w:t>
      </w:r>
      <w:r w:rsidR="008D6D96">
        <w:rPr>
          <w:rFonts w:ascii="Palatino Linotype" w:hAnsi="Palatino Linotype"/>
          <w:color w:val="000000"/>
        </w:rPr>
        <w:t xml:space="preserve"> archivo</w:t>
      </w:r>
      <w:r w:rsidR="00134DCA">
        <w:rPr>
          <w:rFonts w:ascii="Palatino Linotype" w:hAnsi="Palatino Linotype"/>
          <w:color w:val="000000"/>
        </w:rPr>
        <w:t>s</w:t>
      </w:r>
      <w:r w:rsidR="008D6D96">
        <w:rPr>
          <w:rFonts w:ascii="Palatino Linotype" w:hAnsi="Palatino Linotype"/>
          <w:color w:val="000000"/>
        </w:rPr>
        <w:t xml:space="preserve"> electrónico</w:t>
      </w:r>
      <w:r w:rsidR="00134DCA">
        <w:rPr>
          <w:rFonts w:ascii="Palatino Linotype" w:hAnsi="Palatino Linotype"/>
          <w:color w:val="000000"/>
        </w:rPr>
        <w:t>s</w:t>
      </w:r>
      <w:r w:rsidR="001B0A88">
        <w:rPr>
          <w:rFonts w:ascii="Palatino Linotype" w:hAnsi="Palatino Linotype"/>
          <w:color w:val="000000"/>
        </w:rPr>
        <w:t xml:space="preserve"> denominado</w:t>
      </w:r>
      <w:r w:rsidR="00134DCA">
        <w:rPr>
          <w:rFonts w:ascii="Palatino Linotype" w:hAnsi="Palatino Linotype"/>
          <w:color w:val="000000"/>
        </w:rPr>
        <w:t>s</w:t>
      </w:r>
      <w:r w:rsidR="008D6D96" w:rsidRPr="00F670C8">
        <w:rPr>
          <w:rFonts w:ascii="Palatino Linotype" w:hAnsi="Palatino Linotype"/>
          <w:color w:val="000000"/>
        </w:rPr>
        <w:t xml:space="preserve"> “</w:t>
      </w:r>
      <w:r w:rsidR="00134DCA" w:rsidRPr="00134DCA">
        <w:rPr>
          <w:rFonts w:ascii="Palatino Linotype" w:hAnsi="Palatino Linotype"/>
          <w:b/>
          <w:color w:val="000000"/>
        </w:rPr>
        <w:t>ACTA-04-2022.pdf</w:t>
      </w:r>
      <w:r w:rsidR="008D6D96">
        <w:rPr>
          <w:rFonts w:ascii="Palatino Linotype" w:hAnsi="Palatino Linotype"/>
          <w:color w:val="000000"/>
        </w:rPr>
        <w:t>”</w:t>
      </w:r>
      <w:r w:rsidR="00134DCA">
        <w:rPr>
          <w:rFonts w:ascii="Palatino Linotype" w:hAnsi="Palatino Linotype"/>
          <w:color w:val="000000"/>
        </w:rPr>
        <w:t xml:space="preserve"> y “</w:t>
      </w:r>
      <w:r w:rsidR="00134DCA" w:rsidRPr="00134DCA">
        <w:rPr>
          <w:rFonts w:ascii="Palatino Linotype" w:hAnsi="Palatino Linotype"/>
          <w:b/>
          <w:bCs/>
          <w:color w:val="000000"/>
        </w:rPr>
        <w:t>03-2022.pdf</w:t>
      </w:r>
      <w:r w:rsidR="00134DCA">
        <w:rPr>
          <w:rFonts w:ascii="Palatino Linotype" w:hAnsi="Palatino Linotype"/>
          <w:color w:val="000000"/>
        </w:rPr>
        <w:t>”</w:t>
      </w:r>
      <w:r w:rsidR="008D6D96">
        <w:rPr>
          <w:rFonts w:ascii="Palatino Linotype" w:hAnsi="Palatino Linotype"/>
          <w:color w:val="000000"/>
        </w:rPr>
        <w:t xml:space="preserve">; </w:t>
      </w:r>
      <w:r w:rsidR="001B0A88">
        <w:rPr>
          <w:rFonts w:ascii="Palatino Linotype" w:hAnsi="Palatino Linotype"/>
          <w:color w:val="000000"/>
        </w:rPr>
        <w:t>mismo</w:t>
      </w:r>
      <w:r w:rsidR="00ED72E2">
        <w:rPr>
          <w:rFonts w:ascii="Palatino Linotype" w:hAnsi="Palatino Linotype"/>
          <w:color w:val="000000"/>
        </w:rPr>
        <w:t>s</w:t>
      </w:r>
      <w:r w:rsidR="001B0A88">
        <w:rPr>
          <w:rFonts w:ascii="Palatino Linotype" w:hAnsi="Palatino Linotype"/>
          <w:color w:val="000000"/>
        </w:rPr>
        <w:t xml:space="preserve"> que</w:t>
      </w:r>
      <w:r w:rsidR="008D6D96">
        <w:rPr>
          <w:rFonts w:ascii="Palatino Linotype" w:hAnsi="Palatino Linotype"/>
          <w:color w:val="000000"/>
        </w:rPr>
        <w:t xml:space="preserve"> no se inserta</w:t>
      </w:r>
      <w:r w:rsidR="00ED72E2">
        <w:rPr>
          <w:rFonts w:ascii="Palatino Linotype" w:hAnsi="Palatino Linotype"/>
          <w:color w:val="000000"/>
        </w:rPr>
        <w:t>n</w:t>
      </w:r>
      <w:r w:rsidR="008D6D96">
        <w:rPr>
          <w:rFonts w:ascii="Palatino Linotype" w:hAnsi="Palatino Linotype"/>
          <w:color w:val="000000"/>
        </w:rPr>
        <w:t xml:space="preserve"> en el presente apartado</w:t>
      </w:r>
      <w:r w:rsidR="008D6D96" w:rsidRPr="00F670C8">
        <w:rPr>
          <w:rFonts w:ascii="Palatino Linotype" w:hAnsi="Palatino Linotype"/>
          <w:color w:val="000000"/>
        </w:rPr>
        <w:t xml:space="preserve"> por ser del conocimiento de las partes, </w:t>
      </w:r>
      <w:r w:rsidR="008D6D96">
        <w:rPr>
          <w:rFonts w:ascii="Palatino Linotype" w:hAnsi="Palatino Linotype"/>
          <w:color w:val="000000"/>
        </w:rPr>
        <w:t xml:space="preserve">sin </w:t>
      </w:r>
      <w:r w:rsidR="00BE3B14">
        <w:rPr>
          <w:rFonts w:ascii="Palatino Linotype" w:hAnsi="Palatino Linotype"/>
          <w:color w:val="000000"/>
        </w:rPr>
        <w:t>embargo,</w:t>
      </w:r>
      <w:r w:rsidR="008D6D96" w:rsidRPr="00F670C8">
        <w:rPr>
          <w:rFonts w:ascii="Palatino Linotype" w:hAnsi="Palatino Linotype"/>
          <w:color w:val="000000"/>
        </w:rPr>
        <w:t xml:space="preserve"> habrá de hacerse el análisis y estudio correspondiente en párrafos posteriores.</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67104689"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ED72E2">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ED72E2">
        <w:rPr>
          <w:rFonts w:ascii="Palatino Linotype" w:hAnsi="Palatino Linotype" w:cs="Arial"/>
        </w:rPr>
        <w:t>treinta y uno</w:t>
      </w:r>
      <w:r w:rsidR="001B0A88">
        <w:rPr>
          <w:rFonts w:ascii="Palatino Linotype" w:hAnsi="Palatino Linotype" w:cs="Arial"/>
        </w:rPr>
        <w:t xml:space="preserve"> de enero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lastRenderedPageBreak/>
        <w:t>en el sistema electrónico con el expediente número</w:t>
      </w:r>
      <w:r w:rsidR="00ED72E2" w:rsidRPr="00ED72E2">
        <w:t xml:space="preserve"> </w:t>
      </w:r>
      <w:r w:rsidR="00ED72E2" w:rsidRPr="00ED72E2">
        <w:rPr>
          <w:rFonts w:ascii="Palatino Linotype" w:hAnsi="Palatino Linotype" w:cs="Arial"/>
          <w:b/>
          <w:bCs/>
          <w:lang w:eastAsia="es-MX"/>
        </w:rPr>
        <w:t>00425/INFOEM/IP/RR/2022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5C188366"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ED72E2" w:rsidRPr="00ED72E2">
        <w:rPr>
          <w:rFonts w:ascii="Palatino Linotype" w:hAnsi="Palatino Linotype" w:cs="Arial"/>
          <w:i/>
        </w:rPr>
        <w:t>La respuesta incompleta del sujeto obligado.</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w:t>
      </w:r>
      <w:proofErr w:type="gramStart"/>
      <w:r w:rsidR="00D34057" w:rsidRPr="00B21190">
        <w:rPr>
          <w:rFonts w:ascii="Palatino Linotype" w:hAnsi="Palatino Linotype" w:cs="Arial"/>
          <w:i/>
        </w:rPr>
        <w:t>sic</w:t>
      </w:r>
      <w:proofErr w:type="gramEnd"/>
      <w:r w:rsidR="00D34057" w:rsidRPr="00B21190">
        <w:rPr>
          <w:rFonts w:ascii="Palatino Linotype" w:hAnsi="Palatino Linotype" w:cs="Arial"/>
          <w:i/>
        </w:rPr>
        <w:t>]</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53B4F87D"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ED72E2" w:rsidRPr="00ED72E2">
        <w:rPr>
          <w:rFonts w:ascii="Palatino Linotype" w:hAnsi="Palatino Linotype" w:cs="Arial"/>
          <w:i/>
        </w:rPr>
        <w:t xml:space="preserve">Solicité lo siguiente: 1.- Constancia de uso de suelo. 2.- Licencia de funcionamiento. 3.- Permiso de la autoridad sanitaria que permita al establecimiento el recibir aves vivas, sacrificarlas y procesarlas para su venta al mayoreo. 4.- Comprobantes con los cuales se acredite que se encuentra al corriente en el pago de sus impuestos locales, agua, predio, luz eléctrica. 5.- Permiso de construcción y autorización que le permita construir 3 niveles. </w:t>
      </w:r>
      <w:r w:rsidR="00ED72E2" w:rsidRPr="00ED72E2">
        <w:rPr>
          <w:rFonts w:ascii="Palatino Linotype" w:hAnsi="Palatino Linotype" w:cs="Arial"/>
          <w:b/>
          <w:bCs/>
          <w:i/>
        </w:rPr>
        <w:t>Y solo me entregaron la Licencia Municipal de Uso de Suelo</w:t>
      </w:r>
      <w:r w:rsidR="00ED72E2" w:rsidRPr="00ED72E2">
        <w:rPr>
          <w:rFonts w:ascii="Palatino Linotype" w:hAnsi="Palatino Linotype" w:cs="Arial"/>
          <w:i/>
        </w:rPr>
        <w:t xml:space="preserve"> que, por cierto, fue expedida solo para expendio de pollo cuando en realidad diariamente desde las 3 am reciben el pollo vivo para sacrificarlo, procesarlo, distribuirlo y venderlo.</w:t>
      </w:r>
      <w:r w:rsidR="00D34057" w:rsidRPr="00B21190">
        <w:rPr>
          <w:rFonts w:ascii="Palatino Linotype" w:hAnsi="Palatino Linotype" w:cs="Arial"/>
          <w:i/>
        </w:rPr>
        <w:t>” [</w:t>
      </w:r>
      <w:proofErr w:type="gramStart"/>
      <w:r w:rsidR="00D34057" w:rsidRPr="00B21190">
        <w:rPr>
          <w:rFonts w:ascii="Palatino Linotype" w:hAnsi="Palatino Linotype" w:cs="Arial"/>
          <w:i/>
        </w:rPr>
        <w:t>sic</w:t>
      </w:r>
      <w:proofErr w:type="gramEnd"/>
      <w:r w:rsidR="00D34057" w:rsidRPr="00B21190">
        <w:rPr>
          <w:rFonts w:ascii="Palatino Linotype" w:hAnsi="Palatino Linotype" w:cs="Arial"/>
          <w:i/>
        </w:rPr>
        <w:t>]</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0A61B1E4" w14:textId="296CE766" w:rsidR="001B0A88" w:rsidRPr="001B0A88" w:rsidRDefault="001B0A88" w:rsidP="001B0A88">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5620B">
        <w:rPr>
          <w:rFonts w:ascii="Palatino Linotype" w:eastAsiaTheme="minorHAnsi" w:hAnsi="Palatino Linotype" w:cs="Arial"/>
        </w:rPr>
        <w:t>cuatro</w:t>
      </w:r>
      <w:r>
        <w:rPr>
          <w:rFonts w:ascii="Palatino Linotype" w:eastAsiaTheme="minorHAnsi" w:hAnsi="Palatino Linotype" w:cs="Arial"/>
          <w:lang w:val="es-MX" w:eastAsia="en-US"/>
        </w:rPr>
        <w:t xml:space="preserve"> de febrero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rPr>
      </w:pPr>
    </w:p>
    <w:p w14:paraId="250281DA" w14:textId="77777777" w:rsidR="009F3DA1" w:rsidRDefault="009F3DA1" w:rsidP="003D0754">
      <w:pPr>
        <w:spacing w:line="360" w:lineRule="auto"/>
        <w:jc w:val="both"/>
        <w:rPr>
          <w:rFonts w:ascii="Palatino Linotype" w:hAnsi="Palatino Linotype" w:cs="Arial"/>
          <w:b/>
          <w:sz w:val="28"/>
        </w:rPr>
      </w:pPr>
    </w:p>
    <w:p w14:paraId="5EAFFCCF" w14:textId="77777777" w:rsidR="009F3DA1" w:rsidRDefault="009F3DA1" w:rsidP="003D0754">
      <w:pPr>
        <w:spacing w:line="360" w:lineRule="auto"/>
        <w:jc w:val="both"/>
        <w:rPr>
          <w:rFonts w:ascii="Palatino Linotype" w:hAnsi="Palatino Linotype" w:cs="Arial"/>
          <w:b/>
          <w:sz w:val="28"/>
        </w:rPr>
      </w:pPr>
    </w:p>
    <w:p w14:paraId="51BD16D2" w14:textId="6C3C41AA"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lastRenderedPageBreak/>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3DC4A912" w14:textId="48DA2C8F" w:rsidR="00D10308" w:rsidRPr="00D10308" w:rsidRDefault="00F60ECB" w:rsidP="00D10308">
      <w:pPr>
        <w:spacing w:line="360" w:lineRule="auto"/>
        <w:jc w:val="both"/>
        <w:rPr>
          <w:rFonts w:ascii="Palatino Linotype" w:hAnsi="Palatino Linotype"/>
          <w:lang w:val="es-MX"/>
        </w:rPr>
      </w:pPr>
      <w:r w:rsidRPr="00F60ECB">
        <w:rPr>
          <w:rFonts w:ascii="Palatino Linotype" w:hAnsi="Palatino Linotype" w:cs="Arial"/>
        </w:rPr>
        <w:t xml:space="preserve">Así, una vez abierta la etapa de instrucción, en el sumario se observa que El Sujeto Obligado en </w:t>
      </w:r>
      <w:r>
        <w:rPr>
          <w:rFonts w:ascii="Palatino Linotype" w:hAnsi="Palatino Linotype" w:cs="Arial"/>
        </w:rPr>
        <w:t>fecha catorce de febrero de dos mil veintidós</w:t>
      </w:r>
      <w:r w:rsidRPr="00F60ECB">
        <w:rPr>
          <w:rFonts w:ascii="Palatino Linotype" w:hAnsi="Palatino Linotype" w:cs="Arial"/>
        </w:rPr>
        <w:t xml:space="preserve">, presentó su informe justificado, </w:t>
      </w:r>
      <w:bookmarkStart w:id="0" w:name="_Hlk96701949"/>
      <w:r w:rsidRPr="00F60ECB">
        <w:rPr>
          <w:rFonts w:ascii="Palatino Linotype" w:hAnsi="Palatino Linotype" w:cs="Arial"/>
        </w:rPr>
        <w:t>dicho Informe presenta datos que pueden considerarse</w:t>
      </w:r>
      <w:r w:rsidR="00D10F02">
        <w:rPr>
          <w:rFonts w:ascii="Palatino Linotype" w:hAnsi="Palatino Linotype" w:cs="Arial"/>
        </w:rPr>
        <w:t xml:space="preserve"> como información</w:t>
      </w:r>
      <w:r w:rsidRPr="00F60ECB">
        <w:rPr>
          <w:rFonts w:ascii="Palatino Linotype" w:hAnsi="Palatino Linotype" w:cs="Arial"/>
        </w:rPr>
        <w:t xml:space="preserve"> confidencial, por lo que </w:t>
      </w:r>
      <w:r w:rsidR="00D10F02">
        <w:rPr>
          <w:rFonts w:ascii="Palatino Linotype" w:hAnsi="Palatino Linotype" w:cs="Arial"/>
        </w:rPr>
        <w:t>no fue puesto</w:t>
      </w:r>
      <w:r w:rsidRPr="00F60ECB">
        <w:rPr>
          <w:rFonts w:ascii="Palatino Linotype" w:hAnsi="Palatino Linotype" w:cs="Arial"/>
        </w:rPr>
        <w:t xml:space="preserve"> a la vista del Recurrente</w:t>
      </w:r>
      <w:bookmarkEnd w:id="0"/>
      <w:r w:rsidRPr="00F60ECB">
        <w:rPr>
          <w:rFonts w:ascii="Palatino Linotype" w:hAnsi="Palatino Linotype" w:cs="Arial"/>
        </w:rPr>
        <w:t xml:space="preserve">; asimismo, se hace constar que el Recurrente fue omiso en presentar sus </w:t>
      </w:r>
      <w:r w:rsidR="00D10F02">
        <w:rPr>
          <w:rFonts w:ascii="Palatino Linotype" w:hAnsi="Palatino Linotype" w:cs="Arial"/>
        </w:rPr>
        <w:t>manifestación alguna</w:t>
      </w:r>
      <w:r w:rsidRPr="00F60ECB">
        <w:rPr>
          <w:rFonts w:ascii="Palatino Linotype" w:hAnsi="Palatino Linotype" w:cs="Arial"/>
        </w:rPr>
        <w:t>, finalmente se advierte de las constancias que integran el presente expediente, que no existe prueba alguna que deba desahogarse.</w:t>
      </w:r>
    </w:p>
    <w:p w14:paraId="58524DA0" w14:textId="77777777" w:rsidR="00D27E5B" w:rsidRPr="00D27E5B" w:rsidRDefault="00D27E5B"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4829EBA7" w:rsidR="00D27E5B" w:rsidRDefault="009F3DA1" w:rsidP="00D27E5B">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7E47E1">
        <w:rPr>
          <w:rFonts w:ascii="Palatino Linotype" w:hAnsi="Palatino Linotype"/>
        </w:rPr>
        <w:t>ocho de marzo</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00759824" w14:textId="77777777" w:rsidR="00D27E5B" w:rsidRPr="00D27E5B" w:rsidRDefault="00D27E5B" w:rsidP="00D27E5B">
      <w:pPr>
        <w:spacing w:line="360" w:lineRule="auto"/>
        <w:jc w:val="both"/>
        <w:rPr>
          <w:rFonts w:ascii="Palatino Linotype" w:hAnsi="Palatino Linotype"/>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1293976A" w14:textId="60243093" w:rsidR="00E41748" w:rsidRPr="001B0A88" w:rsidRDefault="001B0A88" w:rsidP="001B0A88">
      <w:pPr>
        <w:spacing w:line="360" w:lineRule="auto"/>
        <w:jc w:val="both"/>
        <w:rPr>
          <w:rFonts w:ascii="Palatino Linotype" w:hAnsi="Palatino Linotype"/>
          <w:lang w:val="es-MX"/>
        </w:rPr>
      </w:pPr>
      <w:r w:rsidRPr="001B0A88">
        <w:rPr>
          <w:rFonts w:ascii="Palatino Linotype" w:hAnsi="Palatino Linotype"/>
          <w:lang w:val="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w:t>
      </w:r>
      <w:r w:rsidRPr="001B0A88">
        <w:rPr>
          <w:rFonts w:ascii="Palatino Linotype" w:hAnsi="Palatino Linotype"/>
          <w:lang w:val="es-MX"/>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06149A">
        <w:rPr>
          <w:rFonts w:ascii="Palatino Linotype" w:hAnsi="Palatino Linotype" w:cs="Arial"/>
        </w:rPr>
        <w:lastRenderedPageBreak/>
        <w:t>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line="360" w:lineRule="auto"/>
        <w:jc w:val="both"/>
        <w:rPr>
          <w:rFonts w:ascii="Palatino Linotype" w:hAnsi="Palatino Linotype" w:cs="Arial"/>
        </w:rPr>
      </w:pPr>
    </w:p>
    <w:p w14:paraId="27CCD24B" w14:textId="68CE594A" w:rsidR="009D7D7B" w:rsidRPr="00B21190" w:rsidRDefault="009D7D7B" w:rsidP="009D7D7B">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B21190">
        <w:rPr>
          <w:rFonts w:ascii="Palatino Linotype" w:hAnsi="Palatino Linotype" w:cs="Arial"/>
        </w:rPr>
        <w:lastRenderedPageBreak/>
        <w:t>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37FA03D9"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w:t>
      </w:r>
      <w:r w:rsidR="00C526F3">
        <w:rPr>
          <w:rFonts w:ascii="Palatino Linotype" w:hAnsi="Palatino Linotype" w:cs="Arial"/>
        </w:rPr>
        <w:t>el</w:t>
      </w:r>
      <w:r w:rsidRPr="00847043">
        <w:rPr>
          <w:rFonts w:ascii="Palatino Linotype" w:hAnsi="Palatino Linotype" w:cs="Arial"/>
        </w:rPr>
        <w:t xml:space="preserve">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37430537" w:rsidR="00847043" w:rsidRPr="00847043" w:rsidRDefault="00A74EA8" w:rsidP="00847043">
      <w:pPr>
        <w:tabs>
          <w:tab w:val="left" w:pos="709"/>
        </w:tabs>
        <w:ind w:left="709" w:right="476"/>
        <w:jc w:val="both"/>
        <w:rPr>
          <w:rFonts w:ascii="Palatino Linotype" w:hAnsi="Palatino Linotype" w:cs="Arial"/>
          <w:i/>
          <w:lang w:eastAsia="es-MX"/>
        </w:rPr>
      </w:pPr>
      <w:r>
        <w:rPr>
          <w:rFonts w:ascii="Palatino Linotype" w:hAnsi="Palatino Linotype" w:cs="Arial"/>
          <w:i/>
          <w:lang w:eastAsia="es-MX"/>
        </w:rPr>
        <w:lastRenderedPageBreak/>
        <w:t>“</w:t>
      </w:r>
      <w:r w:rsidR="00256703" w:rsidRPr="00256703">
        <w:rPr>
          <w:rFonts w:ascii="Palatino Linotype" w:hAnsi="Palatino Linotype" w:cs="Arial"/>
          <w:i/>
          <w:lang w:eastAsia="es-MX"/>
        </w:rPr>
        <w:t xml:space="preserve">Respecto del establecimiento mercantil destinado a pollería ubicado en la calle </w:t>
      </w:r>
      <w:proofErr w:type="spellStart"/>
      <w:r w:rsidR="006C5F18">
        <w:rPr>
          <w:rFonts w:ascii="Palatino Linotype" w:hAnsi="Palatino Linotype" w:cs="Arial"/>
          <w:i/>
          <w:lang w:eastAsia="es-MX"/>
        </w:rPr>
        <w:t>xxxxxx</w:t>
      </w:r>
      <w:proofErr w:type="spellEnd"/>
      <w:r w:rsidR="00256703" w:rsidRPr="00256703">
        <w:rPr>
          <w:rFonts w:ascii="Palatino Linotype" w:hAnsi="Palatino Linotype" w:cs="Arial"/>
          <w:i/>
          <w:lang w:eastAsia="es-MX"/>
        </w:rPr>
        <w:t xml:space="preserve">, esquina con </w:t>
      </w:r>
      <w:proofErr w:type="spellStart"/>
      <w:r w:rsidR="006C5F18">
        <w:rPr>
          <w:rFonts w:ascii="Palatino Linotype" w:hAnsi="Palatino Linotype" w:cs="Arial"/>
          <w:i/>
          <w:lang w:eastAsia="es-MX"/>
        </w:rPr>
        <w:t>xxxxxxxxxxxxxxxxx</w:t>
      </w:r>
      <w:proofErr w:type="spellEnd"/>
      <w:r w:rsidR="00256703" w:rsidRPr="00256703">
        <w:rPr>
          <w:rFonts w:ascii="Palatino Linotype" w:hAnsi="Palatino Linotype" w:cs="Arial"/>
          <w:i/>
          <w:lang w:eastAsia="es-MX"/>
        </w:rPr>
        <w:t xml:space="preserve">, colonia </w:t>
      </w:r>
      <w:proofErr w:type="spellStart"/>
      <w:r w:rsidR="006C5F18">
        <w:rPr>
          <w:rFonts w:ascii="Palatino Linotype" w:hAnsi="Palatino Linotype" w:cs="Arial"/>
          <w:i/>
          <w:lang w:eastAsia="es-MX"/>
        </w:rPr>
        <w:t>xxxxxxxxxxxxxx</w:t>
      </w:r>
      <w:proofErr w:type="spellEnd"/>
      <w:r w:rsidR="00256703" w:rsidRPr="00256703">
        <w:rPr>
          <w:rFonts w:ascii="Palatino Linotype" w:hAnsi="Palatino Linotype" w:cs="Arial"/>
          <w:i/>
          <w:lang w:eastAsia="es-MX"/>
        </w:rPr>
        <w:t xml:space="preserve">, C.P. </w:t>
      </w:r>
      <w:proofErr w:type="spellStart"/>
      <w:r w:rsidR="006C5F18">
        <w:rPr>
          <w:rFonts w:ascii="Palatino Linotype" w:hAnsi="Palatino Linotype" w:cs="Arial"/>
          <w:i/>
          <w:lang w:eastAsia="es-MX"/>
        </w:rPr>
        <w:t>xxxxx</w:t>
      </w:r>
      <w:proofErr w:type="spellEnd"/>
      <w:r w:rsidR="00256703" w:rsidRPr="00256703">
        <w:rPr>
          <w:rFonts w:ascii="Palatino Linotype" w:hAnsi="Palatino Linotype" w:cs="Arial"/>
          <w:i/>
          <w:lang w:eastAsia="es-MX"/>
        </w:rPr>
        <w:t xml:space="preserve">, del Municipio de Nezahualcóyotl, estado de México, requiero todo el soporte documental que acredite lo siguiente: 1.- Constancia de uso de suelo. 2.- Licencia de funcionamiento. 3.- Permiso de la autoridad sanitaria que permita al establecimiento el recibir aves vivas, sacrificarlas y procesarlas para su venta al mayoreo. 4.- Comprobantes con los cuales se acredite que se encuentra al corriente en el pago de sus impuestos locales, agua, predio, luz eléctrica. 5.- Permiso de construcción y autorización que le permita construir 3 niveles. Aclaro que esta información la solicité en el año 2020 (solicitud 00400/NEZA/IP/2020) y también en este año 2021 (Solicitud 00459/NEZA/IP/2021) en donde me indican que NO existe esa información y por tal motivo clausuraron la pollería y me entregaron copia del procedimiento (Anexo 1) A pesar de lo sellos de clausura el establecimiento siguió funcionando y despachando en la acera de enfrente; pero hace unos días, coincidentemente con la llegada del nuevo Presidente Municipal, en la pollería retiraron los sellos de clausura y despachan con normalidad (Fotos en anexo 2), lo que me hace pensar que ya están regularizados y que, en consecuencia, ya tienen los documentos que ahora solicito. Ahora bien, si no hay autorización y retiraron los sellos de manera indebida, este hecho es un delito que persigue de oficio y si la autoridad responsable de verificar no hace lo que le corresponde en el ámbito de sus atribuciones, puede ser partícipe de dicho delito. </w:t>
      </w:r>
      <w:r w:rsidR="00847043" w:rsidRPr="00847043">
        <w:rPr>
          <w:rFonts w:ascii="Palatino Linotype" w:hAnsi="Palatino Linotype" w:cs="Arial"/>
          <w:i/>
          <w:lang w:eastAsia="es-MX"/>
        </w:rPr>
        <w:t>“(sic)</w:t>
      </w:r>
    </w:p>
    <w:p w14:paraId="53638A77" w14:textId="77777777" w:rsidR="00847043" w:rsidRDefault="00847043" w:rsidP="00B12105">
      <w:pPr>
        <w:spacing w:line="360" w:lineRule="auto"/>
        <w:jc w:val="both"/>
        <w:rPr>
          <w:rFonts w:ascii="Palatino Linotype" w:hAnsi="Palatino Linotype" w:cs="Arial"/>
        </w:rPr>
      </w:pPr>
    </w:p>
    <w:p w14:paraId="55DEB2AB" w14:textId="53B198E9" w:rsidR="009232E7" w:rsidRDefault="009232E7" w:rsidP="009232E7">
      <w:pPr>
        <w:spacing w:after="240" w:line="360" w:lineRule="auto"/>
        <w:jc w:val="both"/>
        <w:rPr>
          <w:rFonts w:ascii="Palatino Linotype" w:hAnsi="Palatino Linotype"/>
        </w:rPr>
      </w:pPr>
      <w:r>
        <w:rPr>
          <w:rFonts w:ascii="Palatino Linotype" w:hAnsi="Palatino Linotype"/>
        </w:rPr>
        <w:t>Una vez analizada la solicitud de información</w:t>
      </w:r>
      <w:r w:rsidRPr="00E152F9">
        <w:rPr>
          <w:rFonts w:ascii="Palatino Linotype" w:hAnsi="Palatino Linotype"/>
        </w:rPr>
        <w:t xml:space="preserve">, podemos determinar que objetivamente el </w:t>
      </w:r>
      <w:r>
        <w:rPr>
          <w:rFonts w:ascii="Palatino Linotype" w:hAnsi="Palatino Linotype"/>
        </w:rPr>
        <w:t>R</w:t>
      </w:r>
      <w:r w:rsidRPr="00E152F9">
        <w:rPr>
          <w:rFonts w:ascii="Palatino Linotype" w:hAnsi="Palatino Linotype"/>
        </w:rPr>
        <w:t>ecurrente, peticiona</w:t>
      </w:r>
      <w:r w:rsidR="00760FCC">
        <w:rPr>
          <w:rFonts w:ascii="Palatino Linotype" w:hAnsi="Palatino Linotype"/>
        </w:rPr>
        <w:t>,</w:t>
      </w:r>
      <w:r w:rsidR="00256703">
        <w:rPr>
          <w:rFonts w:ascii="Palatino Linotype" w:hAnsi="Palatino Linotype"/>
        </w:rPr>
        <w:t xml:space="preserve"> respecto del predio referido en la solicitud de información con número de folio </w:t>
      </w:r>
      <w:r w:rsidR="00256703" w:rsidRPr="00256703">
        <w:rPr>
          <w:rFonts w:ascii="Palatino Linotype" w:hAnsi="Palatino Linotype"/>
        </w:rPr>
        <w:t>00003/NEZA/IP/2022</w:t>
      </w:r>
      <w:r w:rsidR="00256703">
        <w:rPr>
          <w:rFonts w:ascii="Palatino Linotype" w:hAnsi="Palatino Linotype"/>
        </w:rPr>
        <w:t>,</w:t>
      </w:r>
      <w:r w:rsidR="00760FCC">
        <w:rPr>
          <w:rFonts w:ascii="Palatino Linotype" w:hAnsi="Palatino Linotype"/>
        </w:rPr>
        <w:t xml:space="preserve"> el o los documentos en donde conste,</w:t>
      </w:r>
      <w:r w:rsidR="00293EFD">
        <w:rPr>
          <w:rFonts w:ascii="Palatino Linotype" w:hAnsi="Palatino Linotype"/>
        </w:rPr>
        <w:t xml:space="preserve"> </w:t>
      </w:r>
      <w:r>
        <w:rPr>
          <w:rFonts w:ascii="Palatino Linotype" w:hAnsi="Palatino Linotype"/>
        </w:rPr>
        <w:t>lo siguiente</w:t>
      </w:r>
      <w:r w:rsidRPr="00E152F9">
        <w:rPr>
          <w:rFonts w:ascii="Palatino Linotype" w:hAnsi="Palatino Linotype"/>
        </w:rPr>
        <w:t>:</w:t>
      </w:r>
    </w:p>
    <w:p w14:paraId="5B791C17" w14:textId="005A213D" w:rsidR="009232E7" w:rsidRPr="009B26E5" w:rsidRDefault="00F36BA8" w:rsidP="008F2868">
      <w:pPr>
        <w:pStyle w:val="Prrafodelista"/>
        <w:numPr>
          <w:ilvl w:val="0"/>
          <w:numId w:val="17"/>
        </w:numPr>
        <w:spacing w:line="360" w:lineRule="auto"/>
        <w:ind w:left="714" w:hanging="357"/>
        <w:jc w:val="both"/>
        <w:rPr>
          <w:rFonts w:ascii="Palatino Linotype" w:hAnsi="Palatino Linotype"/>
        </w:rPr>
      </w:pPr>
      <w:r w:rsidRPr="00F36BA8">
        <w:rPr>
          <w:rFonts w:ascii="Palatino Linotype" w:hAnsi="Palatino Linotype"/>
        </w:rPr>
        <w:t>Constancia de uso de suelo</w:t>
      </w:r>
      <w:r w:rsidR="009232E7" w:rsidRPr="009B26E5">
        <w:rPr>
          <w:rFonts w:ascii="Palatino Linotype" w:hAnsi="Palatino Linotype"/>
        </w:rPr>
        <w:t>.</w:t>
      </w:r>
    </w:p>
    <w:p w14:paraId="6DD93735" w14:textId="2F19DC55" w:rsidR="009232E7" w:rsidRPr="009B26E5" w:rsidRDefault="00F36BA8" w:rsidP="008F2868">
      <w:pPr>
        <w:pStyle w:val="Prrafodelista"/>
        <w:numPr>
          <w:ilvl w:val="0"/>
          <w:numId w:val="17"/>
        </w:numPr>
        <w:spacing w:line="360" w:lineRule="auto"/>
        <w:ind w:left="714" w:hanging="357"/>
        <w:jc w:val="both"/>
        <w:rPr>
          <w:rFonts w:ascii="Palatino Linotype" w:hAnsi="Palatino Linotype"/>
        </w:rPr>
      </w:pPr>
      <w:bookmarkStart w:id="1" w:name="_Hlk96702671"/>
      <w:r w:rsidRPr="00F36BA8">
        <w:rPr>
          <w:rFonts w:ascii="Palatino Linotype" w:hAnsi="Palatino Linotype"/>
        </w:rPr>
        <w:t>Licencia de funcionamiento</w:t>
      </w:r>
      <w:r w:rsidR="00793527" w:rsidRPr="009B26E5">
        <w:rPr>
          <w:rFonts w:ascii="Palatino Linotype" w:hAnsi="Palatino Linotype"/>
        </w:rPr>
        <w:t>.</w:t>
      </w:r>
    </w:p>
    <w:p w14:paraId="4BCB0604" w14:textId="3732283D" w:rsidR="009232E7" w:rsidRPr="009B26E5" w:rsidRDefault="00F36BA8" w:rsidP="008F2868">
      <w:pPr>
        <w:pStyle w:val="Prrafodelista"/>
        <w:numPr>
          <w:ilvl w:val="0"/>
          <w:numId w:val="17"/>
        </w:numPr>
        <w:spacing w:line="360" w:lineRule="auto"/>
        <w:ind w:left="714" w:hanging="357"/>
        <w:jc w:val="both"/>
        <w:rPr>
          <w:rFonts w:ascii="Palatino Linotype" w:hAnsi="Palatino Linotype"/>
        </w:rPr>
      </w:pPr>
      <w:r w:rsidRPr="00F36BA8">
        <w:rPr>
          <w:rFonts w:ascii="Palatino Linotype" w:hAnsi="Palatino Linotype"/>
        </w:rPr>
        <w:t>Permiso de la autoridad sanitaria que permita al establecimiento el recibir aves vivas, sacrificarlas y procesarlas para su venta al mayore</w:t>
      </w:r>
      <w:r>
        <w:rPr>
          <w:rFonts w:ascii="Palatino Linotype" w:hAnsi="Palatino Linotype"/>
        </w:rPr>
        <w:t>o</w:t>
      </w:r>
      <w:r w:rsidR="009232E7" w:rsidRPr="009B26E5">
        <w:rPr>
          <w:rFonts w:ascii="Palatino Linotype" w:hAnsi="Palatino Linotype"/>
        </w:rPr>
        <w:t xml:space="preserve">. </w:t>
      </w:r>
    </w:p>
    <w:p w14:paraId="3CF0BCA8" w14:textId="4602782E" w:rsidR="009A58C5" w:rsidRPr="009B26E5" w:rsidRDefault="00F36BA8"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C</w:t>
      </w:r>
      <w:r w:rsidRPr="00F36BA8">
        <w:rPr>
          <w:rFonts w:ascii="Palatino Linotype" w:hAnsi="Palatino Linotype"/>
        </w:rPr>
        <w:t xml:space="preserve">omprobantes </w:t>
      </w:r>
      <w:r>
        <w:rPr>
          <w:rFonts w:ascii="Palatino Linotype" w:hAnsi="Palatino Linotype"/>
        </w:rPr>
        <w:t>de</w:t>
      </w:r>
      <w:r w:rsidRPr="00F36BA8">
        <w:rPr>
          <w:rFonts w:ascii="Palatino Linotype" w:hAnsi="Palatino Linotype"/>
        </w:rPr>
        <w:t xml:space="preserve"> pago </w:t>
      </w:r>
      <w:r>
        <w:rPr>
          <w:rFonts w:ascii="Palatino Linotype" w:hAnsi="Palatino Linotype"/>
        </w:rPr>
        <w:t>de los servicios de</w:t>
      </w:r>
      <w:r w:rsidRPr="00F36BA8">
        <w:rPr>
          <w:rFonts w:ascii="Palatino Linotype" w:hAnsi="Palatino Linotype"/>
        </w:rPr>
        <w:t xml:space="preserve"> agua</w:t>
      </w:r>
      <w:r>
        <w:rPr>
          <w:rFonts w:ascii="Palatino Linotype" w:hAnsi="Palatino Linotype"/>
        </w:rPr>
        <w:t xml:space="preserve"> y</w:t>
      </w:r>
      <w:r w:rsidRPr="00F36BA8">
        <w:rPr>
          <w:rFonts w:ascii="Palatino Linotype" w:hAnsi="Palatino Linotype"/>
        </w:rPr>
        <w:t xml:space="preserve"> luz eléctrica</w:t>
      </w:r>
      <w:r w:rsidR="009A58C5" w:rsidRPr="009B26E5">
        <w:rPr>
          <w:rFonts w:ascii="Palatino Linotype" w:hAnsi="Palatino Linotype"/>
        </w:rPr>
        <w:t>.</w:t>
      </w:r>
    </w:p>
    <w:p w14:paraId="3948384D" w14:textId="66223526" w:rsidR="009A58C5" w:rsidRDefault="00F36BA8" w:rsidP="008F2868">
      <w:pPr>
        <w:pStyle w:val="Prrafodelista"/>
        <w:numPr>
          <w:ilvl w:val="0"/>
          <w:numId w:val="17"/>
        </w:numPr>
        <w:spacing w:line="360" w:lineRule="auto"/>
        <w:ind w:left="714" w:hanging="357"/>
        <w:jc w:val="both"/>
        <w:rPr>
          <w:rFonts w:ascii="Palatino Linotype" w:hAnsi="Palatino Linotype"/>
        </w:rPr>
      </w:pPr>
      <w:r w:rsidRPr="00F36BA8">
        <w:rPr>
          <w:rFonts w:ascii="Palatino Linotype" w:hAnsi="Palatino Linotype"/>
        </w:rPr>
        <w:lastRenderedPageBreak/>
        <w:t xml:space="preserve">Comprobantes de pago </w:t>
      </w:r>
      <w:r>
        <w:rPr>
          <w:rFonts w:ascii="Palatino Linotype" w:hAnsi="Palatino Linotype"/>
        </w:rPr>
        <w:t>del impuesto predial</w:t>
      </w:r>
      <w:r w:rsidR="00760FCC" w:rsidRPr="00760FCC">
        <w:rPr>
          <w:rFonts w:ascii="Palatino Linotype" w:hAnsi="Palatino Linotype"/>
        </w:rPr>
        <w:t>.</w:t>
      </w:r>
    </w:p>
    <w:p w14:paraId="6D458352" w14:textId="687BC67D" w:rsidR="00951B8F" w:rsidRDefault="00F36BA8" w:rsidP="008F2868">
      <w:pPr>
        <w:pStyle w:val="Prrafodelista"/>
        <w:numPr>
          <w:ilvl w:val="0"/>
          <w:numId w:val="17"/>
        </w:numPr>
        <w:spacing w:line="360" w:lineRule="auto"/>
        <w:ind w:left="714" w:hanging="357"/>
        <w:jc w:val="both"/>
        <w:rPr>
          <w:rFonts w:ascii="Palatino Linotype" w:hAnsi="Palatino Linotype"/>
        </w:rPr>
      </w:pPr>
      <w:r w:rsidRPr="00F36BA8">
        <w:rPr>
          <w:rFonts w:ascii="Palatino Linotype" w:hAnsi="Palatino Linotype"/>
        </w:rPr>
        <w:t>Permiso de construcción y autorización que le permita construir 3 niveles</w:t>
      </w:r>
      <w:bookmarkEnd w:id="1"/>
      <w:r w:rsidR="00951B8F">
        <w:rPr>
          <w:rFonts w:ascii="Palatino Linotype" w:hAnsi="Palatino Linotype"/>
        </w:rPr>
        <w:t>.</w:t>
      </w:r>
    </w:p>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1628FA97"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w:t>
      </w:r>
      <w:r w:rsidR="0025394E">
        <w:rPr>
          <w:rFonts w:ascii="Palatino Linotype" w:hAnsi="Palatino Linotype"/>
          <w:color w:val="000000"/>
          <w:lang w:val="es-ES_tradnl"/>
        </w:rPr>
        <w:t>la</w:t>
      </w:r>
      <w:r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25394E">
        <w:rPr>
          <w:rFonts w:ascii="Palatino Linotype" w:hAnsi="Palatino Linotype"/>
          <w:bCs/>
          <w:color w:val="000000"/>
          <w:lang w:val="es-ES_tradnl"/>
        </w:rPr>
        <w:t>,</w:t>
      </w:r>
      <w:r w:rsidR="008F2868" w:rsidRPr="008F2868">
        <w:rPr>
          <w:rFonts w:ascii="Palatino Linotype" w:hAnsi="Palatino Linotype"/>
          <w:bCs/>
          <w:color w:val="000000"/>
          <w:lang w:val="es-ES_tradnl"/>
        </w:rPr>
        <w:t xml:space="preserve"> remitiendo</w:t>
      </w:r>
      <w:r w:rsidR="0025394E">
        <w:rPr>
          <w:rFonts w:ascii="Palatino Linotype" w:hAnsi="Palatino Linotype"/>
          <w:bCs/>
          <w:color w:val="000000"/>
          <w:lang w:val="es-ES_tradnl"/>
        </w:rPr>
        <w:t xml:space="preserve"> para tal efecto</w:t>
      </w:r>
      <w:r w:rsidR="008F2868" w:rsidRPr="008F2868">
        <w:rPr>
          <w:rFonts w:ascii="Palatino Linotype" w:hAnsi="Palatino Linotype"/>
          <w:bCs/>
          <w:color w:val="000000"/>
          <w:lang w:val="es-ES_tradnl"/>
        </w:rPr>
        <w:t xml:space="preserve"> </w:t>
      </w:r>
      <w:r w:rsidR="0025394E">
        <w:rPr>
          <w:rFonts w:ascii="Palatino Linotype" w:hAnsi="Palatino Linotype"/>
          <w:bCs/>
          <w:color w:val="000000"/>
          <w:lang w:val="es-ES_tradnl"/>
        </w:rPr>
        <w:t>un</w:t>
      </w:r>
      <w:r w:rsidR="008F2868" w:rsidRPr="008F2868">
        <w:rPr>
          <w:rFonts w:ascii="Palatino Linotype" w:hAnsi="Palatino Linotype"/>
          <w:bCs/>
          <w:color w:val="000000"/>
          <w:lang w:val="es-ES_tradnl"/>
        </w:rPr>
        <w:t xml:space="preserve"> archivo electrónico</w:t>
      </w:r>
      <w:r w:rsidR="00382978">
        <w:rPr>
          <w:rFonts w:ascii="Palatino Linotype" w:hAnsi="Palatino Linotype"/>
          <w:bCs/>
          <w:color w:val="000000"/>
          <w:lang w:val="es-ES_tradnl"/>
        </w:rPr>
        <w:t xml:space="preserve"> denominado “</w:t>
      </w:r>
      <w:r w:rsidR="00F36BA8" w:rsidRPr="00F36BA8">
        <w:rPr>
          <w:rFonts w:ascii="Palatino Linotype" w:hAnsi="Palatino Linotype"/>
          <w:b/>
          <w:i/>
          <w:iCs/>
          <w:color w:val="000000"/>
          <w:lang w:val="es-ES_tradnl"/>
        </w:rPr>
        <w:t>ACTA-04-2022.pdf</w:t>
      </w:r>
      <w:r w:rsidR="00382978">
        <w:rPr>
          <w:rFonts w:ascii="Palatino Linotype" w:hAnsi="Palatino Linotype"/>
          <w:bCs/>
          <w:color w:val="000000"/>
          <w:lang w:val="es-ES_tradnl"/>
        </w:rPr>
        <w:t>”</w:t>
      </w:r>
      <w:r w:rsidR="00F36BA8">
        <w:rPr>
          <w:rFonts w:ascii="Palatino Linotype" w:hAnsi="Palatino Linotype"/>
          <w:bCs/>
          <w:color w:val="000000"/>
          <w:lang w:val="es-ES_tradnl"/>
        </w:rPr>
        <w:t xml:space="preserve"> y “</w:t>
      </w:r>
      <w:r w:rsidR="00F36BA8" w:rsidRPr="00F36BA8">
        <w:rPr>
          <w:rFonts w:ascii="Palatino Linotype" w:hAnsi="Palatino Linotype"/>
          <w:b/>
          <w:i/>
          <w:iCs/>
          <w:color w:val="000000"/>
          <w:lang w:val="es-ES_tradnl"/>
        </w:rPr>
        <w:t>03-2022.pdf</w:t>
      </w:r>
      <w:r w:rsidR="00F36BA8">
        <w:rPr>
          <w:rFonts w:ascii="Palatino Linotype" w:hAnsi="Palatino Linotype"/>
          <w:bCs/>
          <w:color w:val="000000"/>
          <w:lang w:val="es-ES_tradnl"/>
        </w:rPr>
        <w:t>”</w:t>
      </w:r>
      <w:r w:rsidR="008F2868" w:rsidRPr="008F2868">
        <w:rPr>
          <w:rFonts w:ascii="Palatino Linotype" w:hAnsi="Palatino Linotype"/>
          <w:bCs/>
          <w:color w:val="000000"/>
          <w:lang w:val="es-ES_tradnl"/>
        </w:rPr>
        <w:t xml:space="preserve">, </w:t>
      </w:r>
      <w:r w:rsidR="00382978">
        <w:rPr>
          <w:rFonts w:ascii="Palatino Linotype" w:hAnsi="Palatino Linotype"/>
          <w:bCs/>
          <w:color w:val="000000"/>
          <w:lang w:val="es-ES_tradnl"/>
        </w:rPr>
        <w:t>que contiene</w:t>
      </w:r>
      <w:r w:rsidR="00F36BA8">
        <w:rPr>
          <w:rFonts w:ascii="Palatino Linotype" w:hAnsi="Palatino Linotype"/>
          <w:bCs/>
          <w:color w:val="000000"/>
          <w:lang w:val="es-ES_tradnl"/>
        </w:rPr>
        <w:t>n la respuesta emitida por</w:t>
      </w:r>
      <w:r w:rsidR="00382978">
        <w:rPr>
          <w:rFonts w:ascii="Palatino Linotype" w:hAnsi="Palatino Linotype"/>
          <w:bCs/>
          <w:color w:val="000000"/>
          <w:lang w:val="es-ES_tradnl"/>
        </w:rPr>
        <w:t xml:space="preserve"> </w:t>
      </w:r>
      <w:r w:rsidR="00F36BA8">
        <w:rPr>
          <w:rFonts w:ascii="Palatino Linotype" w:hAnsi="Palatino Linotype"/>
          <w:bCs/>
          <w:color w:val="000000"/>
          <w:lang w:val="es-ES_tradnl"/>
        </w:rPr>
        <w:t>l</w:t>
      </w:r>
      <w:r w:rsidR="00F36BA8" w:rsidRPr="00F36BA8">
        <w:rPr>
          <w:rFonts w:ascii="Palatino Linotype" w:hAnsi="Palatino Linotype"/>
          <w:bCs/>
          <w:color w:val="000000"/>
          <w:lang w:val="es-ES_tradnl"/>
        </w:rPr>
        <w:t>os Servidores Públicos Habilitados de Desarrollo Urbano</w:t>
      </w:r>
      <w:r w:rsidR="00F36BA8">
        <w:rPr>
          <w:rFonts w:ascii="Palatino Linotype" w:hAnsi="Palatino Linotype"/>
          <w:bCs/>
          <w:color w:val="000000"/>
          <w:lang w:val="es-ES_tradnl"/>
        </w:rPr>
        <w:t xml:space="preserve"> y la</w:t>
      </w:r>
      <w:r w:rsidR="00F36BA8" w:rsidRPr="00F36BA8">
        <w:rPr>
          <w:rFonts w:ascii="Palatino Linotype" w:hAnsi="Palatino Linotype"/>
          <w:bCs/>
          <w:color w:val="000000"/>
          <w:lang w:val="es-ES_tradnl"/>
        </w:rPr>
        <w:t xml:space="preserve"> Dirección de Fomento Económico</w:t>
      </w:r>
      <w:r w:rsidR="0025394E">
        <w:rPr>
          <w:rFonts w:ascii="Palatino Linotype" w:hAnsi="Palatino Linotype"/>
          <w:bCs/>
          <w:color w:val="000000"/>
          <w:lang w:val="es-ES_tradnl"/>
        </w:rPr>
        <w:t xml:space="preserve">, </w:t>
      </w:r>
      <w:r w:rsidR="008F2868" w:rsidRPr="008F2868">
        <w:rPr>
          <w:rFonts w:ascii="Palatino Linotype" w:hAnsi="Palatino Linotype"/>
          <w:bCs/>
          <w:color w:val="000000"/>
          <w:lang w:val="es-ES_tradnl"/>
        </w:rPr>
        <w:t>de</w:t>
      </w:r>
      <w:r w:rsidR="0025394E">
        <w:rPr>
          <w:rFonts w:ascii="Palatino Linotype" w:hAnsi="Palatino Linotype"/>
          <w:bCs/>
          <w:color w:val="000000"/>
          <w:lang w:val="es-ES_tradnl"/>
        </w:rPr>
        <w:t xml:space="preserve"> los</w:t>
      </w:r>
      <w:r w:rsidR="008F2868" w:rsidRPr="008F2868">
        <w:rPr>
          <w:rFonts w:ascii="Palatino Linotype" w:hAnsi="Palatino Linotype"/>
          <w:bCs/>
          <w:color w:val="000000"/>
          <w:lang w:val="es-ES_tradnl"/>
        </w:rPr>
        <w:t xml:space="preserve"> cual</w:t>
      </w:r>
      <w:r w:rsidR="0025394E">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se desprende la siguiente información</w:t>
      </w:r>
      <w:r w:rsidR="00286BF3">
        <w:rPr>
          <w:rFonts w:ascii="Palatino Linotype" w:hAnsi="Palatino Linotype"/>
          <w:color w:val="000000"/>
          <w:lang w:val="es-ES_tradnl"/>
        </w:rPr>
        <w:t>:</w:t>
      </w:r>
    </w:p>
    <w:p w14:paraId="1F9E885A" w14:textId="1FE1A210" w:rsidR="008F2868" w:rsidRDefault="008F2868" w:rsidP="00FF14FE">
      <w:pPr>
        <w:pStyle w:val="Prrafodelista"/>
        <w:spacing w:line="360" w:lineRule="auto"/>
        <w:ind w:left="0"/>
        <w:contextualSpacing/>
        <w:jc w:val="both"/>
        <w:rPr>
          <w:rFonts w:ascii="Palatino Linotype" w:hAnsi="Palatino Linotype"/>
          <w:color w:val="000000"/>
          <w:lang w:val="es-ES_tradnl"/>
        </w:rPr>
      </w:pPr>
    </w:p>
    <w:p w14:paraId="01E407D0" w14:textId="727E0050" w:rsidR="00A12134" w:rsidRPr="00A12134" w:rsidRDefault="00F36BA8" w:rsidP="00A12134">
      <w:pPr>
        <w:pStyle w:val="Prrafodelista"/>
        <w:numPr>
          <w:ilvl w:val="0"/>
          <w:numId w:val="18"/>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w:t>
      </w:r>
      <w:r w:rsidRPr="00F36BA8">
        <w:rPr>
          <w:rFonts w:ascii="Palatino Linotype" w:hAnsi="Palatino Linotype"/>
          <w:b/>
          <w:bCs/>
          <w:color w:val="000000"/>
          <w:lang w:val="es-ES_tradnl"/>
        </w:rPr>
        <w:t>ACTA-04-2022.pdf</w:t>
      </w:r>
      <w:r>
        <w:rPr>
          <w:rFonts w:ascii="Palatino Linotype" w:hAnsi="Palatino Linotype"/>
          <w:color w:val="000000"/>
          <w:lang w:val="es-ES_tradnl"/>
        </w:rPr>
        <w:t>”: Documento electrónico que contiene el Acta de la Cuarta Sesión Extraordinaria del Comité de Transparencia del H. Ayuntamiento de Nezahualcóyotl, con la cual, mediante acuerdo No. ACT/CT/NEZA/EXT/IV/2022 se confirma, en los términos propuestos y por unanimidad de votos</w:t>
      </w:r>
      <w:r w:rsidR="00A12134">
        <w:rPr>
          <w:rFonts w:ascii="Palatino Linotype" w:hAnsi="Palatino Linotype"/>
          <w:color w:val="000000"/>
          <w:lang w:val="es-ES_tradnl"/>
        </w:rPr>
        <w:t>,</w:t>
      </w:r>
      <w:r>
        <w:rPr>
          <w:rFonts w:ascii="Palatino Linotype" w:hAnsi="Palatino Linotype"/>
          <w:color w:val="000000"/>
          <w:lang w:val="es-ES_tradnl"/>
        </w:rPr>
        <w:t xml:space="preserve"> </w:t>
      </w:r>
      <w:r w:rsidR="00A12134">
        <w:rPr>
          <w:rFonts w:ascii="Palatino Linotype" w:hAnsi="Palatino Linotype"/>
          <w:color w:val="000000"/>
          <w:lang w:val="es-ES_tradnl"/>
        </w:rPr>
        <w:t>la propuesta de la versión pública de la Dirección de Desarrollo Urbano, concerniente a la Licencia de uso de suelo remitida en respuesta a la solicitud de información de mérito.</w:t>
      </w:r>
    </w:p>
    <w:p w14:paraId="3825B38B" w14:textId="77777777" w:rsidR="00F36BA8" w:rsidRPr="00F36BA8" w:rsidRDefault="00F36BA8" w:rsidP="00F36BA8">
      <w:pPr>
        <w:pStyle w:val="Prrafodelista"/>
        <w:spacing w:line="360" w:lineRule="auto"/>
        <w:ind w:left="720"/>
        <w:contextualSpacing/>
        <w:jc w:val="both"/>
        <w:rPr>
          <w:rFonts w:ascii="Palatino Linotype" w:hAnsi="Palatino Linotype"/>
          <w:color w:val="000000"/>
          <w:lang w:val="es-ES_tradnl"/>
        </w:rPr>
      </w:pPr>
    </w:p>
    <w:p w14:paraId="21D6C7C0" w14:textId="7B0966A1" w:rsidR="00382978" w:rsidRDefault="00760FCC" w:rsidP="00382978">
      <w:pPr>
        <w:pStyle w:val="Prrafodelista"/>
        <w:numPr>
          <w:ilvl w:val="0"/>
          <w:numId w:val="18"/>
        </w:numPr>
        <w:spacing w:line="360" w:lineRule="auto"/>
        <w:contextualSpacing/>
        <w:jc w:val="both"/>
        <w:rPr>
          <w:rFonts w:ascii="Palatino Linotype" w:hAnsi="Palatino Linotype"/>
          <w:color w:val="000000"/>
          <w:lang w:val="es-ES_tradnl"/>
        </w:rPr>
      </w:pPr>
      <w:r>
        <w:rPr>
          <w:rFonts w:ascii="Palatino Linotype" w:hAnsi="Palatino Linotype"/>
          <w:b/>
          <w:bCs/>
          <w:color w:val="000000"/>
          <w:lang w:val="es-ES_tradnl"/>
        </w:rPr>
        <w:t>“</w:t>
      </w:r>
      <w:r w:rsidR="00A12134" w:rsidRPr="00A12134">
        <w:rPr>
          <w:rFonts w:ascii="Palatino Linotype" w:hAnsi="Palatino Linotype"/>
          <w:b/>
          <w:bCs/>
          <w:color w:val="000000"/>
          <w:lang w:val="es-ES_tradnl"/>
        </w:rPr>
        <w:t>03-2022.pdf</w:t>
      </w:r>
      <w:r>
        <w:rPr>
          <w:rFonts w:ascii="Palatino Linotype" w:hAnsi="Palatino Linotype"/>
          <w:b/>
          <w:bCs/>
          <w:color w:val="000000"/>
          <w:lang w:val="es-ES_tradnl"/>
        </w:rPr>
        <w:t>”</w:t>
      </w:r>
      <w:r w:rsidR="008F2868">
        <w:rPr>
          <w:rFonts w:ascii="Palatino Linotype" w:hAnsi="Palatino Linotype"/>
          <w:b/>
          <w:bCs/>
          <w:color w:val="000000"/>
          <w:lang w:val="es-ES_tradnl"/>
        </w:rPr>
        <w:t>:</w:t>
      </w:r>
      <w:r w:rsidR="00382978">
        <w:rPr>
          <w:rFonts w:ascii="Palatino Linotype" w:hAnsi="Palatino Linotype"/>
          <w:b/>
          <w:bCs/>
          <w:color w:val="000000"/>
          <w:lang w:val="es-ES_tradnl"/>
        </w:rPr>
        <w:t xml:space="preserve"> </w:t>
      </w:r>
      <w:r w:rsidR="00382978">
        <w:rPr>
          <w:rFonts w:ascii="Palatino Linotype" w:hAnsi="Palatino Linotype"/>
          <w:color w:val="000000"/>
          <w:lang w:val="es-ES_tradnl"/>
        </w:rPr>
        <w:t xml:space="preserve">Oficio signado por el </w:t>
      </w:r>
      <w:r w:rsidR="005B4D50">
        <w:rPr>
          <w:rFonts w:ascii="Palatino Linotype" w:hAnsi="Palatino Linotype"/>
          <w:color w:val="000000"/>
          <w:lang w:val="es-ES_tradnl"/>
        </w:rPr>
        <w:t>Titular de la Unidad de Transparencia, mismo que fue dirigido al solicitante de información, le</w:t>
      </w:r>
      <w:r w:rsidR="00382978">
        <w:rPr>
          <w:rFonts w:ascii="Palatino Linotype" w:hAnsi="Palatino Linotype"/>
          <w:color w:val="000000"/>
          <w:lang w:val="es-ES_tradnl"/>
        </w:rPr>
        <w:t xml:space="preserve"> </w:t>
      </w:r>
      <w:r w:rsidR="005B4D50">
        <w:rPr>
          <w:rFonts w:ascii="Palatino Linotype" w:hAnsi="Palatino Linotype"/>
          <w:color w:val="000000"/>
          <w:lang w:val="es-ES_tradnl"/>
        </w:rPr>
        <w:t>informa que remite las respuestas</w:t>
      </w:r>
      <w:r w:rsidR="005B4D50" w:rsidRPr="005B4D50">
        <w:rPr>
          <w:rFonts w:ascii="Palatino Linotype" w:hAnsi="Palatino Linotype"/>
          <w:color w:val="000000"/>
          <w:lang w:val="es-ES_tradnl"/>
        </w:rPr>
        <w:t xml:space="preserve"> generadas por los Servidores Públicos Habilitados de Desarrollo Urbano, mediante el oficio DDU/0019/2022, Dirección de Fomento Económico mediante el oficio DFE/DGG-0018/2022</w:t>
      </w:r>
      <w:r w:rsidR="005B4D50">
        <w:rPr>
          <w:rFonts w:ascii="Palatino Linotype" w:hAnsi="Palatino Linotype"/>
          <w:color w:val="000000"/>
          <w:lang w:val="es-ES_tradnl"/>
        </w:rPr>
        <w:t>, de los cuales se advierte el contenido siguiente.</w:t>
      </w:r>
      <w:r w:rsidR="00382978">
        <w:rPr>
          <w:rFonts w:ascii="Palatino Linotype" w:hAnsi="Palatino Linotype"/>
          <w:color w:val="000000"/>
          <w:lang w:val="es-ES_tradnl"/>
        </w:rPr>
        <w:t xml:space="preserve">: </w:t>
      </w:r>
    </w:p>
    <w:p w14:paraId="1B92F933" w14:textId="26939C47" w:rsidR="005B4D50" w:rsidRDefault="005B4D50" w:rsidP="005B4D50">
      <w:pPr>
        <w:pStyle w:val="Prrafodelista"/>
        <w:numPr>
          <w:ilvl w:val="1"/>
          <w:numId w:val="18"/>
        </w:numPr>
        <w:spacing w:line="360" w:lineRule="auto"/>
        <w:ind w:left="1080"/>
        <w:contextualSpacing/>
        <w:jc w:val="both"/>
        <w:rPr>
          <w:rFonts w:ascii="Palatino Linotype" w:hAnsi="Palatino Linotype"/>
          <w:color w:val="000000"/>
          <w:lang w:val="es-ES_tradnl"/>
        </w:rPr>
      </w:pPr>
      <w:r w:rsidRPr="005B4D50">
        <w:rPr>
          <w:rFonts w:ascii="Palatino Linotype" w:hAnsi="Palatino Linotype"/>
          <w:b/>
          <w:bCs/>
          <w:color w:val="000000"/>
          <w:lang w:val="es-ES_tradnl"/>
        </w:rPr>
        <w:lastRenderedPageBreak/>
        <w:t>DDU/0019/2022</w:t>
      </w:r>
      <w:r>
        <w:rPr>
          <w:rFonts w:ascii="Palatino Linotype" w:hAnsi="Palatino Linotype"/>
          <w:color w:val="000000"/>
          <w:lang w:val="es-ES_tradnl"/>
        </w:rPr>
        <w:t xml:space="preserve">: </w:t>
      </w:r>
      <w:r w:rsidR="00B26EBF">
        <w:rPr>
          <w:rFonts w:ascii="Palatino Linotype" w:hAnsi="Palatino Linotype"/>
          <w:color w:val="000000"/>
          <w:lang w:val="es-ES_tradnl"/>
        </w:rPr>
        <w:t>Emitido por el</w:t>
      </w:r>
      <w:r>
        <w:rPr>
          <w:rFonts w:ascii="Palatino Linotype" w:hAnsi="Palatino Linotype"/>
          <w:color w:val="000000"/>
          <w:lang w:val="es-ES_tradnl"/>
        </w:rPr>
        <w:t xml:space="preserve"> Director de Desarrollo Urbano, y remitido al Titular de la Unidad de Transparencia, mediante el cual, medularmente informa que, de conformidad con las facultades y atribuciones de esa dirección, señala que se realizó una búsqueda con motivo del expediente creado por la expedición de licencia de uso de suelo en sus archivos con el domicilio indicado, de la cual se desprende la existencia de la licencia No. 1003/XI/2021, solicitando se resuelva sobre la información </w:t>
      </w:r>
      <w:r w:rsidR="009F3DA1">
        <w:rPr>
          <w:rFonts w:ascii="Palatino Linotype" w:hAnsi="Palatino Linotype"/>
          <w:color w:val="000000"/>
          <w:lang w:val="es-ES_tradnl"/>
        </w:rPr>
        <w:t>que</w:t>
      </w:r>
      <w:r>
        <w:rPr>
          <w:rFonts w:ascii="Palatino Linotype" w:hAnsi="Palatino Linotype"/>
          <w:color w:val="000000"/>
          <w:lang w:val="es-ES_tradnl"/>
        </w:rPr>
        <w:t xml:space="preserve"> deberá c</w:t>
      </w:r>
      <w:r w:rsidR="009F3DA1">
        <w:rPr>
          <w:rFonts w:ascii="Palatino Linotype" w:hAnsi="Palatino Linotype"/>
          <w:color w:val="000000"/>
          <w:lang w:val="es-ES_tradnl"/>
        </w:rPr>
        <w:t>lasificarse</w:t>
      </w:r>
      <w:r w:rsidR="00727C75">
        <w:rPr>
          <w:rFonts w:ascii="Palatino Linotype" w:hAnsi="Palatino Linotype"/>
          <w:color w:val="000000"/>
          <w:lang w:val="es-ES_tradnl"/>
        </w:rPr>
        <w:t xml:space="preserve">, remitiendo para tal efecto lo siguiente: </w:t>
      </w:r>
    </w:p>
    <w:p w14:paraId="54B1DBC7" w14:textId="77777777" w:rsidR="00727C75" w:rsidRDefault="00727C75" w:rsidP="00727C75">
      <w:pPr>
        <w:pStyle w:val="Prrafodelista"/>
        <w:spacing w:line="360" w:lineRule="auto"/>
        <w:ind w:left="1080"/>
        <w:contextualSpacing/>
        <w:jc w:val="both"/>
        <w:rPr>
          <w:rFonts w:ascii="Palatino Linotype" w:hAnsi="Palatino Linotype"/>
          <w:color w:val="000000"/>
          <w:lang w:val="es-ES_tradnl"/>
        </w:rPr>
      </w:pPr>
    </w:p>
    <w:p w14:paraId="3BE923BE" w14:textId="796D62F5" w:rsidR="00727C75" w:rsidRPr="00727C75" w:rsidRDefault="006C5F18" w:rsidP="00727C75">
      <w:pPr>
        <w:spacing w:line="360" w:lineRule="auto"/>
        <w:ind w:left="720"/>
        <w:contextualSpacing/>
        <w:jc w:val="both"/>
        <w:rPr>
          <w:rFonts w:ascii="Palatino Linotype" w:hAnsi="Palatino Linotype"/>
          <w:color w:val="000000"/>
          <w:lang w:val="es-ES_tradnl"/>
        </w:rPr>
      </w:pPr>
      <w:r>
        <w:rPr>
          <w:rFonts w:ascii="Palatino Linotype" w:hAnsi="Palatino Linotype"/>
          <w:noProof/>
          <w:color w:val="000000"/>
          <w:lang w:val="es-MX" w:eastAsia="es-MX"/>
        </w:rPr>
        <w:drawing>
          <wp:inline distT="0" distB="0" distL="0" distR="0" wp14:anchorId="7A1F80C5" wp14:editId="1DE51BEF">
            <wp:extent cx="5534025" cy="263652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25" cy="2636520"/>
                    </a:xfrm>
                    <a:prstGeom prst="rect">
                      <a:avLst/>
                    </a:prstGeom>
                    <a:noFill/>
                    <a:ln>
                      <a:noFill/>
                    </a:ln>
                  </pic:spPr>
                </pic:pic>
              </a:graphicData>
            </a:graphic>
          </wp:inline>
        </w:drawing>
      </w:r>
      <w:bookmarkStart w:id="2" w:name="_GoBack"/>
      <w:bookmarkEnd w:id="2"/>
    </w:p>
    <w:p w14:paraId="666AC925" w14:textId="77777777" w:rsidR="005B4D50" w:rsidRDefault="005B4D50" w:rsidP="005B4D50">
      <w:pPr>
        <w:pStyle w:val="Prrafodelista"/>
        <w:spacing w:line="360" w:lineRule="auto"/>
        <w:ind w:left="1080"/>
        <w:contextualSpacing/>
        <w:jc w:val="both"/>
        <w:rPr>
          <w:rFonts w:ascii="Palatino Linotype" w:hAnsi="Palatino Linotype"/>
          <w:color w:val="000000"/>
          <w:lang w:val="es-ES_tradnl"/>
        </w:rPr>
      </w:pPr>
    </w:p>
    <w:p w14:paraId="2E131096" w14:textId="4649526F" w:rsidR="005B4D50" w:rsidRDefault="005B4D50" w:rsidP="005B4D50">
      <w:pPr>
        <w:pStyle w:val="Prrafodelista"/>
        <w:spacing w:line="360" w:lineRule="auto"/>
        <w:ind w:left="1080"/>
        <w:contextualSpacing/>
        <w:jc w:val="both"/>
        <w:rPr>
          <w:rFonts w:ascii="Palatino Linotype" w:hAnsi="Palatino Linotype"/>
          <w:color w:val="000000"/>
          <w:lang w:val="es-ES_tradnl"/>
        </w:rPr>
      </w:pPr>
      <w:r>
        <w:rPr>
          <w:rFonts w:ascii="Palatino Linotype" w:hAnsi="Palatino Linotype"/>
          <w:color w:val="000000"/>
          <w:lang w:val="es-ES_tradnl"/>
        </w:rPr>
        <w:t xml:space="preserve">Asimismo, señala que se realizó una búsqueda con motivo del expediente </w:t>
      </w:r>
      <w:r w:rsidR="00727C75">
        <w:rPr>
          <w:rFonts w:ascii="Palatino Linotype" w:hAnsi="Palatino Linotype"/>
          <w:color w:val="000000"/>
          <w:lang w:val="es-ES_tradnl"/>
        </w:rPr>
        <w:t>creado</w:t>
      </w:r>
      <w:r>
        <w:rPr>
          <w:rFonts w:ascii="Palatino Linotype" w:hAnsi="Palatino Linotype"/>
          <w:color w:val="000000"/>
          <w:lang w:val="es-ES_tradnl"/>
        </w:rPr>
        <w:t xml:space="preserve"> por la expedición de la </w:t>
      </w:r>
      <w:r w:rsidR="00727C75">
        <w:rPr>
          <w:rFonts w:ascii="Palatino Linotype" w:hAnsi="Palatino Linotype"/>
          <w:color w:val="000000"/>
          <w:lang w:val="es-ES_tradnl"/>
        </w:rPr>
        <w:t>l</w:t>
      </w:r>
      <w:r>
        <w:rPr>
          <w:rFonts w:ascii="Palatino Linotype" w:hAnsi="Palatino Linotype"/>
          <w:color w:val="000000"/>
          <w:lang w:val="es-ES_tradnl"/>
        </w:rPr>
        <w:t xml:space="preserve">icencia de </w:t>
      </w:r>
      <w:r w:rsidR="00727C75">
        <w:rPr>
          <w:rFonts w:ascii="Palatino Linotype" w:hAnsi="Palatino Linotype"/>
          <w:color w:val="000000"/>
          <w:lang w:val="es-ES_tradnl"/>
        </w:rPr>
        <w:t>c</w:t>
      </w:r>
      <w:r>
        <w:rPr>
          <w:rFonts w:ascii="Palatino Linotype" w:hAnsi="Palatino Linotype"/>
          <w:color w:val="000000"/>
          <w:lang w:val="es-ES_tradnl"/>
        </w:rPr>
        <w:t>onstrucción</w:t>
      </w:r>
      <w:r w:rsidR="00727C75">
        <w:rPr>
          <w:rFonts w:ascii="Palatino Linotype" w:hAnsi="Palatino Linotype"/>
          <w:color w:val="000000"/>
          <w:lang w:val="es-ES_tradnl"/>
        </w:rPr>
        <w:t xml:space="preserve"> en los archivos de esa dirección que va del año 2019 a la fecha, con el domicilio que se indica, de la cual no se obtuvo expediente alguno que dé cuenta de la información que solicita.</w:t>
      </w:r>
    </w:p>
    <w:p w14:paraId="3CC872EC" w14:textId="77777777" w:rsidR="005B4D50" w:rsidRDefault="005B4D50" w:rsidP="005B4D50">
      <w:pPr>
        <w:pStyle w:val="Prrafodelista"/>
        <w:spacing w:line="360" w:lineRule="auto"/>
        <w:ind w:left="1080"/>
        <w:contextualSpacing/>
        <w:jc w:val="both"/>
        <w:rPr>
          <w:rFonts w:ascii="Palatino Linotype" w:hAnsi="Palatino Linotype"/>
          <w:color w:val="000000"/>
          <w:lang w:val="es-ES_tradnl"/>
        </w:rPr>
      </w:pPr>
    </w:p>
    <w:p w14:paraId="679EDF68" w14:textId="51DF2DAF" w:rsidR="00346625" w:rsidRPr="00DC357D" w:rsidRDefault="00882B8D" w:rsidP="007C5865">
      <w:pPr>
        <w:pStyle w:val="Prrafodelista"/>
        <w:numPr>
          <w:ilvl w:val="1"/>
          <w:numId w:val="18"/>
        </w:numPr>
        <w:spacing w:line="360" w:lineRule="auto"/>
        <w:ind w:left="1080"/>
        <w:contextualSpacing/>
        <w:jc w:val="both"/>
        <w:rPr>
          <w:rFonts w:ascii="Palatino Linotype" w:hAnsi="Palatino Linotype"/>
          <w:color w:val="000000"/>
          <w:lang w:val="es-ES_tradnl"/>
        </w:rPr>
      </w:pPr>
      <w:r w:rsidRPr="00DC357D">
        <w:rPr>
          <w:rFonts w:ascii="Palatino Linotype" w:hAnsi="Palatino Linotype"/>
          <w:b/>
          <w:bCs/>
          <w:color w:val="000000"/>
          <w:lang w:val="es-ES_tradnl"/>
        </w:rPr>
        <w:t>DFE/DGG-0018/2022</w:t>
      </w:r>
      <w:r w:rsidRPr="00DC357D">
        <w:rPr>
          <w:rFonts w:ascii="Palatino Linotype" w:hAnsi="Palatino Linotype"/>
          <w:color w:val="000000"/>
          <w:lang w:val="es-ES_tradnl"/>
        </w:rPr>
        <w:t>:</w:t>
      </w:r>
      <w:r w:rsidR="00141116" w:rsidRPr="00DC357D">
        <w:rPr>
          <w:rFonts w:ascii="Palatino Linotype" w:hAnsi="Palatino Linotype"/>
          <w:color w:val="000000"/>
          <w:lang w:val="es-ES_tradnl"/>
        </w:rPr>
        <w:t xml:space="preserve"> </w:t>
      </w:r>
      <w:r w:rsidR="0074301E" w:rsidRPr="00DC357D">
        <w:rPr>
          <w:rFonts w:ascii="Palatino Linotype" w:hAnsi="Palatino Linotype"/>
          <w:color w:val="000000"/>
          <w:lang w:val="es-ES_tradnl"/>
        </w:rPr>
        <w:t>oficio signado por el Director de Fomento Económico, mismo que fue remitido al Titular de la Unidad de Transparencia, ambos del Sujeto Obligado, mediante el cual le informa que, conforme al artículo 74 del Reglamento Orgánico de la Administración Pública de Nezahualcóyotl, se revisaron los archivos de la Subdirección de Apertura Rápida de Empleo, específicamente en la ventanilla única, encontrándose un único documento, que consiste en el Formato de Solicitud de Licencia de uso de Suelo Comercial, sobre el predio referido en la solicitud de acceso a la información,</w:t>
      </w:r>
      <w:r w:rsidR="0074301E" w:rsidRPr="0074301E">
        <w:t xml:space="preserve"> </w:t>
      </w:r>
      <w:r w:rsidR="0074301E" w:rsidRPr="00DC357D">
        <w:rPr>
          <w:rFonts w:ascii="Palatino Linotype" w:hAnsi="Palatino Linotype"/>
          <w:color w:val="000000"/>
          <w:lang w:val="es-ES_tradnl"/>
        </w:rPr>
        <w:t>del cual, no pasa inadvertido para esta Órgano Resolutor, el hecho de que el Sujeto Obligado, al momento de presentar la documentación en su respuesta, dejó datos visibles que pueden considerarse información confidencial (nombre del propietario del inmueble referido en la solicitud de información)</w:t>
      </w:r>
      <w:r w:rsidR="00DC357D">
        <w:rPr>
          <w:rFonts w:ascii="Palatino Linotype" w:hAnsi="Palatino Linotype"/>
          <w:color w:val="000000"/>
          <w:lang w:val="es-ES_tradnl"/>
        </w:rPr>
        <w:t>.</w:t>
      </w:r>
    </w:p>
    <w:p w14:paraId="2FEA19DC" w14:textId="7C15A972" w:rsidR="00A87485" w:rsidRDefault="00BF390A" w:rsidP="00157778">
      <w:pPr>
        <w:spacing w:before="120" w:after="120" w:line="360" w:lineRule="auto"/>
        <w:jc w:val="both"/>
        <w:rPr>
          <w:rFonts w:ascii="Palatino Linotype" w:hAnsi="Palatino Linotype" w:cs="Arial"/>
        </w:rPr>
      </w:pPr>
      <w:r w:rsidRPr="0019382A">
        <w:rPr>
          <w:rFonts w:ascii="Palatino Linotype" w:hAnsi="Palatino Linotype" w:cs="Arial"/>
        </w:rPr>
        <w:t xml:space="preserve">Ante la respuesta emitida, el particular interpuso el presente recurso de revisión </w:t>
      </w:r>
      <w:r w:rsidR="00FE343A">
        <w:rPr>
          <w:rFonts w:ascii="Palatino Linotype" w:hAnsi="Palatino Linotype" w:cs="Arial"/>
        </w:rPr>
        <w:t>manifestando</w:t>
      </w:r>
      <w:r w:rsidR="002D7107">
        <w:rPr>
          <w:rFonts w:ascii="Palatino Linotype" w:hAnsi="Palatino Linotype" w:cs="Arial"/>
        </w:rPr>
        <w:t xml:space="preserve"> </w:t>
      </w:r>
      <w:r w:rsidRPr="0019382A">
        <w:rPr>
          <w:rFonts w:ascii="Palatino Linotype" w:hAnsi="Palatino Linotype" w:cs="Arial"/>
        </w:rPr>
        <w:t xml:space="preserve">como </w:t>
      </w:r>
      <w:r w:rsidR="00311AA7">
        <w:rPr>
          <w:rFonts w:ascii="Palatino Linotype" w:hAnsi="Palatino Linotype" w:cs="Arial"/>
        </w:rPr>
        <w:t>acto impugnado</w:t>
      </w:r>
      <w:r w:rsidR="000E269D">
        <w:rPr>
          <w:rFonts w:ascii="Palatino Linotype" w:hAnsi="Palatino Linotype" w:cs="Arial"/>
        </w:rPr>
        <w:t xml:space="preserve"> que “</w:t>
      </w:r>
      <w:r w:rsidR="00B16194" w:rsidRPr="00B16194">
        <w:rPr>
          <w:rFonts w:ascii="Palatino Linotype" w:hAnsi="Palatino Linotype" w:cs="Arial"/>
          <w:b/>
          <w:bCs/>
          <w:i/>
          <w:iCs/>
        </w:rPr>
        <w:t>La respuesta incompleta del sujeto obligado</w:t>
      </w:r>
      <w:r w:rsidR="00B16194" w:rsidRPr="00B16194">
        <w:rPr>
          <w:rFonts w:ascii="Palatino Linotype" w:hAnsi="Palatino Linotype" w:cs="Arial"/>
          <w:i/>
          <w:iCs/>
        </w:rPr>
        <w:t>.</w:t>
      </w:r>
      <w:r w:rsidR="00311AA7">
        <w:rPr>
          <w:rFonts w:ascii="Palatino Linotype" w:hAnsi="Palatino Linotype" w:cs="Arial"/>
          <w:i/>
          <w:iCs/>
        </w:rPr>
        <w:t xml:space="preserve">” </w:t>
      </w:r>
      <w:r w:rsidR="00311AA7">
        <w:rPr>
          <w:rFonts w:ascii="Palatino Linotype" w:hAnsi="Palatino Linotype" w:cs="Arial"/>
        </w:rPr>
        <w:t>y como razones o motivos de inconformidad que “</w:t>
      </w:r>
      <w:r w:rsidR="00B16194" w:rsidRPr="00B16194">
        <w:rPr>
          <w:rFonts w:ascii="Palatino Linotype" w:hAnsi="Palatino Linotype" w:cs="Arial"/>
          <w:i/>
          <w:iCs/>
        </w:rPr>
        <w:t xml:space="preserve">Solicité lo siguiente: 1.- Constancia de uso de suelo. 2.- Licencia de funcionamiento. 3.- Permiso de la autoridad sanitaria que permita al establecimiento el recibir aves vivas, sacrificarlas y procesarlas para su venta al mayoreo. 4.- Comprobantes con los cuales se acredite que se encuentra al corriente en el pago de sus impuestos locales, agua, predio, luz eléctrica. 5.- Permiso de construcción y autorización que le permita construir 3 niveles. Y </w:t>
      </w:r>
      <w:r w:rsidR="00B16194" w:rsidRPr="00B16194">
        <w:rPr>
          <w:rFonts w:ascii="Palatino Linotype" w:hAnsi="Palatino Linotype" w:cs="Arial"/>
          <w:b/>
          <w:bCs/>
          <w:i/>
          <w:iCs/>
        </w:rPr>
        <w:t>solo me entregaron la Licencia Municipal de Uso de Suelo</w:t>
      </w:r>
      <w:r w:rsidR="00B16194" w:rsidRPr="00B16194">
        <w:rPr>
          <w:rFonts w:ascii="Palatino Linotype" w:hAnsi="Palatino Linotype" w:cs="Arial"/>
          <w:i/>
          <w:iCs/>
        </w:rPr>
        <w:t xml:space="preserve"> que, por cierto, fue expedida solo para expendio de pollo cuando en realidad </w:t>
      </w:r>
      <w:r w:rsidR="00B16194" w:rsidRPr="00B16194">
        <w:rPr>
          <w:rFonts w:ascii="Palatino Linotype" w:hAnsi="Palatino Linotype" w:cs="Arial"/>
          <w:i/>
          <w:iCs/>
        </w:rPr>
        <w:lastRenderedPageBreak/>
        <w:t>diariamente desde las 3 am reciben el pollo vivo para sacrificarlo, procesarlo, distribuirlo y venderlo.</w:t>
      </w:r>
      <w:r w:rsidR="00311AA7">
        <w:rPr>
          <w:rFonts w:ascii="Palatino Linotype" w:hAnsi="Palatino Linotype" w:cs="Arial"/>
        </w:rPr>
        <w:t>”.</w:t>
      </w:r>
    </w:p>
    <w:p w14:paraId="6612706D" w14:textId="77777777" w:rsidR="00157778" w:rsidRPr="00157778" w:rsidRDefault="00157778" w:rsidP="00157778">
      <w:pPr>
        <w:spacing w:before="120" w:after="120" w:line="360" w:lineRule="auto"/>
        <w:jc w:val="both"/>
        <w:rPr>
          <w:rFonts w:ascii="Palatino Linotype" w:hAnsi="Palatino Linotype" w:cs="Arial"/>
          <w:lang w:val="es-MX"/>
        </w:rPr>
      </w:pPr>
    </w:p>
    <w:p w14:paraId="42EEEAA8" w14:textId="1440CDA2" w:rsidR="00A87485" w:rsidRPr="00A87485" w:rsidRDefault="00A87485" w:rsidP="00A87485">
      <w:pPr>
        <w:spacing w:line="360" w:lineRule="auto"/>
        <w:jc w:val="both"/>
        <w:rPr>
          <w:rFonts w:ascii="Palatino Linotype" w:hAnsi="Palatino Linotype"/>
          <w:lang w:val="es-MX"/>
        </w:rPr>
      </w:pPr>
      <w:r w:rsidRPr="00A87485">
        <w:rPr>
          <w:rFonts w:ascii="Palatino Linotype" w:hAnsi="Palatino Linotype"/>
          <w:lang w:val="es-MX"/>
        </w:rPr>
        <w:t xml:space="preserve">Por otra parte, el Sujeto Obligado rindió en el momento procesal oportuno su </w:t>
      </w:r>
      <w:r w:rsidR="009F3DA1">
        <w:rPr>
          <w:rFonts w:ascii="Palatino Linotype" w:hAnsi="Palatino Linotype"/>
          <w:lang w:val="es-MX"/>
        </w:rPr>
        <w:t>i</w:t>
      </w:r>
      <w:r w:rsidRPr="00A87485">
        <w:rPr>
          <w:rFonts w:ascii="Palatino Linotype" w:hAnsi="Palatino Linotype"/>
          <w:lang w:val="es-MX"/>
        </w:rPr>
        <w:t xml:space="preserve">nforme </w:t>
      </w:r>
      <w:r w:rsidR="009F3DA1">
        <w:rPr>
          <w:rFonts w:ascii="Palatino Linotype" w:hAnsi="Palatino Linotype"/>
          <w:lang w:val="es-MX"/>
        </w:rPr>
        <w:t>j</w:t>
      </w:r>
      <w:r w:rsidRPr="00A87485">
        <w:rPr>
          <w:rFonts w:ascii="Palatino Linotype" w:hAnsi="Palatino Linotype"/>
          <w:lang w:val="es-MX"/>
        </w:rPr>
        <w:t xml:space="preserve">ustificado, remitiendo </w:t>
      </w:r>
      <w:r w:rsidR="00157778">
        <w:rPr>
          <w:rFonts w:ascii="Palatino Linotype" w:hAnsi="Palatino Linotype"/>
        </w:rPr>
        <w:t>el archivo electrónico denominado “</w:t>
      </w:r>
      <w:r w:rsidR="00157778" w:rsidRPr="00157778">
        <w:rPr>
          <w:rFonts w:ascii="Palatino Linotype" w:hAnsi="Palatino Linotype"/>
          <w:b/>
          <w:bCs/>
          <w:i/>
          <w:iCs/>
        </w:rPr>
        <w:t>Digitalización_2022_02_14_15_05_06_360.pdf</w:t>
      </w:r>
      <w:r w:rsidR="00157778">
        <w:rPr>
          <w:rFonts w:ascii="Palatino Linotype" w:hAnsi="Palatino Linotype"/>
        </w:rPr>
        <w:t>”, mediante el cual, medularmente ratifica su respuesta primigenia</w:t>
      </w:r>
      <w:r w:rsidR="009F3DA1">
        <w:rPr>
          <w:rFonts w:ascii="Palatino Linotype" w:hAnsi="Palatino Linotype"/>
        </w:rPr>
        <w:t>;</w:t>
      </w:r>
      <w:r w:rsidR="00157778">
        <w:rPr>
          <w:rFonts w:ascii="Palatino Linotype" w:hAnsi="Palatino Linotype"/>
        </w:rPr>
        <w:t xml:space="preserve"> sin embargo,</w:t>
      </w:r>
      <w:r w:rsidR="00157778" w:rsidRPr="00157778">
        <w:rPr>
          <w:rFonts w:ascii="Palatino Linotype" w:hAnsi="Palatino Linotype"/>
        </w:rPr>
        <w:t xml:space="preserve"> dicho </w:t>
      </w:r>
      <w:r w:rsidR="00DC357D">
        <w:rPr>
          <w:rFonts w:ascii="Palatino Linotype" w:hAnsi="Palatino Linotype"/>
        </w:rPr>
        <w:t>i</w:t>
      </w:r>
      <w:r w:rsidR="00DC357D" w:rsidRPr="00157778">
        <w:rPr>
          <w:rFonts w:ascii="Palatino Linotype" w:hAnsi="Palatino Linotype"/>
        </w:rPr>
        <w:t>nforme</w:t>
      </w:r>
      <w:r w:rsidR="00157778" w:rsidRPr="00157778">
        <w:rPr>
          <w:rFonts w:ascii="Palatino Linotype" w:hAnsi="Palatino Linotype"/>
        </w:rPr>
        <w:t xml:space="preserve"> presenta datos que pueden considerarse como información confidencial</w:t>
      </w:r>
      <w:r w:rsidR="00157778" w:rsidRPr="00157778">
        <w:t xml:space="preserve"> </w:t>
      </w:r>
      <w:r w:rsidR="00157778">
        <w:t>(</w:t>
      </w:r>
      <w:r w:rsidR="00157778" w:rsidRPr="00157778">
        <w:rPr>
          <w:rFonts w:ascii="Palatino Linotype" w:hAnsi="Palatino Linotype"/>
        </w:rPr>
        <w:t>nombre del propietario del inmueble referido en la solicitud de información), por lo que no fue puesto a la vista del Recurrente</w:t>
      </w:r>
      <w:r w:rsidR="00157778">
        <w:rPr>
          <w:rFonts w:ascii="Palatino Linotype" w:hAnsi="Palatino Linotype"/>
        </w:rPr>
        <w:t>.</w:t>
      </w:r>
    </w:p>
    <w:p w14:paraId="426234A2" w14:textId="77777777" w:rsidR="002D1630" w:rsidRDefault="002D1630" w:rsidP="002D1630">
      <w:pPr>
        <w:autoSpaceDE w:val="0"/>
        <w:autoSpaceDN w:val="0"/>
        <w:adjustRightInd w:val="0"/>
        <w:spacing w:line="360" w:lineRule="auto"/>
        <w:jc w:val="both"/>
        <w:rPr>
          <w:rFonts w:ascii="Palatino Linotype" w:hAnsi="Palatino Linotype"/>
        </w:rPr>
      </w:pPr>
    </w:p>
    <w:p w14:paraId="64425BF3" w14:textId="0BAEBFC6" w:rsidR="00303385" w:rsidRDefault="00303385" w:rsidP="0040778F">
      <w:pPr>
        <w:tabs>
          <w:tab w:val="left" w:pos="709"/>
        </w:tabs>
        <w:spacing w:line="360" w:lineRule="auto"/>
        <w:ind w:right="51"/>
        <w:jc w:val="both"/>
        <w:rPr>
          <w:rFonts w:ascii="Palatino Linotype" w:hAnsi="Palatino Linotype" w:cs="Arial"/>
        </w:rPr>
      </w:pPr>
      <w:r w:rsidRPr="00303385">
        <w:rPr>
          <w:rFonts w:ascii="Palatino Linotype" w:hAnsi="Palatino Linotype" w:cs="Arial"/>
        </w:rPr>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49FFC52D" w14:textId="77777777" w:rsidR="0040778F" w:rsidRPr="0040778F" w:rsidRDefault="0040778F" w:rsidP="0040778F">
      <w:pPr>
        <w:tabs>
          <w:tab w:val="left" w:pos="709"/>
        </w:tabs>
        <w:spacing w:line="360" w:lineRule="auto"/>
        <w:ind w:right="51"/>
        <w:jc w:val="both"/>
        <w:rPr>
          <w:rFonts w:ascii="Palatino Linotype" w:hAnsi="Palatino Linotype" w:cs="Arial"/>
        </w:rPr>
      </w:pPr>
    </w:p>
    <w:p w14:paraId="571DB8BD" w14:textId="6B0F3F6B"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Ahora bien, es de advertirse lo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lastRenderedPageBreak/>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w:t>
      </w:r>
      <w:r w:rsidRPr="006F3207">
        <w:rPr>
          <w:rFonts w:ascii="Palatino Linotype" w:hAnsi="Palatino Linotype" w:cs="Arial"/>
          <w:i/>
        </w:rPr>
        <w:lastRenderedPageBreak/>
        <w:t>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9AC8F7D" w:rsidR="00303385" w:rsidRDefault="00303385" w:rsidP="00303385">
      <w:pPr>
        <w:spacing w:line="360" w:lineRule="auto"/>
        <w:jc w:val="both"/>
        <w:rPr>
          <w:rFonts w:ascii="Palatino Linotype" w:hAnsi="Palatino Linotype" w:cs="Arial"/>
        </w:rPr>
      </w:pPr>
      <w:r w:rsidRPr="005355FA">
        <w:rPr>
          <w:rFonts w:ascii="Palatino Linotype" w:hAnsi="Palatino Linotype" w:cs="Arial"/>
        </w:rPr>
        <w:t xml:space="preserve">De la interpretación a los preceptos citados, se desprende que es información pública la contenida en los documentos que los Sujetos Obligados generen, administren o se </w:t>
      </w:r>
      <w:r w:rsidRPr="005355FA">
        <w:rPr>
          <w:rFonts w:ascii="Palatino Linotype" w:hAnsi="Palatino Linotype" w:cs="Arial"/>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1C09A4F3" w14:textId="3909BF64" w:rsidR="00146720" w:rsidRDefault="00146720" w:rsidP="00303385">
      <w:pPr>
        <w:spacing w:line="360" w:lineRule="auto"/>
        <w:jc w:val="both"/>
        <w:rPr>
          <w:rFonts w:ascii="Palatino Linotype" w:hAnsi="Palatino Linotype" w:cs="Arial"/>
        </w:rPr>
      </w:pPr>
    </w:p>
    <w:p w14:paraId="1D2E2CD7" w14:textId="36D3EBF2" w:rsidR="00146720" w:rsidRDefault="00146720" w:rsidP="00146720">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Por otro lado, no debe soslayarse el hecho de que </w:t>
      </w:r>
      <w:r>
        <w:rPr>
          <w:rFonts w:ascii="Palatino Linotype" w:eastAsia="Calibri" w:hAnsi="Palatino Linotype"/>
          <w:b/>
          <w:lang w:val="es-MX" w:eastAsia="en-US"/>
        </w:rPr>
        <w:t>el Recurrente</w:t>
      </w:r>
      <w:r>
        <w:rPr>
          <w:rFonts w:ascii="Palatino Linotype" w:eastAsia="Calibri" w:hAnsi="Palatino Linotype"/>
          <w:lang w:val="es-MX" w:eastAsia="en-US"/>
        </w:rPr>
        <w:t xml:space="preserve"> no impugnó el total del contenido de la respuesta dada por el Sujeto Obligado, ello en virtud de que señaló expresamente la negativa de proporcionar la información solicitada solo en lo que respecta a </w:t>
      </w:r>
      <w:r w:rsidR="00EF738F">
        <w:rPr>
          <w:rFonts w:ascii="Palatino Linotype" w:eastAsia="Calibri" w:hAnsi="Palatino Linotype"/>
          <w:lang w:val="es-MX" w:eastAsia="en-US"/>
        </w:rPr>
        <w:t>algunos puntos</w:t>
      </w:r>
      <w:r>
        <w:rPr>
          <w:rFonts w:ascii="Palatino Linotype" w:eastAsia="Calibri" w:hAnsi="Palatino Linotype"/>
          <w:lang w:val="es-MX" w:eastAsia="en-US"/>
        </w:rPr>
        <w:t xml:space="preserve"> de la solicitud, al manifestar textualmente lo siguiente: </w:t>
      </w:r>
      <w:r>
        <w:rPr>
          <w:rFonts w:ascii="Palatino Linotype" w:eastAsia="Calibri" w:hAnsi="Palatino Linotype"/>
          <w:i/>
          <w:lang w:val="es-MX" w:eastAsia="en-US"/>
        </w:rPr>
        <w:t>“</w:t>
      </w:r>
      <w:r w:rsidRPr="00146720">
        <w:rPr>
          <w:rFonts w:ascii="Palatino Linotype" w:eastAsia="Calibri" w:hAnsi="Palatino Linotype"/>
          <w:i/>
          <w:u w:val="single"/>
          <w:lang w:val="es-MX" w:eastAsia="en-US"/>
        </w:rPr>
        <w:t xml:space="preserve">Solicité lo siguiente: 1.- Constancia de uso de suelo. 2.- Licencia de funcionamiento. 3.- Permiso de la autoridad sanitaria que permita al establecimiento el recibir aves vivas, sacrificarlas y procesarlas para su venta al mayoreo. 4.- Comprobantes con los cuales se acredite que se encuentra al corriente en el pago de sus impuestos locales, agua, predio, luz eléctrica. 5.- Permiso de construcción y autorización que le permita construir 3 niveles. </w:t>
      </w:r>
      <w:r w:rsidRPr="00146720">
        <w:rPr>
          <w:rFonts w:ascii="Palatino Linotype" w:eastAsia="Calibri" w:hAnsi="Palatino Linotype"/>
          <w:b/>
          <w:bCs/>
          <w:i/>
          <w:u w:val="single"/>
          <w:lang w:val="es-MX" w:eastAsia="en-US"/>
        </w:rPr>
        <w:t>Y solo me entregaron la Licencia Municipal de Uso de Suelo</w:t>
      </w:r>
      <w:r w:rsidRPr="00146720">
        <w:rPr>
          <w:rFonts w:ascii="Palatino Linotype" w:eastAsia="Calibri" w:hAnsi="Palatino Linotype"/>
          <w:i/>
          <w:u w:val="single"/>
          <w:lang w:val="es-MX" w:eastAsia="en-US"/>
        </w:rPr>
        <w:t xml:space="preserve"> que, por cierto, fue expedida solo para expendio de pollo cuando en realidad diariamente desde las 3 am reciben el pollo vivo para sacrificarlo, procesarlo, distribuirlo y venderlo</w:t>
      </w:r>
      <w:r>
        <w:rPr>
          <w:rFonts w:ascii="Palatino Linotype" w:eastAsia="Calibri" w:hAnsi="Palatino Linotype"/>
          <w:i/>
          <w:lang w:val="es-MX" w:eastAsia="en-US"/>
        </w:rPr>
        <w:t>” (sic)</w:t>
      </w:r>
    </w:p>
    <w:p w14:paraId="0F7B087A" w14:textId="77777777" w:rsidR="00146720" w:rsidRDefault="00146720" w:rsidP="00146720">
      <w:pPr>
        <w:spacing w:line="360" w:lineRule="auto"/>
        <w:jc w:val="both"/>
        <w:rPr>
          <w:rFonts w:ascii="Palatino Linotype" w:eastAsia="Calibri" w:hAnsi="Palatino Linotype"/>
          <w:lang w:val="es-MX" w:eastAsia="en-US"/>
        </w:rPr>
      </w:pPr>
    </w:p>
    <w:p w14:paraId="7E00F806" w14:textId="07A0500F" w:rsidR="00146720" w:rsidRDefault="00146720" w:rsidP="00146720">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En este tenor, se estima que </w:t>
      </w:r>
      <w:r>
        <w:rPr>
          <w:rFonts w:ascii="Palatino Linotype" w:eastAsia="Calibri" w:hAnsi="Palatino Linotype"/>
          <w:b/>
          <w:lang w:val="es-MX" w:eastAsia="en-US"/>
        </w:rPr>
        <w:t>el Recurrente</w:t>
      </w:r>
      <w:r>
        <w:rPr>
          <w:rFonts w:ascii="Palatino Linotype" w:eastAsia="Calibri" w:hAnsi="Palatino Linotype"/>
          <w:lang w:val="es-MX" w:eastAsia="en-US"/>
        </w:rPr>
        <w:t xml:space="preserve"> está conforme con los documentos que le fueron entregados referentes al documento en donde conste la licencia de uso de suelo del predio referido por el particular, por lo que el motivo de su inconformidad radica en que no se entregó la l</w:t>
      </w:r>
      <w:r w:rsidRPr="00146720">
        <w:rPr>
          <w:rFonts w:ascii="Palatino Linotype" w:eastAsia="Calibri" w:hAnsi="Palatino Linotype"/>
          <w:lang w:val="es-MX" w:eastAsia="en-US"/>
        </w:rPr>
        <w:t>icencia de funcionamiento</w:t>
      </w:r>
      <w:r>
        <w:rPr>
          <w:rFonts w:ascii="Palatino Linotype" w:eastAsia="Calibri" w:hAnsi="Palatino Linotype"/>
          <w:lang w:val="es-MX" w:eastAsia="en-US"/>
        </w:rPr>
        <w:t>, p</w:t>
      </w:r>
      <w:r w:rsidRPr="00146720">
        <w:rPr>
          <w:rFonts w:ascii="Palatino Linotype" w:eastAsia="Calibri" w:hAnsi="Palatino Linotype"/>
          <w:lang w:val="es-MX" w:eastAsia="en-US"/>
        </w:rPr>
        <w:t>ermiso de la autoridad sanitaria que permita al establecimiento el recibir aves vivas, sacrificarlas y procesarlas para su venta al mayoreo</w:t>
      </w:r>
      <w:r>
        <w:rPr>
          <w:rFonts w:ascii="Palatino Linotype" w:eastAsia="Calibri" w:hAnsi="Palatino Linotype"/>
          <w:lang w:val="es-MX" w:eastAsia="en-US"/>
        </w:rPr>
        <w:t>, c</w:t>
      </w:r>
      <w:r w:rsidRPr="00146720">
        <w:rPr>
          <w:rFonts w:ascii="Palatino Linotype" w:eastAsia="Calibri" w:hAnsi="Palatino Linotype"/>
          <w:lang w:val="es-MX" w:eastAsia="en-US"/>
        </w:rPr>
        <w:t>omprobantes de pago de los servicios de agua</w:t>
      </w:r>
      <w:r>
        <w:rPr>
          <w:rFonts w:ascii="Palatino Linotype" w:eastAsia="Calibri" w:hAnsi="Palatino Linotype"/>
          <w:lang w:val="es-MX" w:eastAsia="en-US"/>
        </w:rPr>
        <w:t>,</w:t>
      </w:r>
      <w:r w:rsidRPr="00146720">
        <w:rPr>
          <w:rFonts w:ascii="Palatino Linotype" w:eastAsia="Calibri" w:hAnsi="Palatino Linotype"/>
          <w:lang w:val="es-MX" w:eastAsia="en-US"/>
        </w:rPr>
        <w:t xml:space="preserve"> luz eléctrica</w:t>
      </w:r>
      <w:r>
        <w:rPr>
          <w:rFonts w:ascii="Palatino Linotype" w:eastAsia="Calibri" w:hAnsi="Palatino Linotype"/>
          <w:lang w:val="es-MX" w:eastAsia="en-US"/>
        </w:rPr>
        <w:t xml:space="preserve"> y </w:t>
      </w:r>
      <w:r>
        <w:rPr>
          <w:rFonts w:ascii="Palatino Linotype" w:eastAsia="Calibri" w:hAnsi="Palatino Linotype"/>
          <w:lang w:val="es-MX" w:eastAsia="en-US"/>
        </w:rPr>
        <w:lastRenderedPageBreak/>
        <w:t>predial y el p</w:t>
      </w:r>
      <w:r w:rsidRPr="00146720">
        <w:rPr>
          <w:rFonts w:ascii="Palatino Linotype" w:eastAsia="Calibri" w:hAnsi="Palatino Linotype"/>
          <w:lang w:val="es-MX" w:eastAsia="en-US"/>
        </w:rPr>
        <w:t>ermiso de construcción</w:t>
      </w:r>
      <w:r>
        <w:rPr>
          <w:rFonts w:ascii="Palatino Linotype" w:eastAsia="Calibri" w:hAnsi="Palatino Linotype"/>
          <w:lang w:val="es-MX" w:eastAsia="en-US"/>
        </w:rPr>
        <w:t xml:space="preserve"> del predio en referencia, por lo que puede colegirse que la respuesta fue parcialmente consentida. </w:t>
      </w:r>
    </w:p>
    <w:p w14:paraId="0637F7DE" w14:textId="77777777" w:rsidR="00146720" w:rsidRDefault="00146720" w:rsidP="00146720">
      <w:pPr>
        <w:spacing w:line="360" w:lineRule="auto"/>
        <w:jc w:val="both"/>
        <w:rPr>
          <w:rFonts w:ascii="Palatino Linotype" w:eastAsia="Calibri" w:hAnsi="Palatino Linotype"/>
          <w:lang w:val="es-MX" w:eastAsia="en-US"/>
        </w:rPr>
      </w:pPr>
    </w:p>
    <w:p w14:paraId="2C2CB287" w14:textId="77777777" w:rsidR="00146720" w:rsidRDefault="00146720" w:rsidP="00146720">
      <w:pPr>
        <w:spacing w:line="360" w:lineRule="auto"/>
        <w:jc w:val="both"/>
        <w:rPr>
          <w:rFonts w:ascii="Palatino Linotype" w:eastAsia="Calibri" w:hAnsi="Palatino Linotype" w:cs="Arial"/>
          <w:lang w:val="es-MX" w:eastAsia="es-MX"/>
        </w:rPr>
      </w:pPr>
      <w:r>
        <w:rPr>
          <w:rFonts w:ascii="Palatino Linotype" w:eastAsia="Calibri" w:hAnsi="Palatino Linotype" w:cs="Arial"/>
          <w:lang w:val="es-MX"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9C9A555" w14:textId="77777777" w:rsidR="00146720" w:rsidRDefault="00146720" w:rsidP="00146720">
      <w:pPr>
        <w:spacing w:line="360" w:lineRule="auto"/>
        <w:jc w:val="both"/>
        <w:rPr>
          <w:rFonts w:ascii="Palatino Linotype" w:eastAsia="Calibri" w:hAnsi="Palatino Linotype" w:cs="Arial"/>
          <w:lang w:val="es-MX" w:eastAsia="en-US"/>
        </w:rPr>
      </w:pPr>
    </w:p>
    <w:p w14:paraId="57D881DF" w14:textId="77777777" w:rsidR="00146720" w:rsidRDefault="00146720" w:rsidP="00146720">
      <w:pPr>
        <w:ind w:left="567" w:right="567"/>
        <w:jc w:val="both"/>
        <w:rPr>
          <w:rFonts w:ascii="Palatino Linotype" w:eastAsia="Calibri" w:hAnsi="Palatino Linotype"/>
          <w:i/>
          <w:sz w:val="22"/>
          <w:szCs w:val="22"/>
          <w:lang w:val="es-MX" w:eastAsia="es-MX"/>
        </w:rPr>
      </w:pPr>
      <w:r>
        <w:rPr>
          <w:rFonts w:ascii="Palatino Linotype" w:eastAsia="Calibri" w:hAnsi="Palatino Linotype"/>
          <w:b/>
          <w:i/>
          <w:sz w:val="22"/>
          <w:szCs w:val="22"/>
          <w:lang w:val="es-MX" w:eastAsia="es-MX"/>
        </w:rPr>
        <w:t>REVISIÓN EN AMPARO. LOS RESOLUTIVOS NO COMBATIDOS DEBEN DECLARARSE FIRMES</w:t>
      </w:r>
      <w:r>
        <w:rPr>
          <w:rFonts w:ascii="Palatino Linotype" w:eastAsia="Calibri" w:hAnsi="Palatino Linotype"/>
          <w:i/>
          <w:sz w:val="22"/>
          <w:szCs w:val="22"/>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7FB399B" w14:textId="77777777" w:rsidR="00146720" w:rsidRDefault="00146720" w:rsidP="00146720">
      <w:pPr>
        <w:spacing w:line="360" w:lineRule="auto"/>
        <w:jc w:val="both"/>
        <w:rPr>
          <w:rFonts w:ascii="Palatino Linotype" w:eastAsia="Calibri" w:hAnsi="Palatino Linotype"/>
          <w:lang w:val="es-MX" w:eastAsia="en-US"/>
        </w:rPr>
      </w:pPr>
    </w:p>
    <w:p w14:paraId="6BDDB0DE" w14:textId="77777777" w:rsidR="00146720" w:rsidRDefault="00146720" w:rsidP="00146720">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32D73261" w14:textId="77777777" w:rsidR="00146720" w:rsidRDefault="00146720" w:rsidP="00146720">
      <w:pPr>
        <w:spacing w:line="360" w:lineRule="auto"/>
        <w:jc w:val="both"/>
        <w:rPr>
          <w:rFonts w:ascii="Palatino Linotype" w:eastAsia="Calibri" w:hAnsi="Palatino Linotype"/>
          <w:lang w:val="es-MX" w:eastAsia="en-US"/>
        </w:rPr>
      </w:pPr>
    </w:p>
    <w:p w14:paraId="04B4854A" w14:textId="77777777" w:rsidR="00146720" w:rsidRDefault="00146720" w:rsidP="00146720">
      <w:pPr>
        <w:ind w:left="567" w:right="567"/>
        <w:jc w:val="both"/>
        <w:rPr>
          <w:rFonts w:ascii="Palatino Linotype" w:eastAsia="Calibri" w:hAnsi="Palatino Linotype"/>
          <w:i/>
          <w:sz w:val="22"/>
          <w:szCs w:val="22"/>
          <w:lang w:val="es-MX" w:eastAsia="en-US"/>
        </w:rPr>
      </w:pPr>
      <w:r>
        <w:rPr>
          <w:rFonts w:ascii="Palatino Linotype" w:eastAsia="Calibri" w:hAnsi="Palatino Linotype"/>
          <w:b/>
          <w:i/>
          <w:sz w:val="22"/>
          <w:szCs w:val="22"/>
          <w:lang w:val="es-MX" w:eastAsia="en-US"/>
        </w:rPr>
        <w:t>ACTOS CONSENTIDOS. SON LOS QUE NO SE IMPUGNAN MEDIANTE EL RECURSO IDÓNEO.</w:t>
      </w:r>
      <w:r>
        <w:rPr>
          <w:rFonts w:ascii="Palatino Linotype" w:eastAsia="Calibri" w:hAnsi="Palatino Linotype"/>
          <w:i/>
          <w:sz w:val="22"/>
          <w:szCs w:val="22"/>
          <w:lang w:val="es-MX" w:eastAsia="en-US"/>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C6A1764" w14:textId="77777777" w:rsidR="00146720" w:rsidRDefault="00146720" w:rsidP="00146720">
      <w:pPr>
        <w:spacing w:line="360" w:lineRule="auto"/>
        <w:jc w:val="both"/>
        <w:rPr>
          <w:rFonts w:ascii="Palatino Linotype" w:eastAsia="Calibri" w:hAnsi="Palatino Linotype"/>
          <w:lang w:val="es-MX" w:eastAsia="en-US"/>
        </w:rPr>
      </w:pPr>
    </w:p>
    <w:p w14:paraId="4600333F" w14:textId="750CB553" w:rsidR="00146720" w:rsidRPr="00146720" w:rsidRDefault="00146720" w:rsidP="00303385">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Así, una vez establecido que el motivo de inconformidad del Recurrente es la negativa de información respecto de </w:t>
      </w:r>
      <w:r w:rsidRPr="00146720">
        <w:rPr>
          <w:rFonts w:ascii="Palatino Linotype" w:eastAsia="Calibri" w:hAnsi="Palatino Linotype"/>
          <w:lang w:val="es-MX" w:eastAsia="en-US"/>
        </w:rPr>
        <w:t xml:space="preserve">la licencia de funcionamiento, permiso de la autoridad sanitaria que permita al establecimiento el recibir aves vivas, sacrificarlas y procesarlas para su venta al mayoreo, comprobantes de pago de los servicios de agua, luz eléctrica y predial y el permiso de construcción del predio en </w:t>
      </w:r>
      <w:r>
        <w:rPr>
          <w:rFonts w:ascii="Palatino Linotype" w:eastAsia="Calibri" w:hAnsi="Palatino Linotype"/>
          <w:lang w:val="es-MX" w:eastAsia="en-US"/>
        </w:rPr>
        <w:t xml:space="preserve">referido, se infiere que la </w:t>
      </w:r>
      <w:r>
        <w:rPr>
          <w:rFonts w:ascii="Palatino Linotype" w:eastAsia="Calibri" w:hAnsi="Palatino Linotype"/>
          <w:i/>
          <w:lang w:val="es-MX" w:eastAsia="en-US"/>
        </w:rPr>
        <w:t xml:space="preserve">litis </w:t>
      </w:r>
      <w:r>
        <w:rPr>
          <w:rFonts w:ascii="Palatino Linotype" w:eastAsia="Calibri" w:hAnsi="Palatino Linotype"/>
          <w:lang w:val="es-MX" w:eastAsia="en-US"/>
        </w:rPr>
        <w:t xml:space="preserve">radica en establecer si el Sujeto Obligado entregó lo señalado como documentación faltante. </w:t>
      </w:r>
    </w:p>
    <w:p w14:paraId="04984493" w14:textId="77777777" w:rsidR="002D1630" w:rsidRPr="00A87485" w:rsidRDefault="002D1630" w:rsidP="002D1630">
      <w:pPr>
        <w:autoSpaceDE w:val="0"/>
        <w:autoSpaceDN w:val="0"/>
        <w:adjustRightInd w:val="0"/>
        <w:spacing w:line="360" w:lineRule="auto"/>
        <w:jc w:val="both"/>
        <w:rPr>
          <w:rFonts w:ascii="Palatino Linotype" w:hAnsi="Palatino Linotype"/>
        </w:rPr>
      </w:pPr>
    </w:p>
    <w:p w14:paraId="64EF2227" w14:textId="0FEBCE9C" w:rsidR="00A87485" w:rsidRPr="00A87485" w:rsidRDefault="00303385" w:rsidP="00A87485">
      <w:pPr>
        <w:autoSpaceDE w:val="0"/>
        <w:autoSpaceDN w:val="0"/>
        <w:adjustRightInd w:val="0"/>
        <w:spacing w:line="360" w:lineRule="auto"/>
        <w:jc w:val="both"/>
        <w:rPr>
          <w:rFonts w:ascii="Palatino Linotype" w:hAnsi="Palatino Linotype"/>
        </w:rPr>
      </w:pPr>
      <w:r>
        <w:rPr>
          <w:rFonts w:ascii="Palatino Linotype" w:hAnsi="Palatino Linotype"/>
        </w:rPr>
        <w:t>En ese tenor</w:t>
      </w:r>
      <w:r w:rsidR="00A87485" w:rsidRPr="00A87485">
        <w:rPr>
          <w:rFonts w:ascii="Palatino Linotype" w:hAnsi="Palatino Linotype"/>
        </w:rPr>
        <w:t>, es importante precisar que, de la solicitud de información, así como la respuesta proporcionada a la misma, se desprenden diversos documentos, y con el fin de facilitar el estudio, es necesario realizar un cuadro comparativo, para mejor proveer respecto de lo peticionado y lo entregado, el cual se vislumbra en los términos siguientes:</w:t>
      </w:r>
    </w:p>
    <w:p w14:paraId="44FE258F" w14:textId="77777777" w:rsidR="00A87485" w:rsidRPr="00A87485"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441"/>
        <w:gridCol w:w="4097"/>
        <w:gridCol w:w="1524"/>
      </w:tblGrid>
      <w:tr w:rsidR="00A87485" w:rsidRPr="00A87485" w14:paraId="300FCB3C" w14:textId="77777777" w:rsidTr="00146720">
        <w:trPr>
          <w:cantSplit/>
          <w:trHeight w:val="651"/>
        </w:trPr>
        <w:tc>
          <w:tcPr>
            <w:tcW w:w="3441" w:type="dxa"/>
            <w:shd w:val="clear" w:color="auto" w:fill="BFBFBF"/>
            <w:vAlign w:val="center"/>
          </w:tcPr>
          <w:p w14:paraId="64F3AE4C" w14:textId="77777777" w:rsidR="00A87485" w:rsidRPr="00A87485" w:rsidRDefault="00A87485" w:rsidP="00A87485">
            <w:pPr>
              <w:spacing w:line="360" w:lineRule="auto"/>
              <w:jc w:val="center"/>
              <w:rPr>
                <w:rFonts w:ascii="Palatino Linotype" w:eastAsia="Calibri" w:hAnsi="Palatino Linotype"/>
                <w:b/>
                <w:lang w:val="es-MX" w:eastAsia="es-MX"/>
              </w:rPr>
            </w:pPr>
            <w:r w:rsidRPr="00A87485">
              <w:rPr>
                <w:rFonts w:ascii="Palatino Linotype" w:eastAsia="Calibri" w:hAnsi="Palatino Linotype"/>
                <w:b/>
                <w:lang w:val="es-MX" w:eastAsia="es-MX"/>
              </w:rPr>
              <w:t>Solicitud</w:t>
            </w:r>
          </w:p>
        </w:tc>
        <w:tc>
          <w:tcPr>
            <w:tcW w:w="4097" w:type="dxa"/>
            <w:shd w:val="clear" w:color="auto" w:fill="BFBFBF"/>
            <w:vAlign w:val="center"/>
          </w:tcPr>
          <w:p w14:paraId="73728128" w14:textId="2C2A3128" w:rsidR="00A87485" w:rsidRPr="00A87485" w:rsidRDefault="008740B7" w:rsidP="00A87485">
            <w:pPr>
              <w:spacing w:line="360" w:lineRule="auto"/>
              <w:jc w:val="center"/>
              <w:rPr>
                <w:rFonts w:ascii="Palatino Linotype" w:eastAsia="Calibri" w:hAnsi="Palatino Linotype"/>
                <w:b/>
                <w:lang w:val="es-MX" w:eastAsia="es-MX"/>
              </w:rPr>
            </w:pPr>
            <w:r>
              <w:rPr>
                <w:rFonts w:ascii="Palatino Linotype" w:eastAsia="Calibri" w:hAnsi="Palatino Linotype"/>
                <w:b/>
                <w:lang w:val="es-MX" w:eastAsia="es-MX"/>
              </w:rPr>
              <w:t xml:space="preserve">Respuesta </w:t>
            </w:r>
          </w:p>
        </w:tc>
        <w:tc>
          <w:tcPr>
            <w:tcW w:w="1524" w:type="dxa"/>
            <w:shd w:val="clear" w:color="auto" w:fill="BFBFBF"/>
            <w:vAlign w:val="center"/>
          </w:tcPr>
          <w:p w14:paraId="0AD1DCC9" w14:textId="77777777" w:rsidR="00A87485" w:rsidRPr="00A87485" w:rsidRDefault="00A87485" w:rsidP="00A87485">
            <w:pPr>
              <w:spacing w:line="360" w:lineRule="auto"/>
              <w:jc w:val="center"/>
              <w:rPr>
                <w:rFonts w:ascii="Palatino Linotype" w:eastAsia="Calibri" w:hAnsi="Palatino Linotype"/>
                <w:b/>
                <w:lang w:val="es-MX" w:eastAsia="es-MX"/>
              </w:rPr>
            </w:pPr>
            <w:r w:rsidRPr="00A87485">
              <w:rPr>
                <w:rFonts w:ascii="Palatino Linotype" w:eastAsia="Calibri" w:hAnsi="Palatino Linotype"/>
                <w:b/>
                <w:lang w:val="es-MX" w:eastAsia="es-MX"/>
              </w:rPr>
              <w:t>Colma</w:t>
            </w:r>
          </w:p>
        </w:tc>
      </w:tr>
      <w:tr w:rsidR="00146720" w:rsidRPr="00A87485" w14:paraId="33513375" w14:textId="77777777" w:rsidTr="00215ED8">
        <w:tc>
          <w:tcPr>
            <w:tcW w:w="9062" w:type="dxa"/>
            <w:gridSpan w:val="3"/>
            <w:vAlign w:val="center"/>
          </w:tcPr>
          <w:p w14:paraId="6C87DDB4" w14:textId="708151C0" w:rsidR="00146720" w:rsidRPr="00146720" w:rsidRDefault="00146720" w:rsidP="00146720">
            <w:pPr>
              <w:spacing w:before="120" w:after="120"/>
              <w:rPr>
                <w:rFonts w:ascii="Palatino Linotype" w:hAnsi="Palatino Linotype"/>
                <w:b/>
                <w:sz w:val="22"/>
                <w:szCs w:val="22"/>
                <w:lang w:eastAsia="es-MX"/>
              </w:rPr>
            </w:pPr>
            <w:r>
              <w:rPr>
                <w:rFonts w:ascii="Palatino Linotype" w:hAnsi="Palatino Linotype"/>
                <w:b/>
                <w:lang w:eastAsia="es-MX"/>
              </w:rPr>
              <w:t>R</w:t>
            </w:r>
            <w:r w:rsidRPr="00146720">
              <w:rPr>
                <w:rFonts w:ascii="Palatino Linotype" w:hAnsi="Palatino Linotype"/>
                <w:b/>
                <w:lang w:eastAsia="es-MX"/>
              </w:rPr>
              <w:t>especto del predio referido en la solicitud de información con número de folio 00003/NEZA/IP/2022, el o los documentos en donde conste, lo siguiente</w:t>
            </w:r>
            <w:r>
              <w:rPr>
                <w:rFonts w:ascii="Palatino Linotype" w:hAnsi="Palatino Linotype"/>
                <w:b/>
                <w:lang w:eastAsia="es-MX"/>
              </w:rPr>
              <w:t>:</w:t>
            </w:r>
          </w:p>
        </w:tc>
      </w:tr>
      <w:tr w:rsidR="00C77741" w:rsidRPr="00A87485" w14:paraId="0FE66CE9" w14:textId="77777777" w:rsidTr="00146720">
        <w:tc>
          <w:tcPr>
            <w:tcW w:w="3441" w:type="dxa"/>
            <w:vAlign w:val="center"/>
          </w:tcPr>
          <w:p w14:paraId="3AA96E8D" w14:textId="77E0A06E" w:rsidR="00C77741" w:rsidRPr="00013A05" w:rsidRDefault="00C77741" w:rsidP="00C77741">
            <w:pPr>
              <w:spacing w:before="240" w:after="240"/>
              <w:rPr>
                <w:rFonts w:ascii="Palatino Linotype" w:eastAsia="Calibri" w:hAnsi="Palatino Linotype"/>
                <w:iCs/>
                <w:sz w:val="22"/>
                <w:szCs w:val="22"/>
                <w:lang w:val="es-ES_tradnl" w:eastAsia="es-MX"/>
              </w:rPr>
            </w:pPr>
            <w:bookmarkStart w:id="3" w:name="_Hlk83147888"/>
            <w:r w:rsidRPr="00CB1908">
              <w:rPr>
                <w:rFonts w:ascii="Palatino Linotype" w:eastAsia="Calibri" w:hAnsi="Palatino Linotype"/>
                <w:sz w:val="22"/>
                <w:szCs w:val="22"/>
                <w:lang w:val="es-MX" w:eastAsia="es-MX"/>
              </w:rPr>
              <w:lastRenderedPageBreak/>
              <w:t>1.</w:t>
            </w:r>
            <w:r>
              <w:rPr>
                <w:rFonts w:ascii="Palatino Linotype" w:eastAsia="Calibri" w:hAnsi="Palatino Linotype"/>
                <w:sz w:val="22"/>
                <w:szCs w:val="22"/>
                <w:lang w:val="es-MX" w:eastAsia="es-MX"/>
              </w:rPr>
              <w:t xml:space="preserve"> </w:t>
            </w:r>
            <w:bookmarkStart w:id="4" w:name="_Hlk96706918"/>
            <w:r w:rsidR="00146720" w:rsidRPr="00146720">
              <w:rPr>
                <w:rFonts w:ascii="Palatino Linotype" w:eastAsia="Calibri" w:hAnsi="Palatino Linotype"/>
                <w:sz w:val="22"/>
                <w:szCs w:val="22"/>
                <w:lang w:val="es-MX" w:eastAsia="es-MX"/>
              </w:rPr>
              <w:t>Constancia de uso de suelo</w:t>
            </w:r>
            <w:bookmarkEnd w:id="4"/>
            <w:r w:rsidRPr="00CB1908">
              <w:rPr>
                <w:rFonts w:ascii="Palatino Linotype" w:eastAsia="Calibri" w:hAnsi="Palatino Linotype"/>
                <w:sz w:val="22"/>
                <w:szCs w:val="22"/>
                <w:lang w:val="es-MX" w:eastAsia="es-MX"/>
              </w:rPr>
              <w:t>.</w:t>
            </w:r>
          </w:p>
        </w:tc>
        <w:tc>
          <w:tcPr>
            <w:tcW w:w="4097" w:type="dxa"/>
            <w:vAlign w:val="center"/>
          </w:tcPr>
          <w:p w14:paraId="1102F21D" w14:textId="0DB83EC2" w:rsidR="00C77741" w:rsidRPr="00A87485" w:rsidRDefault="00B26EBF" w:rsidP="00C77741">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Actos consentidos.</w:t>
            </w:r>
          </w:p>
        </w:tc>
        <w:tc>
          <w:tcPr>
            <w:tcW w:w="1524" w:type="dxa"/>
            <w:vAlign w:val="center"/>
          </w:tcPr>
          <w:p w14:paraId="390F02AD" w14:textId="1F1E2979" w:rsidR="00C77741" w:rsidRPr="00C77741" w:rsidRDefault="00C77741" w:rsidP="00C77741">
            <w:pPr>
              <w:spacing w:before="240" w:after="240"/>
              <w:jc w:val="center"/>
              <w:rPr>
                <w:rFonts w:ascii="Palatino Linotype" w:hAnsi="Palatino Linotype"/>
                <w:b/>
                <w:sz w:val="28"/>
                <w:szCs w:val="28"/>
                <w:lang w:eastAsia="es-MX"/>
              </w:rPr>
            </w:pPr>
            <w:r>
              <w:rPr>
                <w:rFonts w:ascii="Palatino Linotype" w:hAnsi="Palatino Linotype"/>
                <w:b/>
                <w:sz w:val="28"/>
                <w:szCs w:val="28"/>
                <w:lang w:eastAsia="es-MX"/>
              </w:rPr>
              <w:sym w:font="Wingdings" w:char="F0FC"/>
            </w:r>
          </w:p>
        </w:tc>
      </w:tr>
      <w:bookmarkEnd w:id="3"/>
      <w:tr w:rsidR="005107A4" w:rsidRPr="00A87485" w14:paraId="466C112D" w14:textId="77777777" w:rsidTr="00146720">
        <w:tc>
          <w:tcPr>
            <w:tcW w:w="3441" w:type="dxa"/>
            <w:vAlign w:val="center"/>
          </w:tcPr>
          <w:p w14:paraId="6D95F150" w14:textId="511AD6DC" w:rsidR="005107A4" w:rsidRPr="00013A05" w:rsidRDefault="005107A4" w:rsidP="005107A4">
            <w:pPr>
              <w:spacing w:before="240" w:after="240"/>
              <w:rPr>
                <w:rFonts w:ascii="Palatino Linotype" w:eastAsia="Calibri" w:hAnsi="Palatino Linotype"/>
                <w:iCs/>
                <w:sz w:val="22"/>
                <w:szCs w:val="22"/>
                <w:lang w:val="es-ES_tradnl" w:eastAsia="es-MX"/>
              </w:rPr>
            </w:pPr>
            <w:r w:rsidRPr="00CB1908">
              <w:rPr>
                <w:rFonts w:ascii="Palatino Linotype" w:eastAsia="Calibri" w:hAnsi="Palatino Linotype"/>
                <w:iCs/>
                <w:sz w:val="22"/>
                <w:szCs w:val="22"/>
                <w:lang w:val="es-ES_tradnl" w:eastAsia="es-MX"/>
              </w:rPr>
              <w:t>2.</w:t>
            </w:r>
            <w:r>
              <w:rPr>
                <w:rFonts w:ascii="Palatino Linotype" w:eastAsia="Calibri" w:hAnsi="Palatino Linotype"/>
                <w:iCs/>
                <w:sz w:val="22"/>
                <w:szCs w:val="22"/>
                <w:lang w:val="es-ES_tradnl" w:eastAsia="es-MX"/>
              </w:rPr>
              <w:t xml:space="preserve"> </w:t>
            </w:r>
            <w:r w:rsidRPr="00146720">
              <w:rPr>
                <w:rFonts w:ascii="Palatino Linotype" w:eastAsia="Calibri" w:hAnsi="Palatino Linotype"/>
                <w:iCs/>
                <w:sz w:val="22"/>
                <w:szCs w:val="22"/>
                <w:lang w:val="es-ES_tradnl" w:eastAsia="es-MX"/>
              </w:rPr>
              <w:t>Licencia de funcionamiento</w:t>
            </w:r>
            <w:r w:rsidRPr="00CB1908">
              <w:rPr>
                <w:rFonts w:ascii="Palatino Linotype" w:eastAsia="Calibri" w:hAnsi="Palatino Linotype"/>
                <w:iCs/>
                <w:sz w:val="22"/>
                <w:szCs w:val="22"/>
                <w:lang w:val="es-ES_tradnl" w:eastAsia="es-MX"/>
              </w:rPr>
              <w:t>.</w:t>
            </w:r>
          </w:p>
        </w:tc>
        <w:tc>
          <w:tcPr>
            <w:tcW w:w="4097" w:type="dxa"/>
            <w:vAlign w:val="center"/>
          </w:tcPr>
          <w:p w14:paraId="2C578818" w14:textId="5B21C26E" w:rsidR="005107A4" w:rsidRPr="00A87485" w:rsidRDefault="005107A4" w:rsidP="005107A4">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 xml:space="preserve">Informó a través del </w:t>
            </w:r>
            <w:r w:rsidRPr="005107A4">
              <w:rPr>
                <w:rFonts w:ascii="Palatino Linotype" w:eastAsia="Calibri" w:hAnsi="Palatino Linotype"/>
                <w:sz w:val="22"/>
                <w:szCs w:val="22"/>
                <w:lang w:val="es-MX" w:eastAsia="es-MX"/>
              </w:rPr>
              <w:t xml:space="preserve">Director de Fomento Económico </w:t>
            </w:r>
            <w:r>
              <w:rPr>
                <w:rFonts w:ascii="Palatino Linotype" w:eastAsia="Calibri" w:hAnsi="Palatino Linotype"/>
                <w:sz w:val="22"/>
                <w:szCs w:val="22"/>
                <w:lang w:val="es-MX" w:eastAsia="es-MX"/>
              </w:rPr>
              <w:t>que el</w:t>
            </w:r>
            <w:r w:rsidRPr="00B26EBF">
              <w:rPr>
                <w:rFonts w:ascii="Palatino Linotype" w:eastAsia="Calibri" w:hAnsi="Palatino Linotype"/>
                <w:sz w:val="22"/>
                <w:szCs w:val="22"/>
                <w:lang w:val="es-MX" w:eastAsia="es-MX"/>
              </w:rPr>
              <w:t xml:space="preserve"> único documento</w:t>
            </w:r>
            <w:r>
              <w:rPr>
                <w:rFonts w:ascii="Palatino Linotype" w:eastAsia="Calibri" w:hAnsi="Palatino Linotype"/>
                <w:sz w:val="22"/>
                <w:szCs w:val="22"/>
                <w:lang w:val="es-MX" w:eastAsia="es-MX"/>
              </w:rPr>
              <w:t xml:space="preserve"> que obra en sus archivos</w:t>
            </w:r>
            <w:r w:rsidRPr="00B26EBF">
              <w:rPr>
                <w:rFonts w:ascii="Palatino Linotype" w:eastAsia="Calibri" w:hAnsi="Palatino Linotype"/>
                <w:sz w:val="22"/>
                <w:szCs w:val="22"/>
                <w:lang w:val="es-MX" w:eastAsia="es-MX"/>
              </w:rPr>
              <w:t xml:space="preserve">, </w:t>
            </w:r>
            <w:r>
              <w:rPr>
                <w:rFonts w:ascii="Palatino Linotype" w:eastAsia="Calibri" w:hAnsi="Palatino Linotype"/>
                <w:sz w:val="22"/>
                <w:szCs w:val="22"/>
                <w:lang w:val="es-MX" w:eastAsia="es-MX"/>
              </w:rPr>
              <w:t>es</w:t>
            </w:r>
            <w:r w:rsidRPr="00B26EBF">
              <w:rPr>
                <w:rFonts w:ascii="Palatino Linotype" w:eastAsia="Calibri" w:hAnsi="Palatino Linotype"/>
                <w:sz w:val="22"/>
                <w:szCs w:val="22"/>
                <w:lang w:val="es-MX" w:eastAsia="es-MX"/>
              </w:rPr>
              <w:t xml:space="preserve"> el Formato de Solicitud de Licencia de uso de Suelo Comercial, sobre el predio referido en la solicitud de acceso a la información</w:t>
            </w:r>
            <w:r w:rsidR="00EF738F">
              <w:rPr>
                <w:rFonts w:ascii="Palatino Linotype" w:eastAsia="Calibri" w:hAnsi="Palatino Linotype"/>
                <w:sz w:val="22"/>
                <w:szCs w:val="22"/>
                <w:lang w:val="es-MX" w:eastAsia="es-MX"/>
              </w:rPr>
              <w:t>.</w:t>
            </w:r>
          </w:p>
        </w:tc>
        <w:tc>
          <w:tcPr>
            <w:tcW w:w="1524" w:type="dxa"/>
            <w:vAlign w:val="center"/>
          </w:tcPr>
          <w:p w14:paraId="350CC847" w14:textId="20D03EDA" w:rsidR="005107A4" w:rsidRPr="00A87485" w:rsidRDefault="005107A4" w:rsidP="005107A4">
            <w:pPr>
              <w:spacing w:before="240" w:after="240"/>
              <w:jc w:val="center"/>
              <w:rPr>
                <w:rFonts w:ascii="Palatino Linotype" w:eastAsia="Calibri" w:hAnsi="Palatino Linotype"/>
                <w:b/>
                <w:sz w:val="28"/>
                <w:szCs w:val="28"/>
                <w:lang w:val="es-MX" w:eastAsia="es-MX"/>
              </w:rPr>
            </w:pPr>
            <w:r>
              <w:rPr>
                <w:rFonts w:ascii="Palatino Linotype" w:hAnsi="Palatino Linotype"/>
                <w:b/>
                <w:sz w:val="28"/>
                <w:szCs w:val="28"/>
                <w:lang w:eastAsia="es-MX"/>
              </w:rPr>
              <w:sym w:font="Wingdings" w:char="F0FC"/>
            </w:r>
          </w:p>
        </w:tc>
      </w:tr>
      <w:tr w:rsidR="008740B7" w:rsidRPr="00A87485" w14:paraId="18257218" w14:textId="77777777" w:rsidTr="00146720">
        <w:tc>
          <w:tcPr>
            <w:tcW w:w="3441" w:type="dxa"/>
            <w:vAlign w:val="center"/>
          </w:tcPr>
          <w:p w14:paraId="416C0B8F" w14:textId="533A9D76" w:rsidR="008740B7" w:rsidRDefault="00CB1908" w:rsidP="008740B7">
            <w:pPr>
              <w:spacing w:before="240" w:after="240"/>
              <w:rPr>
                <w:rFonts w:ascii="Palatino Linotype" w:eastAsia="Calibri" w:hAnsi="Palatino Linotype"/>
                <w:iCs/>
                <w:sz w:val="22"/>
                <w:szCs w:val="22"/>
                <w:lang w:val="es-ES_tradnl" w:eastAsia="es-MX"/>
              </w:rPr>
            </w:pPr>
            <w:r w:rsidRPr="00CB1908">
              <w:rPr>
                <w:rFonts w:ascii="Palatino Linotype" w:eastAsia="Calibri" w:hAnsi="Palatino Linotype"/>
                <w:iCs/>
                <w:sz w:val="22"/>
                <w:szCs w:val="22"/>
                <w:lang w:eastAsia="es-MX"/>
              </w:rPr>
              <w:t>3.</w:t>
            </w:r>
            <w:r>
              <w:rPr>
                <w:rFonts w:ascii="Palatino Linotype" w:eastAsia="Calibri" w:hAnsi="Palatino Linotype"/>
                <w:iCs/>
                <w:sz w:val="22"/>
                <w:szCs w:val="22"/>
                <w:lang w:eastAsia="es-MX"/>
              </w:rPr>
              <w:t xml:space="preserve"> </w:t>
            </w:r>
            <w:bookmarkStart w:id="5" w:name="_Hlk96711923"/>
            <w:r w:rsidR="00146720" w:rsidRPr="00146720">
              <w:rPr>
                <w:rFonts w:ascii="Palatino Linotype" w:eastAsia="Calibri" w:hAnsi="Palatino Linotype"/>
                <w:iCs/>
                <w:sz w:val="22"/>
                <w:szCs w:val="22"/>
                <w:lang w:eastAsia="es-MX"/>
              </w:rPr>
              <w:t>Permiso de la autoridad sanitaria que permita al establecimiento el recibir aves vivas, sacrificarlas y procesarlas para su venta al mayoreo</w:t>
            </w:r>
            <w:bookmarkEnd w:id="5"/>
            <w:r w:rsidR="00146720" w:rsidRPr="00146720">
              <w:rPr>
                <w:rFonts w:ascii="Palatino Linotype" w:eastAsia="Calibri" w:hAnsi="Palatino Linotype"/>
                <w:iCs/>
                <w:sz w:val="22"/>
                <w:szCs w:val="22"/>
                <w:lang w:eastAsia="es-MX"/>
              </w:rPr>
              <w:t>.</w:t>
            </w:r>
          </w:p>
        </w:tc>
        <w:tc>
          <w:tcPr>
            <w:tcW w:w="4097" w:type="dxa"/>
            <w:vAlign w:val="center"/>
          </w:tcPr>
          <w:p w14:paraId="690431CE" w14:textId="6814EBEA" w:rsidR="008740B7" w:rsidRPr="00A87485" w:rsidRDefault="00EF738F" w:rsidP="008740B7">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E</w:t>
            </w:r>
            <w:r w:rsidR="005107A4">
              <w:rPr>
                <w:rFonts w:ascii="Palatino Linotype" w:eastAsia="Calibri" w:hAnsi="Palatino Linotype"/>
                <w:sz w:val="22"/>
                <w:szCs w:val="22"/>
                <w:lang w:val="es-MX" w:eastAsia="es-MX"/>
              </w:rPr>
              <w:t xml:space="preserve">l Sujeto Obligado se declara incompetente para hacer entrega de la información solicitada, a través del Director de Desarrollo </w:t>
            </w:r>
            <w:r>
              <w:rPr>
                <w:rFonts w:ascii="Palatino Linotype" w:eastAsia="Calibri" w:hAnsi="Palatino Linotype"/>
                <w:sz w:val="22"/>
                <w:szCs w:val="22"/>
                <w:lang w:val="es-MX" w:eastAsia="es-MX"/>
              </w:rPr>
              <w:t>U</w:t>
            </w:r>
            <w:r w:rsidR="005107A4">
              <w:rPr>
                <w:rFonts w:ascii="Palatino Linotype" w:eastAsia="Calibri" w:hAnsi="Palatino Linotype"/>
                <w:sz w:val="22"/>
                <w:szCs w:val="22"/>
                <w:lang w:val="es-MX" w:eastAsia="es-MX"/>
              </w:rPr>
              <w:t>rbano</w:t>
            </w:r>
            <w:r>
              <w:rPr>
                <w:rFonts w:ascii="Palatino Linotype" w:eastAsia="Calibri" w:hAnsi="Palatino Linotype"/>
                <w:sz w:val="22"/>
                <w:szCs w:val="22"/>
                <w:lang w:val="es-MX" w:eastAsia="es-MX"/>
              </w:rPr>
              <w:t>.</w:t>
            </w:r>
          </w:p>
        </w:tc>
        <w:tc>
          <w:tcPr>
            <w:tcW w:w="1524" w:type="dxa"/>
            <w:vAlign w:val="center"/>
          </w:tcPr>
          <w:p w14:paraId="60F7A944" w14:textId="407E532A" w:rsidR="008740B7" w:rsidRPr="00A87485" w:rsidRDefault="008740B7" w:rsidP="008740B7">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5107A4" w:rsidRPr="00A87485" w14:paraId="73788460" w14:textId="77777777" w:rsidTr="00146720">
        <w:tc>
          <w:tcPr>
            <w:tcW w:w="3441" w:type="dxa"/>
            <w:vAlign w:val="center"/>
          </w:tcPr>
          <w:p w14:paraId="45B9E23C" w14:textId="6993FAC4" w:rsidR="005107A4" w:rsidRDefault="005107A4" w:rsidP="005107A4">
            <w:pPr>
              <w:spacing w:before="240" w:after="240"/>
              <w:rPr>
                <w:rFonts w:ascii="Palatino Linotype" w:eastAsia="Calibri" w:hAnsi="Palatino Linotype"/>
                <w:iCs/>
                <w:sz w:val="22"/>
                <w:szCs w:val="22"/>
                <w:lang w:eastAsia="es-MX"/>
              </w:rPr>
            </w:pPr>
            <w:bookmarkStart w:id="6" w:name="_Hlk83149425"/>
            <w:r w:rsidRPr="00146720">
              <w:rPr>
                <w:rFonts w:ascii="Palatino Linotype" w:eastAsia="Calibri" w:hAnsi="Palatino Linotype"/>
                <w:iCs/>
                <w:sz w:val="22"/>
                <w:szCs w:val="22"/>
                <w:lang w:eastAsia="es-MX"/>
              </w:rPr>
              <w:t>4.</w:t>
            </w:r>
            <w:r>
              <w:rPr>
                <w:rFonts w:ascii="Palatino Linotype" w:eastAsia="Calibri" w:hAnsi="Palatino Linotype"/>
                <w:iCs/>
                <w:sz w:val="22"/>
                <w:szCs w:val="22"/>
                <w:lang w:eastAsia="es-MX"/>
              </w:rPr>
              <w:t xml:space="preserve"> </w:t>
            </w:r>
            <w:r w:rsidRPr="00146720">
              <w:rPr>
                <w:rFonts w:ascii="Palatino Linotype" w:eastAsia="Calibri" w:hAnsi="Palatino Linotype"/>
                <w:iCs/>
                <w:sz w:val="22"/>
                <w:szCs w:val="22"/>
                <w:lang w:eastAsia="es-MX"/>
              </w:rPr>
              <w:t>Comprobantes de pago de los servicios de agua y luz eléctrica</w:t>
            </w:r>
            <w:r>
              <w:rPr>
                <w:rFonts w:ascii="Palatino Linotype" w:eastAsia="Calibri" w:hAnsi="Palatino Linotype"/>
                <w:iCs/>
                <w:sz w:val="22"/>
                <w:szCs w:val="22"/>
                <w:lang w:eastAsia="es-MX"/>
              </w:rPr>
              <w:t>.</w:t>
            </w:r>
          </w:p>
        </w:tc>
        <w:tc>
          <w:tcPr>
            <w:tcW w:w="4097" w:type="dxa"/>
            <w:vAlign w:val="center"/>
          </w:tcPr>
          <w:p w14:paraId="0728FE4D" w14:textId="0F21C4D8" w:rsidR="005107A4" w:rsidRPr="00A87485" w:rsidRDefault="00EF738F" w:rsidP="005107A4">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E</w:t>
            </w:r>
            <w:r w:rsidR="005107A4">
              <w:rPr>
                <w:rFonts w:ascii="Palatino Linotype" w:eastAsia="Calibri" w:hAnsi="Palatino Linotype"/>
                <w:sz w:val="22"/>
                <w:szCs w:val="22"/>
                <w:lang w:val="es-MX" w:eastAsia="es-MX"/>
              </w:rPr>
              <w:t xml:space="preserve">l Sujeto Obligado se declara incompetente para hacer entrega de la información solicitada, a través del Director de Desarrollo </w:t>
            </w:r>
            <w:r>
              <w:rPr>
                <w:rFonts w:ascii="Palatino Linotype" w:eastAsia="Calibri" w:hAnsi="Palatino Linotype"/>
                <w:sz w:val="22"/>
                <w:szCs w:val="22"/>
                <w:lang w:val="es-MX" w:eastAsia="es-MX"/>
              </w:rPr>
              <w:t>U</w:t>
            </w:r>
            <w:r w:rsidR="005107A4">
              <w:rPr>
                <w:rFonts w:ascii="Palatino Linotype" w:eastAsia="Calibri" w:hAnsi="Palatino Linotype"/>
                <w:sz w:val="22"/>
                <w:szCs w:val="22"/>
                <w:lang w:val="es-MX" w:eastAsia="es-MX"/>
              </w:rPr>
              <w:t>rbano</w:t>
            </w:r>
            <w:r>
              <w:rPr>
                <w:rFonts w:ascii="Palatino Linotype" w:eastAsia="Calibri" w:hAnsi="Palatino Linotype"/>
                <w:sz w:val="22"/>
                <w:szCs w:val="22"/>
                <w:lang w:val="es-MX" w:eastAsia="es-MX"/>
              </w:rPr>
              <w:t>.</w:t>
            </w:r>
          </w:p>
        </w:tc>
        <w:tc>
          <w:tcPr>
            <w:tcW w:w="1524" w:type="dxa"/>
            <w:vAlign w:val="center"/>
          </w:tcPr>
          <w:p w14:paraId="4AB09608" w14:textId="58BADEA6" w:rsidR="005107A4" w:rsidRPr="004805B8" w:rsidRDefault="005107A4" w:rsidP="005107A4">
            <w:pPr>
              <w:spacing w:before="240" w:after="240"/>
              <w:jc w:val="center"/>
              <w:rPr>
                <w:rFonts w:ascii="Palatino Linotype" w:eastAsia="Calibri" w:hAnsi="Palatino Linotype"/>
                <w:b/>
                <w:sz w:val="22"/>
                <w:szCs w:val="22"/>
                <w:lang w:val="es-MX" w:eastAsia="es-MX"/>
              </w:rPr>
            </w:pPr>
            <w:r>
              <w:rPr>
                <w:rFonts w:ascii="Palatino Linotype" w:eastAsia="Calibri" w:hAnsi="Palatino Linotype"/>
                <w:b/>
                <w:sz w:val="20"/>
                <w:szCs w:val="20"/>
                <w:lang w:val="es-MX" w:eastAsia="es-MX"/>
              </w:rPr>
              <w:t>No colma</w:t>
            </w:r>
          </w:p>
        </w:tc>
      </w:tr>
      <w:bookmarkEnd w:id="6"/>
      <w:tr w:rsidR="005107A4" w:rsidRPr="00A87485" w14:paraId="5D41D9A8" w14:textId="77777777" w:rsidTr="00146720">
        <w:tc>
          <w:tcPr>
            <w:tcW w:w="3441" w:type="dxa"/>
            <w:vAlign w:val="center"/>
          </w:tcPr>
          <w:p w14:paraId="6226AAF5" w14:textId="310471D8" w:rsidR="005107A4" w:rsidRDefault="005107A4" w:rsidP="005107A4">
            <w:pPr>
              <w:spacing w:before="240" w:after="240"/>
              <w:rPr>
                <w:rFonts w:ascii="Palatino Linotype" w:eastAsia="Calibri" w:hAnsi="Palatino Linotype"/>
                <w:iCs/>
                <w:sz w:val="22"/>
                <w:szCs w:val="22"/>
                <w:lang w:eastAsia="es-MX"/>
              </w:rPr>
            </w:pPr>
            <w:r w:rsidRPr="00CB1908">
              <w:rPr>
                <w:rFonts w:ascii="Palatino Linotype" w:eastAsia="Calibri" w:hAnsi="Palatino Linotype"/>
                <w:iCs/>
                <w:sz w:val="22"/>
                <w:szCs w:val="22"/>
                <w:lang w:eastAsia="es-MX"/>
              </w:rPr>
              <w:t>5.</w:t>
            </w:r>
            <w:r>
              <w:rPr>
                <w:rFonts w:ascii="Palatino Linotype" w:eastAsia="Calibri" w:hAnsi="Palatino Linotype"/>
                <w:iCs/>
                <w:sz w:val="22"/>
                <w:szCs w:val="22"/>
                <w:lang w:eastAsia="es-MX"/>
              </w:rPr>
              <w:t xml:space="preserve"> </w:t>
            </w:r>
            <w:r w:rsidRPr="00146720">
              <w:rPr>
                <w:rFonts w:ascii="Palatino Linotype" w:eastAsia="Calibri" w:hAnsi="Palatino Linotype"/>
                <w:iCs/>
                <w:sz w:val="22"/>
                <w:szCs w:val="22"/>
                <w:lang w:eastAsia="es-MX"/>
              </w:rPr>
              <w:t>Comprobantes de pago del impuesto predial</w:t>
            </w:r>
            <w:r w:rsidRPr="00CB1908">
              <w:rPr>
                <w:rFonts w:ascii="Palatino Linotype" w:eastAsia="Calibri" w:hAnsi="Palatino Linotype"/>
                <w:iCs/>
                <w:sz w:val="22"/>
                <w:szCs w:val="22"/>
                <w:lang w:eastAsia="es-MX"/>
              </w:rPr>
              <w:t>.</w:t>
            </w:r>
          </w:p>
        </w:tc>
        <w:tc>
          <w:tcPr>
            <w:tcW w:w="4097" w:type="dxa"/>
            <w:vAlign w:val="center"/>
          </w:tcPr>
          <w:p w14:paraId="0079770A" w14:textId="4A0FA4A1" w:rsidR="005107A4" w:rsidRPr="00A87485" w:rsidRDefault="00EF738F" w:rsidP="005107A4">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E</w:t>
            </w:r>
            <w:r w:rsidR="005107A4">
              <w:rPr>
                <w:rFonts w:ascii="Palatino Linotype" w:eastAsia="Calibri" w:hAnsi="Palatino Linotype"/>
                <w:sz w:val="22"/>
                <w:szCs w:val="22"/>
                <w:lang w:val="es-MX" w:eastAsia="es-MX"/>
              </w:rPr>
              <w:t xml:space="preserve">l Sujeto Obligado se declara incompetente para hacer entrega de la información solicitada, a través del Director de Desarrollo </w:t>
            </w:r>
            <w:r>
              <w:rPr>
                <w:rFonts w:ascii="Palatino Linotype" w:eastAsia="Calibri" w:hAnsi="Palatino Linotype"/>
                <w:sz w:val="22"/>
                <w:szCs w:val="22"/>
                <w:lang w:val="es-MX" w:eastAsia="es-MX"/>
              </w:rPr>
              <w:t>U</w:t>
            </w:r>
            <w:r w:rsidR="005107A4">
              <w:rPr>
                <w:rFonts w:ascii="Palatino Linotype" w:eastAsia="Calibri" w:hAnsi="Palatino Linotype"/>
                <w:sz w:val="22"/>
                <w:szCs w:val="22"/>
                <w:lang w:val="es-MX" w:eastAsia="es-MX"/>
              </w:rPr>
              <w:t>rbano</w:t>
            </w:r>
            <w:r>
              <w:rPr>
                <w:rFonts w:ascii="Palatino Linotype" w:eastAsia="Calibri" w:hAnsi="Palatino Linotype"/>
                <w:sz w:val="22"/>
                <w:szCs w:val="22"/>
                <w:lang w:val="es-MX" w:eastAsia="es-MX"/>
              </w:rPr>
              <w:t>.</w:t>
            </w:r>
          </w:p>
        </w:tc>
        <w:tc>
          <w:tcPr>
            <w:tcW w:w="1524" w:type="dxa"/>
            <w:vAlign w:val="center"/>
          </w:tcPr>
          <w:p w14:paraId="4ED85BAD" w14:textId="740DAF8D" w:rsidR="005107A4" w:rsidRPr="00A87485" w:rsidRDefault="005107A4" w:rsidP="005107A4">
            <w:pPr>
              <w:spacing w:before="240" w:after="240"/>
              <w:jc w:val="center"/>
              <w:rPr>
                <w:rFonts w:ascii="Palatino Linotype" w:eastAsia="Calibri" w:hAnsi="Palatino Linotype"/>
                <w:b/>
                <w:sz w:val="28"/>
                <w:szCs w:val="28"/>
                <w:lang w:val="es-MX" w:eastAsia="es-MX"/>
              </w:rPr>
            </w:pPr>
            <w:r>
              <w:rPr>
                <w:rFonts w:ascii="Palatino Linotype" w:eastAsia="Calibri" w:hAnsi="Palatino Linotype"/>
                <w:b/>
                <w:sz w:val="20"/>
                <w:szCs w:val="20"/>
                <w:lang w:val="es-MX" w:eastAsia="es-MX"/>
              </w:rPr>
              <w:t>No colma</w:t>
            </w:r>
          </w:p>
        </w:tc>
      </w:tr>
      <w:tr w:rsidR="00B26EBF" w:rsidRPr="00A87485" w14:paraId="7E5234F0" w14:textId="77777777" w:rsidTr="00146720">
        <w:tc>
          <w:tcPr>
            <w:tcW w:w="3441" w:type="dxa"/>
            <w:vAlign w:val="center"/>
          </w:tcPr>
          <w:p w14:paraId="72B74521" w14:textId="411A563C" w:rsidR="00B26EBF" w:rsidRPr="00013A05" w:rsidRDefault="00B26EBF" w:rsidP="00B26EBF">
            <w:pPr>
              <w:spacing w:before="240" w:after="240"/>
              <w:rPr>
                <w:rFonts w:ascii="Palatino Linotype" w:eastAsia="Calibri" w:hAnsi="Palatino Linotype"/>
                <w:iCs/>
                <w:sz w:val="22"/>
                <w:szCs w:val="22"/>
                <w:lang w:val="es-ES_tradnl" w:eastAsia="es-MX"/>
              </w:rPr>
            </w:pPr>
            <w:r w:rsidRPr="00CB1908">
              <w:rPr>
                <w:rFonts w:ascii="Palatino Linotype" w:eastAsia="Calibri" w:hAnsi="Palatino Linotype"/>
                <w:sz w:val="22"/>
                <w:szCs w:val="22"/>
                <w:lang w:val="es-MX" w:eastAsia="es-MX"/>
              </w:rPr>
              <w:t>6.</w:t>
            </w:r>
            <w:r>
              <w:rPr>
                <w:rFonts w:ascii="Palatino Linotype" w:eastAsia="Calibri" w:hAnsi="Palatino Linotype"/>
                <w:sz w:val="22"/>
                <w:szCs w:val="22"/>
                <w:lang w:val="es-MX" w:eastAsia="es-MX"/>
              </w:rPr>
              <w:t xml:space="preserve"> </w:t>
            </w:r>
            <w:r w:rsidRPr="00146720">
              <w:rPr>
                <w:rFonts w:ascii="Palatino Linotype" w:eastAsia="Calibri" w:hAnsi="Palatino Linotype"/>
                <w:sz w:val="22"/>
                <w:szCs w:val="22"/>
                <w:lang w:val="es-MX" w:eastAsia="es-MX"/>
              </w:rPr>
              <w:t>Permiso de construcción y autorización que le permita construir 3 niveles</w:t>
            </w:r>
            <w:r w:rsidRPr="00CB1908">
              <w:rPr>
                <w:rFonts w:ascii="Palatino Linotype" w:eastAsia="Calibri" w:hAnsi="Palatino Linotype"/>
                <w:sz w:val="22"/>
                <w:szCs w:val="22"/>
                <w:lang w:val="es-MX" w:eastAsia="es-MX"/>
              </w:rPr>
              <w:t>.</w:t>
            </w:r>
          </w:p>
        </w:tc>
        <w:tc>
          <w:tcPr>
            <w:tcW w:w="4097" w:type="dxa"/>
            <w:vAlign w:val="center"/>
          </w:tcPr>
          <w:p w14:paraId="7BE3F45A" w14:textId="76C6C533" w:rsidR="00B26EBF" w:rsidRPr="00A87485" w:rsidRDefault="00B26EBF" w:rsidP="00B26EBF">
            <w:pPr>
              <w:spacing w:after="120"/>
              <w:rPr>
                <w:rFonts w:ascii="Palatino Linotype" w:eastAsia="Calibri" w:hAnsi="Palatino Linotype"/>
                <w:sz w:val="22"/>
                <w:szCs w:val="22"/>
                <w:lang w:val="es-MX" w:eastAsia="es-MX"/>
              </w:rPr>
            </w:pPr>
            <w:r>
              <w:rPr>
                <w:rFonts w:ascii="Palatino Linotype" w:eastAsia="Calibri" w:hAnsi="Palatino Linotype"/>
                <w:sz w:val="22"/>
                <w:szCs w:val="22"/>
                <w:lang w:val="es-MX" w:eastAsia="es-MX"/>
              </w:rPr>
              <w:t>A través del</w:t>
            </w:r>
            <w:r>
              <w:t xml:space="preserve"> </w:t>
            </w:r>
            <w:r w:rsidRPr="00B26EBF">
              <w:rPr>
                <w:rFonts w:ascii="Palatino Linotype" w:eastAsia="Calibri" w:hAnsi="Palatino Linotype"/>
                <w:sz w:val="22"/>
                <w:szCs w:val="22"/>
                <w:lang w:val="es-MX" w:eastAsia="es-MX"/>
              </w:rPr>
              <w:t>Director de Desarrollo Urbano</w:t>
            </w:r>
            <w:r>
              <w:rPr>
                <w:rFonts w:ascii="Palatino Linotype" w:eastAsia="Calibri" w:hAnsi="Palatino Linotype"/>
                <w:sz w:val="22"/>
                <w:szCs w:val="22"/>
                <w:lang w:val="es-MX" w:eastAsia="es-MX"/>
              </w:rPr>
              <w:t xml:space="preserve">, </w:t>
            </w:r>
            <w:r w:rsidR="005107A4">
              <w:rPr>
                <w:rFonts w:ascii="Palatino Linotype" w:eastAsia="Calibri" w:hAnsi="Palatino Linotype"/>
                <w:sz w:val="22"/>
                <w:szCs w:val="22"/>
                <w:lang w:val="es-MX" w:eastAsia="es-MX"/>
              </w:rPr>
              <w:t>informa</w:t>
            </w:r>
            <w:r w:rsidRPr="00B26EBF">
              <w:rPr>
                <w:rFonts w:ascii="Palatino Linotype" w:eastAsia="Calibri" w:hAnsi="Palatino Linotype"/>
                <w:sz w:val="22"/>
                <w:szCs w:val="22"/>
                <w:lang w:val="es-MX" w:eastAsia="es-MX"/>
              </w:rPr>
              <w:t xml:space="preserve"> </w:t>
            </w:r>
            <w:r w:rsidR="005107A4" w:rsidRPr="005107A4">
              <w:rPr>
                <w:rFonts w:ascii="Palatino Linotype" w:eastAsia="Calibri" w:hAnsi="Palatino Linotype"/>
                <w:sz w:val="22"/>
                <w:szCs w:val="22"/>
                <w:lang w:val="es-MX" w:eastAsia="es-MX"/>
              </w:rPr>
              <w:t xml:space="preserve">se realizó una búsqueda con motivo del expediente creado por la expedición de la licencia de construcción en los archivos de esa dirección que va del año 2019 a la fecha con el domicilio que se indica, de la cual </w:t>
            </w:r>
            <w:r w:rsidR="005107A4" w:rsidRPr="005107A4">
              <w:rPr>
                <w:rFonts w:ascii="Palatino Linotype" w:eastAsia="Calibri" w:hAnsi="Palatino Linotype"/>
                <w:b/>
                <w:bCs/>
                <w:sz w:val="22"/>
                <w:szCs w:val="22"/>
                <w:lang w:val="es-MX" w:eastAsia="es-MX"/>
              </w:rPr>
              <w:t>no se obtuvo expediente alguno que dé cuenta de la información que solicita</w:t>
            </w:r>
            <w:r w:rsidR="005107A4" w:rsidRPr="005107A4">
              <w:rPr>
                <w:rFonts w:ascii="Palatino Linotype" w:eastAsia="Calibri" w:hAnsi="Palatino Linotype"/>
                <w:sz w:val="22"/>
                <w:szCs w:val="22"/>
                <w:lang w:val="es-MX" w:eastAsia="es-MX"/>
              </w:rPr>
              <w:t>.</w:t>
            </w:r>
          </w:p>
        </w:tc>
        <w:tc>
          <w:tcPr>
            <w:tcW w:w="1524" w:type="dxa"/>
            <w:vAlign w:val="center"/>
          </w:tcPr>
          <w:p w14:paraId="73221A27" w14:textId="41C36EF1" w:rsidR="00B26EBF" w:rsidRPr="00A87485" w:rsidRDefault="00B26EBF" w:rsidP="00B26EBF">
            <w:pPr>
              <w:spacing w:before="240" w:after="240"/>
              <w:jc w:val="center"/>
              <w:rPr>
                <w:rFonts w:ascii="Palatino Linotype" w:eastAsia="Calibri" w:hAnsi="Palatino Linotype"/>
                <w:b/>
                <w:sz w:val="20"/>
                <w:szCs w:val="20"/>
                <w:lang w:val="es-MX" w:eastAsia="es-MX"/>
              </w:rPr>
            </w:pPr>
            <w:r>
              <w:rPr>
                <w:rFonts w:ascii="Palatino Linotype" w:hAnsi="Palatino Linotype"/>
                <w:b/>
                <w:sz w:val="28"/>
                <w:szCs w:val="28"/>
                <w:lang w:eastAsia="es-MX"/>
              </w:rPr>
              <w:sym w:font="Wingdings" w:char="F0FC"/>
            </w:r>
          </w:p>
        </w:tc>
      </w:tr>
    </w:tbl>
    <w:p w14:paraId="3507D5A9" w14:textId="77777777" w:rsidR="00013A05" w:rsidRDefault="00013A05" w:rsidP="00A87485">
      <w:pPr>
        <w:spacing w:line="360" w:lineRule="auto"/>
        <w:jc w:val="both"/>
        <w:rPr>
          <w:rFonts w:ascii="Palatino Linotype" w:eastAsia="Calibri" w:hAnsi="Palatino Linotype"/>
          <w:lang w:val="es-MX" w:eastAsia="es-MX"/>
        </w:rPr>
      </w:pPr>
    </w:p>
    <w:p w14:paraId="774619C5" w14:textId="77777777" w:rsidR="00013A05" w:rsidRDefault="00013A05" w:rsidP="00A87485">
      <w:pPr>
        <w:spacing w:line="360" w:lineRule="auto"/>
        <w:jc w:val="both"/>
        <w:rPr>
          <w:rFonts w:ascii="Palatino Linotype" w:eastAsia="Calibri" w:hAnsi="Palatino Linotype"/>
          <w:lang w:val="es-MX" w:eastAsia="es-MX"/>
        </w:rPr>
      </w:pPr>
    </w:p>
    <w:p w14:paraId="28379CC5" w14:textId="06101BE2" w:rsidR="00A56017" w:rsidRPr="00A56017" w:rsidRDefault="00A56017" w:rsidP="00A56017">
      <w:pPr>
        <w:spacing w:line="360" w:lineRule="auto"/>
        <w:jc w:val="both"/>
        <w:rPr>
          <w:rFonts w:ascii="Palatino Linotype" w:eastAsia="Calibri" w:hAnsi="Palatino Linotype"/>
          <w:lang w:val="es-MX" w:eastAsia="es-MX"/>
        </w:rPr>
      </w:pPr>
      <w:r w:rsidRPr="00A56017">
        <w:rPr>
          <w:rFonts w:ascii="Palatino Linotype" w:eastAsia="Calibri" w:hAnsi="Palatino Linotype"/>
          <w:lang w:val="es-MX" w:eastAsia="es-MX"/>
        </w:rPr>
        <w:lastRenderedPageBreak/>
        <w:t xml:space="preserve">Del cuadro anterior, podemos concluir que únicamente fueron colmados los puntos </w:t>
      </w:r>
      <w:r w:rsidR="00123D11">
        <w:rPr>
          <w:rFonts w:ascii="Palatino Linotype" w:eastAsia="Calibri" w:hAnsi="Palatino Linotype"/>
          <w:lang w:val="es-MX" w:eastAsia="es-MX"/>
        </w:rPr>
        <w:t>1, 2 y 6</w:t>
      </w:r>
      <w:r w:rsidRPr="00A56017">
        <w:rPr>
          <w:rFonts w:ascii="Palatino Linotype" w:eastAsia="Calibri" w:hAnsi="Palatino Linotype"/>
          <w:lang w:val="es-MX" w:eastAsia="es-MX"/>
        </w:rPr>
        <w:t xml:space="preserve"> de la solicitud de información por parte del </w:t>
      </w:r>
      <w:r w:rsidRPr="00A56017">
        <w:rPr>
          <w:rFonts w:ascii="Palatino Linotype" w:eastAsia="Calibri" w:hAnsi="Palatino Linotype"/>
          <w:b/>
          <w:lang w:val="es-MX" w:eastAsia="es-MX"/>
        </w:rPr>
        <w:t>Sujeto Obligado</w:t>
      </w:r>
      <w:r w:rsidRPr="00A56017">
        <w:rPr>
          <w:rFonts w:ascii="Palatino Linotype" w:eastAsia="Calibri" w:hAnsi="Palatino Linotype"/>
          <w:lang w:val="es-MX" w:eastAsia="es-MX"/>
        </w:rPr>
        <w:t>, ello al remitir</w:t>
      </w:r>
      <w:r w:rsidR="00123D11">
        <w:rPr>
          <w:rFonts w:ascii="Palatino Linotype" w:eastAsia="Calibri" w:hAnsi="Palatino Linotype"/>
          <w:lang w:val="es-MX" w:eastAsia="es-MX"/>
        </w:rPr>
        <w:t xml:space="preserve"> la</w:t>
      </w:r>
      <w:r w:rsidRPr="00A56017">
        <w:rPr>
          <w:rFonts w:ascii="Palatino Linotype" w:eastAsia="Calibri" w:hAnsi="Palatino Linotype"/>
          <w:lang w:val="es-MX" w:eastAsia="es-MX"/>
        </w:rPr>
        <w:t xml:space="preserve"> </w:t>
      </w:r>
      <w:r w:rsidR="00123D11">
        <w:rPr>
          <w:rFonts w:ascii="Palatino Linotype" w:eastAsia="Calibri" w:hAnsi="Palatino Linotype"/>
          <w:lang w:val="es-MX" w:eastAsia="es-MX"/>
        </w:rPr>
        <w:t>Licencia</w:t>
      </w:r>
      <w:r w:rsidR="00123D11" w:rsidRPr="00123D11">
        <w:rPr>
          <w:rFonts w:ascii="Palatino Linotype" w:eastAsia="Calibri" w:hAnsi="Palatino Linotype"/>
          <w:lang w:val="es-MX" w:eastAsia="es-MX"/>
        </w:rPr>
        <w:t xml:space="preserve"> de uso de suelo</w:t>
      </w:r>
      <w:r w:rsidR="00123D11">
        <w:rPr>
          <w:rFonts w:ascii="Palatino Linotype" w:eastAsia="Calibri" w:hAnsi="Palatino Linotype"/>
          <w:lang w:val="es-MX" w:eastAsia="es-MX"/>
        </w:rPr>
        <w:t xml:space="preserve"> otorgada al predio</w:t>
      </w:r>
      <w:r w:rsidRPr="00A56017">
        <w:rPr>
          <w:rFonts w:ascii="Palatino Linotype" w:eastAsia="Calibri" w:hAnsi="Palatino Linotype"/>
          <w:lang w:val="es-MX" w:eastAsia="es-MX"/>
        </w:rPr>
        <w:t xml:space="preserve"> referido por el particular en la solicitud de información </w:t>
      </w:r>
      <w:r w:rsidR="00123D11" w:rsidRPr="00123D11">
        <w:rPr>
          <w:rFonts w:ascii="Palatino Linotype" w:eastAsia="Calibri" w:hAnsi="Palatino Linotype"/>
          <w:lang w:val="es-MX" w:eastAsia="es-MX"/>
        </w:rPr>
        <w:t>00003/NEZA/IP/2022</w:t>
      </w:r>
      <w:r w:rsidRPr="00A56017">
        <w:rPr>
          <w:rFonts w:ascii="Palatino Linotype" w:eastAsia="Calibri" w:hAnsi="Palatino Linotype"/>
          <w:lang w:val="es-MX" w:eastAsia="es-MX"/>
        </w:rPr>
        <w:t>.</w:t>
      </w:r>
    </w:p>
    <w:p w14:paraId="7886057C" w14:textId="77777777" w:rsidR="00A56017" w:rsidRPr="00A56017" w:rsidRDefault="00A56017" w:rsidP="00A56017">
      <w:pPr>
        <w:spacing w:line="360" w:lineRule="auto"/>
        <w:jc w:val="both"/>
        <w:rPr>
          <w:rFonts w:ascii="Palatino Linotype" w:eastAsia="Calibri" w:hAnsi="Palatino Linotype"/>
          <w:lang w:val="es-MX" w:eastAsia="es-MX"/>
        </w:rPr>
      </w:pPr>
    </w:p>
    <w:p w14:paraId="5B0296ED" w14:textId="1BE9B29E" w:rsidR="00123D11" w:rsidRDefault="00A56017" w:rsidP="00A56017">
      <w:pPr>
        <w:spacing w:line="360" w:lineRule="auto"/>
        <w:jc w:val="both"/>
        <w:rPr>
          <w:rFonts w:ascii="Palatino Linotype" w:eastAsia="Calibri" w:hAnsi="Palatino Linotype"/>
          <w:lang w:val="es-MX" w:eastAsia="es-MX"/>
        </w:rPr>
      </w:pPr>
      <w:r w:rsidRPr="00A56017">
        <w:rPr>
          <w:rFonts w:ascii="Palatino Linotype" w:eastAsia="Calibri" w:hAnsi="Palatino Linotype"/>
          <w:lang w:val="es-MX" w:eastAsia="es-MX"/>
        </w:rPr>
        <w:t xml:space="preserve"> Así como al informar que</w:t>
      </w:r>
      <w:r w:rsidR="000E7C06">
        <w:rPr>
          <w:rFonts w:ascii="Palatino Linotype" w:eastAsia="Calibri" w:hAnsi="Palatino Linotype"/>
          <w:lang w:val="es-MX" w:eastAsia="es-MX"/>
        </w:rPr>
        <w:t>,</w:t>
      </w:r>
      <w:r w:rsidRPr="00A56017">
        <w:rPr>
          <w:rFonts w:ascii="Palatino Linotype" w:eastAsia="Calibri" w:hAnsi="Palatino Linotype"/>
          <w:lang w:val="es-MX" w:eastAsia="es-MX"/>
        </w:rPr>
        <w:t xml:space="preserve"> respecto del punto </w:t>
      </w:r>
      <w:r w:rsidR="00123D11">
        <w:rPr>
          <w:rFonts w:ascii="Palatino Linotype" w:eastAsia="Calibri" w:hAnsi="Palatino Linotype"/>
          <w:lang w:val="es-MX" w:eastAsia="es-MX"/>
        </w:rPr>
        <w:t xml:space="preserve">2 </w:t>
      </w:r>
      <w:r w:rsidRPr="00A56017">
        <w:rPr>
          <w:rFonts w:ascii="Palatino Linotype" w:eastAsia="Calibri" w:hAnsi="Palatino Linotype"/>
          <w:lang w:val="es-MX" w:eastAsia="es-MX"/>
        </w:rPr>
        <w:t>correspondiente a</w:t>
      </w:r>
      <w:r w:rsidR="000E7C06">
        <w:rPr>
          <w:rFonts w:ascii="Palatino Linotype" w:eastAsia="Calibri" w:hAnsi="Palatino Linotype"/>
          <w:lang w:val="es-MX" w:eastAsia="es-MX"/>
        </w:rPr>
        <w:t xml:space="preserve"> la </w:t>
      </w:r>
      <w:r w:rsidR="00123D11">
        <w:rPr>
          <w:rFonts w:ascii="Palatino Linotype" w:eastAsia="Calibri" w:hAnsi="Palatino Linotype"/>
          <w:lang w:val="es-MX" w:eastAsia="es-MX"/>
        </w:rPr>
        <w:t>l</w:t>
      </w:r>
      <w:r w:rsidR="00123D11" w:rsidRPr="00123D11">
        <w:rPr>
          <w:rFonts w:ascii="Palatino Linotype" w:eastAsia="Calibri" w:hAnsi="Palatino Linotype"/>
          <w:lang w:val="es-MX" w:eastAsia="es-MX"/>
        </w:rPr>
        <w:t>icencia de funcionamiento</w:t>
      </w:r>
      <w:r w:rsidR="00123D11">
        <w:rPr>
          <w:rFonts w:ascii="Palatino Linotype" w:eastAsia="Calibri" w:hAnsi="Palatino Linotype"/>
          <w:lang w:val="es-MX" w:eastAsia="es-MX"/>
        </w:rPr>
        <w:t xml:space="preserve"> requerida</w:t>
      </w:r>
      <w:r w:rsidR="00CB5255">
        <w:rPr>
          <w:rFonts w:ascii="Palatino Linotype" w:eastAsia="Calibri" w:hAnsi="Palatino Linotype"/>
          <w:lang w:val="es-MX" w:eastAsia="es-MX"/>
        </w:rPr>
        <w:t>,</w:t>
      </w:r>
      <w:r w:rsidR="00123D11">
        <w:rPr>
          <w:rFonts w:ascii="Palatino Linotype" w:eastAsia="Calibri" w:hAnsi="Palatino Linotype"/>
          <w:lang w:val="es-MX" w:eastAsia="es-MX"/>
        </w:rPr>
        <w:t xml:space="preserve"> no se localizó el documento a través de la Unidad Administrativa </w:t>
      </w:r>
      <w:r w:rsidR="00CB5255">
        <w:rPr>
          <w:rFonts w:ascii="Palatino Linotype" w:eastAsia="Calibri" w:hAnsi="Palatino Linotype"/>
          <w:lang w:val="es-MX" w:eastAsia="es-MX"/>
        </w:rPr>
        <w:t xml:space="preserve">competente para conocer de la información, Siendo esta la Dirección de Fomento Económico, de acuerdo a lo establecido en la fracción XL del artículo 89 del Bando Municipal del Ayuntamiento de Nezahualcóyotl, que señala: </w:t>
      </w:r>
    </w:p>
    <w:p w14:paraId="6F762206" w14:textId="22043D16" w:rsidR="00CB5255" w:rsidRDefault="00CB5255" w:rsidP="00A56017">
      <w:pPr>
        <w:spacing w:line="360" w:lineRule="auto"/>
        <w:jc w:val="both"/>
        <w:rPr>
          <w:rFonts w:ascii="Palatino Linotype" w:eastAsia="Calibri" w:hAnsi="Palatino Linotype"/>
          <w:lang w:val="es-MX" w:eastAsia="es-MX"/>
        </w:rPr>
      </w:pPr>
    </w:p>
    <w:p w14:paraId="7C3E336A" w14:textId="79475C85" w:rsidR="00CB5255" w:rsidRPr="00CB5255" w:rsidRDefault="00CB5255" w:rsidP="00CB5255">
      <w:pPr>
        <w:ind w:left="851" w:right="851"/>
        <w:jc w:val="center"/>
        <w:rPr>
          <w:rFonts w:ascii="Palatino Linotype" w:eastAsia="Calibri" w:hAnsi="Palatino Linotype"/>
          <w:b/>
          <w:bCs/>
          <w:i/>
          <w:iCs/>
          <w:sz w:val="22"/>
          <w:szCs w:val="22"/>
          <w:lang w:eastAsia="es-MX"/>
        </w:rPr>
      </w:pPr>
      <w:r w:rsidRPr="00CB5255">
        <w:rPr>
          <w:rFonts w:ascii="Palatino Linotype" w:eastAsia="Calibri" w:hAnsi="Palatino Linotype"/>
          <w:b/>
          <w:bCs/>
          <w:i/>
          <w:iCs/>
          <w:sz w:val="22"/>
          <w:szCs w:val="22"/>
          <w:lang w:eastAsia="es-MX"/>
        </w:rPr>
        <w:t>DEL DESARROLLO ECONÓMICO</w:t>
      </w:r>
    </w:p>
    <w:p w14:paraId="17A8470B" w14:textId="41B553A0" w:rsidR="00CB5255" w:rsidRDefault="00CB5255" w:rsidP="00CB5255">
      <w:pPr>
        <w:ind w:left="851" w:right="851"/>
        <w:jc w:val="both"/>
        <w:rPr>
          <w:rFonts w:ascii="Palatino Linotype" w:eastAsia="Calibri" w:hAnsi="Palatino Linotype"/>
          <w:i/>
          <w:iCs/>
          <w:sz w:val="22"/>
          <w:szCs w:val="22"/>
          <w:lang w:eastAsia="es-MX"/>
        </w:rPr>
      </w:pPr>
      <w:r w:rsidRPr="00CB5255">
        <w:rPr>
          <w:rFonts w:ascii="Palatino Linotype" w:eastAsia="Calibri" w:hAnsi="Palatino Linotype"/>
          <w:b/>
          <w:bCs/>
          <w:i/>
          <w:iCs/>
          <w:sz w:val="22"/>
          <w:szCs w:val="22"/>
          <w:lang w:eastAsia="es-MX"/>
        </w:rPr>
        <w:t>Artículo 89</w:t>
      </w:r>
      <w:r w:rsidRPr="00CB5255">
        <w:rPr>
          <w:rFonts w:ascii="Palatino Linotype" w:eastAsia="Calibri" w:hAnsi="Palatino Linotype"/>
          <w:i/>
          <w:iCs/>
          <w:sz w:val="22"/>
          <w:szCs w:val="22"/>
          <w:lang w:eastAsia="es-MX"/>
        </w:rPr>
        <w:t>.- En materia de desarrollo económico le corresponde al Ayuntamiento: I. Diseñar y promover políticas que generen inversiones productivas y empleos remunerados;</w:t>
      </w:r>
    </w:p>
    <w:p w14:paraId="6455FDF6" w14:textId="0B40F811" w:rsidR="00CB5255" w:rsidRDefault="00CB5255" w:rsidP="00CB5255">
      <w:pPr>
        <w:ind w:left="851" w:right="851"/>
        <w:jc w:val="both"/>
        <w:rPr>
          <w:rFonts w:ascii="Palatino Linotype" w:eastAsia="Calibri" w:hAnsi="Palatino Linotype"/>
          <w:i/>
          <w:iCs/>
          <w:sz w:val="22"/>
          <w:szCs w:val="22"/>
          <w:lang w:eastAsia="es-MX"/>
        </w:rPr>
      </w:pPr>
      <w:r>
        <w:rPr>
          <w:rFonts w:ascii="Palatino Linotype" w:eastAsia="Calibri" w:hAnsi="Palatino Linotype"/>
          <w:i/>
          <w:iCs/>
          <w:sz w:val="22"/>
          <w:szCs w:val="22"/>
          <w:lang w:eastAsia="es-MX"/>
        </w:rPr>
        <w:t>(…)</w:t>
      </w:r>
    </w:p>
    <w:p w14:paraId="56796177" w14:textId="320EBAAF" w:rsidR="00CB5255" w:rsidRPr="00CB5255" w:rsidRDefault="00CB5255" w:rsidP="00CB5255">
      <w:pPr>
        <w:ind w:left="851" w:right="851"/>
        <w:jc w:val="both"/>
        <w:rPr>
          <w:rFonts w:ascii="Palatino Linotype" w:eastAsia="Calibri" w:hAnsi="Palatino Linotype"/>
          <w:i/>
          <w:iCs/>
          <w:sz w:val="22"/>
          <w:szCs w:val="22"/>
          <w:lang w:val="es-MX" w:eastAsia="es-MX"/>
        </w:rPr>
      </w:pPr>
      <w:r w:rsidRPr="00CB5255">
        <w:rPr>
          <w:rFonts w:ascii="Palatino Linotype" w:eastAsia="Calibri" w:hAnsi="Palatino Linotype"/>
          <w:b/>
          <w:bCs/>
          <w:i/>
          <w:iCs/>
          <w:sz w:val="22"/>
          <w:szCs w:val="22"/>
          <w:lang w:eastAsia="es-MX"/>
        </w:rPr>
        <w:t>XL.</w:t>
      </w:r>
      <w:r w:rsidRPr="00CB5255">
        <w:rPr>
          <w:rFonts w:ascii="Palatino Linotype" w:eastAsia="Calibri" w:hAnsi="Palatino Linotype"/>
          <w:i/>
          <w:iCs/>
          <w:sz w:val="22"/>
          <w:szCs w:val="22"/>
          <w:lang w:eastAsia="es-MX"/>
        </w:rPr>
        <w:t xml:space="preserve"> Expedir las Licencias de funcionamiento de la Unidades Económicas, previo cumplimiento de los requisitos establecidos por la Ley de la Materia, su Reglamento y el Reglamento Municipal correspondiente; y</w:t>
      </w:r>
    </w:p>
    <w:p w14:paraId="732802E8" w14:textId="77777777" w:rsidR="00123D11" w:rsidRPr="00CB5255" w:rsidRDefault="00123D11" w:rsidP="00A56017">
      <w:pPr>
        <w:spacing w:line="360" w:lineRule="auto"/>
        <w:jc w:val="both"/>
        <w:rPr>
          <w:rFonts w:ascii="Palatino Linotype" w:eastAsia="Calibri" w:hAnsi="Palatino Linotype"/>
          <w:i/>
          <w:iCs/>
          <w:lang w:val="es-MX" w:eastAsia="es-MX"/>
        </w:rPr>
      </w:pPr>
    </w:p>
    <w:p w14:paraId="5A481A9E" w14:textId="33D0F57D" w:rsidR="001E111C" w:rsidRDefault="00CB5255" w:rsidP="001E111C">
      <w:pPr>
        <w:spacing w:line="360" w:lineRule="auto"/>
        <w:jc w:val="both"/>
        <w:rPr>
          <w:rFonts w:ascii="Palatino Linotype" w:eastAsia="Calibri" w:hAnsi="Palatino Linotype"/>
          <w:lang w:val="es-MX" w:eastAsia="es-MX"/>
        </w:rPr>
      </w:pPr>
      <w:r>
        <w:rPr>
          <w:rFonts w:ascii="Palatino Linotype" w:eastAsia="Calibri" w:hAnsi="Palatino Linotype"/>
          <w:lang w:val="es-MX" w:eastAsia="es-MX"/>
        </w:rPr>
        <w:t xml:space="preserve">Asimismo, al informar mediante el área competente, siendo esta el </w:t>
      </w:r>
      <w:r w:rsidRPr="00CB5255">
        <w:rPr>
          <w:rFonts w:ascii="Palatino Linotype" w:eastAsia="Calibri" w:hAnsi="Palatino Linotype"/>
          <w:lang w:val="es-MX" w:eastAsia="es-MX"/>
        </w:rPr>
        <w:t xml:space="preserve">Director de Desarrollo Urbano </w:t>
      </w:r>
      <w:r>
        <w:rPr>
          <w:rFonts w:ascii="Palatino Linotype" w:eastAsia="Calibri" w:hAnsi="Palatino Linotype"/>
          <w:lang w:val="es-MX" w:eastAsia="es-MX"/>
        </w:rPr>
        <w:t xml:space="preserve">que, respecto del punto 6, correspondiente a la entrega de </w:t>
      </w:r>
      <w:r w:rsidRPr="00CB5255">
        <w:rPr>
          <w:rFonts w:ascii="Palatino Linotype" w:eastAsia="Calibri" w:hAnsi="Palatino Linotype"/>
          <w:lang w:val="es-MX" w:eastAsia="es-MX"/>
        </w:rPr>
        <w:t>Permiso de construcción y autorización que le permita construir 3 niveles</w:t>
      </w:r>
      <w:r>
        <w:rPr>
          <w:rFonts w:ascii="Palatino Linotype" w:eastAsia="Calibri" w:hAnsi="Palatino Linotype"/>
          <w:lang w:val="es-MX" w:eastAsia="es-MX"/>
        </w:rPr>
        <w:t xml:space="preserve"> en el predio referido por el particular, “</w:t>
      </w:r>
      <w:r w:rsidRPr="00CB5255">
        <w:rPr>
          <w:rFonts w:ascii="Palatino Linotype" w:eastAsia="Calibri" w:hAnsi="Palatino Linotype"/>
          <w:i/>
          <w:iCs/>
          <w:lang w:val="es-MX" w:eastAsia="es-MX"/>
        </w:rPr>
        <w:t>a la fecha con el domicilio que se indica, de la cual no se obtuvo expediente alguno que dé cuenta de la información que solicita</w:t>
      </w:r>
      <w:r>
        <w:rPr>
          <w:rFonts w:ascii="Palatino Linotype" w:eastAsia="Calibri" w:hAnsi="Palatino Linotype"/>
          <w:lang w:val="es-MX" w:eastAsia="es-MX"/>
        </w:rPr>
        <w:t>”</w:t>
      </w:r>
      <w:r w:rsidR="001E111C" w:rsidRPr="001E111C">
        <w:rPr>
          <w:rFonts w:ascii="Palatino Linotype" w:eastAsia="Calibri" w:hAnsi="Palatino Linotype"/>
          <w:lang w:val="es-MX" w:eastAsia="es-MX"/>
        </w:rPr>
        <w:t xml:space="preserve"> </w:t>
      </w:r>
      <w:r w:rsidR="001E111C">
        <w:rPr>
          <w:rFonts w:ascii="Palatino Linotype" w:eastAsia="Calibri" w:hAnsi="Palatino Linotype"/>
          <w:lang w:val="es-MX" w:eastAsia="es-MX"/>
        </w:rPr>
        <w:t xml:space="preserve">de acuerdo a lo establecido en la fracción V del artículo 91 del Bando Municipal del Ayuntamiento de Nezahualcóyotl, que señala: </w:t>
      </w:r>
    </w:p>
    <w:p w14:paraId="1B321663" w14:textId="77777777" w:rsidR="001E111C" w:rsidRDefault="001E111C" w:rsidP="001E111C">
      <w:pPr>
        <w:spacing w:line="360" w:lineRule="auto"/>
        <w:jc w:val="both"/>
        <w:rPr>
          <w:rFonts w:ascii="Palatino Linotype" w:eastAsia="Calibri" w:hAnsi="Palatino Linotype"/>
          <w:lang w:val="es-MX" w:eastAsia="es-MX"/>
        </w:rPr>
      </w:pPr>
    </w:p>
    <w:p w14:paraId="6B919886" w14:textId="1B77B6A9" w:rsidR="001E111C" w:rsidRPr="00CB5255" w:rsidRDefault="001E111C" w:rsidP="001E111C">
      <w:pPr>
        <w:ind w:left="851" w:right="851"/>
        <w:jc w:val="center"/>
        <w:rPr>
          <w:rFonts w:ascii="Palatino Linotype" w:eastAsia="Calibri" w:hAnsi="Palatino Linotype"/>
          <w:b/>
          <w:bCs/>
          <w:i/>
          <w:iCs/>
          <w:sz w:val="22"/>
          <w:szCs w:val="22"/>
          <w:lang w:eastAsia="es-MX"/>
        </w:rPr>
      </w:pPr>
      <w:r w:rsidRPr="001E111C">
        <w:rPr>
          <w:rFonts w:ascii="Palatino Linotype" w:eastAsia="Calibri" w:hAnsi="Palatino Linotype"/>
          <w:b/>
          <w:bCs/>
          <w:i/>
          <w:iCs/>
          <w:sz w:val="22"/>
          <w:szCs w:val="22"/>
          <w:lang w:eastAsia="es-MX"/>
        </w:rPr>
        <w:t>DEL DESARROLLO URBANO</w:t>
      </w:r>
    </w:p>
    <w:p w14:paraId="4B952E3C" w14:textId="27C82582" w:rsidR="001E111C" w:rsidRDefault="001E111C" w:rsidP="001E111C">
      <w:pPr>
        <w:ind w:left="851" w:right="851"/>
        <w:jc w:val="both"/>
        <w:rPr>
          <w:rFonts w:ascii="Palatino Linotype" w:eastAsia="Calibri" w:hAnsi="Palatino Linotype"/>
          <w:i/>
          <w:iCs/>
          <w:sz w:val="22"/>
          <w:szCs w:val="22"/>
          <w:lang w:eastAsia="es-MX"/>
        </w:rPr>
      </w:pPr>
      <w:r w:rsidRPr="001E111C">
        <w:rPr>
          <w:rFonts w:ascii="Palatino Linotype" w:eastAsia="Calibri" w:hAnsi="Palatino Linotype"/>
          <w:b/>
          <w:bCs/>
          <w:i/>
          <w:iCs/>
          <w:sz w:val="22"/>
          <w:szCs w:val="22"/>
          <w:lang w:eastAsia="es-MX"/>
        </w:rPr>
        <w:t xml:space="preserve">Artículo 91.- </w:t>
      </w:r>
      <w:r w:rsidRPr="001E111C">
        <w:rPr>
          <w:rFonts w:ascii="Palatino Linotype" w:eastAsia="Calibri" w:hAnsi="Palatino Linotype"/>
          <w:i/>
          <w:iCs/>
          <w:sz w:val="22"/>
          <w:szCs w:val="22"/>
          <w:lang w:eastAsia="es-MX"/>
        </w:rPr>
        <w:t>Son atribuciones de las autoridades municipales en materia de Desarrollo Urbano las siguientes:</w:t>
      </w:r>
    </w:p>
    <w:p w14:paraId="351BA0D2" w14:textId="77777777" w:rsidR="001E111C" w:rsidRDefault="001E111C" w:rsidP="001E111C">
      <w:pPr>
        <w:ind w:left="851" w:right="851"/>
        <w:jc w:val="both"/>
        <w:rPr>
          <w:rFonts w:ascii="Palatino Linotype" w:eastAsia="Calibri" w:hAnsi="Palatino Linotype"/>
          <w:i/>
          <w:iCs/>
          <w:sz w:val="22"/>
          <w:szCs w:val="22"/>
          <w:lang w:eastAsia="es-MX"/>
        </w:rPr>
      </w:pPr>
      <w:r>
        <w:rPr>
          <w:rFonts w:ascii="Palatino Linotype" w:eastAsia="Calibri" w:hAnsi="Palatino Linotype"/>
          <w:i/>
          <w:iCs/>
          <w:sz w:val="22"/>
          <w:szCs w:val="22"/>
          <w:lang w:eastAsia="es-MX"/>
        </w:rPr>
        <w:t>(…)</w:t>
      </w:r>
    </w:p>
    <w:p w14:paraId="7FF556C7" w14:textId="0857F7BA" w:rsidR="001E111C" w:rsidRPr="001E111C" w:rsidRDefault="001E111C" w:rsidP="001E111C">
      <w:pPr>
        <w:ind w:left="851" w:right="851"/>
        <w:jc w:val="both"/>
        <w:rPr>
          <w:rFonts w:ascii="Palatino Linotype" w:eastAsia="Calibri" w:hAnsi="Palatino Linotype"/>
          <w:i/>
          <w:iCs/>
          <w:sz w:val="22"/>
          <w:szCs w:val="22"/>
          <w:lang w:val="es-MX" w:eastAsia="es-MX"/>
        </w:rPr>
      </w:pPr>
      <w:r w:rsidRPr="001E111C">
        <w:rPr>
          <w:rFonts w:ascii="Palatino Linotype" w:eastAsia="Calibri" w:hAnsi="Palatino Linotype"/>
          <w:b/>
          <w:bCs/>
          <w:i/>
          <w:iCs/>
          <w:sz w:val="22"/>
          <w:szCs w:val="22"/>
          <w:lang w:eastAsia="es-MX"/>
        </w:rPr>
        <w:t xml:space="preserve">V. </w:t>
      </w:r>
      <w:r w:rsidRPr="001E111C">
        <w:rPr>
          <w:rFonts w:ascii="Palatino Linotype" w:eastAsia="Calibri" w:hAnsi="Palatino Linotype"/>
          <w:i/>
          <w:iCs/>
          <w:sz w:val="22"/>
          <w:szCs w:val="22"/>
          <w:lang w:eastAsia="es-MX"/>
        </w:rPr>
        <w:t>Informar, orientar y dar trámite a las licencias de uso de suelo y de construcción, la constancia de alineamiento, el número oficial, nomenclatura y permisos de obra y cédulas de zonificación de acuerdo con los planes, programas y políticas de desarrollo urbano y ordenamiento territorial, así como la normatividad vigente y aplicable en la materia;</w:t>
      </w:r>
    </w:p>
    <w:p w14:paraId="38B7BD08" w14:textId="3A606A60" w:rsidR="00CB5255" w:rsidRDefault="00CB5255" w:rsidP="00A56017">
      <w:pPr>
        <w:spacing w:line="360" w:lineRule="auto"/>
        <w:jc w:val="both"/>
        <w:rPr>
          <w:rFonts w:ascii="Palatino Linotype" w:eastAsia="Calibri" w:hAnsi="Palatino Linotype"/>
          <w:lang w:val="es-MX" w:eastAsia="es-MX"/>
        </w:rPr>
      </w:pPr>
    </w:p>
    <w:p w14:paraId="381FE351" w14:textId="77777777" w:rsidR="00CB5255" w:rsidRDefault="00CB5255" w:rsidP="00A56017">
      <w:pPr>
        <w:spacing w:line="360" w:lineRule="auto"/>
        <w:jc w:val="both"/>
        <w:rPr>
          <w:rFonts w:ascii="Palatino Linotype" w:eastAsia="Calibri" w:hAnsi="Palatino Linotype"/>
          <w:lang w:val="es-MX" w:eastAsia="es-MX"/>
        </w:rPr>
      </w:pPr>
    </w:p>
    <w:p w14:paraId="488D50AB" w14:textId="7BDBBE49" w:rsidR="00A56017" w:rsidRPr="00A56017" w:rsidRDefault="00A56017" w:rsidP="00A56017">
      <w:pPr>
        <w:spacing w:line="360" w:lineRule="auto"/>
        <w:jc w:val="both"/>
        <w:rPr>
          <w:rFonts w:ascii="Palatino Linotype" w:eastAsia="Calibri" w:hAnsi="Palatino Linotype"/>
          <w:lang w:val="es-MX" w:eastAsia="es-MX"/>
        </w:rPr>
      </w:pPr>
      <w:r w:rsidRPr="00A56017">
        <w:rPr>
          <w:rFonts w:ascii="Palatino Linotype" w:eastAsia="Calibri" w:hAnsi="Palatino Linotype"/>
          <w:lang w:val="es-MX" w:eastAsia="es-MX"/>
        </w:rPr>
        <w:t xml:space="preserve"> </w:t>
      </w:r>
      <w:r w:rsidRPr="00A56017">
        <w:rPr>
          <w:rFonts w:ascii="Palatino Linotype" w:eastAsia="Calibri" w:hAnsi="Palatino Linotype" w:cs="Arial"/>
          <w:szCs w:val="22"/>
          <w:lang w:val="es-MX" w:eastAsia="en-US"/>
        </w:rPr>
        <w:t>En ese sentido, lo que manifiesta el sujeto obligado, 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705C9C3D" w14:textId="77777777" w:rsidR="00A56017" w:rsidRPr="00A56017" w:rsidRDefault="00A56017" w:rsidP="00A56017">
      <w:pPr>
        <w:spacing w:line="360" w:lineRule="auto"/>
        <w:ind w:right="51"/>
        <w:jc w:val="both"/>
        <w:rPr>
          <w:rFonts w:ascii="Palatino Linotype" w:hAnsi="Palatino Linotype" w:cs="Arial"/>
        </w:rPr>
      </w:pPr>
    </w:p>
    <w:p w14:paraId="2BE2D47C" w14:textId="77777777" w:rsidR="00A56017" w:rsidRPr="00A56017" w:rsidRDefault="00A56017" w:rsidP="00A56017">
      <w:pPr>
        <w:autoSpaceDE w:val="0"/>
        <w:autoSpaceDN w:val="0"/>
        <w:adjustRightInd w:val="0"/>
        <w:spacing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37FE6A7F" w14:textId="77777777" w:rsidR="00A56017" w:rsidRPr="00A56017" w:rsidRDefault="00A56017" w:rsidP="00A56017">
      <w:pPr>
        <w:spacing w:line="360" w:lineRule="auto"/>
        <w:ind w:right="51"/>
        <w:jc w:val="both"/>
        <w:rPr>
          <w:rFonts w:ascii="Palatino Linotype" w:hAnsi="Palatino Linotype" w:cs="Arial"/>
        </w:rPr>
      </w:pPr>
    </w:p>
    <w:p w14:paraId="36484E9F" w14:textId="77777777" w:rsidR="00A56017" w:rsidRPr="00A56017" w:rsidRDefault="00A56017" w:rsidP="00A56017">
      <w:pPr>
        <w:autoSpaceDE w:val="0"/>
        <w:autoSpaceDN w:val="0"/>
        <w:adjustRightInd w:val="0"/>
        <w:spacing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Por lo anterior sirve de sustento la Tesis Aislada 267287, emanada por el Máximo Juzgador de la Nación, la cual refiere lo siguiente:</w:t>
      </w:r>
    </w:p>
    <w:p w14:paraId="0EFD045A" w14:textId="77777777" w:rsidR="00A56017" w:rsidRPr="00A56017" w:rsidRDefault="00A56017" w:rsidP="00A56017">
      <w:pPr>
        <w:rPr>
          <w:lang w:val="es-MX"/>
        </w:rPr>
      </w:pPr>
    </w:p>
    <w:p w14:paraId="1B9CBB54" w14:textId="77777777" w:rsidR="00A56017" w:rsidRPr="00A56017" w:rsidRDefault="00A56017" w:rsidP="00A56017">
      <w:pPr>
        <w:shd w:val="clear" w:color="auto" w:fill="FFFFFF"/>
        <w:spacing w:before="120" w:after="160" w:line="259" w:lineRule="auto"/>
        <w:ind w:left="851" w:rightChars="386" w:right="926"/>
        <w:jc w:val="both"/>
        <w:rPr>
          <w:rFonts w:ascii="Palatino Linotype" w:eastAsia="Calibri" w:hAnsi="Palatino Linotype"/>
          <w:color w:val="222222"/>
          <w:sz w:val="22"/>
          <w:szCs w:val="22"/>
          <w:lang w:val="es-MX" w:eastAsia="en-US"/>
        </w:rPr>
      </w:pPr>
      <w:r w:rsidRPr="00A56017">
        <w:rPr>
          <w:rFonts w:ascii="Palatino Linotype" w:eastAsia="Calibri" w:hAnsi="Palatino Linotype"/>
          <w:b/>
          <w:bCs/>
          <w:i/>
          <w:iCs/>
          <w:color w:val="222222"/>
          <w:sz w:val="22"/>
          <w:szCs w:val="22"/>
          <w:lang w:val="es-MX" w:eastAsia="en-US"/>
        </w:rPr>
        <w:lastRenderedPageBreak/>
        <w:t>HECHOS NEGATIVOS, NO SON SUSCEPTIBLES DE DEMOSTRACIÓN. ”</w:t>
      </w:r>
      <w:r w:rsidRPr="00A56017">
        <w:rPr>
          <w:rFonts w:ascii="Palatino Linotype" w:eastAsia="Calibri" w:hAnsi="Palatino Linotype"/>
          <w:i/>
          <w:iCs/>
          <w:color w:val="222222"/>
          <w:sz w:val="22"/>
          <w:szCs w:val="22"/>
          <w:lang w:val="es-MX" w:eastAsia="en-US"/>
        </w:rPr>
        <w:t>Tratándose de un hecho negativo, el Juez no tiene por qué invocar prueba alguna de la que se desprenda, ya que es bien sabido que esta clase de hechos no son susceptibles de demostración.</w:t>
      </w:r>
    </w:p>
    <w:p w14:paraId="66CB35B1" w14:textId="77777777" w:rsidR="00A56017" w:rsidRPr="00A56017" w:rsidRDefault="00A56017" w:rsidP="00A56017">
      <w:pPr>
        <w:shd w:val="clear" w:color="auto" w:fill="FFFFFF"/>
        <w:spacing w:after="160" w:line="259" w:lineRule="auto"/>
        <w:ind w:left="851" w:rightChars="386" w:right="926"/>
        <w:jc w:val="both"/>
        <w:rPr>
          <w:rFonts w:ascii="Palatino Linotype" w:eastAsia="Calibri" w:hAnsi="Palatino Linotype"/>
          <w:i/>
          <w:iCs/>
          <w:color w:val="222222"/>
          <w:sz w:val="22"/>
          <w:szCs w:val="22"/>
          <w:lang w:val="es-MX" w:eastAsia="en-US"/>
        </w:rPr>
      </w:pPr>
      <w:r w:rsidRPr="00A56017">
        <w:rPr>
          <w:rFonts w:ascii="Palatino Linotype" w:eastAsia="Calibri" w:hAnsi="Palatino Linotype"/>
          <w:i/>
          <w:iCs/>
          <w:color w:val="222222"/>
          <w:sz w:val="22"/>
          <w:szCs w:val="22"/>
          <w:lang w:val="es-MX" w:eastAsia="en-US"/>
        </w:rPr>
        <w:t>Amparo en revisión 2022/61. José García Florín (Menor). 9 de octubre de 1961. Cinco votos. Ponente: José Rivera Pérez Campos.”</w:t>
      </w:r>
    </w:p>
    <w:p w14:paraId="1CD7BFA3" w14:textId="77777777" w:rsidR="00A56017" w:rsidRPr="00A56017" w:rsidRDefault="00A56017" w:rsidP="00A56017">
      <w:pPr>
        <w:rPr>
          <w:sz w:val="14"/>
          <w:lang w:val="es-MX"/>
        </w:rPr>
      </w:pPr>
    </w:p>
    <w:p w14:paraId="1BDF9F1E" w14:textId="77777777" w:rsidR="00A56017" w:rsidRPr="00A56017" w:rsidRDefault="00A56017" w:rsidP="00A56017">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De igual forma viene a colación el Criterio 7/2017, emitido por el Instituto Nacional de Transparencia, Acceso a la Información y Protección de Datos Personales, cuyo texto se transcribe a continuación:</w:t>
      </w:r>
    </w:p>
    <w:p w14:paraId="6CE7FFA3" w14:textId="77777777" w:rsidR="00A56017" w:rsidRPr="00A56017" w:rsidRDefault="00A56017" w:rsidP="00A56017">
      <w:pPr>
        <w:tabs>
          <w:tab w:val="left" w:pos="851"/>
        </w:tabs>
        <w:spacing w:before="240" w:after="240" w:line="276" w:lineRule="auto"/>
        <w:ind w:left="851" w:right="850"/>
        <w:jc w:val="both"/>
        <w:rPr>
          <w:i/>
          <w:color w:val="222222"/>
          <w:sz w:val="22"/>
          <w:szCs w:val="22"/>
        </w:rPr>
      </w:pPr>
      <w:r w:rsidRPr="00A56017">
        <w:rPr>
          <w:rFonts w:ascii="Palatino Linotype" w:hAnsi="Palatino Linotype"/>
          <w:b/>
          <w:i/>
          <w:color w:val="222222"/>
          <w:sz w:val="22"/>
          <w:szCs w:val="22"/>
        </w:rPr>
        <w:t>Casos en los que no es necesario que el Comité de Transparencia confirme formalmente la inexistencia de la información.</w:t>
      </w:r>
      <w:r w:rsidRPr="00A56017">
        <w:rPr>
          <w:rFonts w:ascii="Palatino Linotype" w:hAnsi="Palatino Linotype"/>
          <w:i/>
          <w:color w:val="222222"/>
          <w:sz w:val="22"/>
          <w:szCs w:val="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A56017">
        <w:rPr>
          <w:i/>
          <w:color w:val="222222"/>
          <w:sz w:val="22"/>
          <w:szCs w:val="22"/>
        </w:rPr>
        <w:t>.</w:t>
      </w:r>
    </w:p>
    <w:p w14:paraId="1B4703D5" w14:textId="77777777" w:rsidR="00A56017" w:rsidRPr="00A56017" w:rsidRDefault="00A56017" w:rsidP="00A56017">
      <w:pPr>
        <w:rPr>
          <w:lang w:val="es-MX"/>
        </w:rPr>
      </w:pPr>
    </w:p>
    <w:p w14:paraId="0E6AC059" w14:textId="77777777" w:rsidR="00A56017" w:rsidRPr="00A56017" w:rsidRDefault="00A56017" w:rsidP="00A56017">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061D220" w14:textId="77777777" w:rsidR="00A56017" w:rsidRPr="00A56017" w:rsidRDefault="00A56017" w:rsidP="00A56017">
      <w:pPr>
        <w:rPr>
          <w:lang w:val="es-MX"/>
        </w:rPr>
      </w:pPr>
    </w:p>
    <w:p w14:paraId="33C6ED84" w14:textId="77777777" w:rsidR="00A56017" w:rsidRPr="00A56017" w:rsidRDefault="00A56017" w:rsidP="00A56017">
      <w:pPr>
        <w:ind w:left="851" w:right="850"/>
        <w:jc w:val="both"/>
        <w:rPr>
          <w:rFonts w:ascii="Palatino Linotype" w:hAnsi="Palatino Linotype"/>
          <w:i/>
          <w:sz w:val="22"/>
          <w:szCs w:val="22"/>
          <w:lang w:val="es-MX"/>
        </w:rPr>
      </w:pPr>
      <w:r w:rsidRPr="00A56017">
        <w:rPr>
          <w:rFonts w:ascii="Palatino Linotype" w:hAnsi="Palatino Linotype"/>
          <w:sz w:val="22"/>
          <w:szCs w:val="22"/>
          <w:lang w:val="es-MX"/>
        </w:rPr>
        <w:t>“</w:t>
      </w:r>
      <w:r w:rsidRPr="00A56017">
        <w:rPr>
          <w:rFonts w:ascii="Palatino Linotype" w:hAnsi="Palatino Linotype"/>
          <w:b/>
          <w:i/>
          <w:sz w:val="22"/>
          <w:szCs w:val="22"/>
          <w:lang w:val="es-MX"/>
        </w:rPr>
        <w:t>Artículo 12.</w:t>
      </w:r>
      <w:r w:rsidRPr="00A56017">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 </w:t>
      </w:r>
    </w:p>
    <w:p w14:paraId="7192BD43" w14:textId="77777777" w:rsidR="00A56017" w:rsidRPr="00A56017" w:rsidRDefault="00A56017" w:rsidP="00A56017">
      <w:pPr>
        <w:ind w:left="851" w:right="850"/>
        <w:jc w:val="both"/>
        <w:rPr>
          <w:rFonts w:ascii="Palatino Linotype" w:hAnsi="Palatino Linotype"/>
          <w:i/>
          <w:sz w:val="22"/>
          <w:szCs w:val="22"/>
          <w:lang w:val="es-MX"/>
        </w:rPr>
      </w:pPr>
    </w:p>
    <w:p w14:paraId="2573AB27" w14:textId="77777777" w:rsidR="00A56017" w:rsidRPr="00A56017" w:rsidRDefault="00A56017" w:rsidP="00A56017">
      <w:pPr>
        <w:ind w:left="851" w:right="850"/>
        <w:jc w:val="both"/>
        <w:rPr>
          <w:rFonts w:ascii="Palatino Linotype" w:hAnsi="Palatino Linotype"/>
          <w:sz w:val="22"/>
          <w:szCs w:val="22"/>
          <w:lang w:val="es-MX"/>
        </w:rPr>
      </w:pPr>
      <w:r w:rsidRPr="00A56017">
        <w:rPr>
          <w:rFonts w:ascii="Palatino Linotype" w:hAnsi="Palatino Linotype"/>
          <w:b/>
          <w:i/>
          <w:sz w:val="22"/>
          <w:szCs w:val="22"/>
          <w:u w:val="single"/>
          <w:lang w:val="es-MX"/>
        </w:rPr>
        <w:t>Los sujetos obligados sólo proporcionarán la información pública que se les requiera y que obre en sus archivos</w:t>
      </w:r>
      <w:r w:rsidRPr="00A56017">
        <w:rPr>
          <w:rFonts w:ascii="Palatino Linotype" w:hAnsi="Palatino Linotype"/>
          <w:i/>
          <w:sz w:val="22"/>
          <w:szCs w:val="22"/>
          <w:lang w:val="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79BBBA" w14:textId="77777777" w:rsidR="00A56017" w:rsidRPr="00A56017" w:rsidRDefault="00A56017" w:rsidP="00A56017">
      <w:pPr>
        <w:autoSpaceDE w:val="0"/>
        <w:autoSpaceDN w:val="0"/>
        <w:adjustRightInd w:val="0"/>
        <w:spacing w:line="360" w:lineRule="auto"/>
        <w:jc w:val="both"/>
        <w:rPr>
          <w:rFonts w:ascii="Palatino Linotype" w:eastAsia="Calibri" w:hAnsi="Palatino Linotype" w:cs="Arial"/>
          <w:szCs w:val="22"/>
          <w:lang w:val="es-MX" w:eastAsia="en-US"/>
        </w:rPr>
      </w:pPr>
    </w:p>
    <w:p w14:paraId="1623B021" w14:textId="77777777" w:rsidR="00A56017" w:rsidRPr="00A56017" w:rsidRDefault="00A56017" w:rsidP="00A56017">
      <w:pPr>
        <w:spacing w:after="160" w:line="360" w:lineRule="auto"/>
        <w:jc w:val="both"/>
        <w:rPr>
          <w:rFonts w:ascii="Palatino Linotype" w:eastAsia="Calibri" w:hAnsi="Palatino Linotype" w:cs="Arial"/>
          <w:lang w:val="es-ES_tradnl" w:eastAsia="en-US"/>
        </w:rPr>
      </w:pPr>
      <w:r w:rsidRPr="00A56017">
        <w:rPr>
          <w:rFonts w:ascii="Palatino Linotype" w:eastAsia="Calibri" w:hAnsi="Palatino Linotype" w:cs="Arial"/>
          <w:lang w:val="es-ES_tradnl" w:eastAsia="en-US"/>
        </w:rPr>
        <w:t>Por todo lo anterior, conviene subrayar que, este Órgano Garante conforme al artículo 36, que otorga la Ley de la Materia, no se encuentra facultado para pronunciarse acerca de la veracidad de la información remitida por los Sujetos Obligados.</w:t>
      </w:r>
    </w:p>
    <w:p w14:paraId="7228A87E" w14:textId="77777777" w:rsidR="00A56017" w:rsidRPr="00A56017" w:rsidRDefault="00A56017" w:rsidP="00A56017">
      <w:pPr>
        <w:spacing w:line="360" w:lineRule="auto"/>
        <w:jc w:val="both"/>
        <w:rPr>
          <w:rFonts w:ascii="Palatino Linotype" w:eastAsia="Calibri" w:hAnsi="Palatino Linotype" w:cs="Arial"/>
          <w:lang w:val="es-ES_tradnl" w:eastAsia="en-US"/>
        </w:rPr>
      </w:pPr>
    </w:p>
    <w:p w14:paraId="1CD4E70E" w14:textId="77777777" w:rsidR="00A56017" w:rsidRPr="00A56017" w:rsidRDefault="00A56017" w:rsidP="00A56017">
      <w:pPr>
        <w:spacing w:after="160" w:line="360" w:lineRule="auto"/>
        <w:jc w:val="both"/>
        <w:rPr>
          <w:rFonts w:ascii="Palatino Linotype" w:eastAsia="Calibri" w:hAnsi="Palatino Linotype" w:cs="Arial"/>
          <w:lang w:val="es-ES_tradnl" w:eastAsia="en-US"/>
        </w:rPr>
      </w:pPr>
      <w:r w:rsidRPr="00A56017">
        <w:rPr>
          <w:rFonts w:ascii="Palatino Linotype" w:eastAsia="Calibri" w:hAnsi="Palatino Linotype" w:cs="Arial"/>
          <w:color w:val="000000"/>
          <w:szCs w:val="22"/>
          <w:lang w:val="es-ES_tradnl" w:eastAsia="en-U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EB0D28A" w14:textId="77777777" w:rsidR="00A56017" w:rsidRPr="00A56017" w:rsidRDefault="00A56017" w:rsidP="00A56017">
      <w:pPr>
        <w:spacing w:after="160" w:line="259" w:lineRule="auto"/>
        <w:ind w:left="851" w:right="1134"/>
        <w:jc w:val="both"/>
        <w:rPr>
          <w:rFonts w:ascii="Palatino Linotype" w:eastAsia="Calibri" w:hAnsi="Palatino Linotype" w:cs="Arial"/>
          <w:i/>
          <w:sz w:val="22"/>
          <w:szCs w:val="22"/>
          <w:lang w:val="es-MX" w:eastAsia="en-US"/>
        </w:rPr>
      </w:pPr>
      <w:r w:rsidRPr="00A56017">
        <w:rPr>
          <w:rFonts w:ascii="Palatino Linotype" w:eastAsia="Calibr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A56017">
        <w:rPr>
          <w:rFonts w:ascii="Palatino Linotype" w:eastAsia="Calibr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r w:rsidRPr="00A56017">
        <w:rPr>
          <w:rFonts w:ascii="Palatino Linotype" w:eastAsia="Calibri" w:hAnsi="Palatino Linotype" w:cs="Arial"/>
          <w:i/>
          <w:sz w:val="22"/>
          <w:szCs w:val="22"/>
          <w:lang w:val="es-MX" w:eastAsia="en-US"/>
        </w:rPr>
        <w:lastRenderedPageBreak/>
        <w:t xml:space="preserve">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56017">
        <w:rPr>
          <w:rFonts w:ascii="Palatino Linotype" w:eastAsia="Calibri" w:hAnsi="Palatino Linotype" w:cs="Arial"/>
          <w:i/>
          <w:sz w:val="22"/>
          <w:szCs w:val="22"/>
          <w:lang w:val="es-MX" w:eastAsia="en-US"/>
        </w:rPr>
        <w:t>Marván</w:t>
      </w:r>
      <w:proofErr w:type="spellEnd"/>
      <w:r w:rsidRPr="00A56017">
        <w:rPr>
          <w:rFonts w:ascii="Palatino Linotype" w:eastAsia="Calibri" w:hAnsi="Palatino Linotype" w:cs="Arial"/>
          <w:i/>
          <w:sz w:val="22"/>
          <w:szCs w:val="22"/>
          <w:lang w:val="es-MX" w:eastAsia="en-US"/>
        </w:rPr>
        <w:t xml:space="preserve"> Laborde 2395/09 Secretaría de Economía - María </w:t>
      </w:r>
      <w:proofErr w:type="spellStart"/>
      <w:r w:rsidRPr="00A56017">
        <w:rPr>
          <w:rFonts w:ascii="Palatino Linotype" w:eastAsia="Calibri" w:hAnsi="Palatino Linotype" w:cs="Arial"/>
          <w:i/>
          <w:sz w:val="22"/>
          <w:szCs w:val="22"/>
          <w:lang w:val="es-MX" w:eastAsia="en-US"/>
        </w:rPr>
        <w:t>Marván</w:t>
      </w:r>
      <w:proofErr w:type="spellEnd"/>
      <w:r w:rsidRPr="00A56017">
        <w:rPr>
          <w:rFonts w:ascii="Palatino Linotype" w:eastAsia="Calibri" w:hAnsi="Palatino Linotype" w:cs="Arial"/>
          <w:i/>
          <w:sz w:val="22"/>
          <w:szCs w:val="22"/>
          <w:lang w:val="es-MX" w:eastAsia="en-US"/>
        </w:rPr>
        <w:t xml:space="preserve"> Laborde 0837/10 Administración Portuaria Integral de Veracruz, S.A. de C.V. – María </w:t>
      </w:r>
      <w:proofErr w:type="spellStart"/>
      <w:r w:rsidRPr="00A56017">
        <w:rPr>
          <w:rFonts w:ascii="Palatino Linotype" w:eastAsia="Calibri" w:hAnsi="Palatino Linotype" w:cs="Arial"/>
          <w:i/>
          <w:sz w:val="22"/>
          <w:szCs w:val="22"/>
          <w:lang w:val="es-MX" w:eastAsia="en-US"/>
        </w:rPr>
        <w:t>Marván</w:t>
      </w:r>
      <w:proofErr w:type="spellEnd"/>
      <w:r w:rsidRPr="00A56017">
        <w:rPr>
          <w:rFonts w:ascii="Palatino Linotype" w:eastAsia="Calibri" w:hAnsi="Palatino Linotype" w:cs="Arial"/>
          <w:i/>
          <w:sz w:val="22"/>
          <w:szCs w:val="22"/>
          <w:lang w:val="es-MX" w:eastAsia="en-US"/>
        </w:rPr>
        <w:t xml:space="preserve"> Laborde </w:t>
      </w:r>
    </w:p>
    <w:p w14:paraId="5089B26D" w14:textId="77777777" w:rsidR="00A56017" w:rsidRPr="00A56017" w:rsidRDefault="00A56017" w:rsidP="00A56017">
      <w:pPr>
        <w:spacing w:after="160" w:line="259" w:lineRule="auto"/>
        <w:ind w:left="851" w:right="1134"/>
        <w:jc w:val="both"/>
        <w:rPr>
          <w:rFonts w:ascii="Palatino Linotype" w:eastAsia="Calibri" w:hAnsi="Palatino Linotype" w:cs="Arial"/>
          <w:i/>
          <w:sz w:val="22"/>
          <w:szCs w:val="22"/>
          <w:lang w:val="es-MX" w:eastAsia="en-US"/>
        </w:rPr>
      </w:pPr>
      <w:r w:rsidRPr="00A56017">
        <w:rPr>
          <w:rFonts w:ascii="Palatino Linotype" w:eastAsia="Calibri" w:hAnsi="Palatino Linotype" w:cs="Arial"/>
          <w:i/>
          <w:sz w:val="22"/>
          <w:szCs w:val="22"/>
          <w:lang w:val="es-MX" w:eastAsia="en-US"/>
        </w:rPr>
        <w:t>Criterio 31/10</w:t>
      </w:r>
    </w:p>
    <w:p w14:paraId="4D8EE593" w14:textId="77777777" w:rsidR="00A56017" w:rsidRPr="00A56017" w:rsidRDefault="00A56017" w:rsidP="00A56017">
      <w:pPr>
        <w:spacing w:line="360" w:lineRule="auto"/>
        <w:ind w:right="51"/>
        <w:jc w:val="both"/>
        <w:rPr>
          <w:rFonts w:ascii="Palatino Linotype" w:eastAsia="Calibri" w:hAnsi="Palatino Linotype" w:cs="Arial"/>
          <w:lang w:val="es-MX" w:eastAsia="en-US"/>
        </w:rPr>
      </w:pPr>
    </w:p>
    <w:p w14:paraId="7E0A1A68" w14:textId="08BF2DA0" w:rsidR="00A56017" w:rsidRPr="00A56017" w:rsidRDefault="00A56017" w:rsidP="00A56017">
      <w:pPr>
        <w:spacing w:line="360" w:lineRule="auto"/>
        <w:ind w:right="51"/>
        <w:jc w:val="both"/>
        <w:rPr>
          <w:rFonts w:ascii="Palatino Linotype" w:eastAsia="Calibri" w:hAnsi="Palatino Linotype" w:cs="Arial"/>
          <w:lang w:val="es-MX" w:eastAsia="en-US"/>
        </w:rPr>
      </w:pPr>
      <w:r w:rsidRPr="00A56017">
        <w:rPr>
          <w:rFonts w:ascii="Palatino Linotype" w:eastAsia="Calibri" w:hAnsi="Palatino Linotype" w:cs="Arial"/>
          <w:lang w:val="es-MX" w:eastAsia="en-US"/>
        </w:rPr>
        <w:t>Por lo anterior, se tienen por colmada la pretensión d</w:t>
      </w:r>
      <w:r w:rsidR="00C526F3">
        <w:rPr>
          <w:rFonts w:ascii="Palatino Linotype" w:eastAsia="Calibri" w:hAnsi="Palatino Linotype" w:cs="Arial"/>
          <w:lang w:val="es-MX" w:eastAsia="en-US"/>
        </w:rPr>
        <w:t>el</w:t>
      </w:r>
      <w:r w:rsidRPr="00A56017">
        <w:rPr>
          <w:rFonts w:ascii="Palatino Linotype" w:eastAsia="Calibri" w:hAnsi="Palatino Linotype" w:cs="Arial"/>
          <w:lang w:val="es-MX" w:eastAsia="en-US"/>
        </w:rPr>
        <w:t xml:space="preserve"> hoy Recurrente respecto de los puntos </w:t>
      </w:r>
      <w:r w:rsidR="001E111C">
        <w:rPr>
          <w:rFonts w:ascii="Palatino Linotype" w:eastAsia="Calibri" w:hAnsi="Palatino Linotype" w:cs="Arial"/>
          <w:lang w:val="es-MX" w:eastAsia="en-US"/>
        </w:rPr>
        <w:t>1, 2 y 6</w:t>
      </w:r>
      <w:r w:rsidR="000E7C06" w:rsidRPr="000E7C06">
        <w:rPr>
          <w:rFonts w:ascii="Palatino Linotype" w:eastAsia="Calibri" w:hAnsi="Palatino Linotype" w:cs="Arial"/>
          <w:lang w:val="es-MX" w:eastAsia="en-US"/>
        </w:rPr>
        <w:t xml:space="preserve"> </w:t>
      </w:r>
      <w:r w:rsidRPr="00A56017">
        <w:rPr>
          <w:rFonts w:ascii="Palatino Linotype" w:eastAsia="Calibri" w:hAnsi="Palatino Linotype" w:cs="Arial"/>
          <w:lang w:val="es-MX" w:eastAsia="en-US"/>
        </w:rPr>
        <w:t>del presente apartado, una vez que el Sujeto Obligado ha remitido los documentos en donde consta la información requerida por el Recurrente.</w:t>
      </w:r>
    </w:p>
    <w:p w14:paraId="1B58B039" w14:textId="77777777" w:rsidR="00A87485" w:rsidRPr="00A87485" w:rsidRDefault="00A87485" w:rsidP="00A87485">
      <w:pPr>
        <w:spacing w:line="360" w:lineRule="auto"/>
        <w:jc w:val="both"/>
        <w:rPr>
          <w:rFonts w:ascii="Palatino Linotype" w:eastAsia="Calibri" w:hAnsi="Palatino Linotype"/>
          <w:lang w:val="es-MX" w:eastAsia="es-MX"/>
        </w:rPr>
      </w:pPr>
    </w:p>
    <w:p w14:paraId="3775B714" w14:textId="4347298F" w:rsidR="005E1C1B" w:rsidRDefault="00A87485" w:rsidP="005E1C1B">
      <w:pPr>
        <w:spacing w:line="360" w:lineRule="auto"/>
        <w:jc w:val="both"/>
        <w:rPr>
          <w:rFonts w:ascii="Palatino Linotype" w:hAnsi="Palatino Linotype" w:cs="Arial"/>
        </w:rPr>
      </w:pPr>
      <w:r w:rsidRPr="00A87485">
        <w:rPr>
          <w:rFonts w:ascii="Palatino Linotype" w:eastAsia="Calibri" w:hAnsi="Palatino Linotype" w:cs="Arial"/>
          <w:lang w:val="es-MX" w:eastAsia="en-US"/>
        </w:rPr>
        <w:t xml:space="preserve">Ahora bien, respecto </w:t>
      </w:r>
      <w:r w:rsidR="008C5F81">
        <w:rPr>
          <w:rFonts w:ascii="Palatino Linotype" w:eastAsia="Calibri" w:hAnsi="Palatino Linotype" w:cs="Arial"/>
          <w:lang w:val="es-MX" w:eastAsia="en-US"/>
        </w:rPr>
        <w:t>a los requerimientos</w:t>
      </w:r>
      <w:r w:rsidR="00267078">
        <w:rPr>
          <w:rFonts w:ascii="Palatino Linotype" w:eastAsia="Calibri" w:hAnsi="Palatino Linotype" w:cs="Arial"/>
          <w:lang w:val="es-MX" w:eastAsia="en-US"/>
        </w:rPr>
        <w:t xml:space="preserve"> formulados en el punto </w:t>
      </w:r>
      <w:r w:rsidR="005E1C1B">
        <w:rPr>
          <w:rFonts w:ascii="Palatino Linotype" w:eastAsia="Calibri" w:hAnsi="Palatino Linotype" w:cs="Arial"/>
          <w:lang w:val="es-MX" w:eastAsia="en-US"/>
        </w:rPr>
        <w:t>3</w:t>
      </w:r>
      <w:r w:rsidR="00267078">
        <w:rPr>
          <w:rFonts w:ascii="Palatino Linotype" w:eastAsia="Calibri" w:hAnsi="Palatino Linotype" w:cs="Arial"/>
          <w:lang w:val="es-MX" w:eastAsia="en-US"/>
        </w:rPr>
        <w:t xml:space="preserve"> de la solicitud de información,</w:t>
      </w:r>
      <w:r w:rsidRPr="00A87485">
        <w:rPr>
          <w:rFonts w:ascii="Palatino Linotype" w:eastAsia="Calibri" w:hAnsi="Palatino Linotype" w:cs="Arial"/>
          <w:lang w:val="es-MX" w:eastAsia="en-US"/>
        </w:rPr>
        <w:t xml:space="preserve"> correspondiente</w:t>
      </w:r>
      <w:r w:rsidR="008C5F81">
        <w:rPr>
          <w:rFonts w:ascii="Palatino Linotype" w:eastAsia="Calibri" w:hAnsi="Palatino Linotype" w:cs="Arial"/>
          <w:lang w:val="es-MX" w:eastAsia="en-US"/>
        </w:rPr>
        <w:t>s</w:t>
      </w:r>
      <w:r w:rsidRPr="00A87485">
        <w:rPr>
          <w:rFonts w:ascii="Palatino Linotype" w:eastAsia="Calibri" w:hAnsi="Palatino Linotype" w:cs="Arial"/>
          <w:lang w:val="es-MX" w:eastAsia="en-US"/>
        </w:rPr>
        <w:t xml:space="preserve"> a la entrega de los </w:t>
      </w:r>
      <w:r w:rsidR="008C5F81">
        <w:rPr>
          <w:rFonts w:ascii="Palatino Linotype" w:eastAsia="Calibri" w:hAnsi="Palatino Linotype" w:cs="Arial"/>
          <w:lang w:val="es-MX" w:eastAsia="en-US"/>
        </w:rPr>
        <w:t>documentos en donde conste</w:t>
      </w:r>
      <w:r w:rsidR="00267078">
        <w:rPr>
          <w:rFonts w:ascii="Palatino Linotype" w:eastAsia="Calibri" w:hAnsi="Palatino Linotype" w:cs="Arial"/>
          <w:lang w:val="es-MX" w:eastAsia="en-US"/>
        </w:rPr>
        <w:t xml:space="preserve"> el</w:t>
      </w:r>
      <w:r w:rsidR="008C5F81">
        <w:rPr>
          <w:rFonts w:ascii="Palatino Linotype" w:eastAsia="Calibri" w:hAnsi="Palatino Linotype" w:cs="Arial"/>
          <w:lang w:val="es-MX" w:eastAsia="en-US"/>
        </w:rPr>
        <w:t xml:space="preserve"> </w:t>
      </w:r>
      <w:r w:rsidR="005E1C1B">
        <w:rPr>
          <w:rFonts w:ascii="Palatino Linotype" w:eastAsia="Calibri" w:hAnsi="Palatino Linotype" w:cs="Arial"/>
          <w:lang w:val="es-MX" w:eastAsia="en-US"/>
        </w:rPr>
        <w:t>p</w:t>
      </w:r>
      <w:r w:rsidR="005E1C1B" w:rsidRPr="005E1C1B">
        <w:rPr>
          <w:rFonts w:ascii="Palatino Linotype" w:eastAsia="Calibri" w:hAnsi="Palatino Linotype" w:cs="Arial"/>
          <w:lang w:val="es-MX" w:eastAsia="en-US"/>
        </w:rPr>
        <w:t>ermiso de la autoridad sanitaria que permita al establecimiento el recibir aves vivas, sacrificarlas y procesarlas para su venta al mayoreo</w:t>
      </w:r>
      <w:r w:rsidRPr="00A87485">
        <w:rPr>
          <w:rFonts w:ascii="Palatino Linotype" w:eastAsia="Calibri" w:hAnsi="Palatino Linotype" w:cs="Arial"/>
          <w:lang w:val="es-MX" w:eastAsia="en-US"/>
        </w:rPr>
        <w:t xml:space="preserve">, </w:t>
      </w:r>
      <w:r w:rsidRPr="00A87485">
        <w:rPr>
          <w:rFonts w:ascii="Palatino Linotype" w:eastAsia="Calibri" w:hAnsi="Palatino Linotype"/>
          <w:lang w:val="es-MX" w:eastAsia="es-MX"/>
        </w:rPr>
        <w:t xml:space="preserve">debemos destacar que el Sujeto Obligado </w:t>
      </w:r>
      <w:r w:rsidR="005E1C1B">
        <w:rPr>
          <w:rFonts w:ascii="Palatino Linotype" w:eastAsia="Calibri" w:hAnsi="Palatino Linotype"/>
          <w:lang w:val="es-MX" w:eastAsia="es-MX"/>
        </w:rPr>
        <w:t>argumentó ser</w:t>
      </w:r>
      <w:r w:rsidR="005E1C1B" w:rsidRPr="005E1C1B">
        <w:rPr>
          <w:rFonts w:ascii="Palatino Linotype" w:eastAsia="Calibri" w:hAnsi="Palatino Linotype"/>
          <w:lang w:val="es-MX" w:eastAsia="es-MX"/>
        </w:rPr>
        <w:t xml:space="preserve"> incompetente para hacer entrega de la información solicitada, a través del Director de Desarrollo </w:t>
      </w:r>
      <w:r w:rsidR="00EF738F">
        <w:rPr>
          <w:rFonts w:ascii="Palatino Linotype" w:eastAsia="Calibri" w:hAnsi="Palatino Linotype"/>
          <w:lang w:val="es-MX" w:eastAsia="es-MX"/>
        </w:rPr>
        <w:t>U</w:t>
      </w:r>
      <w:r w:rsidR="005E1C1B" w:rsidRPr="005E1C1B">
        <w:rPr>
          <w:rFonts w:ascii="Palatino Linotype" w:eastAsia="Calibri" w:hAnsi="Palatino Linotype"/>
          <w:lang w:val="es-MX" w:eastAsia="es-MX"/>
        </w:rPr>
        <w:t>rbano</w:t>
      </w:r>
      <w:r w:rsidRPr="00A87485">
        <w:rPr>
          <w:rFonts w:ascii="Palatino Linotype" w:eastAsia="Calibri" w:hAnsi="Palatino Linotype" w:cs="Arial"/>
          <w:lang w:val="es-MX" w:eastAsia="en-US"/>
        </w:rPr>
        <w:t xml:space="preserve">, </w:t>
      </w:r>
      <w:r w:rsidR="005E1C1B">
        <w:rPr>
          <w:rFonts w:ascii="Palatino Linotype" w:hAnsi="Palatino Linotype" w:cs="Arial"/>
        </w:rPr>
        <w:t>ante ello</w:t>
      </w:r>
      <w:r w:rsidR="002D310B" w:rsidRPr="00126A2C">
        <w:rPr>
          <w:rFonts w:ascii="Palatino Linotype" w:hAnsi="Palatino Linotype" w:cs="Arial"/>
        </w:rPr>
        <w:t>, es conveniente señalar</w:t>
      </w:r>
      <w:r w:rsidR="005E1C1B">
        <w:rPr>
          <w:rFonts w:ascii="Palatino Linotype" w:hAnsi="Palatino Linotype" w:cs="Arial"/>
        </w:rPr>
        <w:t xml:space="preserve"> el contenido </w:t>
      </w:r>
      <w:r w:rsidR="005E1C1B" w:rsidRPr="005E1C1B">
        <w:rPr>
          <w:rFonts w:ascii="Palatino Linotype" w:hAnsi="Palatino Linotype" w:cs="Arial"/>
        </w:rPr>
        <w:t>del Bando Municipal del Ayuntamiento de Nezahualcóyotl</w:t>
      </w:r>
      <w:r w:rsidR="005E1C1B">
        <w:rPr>
          <w:rFonts w:ascii="Palatino Linotype" w:hAnsi="Palatino Linotype" w:cs="Arial"/>
        </w:rPr>
        <w:t xml:space="preserve">, que en su parte conducente señala lo siguiente: </w:t>
      </w:r>
    </w:p>
    <w:p w14:paraId="26C682B0" w14:textId="77777777" w:rsidR="00EF738F" w:rsidRDefault="00EF738F" w:rsidP="005E1C1B">
      <w:pPr>
        <w:spacing w:line="360" w:lineRule="auto"/>
        <w:jc w:val="both"/>
        <w:rPr>
          <w:rFonts w:ascii="Palatino Linotype" w:hAnsi="Palatino Linotype" w:cs="Arial"/>
        </w:rPr>
      </w:pPr>
    </w:p>
    <w:p w14:paraId="1E2E2214" w14:textId="77777777" w:rsidR="004A451E" w:rsidRDefault="005E1C1B" w:rsidP="004A451E">
      <w:pPr>
        <w:tabs>
          <w:tab w:val="left" w:pos="7938"/>
        </w:tabs>
        <w:ind w:left="851" w:right="851"/>
        <w:jc w:val="both"/>
        <w:rPr>
          <w:rFonts w:ascii="Palatino Linotype" w:hAnsi="Palatino Linotype" w:cs="Arial"/>
          <w:i/>
          <w:iCs/>
          <w:sz w:val="22"/>
          <w:szCs w:val="22"/>
        </w:rPr>
      </w:pPr>
      <w:r w:rsidRPr="004A451E">
        <w:rPr>
          <w:rFonts w:ascii="Palatino Linotype" w:hAnsi="Palatino Linotype" w:cs="Arial"/>
          <w:b/>
          <w:bCs/>
          <w:i/>
          <w:iCs/>
          <w:sz w:val="22"/>
          <w:szCs w:val="22"/>
        </w:rPr>
        <w:t>Artículo 93</w:t>
      </w:r>
      <w:r w:rsidRPr="004A451E">
        <w:rPr>
          <w:rFonts w:ascii="Palatino Linotype" w:hAnsi="Palatino Linotype" w:cs="Arial"/>
          <w:i/>
          <w:iCs/>
          <w:sz w:val="22"/>
          <w:szCs w:val="22"/>
        </w:rPr>
        <w:t xml:space="preserve">.- La autoridad municipal promoverá acciones tendientes al pago de las contribuciones dentro del territorio municipal; </w:t>
      </w:r>
      <w:r w:rsidRPr="004A451E">
        <w:rPr>
          <w:rFonts w:ascii="Palatino Linotype" w:hAnsi="Palatino Linotype" w:cs="Arial"/>
          <w:b/>
          <w:bCs/>
          <w:i/>
          <w:iCs/>
          <w:sz w:val="22"/>
          <w:szCs w:val="22"/>
        </w:rPr>
        <w:t>siendo la tesorería municipal la encargada de coordinar, ejecutar y vigilar el cumplimiento de las mismas, teniendo las siguientes atribuciones</w:t>
      </w:r>
      <w:r w:rsidRPr="004A451E">
        <w:rPr>
          <w:rFonts w:ascii="Palatino Linotype" w:hAnsi="Palatino Linotype" w:cs="Arial"/>
          <w:i/>
          <w:iCs/>
          <w:sz w:val="22"/>
          <w:szCs w:val="22"/>
        </w:rPr>
        <w:t xml:space="preserve">: </w:t>
      </w:r>
    </w:p>
    <w:p w14:paraId="63148CC6" w14:textId="77777777" w:rsidR="004A451E" w:rsidRDefault="004A451E" w:rsidP="004A451E">
      <w:pPr>
        <w:tabs>
          <w:tab w:val="left" w:pos="7938"/>
        </w:tabs>
        <w:ind w:left="851" w:right="851"/>
        <w:jc w:val="both"/>
        <w:rPr>
          <w:rFonts w:ascii="Palatino Linotype" w:hAnsi="Palatino Linotype" w:cs="Arial"/>
          <w:i/>
          <w:iCs/>
          <w:sz w:val="22"/>
          <w:szCs w:val="22"/>
        </w:rPr>
      </w:pPr>
    </w:p>
    <w:p w14:paraId="341211A7" w14:textId="77777777" w:rsidR="004A451E" w:rsidRDefault="005E1C1B" w:rsidP="004A451E">
      <w:pPr>
        <w:tabs>
          <w:tab w:val="left" w:pos="7938"/>
        </w:tabs>
        <w:ind w:left="851" w:right="851"/>
        <w:jc w:val="both"/>
        <w:rPr>
          <w:rFonts w:ascii="Palatino Linotype" w:hAnsi="Palatino Linotype" w:cs="Arial"/>
          <w:i/>
          <w:iCs/>
          <w:sz w:val="22"/>
          <w:szCs w:val="22"/>
        </w:rPr>
      </w:pPr>
      <w:r w:rsidRPr="004A451E">
        <w:rPr>
          <w:rFonts w:ascii="Palatino Linotype" w:hAnsi="Palatino Linotype" w:cs="Arial"/>
          <w:i/>
          <w:iCs/>
          <w:sz w:val="22"/>
          <w:szCs w:val="22"/>
        </w:rPr>
        <w:t xml:space="preserve">I. </w:t>
      </w:r>
      <w:r w:rsidRPr="004A451E">
        <w:rPr>
          <w:rFonts w:ascii="Palatino Linotype" w:hAnsi="Palatino Linotype" w:cs="Arial"/>
          <w:b/>
          <w:bCs/>
          <w:i/>
          <w:iCs/>
          <w:sz w:val="22"/>
          <w:szCs w:val="22"/>
        </w:rPr>
        <w:t>Determinar los requisitos que los particulares deberán cumplir para la expedición de autorizaciones, licencias, permisos</w:t>
      </w:r>
      <w:r w:rsidRPr="004A451E">
        <w:rPr>
          <w:rFonts w:ascii="Palatino Linotype" w:hAnsi="Palatino Linotype" w:cs="Arial"/>
          <w:i/>
          <w:iCs/>
          <w:sz w:val="22"/>
          <w:szCs w:val="22"/>
        </w:rPr>
        <w:t xml:space="preserve"> y/o concesiones, para las actividades económicas lícitas de su competencia, sujetas a regulación, en los </w:t>
      </w:r>
      <w:r w:rsidRPr="004A451E">
        <w:rPr>
          <w:rFonts w:ascii="Palatino Linotype" w:hAnsi="Palatino Linotype" w:cs="Arial"/>
          <w:i/>
          <w:iCs/>
          <w:sz w:val="22"/>
          <w:szCs w:val="22"/>
        </w:rPr>
        <w:lastRenderedPageBreak/>
        <w:t xml:space="preserve">términos de las disposiciones aplicables en la materia que la misma u otras autoridades competentes emitan. </w:t>
      </w:r>
    </w:p>
    <w:p w14:paraId="00A5704F" w14:textId="6A1C7742" w:rsidR="002D310B" w:rsidRDefault="005E1C1B" w:rsidP="004A451E">
      <w:pPr>
        <w:tabs>
          <w:tab w:val="left" w:pos="7938"/>
        </w:tabs>
        <w:ind w:left="851" w:right="851"/>
        <w:jc w:val="both"/>
        <w:rPr>
          <w:rFonts w:ascii="Palatino Linotype" w:hAnsi="Palatino Linotype" w:cs="Arial"/>
          <w:i/>
          <w:iCs/>
          <w:sz w:val="22"/>
          <w:szCs w:val="22"/>
        </w:rPr>
      </w:pPr>
      <w:r w:rsidRPr="004A451E">
        <w:rPr>
          <w:rFonts w:ascii="Palatino Linotype" w:hAnsi="Palatino Linotype" w:cs="Arial"/>
          <w:i/>
          <w:iCs/>
          <w:sz w:val="22"/>
          <w:szCs w:val="22"/>
        </w:rPr>
        <w:t xml:space="preserve">II. </w:t>
      </w:r>
      <w:r w:rsidRPr="004A451E">
        <w:rPr>
          <w:rFonts w:ascii="Palatino Linotype" w:hAnsi="Palatino Linotype" w:cs="Arial"/>
          <w:b/>
          <w:bCs/>
          <w:i/>
          <w:iCs/>
          <w:sz w:val="22"/>
          <w:szCs w:val="22"/>
          <w:u w:val="single"/>
        </w:rPr>
        <w:t>Expedir autorizaciones, licencias, permisos y/o concesiones, para las actividades económicas lícitas de su competencia</w:t>
      </w:r>
      <w:r w:rsidRPr="004A451E">
        <w:rPr>
          <w:rFonts w:ascii="Palatino Linotype" w:hAnsi="Palatino Linotype" w:cs="Arial"/>
          <w:i/>
          <w:iCs/>
          <w:sz w:val="22"/>
          <w:szCs w:val="22"/>
        </w:rPr>
        <w:t>, sujetas a regulación a través de sus jefaturas correspondientes, las cuales serán vigentes por el tiempo, evento o periodo para el que sean otorgadas, sin que en ningún caso pueda exceder del año de su emisión; previo cumplimiento de los requisitos que establezcan los ordenamientos legales aplicables.</w:t>
      </w:r>
    </w:p>
    <w:p w14:paraId="6118095F" w14:textId="71FA0C4B" w:rsidR="004A451E" w:rsidRPr="004A451E" w:rsidRDefault="004A451E" w:rsidP="004A451E">
      <w:pPr>
        <w:tabs>
          <w:tab w:val="left" w:pos="7938"/>
        </w:tabs>
        <w:ind w:left="851" w:right="851"/>
        <w:jc w:val="both"/>
        <w:rPr>
          <w:rFonts w:ascii="Palatino Linotype" w:hAnsi="Palatino Linotype" w:cs="Arial"/>
          <w:i/>
          <w:iCs/>
          <w:sz w:val="22"/>
          <w:szCs w:val="22"/>
        </w:rPr>
      </w:pPr>
      <w:r>
        <w:rPr>
          <w:rFonts w:ascii="Palatino Linotype" w:hAnsi="Palatino Linotype" w:cs="Arial"/>
          <w:i/>
          <w:iCs/>
          <w:sz w:val="22"/>
          <w:szCs w:val="22"/>
        </w:rPr>
        <w:t>(…)</w:t>
      </w:r>
    </w:p>
    <w:p w14:paraId="6D23B3AD" w14:textId="0DB0E18C" w:rsidR="005E1C1B" w:rsidRPr="004A451E" w:rsidRDefault="005E1C1B" w:rsidP="004A451E">
      <w:pPr>
        <w:tabs>
          <w:tab w:val="left" w:pos="7938"/>
        </w:tabs>
        <w:ind w:left="851" w:right="851"/>
        <w:jc w:val="both"/>
        <w:rPr>
          <w:rFonts w:ascii="Palatino Linotype" w:hAnsi="Palatino Linotype" w:cs="Arial"/>
          <w:i/>
          <w:iCs/>
          <w:sz w:val="22"/>
          <w:szCs w:val="22"/>
        </w:rPr>
      </w:pPr>
    </w:p>
    <w:p w14:paraId="1432F041" w14:textId="0137AB82" w:rsidR="004A451E" w:rsidRDefault="005E1C1B" w:rsidP="004A451E">
      <w:pPr>
        <w:tabs>
          <w:tab w:val="left" w:pos="7938"/>
        </w:tabs>
        <w:ind w:left="851" w:right="851"/>
        <w:jc w:val="both"/>
        <w:rPr>
          <w:rFonts w:ascii="Palatino Linotype" w:hAnsi="Palatino Linotype" w:cs="Arial"/>
          <w:i/>
          <w:iCs/>
          <w:sz w:val="22"/>
          <w:szCs w:val="22"/>
        </w:rPr>
      </w:pPr>
      <w:r w:rsidRPr="004A451E">
        <w:rPr>
          <w:rFonts w:ascii="Palatino Linotype" w:hAnsi="Palatino Linotype" w:cs="Arial"/>
          <w:b/>
          <w:bCs/>
          <w:i/>
          <w:iCs/>
          <w:sz w:val="22"/>
          <w:szCs w:val="22"/>
        </w:rPr>
        <w:t>Artículo 117</w:t>
      </w:r>
      <w:r w:rsidRPr="004A451E">
        <w:rPr>
          <w:rFonts w:ascii="Palatino Linotype" w:hAnsi="Palatino Linotype" w:cs="Arial"/>
          <w:i/>
          <w:iCs/>
          <w:sz w:val="22"/>
          <w:szCs w:val="22"/>
        </w:rPr>
        <w:t xml:space="preserve">.- Se considera que se dedican al comercio semifijo, las personas físicas que ejercen dicha actividad en la vía pública y obtengan la autorización de la Tesorería Municipal, previo cumplimiento de los requisitos establecidos y el pago correspondiente para ejercer el comercio lícito en lugar y tiempo determinado, que se instale y retire diariamente. Por ningún motivo deberán ocupar espacios mayores a seis metros cuadrados. </w:t>
      </w:r>
    </w:p>
    <w:p w14:paraId="4FBB4F0D" w14:textId="77777777" w:rsidR="004A451E" w:rsidRDefault="004A451E" w:rsidP="004A451E">
      <w:pPr>
        <w:tabs>
          <w:tab w:val="left" w:pos="7938"/>
        </w:tabs>
        <w:ind w:left="851" w:right="851"/>
        <w:jc w:val="both"/>
        <w:rPr>
          <w:rFonts w:ascii="Palatino Linotype" w:hAnsi="Palatino Linotype" w:cs="Arial"/>
          <w:i/>
          <w:iCs/>
          <w:sz w:val="22"/>
          <w:szCs w:val="22"/>
        </w:rPr>
      </w:pPr>
    </w:p>
    <w:p w14:paraId="55C976B9" w14:textId="20B67F00" w:rsidR="005E1C1B" w:rsidRPr="004A451E" w:rsidRDefault="005E1C1B" w:rsidP="004A451E">
      <w:pPr>
        <w:tabs>
          <w:tab w:val="left" w:pos="7938"/>
        </w:tabs>
        <w:ind w:left="851" w:right="851"/>
        <w:jc w:val="both"/>
        <w:rPr>
          <w:rFonts w:ascii="Palatino Linotype" w:hAnsi="Palatino Linotype" w:cs="Arial"/>
          <w:i/>
          <w:iCs/>
          <w:sz w:val="22"/>
          <w:szCs w:val="22"/>
        </w:rPr>
      </w:pPr>
      <w:r w:rsidRPr="004A451E">
        <w:rPr>
          <w:rFonts w:ascii="Palatino Linotype" w:hAnsi="Palatino Linotype" w:cs="Arial"/>
          <w:b/>
          <w:bCs/>
          <w:i/>
          <w:iCs/>
          <w:sz w:val="22"/>
          <w:szCs w:val="22"/>
        </w:rPr>
        <w:t>Los prestadores de servicios en la elaboración y manejo de alimentos, tendrán la obligación de acreditar la capacitación en regulación sanitaria</w:t>
      </w:r>
      <w:r w:rsidRPr="004A451E">
        <w:rPr>
          <w:rFonts w:ascii="Palatino Linotype" w:hAnsi="Palatino Linotype" w:cs="Arial"/>
          <w:i/>
          <w:iCs/>
          <w:sz w:val="22"/>
          <w:szCs w:val="22"/>
        </w:rPr>
        <w:t>, protección civil y cumplir con las normas establecidas en la jurisdicción correspondiente, sobre las buenas prácticas de higiene y sanidad en la preparación de alimentos.</w:t>
      </w:r>
    </w:p>
    <w:p w14:paraId="5F1ACC65" w14:textId="22203082" w:rsidR="005E1C1B" w:rsidRDefault="005E1C1B" w:rsidP="00E53540">
      <w:pPr>
        <w:tabs>
          <w:tab w:val="left" w:pos="7938"/>
        </w:tabs>
        <w:spacing w:line="360" w:lineRule="auto"/>
        <w:jc w:val="both"/>
        <w:rPr>
          <w:rFonts w:ascii="Palatino Linotype" w:hAnsi="Palatino Linotype" w:cs="Arial"/>
        </w:rPr>
      </w:pPr>
    </w:p>
    <w:p w14:paraId="45003EFF" w14:textId="43DD8FC0" w:rsidR="005E1C1B" w:rsidRDefault="005E1C1B" w:rsidP="00E53540">
      <w:pPr>
        <w:tabs>
          <w:tab w:val="left" w:pos="7938"/>
        </w:tabs>
        <w:spacing w:line="360" w:lineRule="auto"/>
        <w:jc w:val="both"/>
        <w:rPr>
          <w:rFonts w:ascii="Palatino Linotype" w:hAnsi="Palatino Linotype" w:cs="Arial"/>
        </w:rPr>
      </w:pPr>
      <w:r>
        <w:rPr>
          <w:rFonts w:ascii="Palatino Linotype" w:hAnsi="Palatino Linotype" w:cs="Arial"/>
        </w:rPr>
        <w:t xml:space="preserve">Sirve a manera de robustecer </w:t>
      </w:r>
      <w:r w:rsidR="004A451E">
        <w:rPr>
          <w:rFonts w:ascii="Palatino Linotype" w:hAnsi="Palatino Linotype" w:cs="Arial"/>
        </w:rPr>
        <w:t xml:space="preserve">lo anteriormente señalado, lo establecido en el Reglamento Orgánico de la Administración Pública Municipal de Nezahualcóyotl, que a la letra señala lo siguiente: </w:t>
      </w:r>
    </w:p>
    <w:p w14:paraId="0ED65D10" w14:textId="50BCECA1" w:rsidR="005E1C1B" w:rsidRDefault="005E1C1B" w:rsidP="00E53540">
      <w:pPr>
        <w:tabs>
          <w:tab w:val="left" w:pos="7938"/>
        </w:tabs>
        <w:spacing w:line="360" w:lineRule="auto"/>
        <w:jc w:val="both"/>
        <w:rPr>
          <w:rFonts w:ascii="Palatino Linotype" w:hAnsi="Palatino Linotype" w:cs="Arial"/>
        </w:rPr>
      </w:pPr>
    </w:p>
    <w:p w14:paraId="7ACEB0B4" w14:textId="39BA5CA9" w:rsidR="005E1C1B" w:rsidRPr="004A451E" w:rsidRDefault="005E1C1B" w:rsidP="004A451E">
      <w:pPr>
        <w:tabs>
          <w:tab w:val="left" w:pos="7938"/>
        </w:tabs>
        <w:ind w:left="851" w:right="851"/>
        <w:jc w:val="both"/>
        <w:rPr>
          <w:rFonts w:ascii="Palatino Linotype" w:hAnsi="Palatino Linotype" w:cs="Arial"/>
          <w:i/>
          <w:iCs/>
          <w:sz w:val="22"/>
          <w:szCs w:val="22"/>
        </w:rPr>
      </w:pPr>
      <w:r w:rsidRPr="004A451E">
        <w:rPr>
          <w:rFonts w:ascii="Palatino Linotype" w:hAnsi="Palatino Linotype" w:cs="Arial"/>
          <w:b/>
          <w:bCs/>
          <w:i/>
          <w:iCs/>
          <w:sz w:val="22"/>
          <w:szCs w:val="22"/>
        </w:rPr>
        <w:t>Artículo 32</w:t>
      </w:r>
      <w:r w:rsidRPr="004A451E">
        <w:rPr>
          <w:rFonts w:ascii="Palatino Linotype" w:hAnsi="Palatino Linotype" w:cs="Arial"/>
          <w:i/>
          <w:iCs/>
          <w:sz w:val="22"/>
          <w:szCs w:val="22"/>
        </w:rPr>
        <w:t xml:space="preserve">. Además de las previstas por la Ley Orgánica Municipal del Estado de México y demás ordenamientos en la materia, </w:t>
      </w:r>
      <w:r w:rsidRPr="004A451E">
        <w:rPr>
          <w:rFonts w:ascii="Palatino Linotype" w:hAnsi="Palatino Linotype" w:cs="Arial"/>
          <w:b/>
          <w:bCs/>
          <w:i/>
          <w:iCs/>
          <w:sz w:val="22"/>
          <w:szCs w:val="22"/>
        </w:rPr>
        <w:t>la persona titular de la Tesorería Municipal tendrá las siguientes facultades</w:t>
      </w:r>
      <w:r w:rsidRPr="004A451E">
        <w:rPr>
          <w:rFonts w:ascii="Palatino Linotype" w:hAnsi="Palatino Linotype" w:cs="Arial"/>
          <w:i/>
          <w:iCs/>
          <w:sz w:val="22"/>
          <w:szCs w:val="22"/>
        </w:rPr>
        <w:t>:</w:t>
      </w:r>
    </w:p>
    <w:p w14:paraId="3D819D21" w14:textId="3075DDBF" w:rsidR="005E1C1B" w:rsidRPr="004A451E" w:rsidRDefault="005E1C1B" w:rsidP="004A451E">
      <w:pPr>
        <w:tabs>
          <w:tab w:val="left" w:pos="7938"/>
        </w:tabs>
        <w:ind w:left="851" w:right="851"/>
        <w:jc w:val="both"/>
        <w:rPr>
          <w:rFonts w:ascii="Palatino Linotype" w:hAnsi="Palatino Linotype" w:cs="Arial"/>
          <w:i/>
          <w:iCs/>
          <w:sz w:val="22"/>
          <w:szCs w:val="22"/>
        </w:rPr>
      </w:pPr>
    </w:p>
    <w:p w14:paraId="34C8AB4C" w14:textId="714D2CEA" w:rsidR="005E1C1B" w:rsidRPr="004A451E" w:rsidRDefault="005E1C1B" w:rsidP="004A451E">
      <w:pPr>
        <w:tabs>
          <w:tab w:val="left" w:pos="7938"/>
        </w:tabs>
        <w:ind w:left="851" w:right="851"/>
        <w:jc w:val="both"/>
        <w:rPr>
          <w:rFonts w:ascii="Palatino Linotype" w:hAnsi="Palatino Linotype" w:cs="Arial"/>
          <w:i/>
          <w:iCs/>
          <w:sz w:val="22"/>
          <w:szCs w:val="22"/>
        </w:rPr>
      </w:pPr>
      <w:r w:rsidRPr="004A451E">
        <w:rPr>
          <w:rFonts w:ascii="Palatino Linotype" w:hAnsi="Palatino Linotype" w:cs="Arial"/>
          <w:b/>
          <w:bCs/>
          <w:i/>
          <w:iCs/>
          <w:sz w:val="22"/>
          <w:szCs w:val="22"/>
        </w:rPr>
        <w:t>XVI.</w:t>
      </w:r>
      <w:r w:rsidRPr="004A451E">
        <w:rPr>
          <w:rFonts w:ascii="Palatino Linotype" w:hAnsi="Palatino Linotype" w:cs="Arial"/>
          <w:i/>
          <w:iCs/>
          <w:sz w:val="22"/>
          <w:szCs w:val="22"/>
        </w:rPr>
        <w:t xml:space="preserve"> </w:t>
      </w:r>
      <w:r w:rsidRPr="004A451E">
        <w:rPr>
          <w:rFonts w:ascii="Palatino Linotype" w:hAnsi="Palatino Linotype" w:cs="Arial"/>
          <w:b/>
          <w:bCs/>
          <w:i/>
          <w:iCs/>
          <w:sz w:val="22"/>
          <w:szCs w:val="22"/>
        </w:rPr>
        <w:t>Autorizar y expedir permisos y/o concesiones, para las actividades comerciales lícitas en materia de su competencia y vigilar que las acciones que éstas realizan cumplan con las disposiciones jurídicas aplicables</w:t>
      </w:r>
      <w:r w:rsidRPr="004A451E">
        <w:rPr>
          <w:rFonts w:ascii="Palatino Linotype" w:hAnsi="Palatino Linotype" w:cs="Arial"/>
          <w:i/>
          <w:iCs/>
          <w:sz w:val="22"/>
          <w:szCs w:val="22"/>
        </w:rPr>
        <w:t>;</w:t>
      </w:r>
    </w:p>
    <w:p w14:paraId="291A7486" w14:textId="05F141CC" w:rsidR="002D310B" w:rsidRDefault="002D310B" w:rsidP="002D310B">
      <w:pPr>
        <w:spacing w:line="360" w:lineRule="auto"/>
        <w:jc w:val="both"/>
        <w:rPr>
          <w:rFonts w:ascii="Palatino Linotype" w:hAnsi="Palatino Linotype"/>
        </w:rPr>
      </w:pPr>
    </w:p>
    <w:p w14:paraId="0454270D" w14:textId="64C8B502" w:rsidR="00295210" w:rsidRDefault="004A451E" w:rsidP="002D310B">
      <w:pPr>
        <w:spacing w:line="360" w:lineRule="auto"/>
        <w:jc w:val="both"/>
        <w:rPr>
          <w:rFonts w:ascii="Palatino Linotype" w:hAnsi="Palatino Linotype"/>
        </w:rPr>
      </w:pPr>
      <w:r>
        <w:rPr>
          <w:rFonts w:ascii="Palatino Linotype" w:hAnsi="Palatino Linotype"/>
        </w:rPr>
        <w:lastRenderedPageBreak/>
        <w:t xml:space="preserve">Por su parte, el Reglamento de vía Pública del Municipio de Nezahualcóyotl, establece lo que a continuación se transcribe: </w:t>
      </w:r>
    </w:p>
    <w:p w14:paraId="3D64F859" w14:textId="445B7DE4" w:rsidR="00295210" w:rsidRDefault="00295210" w:rsidP="002D310B">
      <w:pPr>
        <w:spacing w:line="360" w:lineRule="auto"/>
        <w:jc w:val="both"/>
        <w:rPr>
          <w:rFonts w:ascii="Palatino Linotype" w:hAnsi="Palatino Linotype"/>
        </w:rPr>
      </w:pPr>
    </w:p>
    <w:p w14:paraId="04F9674D" w14:textId="0AD5D72D" w:rsidR="00295210" w:rsidRPr="004E7A5E" w:rsidRDefault="00295210" w:rsidP="004E7A5E">
      <w:pPr>
        <w:ind w:left="851" w:right="851"/>
        <w:jc w:val="both"/>
        <w:rPr>
          <w:rFonts w:ascii="Palatino Linotype" w:hAnsi="Palatino Linotype" w:cs="Arial"/>
          <w:b/>
          <w:bCs/>
          <w:i/>
          <w:iCs/>
          <w:sz w:val="22"/>
          <w:szCs w:val="22"/>
        </w:rPr>
      </w:pPr>
      <w:r w:rsidRPr="004E7A5E">
        <w:rPr>
          <w:rFonts w:ascii="Palatino Linotype" w:hAnsi="Palatino Linotype" w:cs="Arial"/>
          <w:b/>
          <w:bCs/>
          <w:i/>
          <w:iCs/>
          <w:sz w:val="22"/>
          <w:szCs w:val="22"/>
        </w:rPr>
        <w:t>Artículo 6. Para los efectos del Reglamento, corresponde a la Tesorería Municipal:</w:t>
      </w:r>
    </w:p>
    <w:p w14:paraId="111D9AF1" w14:textId="77777777" w:rsidR="004E7A5E" w:rsidRDefault="004E7A5E" w:rsidP="004E7A5E">
      <w:pPr>
        <w:ind w:left="851" w:right="851"/>
        <w:jc w:val="both"/>
        <w:rPr>
          <w:rFonts w:ascii="Palatino Linotype" w:hAnsi="Palatino Linotype" w:cs="Arial"/>
          <w:b/>
          <w:bCs/>
          <w:i/>
          <w:iCs/>
          <w:sz w:val="22"/>
          <w:szCs w:val="22"/>
        </w:rPr>
      </w:pPr>
    </w:p>
    <w:p w14:paraId="3D3E73CF" w14:textId="5E4B7D95" w:rsidR="00295210" w:rsidRPr="004E7A5E" w:rsidRDefault="00295210" w:rsidP="004E7A5E">
      <w:pPr>
        <w:ind w:left="851" w:right="851"/>
        <w:jc w:val="both"/>
        <w:rPr>
          <w:rFonts w:ascii="Palatino Linotype" w:hAnsi="Palatino Linotype" w:cs="Arial"/>
          <w:b/>
          <w:bCs/>
          <w:i/>
          <w:iCs/>
          <w:sz w:val="22"/>
          <w:szCs w:val="22"/>
        </w:rPr>
      </w:pPr>
      <w:r w:rsidRPr="004E7A5E">
        <w:rPr>
          <w:rFonts w:ascii="Palatino Linotype" w:hAnsi="Palatino Linotype" w:cs="Arial"/>
          <w:b/>
          <w:bCs/>
          <w:i/>
          <w:iCs/>
          <w:sz w:val="22"/>
          <w:szCs w:val="22"/>
        </w:rPr>
        <w:t xml:space="preserve">XV. </w:t>
      </w:r>
      <w:bookmarkStart w:id="7" w:name="_Hlk96711825"/>
      <w:r w:rsidRPr="004E7A5E">
        <w:rPr>
          <w:rFonts w:ascii="Palatino Linotype" w:hAnsi="Palatino Linotype" w:cs="Arial"/>
          <w:b/>
          <w:bCs/>
          <w:i/>
          <w:iCs/>
          <w:sz w:val="22"/>
          <w:szCs w:val="22"/>
        </w:rPr>
        <w:t>Verificar que los comerciantes de vía pública cumplan con las normas sanitarias y de higiene necesarias</w:t>
      </w:r>
      <w:bookmarkEnd w:id="7"/>
      <w:r w:rsidRPr="004E7A5E">
        <w:rPr>
          <w:rFonts w:ascii="Palatino Linotype" w:hAnsi="Palatino Linotype" w:cs="Arial"/>
          <w:b/>
          <w:bCs/>
          <w:i/>
          <w:iCs/>
          <w:sz w:val="22"/>
          <w:szCs w:val="22"/>
        </w:rPr>
        <w:t>;</w:t>
      </w:r>
    </w:p>
    <w:p w14:paraId="74286D1C" w14:textId="06E78932" w:rsidR="00993A72" w:rsidRDefault="00993A72" w:rsidP="002D310B">
      <w:pPr>
        <w:spacing w:line="360" w:lineRule="auto"/>
        <w:ind w:right="51"/>
        <w:jc w:val="both"/>
        <w:rPr>
          <w:rFonts w:ascii="Palatino Linotype" w:hAnsi="Palatino Linotype" w:cs="Arial"/>
        </w:rPr>
      </w:pPr>
    </w:p>
    <w:p w14:paraId="374DE294" w14:textId="2566BCBE" w:rsidR="00757DBC" w:rsidRDefault="004E7A5E" w:rsidP="004E7A5E">
      <w:pPr>
        <w:spacing w:line="360" w:lineRule="auto"/>
        <w:ind w:right="51"/>
        <w:jc w:val="both"/>
        <w:rPr>
          <w:rFonts w:ascii="Palatino Linotype" w:hAnsi="Palatino Linotype" w:cs="Arial"/>
        </w:rPr>
      </w:pPr>
      <w:r>
        <w:rPr>
          <w:rFonts w:ascii="Palatino Linotype" w:hAnsi="Palatino Linotype" w:cs="Arial"/>
        </w:rPr>
        <w:t>De los preceptos referidos con anterioridad advertimos que, entre las Unidades Administrativas con las que cuenta el Sujeto obligado para el ejercicio de sus funciones, se encuentra la Tesorería Municipal, misma que deberá d</w:t>
      </w:r>
      <w:r w:rsidRPr="004E7A5E">
        <w:rPr>
          <w:rFonts w:ascii="Palatino Linotype" w:hAnsi="Palatino Linotype" w:cs="Arial"/>
        </w:rPr>
        <w:t>eterminar los requisitos que los particulares deberán cumplir para la expedición de permisos</w:t>
      </w:r>
      <w:r>
        <w:rPr>
          <w:rFonts w:ascii="Palatino Linotype" w:hAnsi="Palatino Linotype" w:cs="Arial"/>
        </w:rPr>
        <w:t xml:space="preserve">, así como el expedirlos para las </w:t>
      </w:r>
      <w:r w:rsidRPr="004E7A5E">
        <w:rPr>
          <w:rFonts w:ascii="Palatino Linotype" w:hAnsi="Palatino Linotype" w:cs="Arial"/>
        </w:rPr>
        <w:t>actividades económicas lícitas de su competencia</w:t>
      </w:r>
      <w:r w:rsidR="00757DBC">
        <w:rPr>
          <w:rFonts w:ascii="Palatino Linotype" w:hAnsi="Palatino Linotype" w:cs="Arial"/>
        </w:rPr>
        <w:t xml:space="preserve">. </w:t>
      </w:r>
      <w:r>
        <w:rPr>
          <w:rFonts w:ascii="Palatino Linotype" w:hAnsi="Palatino Linotype" w:cs="Arial"/>
        </w:rPr>
        <w:t>Continuando con el análisis de los preceptos citados, se precisa que corresponde también a la Tesorería Municipal el v</w:t>
      </w:r>
      <w:r w:rsidRPr="004E7A5E">
        <w:rPr>
          <w:rFonts w:ascii="Palatino Linotype" w:hAnsi="Palatino Linotype" w:cs="Arial"/>
        </w:rPr>
        <w:t>erificar que los comerciantes de vía pública cumplan con las normas sanitarias y de higiene necesarias</w:t>
      </w:r>
      <w:r w:rsidR="00757DBC">
        <w:rPr>
          <w:rFonts w:ascii="Palatino Linotype" w:hAnsi="Palatino Linotype" w:cs="Arial"/>
        </w:rPr>
        <w:t>.</w:t>
      </w:r>
    </w:p>
    <w:p w14:paraId="32B196F3" w14:textId="77777777" w:rsidR="00757DBC" w:rsidRDefault="00757DBC" w:rsidP="004E7A5E">
      <w:pPr>
        <w:spacing w:line="360" w:lineRule="auto"/>
        <w:ind w:right="51"/>
        <w:jc w:val="both"/>
        <w:rPr>
          <w:rFonts w:ascii="Palatino Linotype" w:hAnsi="Palatino Linotype" w:cs="Arial"/>
        </w:rPr>
      </w:pPr>
    </w:p>
    <w:p w14:paraId="372B87F3" w14:textId="1F299B74" w:rsidR="00730A9F" w:rsidRPr="00730A9F" w:rsidRDefault="00757DBC" w:rsidP="004E7A5E">
      <w:pPr>
        <w:spacing w:line="360" w:lineRule="auto"/>
        <w:ind w:right="51"/>
        <w:jc w:val="both"/>
        <w:rPr>
          <w:rFonts w:ascii="Palatino Linotype" w:hAnsi="Palatino Linotype"/>
        </w:rPr>
      </w:pPr>
      <w:r>
        <w:rPr>
          <w:rFonts w:ascii="Palatino Linotype" w:hAnsi="Palatino Linotype" w:cs="Arial"/>
        </w:rPr>
        <w:t>Por lo anterior</w:t>
      </w:r>
      <w:r w:rsidR="00730A9F" w:rsidRPr="00730A9F">
        <w:rPr>
          <w:rFonts w:ascii="Palatino Linotype" w:hAnsi="Palatino Linotype"/>
        </w:rPr>
        <w:t xml:space="preserve"> y derivado que </w:t>
      </w:r>
      <w:r w:rsidR="00730A9F" w:rsidRPr="00730A9F">
        <w:rPr>
          <w:rFonts w:ascii="Palatino Linotype" w:hAnsi="Palatino Linotype"/>
          <w:b/>
        </w:rPr>
        <w:t xml:space="preserve">El Sujeto Obligado </w:t>
      </w:r>
      <w:r w:rsidR="00730A9F" w:rsidRPr="00730A9F">
        <w:rPr>
          <w:rFonts w:ascii="Palatino Linotype" w:hAnsi="Palatino Linotype"/>
        </w:rPr>
        <w:t>se encuentra constreñido a contar con</w:t>
      </w:r>
      <w:r w:rsidR="00730A9F" w:rsidRPr="00730A9F">
        <w:t xml:space="preserve"> </w:t>
      </w:r>
      <w:r w:rsidR="00730A9F" w:rsidRPr="00730A9F">
        <w:rPr>
          <w:rFonts w:ascii="Palatino Linotype" w:hAnsi="Palatino Linotype"/>
        </w:rPr>
        <w:t>los documentos en donde conste</w:t>
      </w:r>
      <w:r w:rsidR="004E7A5E">
        <w:rPr>
          <w:rFonts w:ascii="Palatino Linotype" w:hAnsi="Palatino Linotype"/>
        </w:rPr>
        <w:t xml:space="preserve"> el p</w:t>
      </w:r>
      <w:r w:rsidR="004E7A5E" w:rsidRPr="004E7A5E">
        <w:rPr>
          <w:rFonts w:ascii="Palatino Linotype" w:hAnsi="Palatino Linotype"/>
        </w:rPr>
        <w:t>ermiso de la autoridad sanitaria que permita al establecimiento el recibir aves vivas, sacrificarlas y procesarlas para su venta al mayoreo</w:t>
      </w:r>
      <w:r w:rsidR="00730A9F">
        <w:rPr>
          <w:rFonts w:ascii="Palatino Linotype" w:hAnsi="Palatino Linotype"/>
        </w:rPr>
        <w:t xml:space="preserve">, </w:t>
      </w:r>
      <w:r w:rsidR="00730A9F" w:rsidRPr="00730A9F">
        <w:rPr>
          <w:rFonts w:ascii="Palatino Linotype" w:hAnsi="Palatino Linotype"/>
        </w:rPr>
        <w:t>resulta dable ordenar</w:t>
      </w:r>
      <w:r w:rsidR="00730A9F">
        <w:rPr>
          <w:rFonts w:ascii="Palatino Linotype" w:hAnsi="Palatino Linotype"/>
        </w:rPr>
        <w:t xml:space="preserve"> la entrega</w:t>
      </w:r>
      <w:r w:rsidR="004E7A5E">
        <w:rPr>
          <w:rFonts w:ascii="Palatino Linotype" w:hAnsi="Palatino Linotype"/>
        </w:rPr>
        <w:t xml:space="preserve"> de dichas documentales en versión pública de ser procedente, sin embargo, no esca</w:t>
      </w:r>
      <w:r>
        <w:rPr>
          <w:rFonts w:ascii="Palatino Linotype" w:hAnsi="Palatino Linotype"/>
        </w:rPr>
        <w:t xml:space="preserve">pa a la óptica de este Órgano Garante, el hecho de que dichos permisos son expedidos a petición de los particulares previa a la entrega de los requisitos establecidos a la normatividad aplicable, es por ello que no se tiene la certeza de que el Sujeto Obligado cuente con la información que se ordena su </w:t>
      </w:r>
      <w:r>
        <w:rPr>
          <w:rFonts w:ascii="Palatino Linotype" w:hAnsi="Palatino Linotype"/>
        </w:rPr>
        <w:lastRenderedPageBreak/>
        <w:t>entrega, por lo que, e</w:t>
      </w:r>
      <w:r w:rsidRPr="00757DBC">
        <w:rPr>
          <w:rFonts w:ascii="Palatino Linotype" w:hAnsi="Palatino Linotype"/>
        </w:rPr>
        <w:t xml:space="preserve">n el supuesto de no haya sido poseída o administrada por </w:t>
      </w:r>
      <w:r>
        <w:rPr>
          <w:rFonts w:ascii="Palatino Linotype" w:hAnsi="Palatino Linotype"/>
        </w:rPr>
        <w:t>e</w:t>
      </w:r>
      <w:r w:rsidRPr="00757DBC">
        <w:rPr>
          <w:rFonts w:ascii="Palatino Linotype" w:hAnsi="Palatino Linotype"/>
        </w:rPr>
        <w:t>l Sujeto Obligado, bastará con que así lo manifieste al momento de dar cumplimiento a la presente resolución</w:t>
      </w:r>
      <w:r>
        <w:rPr>
          <w:rFonts w:ascii="Palatino Linotype" w:hAnsi="Palatino Linotype"/>
        </w:rPr>
        <w:t>.</w:t>
      </w:r>
    </w:p>
    <w:p w14:paraId="5A2A6EFB" w14:textId="77777777" w:rsidR="00827C8B" w:rsidRDefault="00827C8B" w:rsidP="00827C8B">
      <w:pPr>
        <w:pStyle w:val="Default"/>
        <w:spacing w:line="360" w:lineRule="auto"/>
        <w:ind w:right="51"/>
        <w:jc w:val="both"/>
        <w:rPr>
          <w:rFonts w:ascii="Palatino Linotype" w:hAnsi="Palatino Linotype"/>
          <w:color w:val="auto"/>
        </w:rPr>
      </w:pPr>
    </w:p>
    <w:p w14:paraId="7C636B76" w14:textId="1274E725" w:rsidR="0083125A" w:rsidRDefault="003B6A9D" w:rsidP="00B52B1E">
      <w:pPr>
        <w:tabs>
          <w:tab w:val="left" w:pos="7938"/>
        </w:tabs>
        <w:spacing w:line="360" w:lineRule="auto"/>
        <w:jc w:val="both"/>
        <w:rPr>
          <w:rFonts w:ascii="Palatino Linotype" w:hAnsi="Palatino Linotype" w:cs="Arial"/>
        </w:rPr>
      </w:pPr>
      <w:r>
        <w:rPr>
          <w:rFonts w:ascii="Palatino Linotype" w:hAnsi="Palatino Linotype"/>
        </w:rPr>
        <w:t>Ahora bien</w:t>
      </w:r>
      <w:r w:rsidR="00827C8B">
        <w:rPr>
          <w:rFonts w:ascii="Palatino Linotype" w:hAnsi="Palatino Linotype"/>
        </w:rPr>
        <w:t>,</w:t>
      </w:r>
      <w:r w:rsidR="00ED660D">
        <w:rPr>
          <w:rFonts w:ascii="Palatino Linotype" w:hAnsi="Palatino Linotype"/>
        </w:rPr>
        <w:t xml:space="preserve"> en lo que respecta al punto </w:t>
      </w:r>
      <w:r w:rsidR="00757DBC">
        <w:rPr>
          <w:rFonts w:ascii="Palatino Linotype" w:hAnsi="Palatino Linotype" w:cs="Arial"/>
        </w:rPr>
        <w:t>4</w:t>
      </w:r>
      <w:r w:rsidR="00ED660D">
        <w:rPr>
          <w:rFonts w:ascii="Palatino Linotype" w:hAnsi="Palatino Linotype" w:cs="Arial"/>
        </w:rPr>
        <w:t xml:space="preserve"> de la solicitud de acceso a la información, correspondiente a la entrega de los documentos en donde conste </w:t>
      </w:r>
      <w:r w:rsidR="00757DBC">
        <w:rPr>
          <w:rFonts w:ascii="Palatino Linotype" w:hAnsi="Palatino Linotype" w:cs="Arial"/>
        </w:rPr>
        <w:t>los c</w:t>
      </w:r>
      <w:r w:rsidR="00757DBC" w:rsidRPr="00757DBC">
        <w:rPr>
          <w:rFonts w:ascii="Palatino Linotype" w:hAnsi="Palatino Linotype" w:cs="Arial"/>
        </w:rPr>
        <w:t>omprobantes de pago de los servicios de agua y luz eléctrica</w:t>
      </w:r>
      <w:r w:rsidR="00757DBC">
        <w:rPr>
          <w:rFonts w:ascii="Palatino Linotype" w:hAnsi="Palatino Linotype" w:cs="Arial"/>
        </w:rPr>
        <w:t xml:space="preserve"> del predio referido en la solicitud</w:t>
      </w:r>
      <w:r w:rsidR="00ED660D">
        <w:rPr>
          <w:rFonts w:ascii="Palatino Linotype" w:hAnsi="Palatino Linotype"/>
        </w:rPr>
        <w:t xml:space="preserve">, el Sujeto obligado </w:t>
      </w:r>
      <w:r w:rsidR="0083125A" w:rsidRPr="0083125A">
        <w:rPr>
          <w:rFonts w:ascii="Palatino Linotype" w:hAnsi="Palatino Linotype"/>
        </w:rPr>
        <w:t xml:space="preserve">se declara incompetente para hacer entrega de la información solicitada, a través del Director de Desarrollo </w:t>
      </w:r>
      <w:r w:rsidR="00EF738F">
        <w:rPr>
          <w:rFonts w:ascii="Palatino Linotype" w:hAnsi="Palatino Linotype"/>
        </w:rPr>
        <w:t>U</w:t>
      </w:r>
      <w:r w:rsidR="0083125A" w:rsidRPr="0083125A">
        <w:rPr>
          <w:rFonts w:ascii="Palatino Linotype" w:hAnsi="Palatino Linotype"/>
        </w:rPr>
        <w:t>rbano</w:t>
      </w:r>
      <w:r w:rsidR="00ED660D">
        <w:rPr>
          <w:rFonts w:ascii="Palatino Linotype" w:hAnsi="Palatino Linotype"/>
        </w:rPr>
        <w:t xml:space="preserve">, </w:t>
      </w:r>
      <w:r w:rsidR="0083125A">
        <w:rPr>
          <w:rFonts w:ascii="Palatino Linotype" w:hAnsi="Palatino Linotype" w:cs="Arial"/>
        </w:rPr>
        <w:t xml:space="preserve">lo cual resulta fundado, pues como se puede apreciar el Sujeto Obligado del cual requiere la información el particular es el correspondiente al </w:t>
      </w:r>
      <w:r w:rsidR="0083125A" w:rsidRPr="0083125A">
        <w:rPr>
          <w:rFonts w:ascii="Palatino Linotype" w:hAnsi="Palatino Linotype" w:cs="Arial"/>
        </w:rPr>
        <w:t>Organismo Descentralizado de Agua Potable, Alcantarillado y Saneamiento de Nezahualcóyotl. (ODAPAS)</w:t>
      </w:r>
      <w:r w:rsidR="0083125A">
        <w:rPr>
          <w:rFonts w:ascii="Palatino Linotype" w:hAnsi="Palatino Linotype" w:cs="Arial"/>
        </w:rPr>
        <w:t>” en lo que respecta a los recibos pagados por concepto de agua; así como a la “Comisión Federal de Electricidad”</w:t>
      </w:r>
      <w:r w:rsidR="0083125A" w:rsidRPr="0083125A">
        <w:t xml:space="preserve"> </w:t>
      </w:r>
      <w:r w:rsidR="0083125A" w:rsidRPr="0083125A">
        <w:rPr>
          <w:rFonts w:ascii="Palatino Linotype" w:hAnsi="Palatino Linotype" w:cs="Arial"/>
        </w:rPr>
        <w:t>del ámbito federal</w:t>
      </w:r>
      <w:r w:rsidR="0083125A">
        <w:rPr>
          <w:rFonts w:ascii="Palatino Linotype" w:hAnsi="Palatino Linotype" w:cs="Arial"/>
        </w:rPr>
        <w:t xml:space="preserve"> en lo que respecta a los recibos por concepto de pago de electricidad, sujeto</w:t>
      </w:r>
      <w:r w:rsidR="00B52B1E">
        <w:rPr>
          <w:rFonts w:ascii="Palatino Linotype" w:hAnsi="Palatino Linotype" w:cs="Arial"/>
        </w:rPr>
        <w:t>s</w:t>
      </w:r>
      <w:r w:rsidR="0083125A">
        <w:rPr>
          <w:rFonts w:ascii="Palatino Linotype" w:hAnsi="Palatino Linotype" w:cs="Arial"/>
        </w:rPr>
        <w:t xml:space="preserve"> obligado</w:t>
      </w:r>
      <w:r w:rsidR="00B52B1E">
        <w:rPr>
          <w:rFonts w:ascii="Palatino Linotype" w:hAnsi="Palatino Linotype" w:cs="Arial"/>
        </w:rPr>
        <w:t>s</w:t>
      </w:r>
      <w:r w:rsidR="0083125A">
        <w:rPr>
          <w:rFonts w:ascii="Palatino Linotype" w:hAnsi="Palatino Linotype" w:cs="Arial"/>
        </w:rPr>
        <w:t xml:space="preserve"> distinto al </w:t>
      </w:r>
      <w:r w:rsidR="00B52B1E" w:rsidRPr="00B52B1E">
        <w:rPr>
          <w:rFonts w:ascii="Palatino Linotype" w:hAnsi="Palatino Linotype" w:cs="Arial"/>
        </w:rPr>
        <w:t>Ayuntamiento de Nezahualcóyotl</w:t>
      </w:r>
      <w:r w:rsidR="00B52B1E">
        <w:rPr>
          <w:rFonts w:ascii="Palatino Linotype" w:hAnsi="Palatino Linotype" w:cs="Arial"/>
        </w:rPr>
        <w:t>.</w:t>
      </w:r>
    </w:p>
    <w:p w14:paraId="79437294" w14:textId="77777777" w:rsidR="00EF738F" w:rsidRDefault="00EF738F" w:rsidP="0076305A">
      <w:pPr>
        <w:spacing w:line="360" w:lineRule="auto"/>
        <w:jc w:val="both"/>
        <w:rPr>
          <w:rFonts w:ascii="Palatino Linotype" w:eastAsia="Calibri" w:hAnsi="Palatino Linotype"/>
          <w:lang w:val="es-ES_tradnl" w:eastAsia="en-US"/>
        </w:rPr>
      </w:pPr>
    </w:p>
    <w:p w14:paraId="691A7040" w14:textId="130671AB" w:rsidR="0083125A" w:rsidRDefault="00B52B1E" w:rsidP="0076305A">
      <w:pPr>
        <w:spacing w:line="360" w:lineRule="auto"/>
        <w:jc w:val="both"/>
        <w:rPr>
          <w:rFonts w:ascii="Palatino Linotype" w:eastAsia="Calibri" w:hAnsi="Palatino Linotype"/>
          <w:lang w:val="es-ES_tradnl" w:eastAsia="en-US"/>
        </w:rPr>
      </w:pPr>
      <w:r>
        <w:rPr>
          <w:rFonts w:ascii="Palatino Linotype" w:eastAsia="Calibri" w:hAnsi="Palatino Linotype"/>
          <w:lang w:val="es-ES_tradnl" w:eastAsia="en-US"/>
        </w:rPr>
        <w:t>Ante ello es preciso destacar que</w:t>
      </w:r>
      <w:r w:rsidR="0083125A">
        <w:rPr>
          <w:rFonts w:ascii="Palatino Linotype" w:eastAsia="Calibri" w:hAnsi="Palatino Linotype"/>
          <w:lang w:val="es-ES_tradnl" w:eastAsia="en-US"/>
        </w:rPr>
        <w:t xml:space="preserve">, el </w:t>
      </w:r>
      <w:r w:rsidRPr="00B52B1E">
        <w:rPr>
          <w:rFonts w:ascii="Palatino Linotype" w:eastAsia="Calibri" w:hAnsi="Palatino Linotype"/>
          <w:b/>
          <w:bCs/>
          <w:lang w:val="es-ES_tradnl" w:eastAsia="en-US"/>
        </w:rPr>
        <w:t>Organismo Descentralizado de Agua Potable, Alcantarillado y Saneamiento de Nezahualcóyotl. (ODAPAS)</w:t>
      </w:r>
      <w:r w:rsidR="0083125A">
        <w:rPr>
          <w:rFonts w:ascii="Palatino Linotype" w:eastAsia="Calibri" w:hAnsi="Palatino Linotype"/>
          <w:lang w:val="es-ES_tradnl" w:eastAsia="en-US"/>
        </w:rPr>
        <w:t xml:space="preserve">, es un ente de gobierno municipal descentralizado, y por consecuencia Sujeto Obligado independiente en materia de transparencia, </w:t>
      </w:r>
      <w:r>
        <w:rPr>
          <w:rFonts w:ascii="Palatino Linotype" w:eastAsia="Calibri" w:hAnsi="Palatino Linotype"/>
          <w:lang w:val="es-ES_tradnl" w:eastAsia="en-US"/>
        </w:rPr>
        <w:t xml:space="preserve">que puede ser consultado </w:t>
      </w:r>
      <w:r w:rsidR="0083125A">
        <w:rPr>
          <w:rFonts w:ascii="Palatino Linotype" w:eastAsia="Calibri" w:hAnsi="Palatino Linotype"/>
          <w:lang w:val="es-ES_tradnl" w:eastAsia="en-US"/>
        </w:rPr>
        <w:t>en el Padrón de Sujetos Obligados, publicado en la gaceta de gobierno en fecha 27 de febrero de dos mil diecisiete. Cabe precisar que dicho padrón de sujetos obligados fue abrogado por el actual, de fecha 27 de noviembre de dos mil diecisiete</w:t>
      </w:r>
      <w:r>
        <w:rPr>
          <w:rFonts w:ascii="Palatino Linotype" w:eastAsia="Calibri" w:hAnsi="Palatino Linotype"/>
          <w:lang w:val="es-ES_tradnl" w:eastAsia="en-US"/>
        </w:rPr>
        <w:t>.</w:t>
      </w:r>
    </w:p>
    <w:p w14:paraId="5C8307BF" w14:textId="77777777" w:rsidR="0076305A" w:rsidRDefault="0076305A" w:rsidP="0076305A">
      <w:pPr>
        <w:spacing w:line="360" w:lineRule="auto"/>
        <w:jc w:val="both"/>
        <w:rPr>
          <w:rFonts w:ascii="Palatino Linotype" w:eastAsia="Calibri" w:hAnsi="Palatino Linotype"/>
          <w:lang w:val="es-ES_tradnl" w:eastAsia="en-US"/>
        </w:rPr>
      </w:pPr>
    </w:p>
    <w:p w14:paraId="36513C97" w14:textId="3521AD97" w:rsidR="0083125A" w:rsidRDefault="00B52B1E" w:rsidP="0076305A">
      <w:pPr>
        <w:spacing w:line="360" w:lineRule="auto"/>
        <w:jc w:val="both"/>
        <w:rPr>
          <w:rFonts w:ascii="Palatino Linotype" w:eastAsia="Calibri" w:hAnsi="Palatino Linotype"/>
          <w:lang w:val="es-ES_tradnl" w:eastAsia="en-US"/>
        </w:rPr>
      </w:pPr>
      <w:r w:rsidRPr="00B52B1E">
        <w:rPr>
          <w:rFonts w:ascii="Palatino Linotype" w:eastAsia="Calibri" w:hAnsi="Palatino Linotype"/>
          <w:lang w:val="es-ES_tradnl" w:eastAsia="en-US"/>
        </w:rPr>
        <w:lastRenderedPageBreak/>
        <w:t xml:space="preserve">Por otra parte, </w:t>
      </w:r>
      <w:r>
        <w:rPr>
          <w:rFonts w:ascii="Palatino Linotype" w:eastAsia="Calibri" w:hAnsi="Palatino Linotype"/>
          <w:lang w:val="es-ES_tradnl" w:eastAsia="en-US"/>
        </w:rPr>
        <w:t>en lo que corresponde a la “</w:t>
      </w:r>
      <w:r w:rsidRPr="0076305A">
        <w:rPr>
          <w:rFonts w:ascii="Palatino Linotype" w:eastAsia="Calibri" w:hAnsi="Palatino Linotype"/>
          <w:lang w:val="es-ES_tradnl" w:eastAsia="en-US"/>
        </w:rPr>
        <w:t>Comisión Federal de Electricidad</w:t>
      </w:r>
      <w:r>
        <w:rPr>
          <w:rFonts w:ascii="Palatino Linotype" w:eastAsia="Calibri" w:hAnsi="Palatino Linotype"/>
          <w:lang w:val="es-ES_tradnl" w:eastAsia="en-US"/>
        </w:rPr>
        <w:t>” se destaca que es un sujeto Obligado en el ámbito Federal, que puede ser consultado en el</w:t>
      </w:r>
      <w:r w:rsidRPr="00B52B1E">
        <w:rPr>
          <w:rFonts w:ascii="Palatino Linotype" w:eastAsia="Calibri" w:hAnsi="Palatino Linotype"/>
          <w:lang w:val="es-ES_tradnl" w:eastAsia="en-US"/>
        </w:rPr>
        <w:t xml:space="preserve"> Acuerdo mediante el cual el Instituto Nacional de Transparencia, Acceso a la Información y Protección de Datos Personales, aprueba el padrón de sujetos obligados del ámbito federal, en términos de la Ley General de Transparencia y Acceso a la Información Públicas, publicado en el Diario Oficial de la Federación</w:t>
      </w:r>
      <w:r>
        <w:rPr>
          <w:rFonts w:ascii="Palatino Linotype" w:eastAsia="Calibri" w:hAnsi="Palatino Linotype"/>
          <w:lang w:val="es-ES_tradnl" w:eastAsia="en-US"/>
        </w:rPr>
        <w:t>.</w:t>
      </w:r>
    </w:p>
    <w:p w14:paraId="658E3190" w14:textId="77777777" w:rsidR="0083125A" w:rsidRDefault="0083125A" w:rsidP="0083125A">
      <w:pPr>
        <w:tabs>
          <w:tab w:val="left" w:pos="7938"/>
        </w:tabs>
        <w:spacing w:line="360" w:lineRule="auto"/>
        <w:jc w:val="both"/>
        <w:rPr>
          <w:rFonts w:ascii="Palatino Linotype" w:hAnsi="Palatino Linotype" w:cs="Arial"/>
        </w:rPr>
      </w:pPr>
    </w:p>
    <w:p w14:paraId="1B1050CF" w14:textId="3397AF79" w:rsidR="0083125A" w:rsidRDefault="00B52B1E" w:rsidP="0083125A">
      <w:pPr>
        <w:tabs>
          <w:tab w:val="left" w:pos="7938"/>
        </w:tabs>
        <w:spacing w:line="360" w:lineRule="auto"/>
        <w:jc w:val="both"/>
        <w:rPr>
          <w:rFonts w:ascii="Palatino Linotype" w:hAnsi="Palatino Linotype" w:cs="Arial"/>
        </w:rPr>
      </w:pPr>
      <w:r>
        <w:rPr>
          <w:rFonts w:ascii="Palatino Linotype" w:hAnsi="Palatino Linotype" w:cs="Arial"/>
        </w:rPr>
        <w:t>En ese orden de ideas, se destaca que, la información solicitada en el presenta apartado, fue dirigida al Ayuntamiento de Nezahualcóyotl, sin embargo, los sujetos obligados competentes para conocer de la solicitud de información de mérito, en lo que respecta a los recibos de pago solicitados, son</w:t>
      </w:r>
      <w:r w:rsidRPr="00B52B1E">
        <w:t xml:space="preserve"> </w:t>
      </w:r>
      <w:r w:rsidRPr="00B52B1E">
        <w:rPr>
          <w:rFonts w:ascii="Palatino Linotype" w:hAnsi="Palatino Linotype" w:cs="Arial"/>
        </w:rPr>
        <w:t xml:space="preserve">el </w:t>
      </w:r>
      <w:r w:rsidR="00CF74A7">
        <w:rPr>
          <w:rFonts w:ascii="Palatino Linotype" w:hAnsi="Palatino Linotype" w:cs="Arial"/>
        </w:rPr>
        <w:t>“</w:t>
      </w:r>
      <w:r w:rsidRPr="00B52B1E">
        <w:rPr>
          <w:rFonts w:ascii="Palatino Linotype" w:hAnsi="Palatino Linotype" w:cs="Arial"/>
        </w:rPr>
        <w:t>Organismo Descentralizado de Agua Potable, Alcantarillado y Saneamiento de Nezahualcóyotl. (ODAPAS)</w:t>
      </w:r>
      <w:r w:rsidR="00CF74A7">
        <w:rPr>
          <w:rFonts w:ascii="Palatino Linotype" w:hAnsi="Palatino Linotype" w:cs="Arial"/>
        </w:rPr>
        <w:t>”</w:t>
      </w:r>
      <w:r>
        <w:rPr>
          <w:rFonts w:ascii="Palatino Linotype" w:hAnsi="Palatino Linotype" w:cs="Arial"/>
        </w:rPr>
        <w:t xml:space="preserve">, y la </w:t>
      </w:r>
      <w:r w:rsidR="00CF74A7">
        <w:rPr>
          <w:rFonts w:ascii="Palatino Linotype" w:hAnsi="Palatino Linotype" w:cs="Arial"/>
        </w:rPr>
        <w:t>“</w:t>
      </w:r>
      <w:r w:rsidRPr="00B52B1E">
        <w:rPr>
          <w:rFonts w:ascii="Palatino Linotype" w:hAnsi="Palatino Linotype" w:cs="Arial"/>
        </w:rPr>
        <w:t>Comisión Federal de Electricidad”</w:t>
      </w:r>
      <w:r>
        <w:rPr>
          <w:rFonts w:ascii="Palatino Linotype" w:hAnsi="Palatino Linotype" w:cs="Arial"/>
        </w:rPr>
        <w:t xml:space="preserve"> </w:t>
      </w:r>
      <w:r w:rsidR="0083125A">
        <w:rPr>
          <w:rFonts w:ascii="Palatino Linotype" w:hAnsi="Palatino Linotype" w:cs="Arial"/>
        </w:rPr>
        <w:t>por ende resultan ser Sujetos Obligados diferentes, entendiéndose así, que éstos cuentan con su propia unidad de transparencia.</w:t>
      </w:r>
    </w:p>
    <w:p w14:paraId="5BF8D377" w14:textId="77777777" w:rsidR="0083125A" w:rsidRDefault="0083125A" w:rsidP="0083125A">
      <w:pPr>
        <w:tabs>
          <w:tab w:val="left" w:pos="7938"/>
        </w:tabs>
        <w:spacing w:line="360" w:lineRule="auto"/>
        <w:jc w:val="both"/>
        <w:rPr>
          <w:rFonts w:ascii="Palatino Linotype" w:hAnsi="Palatino Linotype" w:cs="Arial"/>
        </w:rPr>
      </w:pPr>
    </w:p>
    <w:p w14:paraId="73D553E5" w14:textId="50DF58FB" w:rsidR="0083125A" w:rsidRDefault="0083125A" w:rsidP="0083125A">
      <w:pPr>
        <w:spacing w:line="360" w:lineRule="auto"/>
        <w:jc w:val="both"/>
        <w:rPr>
          <w:rFonts w:ascii="Palatino Linotype" w:eastAsia="Calibri" w:hAnsi="Palatino Linotype"/>
          <w:szCs w:val="22"/>
          <w:lang w:val="es-MX" w:eastAsia="en-US"/>
        </w:rPr>
      </w:pPr>
      <w:r>
        <w:rPr>
          <w:rFonts w:ascii="Palatino Linotype" w:eastAsia="Calibri" w:hAnsi="Palatino Linotype"/>
          <w:szCs w:val="22"/>
          <w:lang w:val="es-MX" w:eastAsia="en-US"/>
        </w:rPr>
        <w:t xml:space="preserve">Lo anterior no implica que se le niegue el acceso al derecho accionado, ya que los derechos no son absolutos y tienen un tratamiento específico de acuerdo </w:t>
      </w:r>
      <w:r w:rsidR="00EF738F">
        <w:rPr>
          <w:rFonts w:ascii="Palatino Linotype" w:eastAsia="Calibri" w:hAnsi="Palatino Linotype"/>
          <w:szCs w:val="22"/>
          <w:lang w:val="es-MX" w:eastAsia="en-US"/>
        </w:rPr>
        <w:t>con lo</w:t>
      </w:r>
      <w:r>
        <w:rPr>
          <w:rFonts w:ascii="Palatino Linotype" w:eastAsia="Calibri" w:hAnsi="Palatino Linotype"/>
          <w:szCs w:val="22"/>
          <w:lang w:val="es-MX" w:eastAsia="en-US"/>
        </w:rPr>
        <w:t xml:space="preserve"> enunciado en las leyes reglamentarias, y en el presente es una excepción el entregar información que no obra en sus archivos, en virtud de no ser el competente para conocer de lo solicitado.</w:t>
      </w:r>
    </w:p>
    <w:p w14:paraId="5A0065F6" w14:textId="77777777" w:rsidR="0083125A" w:rsidRDefault="0083125A" w:rsidP="0083125A">
      <w:pPr>
        <w:autoSpaceDE w:val="0"/>
        <w:autoSpaceDN w:val="0"/>
        <w:adjustRightInd w:val="0"/>
        <w:spacing w:line="360" w:lineRule="auto"/>
        <w:jc w:val="both"/>
        <w:rPr>
          <w:rFonts w:ascii="Palatino Linotype" w:hAnsi="Palatino Linotype" w:cs="Arial"/>
        </w:rPr>
      </w:pPr>
    </w:p>
    <w:p w14:paraId="5C546C40" w14:textId="05195CA1" w:rsidR="0083125A" w:rsidRDefault="0083125A" w:rsidP="0083125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síntesis, se tiene por acreditado que el </w:t>
      </w:r>
      <w:r>
        <w:rPr>
          <w:rFonts w:ascii="Palatino Linotype" w:hAnsi="Palatino Linotype" w:cs="Arial"/>
          <w:b/>
        </w:rPr>
        <w:t>Sujeto Obligado</w:t>
      </w:r>
      <w:r>
        <w:rPr>
          <w:rFonts w:ascii="Palatino Linotype" w:hAnsi="Palatino Linotype" w:cs="Arial"/>
        </w:rPr>
        <w:t xml:space="preserve"> no encuadra en los supuestos señalados en el artículo 12 de la Ley de Transparencia y Acceso a la </w:t>
      </w:r>
      <w:r>
        <w:rPr>
          <w:rFonts w:ascii="Palatino Linotype" w:hAnsi="Palatino Linotype" w:cs="Arial"/>
        </w:rPr>
        <w:lastRenderedPageBreak/>
        <w:t>Información pública del Estado de México y Municipios</w:t>
      </w:r>
      <w:r>
        <w:rPr>
          <w:rFonts w:ascii="Palatino Linotype" w:hAnsi="Palatino Linotype" w:cs="Arial"/>
          <w:vertAlign w:val="superscript"/>
        </w:rPr>
        <w:footnoteReference w:id="2"/>
      </w:r>
      <w:r>
        <w:rPr>
          <w:rFonts w:ascii="Palatino Linotype" w:hAnsi="Palatino Linotype" w:cs="Arial"/>
        </w:rPr>
        <w:t>, al no tener en sus archivos la información peticionada en la solicitud de información, materia del presente fallo, resultando procedente la determinación de notoria incompetencia para tener la información, al no generarla, administrarla o poseerla.</w:t>
      </w:r>
    </w:p>
    <w:p w14:paraId="390342E3" w14:textId="4D29D35C" w:rsidR="00CF74A7" w:rsidRDefault="00CF74A7" w:rsidP="0083125A">
      <w:pPr>
        <w:autoSpaceDE w:val="0"/>
        <w:autoSpaceDN w:val="0"/>
        <w:adjustRightInd w:val="0"/>
        <w:spacing w:line="360" w:lineRule="auto"/>
        <w:jc w:val="both"/>
        <w:rPr>
          <w:rFonts w:ascii="Palatino Linotype" w:hAnsi="Palatino Linotype" w:cs="Arial"/>
        </w:rPr>
      </w:pPr>
    </w:p>
    <w:p w14:paraId="4A6BAB55" w14:textId="77777777" w:rsidR="00CF74A7" w:rsidRPr="00D84384" w:rsidRDefault="00CF74A7" w:rsidP="00CF74A7">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t>Cabe recordar que la Ley de Transparencia y Acceso a la Información Pública del Estado de México y Municipios, en el primer párrafo del artículo 167</w:t>
      </w:r>
      <w:r w:rsidRPr="00D84384">
        <w:rPr>
          <w:rFonts w:ascii="Palatino Linotype" w:hAnsi="Palatino Linotype" w:cs="Arial"/>
          <w:vertAlign w:val="superscript"/>
        </w:rPr>
        <w:footnoteReference w:id="3"/>
      </w:r>
      <w:r w:rsidRPr="00D84384">
        <w:rPr>
          <w:rFonts w:ascii="Palatino Linotype" w:hAnsi="Palatino Linotype" w:cs="Arial"/>
        </w:rPr>
        <w:t xml:space="preserve">, establece que los </w:t>
      </w:r>
      <w:r w:rsidRPr="00D84384">
        <w:rPr>
          <w:rFonts w:ascii="Palatino Linotype" w:hAnsi="Palatino Linotype" w:cs="Arial"/>
          <w:bCs/>
        </w:rPr>
        <w:t>sujetos obligados</w:t>
      </w:r>
      <w:r w:rsidRPr="00D84384">
        <w:rPr>
          <w:rFonts w:ascii="Palatino Linotype" w:hAnsi="Palatino Linotype" w:cs="Arial"/>
        </w:rPr>
        <w:t xml:space="preserve"> a través de sus unidades de transparencia podrán determinar su notoria incompetencia para atender las solicitudes de acceso a la información, y que deberán hacerlo del conocimiento del </w:t>
      </w:r>
      <w:r w:rsidRPr="00D84384">
        <w:rPr>
          <w:rFonts w:ascii="Palatino Linotype" w:hAnsi="Palatino Linotype" w:cs="Arial"/>
          <w:b/>
        </w:rPr>
        <w:t>solicitante</w:t>
      </w:r>
      <w:r w:rsidRPr="00D84384">
        <w:rPr>
          <w:rFonts w:ascii="Palatino Linotype" w:hAnsi="Palatino Linotype" w:cs="Arial"/>
        </w:rPr>
        <w:t xml:space="preserve"> dentro de los tres días hábiles siguientes a la recepción de la solicitud.</w:t>
      </w:r>
    </w:p>
    <w:p w14:paraId="1F98B7BE" w14:textId="77777777" w:rsidR="00CF74A7" w:rsidRPr="00D84384" w:rsidRDefault="00CF74A7" w:rsidP="00CF74A7">
      <w:pPr>
        <w:autoSpaceDE w:val="0"/>
        <w:autoSpaceDN w:val="0"/>
        <w:adjustRightInd w:val="0"/>
        <w:spacing w:line="360" w:lineRule="auto"/>
        <w:jc w:val="both"/>
        <w:rPr>
          <w:rFonts w:ascii="Palatino Linotype" w:hAnsi="Palatino Linotype" w:cs="Arial"/>
        </w:rPr>
      </w:pPr>
    </w:p>
    <w:p w14:paraId="40CDC206" w14:textId="090F64DB" w:rsidR="00CF74A7" w:rsidRPr="00045883" w:rsidRDefault="00CF74A7" w:rsidP="00CF74A7">
      <w:pPr>
        <w:spacing w:line="360" w:lineRule="auto"/>
        <w:jc w:val="both"/>
        <w:rPr>
          <w:rFonts w:ascii="Palatino Linotype" w:eastAsia="Calibri" w:hAnsi="Palatino Linotype" w:cs="Arial"/>
          <w:szCs w:val="22"/>
          <w:lang w:val="es-MX" w:eastAsia="en-US"/>
        </w:rPr>
      </w:pPr>
      <w:r w:rsidRPr="00045883">
        <w:rPr>
          <w:rFonts w:ascii="Palatino Linotype" w:eastAsia="Calibri" w:hAnsi="Palatino Linotype" w:cs="Arial"/>
          <w:color w:val="000000"/>
          <w:lang w:val="es-MX" w:eastAsia="en-US"/>
        </w:rPr>
        <w:lastRenderedPageBreak/>
        <w:t xml:space="preserve">Por lo anteriormente expuesto, este órgano colegiado considera correcta la respuesta otorgada por el </w:t>
      </w:r>
      <w:r w:rsidRPr="00045883">
        <w:rPr>
          <w:rFonts w:ascii="Palatino Linotype" w:eastAsia="Calibri" w:hAnsi="Palatino Linotype" w:cs="Arial"/>
          <w:b/>
          <w:color w:val="000000"/>
          <w:lang w:val="es-MX" w:eastAsia="en-US"/>
        </w:rPr>
        <w:t>Sujeto Obligado</w:t>
      </w:r>
      <w:r w:rsidRPr="00045883">
        <w:rPr>
          <w:rFonts w:ascii="Palatino Linotype" w:eastAsia="Calibri" w:hAnsi="Palatino Linotype" w:cs="Arial"/>
          <w:color w:val="000000"/>
          <w:lang w:val="es-MX" w:eastAsia="en-US"/>
        </w:rPr>
        <w:t xml:space="preserve"> hecha al momento de dar contestación a la solicitud de información, respecto de declarar su incompetencia, sin embargo la misma no se encuentra apegada a derecho, ya que </w:t>
      </w:r>
      <w:r w:rsidRPr="00045883">
        <w:rPr>
          <w:rFonts w:ascii="Palatino Linotype" w:eastAsia="Calibri" w:hAnsi="Palatino Linotype" w:cs="Arial"/>
          <w:szCs w:val="22"/>
          <w:lang w:val="es-MX" w:eastAsia="en-US"/>
        </w:rPr>
        <w:t>no</w:t>
      </w:r>
      <w:r>
        <w:rPr>
          <w:rFonts w:ascii="Palatino Linotype" w:eastAsia="Calibri" w:hAnsi="Palatino Linotype" w:cs="Arial"/>
          <w:szCs w:val="22"/>
          <w:lang w:val="es-MX" w:eastAsia="en-US"/>
        </w:rPr>
        <w:t xml:space="preserve"> se</w:t>
      </w:r>
      <w:r w:rsidRPr="00045883">
        <w:rPr>
          <w:rFonts w:ascii="Palatino Linotype" w:eastAsia="Calibri" w:hAnsi="Palatino Linotype" w:cs="Arial"/>
          <w:szCs w:val="22"/>
          <w:lang w:val="es-MX" w:eastAsia="en-US"/>
        </w:rPr>
        <w:t xml:space="preserve"> encontró ajustada al contenido del diverso 167 de la Ley de Transparencia y Acceso a la Información Pública del Estado de México y Municipios, el cual</w:t>
      </w:r>
      <w:r>
        <w:rPr>
          <w:rFonts w:ascii="Palatino Linotype" w:eastAsia="Calibri" w:hAnsi="Palatino Linotype" w:cs="Arial"/>
          <w:szCs w:val="22"/>
          <w:lang w:val="es-MX" w:eastAsia="en-US"/>
        </w:rPr>
        <w:t>, se reitera,</w:t>
      </w:r>
      <w:r w:rsidRPr="00045883">
        <w:rPr>
          <w:rFonts w:ascii="Palatino Linotype" w:eastAsia="Calibri" w:hAnsi="Palatino Linotype" w:cs="Arial"/>
          <w:szCs w:val="22"/>
          <w:lang w:val="es-MX" w:eastAsia="en-US"/>
        </w:rPr>
        <w:t xml:space="preserve"> establece que cuando las unidades de transparencia determinen la notoria incompetencia por parte de los sujetos obligados, dentro del ámbito de aplicación, para atender la solicitud de acceso a la información, </w:t>
      </w:r>
      <w:r w:rsidRPr="00045883">
        <w:rPr>
          <w:rFonts w:ascii="Palatino Linotype" w:eastAsia="Calibri" w:hAnsi="Palatino Linotype" w:cs="Arial"/>
          <w:b/>
          <w:szCs w:val="22"/>
          <w:u w:val="single"/>
          <w:lang w:val="es-MX" w:eastAsia="en-US"/>
        </w:rPr>
        <w:t>deberán comunicarlo al solicitante, dentro de los tres días hábiles posteriores a la recepción de la solicitud y, en su caso orientar al solicitante, el o los sujetos obligados competentes</w:t>
      </w:r>
      <w:r w:rsidRPr="00045883">
        <w:rPr>
          <w:rFonts w:ascii="Palatino Linotype" w:eastAsia="Calibri" w:hAnsi="Palatino Linotype" w:cs="Arial"/>
          <w:szCs w:val="22"/>
          <w:lang w:val="es-MX" w:eastAsia="en-US"/>
        </w:rPr>
        <w:t xml:space="preserve">. </w:t>
      </w:r>
    </w:p>
    <w:p w14:paraId="30993D64" w14:textId="77777777" w:rsidR="00CF74A7" w:rsidRPr="00045883" w:rsidRDefault="00CF74A7" w:rsidP="00CF74A7">
      <w:pPr>
        <w:spacing w:line="360" w:lineRule="auto"/>
        <w:jc w:val="both"/>
        <w:rPr>
          <w:rFonts w:ascii="Palatino Linotype" w:eastAsia="Calibri" w:hAnsi="Palatino Linotype" w:cs="Arial"/>
          <w:szCs w:val="22"/>
          <w:lang w:val="es-MX" w:eastAsia="en-US"/>
        </w:rPr>
      </w:pPr>
    </w:p>
    <w:p w14:paraId="01D4FDAC" w14:textId="4AA7E3BF" w:rsidR="00CF74A7" w:rsidRPr="00045883" w:rsidRDefault="00CF74A7" w:rsidP="00CF74A7">
      <w:pPr>
        <w:spacing w:line="360" w:lineRule="auto"/>
        <w:jc w:val="both"/>
        <w:rPr>
          <w:rFonts w:ascii="Palatino Linotype" w:eastAsia="Calibri" w:hAnsi="Palatino Linotype" w:cs="Arial"/>
          <w:szCs w:val="22"/>
          <w:lang w:val="es-MX" w:eastAsia="en-US"/>
        </w:rPr>
      </w:pPr>
      <w:r w:rsidRPr="00045883">
        <w:rPr>
          <w:rFonts w:ascii="Palatino Linotype" w:eastAsia="Calibri" w:hAnsi="Palatino Linotype" w:cs="Arial"/>
          <w:szCs w:val="22"/>
          <w:lang w:val="es-MX" w:eastAsia="en-US"/>
        </w:rPr>
        <w:t>Situación que se insiste no fue prevista por el</w:t>
      </w:r>
      <w:r w:rsidRPr="00045883">
        <w:rPr>
          <w:rFonts w:ascii="Palatino Linotype" w:eastAsia="Calibri" w:hAnsi="Palatino Linotype" w:cs="Arial"/>
          <w:b/>
          <w:szCs w:val="22"/>
          <w:lang w:val="es-MX" w:eastAsia="en-US"/>
        </w:rPr>
        <w:t xml:space="preserve"> Sujeto Obligado</w:t>
      </w:r>
      <w:r w:rsidRPr="00045883">
        <w:rPr>
          <w:rFonts w:ascii="Palatino Linotype" w:eastAsia="Calibri" w:hAnsi="Palatino Linotype" w:cs="Arial"/>
          <w:szCs w:val="22"/>
          <w:lang w:val="es-MX" w:eastAsia="en-US"/>
        </w:rPr>
        <w:t xml:space="preserve"> ya que su respuesta fue proporcionada al </w:t>
      </w:r>
      <w:r>
        <w:rPr>
          <w:rFonts w:ascii="Palatino Linotype" w:eastAsia="Calibri" w:hAnsi="Palatino Linotype" w:cs="Arial"/>
          <w:szCs w:val="22"/>
          <w:lang w:val="es-MX" w:eastAsia="en-US"/>
        </w:rPr>
        <w:t>quinceavo</w:t>
      </w:r>
      <w:r w:rsidRPr="00045883">
        <w:rPr>
          <w:rFonts w:ascii="Palatino Linotype" w:eastAsia="Calibri" w:hAnsi="Palatino Linotype" w:cs="Arial"/>
          <w:szCs w:val="22"/>
          <w:lang w:val="es-MX" w:eastAsia="en-US"/>
        </w:rPr>
        <w:t xml:space="preserve"> día hábil de aquel en el que tuvo conocimiento de la solicitud de información</w:t>
      </w:r>
      <w:r>
        <w:rPr>
          <w:rFonts w:ascii="Palatino Linotype" w:eastAsia="Calibri" w:hAnsi="Palatino Linotype" w:cs="Arial"/>
          <w:szCs w:val="22"/>
          <w:lang w:val="es-MX" w:eastAsia="en-US"/>
        </w:rPr>
        <w:t xml:space="preserve">, ya que esta se tuvo por presentada el día </w:t>
      </w:r>
      <w:r w:rsidR="00EA6CEA">
        <w:rPr>
          <w:rFonts w:ascii="Palatino Linotype" w:eastAsia="Calibri" w:hAnsi="Palatino Linotype" w:cs="Arial"/>
          <w:szCs w:val="22"/>
          <w:lang w:val="es-MX" w:eastAsia="en-US"/>
        </w:rPr>
        <w:t>diez de enero</w:t>
      </w:r>
      <w:r>
        <w:rPr>
          <w:rFonts w:ascii="Palatino Linotype" w:eastAsia="Calibri" w:hAnsi="Palatino Linotype" w:cs="Arial"/>
          <w:szCs w:val="22"/>
          <w:lang w:val="es-MX" w:eastAsia="en-US"/>
        </w:rPr>
        <w:t xml:space="preserve"> y la respuesta proporcionada por el Sujeto obligado fue notificada el </w:t>
      </w:r>
      <w:r w:rsidR="00EA6CEA">
        <w:rPr>
          <w:rFonts w:ascii="Palatino Linotype" w:eastAsia="Calibri" w:hAnsi="Palatino Linotype" w:cs="Arial"/>
          <w:szCs w:val="22"/>
          <w:lang w:val="es-MX" w:eastAsia="en-US"/>
        </w:rPr>
        <w:t>treinta y uno de enero</w:t>
      </w:r>
      <w:r>
        <w:rPr>
          <w:rFonts w:ascii="Palatino Linotype" w:eastAsia="Calibri" w:hAnsi="Palatino Linotype" w:cs="Arial"/>
          <w:szCs w:val="22"/>
          <w:lang w:val="es-MX" w:eastAsia="en-US"/>
        </w:rPr>
        <w:t xml:space="preserve">, ambos del </w:t>
      </w:r>
      <w:r w:rsidR="00EA6CEA">
        <w:rPr>
          <w:rFonts w:ascii="Palatino Linotype" w:eastAsia="Calibri" w:hAnsi="Palatino Linotype" w:cs="Arial"/>
          <w:szCs w:val="22"/>
          <w:lang w:val="es-MX" w:eastAsia="en-US"/>
        </w:rPr>
        <w:t>dos mil veintidós</w:t>
      </w:r>
      <w:r w:rsidRPr="00045883">
        <w:rPr>
          <w:rFonts w:ascii="Palatino Linotype" w:eastAsia="Calibri" w:hAnsi="Palatino Linotype" w:cs="Arial"/>
          <w:szCs w:val="22"/>
          <w:lang w:val="es-MX" w:eastAsia="en-US"/>
        </w:rPr>
        <w:t xml:space="preserve">, en consecuencia, el </w:t>
      </w:r>
      <w:r w:rsidRPr="00045883">
        <w:rPr>
          <w:rFonts w:ascii="Palatino Linotype" w:eastAsia="Calibri" w:hAnsi="Palatino Linotype" w:cs="Arial"/>
          <w:b/>
          <w:szCs w:val="22"/>
          <w:lang w:val="es-MX" w:eastAsia="en-US"/>
        </w:rPr>
        <w:t>Sujeto Obligado</w:t>
      </w:r>
      <w:r w:rsidRPr="00045883">
        <w:rPr>
          <w:rFonts w:ascii="Palatino Linotype" w:eastAsia="Calibri" w:hAnsi="Palatino Linotype" w:cs="Arial"/>
          <w:szCs w:val="22"/>
          <w:lang w:val="es-MX" w:eastAsia="en-US"/>
        </w:rPr>
        <w:t xml:space="preserve"> deberá atender el contenido del artículo 49 de la citada ley, para efectos de que sea declarada por parte del Comité de Transparencia la incompetencia a la que se hace referencia en la respuesta proporcionada. </w:t>
      </w:r>
    </w:p>
    <w:p w14:paraId="631468E1" w14:textId="77777777" w:rsidR="00CF74A7" w:rsidRPr="00045883" w:rsidRDefault="00CF74A7" w:rsidP="00CF74A7">
      <w:pPr>
        <w:spacing w:line="360" w:lineRule="auto"/>
        <w:jc w:val="both"/>
        <w:rPr>
          <w:rFonts w:ascii="Palatino Linotype" w:eastAsia="Calibri" w:hAnsi="Palatino Linotype" w:cs="Arial"/>
          <w:szCs w:val="22"/>
          <w:lang w:val="es-MX" w:eastAsia="en-US"/>
        </w:rPr>
      </w:pPr>
    </w:p>
    <w:p w14:paraId="21085ED4" w14:textId="77777777" w:rsidR="00CF74A7" w:rsidRPr="00045883" w:rsidRDefault="00CF74A7" w:rsidP="00CF74A7">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 xml:space="preserve">“Artículo 49. </w:t>
      </w:r>
      <w:r w:rsidRPr="00045883">
        <w:rPr>
          <w:rFonts w:ascii="Palatino Linotype" w:eastAsia="Calibri" w:hAnsi="Palatino Linotype" w:cs="Arial"/>
          <w:i/>
          <w:sz w:val="22"/>
          <w:szCs w:val="22"/>
          <w:lang w:val="es-MX" w:eastAsia="en-US"/>
        </w:rPr>
        <w:t>Los Comités de Transparencia tendrán las siguientes atribuciones:</w:t>
      </w:r>
    </w:p>
    <w:p w14:paraId="592AA263" w14:textId="77777777" w:rsidR="00CF74A7" w:rsidRPr="00045883" w:rsidRDefault="00CF74A7" w:rsidP="00CF74A7">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 xml:space="preserve">I. </w:t>
      </w:r>
      <w:r w:rsidRPr="00045883">
        <w:rPr>
          <w:rFonts w:ascii="Palatino Linotype" w:eastAsia="Calibri" w:hAnsi="Palatino Linotype" w:cs="Arial"/>
          <w:i/>
          <w:sz w:val="22"/>
          <w:szCs w:val="22"/>
          <w:lang w:val="es-MX" w:eastAsia="en-US"/>
        </w:rPr>
        <w:t>Instituir, coordinar y supervisar en términos de las disposiciones aplicables, las acciones, medidas y procedimientos que coadyuven a asegurar una mayor eficacia en la gestión y atención de las solicitudes en materia de acceso a la información;</w:t>
      </w:r>
    </w:p>
    <w:p w14:paraId="53A492B8" w14:textId="77777777" w:rsidR="00CF74A7" w:rsidRPr="00045883" w:rsidRDefault="00CF74A7" w:rsidP="00CF74A7">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lastRenderedPageBreak/>
        <w:t xml:space="preserve">II. </w:t>
      </w:r>
      <w:r w:rsidRPr="00045883">
        <w:rPr>
          <w:rFonts w:ascii="Palatino Linotype" w:eastAsia="Calibri" w:hAnsi="Palatino Linotype" w:cs="Arial"/>
          <w:i/>
          <w:sz w:val="22"/>
          <w:szCs w:val="22"/>
          <w:lang w:val="es-MX" w:eastAsia="en-US"/>
        </w:rPr>
        <w:t xml:space="preserve">Confirmar, modificar o revocar las determinaciones que en materia de ampliación del plazo de respuesta, clasificación de la información y declaración de inexistencia </w:t>
      </w:r>
      <w:r w:rsidRPr="00045883">
        <w:rPr>
          <w:rFonts w:ascii="Palatino Linotype" w:eastAsia="Calibri" w:hAnsi="Palatino Linotype" w:cs="Arial"/>
          <w:b/>
          <w:i/>
          <w:sz w:val="22"/>
          <w:szCs w:val="22"/>
          <w:lang w:val="es-MX" w:eastAsia="en-US"/>
        </w:rPr>
        <w:t xml:space="preserve">o </w:t>
      </w:r>
      <w:r w:rsidRPr="00045883">
        <w:rPr>
          <w:rFonts w:ascii="Palatino Linotype" w:eastAsia="Calibri" w:hAnsi="Palatino Linotype" w:cs="Arial"/>
          <w:b/>
          <w:i/>
          <w:sz w:val="22"/>
          <w:szCs w:val="22"/>
          <w:u w:val="single"/>
          <w:lang w:val="es-MX" w:eastAsia="en-US"/>
        </w:rPr>
        <w:t>de incompetencia realicen los titulares de las áreas de los sujetos obligados</w:t>
      </w:r>
      <w:r w:rsidRPr="00045883">
        <w:rPr>
          <w:rFonts w:ascii="Palatino Linotype" w:eastAsia="Calibri" w:hAnsi="Palatino Linotype" w:cs="Arial"/>
          <w:i/>
          <w:sz w:val="22"/>
          <w:szCs w:val="22"/>
          <w:lang w:val="es-MX" w:eastAsia="en-US"/>
        </w:rPr>
        <w:t>;</w:t>
      </w:r>
    </w:p>
    <w:p w14:paraId="6B9D861E" w14:textId="77777777" w:rsidR="00CF74A7" w:rsidRPr="00045883" w:rsidRDefault="00CF74A7" w:rsidP="00CF74A7">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w:t>
      </w:r>
      <w:r w:rsidRPr="00045883">
        <w:rPr>
          <w:rFonts w:ascii="Palatino Linotype" w:eastAsia="Calibri" w:hAnsi="Palatino Linotype" w:cs="Arial"/>
          <w:i/>
          <w:sz w:val="22"/>
          <w:szCs w:val="22"/>
          <w:lang w:val="es-MX" w:eastAsia="en-US"/>
        </w:rPr>
        <w:t>”</w:t>
      </w:r>
    </w:p>
    <w:p w14:paraId="152F0E9C" w14:textId="77777777" w:rsidR="00CF74A7" w:rsidRPr="00045883" w:rsidRDefault="00CF74A7" w:rsidP="00CF74A7">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p>
    <w:p w14:paraId="495024C1" w14:textId="77777777" w:rsidR="00CF74A7" w:rsidRPr="00045883" w:rsidRDefault="00CF74A7" w:rsidP="00CF74A7">
      <w:pPr>
        <w:autoSpaceDE w:val="0"/>
        <w:autoSpaceDN w:val="0"/>
        <w:adjustRightInd w:val="0"/>
        <w:spacing w:line="259" w:lineRule="auto"/>
        <w:ind w:left="567" w:right="567"/>
        <w:jc w:val="right"/>
        <w:rPr>
          <w:rFonts w:ascii="Palatino Linotype" w:eastAsia="Calibri" w:hAnsi="Palatino Linotype" w:cs="Arial"/>
          <w:i/>
          <w:sz w:val="22"/>
          <w:szCs w:val="22"/>
          <w:lang w:val="es-MX" w:eastAsia="en-US"/>
        </w:rPr>
      </w:pPr>
      <w:r w:rsidRPr="00045883">
        <w:rPr>
          <w:rFonts w:ascii="Palatino Linotype" w:eastAsia="Calibri" w:hAnsi="Palatino Linotype" w:cs="Arial"/>
          <w:i/>
          <w:sz w:val="22"/>
          <w:szCs w:val="22"/>
          <w:lang w:val="es-MX" w:eastAsia="en-US"/>
        </w:rPr>
        <w:t>(Énfasis añadido)</w:t>
      </w:r>
    </w:p>
    <w:p w14:paraId="229ECECA" w14:textId="77777777" w:rsidR="00CF74A7" w:rsidRPr="00045883" w:rsidRDefault="00CF74A7" w:rsidP="00CF74A7">
      <w:pPr>
        <w:spacing w:line="360" w:lineRule="auto"/>
        <w:jc w:val="both"/>
        <w:rPr>
          <w:rFonts w:ascii="Palatino Linotype" w:eastAsia="Calibri" w:hAnsi="Palatino Linotype" w:cs="Arial"/>
          <w:szCs w:val="22"/>
          <w:lang w:val="es-MX" w:eastAsia="en-US"/>
        </w:rPr>
      </w:pPr>
    </w:p>
    <w:p w14:paraId="416FEA95" w14:textId="77777777" w:rsidR="00CF74A7" w:rsidRPr="00045883" w:rsidRDefault="00CF74A7" w:rsidP="00CF74A7">
      <w:pPr>
        <w:spacing w:line="360" w:lineRule="auto"/>
        <w:jc w:val="both"/>
        <w:rPr>
          <w:rFonts w:ascii="Palatino Linotype" w:eastAsia="Calibri" w:hAnsi="Palatino Linotype" w:cs="Arial"/>
          <w:szCs w:val="22"/>
          <w:lang w:val="es-MX" w:eastAsia="en-US"/>
        </w:rPr>
      </w:pPr>
      <w:r w:rsidRPr="00045883">
        <w:rPr>
          <w:rFonts w:ascii="Palatino Linotype" w:eastAsia="Calibri" w:hAnsi="Palatino Linotype" w:cs="Arial"/>
          <w:szCs w:val="22"/>
          <w:lang w:val="es-MX" w:eastAsia="en-US"/>
        </w:rPr>
        <w:t>Es de lo expuesto que el Comité de Transparencia deberá emitir su acuerdo respectivo, mediante el cual confirme la incompetencia que en el presente asunto encuadra en el supuesto de la Ley.</w:t>
      </w:r>
    </w:p>
    <w:p w14:paraId="7D872FBD" w14:textId="77777777" w:rsidR="00CF74A7" w:rsidRPr="00045883" w:rsidRDefault="00CF74A7" w:rsidP="00CF74A7">
      <w:pPr>
        <w:spacing w:line="360" w:lineRule="auto"/>
        <w:ind w:right="51"/>
        <w:jc w:val="both"/>
        <w:rPr>
          <w:rFonts w:ascii="Palatino Linotype" w:hAnsi="Palatino Linotype" w:cs="Arial"/>
        </w:rPr>
      </w:pPr>
    </w:p>
    <w:p w14:paraId="589E428B" w14:textId="151E691F" w:rsidR="00CF74A7" w:rsidRDefault="00CF74A7" w:rsidP="00EA6CEA">
      <w:pPr>
        <w:spacing w:line="360" w:lineRule="auto"/>
        <w:ind w:right="51"/>
        <w:jc w:val="both"/>
        <w:rPr>
          <w:rFonts w:ascii="Palatino Linotype" w:hAnsi="Palatino Linotype"/>
        </w:rPr>
      </w:pPr>
      <w:r w:rsidRPr="00045883">
        <w:rPr>
          <w:rFonts w:ascii="Palatino Linotype" w:hAnsi="Palatino Linotype"/>
        </w:rPr>
        <w:t xml:space="preserve">Así mismo, lo dable es dejar a salvo los derechos del </w:t>
      </w:r>
      <w:r w:rsidRPr="00045883">
        <w:rPr>
          <w:rFonts w:ascii="Palatino Linotype" w:hAnsi="Palatino Linotype"/>
          <w:b/>
        </w:rPr>
        <w:t xml:space="preserve">solicitante, </w:t>
      </w:r>
      <w:r w:rsidRPr="00045883">
        <w:rPr>
          <w:rFonts w:ascii="Palatino Linotype" w:hAnsi="Palatino Linotype"/>
        </w:rPr>
        <w:t xml:space="preserve">para que los haga valer ante el </w:t>
      </w:r>
      <w:r w:rsidRPr="00045883">
        <w:rPr>
          <w:rFonts w:ascii="Palatino Linotype" w:hAnsi="Palatino Linotype"/>
          <w:b/>
        </w:rPr>
        <w:t xml:space="preserve">Sujeto Obligado </w:t>
      </w:r>
      <w:r w:rsidRPr="00045883">
        <w:rPr>
          <w:rFonts w:ascii="Palatino Linotype" w:hAnsi="Palatino Linotype"/>
        </w:rPr>
        <w:t xml:space="preserve">que tiene en sus archivos la información peticionada, es decir presente su solicitud ante </w:t>
      </w:r>
      <w:r w:rsidRPr="00D87F62">
        <w:rPr>
          <w:rFonts w:ascii="Palatino Linotype" w:hAnsi="Palatino Linotype"/>
        </w:rPr>
        <w:t>el</w:t>
      </w:r>
      <w:r w:rsidR="00EA6CEA" w:rsidRPr="00EA6CEA">
        <w:rPr>
          <w:rFonts w:ascii="Palatino Linotype" w:hAnsi="Palatino Linotype"/>
        </w:rPr>
        <w:t xml:space="preserve"> “Organismo Descentralizado de Agua Potable, Alcantarillado y Saneamiento de Nezahualcóyotl. (ODAPAS)”, y la “Comisión Federal de Electricidad”</w:t>
      </w:r>
      <w:r w:rsidRPr="00045883">
        <w:rPr>
          <w:rFonts w:ascii="Palatino Linotype" w:hAnsi="Palatino Linotype"/>
        </w:rPr>
        <w:t xml:space="preserve">, al ser </w:t>
      </w:r>
      <w:r w:rsidR="00EA6CEA">
        <w:rPr>
          <w:rFonts w:ascii="Palatino Linotype" w:hAnsi="Palatino Linotype"/>
        </w:rPr>
        <w:t>los</w:t>
      </w:r>
      <w:r w:rsidRPr="00045883">
        <w:rPr>
          <w:rFonts w:ascii="Palatino Linotype" w:hAnsi="Palatino Linotype"/>
        </w:rPr>
        <w:t xml:space="preserve"> ente</w:t>
      </w:r>
      <w:r w:rsidR="00EA6CEA">
        <w:rPr>
          <w:rFonts w:ascii="Palatino Linotype" w:hAnsi="Palatino Linotype"/>
        </w:rPr>
        <w:t>s</w:t>
      </w:r>
      <w:r w:rsidRPr="00045883">
        <w:rPr>
          <w:rFonts w:ascii="Palatino Linotype" w:hAnsi="Palatino Linotype"/>
        </w:rPr>
        <w:t xml:space="preserve"> que posee</w:t>
      </w:r>
      <w:r w:rsidR="00EA6CEA">
        <w:rPr>
          <w:rFonts w:ascii="Palatino Linotype" w:hAnsi="Palatino Linotype"/>
        </w:rPr>
        <w:t>s</w:t>
      </w:r>
      <w:r w:rsidRPr="00045883">
        <w:rPr>
          <w:rFonts w:ascii="Palatino Linotype" w:hAnsi="Palatino Linotype"/>
        </w:rPr>
        <w:t xml:space="preserve"> la información solicitada.</w:t>
      </w:r>
    </w:p>
    <w:p w14:paraId="4AB3938B" w14:textId="663007B2" w:rsidR="00AE5F6D" w:rsidRDefault="00AE5F6D" w:rsidP="00EA6CEA">
      <w:pPr>
        <w:spacing w:line="360" w:lineRule="auto"/>
        <w:ind w:right="51"/>
        <w:jc w:val="both"/>
        <w:rPr>
          <w:rFonts w:ascii="Palatino Linotype" w:hAnsi="Palatino Linotype"/>
        </w:rPr>
      </w:pPr>
    </w:p>
    <w:p w14:paraId="5BA42D73" w14:textId="753F1E6A" w:rsidR="00AE5F6D" w:rsidRDefault="00AE5F6D" w:rsidP="00EA6CEA">
      <w:pPr>
        <w:spacing w:line="360" w:lineRule="auto"/>
        <w:ind w:right="51"/>
        <w:jc w:val="both"/>
        <w:rPr>
          <w:rFonts w:ascii="Palatino Linotype" w:hAnsi="Palatino Linotype"/>
        </w:rPr>
      </w:pPr>
      <w:r>
        <w:rPr>
          <w:rFonts w:ascii="Palatino Linotype" w:hAnsi="Palatino Linotype"/>
        </w:rPr>
        <w:t>Finalmente, en lo que respecta al punto 5 de la solicitud de información, correspondiente a la entrega de los c</w:t>
      </w:r>
      <w:r w:rsidRPr="00AE5F6D">
        <w:rPr>
          <w:rFonts w:ascii="Palatino Linotype" w:hAnsi="Palatino Linotype"/>
        </w:rPr>
        <w:t>omprobantes de pago del impuesto predial</w:t>
      </w:r>
      <w:r>
        <w:rPr>
          <w:rFonts w:ascii="Palatino Linotype" w:hAnsi="Palatino Linotype"/>
        </w:rPr>
        <w:t xml:space="preserve"> del inmueble referido en la solicitud de información, se debe señalar, que dichos soportes documentales no son susceptibles de ser entregados al ahora Recurrente, en virtud de ser considerados como información confidencial</w:t>
      </w:r>
      <w:r w:rsidR="00F23C36">
        <w:rPr>
          <w:rFonts w:ascii="Palatino Linotype" w:hAnsi="Palatino Linotype"/>
        </w:rPr>
        <w:t>.</w:t>
      </w:r>
    </w:p>
    <w:p w14:paraId="5EFBAB49" w14:textId="77E6EC0E" w:rsidR="00AE5F6D" w:rsidRDefault="00AE5F6D" w:rsidP="00EA6CEA">
      <w:pPr>
        <w:spacing w:line="360" w:lineRule="auto"/>
        <w:ind w:right="51"/>
        <w:jc w:val="both"/>
        <w:rPr>
          <w:rFonts w:ascii="Palatino Linotype" w:hAnsi="Palatino Linotype"/>
        </w:rPr>
      </w:pPr>
    </w:p>
    <w:p w14:paraId="5DF59652" w14:textId="77777777" w:rsidR="00AE5F6D" w:rsidRPr="00AE5F6D" w:rsidRDefault="00AE5F6D" w:rsidP="00AE5F6D">
      <w:pPr>
        <w:spacing w:line="360" w:lineRule="auto"/>
        <w:jc w:val="both"/>
        <w:rPr>
          <w:rFonts w:ascii="Palatino Linotype" w:eastAsia="Calibri" w:hAnsi="Palatino Linotype" w:cs="Arial"/>
          <w:lang w:eastAsia="es-CO"/>
        </w:rPr>
      </w:pPr>
      <w:r w:rsidRPr="00AE5F6D">
        <w:rPr>
          <w:rFonts w:ascii="Palatino Linotype" w:eastAsia="Calibri" w:hAnsi="Palatino Linotype" w:cs="Arial"/>
          <w:lang w:eastAsia="es-CO"/>
        </w:rPr>
        <w:t xml:space="preserve">Es así, que respecto a toda aquella información susceptible de clasificarse como confidencial deberá de encuadrar bajo los supuestos del artículo 143 de la Ley de </w:t>
      </w:r>
      <w:r w:rsidRPr="00AE5F6D">
        <w:rPr>
          <w:rFonts w:ascii="Palatino Linotype" w:eastAsia="Calibri" w:hAnsi="Palatino Linotype" w:cs="Arial"/>
          <w:lang w:eastAsia="es-CO"/>
        </w:rPr>
        <w:lastRenderedPageBreak/>
        <w:t>Transparencia y Acceso a la Información Pública del Estado de México y Municipios, siendo el siguiente:</w:t>
      </w:r>
    </w:p>
    <w:p w14:paraId="3194B184" w14:textId="77777777" w:rsidR="00AE5F6D" w:rsidRPr="00AE5F6D" w:rsidRDefault="00AE5F6D" w:rsidP="00AE5F6D">
      <w:pPr>
        <w:spacing w:line="360" w:lineRule="auto"/>
        <w:jc w:val="both"/>
        <w:rPr>
          <w:rFonts w:ascii="Palatino Linotype" w:eastAsia="Calibri" w:hAnsi="Palatino Linotype" w:cs="Arial"/>
          <w:lang w:eastAsia="es-CO"/>
        </w:rPr>
      </w:pPr>
    </w:p>
    <w:p w14:paraId="306AD3BF" w14:textId="77777777" w:rsidR="00AE5F6D" w:rsidRPr="00AE5F6D" w:rsidRDefault="00AE5F6D" w:rsidP="00AE5F6D">
      <w:pPr>
        <w:autoSpaceDE w:val="0"/>
        <w:autoSpaceDN w:val="0"/>
        <w:adjustRightInd w:val="0"/>
        <w:spacing w:after="120"/>
        <w:ind w:left="851" w:right="851"/>
        <w:jc w:val="both"/>
        <w:rPr>
          <w:rFonts w:ascii="Palatino Linotype" w:eastAsiaTheme="minorHAnsi" w:hAnsi="Palatino Linotype" w:cs="Bookman Old Style"/>
          <w:i/>
          <w:sz w:val="22"/>
          <w:szCs w:val="20"/>
          <w:lang w:eastAsia="en-US"/>
        </w:rPr>
      </w:pPr>
      <w:r w:rsidRPr="00AE5F6D">
        <w:rPr>
          <w:rFonts w:ascii="Palatino Linotype" w:eastAsiaTheme="minorHAnsi" w:hAnsi="Palatino Linotype" w:cs="Bookman Old Style,Bold"/>
          <w:b/>
          <w:bCs/>
          <w:i/>
          <w:sz w:val="22"/>
          <w:szCs w:val="20"/>
          <w:lang w:eastAsia="en-US"/>
        </w:rPr>
        <w:t xml:space="preserve">Artículo 143. </w:t>
      </w:r>
      <w:r w:rsidRPr="00AE5F6D">
        <w:rPr>
          <w:rFonts w:ascii="Palatino Linotype" w:eastAsiaTheme="minorHAnsi" w:hAnsi="Palatino Linotype" w:cs="Bookman Old Style"/>
          <w:i/>
          <w:sz w:val="22"/>
          <w:szCs w:val="20"/>
          <w:lang w:eastAsia="en-US"/>
        </w:rPr>
        <w:t>Para los efectos de esta Ley se considera información confidencial, la clasificada como tal, de manera permanente, por su naturaleza, cuando:</w:t>
      </w:r>
    </w:p>
    <w:p w14:paraId="0D4A021C" w14:textId="77777777" w:rsidR="00AE5F6D" w:rsidRPr="00AE5F6D" w:rsidRDefault="00AE5F6D" w:rsidP="00AE5F6D">
      <w:pPr>
        <w:autoSpaceDE w:val="0"/>
        <w:autoSpaceDN w:val="0"/>
        <w:adjustRightInd w:val="0"/>
        <w:spacing w:after="120"/>
        <w:ind w:left="851" w:right="851"/>
        <w:jc w:val="both"/>
        <w:rPr>
          <w:rFonts w:ascii="Palatino Linotype" w:eastAsiaTheme="minorHAnsi" w:hAnsi="Palatino Linotype" w:cs="Bookman Old Style"/>
          <w:i/>
          <w:sz w:val="22"/>
          <w:szCs w:val="20"/>
          <w:lang w:eastAsia="en-US"/>
        </w:rPr>
      </w:pPr>
      <w:r w:rsidRPr="00AE5F6D">
        <w:rPr>
          <w:rFonts w:ascii="Palatino Linotype" w:eastAsiaTheme="minorHAnsi" w:hAnsi="Palatino Linotype" w:cs="Bookman Old Style,Bold"/>
          <w:b/>
          <w:bCs/>
          <w:i/>
          <w:sz w:val="22"/>
          <w:szCs w:val="20"/>
          <w:lang w:eastAsia="en-US"/>
        </w:rPr>
        <w:t xml:space="preserve">I. </w:t>
      </w:r>
      <w:r w:rsidRPr="00AE5F6D">
        <w:rPr>
          <w:rFonts w:ascii="Palatino Linotype" w:eastAsiaTheme="minorHAnsi" w:hAnsi="Palatino Linotype" w:cs="Bookman Old Style"/>
          <w:i/>
          <w:sz w:val="22"/>
          <w:szCs w:val="20"/>
          <w:lang w:eastAsia="en-US"/>
        </w:rPr>
        <w:t xml:space="preserve">Se refiera a la información privada y los datos personales concernientes a una persona física o </w:t>
      </w:r>
      <w:proofErr w:type="gramStart"/>
      <w:r w:rsidRPr="00AE5F6D">
        <w:rPr>
          <w:rFonts w:ascii="Palatino Linotype" w:eastAsiaTheme="minorHAnsi" w:hAnsi="Palatino Linotype" w:cs="Bookman Old Style"/>
          <w:i/>
          <w:sz w:val="22"/>
          <w:szCs w:val="20"/>
          <w:lang w:eastAsia="en-US"/>
        </w:rPr>
        <w:t>jurídico</w:t>
      </w:r>
      <w:proofErr w:type="gramEnd"/>
      <w:r w:rsidRPr="00AE5F6D">
        <w:rPr>
          <w:rFonts w:ascii="Palatino Linotype" w:eastAsiaTheme="minorHAnsi" w:hAnsi="Palatino Linotype" w:cs="Bookman Old Style"/>
          <w:i/>
          <w:sz w:val="22"/>
          <w:szCs w:val="20"/>
          <w:lang w:eastAsia="en-US"/>
        </w:rPr>
        <w:t xml:space="preserve"> colectiva identificada o identificable;</w:t>
      </w:r>
    </w:p>
    <w:p w14:paraId="6B3F96BB" w14:textId="77777777" w:rsidR="00AE5F6D" w:rsidRPr="00AE5F6D" w:rsidRDefault="00AE5F6D" w:rsidP="00AE5F6D">
      <w:pPr>
        <w:autoSpaceDE w:val="0"/>
        <w:autoSpaceDN w:val="0"/>
        <w:adjustRightInd w:val="0"/>
        <w:spacing w:after="120"/>
        <w:ind w:left="851" w:right="851"/>
        <w:jc w:val="both"/>
        <w:rPr>
          <w:rFonts w:ascii="Palatino Linotype" w:eastAsiaTheme="minorHAnsi" w:hAnsi="Palatino Linotype" w:cs="Bookman Old Style"/>
          <w:i/>
          <w:sz w:val="22"/>
          <w:szCs w:val="20"/>
          <w:lang w:eastAsia="en-US"/>
        </w:rPr>
      </w:pPr>
      <w:r w:rsidRPr="00AE5F6D">
        <w:rPr>
          <w:rFonts w:ascii="Palatino Linotype" w:eastAsiaTheme="minorHAnsi" w:hAnsi="Palatino Linotype" w:cs="Bookman Old Style,Bold"/>
          <w:b/>
          <w:bCs/>
          <w:i/>
          <w:sz w:val="22"/>
          <w:szCs w:val="20"/>
          <w:lang w:eastAsia="en-US"/>
        </w:rPr>
        <w:t xml:space="preserve">II. </w:t>
      </w:r>
      <w:r w:rsidRPr="00AE5F6D">
        <w:rPr>
          <w:rFonts w:ascii="Palatino Linotype" w:eastAsiaTheme="minorHAnsi" w:hAnsi="Palatino Linotype" w:cs="Bookman Old Style"/>
          <w:b/>
          <w:bCs/>
          <w:i/>
          <w:sz w:val="22"/>
          <w:szCs w:val="20"/>
          <w:u w:val="single"/>
          <w:lang w:eastAsia="en-US"/>
        </w:rPr>
        <w:t>Los secretos bancario, fiduciario, industrial, comercial, fiscal, bursátil y postal, cuya titularidad corresponda a particulares, sujetos de derecho internacional o a sujetos obligados cuando no involucren el ejercicio de recursos públicos</w:t>
      </w:r>
      <w:r w:rsidRPr="00AE5F6D">
        <w:rPr>
          <w:rFonts w:ascii="Palatino Linotype" w:eastAsiaTheme="minorHAnsi" w:hAnsi="Palatino Linotype" w:cs="Bookman Old Style"/>
          <w:i/>
          <w:sz w:val="22"/>
          <w:szCs w:val="20"/>
          <w:lang w:eastAsia="en-US"/>
        </w:rPr>
        <w:t>; y</w:t>
      </w:r>
    </w:p>
    <w:p w14:paraId="0186645F" w14:textId="77777777" w:rsidR="00AE5F6D" w:rsidRPr="00AE5F6D" w:rsidRDefault="00AE5F6D" w:rsidP="00AE5F6D">
      <w:pPr>
        <w:autoSpaceDE w:val="0"/>
        <w:autoSpaceDN w:val="0"/>
        <w:adjustRightInd w:val="0"/>
        <w:spacing w:after="120"/>
        <w:ind w:left="851" w:right="851"/>
        <w:jc w:val="both"/>
        <w:rPr>
          <w:rFonts w:ascii="Palatino Linotype" w:eastAsiaTheme="minorHAnsi" w:hAnsi="Palatino Linotype" w:cs="Bookman Old Style"/>
          <w:i/>
          <w:sz w:val="22"/>
          <w:szCs w:val="20"/>
          <w:lang w:eastAsia="en-US"/>
        </w:rPr>
      </w:pPr>
      <w:r w:rsidRPr="00AE5F6D">
        <w:rPr>
          <w:rFonts w:ascii="Palatino Linotype" w:eastAsiaTheme="minorHAnsi" w:hAnsi="Palatino Linotype" w:cs="Bookman Old Style,Bold"/>
          <w:b/>
          <w:bCs/>
          <w:i/>
          <w:sz w:val="22"/>
          <w:szCs w:val="20"/>
          <w:lang w:eastAsia="en-US"/>
        </w:rPr>
        <w:t xml:space="preserve">III. </w:t>
      </w:r>
      <w:r w:rsidRPr="00AE5F6D">
        <w:rPr>
          <w:rFonts w:ascii="Palatino Linotype" w:eastAsiaTheme="minorHAnsi" w:hAnsi="Palatino Linotype" w:cs="Bookman Old Style"/>
          <w:i/>
          <w:sz w:val="22"/>
          <w:szCs w:val="20"/>
          <w:lang w:eastAsia="en-US"/>
        </w:rPr>
        <w:t>La que presenten los particulares a los sujetos obligados, de conformidad con lo dispuesto por las leyes o los tratados internacionales.</w:t>
      </w:r>
    </w:p>
    <w:p w14:paraId="1BC53B4C" w14:textId="77777777" w:rsidR="00AE5F6D" w:rsidRPr="00AE5F6D" w:rsidRDefault="00AE5F6D" w:rsidP="00AE5F6D">
      <w:pPr>
        <w:autoSpaceDE w:val="0"/>
        <w:autoSpaceDN w:val="0"/>
        <w:adjustRightInd w:val="0"/>
        <w:spacing w:after="120"/>
        <w:ind w:left="851" w:right="851"/>
        <w:jc w:val="both"/>
        <w:rPr>
          <w:rFonts w:ascii="Palatino Linotype" w:eastAsiaTheme="minorHAnsi" w:hAnsi="Palatino Linotype" w:cs="Bookman Old Style"/>
          <w:i/>
          <w:sz w:val="22"/>
          <w:szCs w:val="20"/>
          <w:lang w:eastAsia="en-US"/>
        </w:rPr>
      </w:pPr>
      <w:r w:rsidRPr="00AE5F6D">
        <w:rPr>
          <w:rFonts w:ascii="Palatino Linotype" w:eastAsiaTheme="minorHAnsi" w:hAnsi="Palatino Linotype" w:cs="Bookman Old Style"/>
          <w:i/>
          <w:sz w:val="22"/>
          <w:szCs w:val="20"/>
          <w:lang w:eastAsia="en-US"/>
        </w:rPr>
        <w:t xml:space="preserve">La información confidencial no estará sujeta a temporalidad alguna y sólo podrán tener acceso a ella los titulares de la misma, sus representantes y los servidores públicos facultados para ello. </w:t>
      </w:r>
    </w:p>
    <w:p w14:paraId="7880A195" w14:textId="77777777" w:rsidR="00AE5F6D" w:rsidRPr="00AE5F6D" w:rsidRDefault="00AE5F6D" w:rsidP="00AE5F6D">
      <w:pPr>
        <w:autoSpaceDE w:val="0"/>
        <w:autoSpaceDN w:val="0"/>
        <w:adjustRightInd w:val="0"/>
        <w:spacing w:after="120"/>
        <w:ind w:left="851" w:right="851"/>
        <w:jc w:val="both"/>
        <w:rPr>
          <w:rFonts w:ascii="Palatino Linotype" w:eastAsiaTheme="minorHAnsi" w:hAnsi="Palatino Linotype" w:cs="Bookman Old Style"/>
          <w:i/>
          <w:sz w:val="22"/>
          <w:szCs w:val="20"/>
          <w:lang w:eastAsia="en-US"/>
        </w:rPr>
      </w:pPr>
      <w:r w:rsidRPr="00AE5F6D">
        <w:rPr>
          <w:rFonts w:ascii="Palatino Linotype" w:eastAsiaTheme="minorHAnsi" w:hAnsi="Palatino Linotype" w:cs="Bookman Old Style"/>
          <w:i/>
          <w:sz w:val="22"/>
          <w:szCs w:val="20"/>
          <w:lang w:eastAsia="en-US"/>
        </w:rPr>
        <w:t>No se considerará confidencial la información que se encuentre en los registros públicos o en fuentes de acceso público, ni tampoco la que sea considerada por la presente ley como información pública.</w:t>
      </w:r>
    </w:p>
    <w:p w14:paraId="79C3C7B3" w14:textId="77777777" w:rsidR="00AE5F6D" w:rsidRPr="00AE5F6D" w:rsidRDefault="00AE5F6D" w:rsidP="00AE5F6D">
      <w:pPr>
        <w:rPr>
          <w:lang w:val="es-MX"/>
        </w:rPr>
      </w:pPr>
    </w:p>
    <w:p w14:paraId="66D11C48" w14:textId="77777777" w:rsidR="00AE5F6D" w:rsidRPr="00AE5F6D" w:rsidRDefault="00AE5F6D" w:rsidP="00AE5F6D">
      <w:pPr>
        <w:spacing w:before="240" w:after="240" w:line="360" w:lineRule="auto"/>
        <w:contextualSpacing/>
        <w:jc w:val="both"/>
        <w:rPr>
          <w:rFonts w:ascii="Palatino Linotype" w:eastAsiaTheme="minorHAnsi" w:hAnsi="Palatino Linotype" w:cs="Arial"/>
          <w:szCs w:val="22"/>
          <w:lang w:val="es-MX" w:eastAsia="es-MX"/>
        </w:rPr>
      </w:pPr>
      <w:r w:rsidRPr="00AE5F6D">
        <w:rPr>
          <w:rFonts w:ascii="Palatino Linotype" w:eastAsiaTheme="minorHAnsi" w:hAnsi="Palatino Linotype" w:cs="Arial"/>
          <w:szCs w:val="22"/>
          <w:lang w:val="es-MX" w:eastAsia="en-US"/>
        </w:rPr>
        <w:t>De los preceptos legales se puede arribar a la conclusión de que</w:t>
      </w:r>
      <w:r w:rsidRPr="00AE5F6D">
        <w:rPr>
          <w:rFonts w:ascii="Palatino Linotype" w:eastAsiaTheme="minorHAnsi" w:hAnsi="Palatino Linotype" w:cstheme="minorBidi"/>
          <w:szCs w:val="22"/>
          <w:lang w:val="es-MX" w:eastAsia="en-US"/>
        </w:rPr>
        <w:t xml:space="preserve"> </w:t>
      </w:r>
      <w:r w:rsidRPr="00AE5F6D">
        <w:rPr>
          <w:rFonts w:ascii="Palatino Linotype" w:eastAsiaTheme="minorHAnsi" w:hAnsi="Palatino Linotype" w:cs="Arial"/>
          <w:szCs w:val="22"/>
          <w:lang w:val="es-MX" w:eastAsia="es-MX"/>
        </w:rPr>
        <w:t>el derecho de acceso a la información pública tiene como limitante el respeto a la intimidad y a la vida privada de las personas, los secretos bancario, fiduciario, industrial, comercial, fiscal, bursátil y postal, cuya titularidad corresponda a particulares,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7F36D28A" w14:textId="77777777" w:rsidR="00AE5F6D" w:rsidRPr="00AE5F6D" w:rsidRDefault="00AE5F6D" w:rsidP="00AE5F6D">
      <w:pPr>
        <w:spacing w:before="240" w:after="240" w:line="360" w:lineRule="auto"/>
        <w:contextualSpacing/>
        <w:jc w:val="both"/>
        <w:rPr>
          <w:rFonts w:ascii="Palatino Linotype" w:eastAsiaTheme="minorHAnsi" w:hAnsi="Palatino Linotype" w:cs="Arial"/>
          <w:szCs w:val="22"/>
          <w:lang w:val="es-MX" w:eastAsia="es-MX"/>
        </w:rPr>
      </w:pPr>
    </w:p>
    <w:p w14:paraId="7537F6E9" w14:textId="77777777" w:rsidR="00AE5F6D" w:rsidRPr="00AE5F6D" w:rsidRDefault="00AE5F6D" w:rsidP="00AE5F6D">
      <w:pPr>
        <w:spacing w:before="240" w:after="240" w:line="360" w:lineRule="auto"/>
        <w:contextualSpacing/>
        <w:jc w:val="both"/>
        <w:rPr>
          <w:rFonts w:ascii="Palatino Linotype" w:eastAsiaTheme="minorHAnsi" w:hAnsi="Palatino Linotype" w:cstheme="minorBidi"/>
          <w:szCs w:val="22"/>
          <w:lang w:val="es-MX" w:eastAsia="en-US"/>
        </w:rPr>
      </w:pPr>
      <w:r w:rsidRPr="00AE5F6D">
        <w:rPr>
          <w:rFonts w:ascii="Palatino Linotype" w:eastAsiaTheme="minorHAnsi" w:hAnsi="Palatino Linotype" w:cstheme="minorBidi"/>
          <w:szCs w:val="22"/>
          <w:lang w:val="es-MX" w:eastAsia="en-US"/>
        </w:rPr>
        <w:lastRenderedPageBreak/>
        <w:t>En ese sentido, se debe precisar, que obtener el recibo de pago de impuesto predial de inmueble referido en la solicitud de información</w:t>
      </w:r>
      <w:r w:rsidRPr="00AE5F6D">
        <w:rPr>
          <w:rFonts w:ascii="Palatino Linotype" w:eastAsiaTheme="minorHAnsi" w:hAnsi="Palatino Linotype" w:cs="Arial"/>
          <w:lang w:val="es-MX" w:eastAsia="en-US"/>
        </w:rPr>
        <w:t xml:space="preserve">, </w:t>
      </w:r>
      <w:r w:rsidRPr="00AE5F6D">
        <w:rPr>
          <w:rFonts w:ascii="Palatino Linotype" w:eastAsiaTheme="minorHAnsi" w:hAnsi="Palatino Linotype" w:cstheme="minorBidi"/>
          <w:szCs w:val="22"/>
          <w:lang w:val="es-MX" w:eastAsia="en-US"/>
        </w:rPr>
        <w:t>no abona a la rendición de cuentas o a la transparencia, toda vez que, dicha información se encuentra relacionada con el secreto fiscal, cuya titularidad corresponde a particulares.</w:t>
      </w:r>
    </w:p>
    <w:p w14:paraId="7F082F5E" w14:textId="77777777" w:rsidR="00AE5F6D" w:rsidRPr="00AE5F6D" w:rsidRDefault="00AE5F6D" w:rsidP="00AE5F6D">
      <w:pPr>
        <w:spacing w:after="160" w:line="360" w:lineRule="auto"/>
        <w:contextualSpacing/>
        <w:jc w:val="both"/>
        <w:rPr>
          <w:rFonts w:ascii="Palatino Linotype" w:eastAsiaTheme="minorHAnsi" w:hAnsi="Palatino Linotype" w:cstheme="minorBidi"/>
          <w:b/>
          <w:i/>
          <w:szCs w:val="22"/>
          <w:u w:val="single"/>
          <w:lang w:val="es-MX" w:eastAsia="en-US"/>
        </w:rPr>
      </w:pPr>
    </w:p>
    <w:p w14:paraId="780E2A8C" w14:textId="77777777" w:rsidR="00AE5F6D" w:rsidRPr="00AE5F6D" w:rsidRDefault="00AE5F6D" w:rsidP="00AE5F6D">
      <w:pPr>
        <w:spacing w:after="160" w:line="360" w:lineRule="auto"/>
        <w:contextualSpacing/>
        <w:jc w:val="both"/>
        <w:rPr>
          <w:rFonts w:ascii="Palatino Linotype" w:eastAsia="Calibri" w:hAnsi="Palatino Linotype"/>
        </w:rPr>
      </w:pPr>
      <w:r w:rsidRPr="00AE5F6D">
        <w:rPr>
          <w:rFonts w:ascii="Palatino Linotype" w:eastAsia="Calibri" w:hAnsi="Palatino Linotype"/>
        </w:rPr>
        <w:t>Robusteciendo lo anterior se encuentra lo dispuesto los Lineamientos generales en materia de clasificación y desclasificación de la información, así como para la elaboración de versiones públicas, publicados en el Diario Oficial de la Federación el quince de abril de dos mil dieciséis por el Consejo Nacional de Transparencia, Acceso a la Información Pública y Protección de Datos Personales, precepto en el cual se establece lo siguiente:</w:t>
      </w:r>
    </w:p>
    <w:p w14:paraId="5283315F" w14:textId="77777777" w:rsidR="00AE5F6D" w:rsidRPr="00AE5F6D" w:rsidRDefault="00AE5F6D" w:rsidP="00AE5F6D">
      <w:pPr>
        <w:spacing w:after="160"/>
        <w:ind w:right="851"/>
        <w:contextualSpacing/>
        <w:jc w:val="both"/>
        <w:rPr>
          <w:rFonts w:ascii="Palatino Linotype" w:eastAsiaTheme="minorHAnsi" w:hAnsi="Palatino Linotype" w:cs="Arial"/>
          <w:i/>
          <w:color w:val="000000" w:themeColor="text1"/>
          <w:sz w:val="22"/>
          <w:szCs w:val="22"/>
          <w:lang w:val="es-MX" w:eastAsia="en-US"/>
        </w:rPr>
      </w:pPr>
    </w:p>
    <w:p w14:paraId="0E09F4BD" w14:textId="77777777" w:rsidR="00AE5F6D" w:rsidRPr="00AE5F6D" w:rsidRDefault="00AE5F6D" w:rsidP="00AE5F6D">
      <w:pPr>
        <w:spacing w:after="160"/>
        <w:ind w:left="851" w:right="851"/>
        <w:contextualSpacing/>
        <w:jc w:val="both"/>
        <w:rPr>
          <w:rFonts w:ascii="Palatino Linotype" w:eastAsiaTheme="minorHAnsi" w:hAnsi="Palatino Linotype" w:cs="Arial"/>
          <w:bCs/>
          <w:i/>
          <w:color w:val="000000" w:themeColor="text1"/>
          <w:sz w:val="22"/>
          <w:szCs w:val="22"/>
          <w:lang w:val="es-MX" w:eastAsia="en-US"/>
        </w:rPr>
      </w:pPr>
      <w:r w:rsidRPr="00AE5F6D">
        <w:rPr>
          <w:rFonts w:ascii="Palatino Linotype" w:eastAsiaTheme="minorHAnsi" w:hAnsi="Palatino Linotype" w:cs="Arial"/>
          <w:b/>
          <w:bCs/>
          <w:i/>
          <w:color w:val="000000" w:themeColor="text1"/>
          <w:sz w:val="22"/>
          <w:szCs w:val="22"/>
          <w:lang w:val="es-MX" w:eastAsia="en-US"/>
        </w:rPr>
        <w:t>Cuadragésimo quinto.</w:t>
      </w:r>
      <w:r w:rsidRPr="00AE5F6D">
        <w:rPr>
          <w:rFonts w:ascii="Palatino Linotype" w:eastAsiaTheme="minorHAnsi" w:hAnsi="Palatino Linotype" w:cs="Arial"/>
          <w:b/>
          <w:i/>
          <w:color w:val="000000" w:themeColor="text1"/>
          <w:sz w:val="22"/>
          <w:szCs w:val="22"/>
          <w:lang w:val="es-MX" w:eastAsia="en-US"/>
        </w:rPr>
        <w:t> </w:t>
      </w:r>
      <w:r w:rsidRPr="00AE5F6D">
        <w:rPr>
          <w:rFonts w:ascii="Palatino Linotype" w:eastAsiaTheme="minorHAnsi" w:hAnsi="Palatino Linotype" w:cs="Arial"/>
          <w:b/>
          <w:i/>
          <w:color w:val="000000" w:themeColor="text1"/>
          <w:sz w:val="22"/>
          <w:szCs w:val="22"/>
          <w:u w:val="single"/>
          <w:lang w:val="es-MX" w:eastAsia="en-US"/>
        </w:rPr>
        <w:t>De conformidad con el artículo 116, párrafo tercero de la Ley General, para clasificar la información por secreto fiscal se deberá acreditar que se trata de información tributaria, declaraciones y datos suministrados por los contribuyentes</w:t>
      </w:r>
      <w:r w:rsidRPr="00AE5F6D">
        <w:rPr>
          <w:rFonts w:ascii="Palatino Linotype" w:eastAsiaTheme="minorHAnsi" w:hAnsi="Palatino Linotype" w:cs="Arial"/>
          <w:bCs/>
          <w:i/>
          <w:color w:val="000000" w:themeColor="text1"/>
          <w:sz w:val="22"/>
          <w:szCs w:val="22"/>
          <w:lang w:val="es-MX" w:eastAsia="en-US"/>
        </w:rPr>
        <w:t xml:space="preserve"> </w:t>
      </w:r>
      <w:r w:rsidRPr="00AE5F6D">
        <w:rPr>
          <w:rFonts w:ascii="Palatino Linotype" w:eastAsiaTheme="minorHAnsi" w:hAnsi="Palatino Linotype" w:cs="Arial"/>
          <w:b/>
          <w:i/>
          <w:color w:val="000000" w:themeColor="text1"/>
          <w:sz w:val="22"/>
          <w:szCs w:val="22"/>
          <w:u w:val="single"/>
          <w:lang w:val="es-MX" w:eastAsia="en-US"/>
        </w:rPr>
        <w:t>o por terceros con ellos relacionados, así como los obtenidos en el ejercicio de las facultades de comprobación a cargo del personal de la autoridad fiscal que interviene en los trámites relativos a la aplicación de disposiciones fiscales.</w:t>
      </w:r>
    </w:p>
    <w:p w14:paraId="2EFEA75D" w14:textId="77777777" w:rsidR="00AE5F6D" w:rsidRPr="00AE5F6D" w:rsidRDefault="00AE5F6D" w:rsidP="00AE5F6D">
      <w:pPr>
        <w:spacing w:after="160"/>
        <w:ind w:left="851" w:right="851"/>
        <w:contextualSpacing/>
        <w:jc w:val="both"/>
        <w:rPr>
          <w:rFonts w:ascii="Palatino Linotype" w:eastAsiaTheme="minorHAnsi" w:hAnsi="Palatino Linotype" w:cs="Arial"/>
          <w:bCs/>
          <w:i/>
          <w:color w:val="000000" w:themeColor="text1"/>
          <w:sz w:val="22"/>
          <w:szCs w:val="22"/>
          <w:lang w:val="es-MX" w:eastAsia="en-US"/>
        </w:rPr>
      </w:pPr>
    </w:p>
    <w:p w14:paraId="7A67772B" w14:textId="77777777" w:rsidR="00AE5F6D" w:rsidRPr="00AE5F6D" w:rsidRDefault="00AE5F6D" w:rsidP="00AE5F6D">
      <w:pPr>
        <w:spacing w:after="160"/>
        <w:ind w:left="851" w:right="851"/>
        <w:contextualSpacing/>
        <w:jc w:val="both"/>
        <w:rPr>
          <w:rFonts w:ascii="Palatino Linotype" w:eastAsiaTheme="minorHAnsi" w:hAnsi="Palatino Linotype" w:cs="Arial"/>
          <w:bCs/>
          <w:i/>
          <w:color w:val="000000" w:themeColor="text1"/>
          <w:sz w:val="22"/>
          <w:szCs w:val="22"/>
          <w:lang w:val="es-MX" w:eastAsia="en-US"/>
        </w:rPr>
      </w:pPr>
      <w:r w:rsidRPr="00AE5F6D">
        <w:rPr>
          <w:rFonts w:ascii="Palatino Linotype" w:eastAsiaTheme="minorHAnsi" w:hAnsi="Palatino Linotype" w:cs="Arial"/>
          <w:bCs/>
          <w:i/>
          <w:color w:val="000000" w:themeColor="text1"/>
          <w:sz w:val="22"/>
          <w:szCs w:val="22"/>
          <w:lang w:val="es-MX" w:eastAsia="en-US"/>
        </w:rPr>
        <w:t xml:space="preserve">La Secretaría de Hacienda y Crédito Público, el Servicio de Administración Tributaria y los organismos fiscales autónomos; así como </w:t>
      </w:r>
      <w:r w:rsidRPr="00AE5F6D">
        <w:rPr>
          <w:rFonts w:ascii="Palatino Linotype" w:eastAsiaTheme="minorHAnsi" w:hAnsi="Palatino Linotype" w:cs="Arial"/>
          <w:b/>
          <w:i/>
          <w:color w:val="000000" w:themeColor="text1"/>
          <w:sz w:val="22"/>
          <w:szCs w:val="22"/>
          <w:u w:val="single"/>
          <w:lang w:val="es-MX" w:eastAsia="en-US"/>
        </w:rPr>
        <w:t>las autoridades fiscales estatales y municipales, en el ámbito de su competencia, podrán clasificar la información que obtengan en virtud de los diversos trámites relativos a la aplicación de las disposiciones tributarias, así como del ejercicio de sus facultades de comprobación</w:t>
      </w:r>
      <w:r w:rsidRPr="00AE5F6D">
        <w:rPr>
          <w:rFonts w:ascii="Palatino Linotype" w:eastAsiaTheme="minorHAnsi" w:hAnsi="Palatino Linotype" w:cs="Arial"/>
          <w:bCs/>
          <w:i/>
          <w:color w:val="000000" w:themeColor="text1"/>
          <w:sz w:val="22"/>
          <w:szCs w:val="22"/>
          <w:lang w:val="es-MX" w:eastAsia="en-US"/>
        </w:rPr>
        <w:t>.</w:t>
      </w:r>
    </w:p>
    <w:p w14:paraId="6E53AB66" w14:textId="77777777" w:rsidR="00AE5F6D" w:rsidRPr="00AE5F6D" w:rsidRDefault="00AE5F6D" w:rsidP="00AE5F6D">
      <w:pPr>
        <w:spacing w:after="160"/>
        <w:ind w:left="851" w:right="851"/>
        <w:contextualSpacing/>
        <w:jc w:val="both"/>
        <w:rPr>
          <w:rFonts w:ascii="Palatino Linotype" w:eastAsiaTheme="minorHAnsi" w:hAnsi="Palatino Linotype" w:cs="Arial"/>
          <w:bCs/>
          <w:i/>
          <w:color w:val="000000" w:themeColor="text1"/>
          <w:sz w:val="22"/>
          <w:szCs w:val="22"/>
          <w:lang w:val="es-MX" w:eastAsia="en-US"/>
        </w:rPr>
      </w:pPr>
    </w:p>
    <w:p w14:paraId="74165FBD" w14:textId="23300C42" w:rsidR="00AE5F6D" w:rsidRPr="00AE5F6D" w:rsidRDefault="00AE5F6D" w:rsidP="0076305A">
      <w:pPr>
        <w:spacing w:after="160"/>
        <w:ind w:left="851" w:right="851"/>
        <w:contextualSpacing/>
        <w:jc w:val="both"/>
        <w:rPr>
          <w:rFonts w:ascii="Palatino Linotype" w:eastAsiaTheme="minorHAnsi" w:hAnsi="Palatino Linotype" w:cs="Arial"/>
          <w:bCs/>
          <w:i/>
          <w:color w:val="000000" w:themeColor="text1"/>
          <w:sz w:val="22"/>
          <w:szCs w:val="22"/>
          <w:lang w:val="es-MX" w:eastAsia="en-US"/>
        </w:rPr>
      </w:pPr>
      <w:r w:rsidRPr="00AE5F6D">
        <w:rPr>
          <w:rFonts w:ascii="Palatino Linotype" w:eastAsiaTheme="minorHAnsi" w:hAnsi="Palatino Linotype" w:cs="Arial"/>
          <w:bCs/>
          <w:i/>
          <w:color w:val="000000" w:themeColor="text1"/>
          <w:sz w:val="22"/>
          <w:szCs w:val="22"/>
          <w:lang w:val="es-MX" w:eastAsia="en-US"/>
        </w:rPr>
        <w:t xml:space="preserve">Los sujetos obligados que se constituyan como contribuyentes o como autoridades en materia tributaria no podrán clasificar la información relativa al cumplimiento de sus obligaciones fiscales en ejercicio de recursos públicos como secreto fiscal, sin perjuicio de que dicha información pueda ubicarse en algún otro supuesto </w:t>
      </w:r>
      <w:r w:rsidRPr="00AE5F6D">
        <w:rPr>
          <w:rFonts w:ascii="Palatino Linotype" w:eastAsiaTheme="minorHAnsi" w:hAnsi="Palatino Linotype" w:cs="Arial"/>
          <w:bCs/>
          <w:i/>
          <w:color w:val="000000" w:themeColor="text1"/>
          <w:sz w:val="22"/>
          <w:szCs w:val="22"/>
          <w:lang w:val="es-MX" w:eastAsia="en-US"/>
        </w:rPr>
        <w:lastRenderedPageBreak/>
        <w:t>de clasificación previsto en la Ley General, en la ley federal y en las leyes de las entidades federativas.</w:t>
      </w:r>
    </w:p>
    <w:p w14:paraId="1963B9D8"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highlight w:val="yellow"/>
          <w:lang w:val="es-MX" w:eastAsia="en-US"/>
        </w:rPr>
      </w:pPr>
    </w:p>
    <w:p w14:paraId="21DD4167"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r w:rsidRPr="00AE5F6D">
        <w:rPr>
          <w:rFonts w:ascii="Palatino Linotype" w:eastAsiaTheme="minorHAnsi" w:hAnsi="Palatino Linotype" w:cstheme="minorBidi"/>
          <w:color w:val="000000" w:themeColor="text1"/>
          <w:szCs w:val="22"/>
          <w:lang w:val="es-MX" w:eastAsia="en-US"/>
        </w:rPr>
        <w:t>Del precepto antes referido, podemos advertir que se considera como información confidencial el secreto fiscal, el cual, se deberá acreditar demostrando que se trata de información tributaria, declaraciones y datos suministrados por los contribuyentes, o bien, que fueron obtenidos en el ejercicio de las facultades de comprobación a cargo del personal de la autoridad fiscal que interviene en los trámites relativos a la aplicación de disposiciones fiscales; y que la autoridad responsable de la información tenga el carácter de autoridad fiscal, en virtud de los diversos trámites relativos a la aplicación de las disposiciones tributarias, así como del ejercicio de sus facultades de comprobación.</w:t>
      </w:r>
    </w:p>
    <w:p w14:paraId="4022CD28"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p>
    <w:p w14:paraId="12254EFA" w14:textId="469C2EA9"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r w:rsidRPr="00AE5F6D">
        <w:rPr>
          <w:rFonts w:ascii="Palatino Linotype" w:eastAsiaTheme="minorHAnsi" w:hAnsi="Palatino Linotype" w:cstheme="minorBidi"/>
          <w:color w:val="000000" w:themeColor="text1"/>
          <w:szCs w:val="22"/>
          <w:lang w:val="es-MX" w:eastAsia="en-US"/>
        </w:rPr>
        <w:t xml:space="preserve">Ahora bien, resulta oportuno referir lo establecido en el </w:t>
      </w:r>
      <w:r w:rsidR="00F23C36" w:rsidRPr="00AE5F6D">
        <w:rPr>
          <w:rFonts w:ascii="Palatino Linotype" w:eastAsiaTheme="minorHAnsi" w:hAnsi="Palatino Linotype" w:cstheme="minorBidi"/>
          <w:color w:val="000000" w:themeColor="text1"/>
          <w:szCs w:val="22"/>
          <w:lang w:val="es-MX" w:eastAsia="en-US"/>
        </w:rPr>
        <w:t>artículo</w:t>
      </w:r>
      <w:r w:rsidRPr="00AE5F6D">
        <w:rPr>
          <w:rFonts w:ascii="Palatino Linotype" w:eastAsiaTheme="minorHAnsi" w:hAnsi="Palatino Linotype" w:cstheme="minorBidi"/>
          <w:color w:val="000000" w:themeColor="text1"/>
          <w:szCs w:val="22"/>
          <w:lang w:val="es-MX" w:eastAsia="en-US"/>
        </w:rPr>
        <w:t xml:space="preserve"> 115 de la Constitución Política de los Estados Unidos Mexicanos, que en su parte conducente señala lo siguiente: </w:t>
      </w:r>
    </w:p>
    <w:p w14:paraId="3C537F53" w14:textId="77777777" w:rsidR="00AE5F6D" w:rsidRPr="00AE5F6D" w:rsidRDefault="00AE5F6D" w:rsidP="00AE5F6D">
      <w:pPr>
        <w:spacing w:after="160"/>
        <w:ind w:left="851" w:right="851"/>
        <w:contextualSpacing/>
        <w:jc w:val="both"/>
        <w:rPr>
          <w:rFonts w:ascii="Palatino Linotype" w:eastAsiaTheme="minorHAnsi" w:hAnsi="Palatino Linotype" w:cstheme="minorBidi"/>
          <w:b/>
          <w:bCs/>
          <w:i/>
          <w:iCs/>
          <w:color w:val="000000" w:themeColor="text1"/>
          <w:sz w:val="22"/>
          <w:szCs w:val="22"/>
          <w:lang w:val="es-ES_tradnl" w:eastAsia="en-US"/>
        </w:rPr>
      </w:pPr>
      <w:r w:rsidRPr="00AE5F6D">
        <w:rPr>
          <w:rFonts w:ascii="Palatino Linotype" w:eastAsiaTheme="minorHAnsi" w:hAnsi="Palatino Linotype" w:cstheme="minorBidi"/>
          <w:b/>
          <w:bCs/>
          <w:i/>
          <w:iCs/>
          <w:color w:val="000000" w:themeColor="text1"/>
          <w:sz w:val="22"/>
          <w:szCs w:val="22"/>
          <w:lang w:val="es-ES_tradnl" w:eastAsia="en-US"/>
        </w:rPr>
        <w:t>Artículo 115.</w:t>
      </w:r>
      <w:r w:rsidRPr="00AE5F6D">
        <w:rPr>
          <w:rFonts w:ascii="Palatino Linotype" w:eastAsiaTheme="minorHAnsi" w:hAnsi="Palatino Linotype" w:cstheme="minorBidi"/>
          <w:i/>
          <w:iCs/>
          <w:color w:val="000000" w:themeColor="text1"/>
          <w:sz w:val="22"/>
          <w:szCs w:val="22"/>
          <w:lang w:val="es-ES_tradnl" w:eastAsia="en-US"/>
        </w:rPr>
        <w:t> Los estados adoptarán, para su régimen interior, la forma de gobierno republicano, representativo,</w:t>
      </w:r>
      <w:r w:rsidRPr="00AE5F6D">
        <w:rPr>
          <w:rFonts w:ascii="Palatino Linotype" w:eastAsiaTheme="minorHAnsi" w:hAnsi="Palatino Linotype" w:cstheme="minorBidi"/>
          <w:b/>
          <w:bCs/>
          <w:i/>
          <w:iCs/>
          <w:color w:val="000000" w:themeColor="text1"/>
          <w:sz w:val="22"/>
          <w:szCs w:val="22"/>
          <w:lang w:val="es-ES_tradnl" w:eastAsia="en-US"/>
        </w:rPr>
        <w:t> </w:t>
      </w:r>
      <w:r w:rsidRPr="00AE5F6D">
        <w:rPr>
          <w:rFonts w:ascii="Palatino Linotype" w:eastAsiaTheme="minorHAnsi" w:hAnsi="Palatino Linotype" w:cstheme="minorBidi"/>
          <w:i/>
          <w:iCs/>
          <w:color w:val="000000" w:themeColor="text1"/>
          <w:sz w:val="22"/>
          <w:szCs w:val="22"/>
          <w:lang w:val="es-ES_tradnl" w:eastAsia="en-US"/>
        </w:rPr>
        <w:t xml:space="preserve">democrático, laico y popular, teniendo como base de su división territorial y de su organización política y administrativa, </w:t>
      </w:r>
      <w:r w:rsidRPr="00AE5F6D">
        <w:rPr>
          <w:rFonts w:ascii="Palatino Linotype" w:eastAsiaTheme="minorHAnsi" w:hAnsi="Palatino Linotype" w:cstheme="minorBidi"/>
          <w:b/>
          <w:bCs/>
          <w:i/>
          <w:iCs/>
          <w:color w:val="000000" w:themeColor="text1"/>
          <w:sz w:val="22"/>
          <w:szCs w:val="22"/>
          <w:lang w:val="es-ES_tradnl" w:eastAsia="en-US"/>
        </w:rPr>
        <w:t>el municipio libre, conforme a las bases siguientes:</w:t>
      </w:r>
    </w:p>
    <w:p w14:paraId="6A4856F6"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b/>
          <w:bCs/>
          <w:i/>
          <w:iCs/>
          <w:color w:val="000000" w:themeColor="text1"/>
          <w:sz w:val="22"/>
          <w:szCs w:val="22"/>
          <w:lang w:val="es-ES_tradnl" w:eastAsia="en-US"/>
        </w:rPr>
        <w:t>(…</w:t>
      </w:r>
      <w:r w:rsidRPr="00AE5F6D">
        <w:rPr>
          <w:rFonts w:ascii="Palatino Linotype" w:eastAsiaTheme="minorHAnsi" w:hAnsi="Palatino Linotype" w:cstheme="minorBidi"/>
          <w:i/>
          <w:iCs/>
          <w:color w:val="000000" w:themeColor="text1"/>
          <w:sz w:val="22"/>
          <w:szCs w:val="22"/>
          <w:lang w:val="es-MX" w:eastAsia="en-US"/>
        </w:rPr>
        <w:t>)</w:t>
      </w:r>
    </w:p>
    <w:p w14:paraId="743D03F7"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b/>
          <w:bCs/>
          <w:i/>
          <w:iCs/>
          <w:color w:val="000000" w:themeColor="text1"/>
          <w:sz w:val="22"/>
          <w:szCs w:val="22"/>
          <w:lang w:val="es-MX" w:eastAsia="en-US"/>
        </w:rPr>
        <w:t>V.     </w:t>
      </w:r>
      <w:r w:rsidRPr="00AE5F6D">
        <w:rPr>
          <w:rFonts w:ascii="Palatino Linotype" w:eastAsiaTheme="minorHAnsi" w:hAnsi="Palatino Linotype" w:cstheme="minorBidi"/>
          <w:i/>
          <w:iCs/>
          <w:color w:val="000000" w:themeColor="text1"/>
          <w:sz w:val="22"/>
          <w:szCs w:val="22"/>
          <w:lang w:val="es-MX" w:eastAsia="en-US"/>
        </w:rPr>
        <w:t>Los municipios administrarán libremente su hacienda, la cual se formará de los rendimientos de los bienes que les pertenezcan, así como de las contribuciones y otros ingresos que las legislaturas establezcan a su favor, y en todo caso:</w:t>
      </w:r>
    </w:p>
    <w:p w14:paraId="63CE0A72"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i/>
          <w:iCs/>
          <w:color w:val="000000" w:themeColor="text1"/>
          <w:sz w:val="22"/>
          <w:szCs w:val="22"/>
          <w:lang w:val="es-MX" w:eastAsia="en-US"/>
        </w:rPr>
        <w:t> </w:t>
      </w:r>
    </w:p>
    <w:p w14:paraId="7273B105" w14:textId="77777777" w:rsidR="00AE5F6D" w:rsidRPr="00AE5F6D" w:rsidRDefault="00AE5F6D" w:rsidP="00AE5F6D">
      <w:pPr>
        <w:spacing w:after="160"/>
        <w:ind w:left="1418"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b/>
          <w:bCs/>
          <w:i/>
          <w:iCs/>
          <w:color w:val="000000" w:themeColor="text1"/>
          <w:sz w:val="22"/>
          <w:szCs w:val="22"/>
          <w:lang w:val="es-MX" w:eastAsia="en-US"/>
        </w:rPr>
        <w:t>a)      Percibirán las contribuciones, incluyendo tasas adicionales, que establezcan los Estados sobre la propiedad inmobiliaria, de su fraccionamiento, división, consolidación, traslación y mejora así como las que tengan por base el cambio de valor de los inmuebles</w:t>
      </w:r>
      <w:r w:rsidRPr="00AE5F6D">
        <w:rPr>
          <w:rFonts w:ascii="Palatino Linotype" w:eastAsiaTheme="minorHAnsi" w:hAnsi="Palatino Linotype" w:cstheme="minorBidi"/>
          <w:i/>
          <w:iCs/>
          <w:color w:val="000000" w:themeColor="text1"/>
          <w:sz w:val="22"/>
          <w:szCs w:val="22"/>
          <w:lang w:val="es-MX" w:eastAsia="en-US"/>
        </w:rPr>
        <w:t>.</w:t>
      </w:r>
    </w:p>
    <w:p w14:paraId="5B5B0573"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i/>
          <w:iCs/>
          <w:color w:val="000000" w:themeColor="text1"/>
          <w:sz w:val="22"/>
          <w:szCs w:val="22"/>
          <w:lang w:val="es-MX" w:eastAsia="en-US"/>
        </w:rPr>
        <w:t> </w:t>
      </w:r>
    </w:p>
    <w:p w14:paraId="4DECF7B3" w14:textId="77777777" w:rsidR="00AE5F6D" w:rsidRPr="00AE5F6D" w:rsidRDefault="00AE5F6D" w:rsidP="00AE5F6D">
      <w:pPr>
        <w:spacing w:after="160"/>
        <w:ind w:left="1418"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i/>
          <w:iCs/>
          <w:color w:val="000000" w:themeColor="text1"/>
          <w:sz w:val="22"/>
          <w:szCs w:val="22"/>
          <w:lang w:val="es-MX" w:eastAsia="en-US"/>
        </w:rPr>
        <w:lastRenderedPageBreak/>
        <w:t>Los municipios podrán celebrar convenios con el Estado para que éste se haga cargo de algunas de las funciones relacionadas con la administración de esas contribuciones.</w:t>
      </w:r>
    </w:p>
    <w:p w14:paraId="16E76F96"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i/>
          <w:iCs/>
          <w:color w:val="000000" w:themeColor="text1"/>
          <w:sz w:val="22"/>
          <w:szCs w:val="22"/>
          <w:lang w:val="es-MX" w:eastAsia="en-US"/>
        </w:rPr>
        <w:t> </w:t>
      </w:r>
    </w:p>
    <w:p w14:paraId="47B09400" w14:textId="77777777" w:rsidR="00AE5F6D" w:rsidRPr="00AE5F6D" w:rsidRDefault="00AE5F6D" w:rsidP="00AE5F6D">
      <w:pPr>
        <w:spacing w:after="160"/>
        <w:ind w:left="1418"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b/>
          <w:bCs/>
          <w:i/>
          <w:iCs/>
          <w:color w:val="000000" w:themeColor="text1"/>
          <w:sz w:val="22"/>
          <w:szCs w:val="22"/>
          <w:lang w:val="es-MX" w:eastAsia="en-US"/>
        </w:rPr>
        <w:t>b)      </w:t>
      </w:r>
      <w:r w:rsidRPr="00AE5F6D">
        <w:rPr>
          <w:rFonts w:ascii="Palatino Linotype" w:eastAsiaTheme="minorHAnsi" w:hAnsi="Palatino Linotype" w:cstheme="minorBidi"/>
          <w:i/>
          <w:iCs/>
          <w:color w:val="000000" w:themeColor="text1"/>
          <w:sz w:val="22"/>
          <w:szCs w:val="22"/>
          <w:lang w:val="es-MX" w:eastAsia="en-US"/>
        </w:rPr>
        <w:t>Las participaciones federales, que serán cubiertas por la Federación a los Municipios con arreglo a las bases, montos y plazos que anualmente se determinen por las Legislaturas de los Estados.</w:t>
      </w:r>
    </w:p>
    <w:p w14:paraId="5C2A9AEA"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i/>
          <w:iCs/>
          <w:color w:val="000000" w:themeColor="text1"/>
          <w:sz w:val="22"/>
          <w:szCs w:val="22"/>
          <w:lang w:val="es-MX" w:eastAsia="en-US"/>
        </w:rPr>
        <w:t> </w:t>
      </w:r>
    </w:p>
    <w:p w14:paraId="6985F7D2" w14:textId="77777777" w:rsidR="00AE5F6D" w:rsidRPr="00AE5F6D" w:rsidRDefault="00AE5F6D" w:rsidP="00AE5F6D">
      <w:pPr>
        <w:spacing w:after="160"/>
        <w:ind w:left="851" w:right="851" w:firstLine="567"/>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b/>
          <w:bCs/>
          <w:i/>
          <w:iCs/>
          <w:color w:val="000000" w:themeColor="text1"/>
          <w:sz w:val="22"/>
          <w:szCs w:val="22"/>
          <w:lang w:val="es-MX" w:eastAsia="en-US"/>
        </w:rPr>
        <w:t>c)      </w:t>
      </w:r>
      <w:r w:rsidRPr="00AE5F6D">
        <w:rPr>
          <w:rFonts w:ascii="Palatino Linotype" w:eastAsiaTheme="minorHAnsi" w:hAnsi="Palatino Linotype" w:cstheme="minorBidi"/>
          <w:i/>
          <w:iCs/>
          <w:color w:val="000000" w:themeColor="text1"/>
          <w:sz w:val="22"/>
          <w:szCs w:val="22"/>
          <w:lang w:val="es-MX" w:eastAsia="en-US"/>
        </w:rPr>
        <w:t>Los ingresos derivados de la prestación de servicios públicos a su cargo.</w:t>
      </w:r>
    </w:p>
    <w:p w14:paraId="538113F2"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i/>
          <w:iCs/>
          <w:color w:val="000000" w:themeColor="text1"/>
          <w:sz w:val="22"/>
          <w:szCs w:val="22"/>
          <w:lang w:val="es-MX" w:eastAsia="en-US"/>
        </w:rPr>
        <w:tab/>
      </w:r>
    </w:p>
    <w:p w14:paraId="19E710E5"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p>
    <w:p w14:paraId="507FDCD5"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r w:rsidRPr="00AE5F6D">
        <w:rPr>
          <w:rFonts w:ascii="Palatino Linotype" w:eastAsiaTheme="minorHAnsi" w:hAnsi="Palatino Linotype" w:cstheme="minorBidi"/>
          <w:color w:val="000000" w:themeColor="text1"/>
          <w:szCs w:val="22"/>
          <w:lang w:val="es-MX" w:eastAsia="en-US"/>
        </w:rPr>
        <w:t xml:space="preserve">Del precepto anteriormente citado, se desprende que los estados adoptarán, para su régimen interior, la forma de gobierno republicano, representativo, democrático, laico y popular, teniendo como base de su división territorial y de su organización política y administrativa, </w:t>
      </w:r>
      <w:r w:rsidRPr="00AE5F6D">
        <w:rPr>
          <w:rFonts w:ascii="Palatino Linotype" w:eastAsiaTheme="minorHAnsi" w:hAnsi="Palatino Linotype" w:cstheme="minorBidi"/>
          <w:b/>
          <w:bCs/>
          <w:color w:val="000000" w:themeColor="text1"/>
          <w:szCs w:val="22"/>
          <w:lang w:val="es-MX" w:eastAsia="en-US"/>
        </w:rPr>
        <w:t xml:space="preserve">el municipio libre, </w:t>
      </w:r>
      <w:r w:rsidRPr="00AE5F6D">
        <w:rPr>
          <w:rFonts w:ascii="Palatino Linotype" w:eastAsiaTheme="minorHAnsi" w:hAnsi="Palatino Linotype" w:cstheme="minorBidi"/>
          <w:color w:val="000000" w:themeColor="text1"/>
          <w:szCs w:val="22"/>
          <w:lang w:val="es-MX" w:eastAsia="en-US"/>
        </w:rPr>
        <w:t xml:space="preserve">asimismo dispone que </w:t>
      </w:r>
      <w:r w:rsidRPr="00AE5F6D">
        <w:rPr>
          <w:rFonts w:ascii="Palatino Linotype" w:eastAsiaTheme="minorHAnsi" w:hAnsi="Palatino Linotype" w:cstheme="minorBidi"/>
          <w:b/>
          <w:bCs/>
          <w:color w:val="000000" w:themeColor="text1"/>
          <w:szCs w:val="22"/>
          <w:lang w:val="es-MX" w:eastAsia="en-US"/>
        </w:rPr>
        <w:t>los municipios administrarán libremente su hacienda</w:t>
      </w:r>
      <w:r w:rsidRPr="00AE5F6D">
        <w:rPr>
          <w:rFonts w:ascii="Palatino Linotype" w:eastAsiaTheme="minorHAnsi" w:hAnsi="Palatino Linotype" w:cstheme="minorBidi"/>
          <w:color w:val="000000" w:themeColor="text1"/>
          <w:szCs w:val="22"/>
          <w:lang w:val="es-MX" w:eastAsia="en-US"/>
        </w:rPr>
        <w:t xml:space="preserve">, </w:t>
      </w:r>
      <w:r w:rsidRPr="00AE5F6D">
        <w:rPr>
          <w:rFonts w:ascii="Palatino Linotype" w:eastAsiaTheme="minorHAnsi" w:hAnsi="Palatino Linotype" w:cstheme="minorBidi"/>
          <w:b/>
          <w:bCs/>
          <w:color w:val="000000" w:themeColor="text1"/>
          <w:szCs w:val="22"/>
          <w:lang w:val="es-MX" w:eastAsia="en-US"/>
        </w:rPr>
        <w:t>la cual se formará de los rendimientos de los bienes que les pertenezcan, así como de las contribuciones y otros ingresos que las legislaturas establezcan a su favor</w:t>
      </w:r>
      <w:r w:rsidRPr="00AE5F6D">
        <w:rPr>
          <w:rFonts w:ascii="Palatino Linotype" w:eastAsiaTheme="minorHAnsi" w:hAnsi="Palatino Linotype" w:cstheme="minorBidi"/>
          <w:color w:val="000000" w:themeColor="text1"/>
          <w:szCs w:val="22"/>
          <w:lang w:val="es-MX" w:eastAsia="en-US"/>
        </w:rPr>
        <w:t xml:space="preserve">, y en todo caso, entre otras cuestiones, percibirán las contribuciones, incluyendo tasas adicionales, que establezcan los Estados </w:t>
      </w:r>
      <w:r w:rsidRPr="00AE5F6D">
        <w:rPr>
          <w:rFonts w:ascii="Palatino Linotype" w:eastAsiaTheme="minorHAnsi" w:hAnsi="Palatino Linotype" w:cstheme="minorBidi"/>
          <w:b/>
          <w:bCs/>
          <w:color w:val="000000" w:themeColor="text1"/>
          <w:szCs w:val="22"/>
          <w:lang w:val="es-MX" w:eastAsia="en-US"/>
        </w:rPr>
        <w:t>sobre la propiedad inmobiliaria</w:t>
      </w:r>
      <w:r w:rsidRPr="00AE5F6D">
        <w:rPr>
          <w:rFonts w:ascii="Palatino Linotype" w:eastAsiaTheme="minorHAnsi" w:hAnsi="Palatino Linotype" w:cstheme="minorBidi"/>
          <w:color w:val="000000" w:themeColor="text1"/>
          <w:szCs w:val="22"/>
          <w:lang w:val="es-MX" w:eastAsia="en-US"/>
        </w:rPr>
        <w:t>, de su fraccionamiento, división, consolidación, traslación y mejora así como las que tengan por base el cambio de valor de los inmuebles.</w:t>
      </w:r>
    </w:p>
    <w:p w14:paraId="5447C7B2"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p>
    <w:p w14:paraId="60C4DC37"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r w:rsidRPr="00AE5F6D">
        <w:rPr>
          <w:rFonts w:ascii="Palatino Linotype" w:eastAsiaTheme="minorHAnsi" w:hAnsi="Palatino Linotype" w:cstheme="minorBidi"/>
          <w:color w:val="000000" w:themeColor="text1"/>
          <w:szCs w:val="22"/>
          <w:lang w:val="es-MX" w:eastAsia="en-US"/>
        </w:rPr>
        <w:t xml:space="preserve">Por su parte, el Código Financiero del Estado de México dispone en el artículo 9, fracción II, que las contribuciones se clasifican en impuestos, derechos, contribuciones o aportaciones de mejoras, y aportaciones y cuotas de seguridad social y define a los Derechos como: las contraprestaciones establecidas en este Código, que deben pagar las personas físicas y jurídicas colectivas, por el uso o aprovechamiento de los bienes </w:t>
      </w:r>
      <w:r w:rsidRPr="00AE5F6D">
        <w:rPr>
          <w:rFonts w:ascii="Palatino Linotype" w:eastAsiaTheme="minorHAnsi" w:hAnsi="Palatino Linotype" w:cstheme="minorBidi"/>
          <w:color w:val="000000" w:themeColor="text1"/>
          <w:szCs w:val="22"/>
          <w:lang w:val="es-MX" w:eastAsia="en-US"/>
        </w:rPr>
        <w:lastRenderedPageBreak/>
        <w:t>del dominio público de la Entidad, así como por recibir servicios que presten el Estado, sus organismos y Municipios en funciones de derecho público.</w:t>
      </w:r>
    </w:p>
    <w:p w14:paraId="7B41210A"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p>
    <w:p w14:paraId="0C9D6E87"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r w:rsidRPr="00AE5F6D">
        <w:rPr>
          <w:rFonts w:ascii="Palatino Linotype" w:eastAsiaTheme="minorHAnsi" w:hAnsi="Palatino Linotype" w:cstheme="minorBidi"/>
          <w:color w:val="000000" w:themeColor="text1"/>
          <w:szCs w:val="22"/>
          <w:lang w:val="es-MX" w:eastAsia="en-US"/>
        </w:rPr>
        <w:t xml:space="preserve">En el mismo sentido, en el artículo 16 del Código referido, se establece que son autoridades fiscales, el Gobernador, </w:t>
      </w:r>
      <w:r w:rsidRPr="00AE5F6D">
        <w:rPr>
          <w:rFonts w:ascii="Palatino Linotype" w:eastAsiaTheme="minorHAnsi" w:hAnsi="Palatino Linotype" w:cstheme="minorBidi"/>
          <w:b/>
          <w:bCs/>
          <w:color w:val="000000" w:themeColor="text1"/>
          <w:szCs w:val="22"/>
          <w:lang w:val="es-MX" w:eastAsia="en-US"/>
        </w:rPr>
        <w:t>los ayuntamientos</w:t>
      </w:r>
      <w:r w:rsidRPr="00AE5F6D">
        <w:rPr>
          <w:rFonts w:ascii="Palatino Linotype" w:eastAsiaTheme="minorHAnsi" w:hAnsi="Palatino Linotype" w:cstheme="minorBidi"/>
          <w:color w:val="000000" w:themeColor="text1"/>
          <w:szCs w:val="22"/>
          <w:lang w:val="es-MX" w:eastAsia="en-US"/>
        </w:rPr>
        <w:t>,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p>
    <w:p w14:paraId="0EA5E81E"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p>
    <w:p w14:paraId="0DC68DC9"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r w:rsidRPr="00AE5F6D">
        <w:rPr>
          <w:rFonts w:ascii="Palatino Linotype" w:eastAsiaTheme="minorHAnsi" w:hAnsi="Palatino Linotype" w:cstheme="minorBidi"/>
          <w:color w:val="000000" w:themeColor="text1"/>
          <w:szCs w:val="22"/>
          <w:lang w:val="es-MX" w:eastAsia="en-US"/>
        </w:rPr>
        <w:t xml:space="preserve">Continuando con el análisis de la Ley en comento, encontramos en los artículos 55, 107 y 108 que, los servidores públicos que intervengan en trámites relativos a la aplicación de este Código, </w:t>
      </w:r>
      <w:r w:rsidRPr="00AE5F6D">
        <w:rPr>
          <w:rFonts w:ascii="Palatino Linotype" w:eastAsiaTheme="minorHAnsi" w:hAnsi="Palatino Linotype" w:cstheme="minorBidi"/>
          <w:color w:val="000000" w:themeColor="text1"/>
          <w:szCs w:val="22"/>
          <w:u w:val="single"/>
          <w:lang w:val="es-MX" w:eastAsia="en-US"/>
        </w:rPr>
        <w:t>están obligados a guardar en absoluta reserva o confidencialidad, según sea el caso</w:t>
      </w:r>
      <w:r w:rsidRPr="00AE5F6D">
        <w:rPr>
          <w:rFonts w:ascii="Palatino Linotype" w:eastAsiaTheme="minorHAnsi" w:hAnsi="Palatino Linotype" w:cstheme="minorBidi"/>
          <w:color w:val="000000" w:themeColor="text1"/>
          <w:szCs w:val="22"/>
          <w:lang w:val="es-MX" w:eastAsia="en-US"/>
        </w:rPr>
        <w:t xml:space="preserve">, lo concerniente a las declaraciones y datos que proporcionen los particulares o terceros relacionados con ellos, así como los obtenidos en el ejercicio de las facultades de comprobación, en ese orden de ideas, </w:t>
      </w:r>
      <w:r w:rsidRPr="00AE5F6D">
        <w:rPr>
          <w:rFonts w:asciiTheme="minorHAnsi" w:eastAsiaTheme="minorHAnsi" w:hAnsiTheme="minorHAnsi" w:cstheme="minorBidi"/>
          <w:sz w:val="22"/>
          <w:szCs w:val="22"/>
          <w:lang w:val="es-MX" w:eastAsia="en-US"/>
        </w:rPr>
        <w:t xml:space="preserve"> </w:t>
      </w:r>
      <w:r w:rsidRPr="00AE5F6D">
        <w:rPr>
          <w:rFonts w:ascii="Palatino Linotype" w:eastAsiaTheme="minorHAnsi" w:hAnsi="Palatino Linotype" w:cstheme="minorBidi"/>
          <w:color w:val="000000" w:themeColor="text1"/>
          <w:szCs w:val="22"/>
          <w:lang w:val="es-MX" w:eastAsia="en-US"/>
        </w:rPr>
        <w:t xml:space="preserve">refiere que </w:t>
      </w:r>
      <w:r w:rsidRPr="00AE5F6D">
        <w:rPr>
          <w:rFonts w:ascii="Palatino Linotype" w:eastAsiaTheme="minorHAnsi" w:hAnsi="Palatino Linotype" w:cstheme="minorBidi"/>
          <w:b/>
          <w:bCs/>
          <w:color w:val="000000" w:themeColor="text1"/>
          <w:szCs w:val="22"/>
          <w:lang w:val="es-MX" w:eastAsia="en-US"/>
        </w:rPr>
        <w:t xml:space="preserve">el Impuesto Predial es aquel al que están obligadas las personas físicas y jurídicas colectivas que sean propietarias o poseedoras, según se trate, de inmuebles en el Estado de México, </w:t>
      </w:r>
      <w:r w:rsidRPr="00AE5F6D">
        <w:rPr>
          <w:rFonts w:ascii="Palatino Linotype" w:eastAsiaTheme="minorHAnsi" w:hAnsi="Palatino Linotype" w:cstheme="minorBidi"/>
          <w:color w:val="000000" w:themeColor="text1"/>
          <w:szCs w:val="22"/>
          <w:lang w:val="es-MX" w:eastAsia="en-US"/>
        </w:rPr>
        <w:t xml:space="preserve">y la base del impuesto predial será el valor catastral declarado por los propietarios o poseedores de inmuebles, mediante manifestación que presenten ante la Tesorería Municipal de la jurisdicción que le corresponda y que esté determinado conforme a las tablas de valores unitarios de suelo y construcciones publicadas en el periódico oficial, como se puede apreciar a continuación: </w:t>
      </w:r>
    </w:p>
    <w:p w14:paraId="153A050E"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p>
    <w:p w14:paraId="6DE0A3EE"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b/>
          <w:bCs/>
          <w:i/>
          <w:iCs/>
          <w:color w:val="000000" w:themeColor="text1"/>
          <w:sz w:val="22"/>
          <w:szCs w:val="22"/>
          <w:lang w:val="es-MX" w:eastAsia="en-US"/>
        </w:rPr>
        <w:lastRenderedPageBreak/>
        <w:t>Artículo 9</w:t>
      </w:r>
      <w:r w:rsidRPr="00AE5F6D">
        <w:rPr>
          <w:rFonts w:ascii="Palatino Linotype" w:eastAsiaTheme="minorHAnsi" w:hAnsi="Palatino Linotype" w:cstheme="minorBidi"/>
          <w:i/>
          <w:iCs/>
          <w:color w:val="000000" w:themeColor="text1"/>
          <w:sz w:val="22"/>
          <w:szCs w:val="22"/>
          <w:lang w:val="es-MX" w:eastAsia="en-US"/>
        </w:rPr>
        <w:t xml:space="preserve">.- Las contribuciones se clasifican en impuestos, derechos, contribuciones o aportaciones de mejoras, y aportaciones y cuotas de seguridad social, las que se definen de la manera siguiente: </w:t>
      </w:r>
    </w:p>
    <w:p w14:paraId="5DFDC3FD"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p>
    <w:p w14:paraId="6B54BBB7"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i/>
          <w:iCs/>
          <w:color w:val="000000" w:themeColor="text1"/>
          <w:sz w:val="22"/>
          <w:szCs w:val="22"/>
          <w:lang w:val="es-MX" w:eastAsia="en-US"/>
        </w:rPr>
        <w:t xml:space="preserve">I. Impuestos. Son los establecidos en este Código que deben pagar las personas físicas y jurídicas colectivas, que se encuentren en la situación jurídica o de hecho prevista por el mismo, y que sean distintas a las señaladas en las fracciones II y III de este artículo. </w:t>
      </w:r>
    </w:p>
    <w:p w14:paraId="2CB25085"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i/>
          <w:iCs/>
          <w:color w:val="000000" w:themeColor="text1"/>
          <w:sz w:val="22"/>
          <w:szCs w:val="22"/>
          <w:lang w:val="es-MX" w:eastAsia="en-US"/>
        </w:rPr>
        <w:t>II. Derechos. Son 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w:t>
      </w:r>
    </w:p>
    <w:p w14:paraId="4FC7CDAA"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i/>
          <w:iCs/>
          <w:color w:val="000000" w:themeColor="text1"/>
          <w:sz w:val="22"/>
          <w:szCs w:val="22"/>
          <w:lang w:val="es-MX" w:eastAsia="en-US"/>
        </w:rPr>
        <w:t>(…)</w:t>
      </w:r>
    </w:p>
    <w:p w14:paraId="3F29DA4F"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p>
    <w:p w14:paraId="43A8E396"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b/>
          <w:bCs/>
          <w:i/>
          <w:iCs/>
          <w:color w:val="000000" w:themeColor="text1"/>
          <w:sz w:val="22"/>
          <w:szCs w:val="22"/>
          <w:lang w:val="es-MX" w:eastAsia="en-US"/>
        </w:rPr>
        <w:t>Artículo 16</w:t>
      </w:r>
      <w:r w:rsidRPr="00AE5F6D">
        <w:rPr>
          <w:rFonts w:ascii="Palatino Linotype" w:eastAsiaTheme="minorHAnsi" w:hAnsi="Palatino Linotype" w:cstheme="minorBidi"/>
          <w:i/>
          <w:iCs/>
          <w:color w:val="000000" w:themeColor="text1"/>
          <w:sz w:val="22"/>
          <w:szCs w:val="22"/>
          <w:lang w:val="es-MX" w:eastAsia="en-US"/>
        </w:rPr>
        <w:t>.- Son autoridades fiscales, el Gobernador, los ayuntamientos,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p>
    <w:p w14:paraId="412FD7FF"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p>
    <w:p w14:paraId="637E17B1"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b/>
          <w:bCs/>
          <w:i/>
          <w:iCs/>
          <w:color w:val="000000" w:themeColor="text1"/>
          <w:sz w:val="22"/>
          <w:szCs w:val="22"/>
          <w:lang w:val="es-MX" w:eastAsia="en-US"/>
        </w:rPr>
        <w:t>Artículo 55</w:t>
      </w:r>
      <w:r w:rsidRPr="00AE5F6D">
        <w:rPr>
          <w:rFonts w:ascii="Palatino Linotype" w:eastAsiaTheme="minorHAnsi" w:hAnsi="Palatino Linotype" w:cstheme="minorBidi"/>
          <w:i/>
          <w:iCs/>
          <w:color w:val="000000" w:themeColor="text1"/>
          <w:sz w:val="22"/>
          <w:szCs w:val="22"/>
          <w:lang w:val="es-MX" w:eastAsia="en-US"/>
        </w:rPr>
        <w:t>.- Los servidores públicos que intervengan en trámites relativos a la aplicación de este Código, están obligados a guardar en absoluta reserva o confidencialidad, según sea el caso, lo concerniente a las declaraciones y datos que proporcionen los particulares o terceros relacionados con ellos, así como los obtenidos en el ejercicio de las facultades de comprobación.</w:t>
      </w:r>
    </w:p>
    <w:p w14:paraId="775FDB22"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b/>
          <w:bCs/>
          <w:i/>
          <w:iCs/>
          <w:color w:val="000000" w:themeColor="text1"/>
          <w:sz w:val="22"/>
          <w:szCs w:val="22"/>
          <w:lang w:val="es-MX" w:eastAsia="en-US"/>
        </w:rPr>
        <w:t>(</w:t>
      </w:r>
      <w:r w:rsidRPr="00AE5F6D">
        <w:rPr>
          <w:rFonts w:ascii="Palatino Linotype" w:eastAsiaTheme="minorHAnsi" w:hAnsi="Palatino Linotype" w:cstheme="minorBidi"/>
          <w:i/>
          <w:iCs/>
          <w:color w:val="000000" w:themeColor="text1"/>
          <w:sz w:val="22"/>
          <w:szCs w:val="22"/>
          <w:lang w:val="es-MX" w:eastAsia="en-US"/>
        </w:rPr>
        <w:t>…)</w:t>
      </w:r>
    </w:p>
    <w:p w14:paraId="33668E87"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p>
    <w:p w14:paraId="0076AF88"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b/>
          <w:bCs/>
          <w:i/>
          <w:iCs/>
          <w:color w:val="000000" w:themeColor="text1"/>
          <w:sz w:val="22"/>
          <w:szCs w:val="22"/>
          <w:lang w:val="es-MX" w:eastAsia="en-US"/>
        </w:rPr>
        <w:t>Artículo 107.</w:t>
      </w:r>
      <w:r w:rsidRPr="00AE5F6D">
        <w:rPr>
          <w:rFonts w:ascii="Palatino Linotype" w:eastAsiaTheme="minorHAnsi" w:hAnsi="Palatino Linotype" w:cstheme="minorBidi"/>
          <w:i/>
          <w:iCs/>
          <w:color w:val="000000" w:themeColor="text1"/>
          <w:sz w:val="22"/>
          <w:szCs w:val="22"/>
          <w:lang w:val="es-MX" w:eastAsia="en-US"/>
        </w:rPr>
        <w:t xml:space="preserve">- Están obligadas al pago del Impuesto Predial las personas físicas y jurídicas colectivas que sean propietarias o poseedoras, según se trate, de inmuebles en el Estado. </w:t>
      </w:r>
    </w:p>
    <w:p w14:paraId="6438A9C1"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p>
    <w:p w14:paraId="6CD5378A"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i/>
          <w:iCs/>
          <w:color w:val="000000" w:themeColor="text1"/>
          <w:sz w:val="22"/>
          <w:szCs w:val="22"/>
          <w:lang w:val="es-MX" w:eastAsia="en-US"/>
        </w:rPr>
        <w:t xml:space="preserve">Los propietarios y poseedores a que se refiere el párrafo anterior, deberán calcular anualmente el impuesto predial a su cargo y manifestarlo, en el mismo formato utilizado para determinar y declarar el valor catastral de sus inmuebles. </w:t>
      </w:r>
    </w:p>
    <w:p w14:paraId="4AC09A0D"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p>
    <w:p w14:paraId="59E2B45F" w14:textId="77777777" w:rsidR="00AE5F6D" w:rsidRPr="00AE5F6D" w:rsidRDefault="00AE5F6D" w:rsidP="00AE5F6D">
      <w:pPr>
        <w:spacing w:after="160"/>
        <w:ind w:left="851" w:right="851"/>
        <w:contextualSpacing/>
        <w:jc w:val="both"/>
        <w:rPr>
          <w:rFonts w:ascii="Palatino Linotype" w:eastAsiaTheme="minorHAnsi" w:hAnsi="Palatino Linotype" w:cstheme="minorBidi"/>
          <w:i/>
          <w:iCs/>
          <w:color w:val="000000" w:themeColor="text1"/>
          <w:sz w:val="22"/>
          <w:szCs w:val="22"/>
          <w:lang w:val="es-MX" w:eastAsia="en-US"/>
        </w:rPr>
      </w:pPr>
      <w:r w:rsidRPr="00AE5F6D">
        <w:rPr>
          <w:rFonts w:ascii="Palatino Linotype" w:eastAsiaTheme="minorHAnsi" w:hAnsi="Palatino Linotype" w:cstheme="minorBidi"/>
          <w:b/>
          <w:bCs/>
          <w:i/>
          <w:iCs/>
          <w:color w:val="000000" w:themeColor="text1"/>
          <w:sz w:val="22"/>
          <w:szCs w:val="22"/>
          <w:lang w:val="es-MX" w:eastAsia="en-US"/>
        </w:rPr>
        <w:lastRenderedPageBreak/>
        <w:t>Artículo 108</w:t>
      </w:r>
      <w:r w:rsidRPr="00AE5F6D">
        <w:rPr>
          <w:rFonts w:ascii="Palatino Linotype" w:eastAsiaTheme="minorHAnsi" w:hAnsi="Palatino Linotype" w:cstheme="minorBidi"/>
          <w:i/>
          <w:iCs/>
          <w:color w:val="000000" w:themeColor="text1"/>
          <w:sz w:val="22"/>
          <w:szCs w:val="22"/>
          <w:lang w:val="es-MX" w:eastAsia="en-US"/>
        </w:rPr>
        <w:t>.- La base del impuesto predial será el valor catastral declarado por los propietarios o poseedores de inmuebles, mediante manifestación que presenten ante la Tesorería Municipal de la jurisdicción que le corresponda y que esté determinado conforme a las tablas de valores unitarios de suelo y construcciones publicadas en el periódico oficial.</w:t>
      </w:r>
    </w:p>
    <w:p w14:paraId="692E7D92"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p>
    <w:p w14:paraId="37943ACF"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p>
    <w:p w14:paraId="4CA0D8D6" w14:textId="396595E9"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r w:rsidRPr="00AE5F6D">
        <w:rPr>
          <w:rFonts w:ascii="Palatino Linotype" w:eastAsiaTheme="minorHAnsi" w:hAnsi="Palatino Linotype" w:cstheme="minorBidi"/>
          <w:color w:val="000000" w:themeColor="text1"/>
          <w:szCs w:val="22"/>
          <w:lang w:val="es-MX" w:eastAsia="en-US"/>
        </w:rPr>
        <w:t xml:space="preserve">En ese orden de ideas, la información solicitada por </w:t>
      </w:r>
      <w:r w:rsidR="00F23C36">
        <w:rPr>
          <w:rFonts w:ascii="Palatino Linotype" w:eastAsiaTheme="minorHAnsi" w:hAnsi="Palatino Linotype" w:cstheme="minorBidi"/>
          <w:color w:val="000000" w:themeColor="text1"/>
          <w:szCs w:val="22"/>
          <w:lang w:val="es-MX" w:eastAsia="en-US"/>
        </w:rPr>
        <w:t>el</w:t>
      </w:r>
      <w:r w:rsidRPr="00AE5F6D">
        <w:rPr>
          <w:rFonts w:ascii="Palatino Linotype" w:eastAsiaTheme="minorHAnsi" w:hAnsi="Palatino Linotype" w:cstheme="minorBidi"/>
          <w:color w:val="000000" w:themeColor="text1"/>
          <w:szCs w:val="22"/>
          <w:lang w:val="es-MX" w:eastAsia="en-US"/>
        </w:rPr>
        <w:t xml:space="preserve"> hoy </w:t>
      </w:r>
      <w:r w:rsidRPr="00AE5F6D">
        <w:rPr>
          <w:rFonts w:ascii="Palatino Linotype" w:eastAsiaTheme="minorHAnsi" w:hAnsi="Palatino Linotype" w:cstheme="minorBidi"/>
          <w:b/>
          <w:color w:val="000000" w:themeColor="text1"/>
          <w:szCs w:val="22"/>
          <w:lang w:val="es-MX" w:eastAsia="en-US"/>
        </w:rPr>
        <w:t xml:space="preserve">Recurrente, </w:t>
      </w:r>
      <w:r w:rsidRPr="00AE5F6D">
        <w:rPr>
          <w:rFonts w:ascii="Palatino Linotype" w:eastAsiaTheme="minorHAnsi" w:hAnsi="Palatino Linotype" w:cstheme="minorBidi"/>
          <w:color w:val="000000" w:themeColor="text1"/>
          <w:szCs w:val="22"/>
          <w:lang w:val="es-MX" w:eastAsia="en-US"/>
        </w:rPr>
        <w:t>referente a el recibo de pago de impuesto predial,</w:t>
      </w:r>
      <w:r w:rsidRPr="00AE5F6D">
        <w:rPr>
          <w:rFonts w:asciiTheme="minorHAnsi" w:eastAsiaTheme="minorHAnsi" w:hAnsiTheme="minorHAnsi" w:cstheme="minorBidi"/>
          <w:sz w:val="22"/>
          <w:szCs w:val="22"/>
          <w:lang w:val="es-MX" w:eastAsia="en-US"/>
        </w:rPr>
        <w:t xml:space="preserve"> </w:t>
      </w:r>
      <w:r w:rsidRPr="00AE5F6D">
        <w:rPr>
          <w:rFonts w:ascii="Palatino Linotype" w:eastAsiaTheme="minorHAnsi" w:hAnsi="Palatino Linotype" w:cstheme="minorBidi"/>
          <w:color w:val="000000" w:themeColor="text1"/>
          <w:szCs w:val="22"/>
          <w:lang w:val="es-MX" w:eastAsia="en-US"/>
        </w:rPr>
        <w:t xml:space="preserve">al comprobarse que dichos recibos son información tributaria y que el </w:t>
      </w:r>
      <w:r w:rsidR="00F23C36" w:rsidRPr="00F23C36">
        <w:rPr>
          <w:rFonts w:ascii="Palatino Linotype" w:eastAsiaTheme="minorHAnsi" w:hAnsi="Palatino Linotype" w:cstheme="minorBidi"/>
          <w:color w:val="000000" w:themeColor="text1"/>
          <w:szCs w:val="22"/>
          <w:lang w:val="es-MX" w:eastAsia="en-US"/>
        </w:rPr>
        <w:t>Ayuntamiento de Nezahualcóyotl</w:t>
      </w:r>
      <w:r w:rsidRPr="00AE5F6D">
        <w:rPr>
          <w:rFonts w:ascii="Palatino Linotype" w:eastAsiaTheme="minorHAnsi" w:hAnsi="Palatino Linotype" w:cstheme="minorBidi"/>
          <w:color w:val="000000" w:themeColor="text1"/>
          <w:szCs w:val="22"/>
          <w:lang w:val="es-MX" w:eastAsia="en-US"/>
        </w:rPr>
        <w:t xml:space="preserve"> es una autoridad fiscal, resulta procedente la clasificación como confidencial, ello, con fundamento en el artículo 143, fracción II, de la Ley de Transparencia y Acceso a la Información Pública del Estado de México y Municipios, bajo el supuesto de secreto fiscal</w:t>
      </w:r>
      <w:r w:rsidRPr="00AE5F6D">
        <w:rPr>
          <w:rFonts w:ascii="Palatino Linotype" w:eastAsiaTheme="minorHAnsi" w:hAnsi="Palatino Linotype" w:cstheme="minorBidi"/>
          <w:b/>
          <w:color w:val="000000" w:themeColor="text1"/>
          <w:szCs w:val="22"/>
          <w:lang w:val="es-MX" w:eastAsia="en-US"/>
        </w:rPr>
        <w:t xml:space="preserve"> </w:t>
      </w:r>
      <w:r w:rsidRPr="00AE5F6D">
        <w:rPr>
          <w:rFonts w:ascii="Palatino Linotype" w:eastAsiaTheme="minorHAnsi" w:hAnsi="Palatino Linotype" w:cstheme="minorBidi"/>
          <w:color w:val="000000" w:themeColor="text1"/>
          <w:szCs w:val="22"/>
          <w:lang w:val="es-MX" w:eastAsia="en-US"/>
        </w:rPr>
        <w:t xml:space="preserve">se trata de información privada, cuyo conocimiento, se reitera, no es tendiente a alcanzar los objetos de la Ley de materia, en el sentido que no guarda relación con la transparencia y rendición de cuentas respecto de las atribuciones, funciones y competencias de los servidores públicos adscritos a los sujetos obligados, sino que, se relaciona en la esfera más íntima de sus titulares, por ello, se colige que la información solicitada, indudablemente obra en los archivos del </w:t>
      </w:r>
      <w:r w:rsidRPr="00AE5F6D">
        <w:rPr>
          <w:rFonts w:ascii="Palatino Linotype" w:eastAsiaTheme="minorHAnsi" w:hAnsi="Palatino Linotype" w:cstheme="minorBidi"/>
          <w:b/>
          <w:color w:val="000000" w:themeColor="text1"/>
          <w:szCs w:val="22"/>
          <w:lang w:val="es-MX" w:eastAsia="en-US"/>
        </w:rPr>
        <w:t>Sujeto Obligado</w:t>
      </w:r>
      <w:r w:rsidRPr="00AE5F6D">
        <w:rPr>
          <w:rFonts w:ascii="Palatino Linotype" w:eastAsiaTheme="minorHAnsi" w:hAnsi="Palatino Linotype" w:cstheme="minorBidi"/>
          <w:color w:val="000000" w:themeColor="text1"/>
          <w:szCs w:val="22"/>
          <w:lang w:val="es-MX" w:eastAsia="en-US"/>
        </w:rPr>
        <w:t>;</w:t>
      </w:r>
      <w:r w:rsidRPr="00AE5F6D">
        <w:rPr>
          <w:rFonts w:ascii="Palatino Linotype" w:eastAsiaTheme="minorHAnsi" w:hAnsi="Palatino Linotype" w:cstheme="minorBidi"/>
          <w:b/>
          <w:color w:val="000000" w:themeColor="text1"/>
          <w:szCs w:val="22"/>
          <w:lang w:val="es-MX" w:eastAsia="en-US"/>
        </w:rPr>
        <w:t xml:space="preserve"> </w:t>
      </w:r>
      <w:r w:rsidRPr="00AE5F6D">
        <w:rPr>
          <w:rFonts w:ascii="Palatino Linotype" w:eastAsiaTheme="minorHAnsi" w:hAnsi="Palatino Linotype" w:cstheme="minorBidi"/>
          <w:color w:val="000000" w:themeColor="text1"/>
          <w:szCs w:val="22"/>
          <w:lang w:val="es-MX" w:eastAsia="en-US"/>
        </w:rPr>
        <w:t>sin embargo, no es dable ordenar dichos datos, de tal suerte que la entrega de ellos viola el derecho de protección a datos que deberán observar los sujetos obligados y que es garantizado por éste Instituto.</w:t>
      </w:r>
    </w:p>
    <w:p w14:paraId="51AB6813" w14:textId="77777777" w:rsidR="00AE5F6D" w:rsidRPr="00AE5F6D" w:rsidRDefault="00AE5F6D" w:rsidP="00AE5F6D">
      <w:pPr>
        <w:spacing w:after="160" w:line="360" w:lineRule="auto"/>
        <w:contextualSpacing/>
        <w:jc w:val="both"/>
        <w:rPr>
          <w:rFonts w:ascii="Palatino Linotype" w:eastAsiaTheme="minorHAnsi" w:hAnsi="Palatino Linotype" w:cstheme="minorBidi"/>
          <w:color w:val="000000" w:themeColor="text1"/>
          <w:szCs w:val="22"/>
          <w:lang w:val="es-MX" w:eastAsia="en-US"/>
        </w:rPr>
      </w:pPr>
    </w:p>
    <w:p w14:paraId="37C4950B" w14:textId="4DC7928C" w:rsidR="00AE5F6D" w:rsidRPr="00AE5F6D" w:rsidRDefault="00F23C36" w:rsidP="00AE5F6D">
      <w:pPr>
        <w:spacing w:line="360" w:lineRule="auto"/>
        <w:jc w:val="both"/>
        <w:rPr>
          <w:rFonts w:ascii="Palatino Linotype" w:eastAsia="Calibri" w:hAnsi="Palatino Linotype"/>
          <w:lang w:val="es-MX" w:eastAsia="en-US"/>
        </w:rPr>
      </w:pPr>
      <w:r>
        <w:rPr>
          <w:rFonts w:ascii="Palatino Linotype" w:eastAsiaTheme="minorHAnsi" w:hAnsi="Palatino Linotype" w:cstheme="minorBidi"/>
          <w:noProof/>
          <w:color w:val="000000" w:themeColor="text1"/>
          <w:szCs w:val="22"/>
          <w:lang w:val="es-MX" w:eastAsia="es-MX"/>
        </w:rPr>
        <mc:AlternateContent>
          <mc:Choice Requires="wps">
            <w:drawing>
              <wp:anchor distT="0" distB="0" distL="114300" distR="114300" simplePos="0" relativeHeight="251659264" behindDoc="0" locked="0" layoutInCell="1" allowOverlap="1" wp14:anchorId="7C4DD2DB" wp14:editId="511C3788">
                <wp:simplePos x="0" y="0"/>
                <wp:positionH relativeFrom="column">
                  <wp:posOffset>-22860</wp:posOffset>
                </wp:positionH>
                <wp:positionV relativeFrom="paragraph">
                  <wp:posOffset>2713354</wp:posOffset>
                </wp:positionV>
                <wp:extent cx="5619750" cy="2295525"/>
                <wp:effectExtent l="0" t="0" r="76200" b="66675"/>
                <wp:wrapNone/>
                <wp:docPr id="10" name="Conector recto de flecha 10"/>
                <wp:cNvGraphicFramePr/>
                <a:graphic xmlns:a="http://schemas.openxmlformats.org/drawingml/2006/main">
                  <a:graphicData uri="http://schemas.microsoft.com/office/word/2010/wordprocessingShape">
                    <wps:wsp>
                      <wps:cNvCnPr/>
                      <wps:spPr>
                        <a:xfrm>
                          <a:off x="0" y="0"/>
                          <a:ext cx="5619750" cy="2295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132BDDB" id="_x0000_t32" coordsize="21600,21600" o:spt="32" o:oned="t" path="m,l21600,21600e" filled="f">
                <v:path arrowok="t" fillok="f" o:connecttype="none"/>
                <o:lock v:ext="edit" shapetype="t"/>
              </v:shapetype>
              <v:shape id="Conector recto de flecha 10" o:spid="_x0000_s1026" type="#_x0000_t32" style="position:absolute;margin-left:-1.8pt;margin-top:213.65pt;width:442.5pt;height:180.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" strokecolor="#5b9bd5 [3204]" strokeweight=".5pt">
                <v:stroke endarrow="block" joinstyle="miter"/>
              </v:shape>
            </w:pict>
          </mc:Fallback>
        </mc:AlternateContent>
      </w:r>
      <w:r w:rsidR="00AE5F6D" w:rsidRPr="00AE5F6D">
        <w:rPr>
          <w:rFonts w:ascii="Palatino Linotype" w:eastAsiaTheme="minorHAnsi" w:hAnsi="Palatino Linotype" w:cstheme="minorBidi"/>
          <w:color w:val="000000" w:themeColor="text1"/>
          <w:szCs w:val="22"/>
          <w:lang w:val="es-MX" w:eastAsia="en-US"/>
        </w:rPr>
        <w:t xml:space="preserve">Aunado a lo anteriormente expuesto, no pasa desapercibido para este Órgano Resolutor, que </w:t>
      </w:r>
      <w:r w:rsidR="00AE5F6D" w:rsidRPr="00AE5F6D">
        <w:rPr>
          <w:rFonts w:ascii="Palatino Linotype" w:eastAsia="Calibri" w:hAnsi="Palatino Linotype"/>
          <w:lang w:val="es-MX" w:eastAsia="en-US"/>
        </w:rPr>
        <w:t xml:space="preserve">la Suprema Corte de Justicia de la Nación, mediante comunicado de prensa No. 041/2019 de fecha 25 de abril de 2019, determinó que las oficinas catastrales </w:t>
      </w:r>
      <w:r w:rsidR="00AE5F6D" w:rsidRPr="00AE5F6D">
        <w:rPr>
          <w:rFonts w:ascii="Palatino Linotype" w:eastAsia="Calibri" w:hAnsi="Palatino Linotype"/>
          <w:lang w:val="es-MX" w:eastAsia="en-US"/>
        </w:rPr>
        <w:lastRenderedPageBreak/>
        <w:t>municipales no son fuentes de información de acceso público, por lo que para el tratamiento de datos que contienen es necesario recabar el consentimiento del titular, ya que la información que esas oficinas poseen no es consultable públicamente, sino que solo puede hacerlo el propietario de bien inmueble de que se trate o, en su caso, la persona que acredite interés jurídico, como se puede advertir a continuación:</w:t>
      </w:r>
    </w:p>
    <w:p w14:paraId="0B968F4E" w14:textId="77777777" w:rsidR="00AE5F6D" w:rsidRPr="00AE5F6D" w:rsidRDefault="00AE5F6D" w:rsidP="00AE5F6D">
      <w:pPr>
        <w:spacing w:line="360" w:lineRule="auto"/>
        <w:jc w:val="center"/>
        <w:rPr>
          <w:rFonts w:ascii="Palatino Linotype" w:eastAsia="Calibri" w:hAnsi="Palatino Linotype"/>
          <w:lang w:val="es-MX" w:eastAsia="en-US"/>
        </w:rPr>
      </w:pPr>
      <w:r w:rsidRPr="00AE5F6D">
        <w:rPr>
          <w:rFonts w:ascii="Palatino Linotype" w:eastAsia="Calibri" w:hAnsi="Palatino Linotype"/>
          <w:noProof/>
          <w:lang w:val="es-MX" w:eastAsia="es-MX"/>
        </w:rPr>
        <w:drawing>
          <wp:inline distT="0" distB="0" distL="0" distR="0" wp14:anchorId="52664055" wp14:editId="37BEDB11">
            <wp:extent cx="6098052" cy="465151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6459" cy="4665553"/>
                    </a:xfrm>
                    <a:prstGeom prst="rect">
                      <a:avLst/>
                    </a:prstGeom>
                  </pic:spPr>
                </pic:pic>
              </a:graphicData>
            </a:graphic>
          </wp:inline>
        </w:drawing>
      </w:r>
    </w:p>
    <w:p w14:paraId="2A0461AE" w14:textId="77777777" w:rsidR="00AE5F6D" w:rsidRPr="00AE5F6D" w:rsidRDefault="00AE5F6D" w:rsidP="00AE5F6D">
      <w:pPr>
        <w:autoSpaceDE w:val="0"/>
        <w:autoSpaceDN w:val="0"/>
        <w:adjustRightInd w:val="0"/>
        <w:spacing w:line="360" w:lineRule="auto"/>
        <w:jc w:val="both"/>
        <w:rPr>
          <w:rFonts w:ascii="Palatino Linotype" w:hAnsi="Palatino Linotype"/>
        </w:rPr>
      </w:pPr>
    </w:p>
    <w:p w14:paraId="0524087C" w14:textId="6FC37FBF" w:rsidR="00AE5F6D" w:rsidRPr="00AE5F6D" w:rsidRDefault="00AE5F6D" w:rsidP="00AE5F6D">
      <w:pPr>
        <w:autoSpaceDE w:val="0"/>
        <w:autoSpaceDN w:val="0"/>
        <w:adjustRightInd w:val="0"/>
        <w:spacing w:after="240" w:line="360" w:lineRule="auto"/>
        <w:jc w:val="both"/>
        <w:rPr>
          <w:rFonts w:ascii="Palatino Linotype" w:hAnsi="Palatino Linotype" w:cs="Arial"/>
          <w:lang w:eastAsia="es-MX"/>
        </w:rPr>
      </w:pPr>
      <w:r w:rsidRPr="00AE5F6D">
        <w:rPr>
          <w:rFonts w:ascii="Palatino Linotype" w:hAnsi="Palatino Linotype" w:cs="Arial"/>
          <w:lang w:eastAsia="es-MX"/>
        </w:rPr>
        <w:t xml:space="preserve">Por todo lo anterior, es dable ordenar al </w:t>
      </w:r>
      <w:r w:rsidRPr="00AE5F6D">
        <w:rPr>
          <w:rFonts w:ascii="Palatino Linotype" w:hAnsi="Palatino Linotype" w:cs="Arial"/>
          <w:b/>
          <w:lang w:eastAsia="es-MX"/>
        </w:rPr>
        <w:t>Sujeto obligado</w:t>
      </w:r>
      <w:r w:rsidRPr="00AE5F6D">
        <w:rPr>
          <w:rFonts w:ascii="Palatino Linotype" w:hAnsi="Palatino Linotype" w:cs="Arial"/>
          <w:lang w:eastAsia="es-MX"/>
        </w:rPr>
        <w:t>, haga entrega a</w:t>
      </w:r>
      <w:r w:rsidR="00F23C36">
        <w:rPr>
          <w:rFonts w:ascii="Palatino Linotype" w:hAnsi="Palatino Linotype" w:cs="Arial"/>
          <w:lang w:eastAsia="es-MX"/>
        </w:rPr>
        <w:t>l</w:t>
      </w:r>
      <w:r w:rsidRPr="00AE5F6D">
        <w:rPr>
          <w:rFonts w:ascii="Palatino Linotype" w:hAnsi="Palatino Linotype" w:cs="Arial"/>
          <w:b/>
          <w:lang w:eastAsia="es-MX"/>
        </w:rPr>
        <w:t xml:space="preserve"> Recurrente </w:t>
      </w:r>
      <w:r w:rsidRPr="00AE5F6D">
        <w:rPr>
          <w:rFonts w:ascii="Palatino Linotype" w:hAnsi="Palatino Linotype" w:cs="Arial"/>
          <w:lang w:eastAsia="es-MX"/>
        </w:rPr>
        <w:t xml:space="preserve">del Acuerdo de Clasificación de Información como Confidencial del recibo de pago de </w:t>
      </w:r>
      <w:r w:rsidRPr="00AE5F6D">
        <w:rPr>
          <w:rFonts w:ascii="Palatino Linotype" w:hAnsi="Palatino Linotype" w:cs="Arial"/>
          <w:lang w:eastAsia="es-MX"/>
        </w:rPr>
        <w:lastRenderedPageBreak/>
        <w:t xml:space="preserve">impuesto predial, del predio referido en la solicitud de información número </w:t>
      </w:r>
      <w:r w:rsidR="00F23C36" w:rsidRPr="00F23C36">
        <w:rPr>
          <w:rFonts w:ascii="Palatino Linotype" w:hAnsi="Palatino Linotype" w:cs="Arial"/>
          <w:lang w:eastAsia="es-MX"/>
        </w:rPr>
        <w:t>00003/NEZA/IP/2022</w:t>
      </w:r>
      <w:r w:rsidRPr="00AE5F6D">
        <w:rPr>
          <w:rFonts w:ascii="Palatino Linotype" w:hAnsi="Palatino Linotype" w:cs="Arial"/>
          <w:lang w:eastAsia="es-MX"/>
        </w:rPr>
        <w:t>.</w:t>
      </w:r>
    </w:p>
    <w:p w14:paraId="70FABB6F" w14:textId="77777777" w:rsidR="00AE5F6D" w:rsidRDefault="00AE5F6D" w:rsidP="00EA6CEA">
      <w:pPr>
        <w:spacing w:line="360" w:lineRule="auto"/>
        <w:ind w:right="51"/>
        <w:jc w:val="both"/>
        <w:rPr>
          <w:rFonts w:ascii="Palatino Linotype" w:hAnsi="Palatino Linotype"/>
        </w:rPr>
      </w:pPr>
    </w:p>
    <w:p w14:paraId="52305E52" w14:textId="249F5086" w:rsidR="00AE5F6D" w:rsidRDefault="00AE5F6D" w:rsidP="00EA6CEA">
      <w:pPr>
        <w:spacing w:line="360" w:lineRule="auto"/>
        <w:ind w:right="51"/>
        <w:jc w:val="both"/>
        <w:rPr>
          <w:rFonts w:ascii="Palatino Linotype" w:hAnsi="Palatino Linotype"/>
        </w:rPr>
      </w:pPr>
    </w:p>
    <w:p w14:paraId="0EE0EB44" w14:textId="77777777" w:rsidR="00AE5F6D" w:rsidRDefault="00AE5F6D" w:rsidP="00EA6CEA">
      <w:pPr>
        <w:spacing w:line="360" w:lineRule="auto"/>
        <w:ind w:right="51"/>
        <w:jc w:val="both"/>
        <w:rPr>
          <w:rFonts w:ascii="Palatino Linotype" w:hAnsi="Palatino Linotype" w:cs="Arial"/>
        </w:rPr>
      </w:pPr>
    </w:p>
    <w:p w14:paraId="0CE6F4F3" w14:textId="77777777" w:rsidR="00C156B4" w:rsidRPr="00ED660D" w:rsidRDefault="00C156B4" w:rsidP="00C156B4">
      <w:pPr>
        <w:spacing w:line="360" w:lineRule="auto"/>
        <w:rPr>
          <w:rFonts w:ascii="Palatino Linotype" w:hAnsi="Palatino Linotype"/>
          <w:lang w:val="es-MX"/>
        </w:rPr>
      </w:pPr>
    </w:p>
    <w:p w14:paraId="0593AE88" w14:textId="5AA1E5B2" w:rsidR="00ED660D" w:rsidRPr="00ED660D" w:rsidRDefault="00ED660D" w:rsidP="00ED660D">
      <w:pPr>
        <w:spacing w:line="360" w:lineRule="auto"/>
        <w:jc w:val="both"/>
        <w:rPr>
          <w:rFonts w:ascii="Palatino Linotype" w:hAnsi="Palatino Linotype"/>
          <w:lang w:val="es-MX"/>
        </w:rPr>
      </w:pPr>
      <w:r w:rsidRPr="00ED660D">
        <w:rPr>
          <w:rFonts w:ascii="Palatino Linotype" w:hAnsi="Palatino Linotype"/>
          <w:lang w:val="es-MX"/>
        </w:rPr>
        <w:t>De tal forma que este Instituto estima que el Sujeto Obligado incumplió lo establecido en la Ley de la Materia, por lo cual es procedente modificar la respuesta a la solicitud del particular y ordenar</w:t>
      </w:r>
      <w:r w:rsidR="00F23C36">
        <w:rPr>
          <w:rFonts w:ascii="Palatino Linotype" w:hAnsi="Palatino Linotype"/>
          <w:lang w:val="es-MX"/>
        </w:rPr>
        <w:t xml:space="preserve"> en su caso,</w:t>
      </w:r>
      <w:r w:rsidRPr="00ED660D">
        <w:rPr>
          <w:rFonts w:ascii="Palatino Linotype" w:hAnsi="Palatino Linotype"/>
          <w:lang w:val="es-MX"/>
        </w:rPr>
        <w:t xml:space="preserve"> la entrega de la información requerida.</w:t>
      </w:r>
    </w:p>
    <w:p w14:paraId="15885533" w14:textId="0D9B40EC" w:rsidR="00C94B65" w:rsidRPr="00C94B65" w:rsidRDefault="00C94B65" w:rsidP="00ED660D">
      <w:pPr>
        <w:pStyle w:val="Default"/>
        <w:spacing w:line="360" w:lineRule="auto"/>
        <w:ind w:right="51"/>
        <w:jc w:val="both"/>
        <w:rPr>
          <w:rFonts w:ascii="Palatino Linotype" w:hAnsi="Palatino Linotype"/>
          <w:szCs w:val="22"/>
        </w:rPr>
      </w:pPr>
    </w:p>
    <w:p w14:paraId="2A3932DC" w14:textId="24490ED1" w:rsidR="00C94B65" w:rsidRDefault="00C94B65" w:rsidP="00C94B65">
      <w:pPr>
        <w:spacing w:line="360" w:lineRule="auto"/>
        <w:jc w:val="both"/>
        <w:rPr>
          <w:rFonts w:ascii="Palatino Linotype" w:eastAsia="Calibri" w:hAnsi="Palatino Linotype" w:cs="Tahoma"/>
          <w:bCs/>
          <w:lang w:val="es-MX" w:eastAsia="en-US"/>
        </w:rPr>
      </w:pPr>
      <w:r w:rsidRPr="00C94B65">
        <w:rPr>
          <w:rFonts w:ascii="Palatino Linotype" w:eastAsiaTheme="minorHAnsi" w:hAnsi="Palatino Linotype" w:cs="Arial"/>
          <w:lang w:val="es-MX" w:eastAsia="en-US"/>
        </w:rPr>
        <w:t>Por otro lado, debe destacarse que debido a la naturaleza de la información solicitada,</w:t>
      </w:r>
      <w:r w:rsidRPr="00C94B65">
        <w:rPr>
          <w:rFonts w:ascii="Palatino Linotype" w:eastAsiaTheme="minorHAnsi" w:hAnsi="Palatino Linotype" w:cs="Arial"/>
          <w:szCs w:val="22"/>
          <w:lang w:val="es-MX" w:eastAsia="en-US"/>
        </w:rPr>
        <w:t xml:space="preserve"> </w:t>
      </w:r>
      <w:r w:rsidRPr="00C94B65">
        <w:rPr>
          <w:rFonts w:ascii="Palatino Linotype" w:eastAsiaTheme="minorHAnsi" w:hAnsi="Palatino Linotype" w:cs="Arial"/>
          <w:lang w:val="es-MX" w:eastAsia="en-US"/>
        </w:rPr>
        <w:t>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por las consideraciones que se estimen pertinentes</w:t>
      </w:r>
      <w:r w:rsidRPr="00C94B65">
        <w:rPr>
          <w:rFonts w:ascii="Palatino Linotype" w:eastAsia="Calibri" w:hAnsi="Palatino Linotype" w:cs="Tahoma"/>
          <w:bCs/>
          <w:lang w:val="es-MX" w:eastAsia="en-US"/>
        </w:rPr>
        <w:t>, de conformidad con lo siguiente:</w:t>
      </w:r>
    </w:p>
    <w:p w14:paraId="21CA3E9F" w14:textId="66D1134E" w:rsidR="00F23C36" w:rsidRDefault="00F23C36" w:rsidP="00C94B65">
      <w:pPr>
        <w:spacing w:line="360" w:lineRule="auto"/>
        <w:jc w:val="both"/>
        <w:rPr>
          <w:rFonts w:ascii="Palatino Linotype" w:eastAsia="Calibri" w:hAnsi="Palatino Linotype" w:cs="Tahoma"/>
          <w:bCs/>
          <w:lang w:val="es-MX" w:eastAsia="en-US"/>
        </w:rPr>
      </w:pPr>
    </w:p>
    <w:p w14:paraId="5C887BE9" w14:textId="1EFC0DD8" w:rsidR="00F23C36" w:rsidRPr="00EB231C" w:rsidRDefault="00F23C36" w:rsidP="00F23C36">
      <w:pPr>
        <w:pStyle w:val="Prrafodelista"/>
        <w:numPr>
          <w:ilvl w:val="0"/>
          <w:numId w:val="26"/>
        </w:numPr>
        <w:spacing w:before="240" w:after="240" w:line="360" w:lineRule="auto"/>
        <w:ind w:left="709" w:right="49"/>
        <w:contextualSpacing/>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8" w:name="_Toc485631704"/>
      <w:bookmarkStart w:id="9" w:name="_Toc496643629"/>
      <w:bookmarkStart w:id="10" w:name="_Toc514868040"/>
      <w:r w:rsidRPr="00746F2A">
        <w:rPr>
          <w:rFonts w:ascii="Palatino Linotype" w:hAnsi="Palatino Linotype"/>
          <w:b/>
          <w:i/>
        </w:rPr>
        <w:t xml:space="preserve"> FORMALIDADES PARA EMITIR EL ACUERDO DE CLASIFICACIÓN.</w:t>
      </w:r>
      <w:bookmarkEnd w:id="8"/>
      <w:bookmarkEnd w:id="9"/>
      <w:bookmarkEnd w:id="10"/>
    </w:p>
    <w:p w14:paraId="46ABD9C8" w14:textId="77777777" w:rsidR="00EB231C" w:rsidRPr="00746F2A" w:rsidRDefault="00EB231C" w:rsidP="00EB231C">
      <w:pPr>
        <w:pStyle w:val="Prrafodelista"/>
        <w:spacing w:before="240" w:after="240" w:line="360" w:lineRule="auto"/>
        <w:ind w:left="709" w:right="49"/>
        <w:contextualSpacing/>
        <w:jc w:val="both"/>
        <w:rPr>
          <w:rFonts w:ascii="Palatino Linotype" w:hAnsi="Palatino Linotype"/>
          <w:b/>
          <w:color w:val="000000" w:themeColor="text1"/>
          <w:u w:val="single"/>
        </w:rPr>
      </w:pPr>
    </w:p>
    <w:p w14:paraId="7B06865D" w14:textId="77777777" w:rsidR="00F23C36" w:rsidRPr="00360527" w:rsidRDefault="00F23C36" w:rsidP="00F23C36">
      <w:pPr>
        <w:pStyle w:val="Prrafodelista"/>
        <w:tabs>
          <w:tab w:val="left" w:pos="7770"/>
        </w:tabs>
        <w:spacing w:line="360" w:lineRule="auto"/>
        <w:ind w:left="0"/>
        <w:jc w:val="both"/>
        <w:rPr>
          <w:rFonts w:ascii="Palatino Linotype" w:hAnsi="Palatino Linotype" w:cs="Arial"/>
          <w:color w:val="000000" w:themeColor="text1"/>
          <w:sz w:val="2"/>
        </w:rPr>
      </w:pPr>
    </w:p>
    <w:p w14:paraId="445D8D21" w14:textId="77777777" w:rsidR="00F23C36" w:rsidRPr="00746F2A" w:rsidRDefault="00F23C36" w:rsidP="00F23C36">
      <w:pPr>
        <w:spacing w:line="360" w:lineRule="auto"/>
        <w:contextualSpacing/>
        <w:jc w:val="both"/>
        <w:rPr>
          <w:rFonts w:ascii="Palatino Linotype" w:hAnsi="Palatino Linotype" w:cs="Arial"/>
          <w:color w:val="000000" w:themeColor="text1"/>
        </w:rPr>
      </w:pPr>
      <w:r w:rsidRPr="00746F2A">
        <w:rPr>
          <w:rFonts w:ascii="Palatino Linotype" w:hAnsi="Palatino Linotype" w:cs="Arial"/>
          <w:color w:val="000000" w:themeColor="text1"/>
        </w:rPr>
        <w:t xml:space="preserve">Los </w:t>
      </w:r>
      <w:r w:rsidRPr="00746F2A">
        <w:rPr>
          <w:rFonts w:ascii="Palatino Linotype" w:hAnsi="Palatino Linotype"/>
          <w:color w:val="000000" w:themeColor="text1"/>
        </w:rPr>
        <w:t>artículos</w:t>
      </w:r>
      <w:r w:rsidRPr="00746F2A">
        <w:rPr>
          <w:rFonts w:ascii="Palatino Linotype" w:hAnsi="Palatino Linotype" w:cs="Arial"/>
          <w:color w:val="000000" w:themeColor="text1"/>
        </w:rPr>
        <w:t xml:space="preserve"> 122 y 100 de la </w:t>
      </w:r>
      <w:r w:rsidRPr="00746F2A">
        <w:rPr>
          <w:rFonts w:ascii="Palatino Linotype" w:hAnsi="Palatino Linotype" w:cs="Arial"/>
          <w:b/>
          <w:color w:val="000000" w:themeColor="text1"/>
        </w:rPr>
        <w:t>Ley de Transparencia y Acceso a la Información Pública del Estado de México y Municipios</w:t>
      </w:r>
      <w:r w:rsidRPr="00746F2A">
        <w:rPr>
          <w:rFonts w:ascii="Palatino Linotype" w:hAnsi="Palatino Linotype" w:cs="Arial"/>
          <w:color w:val="000000" w:themeColor="text1"/>
        </w:rPr>
        <w:t xml:space="preserve"> y de la </w:t>
      </w:r>
      <w:r w:rsidRPr="00746F2A">
        <w:rPr>
          <w:rFonts w:ascii="Palatino Linotype" w:hAnsi="Palatino Linotype"/>
          <w:b/>
          <w:color w:val="000000" w:themeColor="text1"/>
        </w:rPr>
        <w:t xml:space="preserve">Ley General de Transparencia y Acceso </w:t>
      </w:r>
      <w:r w:rsidRPr="00746F2A">
        <w:rPr>
          <w:rFonts w:ascii="Palatino Linotype" w:hAnsi="Palatino Linotype"/>
          <w:b/>
          <w:color w:val="000000" w:themeColor="text1"/>
        </w:rPr>
        <w:lastRenderedPageBreak/>
        <w:t>a la Información Pública</w:t>
      </w:r>
      <w:r w:rsidRPr="00746F2A">
        <w:rPr>
          <w:rFonts w:ascii="Palatino Linotype" w:hAnsi="Palatino Linotype" w:cs="Arial"/>
          <w:color w:val="000000" w:themeColor="text1"/>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53FC01D4" w14:textId="77777777" w:rsidR="00F23C36" w:rsidRDefault="00F23C36" w:rsidP="00F23C36">
      <w:pPr>
        <w:spacing w:line="360" w:lineRule="auto"/>
        <w:contextualSpacing/>
        <w:jc w:val="both"/>
        <w:rPr>
          <w:rFonts w:ascii="Palatino Linotype" w:hAnsi="Palatino Linotype" w:cs="Arial"/>
          <w:color w:val="000000" w:themeColor="text1"/>
        </w:rPr>
      </w:pPr>
    </w:p>
    <w:p w14:paraId="05DF0FDD" w14:textId="77777777" w:rsidR="00F23C36" w:rsidRDefault="00F23C36" w:rsidP="00F23C36">
      <w:pPr>
        <w:spacing w:line="360" w:lineRule="auto"/>
        <w:contextualSpacing/>
        <w:jc w:val="both"/>
        <w:rPr>
          <w:rFonts w:ascii="Palatino Linotype" w:hAnsi="Palatino Linotype" w:cs="Arial"/>
          <w:color w:val="000000" w:themeColor="text1"/>
        </w:rPr>
      </w:pPr>
      <w:r w:rsidRPr="00746F2A">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9704FB3" w14:textId="77777777" w:rsidR="00F23C36" w:rsidRPr="00746F2A" w:rsidRDefault="00F23C36" w:rsidP="00F23C36">
      <w:pPr>
        <w:spacing w:line="360" w:lineRule="auto"/>
        <w:contextualSpacing/>
        <w:jc w:val="both"/>
        <w:rPr>
          <w:rFonts w:ascii="Palatino Linotype" w:hAnsi="Palatino Linotype" w:cs="Arial"/>
          <w:color w:val="000000" w:themeColor="text1"/>
        </w:rPr>
      </w:pPr>
    </w:p>
    <w:p w14:paraId="44AE6BA1" w14:textId="77777777" w:rsidR="00F23C36" w:rsidRDefault="00F23C36" w:rsidP="00F23C36">
      <w:pPr>
        <w:spacing w:line="360" w:lineRule="auto"/>
        <w:contextualSpacing/>
        <w:jc w:val="both"/>
        <w:rPr>
          <w:rFonts w:ascii="Palatino Linotype" w:hAnsi="Palatino Linotype" w:cs="Arial"/>
          <w:color w:val="000000" w:themeColor="text1"/>
        </w:rPr>
      </w:pPr>
      <w:r w:rsidRPr="00746F2A">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263E503" w14:textId="77777777" w:rsidR="00F23C36" w:rsidRDefault="00F23C36" w:rsidP="00F23C36">
      <w:pPr>
        <w:spacing w:line="360" w:lineRule="auto"/>
        <w:contextualSpacing/>
        <w:jc w:val="both"/>
        <w:rPr>
          <w:rFonts w:ascii="Palatino Linotype" w:hAnsi="Palatino Linotype" w:cs="Arial"/>
          <w:color w:val="000000" w:themeColor="text1"/>
        </w:rPr>
      </w:pPr>
    </w:p>
    <w:p w14:paraId="7D55A902" w14:textId="77777777" w:rsidR="00F23C36" w:rsidRDefault="00F23C36" w:rsidP="00F23C36">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rPr>
        <w:lastRenderedPageBreak/>
        <w:t xml:space="preserve">Por lo tanto el Comité de Transparencia, según lo dispuesto en los artículos 128 y 103 de la </w:t>
      </w:r>
      <w:r w:rsidRPr="00746F2A">
        <w:rPr>
          <w:rFonts w:ascii="Palatino Linotype" w:hAnsi="Palatino Linotype" w:cs="Arial"/>
          <w:b/>
          <w:color w:val="000000" w:themeColor="text1"/>
        </w:rPr>
        <w:t>Ley de Transparencia y Acceso a la Información Pública del Estado de México y Municipios</w:t>
      </w:r>
      <w:r w:rsidRPr="00746F2A">
        <w:rPr>
          <w:rFonts w:ascii="Palatino Linotype" w:hAnsi="Palatino Linotype" w:cs="Arial"/>
          <w:color w:val="000000" w:themeColor="text1"/>
        </w:rPr>
        <w:t xml:space="preserve"> y de la </w:t>
      </w:r>
      <w:r w:rsidRPr="00746F2A">
        <w:rPr>
          <w:rFonts w:ascii="Palatino Linotype" w:hAnsi="Palatino Linotype"/>
          <w:b/>
          <w:color w:val="000000" w:themeColor="text1"/>
        </w:rPr>
        <w:t>Ley General de Transparencia y Acceso a la Información Pública</w:t>
      </w:r>
      <w:r w:rsidRPr="00746F2A">
        <w:rPr>
          <w:rFonts w:ascii="Palatino Linotype" w:hAnsi="Palatino Linotype"/>
          <w:color w:val="000000" w:themeColor="text1"/>
        </w:rPr>
        <w:t>,</w:t>
      </w:r>
      <w:r w:rsidRPr="00746F2A">
        <w:rPr>
          <w:rFonts w:ascii="Palatino Linotype" w:hAnsi="Palatino Linotype" w:cs="Arial"/>
          <w:color w:val="000000" w:themeColor="text1"/>
        </w:rPr>
        <w:t xml:space="preserve"> respectivamente, y </w:t>
      </w:r>
      <w:r w:rsidRPr="00746F2A">
        <w:rPr>
          <w:rFonts w:ascii="Palatino Linotype" w:hAnsi="Palatino Linotype"/>
          <w:color w:val="000000" w:themeColor="text1"/>
        </w:rPr>
        <w:t xml:space="preserve">la fracción III del numeral Segundo de los </w:t>
      </w:r>
      <w:r w:rsidRPr="00746F2A">
        <w:rPr>
          <w:rFonts w:ascii="Palatino Linotype" w:hAnsi="Palatino Linotype" w:cs="Arial"/>
          <w:b/>
          <w:color w:val="000000" w:themeColor="text1"/>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rPr>
        <w:t>, en adelante los Lineamientos Generales,</w:t>
      </w:r>
      <w:r w:rsidRPr="00746F2A">
        <w:rPr>
          <w:rFonts w:ascii="Palatino Linotype" w:hAnsi="Palatino Linotype"/>
          <w:color w:val="000000" w:themeColor="text1"/>
        </w:rPr>
        <w:t xml:space="preserve"> </w:t>
      </w:r>
      <w:r w:rsidRPr="00746F2A">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A41BAEB" w14:textId="77777777" w:rsidR="00F23C36" w:rsidRDefault="00F23C36" w:rsidP="00F23C36">
      <w:pPr>
        <w:pStyle w:val="Sinespaciado"/>
      </w:pPr>
    </w:p>
    <w:p w14:paraId="26ACB9B1" w14:textId="77777777" w:rsidR="00F23C36" w:rsidRDefault="00F23C36" w:rsidP="00F23C36">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rPr>
        <w:t>Ley de Transparencia y Acceso a la Información Pública del Estado de México y Municipios</w:t>
      </w:r>
      <w:r w:rsidRPr="00746F2A">
        <w:rPr>
          <w:rFonts w:ascii="Palatino Linotype" w:hAnsi="Palatino Linotype" w:cs="Arial"/>
          <w:color w:val="000000" w:themeColor="text1"/>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B5C797E" w14:textId="77777777" w:rsidR="00F23C36" w:rsidRPr="00360527" w:rsidRDefault="00F23C36" w:rsidP="00F23C36">
      <w:pPr>
        <w:spacing w:line="360" w:lineRule="auto"/>
        <w:contextualSpacing/>
        <w:jc w:val="both"/>
        <w:rPr>
          <w:rFonts w:ascii="Palatino Linotype" w:hAnsi="Palatino Linotype" w:cs="Arial"/>
          <w:color w:val="000000" w:themeColor="text1"/>
          <w:sz w:val="20"/>
        </w:rPr>
      </w:pPr>
    </w:p>
    <w:p w14:paraId="35ADA779" w14:textId="77777777" w:rsidR="00F23C36" w:rsidRDefault="00F23C36" w:rsidP="00F23C36">
      <w:pPr>
        <w:spacing w:line="360" w:lineRule="auto"/>
        <w:contextualSpacing/>
        <w:jc w:val="both"/>
        <w:rPr>
          <w:rFonts w:ascii="Palatino Linotype" w:hAnsi="Palatino Linotype"/>
          <w:color w:val="000000" w:themeColor="text1"/>
        </w:rPr>
      </w:pPr>
      <w:r w:rsidRPr="00746F2A">
        <w:rPr>
          <w:rFonts w:ascii="Palatino Linotype" w:hAnsi="Palatino Linotype"/>
          <w:color w:val="000000" w:themeColor="text1"/>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11" w:name="_Toc485631705"/>
      <w:bookmarkStart w:id="12" w:name="_Toc496643630"/>
      <w:bookmarkStart w:id="13" w:name="_Toc514868041"/>
      <w:bookmarkStart w:id="14" w:name="_Toc516161530"/>
    </w:p>
    <w:p w14:paraId="61FE987C" w14:textId="77777777" w:rsidR="00F23C36" w:rsidRPr="00360527" w:rsidRDefault="00F23C36" w:rsidP="00F23C36">
      <w:pPr>
        <w:spacing w:line="360" w:lineRule="auto"/>
        <w:contextualSpacing/>
        <w:jc w:val="both"/>
        <w:rPr>
          <w:rFonts w:ascii="Palatino Linotype" w:hAnsi="Palatino Linotype"/>
          <w:color w:val="000000" w:themeColor="text1"/>
          <w:sz w:val="20"/>
        </w:rPr>
      </w:pPr>
    </w:p>
    <w:p w14:paraId="7F2CAA7B" w14:textId="77777777" w:rsidR="00F23C36" w:rsidRPr="00360527" w:rsidRDefault="00F23C36" w:rsidP="00F23C36">
      <w:pPr>
        <w:pStyle w:val="Prrafodelista"/>
        <w:numPr>
          <w:ilvl w:val="0"/>
          <w:numId w:val="27"/>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11"/>
      <w:bookmarkEnd w:id="12"/>
      <w:bookmarkEnd w:id="13"/>
      <w:bookmarkEnd w:id="14"/>
    </w:p>
    <w:p w14:paraId="6F951DED" w14:textId="77777777" w:rsidR="00F23C36" w:rsidRPr="00360527" w:rsidRDefault="00F23C36" w:rsidP="00F23C36">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6AA0702" w14:textId="77777777" w:rsidR="00F23C36" w:rsidRPr="00360527" w:rsidRDefault="00F23C36" w:rsidP="00F23C36">
      <w:pPr>
        <w:pStyle w:val="Sinespaciado"/>
        <w:rPr>
          <w:sz w:val="18"/>
        </w:rPr>
      </w:pPr>
    </w:p>
    <w:p w14:paraId="03DB9F96" w14:textId="77777777" w:rsidR="00F23C36" w:rsidRDefault="00F23C36" w:rsidP="00F23C36">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85F863" w14:textId="77777777" w:rsidR="00F23C36" w:rsidRPr="00360527" w:rsidRDefault="00F23C36" w:rsidP="00F23C36">
      <w:pPr>
        <w:spacing w:line="360" w:lineRule="auto"/>
        <w:contextualSpacing/>
        <w:jc w:val="both"/>
        <w:rPr>
          <w:rFonts w:ascii="Palatino Linotype" w:hAnsi="Palatino Linotype" w:cs="Arial"/>
          <w:color w:val="000000" w:themeColor="text1"/>
          <w:sz w:val="20"/>
        </w:rPr>
      </w:pPr>
    </w:p>
    <w:p w14:paraId="7D96BEF5" w14:textId="77777777" w:rsidR="00F23C36" w:rsidRDefault="00F23C36" w:rsidP="00F23C36">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4"/>
      </w:r>
    </w:p>
    <w:p w14:paraId="1B28CAC5" w14:textId="77777777" w:rsidR="00F23C36" w:rsidRPr="00360527" w:rsidRDefault="00F23C36" w:rsidP="00F23C36">
      <w:pPr>
        <w:spacing w:line="360" w:lineRule="auto"/>
        <w:contextualSpacing/>
        <w:jc w:val="both"/>
        <w:rPr>
          <w:rFonts w:ascii="Palatino Linotype" w:hAnsi="Palatino Linotype" w:cs="Arial"/>
          <w:color w:val="000000" w:themeColor="text1"/>
          <w:sz w:val="18"/>
        </w:rPr>
      </w:pPr>
    </w:p>
    <w:p w14:paraId="06F7B486" w14:textId="77777777" w:rsidR="00F23C36" w:rsidRPr="00746F2A" w:rsidRDefault="00F23C36" w:rsidP="00F23C36">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67D51AB2" w14:textId="77777777" w:rsidR="00F23C36" w:rsidRPr="00360527" w:rsidRDefault="00F23C36" w:rsidP="00F23C36">
      <w:pPr>
        <w:spacing w:line="360" w:lineRule="auto"/>
        <w:ind w:right="618"/>
        <w:contextualSpacing/>
        <w:jc w:val="both"/>
        <w:rPr>
          <w:rFonts w:ascii="Palatino Linotype" w:hAnsi="Palatino Linotype" w:cs="Arial"/>
          <w:color w:val="000000" w:themeColor="text1"/>
          <w:sz w:val="18"/>
        </w:rPr>
      </w:pPr>
    </w:p>
    <w:p w14:paraId="756E0A55" w14:textId="77777777" w:rsidR="00F23C36" w:rsidRPr="007F43A5" w:rsidRDefault="00F23C36" w:rsidP="00F23C36">
      <w:pPr>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14:paraId="198F5FC2" w14:textId="77777777" w:rsidR="00F23C36" w:rsidRDefault="00F23C36" w:rsidP="00F23C36">
      <w:pPr>
        <w:ind w:left="567" w:right="618"/>
        <w:contextualSpacing/>
        <w:jc w:val="both"/>
        <w:rPr>
          <w:rFonts w:ascii="Palatino Linotype" w:hAnsi="Palatino Linotype" w:cs="Arial"/>
          <w:i/>
          <w:color w:val="000000" w:themeColor="text1"/>
        </w:rPr>
      </w:pPr>
    </w:p>
    <w:p w14:paraId="2C595923" w14:textId="77777777" w:rsidR="00F23C36" w:rsidRPr="00746F2A" w:rsidRDefault="00F23C36" w:rsidP="00F23C36">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14:paraId="7ABD6E60" w14:textId="77777777" w:rsidR="00F23C36" w:rsidRPr="00746F2A" w:rsidRDefault="00F23C36" w:rsidP="00F23C36">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14:paraId="504050D6" w14:textId="77777777" w:rsidR="00F23C36" w:rsidRPr="00746F2A" w:rsidRDefault="00F23C36" w:rsidP="00F23C36">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14:paraId="4E69F43D" w14:textId="77777777" w:rsidR="00F23C36" w:rsidRPr="00746F2A" w:rsidRDefault="00F23C36" w:rsidP="00F23C36">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lastRenderedPageBreak/>
        <w:t>Amparo en revisión 333/88. Adilia Romero. 26 de octubre de 1988. Unanimidad de votos. Ponente: Arnoldo Nájera Virgen. Secretario: Enrique Crispín Campos Ramírez.</w:t>
      </w:r>
    </w:p>
    <w:p w14:paraId="51CBA179" w14:textId="77777777" w:rsidR="00F23C36" w:rsidRPr="00746F2A" w:rsidRDefault="00F23C36" w:rsidP="00F23C36">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14:paraId="0BFE8C95" w14:textId="77777777" w:rsidR="00F23C36" w:rsidRPr="00746F2A" w:rsidRDefault="00F23C36" w:rsidP="00F23C36">
      <w:pPr>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 xml:space="preserve">Amparo directo 7/96. Pedro Vicente López Miro. 21 de febrero de 1996. Unanimidad de votos. Ponente: María Eugenia Estela Martínez Cardiel. Secretario: Enrique </w:t>
      </w:r>
      <w:proofErr w:type="spellStart"/>
      <w:r w:rsidRPr="00746F2A">
        <w:rPr>
          <w:rFonts w:ascii="Palatino Linotype" w:hAnsi="Palatino Linotype" w:cs="Arial"/>
          <w:i/>
          <w:color w:val="000000" w:themeColor="text1"/>
          <w:sz w:val="20"/>
        </w:rPr>
        <w:t>Baigts</w:t>
      </w:r>
      <w:proofErr w:type="spellEnd"/>
      <w:r w:rsidRPr="00746F2A">
        <w:rPr>
          <w:rFonts w:ascii="Palatino Linotype" w:hAnsi="Palatino Linotype" w:cs="Arial"/>
          <w:i/>
          <w:color w:val="000000" w:themeColor="text1"/>
          <w:sz w:val="20"/>
        </w:rPr>
        <w:t xml:space="preserve"> Muñoz.</w:t>
      </w:r>
      <w:r w:rsidRPr="00746F2A">
        <w:rPr>
          <w:rStyle w:val="Refdenotaalpie"/>
          <w:rFonts w:ascii="Palatino Linotype" w:hAnsi="Palatino Linotype" w:cs="Arial"/>
          <w:i/>
          <w:color w:val="000000" w:themeColor="text1"/>
          <w:sz w:val="20"/>
        </w:rPr>
        <w:footnoteReference w:id="5"/>
      </w:r>
    </w:p>
    <w:p w14:paraId="3F63D9A4" w14:textId="77777777" w:rsidR="00F23C36" w:rsidRPr="00746F2A" w:rsidRDefault="00F23C36" w:rsidP="00F23C36">
      <w:pPr>
        <w:spacing w:line="360" w:lineRule="auto"/>
        <w:ind w:left="567"/>
        <w:contextualSpacing/>
        <w:jc w:val="both"/>
        <w:rPr>
          <w:rFonts w:ascii="Palatino Linotype" w:hAnsi="Palatino Linotype" w:cs="Arial"/>
          <w:i/>
          <w:color w:val="000000" w:themeColor="text1"/>
          <w:sz w:val="20"/>
        </w:rPr>
      </w:pPr>
    </w:p>
    <w:p w14:paraId="74A1342E" w14:textId="77777777" w:rsidR="00F23C36" w:rsidRDefault="00F23C36" w:rsidP="00F23C36">
      <w:pPr>
        <w:shd w:val="clear" w:color="auto" w:fill="FFFFFF"/>
        <w:spacing w:line="360" w:lineRule="auto"/>
        <w:contextualSpacing/>
        <w:jc w:val="both"/>
        <w:rPr>
          <w:rFonts w:ascii="Palatino Linotype" w:hAnsi="Palatino Linotype" w:cs="Arial"/>
          <w:color w:val="000000" w:themeColor="text1"/>
          <w:lang w:eastAsia="es-MX"/>
        </w:rPr>
      </w:pPr>
      <w:r w:rsidRPr="00746F2A">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75BAD1D" w14:textId="77777777" w:rsidR="00F23C36" w:rsidRPr="00360527" w:rsidRDefault="00F23C36" w:rsidP="00F23C36">
      <w:pPr>
        <w:shd w:val="clear" w:color="auto" w:fill="FFFFFF"/>
        <w:spacing w:line="360" w:lineRule="auto"/>
        <w:contextualSpacing/>
        <w:jc w:val="both"/>
        <w:rPr>
          <w:rFonts w:ascii="Palatino Linotype" w:hAnsi="Palatino Linotype" w:cs="Arial"/>
          <w:color w:val="000000" w:themeColor="text1"/>
          <w:sz w:val="20"/>
          <w:lang w:eastAsia="es-MX"/>
        </w:rPr>
      </w:pPr>
    </w:p>
    <w:p w14:paraId="430D1AA9" w14:textId="77777777" w:rsidR="00F23C36" w:rsidRDefault="00F23C36" w:rsidP="00F23C36">
      <w:pPr>
        <w:shd w:val="clear" w:color="auto" w:fill="FFFFFF"/>
        <w:spacing w:line="360" w:lineRule="auto"/>
        <w:contextualSpacing/>
        <w:jc w:val="both"/>
        <w:rPr>
          <w:rFonts w:ascii="Palatino Linotype" w:hAnsi="Palatino Linotype" w:cs="Arial"/>
          <w:color w:val="000000" w:themeColor="text1"/>
          <w:sz w:val="28"/>
          <w:lang w:eastAsia="es-MX"/>
        </w:rPr>
      </w:pPr>
      <w:r w:rsidRPr="00746F2A">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8C4992A" w14:textId="77777777" w:rsidR="00F23C36" w:rsidRDefault="00F23C36" w:rsidP="00F23C36">
      <w:pPr>
        <w:shd w:val="clear" w:color="auto" w:fill="FFFFFF"/>
        <w:spacing w:line="360" w:lineRule="auto"/>
        <w:contextualSpacing/>
        <w:jc w:val="both"/>
        <w:rPr>
          <w:rFonts w:ascii="Palatino Linotype" w:hAnsi="Palatino Linotype"/>
          <w:color w:val="000000" w:themeColor="text1"/>
        </w:rPr>
      </w:pPr>
      <w:r w:rsidRPr="00746F2A">
        <w:rPr>
          <w:rFonts w:ascii="Palatino Linotype" w:hAnsi="Palatino Linotype" w:cs="Arial"/>
          <w:color w:val="000000" w:themeColor="text1"/>
          <w:lang w:eastAsia="es-MX"/>
        </w:rPr>
        <w:t xml:space="preserve">En otras palabras, </w:t>
      </w:r>
      <w:r w:rsidRPr="00746F2A">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rPr>
        <w:t>Sujeto Obligado</w:t>
      </w:r>
      <w:r w:rsidRPr="00746F2A">
        <w:rPr>
          <w:rFonts w:ascii="Palatino Linotype" w:hAnsi="Palatino Linotype"/>
          <w:color w:val="000000" w:themeColor="text1"/>
        </w:rPr>
        <w:t xml:space="preserve">. Dicho acuerdo deberá de contener los </w:t>
      </w:r>
      <w:r w:rsidRPr="00746F2A">
        <w:rPr>
          <w:rFonts w:ascii="Palatino Linotype" w:hAnsi="Palatino Linotype"/>
          <w:b/>
          <w:color w:val="000000" w:themeColor="text1"/>
        </w:rPr>
        <w:t>razonamientos lógicos</w:t>
      </w:r>
      <w:r w:rsidRPr="00746F2A">
        <w:rPr>
          <w:rFonts w:ascii="Palatino Linotype" w:hAnsi="Palatino Linotype"/>
          <w:color w:val="000000" w:themeColor="text1"/>
        </w:rPr>
        <w:t xml:space="preserve"> mediante los cuales se </w:t>
      </w:r>
      <w:r w:rsidRPr="00746F2A">
        <w:rPr>
          <w:rFonts w:ascii="Palatino Linotype" w:hAnsi="Palatino Linotype"/>
          <w:b/>
          <w:color w:val="000000" w:themeColor="text1"/>
        </w:rPr>
        <w:t xml:space="preserve">demuestre </w:t>
      </w:r>
      <w:r w:rsidRPr="00746F2A">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5934BCF1" w14:textId="77777777" w:rsidR="00F23C36" w:rsidRPr="00746F2A" w:rsidRDefault="00F23C36" w:rsidP="00F23C36">
      <w:pPr>
        <w:shd w:val="clear" w:color="auto" w:fill="FFFFFF"/>
        <w:spacing w:line="360" w:lineRule="auto"/>
        <w:contextualSpacing/>
        <w:jc w:val="both"/>
        <w:rPr>
          <w:rFonts w:ascii="Palatino Linotype" w:hAnsi="Palatino Linotype" w:cs="Arial"/>
          <w:color w:val="000000" w:themeColor="text1"/>
          <w:sz w:val="32"/>
          <w:lang w:eastAsia="es-MX"/>
        </w:rPr>
      </w:pPr>
    </w:p>
    <w:p w14:paraId="7DDE845A" w14:textId="3460BD8B" w:rsidR="00F23C36" w:rsidRPr="009A02FC" w:rsidRDefault="00F23C36" w:rsidP="009A02FC">
      <w:pPr>
        <w:shd w:val="clear" w:color="auto" w:fill="FFFFFF"/>
        <w:spacing w:line="360" w:lineRule="auto"/>
        <w:contextualSpacing/>
        <w:jc w:val="both"/>
        <w:rPr>
          <w:rFonts w:ascii="Palatino Linotype" w:hAnsi="Palatino Linotype" w:cs="Arial"/>
          <w:color w:val="000000" w:themeColor="text1"/>
          <w:lang w:eastAsia="es-MX"/>
        </w:rPr>
      </w:pPr>
      <w:r w:rsidRPr="00746F2A">
        <w:rPr>
          <w:rFonts w:ascii="Palatino Linotype" w:hAnsi="Palatino Linotype"/>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F60F7A3" w14:textId="77777777" w:rsidR="00C94B65" w:rsidRPr="00C94B65" w:rsidRDefault="00C94B65" w:rsidP="00C94B65">
      <w:pPr>
        <w:spacing w:line="360" w:lineRule="auto"/>
        <w:jc w:val="both"/>
        <w:rPr>
          <w:rFonts w:ascii="Palatino Linotype" w:eastAsia="Calibri" w:hAnsi="Palatino Linotype" w:cs="Tahoma"/>
          <w:bCs/>
          <w:lang w:val="es-MX" w:eastAsia="en-US"/>
        </w:rPr>
      </w:pPr>
    </w:p>
    <w:p w14:paraId="7609209F" w14:textId="77777777" w:rsidR="00C94B65" w:rsidRPr="00C94B65" w:rsidRDefault="00C94B65" w:rsidP="009118E2">
      <w:pPr>
        <w:numPr>
          <w:ilvl w:val="0"/>
          <w:numId w:val="22"/>
        </w:numPr>
        <w:tabs>
          <w:tab w:val="left" w:pos="709"/>
        </w:tabs>
        <w:spacing w:after="160" w:line="360" w:lineRule="auto"/>
        <w:jc w:val="both"/>
        <w:rPr>
          <w:rFonts w:ascii="Palatino Linotype" w:hAnsi="Palatino Linotype" w:cs="Arial"/>
          <w:b/>
          <w:i/>
          <w:sz w:val="28"/>
        </w:rPr>
      </w:pPr>
      <w:r w:rsidRPr="00C94B65">
        <w:rPr>
          <w:rFonts w:ascii="Palatino Linotype" w:hAnsi="Palatino Linotype" w:cs="Arial"/>
          <w:b/>
          <w:i/>
          <w:sz w:val="28"/>
        </w:rPr>
        <w:t>De la versión pública</w:t>
      </w:r>
    </w:p>
    <w:p w14:paraId="57357011" w14:textId="77777777" w:rsidR="00C94B65" w:rsidRPr="00C94B65" w:rsidRDefault="00C94B65" w:rsidP="00C94B65">
      <w:pPr>
        <w:autoSpaceDE w:val="0"/>
        <w:autoSpaceDN w:val="0"/>
        <w:adjustRightInd w:val="0"/>
        <w:spacing w:line="360" w:lineRule="auto"/>
        <w:jc w:val="both"/>
        <w:rPr>
          <w:rFonts w:ascii="Palatino Linotype" w:hAnsi="Palatino Linotype" w:cs="Arial"/>
        </w:rPr>
      </w:pPr>
      <w:r w:rsidRPr="00C94B65">
        <w:rPr>
          <w:rFonts w:ascii="Palatino Linotype" w:eastAsiaTheme="minorHAnsi" w:hAnsi="Palatino Linotype" w:cs="Arial"/>
          <w:lang w:val="es-MX" w:eastAsia="en-US"/>
        </w:rPr>
        <w:t xml:space="preserve">Debido a que la información requerida se destaca que de acuerdo con la naturaleza de la información, amerita la elaboración de una versión pública, </w:t>
      </w:r>
      <w:r w:rsidRPr="00C94B65">
        <w:rPr>
          <w:rFonts w:ascii="Palatino Linotype" w:eastAsia="Arial Unicode MS" w:hAnsi="Palatino Linotype" w:cs="Arial"/>
        </w:rPr>
        <w:t>esto es, omitirá, eliminará o suprimirá la información personal de los servidores públicos sujetos a evaluación, e</w:t>
      </w:r>
      <w:r w:rsidRPr="00C94B65">
        <w:rPr>
          <w:rFonts w:ascii="Palatino Linotype" w:hAnsi="Palatino Linotype"/>
        </w:rPr>
        <w:t xml:space="preserve">n el caso específico en dichos documentos pueden obran datos que son considerados confidenciales, cuyo acceso debe ser restringido, los cuales </w:t>
      </w:r>
      <w:r w:rsidRPr="00C94B65">
        <w:rPr>
          <w:rFonts w:ascii="Palatino Linotype" w:hAnsi="Palatino Linotype" w:cs="Arial"/>
        </w:rPr>
        <w:t xml:space="preserve">deben testarse al momento de la elaboración de versiones públicas, como es el caso del </w:t>
      </w:r>
      <w:r w:rsidRPr="00C94B65">
        <w:rPr>
          <w:rFonts w:ascii="Palatino Linotype" w:hAnsi="Palatino Linotype" w:cs="Arial"/>
          <w:b/>
        </w:rPr>
        <w:t>Registro Federal de Contribuyentes</w:t>
      </w:r>
      <w:r w:rsidRPr="00C94B65">
        <w:rPr>
          <w:rFonts w:ascii="Palatino Linotype" w:hAnsi="Palatino Linotype" w:cs="Arial"/>
        </w:rPr>
        <w:t xml:space="preserve"> (RFC), la </w:t>
      </w:r>
      <w:r w:rsidRPr="00C94B65">
        <w:rPr>
          <w:rFonts w:ascii="Palatino Linotype" w:hAnsi="Palatino Linotype" w:cs="Arial"/>
          <w:b/>
        </w:rPr>
        <w:t>Clave Única de Registro de Población</w:t>
      </w:r>
      <w:r w:rsidRPr="00C94B65">
        <w:rPr>
          <w:rFonts w:ascii="Palatino Linotype" w:hAnsi="Palatino Linotype" w:cs="Arial"/>
        </w:rPr>
        <w:t xml:space="preserve"> (CURP), la </w:t>
      </w:r>
      <w:r w:rsidRPr="00C94B65">
        <w:rPr>
          <w:rFonts w:ascii="Palatino Linotype" w:hAnsi="Palatino Linotype" w:cs="Arial"/>
          <w:b/>
        </w:rPr>
        <w:t>Clave de cualquier tipo de seguridad social</w:t>
      </w:r>
      <w:r w:rsidRPr="00C94B65">
        <w:rPr>
          <w:rFonts w:ascii="Palatino Linotype" w:hAnsi="Palatino Linotype" w:cs="Arial"/>
        </w:rPr>
        <w:t xml:space="preserve"> (ISSEMYM); </w:t>
      </w:r>
      <w:r w:rsidRPr="00C94B65">
        <w:rPr>
          <w:rFonts w:ascii="Palatino Linotype" w:hAnsi="Palatino Linotype" w:cs="Arial"/>
          <w:b/>
        </w:rPr>
        <w:t>préstamos o descuentos</w:t>
      </w:r>
      <w:r w:rsidRPr="00C94B65">
        <w:rPr>
          <w:rFonts w:ascii="Palatino Linotype" w:hAnsi="Palatino Linotype" w:cs="Arial"/>
        </w:rPr>
        <w:t xml:space="preserve"> que se les hagan y que no tengan relación con los impuestos o la cuota por seguridad social, así como, firmas y calificaciones, entre otros datos.</w:t>
      </w:r>
    </w:p>
    <w:p w14:paraId="38192334" w14:textId="77777777" w:rsidR="00C94B65" w:rsidRPr="00C94B65" w:rsidRDefault="00C94B65" w:rsidP="00C94B65">
      <w:pPr>
        <w:autoSpaceDE w:val="0"/>
        <w:autoSpaceDN w:val="0"/>
        <w:adjustRightInd w:val="0"/>
        <w:spacing w:line="360" w:lineRule="auto"/>
        <w:jc w:val="both"/>
        <w:rPr>
          <w:rFonts w:ascii="Palatino Linotype" w:eastAsiaTheme="minorHAnsi" w:hAnsi="Palatino Linotype" w:cs="Arial"/>
          <w:lang w:val="es-MX" w:eastAsia="en-US"/>
        </w:rPr>
      </w:pPr>
    </w:p>
    <w:p w14:paraId="3768525D" w14:textId="77777777" w:rsidR="00C94B65" w:rsidRPr="00C94B65" w:rsidRDefault="00C94B65" w:rsidP="00C94B65">
      <w:pPr>
        <w:autoSpaceDE w:val="0"/>
        <w:autoSpaceDN w:val="0"/>
        <w:adjustRightInd w:val="0"/>
        <w:spacing w:after="160" w:line="360" w:lineRule="auto"/>
        <w:ind w:right="-91"/>
        <w:jc w:val="both"/>
        <w:rPr>
          <w:rFonts w:ascii="Palatino Linotype" w:eastAsiaTheme="minorHAnsi" w:hAnsi="Palatino Linotype" w:cstheme="minorBidi"/>
          <w:szCs w:val="22"/>
          <w:lang w:val="es-MX" w:eastAsia="en-US"/>
        </w:rPr>
      </w:pPr>
      <w:r w:rsidRPr="00C94B65">
        <w:rPr>
          <w:rFonts w:ascii="Palatino Linotype" w:eastAsiaTheme="minorHAnsi" w:hAnsi="Palatino Linotype" w:cs="Arial"/>
          <w:szCs w:val="22"/>
          <w:lang w:val="es-MX" w:eastAsia="es-MX"/>
        </w:rPr>
        <w:t xml:space="preserve">Por cuanto hace al </w:t>
      </w:r>
      <w:r w:rsidRPr="00C94B65">
        <w:rPr>
          <w:rFonts w:ascii="Palatino Linotype" w:eastAsiaTheme="minorHAnsi" w:hAnsi="Palatino Linotype" w:cs="Arial"/>
          <w:b/>
          <w:szCs w:val="22"/>
          <w:lang w:val="es-MX" w:eastAsia="es-MX"/>
        </w:rPr>
        <w:t>Registro Federal de Contribuyentes</w:t>
      </w:r>
      <w:r w:rsidRPr="00C94B65">
        <w:rPr>
          <w:rFonts w:ascii="Palatino Linotype" w:eastAsiaTheme="minorHAnsi" w:hAnsi="Palatino Linotype" w:cs="Arial"/>
          <w:szCs w:val="22"/>
          <w:lang w:val="es-MX" w:eastAsia="es-MX"/>
        </w:rPr>
        <w:t xml:space="preserve"> </w:t>
      </w:r>
      <w:r w:rsidRPr="00C94B65">
        <w:rPr>
          <w:rFonts w:ascii="Palatino Linotype" w:eastAsiaTheme="minorHAnsi" w:hAnsi="Palatino Linotype" w:cs="Arial"/>
          <w:b/>
          <w:szCs w:val="22"/>
          <w:lang w:val="es-MX" w:eastAsia="es-MX"/>
        </w:rPr>
        <w:t>de las personas físicas</w:t>
      </w:r>
      <w:r w:rsidRPr="00C94B65">
        <w:rPr>
          <w:rFonts w:ascii="Palatino Linotype" w:eastAsiaTheme="minorHAnsi" w:hAnsi="Palatino Linotype" w:cs="Arial"/>
          <w:szCs w:val="22"/>
          <w:lang w:val="es-MX" w:eastAsia="es-MX"/>
        </w:rPr>
        <w:t xml:space="preserve"> constituye un dato personal, ya que se genera con caracteres alfanuméricos obtenidos </w:t>
      </w:r>
      <w:r w:rsidRPr="00C94B65">
        <w:rPr>
          <w:rFonts w:ascii="Palatino Linotype" w:eastAsiaTheme="minorHAnsi" w:hAnsi="Palatino Linotype" w:cs="Arial"/>
          <w:szCs w:val="22"/>
          <w:lang w:val="es-MX" w:eastAsia="es-MX"/>
        </w:rPr>
        <w:lastRenderedPageBreak/>
        <w:t>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94B65">
        <w:rPr>
          <w:rFonts w:ascii="Palatino Linotype" w:eastAsiaTheme="minorHAnsi" w:hAnsi="Palatino Linotype" w:cstheme="minorBidi"/>
          <w:szCs w:val="22"/>
          <w:lang w:val="es-MX" w:eastAsia="en-US"/>
        </w:rPr>
        <w:t xml:space="preserve"> y finalmente la </w:t>
      </w:r>
      <w:proofErr w:type="spellStart"/>
      <w:r w:rsidRPr="00C94B65">
        <w:rPr>
          <w:rFonts w:ascii="Palatino Linotype" w:eastAsiaTheme="minorHAnsi" w:hAnsi="Palatino Linotype" w:cstheme="minorBidi"/>
          <w:szCs w:val="22"/>
          <w:lang w:val="es-MX" w:eastAsia="en-US"/>
        </w:rPr>
        <w:t>homoclave</w:t>
      </w:r>
      <w:proofErr w:type="spellEnd"/>
      <w:r w:rsidRPr="00C94B65">
        <w:rPr>
          <w:rFonts w:ascii="Palatino Linotype" w:eastAsiaTheme="minorHAnsi" w:hAnsi="Palatino Linotype" w:cstheme="minorBidi"/>
          <w:szCs w:val="22"/>
          <w:lang w:val="es-MX" w:eastAsia="en-US"/>
        </w:rPr>
        <w:t>; la cual para su obtención es necesario acreditar personalidad, fecha de nacimiento entre otros con documentos oficiales.</w:t>
      </w:r>
    </w:p>
    <w:p w14:paraId="382C96C6" w14:textId="77777777" w:rsidR="00C94B65" w:rsidRPr="00C94B65" w:rsidRDefault="00C94B65" w:rsidP="00C94B65">
      <w:pPr>
        <w:rPr>
          <w:lang w:val="es-MX"/>
        </w:rPr>
      </w:pPr>
    </w:p>
    <w:p w14:paraId="21A0ED5E" w14:textId="77777777" w:rsidR="00C94B65" w:rsidRPr="00C94B65" w:rsidRDefault="00C94B65" w:rsidP="00C94B65">
      <w:pPr>
        <w:spacing w:after="160" w:line="360" w:lineRule="auto"/>
        <w:ind w:right="-91"/>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Al respecto, el Instituto Nacional de Transparencia, Acceso a la Información y Protección de Datos Personales (INAI) a través del Criterio 19/17, señala literalmente lo siguiente:</w:t>
      </w:r>
    </w:p>
    <w:p w14:paraId="35BEF4E8" w14:textId="77777777" w:rsidR="00C94B65" w:rsidRPr="00C94B65" w:rsidRDefault="00C94B65" w:rsidP="00C94B65">
      <w:pPr>
        <w:rPr>
          <w:lang w:val="es-MX"/>
        </w:rPr>
      </w:pPr>
    </w:p>
    <w:p w14:paraId="79C6463D" w14:textId="77777777" w:rsidR="00C94B65" w:rsidRPr="00C94B65" w:rsidRDefault="00C94B65" w:rsidP="00C94B65">
      <w:pPr>
        <w:spacing w:after="160" w:line="259" w:lineRule="auto"/>
        <w:ind w:left="851" w:right="902"/>
        <w:jc w:val="both"/>
        <w:rPr>
          <w:rFonts w:ascii="Palatino Linotype" w:eastAsiaTheme="minorHAnsi" w:hAnsi="Palatino Linotype" w:cs="Arial"/>
          <w:b/>
          <w:bCs/>
          <w:i/>
          <w:sz w:val="22"/>
          <w:szCs w:val="22"/>
          <w:lang w:val="es-MX" w:eastAsia="en-US"/>
        </w:rPr>
      </w:pPr>
      <w:r w:rsidRPr="00C94B65">
        <w:rPr>
          <w:rFonts w:ascii="Palatino Linotype" w:eastAsiaTheme="minorHAnsi" w:hAnsi="Palatino Linotype" w:cs="Arial"/>
          <w:b/>
          <w:bCs/>
          <w:i/>
          <w:sz w:val="22"/>
          <w:szCs w:val="22"/>
          <w:lang w:val="es-MX" w:eastAsia="en-US"/>
        </w:rPr>
        <w:t xml:space="preserve">“Registro Federal de Contribuyentes (RFC) de personas físicas. </w:t>
      </w:r>
      <w:r w:rsidRPr="00C94B65">
        <w:rPr>
          <w:rFonts w:ascii="Palatino Linotype" w:eastAsiaTheme="minorHAnsi" w:hAnsi="Palatino Linotype" w:cs="Arial"/>
          <w:bCs/>
          <w:i/>
          <w:sz w:val="22"/>
          <w:szCs w:val="22"/>
          <w:lang w:val="es-MX" w:eastAsia="en-US"/>
        </w:rPr>
        <w:t xml:space="preserve">El RFC es una clave de carácter fiscal, </w:t>
      </w:r>
      <w:proofErr w:type="gramStart"/>
      <w:r w:rsidRPr="00C94B65">
        <w:rPr>
          <w:rFonts w:ascii="Palatino Linotype" w:eastAsiaTheme="minorHAnsi" w:hAnsi="Palatino Linotype" w:cs="Arial"/>
          <w:bCs/>
          <w:i/>
          <w:sz w:val="22"/>
          <w:szCs w:val="22"/>
          <w:lang w:val="es-MX" w:eastAsia="en-US"/>
        </w:rPr>
        <w:t>única</w:t>
      </w:r>
      <w:proofErr w:type="gramEnd"/>
      <w:r w:rsidRPr="00C94B65">
        <w:rPr>
          <w:rFonts w:ascii="Palatino Linotype" w:eastAsiaTheme="minorHAnsi" w:hAnsi="Palatino Linotype" w:cs="Arial"/>
          <w:bCs/>
          <w:i/>
          <w:sz w:val="22"/>
          <w:szCs w:val="22"/>
          <w:lang w:val="es-MX" w:eastAsia="en-US"/>
        </w:rPr>
        <w:t xml:space="preserve"> e irrepetible, que permite identificar al titular, su edad y fecha de nacimiento, por lo que es un dato personal de carácter confidencial.</w:t>
      </w:r>
    </w:p>
    <w:p w14:paraId="468189D2" w14:textId="77777777" w:rsidR="00C94B65" w:rsidRPr="00C94B65" w:rsidRDefault="00C94B65" w:rsidP="00C94B65">
      <w:pPr>
        <w:rPr>
          <w:lang w:val="es-MX"/>
        </w:rPr>
      </w:pPr>
    </w:p>
    <w:p w14:paraId="72911A46" w14:textId="77777777" w:rsidR="00C94B65" w:rsidRPr="00C94B65" w:rsidRDefault="00C94B65" w:rsidP="00C94B65">
      <w:pPr>
        <w:ind w:left="851" w:right="902"/>
        <w:jc w:val="both"/>
        <w:rPr>
          <w:rFonts w:ascii="Palatino Linotype" w:eastAsiaTheme="minorHAnsi" w:hAnsi="Palatino Linotype" w:cs="Arial"/>
          <w:b/>
          <w:bCs/>
          <w:i/>
          <w:sz w:val="22"/>
          <w:szCs w:val="22"/>
          <w:lang w:val="es-MX" w:eastAsia="en-US"/>
        </w:rPr>
      </w:pPr>
      <w:r w:rsidRPr="00C94B65">
        <w:rPr>
          <w:rFonts w:ascii="Palatino Linotype" w:eastAsiaTheme="minorHAnsi" w:hAnsi="Palatino Linotype" w:cs="Arial"/>
          <w:b/>
          <w:bCs/>
          <w:i/>
          <w:sz w:val="22"/>
          <w:szCs w:val="22"/>
          <w:lang w:val="es-MX" w:eastAsia="en-US"/>
        </w:rPr>
        <w:t>Resoluciones:</w:t>
      </w:r>
    </w:p>
    <w:p w14:paraId="43A9D93B" w14:textId="77777777" w:rsidR="00C94B65" w:rsidRPr="00C94B65" w:rsidRDefault="00C94B65" w:rsidP="00C94B65">
      <w:pPr>
        <w:ind w:left="851" w:right="902"/>
        <w:jc w:val="both"/>
        <w:rPr>
          <w:rFonts w:ascii="Palatino Linotype" w:eastAsiaTheme="minorHAnsi" w:hAnsi="Palatino Linotype" w:cs="Arial"/>
          <w:bCs/>
          <w:i/>
          <w:sz w:val="22"/>
          <w:szCs w:val="22"/>
          <w:lang w:val="es-MX" w:eastAsia="en-US"/>
        </w:rPr>
      </w:pPr>
      <w:r w:rsidRPr="00C94B65">
        <w:rPr>
          <w:rFonts w:ascii="Palatino Linotype" w:eastAsiaTheme="minorHAnsi" w:hAnsi="Palatino Linotype" w:cs="Arial"/>
          <w:b/>
          <w:bCs/>
          <w:i/>
          <w:sz w:val="22"/>
          <w:szCs w:val="22"/>
          <w:lang w:val="es-MX" w:eastAsia="en-US"/>
        </w:rPr>
        <w:t>•</w:t>
      </w:r>
      <w:r w:rsidRPr="00C94B65">
        <w:rPr>
          <w:rFonts w:ascii="Palatino Linotype" w:eastAsiaTheme="minorHAnsi" w:hAnsi="Palatino Linotype" w:cs="Arial"/>
          <w:b/>
          <w:bCs/>
          <w:i/>
          <w:sz w:val="22"/>
          <w:szCs w:val="22"/>
          <w:lang w:val="es-MX" w:eastAsia="en-US"/>
        </w:rPr>
        <w:tab/>
        <w:t xml:space="preserve">RRA 0189/17. </w:t>
      </w:r>
      <w:r w:rsidRPr="00C94B65">
        <w:rPr>
          <w:rFonts w:ascii="Palatino Linotype" w:eastAsiaTheme="minorHAnsi" w:hAnsi="Palatino Linotype" w:cs="Arial"/>
          <w:bCs/>
          <w:i/>
          <w:sz w:val="22"/>
          <w:szCs w:val="22"/>
          <w:lang w:val="es-MX" w:eastAsia="en-US"/>
        </w:rPr>
        <w:t>Morena. 08 de febrero de 2017. Por unanimidad. Comisionado Ponente Joel Salas Suárez.</w:t>
      </w:r>
    </w:p>
    <w:p w14:paraId="65FF7231" w14:textId="77777777" w:rsidR="00C94B65" w:rsidRPr="00C94B65" w:rsidRDefault="00C94B65" w:rsidP="00C94B65">
      <w:pPr>
        <w:ind w:left="851" w:right="902"/>
        <w:jc w:val="both"/>
        <w:rPr>
          <w:rFonts w:ascii="Palatino Linotype" w:eastAsiaTheme="minorHAnsi" w:hAnsi="Palatino Linotype" w:cs="Arial"/>
          <w:b/>
          <w:bCs/>
          <w:i/>
          <w:sz w:val="22"/>
          <w:szCs w:val="22"/>
          <w:lang w:val="es-MX" w:eastAsia="en-US"/>
        </w:rPr>
      </w:pPr>
      <w:r w:rsidRPr="00C94B65">
        <w:rPr>
          <w:rFonts w:ascii="Palatino Linotype" w:eastAsiaTheme="minorHAnsi" w:hAnsi="Palatino Linotype" w:cs="Arial"/>
          <w:b/>
          <w:bCs/>
          <w:i/>
          <w:sz w:val="22"/>
          <w:szCs w:val="22"/>
          <w:lang w:val="es-MX" w:eastAsia="en-US"/>
        </w:rPr>
        <w:t>•</w:t>
      </w:r>
      <w:r w:rsidRPr="00C94B65">
        <w:rPr>
          <w:rFonts w:ascii="Palatino Linotype" w:eastAsiaTheme="minorHAnsi" w:hAnsi="Palatino Linotype" w:cs="Arial"/>
          <w:b/>
          <w:bCs/>
          <w:i/>
          <w:sz w:val="22"/>
          <w:szCs w:val="22"/>
          <w:lang w:val="es-MX" w:eastAsia="en-US"/>
        </w:rPr>
        <w:tab/>
        <w:t xml:space="preserve">RRA 0677/17. </w:t>
      </w:r>
      <w:r w:rsidRPr="00C94B65">
        <w:rPr>
          <w:rFonts w:ascii="Palatino Linotype" w:eastAsiaTheme="minorHAnsi" w:hAnsi="Palatino Linotype" w:cs="Arial"/>
          <w:bCs/>
          <w:i/>
          <w:sz w:val="22"/>
          <w:szCs w:val="22"/>
          <w:lang w:val="es-MX" w:eastAsia="en-US"/>
        </w:rPr>
        <w:t xml:space="preserve">Universidad Nacional Autónoma de México. 08 de marzo de 2017. Por unanimidad. Comisionado Ponente </w:t>
      </w:r>
      <w:proofErr w:type="spellStart"/>
      <w:r w:rsidRPr="00C94B65">
        <w:rPr>
          <w:rFonts w:ascii="Palatino Linotype" w:eastAsiaTheme="minorHAnsi" w:hAnsi="Palatino Linotype" w:cs="Arial"/>
          <w:bCs/>
          <w:i/>
          <w:sz w:val="22"/>
          <w:szCs w:val="22"/>
          <w:lang w:val="es-MX" w:eastAsia="en-US"/>
        </w:rPr>
        <w:t>Rosendoevgueni</w:t>
      </w:r>
      <w:proofErr w:type="spellEnd"/>
      <w:r w:rsidRPr="00C94B65">
        <w:rPr>
          <w:rFonts w:ascii="Palatino Linotype" w:eastAsiaTheme="minorHAnsi" w:hAnsi="Palatino Linotype" w:cs="Arial"/>
          <w:bCs/>
          <w:i/>
          <w:sz w:val="22"/>
          <w:szCs w:val="22"/>
          <w:lang w:val="es-MX" w:eastAsia="en-US"/>
        </w:rPr>
        <w:t xml:space="preserve"> Monterrey </w:t>
      </w:r>
      <w:proofErr w:type="spellStart"/>
      <w:r w:rsidRPr="00C94B65">
        <w:rPr>
          <w:rFonts w:ascii="Palatino Linotype" w:eastAsiaTheme="minorHAnsi" w:hAnsi="Palatino Linotype" w:cs="Arial"/>
          <w:bCs/>
          <w:i/>
          <w:sz w:val="22"/>
          <w:szCs w:val="22"/>
          <w:lang w:val="es-MX" w:eastAsia="en-US"/>
        </w:rPr>
        <w:t>Chepov</w:t>
      </w:r>
      <w:proofErr w:type="spellEnd"/>
      <w:r w:rsidRPr="00C94B65">
        <w:rPr>
          <w:rFonts w:ascii="Palatino Linotype" w:eastAsiaTheme="minorHAnsi" w:hAnsi="Palatino Linotype" w:cs="Arial"/>
          <w:bCs/>
          <w:i/>
          <w:sz w:val="22"/>
          <w:szCs w:val="22"/>
          <w:lang w:val="es-MX" w:eastAsia="en-US"/>
        </w:rPr>
        <w:t>.</w:t>
      </w:r>
      <w:r w:rsidRPr="00C94B65">
        <w:rPr>
          <w:rFonts w:ascii="Palatino Linotype" w:eastAsiaTheme="minorHAnsi" w:hAnsi="Palatino Linotype" w:cs="Arial"/>
          <w:b/>
          <w:bCs/>
          <w:i/>
          <w:sz w:val="22"/>
          <w:szCs w:val="22"/>
          <w:lang w:val="es-MX" w:eastAsia="en-US"/>
        </w:rPr>
        <w:t xml:space="preserve"> </w:t>
      </w:r>
    </w:p>
    <w:p w14:paraId="13CC9FC4" w14:textId="77777777" w:rsidR="00C94B65" w:rsidRPr="00C94B65" w:rsidRDefault="00C94B65" w:rsidP="00C94B65">
      <w:pPr>
        <w:ind w:left="851" w:right="900"/>
        <w:jc w:val="both"/>
        <w:rPr>
          <w:rFonts w:ascii="Palatino Linotype" w:eastAsiaTheme="minorHAnsi" w:hAnsi="Palatino Linotype" w:cs="Arial"/>
          <w:sz w:val="22"/>
          <w:szCs w:val="20"/>
          <w:lang w:val="es-MX" w:eastAsia="es-MX"/>
        </w:rPr>
      </w:pPr>
      <w:r w:rsidRPr="00C94B65">
        <w:rPr>
          <w:rFonts w:ascii="Palatino Linotype" w:eastAsiaTheme="minorHAnsi" w:hAnsi="Palatino Linotype" w:cs="Arial"/>
          <w:b/>
          <w:bCs/>
          <w:i/>
          <w:sz w:val="22"/>
          <w:szCs w:val="22"/>
          <w:lang w:val="es-MX" w:eastAsia="en-US"/>
        </w:rPr>
        <w:t>•</w:t>
      </w:r>
      <w:r w:rsidRPr="00C94B65">
        <w:rPr>
          <w:rFonts w:ascii="Palatino Linotype" w:eastAsiaTheme="minorHAnsi" w:hAnsi="Palatino Linotype" w:cs="Arial"/>
          <w:b/>
          <w:bCs/>
          <w:i/>
          <w:sz w:val="22"/>
          <w:szCs w:val="22"/>
          <w:lang w:val="es-MX" w:eastAsia="en-US"/>
        </w:rPr>
        <w:tab/>
        <w:t xml:space="preserve">RRA 1564/17. </w:t>
      </w:r>
      <w:r w:rsidRPr="00C94B65">
        <w:rPr>
          <w:rFonts w:ascii="Palatino Linotype" w:eastAsiaTheme="minorHAnsi" w:hAnsi="Palatino Linotype" w:cs="Arial"/>
          <w:bCs/>
          <w:i/>
          <w:sz w:val="22"/>
          <w:szCs w:val="22"/>
          <w:lang w:val="es-MX" w:eastAsia="en-US"/>
        </w:rPr>
        <w:t>Tribunal Electoral del Poder Judicial de la Federación. 26 de abril de 2017. Por unanimidad. Comisionado Ponente Oscar Mauricio Guerra Ford</w:t>
      </w:r>
      <w:r w:rsidRPr="00C94B65">
        <w:rPr>
          <w:rFonts w:ascii="Palatino Linotype" w:eastAsiaTheme="minorHAnsi" w:hAnsi="Palatino Linotype" w:cs="Arial"/>
          <w:i/>
          <w:sz w:val="22"/>
          <w:szCs w:val="22"/>
          <w:lang w:val="es-MX" w:eastAsia="en-US"/>
        </w:rPr>
        <w:t>.”</w:t>
      </w:r>
    </w:p>
    <w:p w14:paraId="2C19CD23" w14:textId="77777777" w:rsidR="00C94B65" w:rsidRPr="00C94B65" w:rsidRDefault="00C94B65" w:rsidP="00C94B65">
      <w:pPr>
        <w:spacing w:after="160" w:line="259" w:lineRule="auto"/>
        <w:jc w:val="both"/>
        <w:rPr>
          <w:rFonts w:ascii="Palatino Linotype" w:eastAsiaTheme="minorHAnsi" w:hAnsi="Palatino Linotype" w:cs="Arial"/>
          <w:sz w:val="16"/>
          <w:szCs w:val="16"/>
          <w:lang w:val="es-MX" w:eastAsia="es-MX"/>
        </w:rPr>
      </w:pPr>
    </w:p>
    <w:p w14:paraId="74DF949F" w14:textId="77777777" w:rsidR="00C94B65" w:rsidRPr="00C94B65" w:rsidRDefault="00C94B65" w:rsidP="00C94B65">
      <w:pPr>
        <w:spacing w:line="360" w:lineRule="auto"/>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C94B65">
        <w:rPr>
          <w:rFonts w:ascii="Palatino Linotype" w:eastAsiaTheme="minorHAnsi" w:hAnsi="Palatino Linotype" w:cs="Arial"/>
          <w:szCs w:val="22"/>
          <w:lang w:val="es-MX" w:eastAsia="es-MX"/>
        </w:rPr>
        <w:t>homoclave</w:t>
      </w:r>
      <w:proofErr w:type="spellEnd"/>
      <w:r w:rsidRPr="00C94B65">
        <w:rPr>
          <w:rFonts w:ascii="Palatino Linotype" w:eastAsiaTheme="minorHAnsi" w:hAnsi="Palatino Linotype" w:cs="Arial"/>
          <w:szCs w:val="22"/>
          <w:lang w:val="es-MX" w:eastAsia="es-MX"/>
        </w:rPr>
        <w:t xml:space="preserve">, determinando la identificación de dicha persona para efectos fiscales, por lo que éste constituye un dato personal que concierne a una persona física identificada e identificable en términos de los artículos 3 fracción IX de </w:t>
      </w:r>
      <w:r w:rsidRPr="00C94B65">
        <w:rPr>
          <w:rFonts w:ascii="Palatino Linotype" w:eastAsiaTheme="minorHAnsi" w:hAnsi="Palatino Linotype" w:cs="Arial"/>
          <w:szCs w:val="22"/>
          <w:lang w:val="es-MX" w:eastAsia="es-MX"/>
        </w:rPr>
        <w:lastRenderedPageBreak/>
        <w:t>la Ley de Transparencia y Acceso a la Información Pública del Estado de México y Municipios y 4 fracción VII de la Ley de Protección de Datos Personales del Estado de México.</w:t>
      </w:r>
    </w:p>
    <w:p w14:paraId="4055A0F5" w14:textId="77777777" w:rsidR="00C94B65" w:rsidRPr="00C94B65" w:rsidRDefault="00C94B65" w:rsidP="00C94B65">
      <w:pPr>
        <w:spacing w:line="360" w:lineRule="auto"/>
        <w:ind w:right="-93"/>
        <w:jc w:val="both"/>
        <w:rPr>
          <w:rFonts w:ascii="Palatino Linotype" w:eastAsiaTheme="minorHAnsi" w:hAnsi="Palatino Linotype" w:cs="Arial"/>
          <w:szCs w:val="22"/>
          <w:lang w:val="es-MX" w:eastAsia="es-MX"/>
        </w:rPr>
      </w:pPr>
    </w:p>
    <w:p w14:paraId="300CA0F6" w14:textId="77777777" w:rsidR="00C94B65" w:rsidRPr="00C94B65" w:rsidRDefault="00C94B65" w:rsidP="00C94B65">
      <w:pPr>
        <w:spacing w:line="360" w:lineRule="auto"/>
        <w:ind w:right="-93"/>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 xml:space="preserve">De igual manera la </w:t>
      </w:r>
      <w:r w:rsidRPr="00C94B65">
        <w:rPr>
          <w:rFonts w:ascii="Palatino Linotype" w:eastAsiaTheme="minorHAnsi" w:hAnsi="Palatino Linotype" w:cs="Arial"/>
          <w:b/>
          <w:szCs w:val="22"/>
          <w:lang w:val="es-MX" w:eastAsia="en-US"/>
        </w:rPr>
        <w:t xml:space="preserve">Clave Única de Registro de Población, </w:t>
      </w:r>
      <w:r w:rsidRPr="00C94B65">
        <w:rPr>
          <w:rFonts w:ascii="Palatino Linotype" w:eastAsiaTheme="minorHAnsi" w:hAnsi="Palatino Linotype" w:cs="Arial"/>
          <w:szCs w:val="22"/>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F87BB8E" w14:textId="77777777" w:rsidR="00C94B65" w:rsidRPr="00C94B65" w:rsidRDefault="00C94B65" w:rsidP="00C94B65">
      <w:pPr>
        <w:spacing w:line="360" w:lineRule="auto"/>
        <w:ind w:right="-93"/>
        <w:jc w:val="both"/>
        <w:rPr>
          <w:rFonts w:ascii="Palatino Linotype" w:eastAsiaTheme="minorHAnsi" w:hAnsi="Palatino Linotype" w:cs="Arial"/>
          <w:szCs w:val="22"/>
          <w:lang w:val="es-MX" w:eastAsia="es-MX"/>
        </w:rPr>
      </w:pPr>
    </w:p>
    <w:p w14:paraId="45332DA6" w14:textId="77777777" w:rsidR="00C94B65" w:rsidRPr="00C94B65" w:rsidRDefault="00C94B65" w:rsidP="00C94B65">
      <w:pPr>
        <w:spacing w:line="360" w:lineRule="auto"/>
        <w:ind w:right="-93"/>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Lo anterior, tiene sustento en los artículos 86 y 91 de la Ley General de Población, la cual señala lo siguiente:</w:t>
      </w:r>
    </w:p>
    <w:p w14:paraId="576B04E8" w14:textId="77777777" w:rsidR="00C94B65" w:rsidRPr="00C94B65" w:rsidRDefault="00C94B65" w:rsidP="00C94B65">
      <w:pPr>
        <w:rPr>
          <w:sz w:val="4"/>
          <w:lang w:val="es-MX" w:eastAsia="es-MX"/>
        </w:rPr>
      </w:pPr>
    </w:p>
    <w:p w14:paraId="3FA81CAF" w14:textId="77777777" w:rsidR="00C94B65" w:rsidRPr="00C94B65" w:rsidRDefault="00C94B65" w:rsidP="00C94B65">
      <w:pPr>
        <w:spacing w:before="120" w:after="120" w:line="276" w:lineRule="auto"/>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Bold"/>
          <w:b/>
          <w:bCs/>
          <w:i/>
          <w:sz w:val="22"/>
          <w:szCs w:val="22"/>
          <w:lang w:val="es-MX" w:eastAsia="es-MX"/>
        </w:rPr>
        <w:t xml:space="preserve">“Artículo 86. </w:t>
      </w:r>
      <w:r w:rsidRPr="00C94B65">
        <w:rPr>
          <w:rFonts w:ascii="Palatino Linotype" w:eastAsiaTheme="minorHAnsi" w:hAnsi="Palatino Linotype" w:cs="Arial"/>
          <w:i/>
          <w:sz w:val="22"/>
          <w:szCs w:val="22"/>
          <w:lang w:val="es-MX" w:eastAsia="es-MX"/>
        </w:rPr>
        <w:t xml:space="preserve">El </w:t>
      </w:r>
      <w:r w:rsidRPr="00C94B65">
        <w:rPr>
          <w:rFonts w:ascii="Palatino Linotype" w:eastAsiaTheme="minorHAnsi" w:hAnsi="Palatino Linotype" w:cs="Arial"/>
          <w:i/>
          <w:color w:val="000000"/>
          <w:sz w:val="22"/>
          <w:szCs w:val="22"/>
          <w:lang w:val="es-MX" w:eastAsia="en-US"/>
        </w:rPr>
        <w:t>Registro</w:t>
      </w:r>
      <w:r w:rsidRPr="00C94B65">
        <w:rPr>
          <w:rFonts w:ascii="Palatino Linotype" w:eastAsiaTheme="minorHAnsi" w:hAnsi="Palatino Linotype" w:cs="Arial"/>
          <w:i/>
          <w:sz w:val="22"/>
          <w:szCs w:val="22"/>
          <w:lang w:val="es-MX" w:eastAsia="es-MX"/>
        </w:rPr>
        <w:t xml:space="preserve"> Nacional </w:t>
      </w:r>
      <w:r w:rsidRPr="00C94B65">
        <w:rPr>
          <w:rFonts w:ascii="Palatino Linotype" w:eastAsiaTheme="minorHAnsi" w:hAnsi="Palatino Linotype" w:cs="Arial"/>
          <w:i/>
          <w:sz w:val="22"/>
          <w:szCs w:val="22"/>
          <w:lang w:val="es-MX" w:eastAsia="en-US"/>
        </w:rPr>
        <w:t>de</w:t>
      </w:r>
      <w:r w:rsidRPr="00C94B65">
        <w:rPr>
          <w:rFonts w:ascii="Palatino Linotype" w:eastAsiaTheme="minorHAnsi" w:hAnsi="Palatino Linotype" w:cs="Arial"/>
          <w:i/>
          <w:sz w:val="22"/>
          <w:szCs w:val="22"/>
          <w:lang w:val="es-MX" w:eastAsia="es-MX"/>
        </w:rPr>
        <w:t xml:space="preserve"> Población tiene como finalidad registrar a cada una de las personas que integran la población del país, con los datos que permitan certificar y acreditar fehacientemente su identidad.</w:t>
      </w:r>
    </w:p>
    <w:p w14:paraId="2F614EB3" w14:textId="77777777" w:rsidR="00C94B65" w:rsidRPr="00C94B65" w:rsidRDefault="00C94B65" w:rsidP="00C94B65">
      <w:pPr>
        <w:spacing w:before="120" w:after="120" w:line="276" w:lineRule="auto"/>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Bold"/>
          <w:b/>
          <w:bCs/>
          <w:i/>
          <w:sz w:val="22"/>
          <w:szCs w:val="22"/>
          <w:lang w:val="es-MX" w:eastAsia="es-MX"/>
        </w:rPr>
        <w:t xml:space="preserve">Artículo 91. </w:t>
      </w:r>
      <w:r w:rsidRPr="00C94B65">
        <w:rPr>
          <w:rFonts w:ascii="Palatino Linotype" w:eastAsiaTheme="minorHAnsi" w:hAnsi="Palatino Linotype" w:cs="Arial"/>
          <w:i/>
          <w:sz w:val="22"/>
          <w:szCs w:val="22"/>
          <w:lang w:val="es-MX" w:eastAsia="es-MX"/>
        </w:rPr>
        <w:t xml:space="preserve">Al incorporar a una persona en el Registro Nacional de Población, se le asignará una clave que se denominará </w:t>
      </w:r>
      <w:r w:rsidRPr="00C94B65">
        <w:rPr>
          <w:rFonts w:ascii="Palatino Linotype" w:eastAsiaTheme="minorHAnsi" w:hAnsi="Palatino Linotype" w:cs="Arial"/>
          <w:i/>
          <w:color w:val="000000"/>
          <w:sz w:val="22"/>
          <w:szCs w:val="22"/>
          <w:lang w:val="es-MX" w:eastAsia="en-US"/>
        </w:rPr>
        <w:t>Clave</w:t>
      </w:r>
      <w:r w:rsidRPr="00C94B65">
        <w:rPr>
          <w:rFonts w:ascii="Palatino Linotype" w:eastAsiaTheme="minorHAnsi" w:hAnsi="Palatino Linotype" w:cs="Arial"/>
          <w:i/>
          <w:sz w:val="22"/>
          <w:szCs w:val="22"/>
          <w:lang w:val="es-MX" w:eastAsia="es-MX"/>
        </w:rPr>
        <w:t xml:space="preserve"> Única de Registro de Población. Esta servirá para registrarla e identificarla en forma </w:t>
      </w:r>
      <w:r w:rsidRPr="00C94B65">
        <w:rPr>
          <w:rFonts w:ascii="Palatino Linotype" w:eastAsiaTheme="minorHAnsi" w:hAnsi="Palatino Linotype" w:cs="Arial"/>
          <w:i/>
          <w:sz w:val="22"/>
          <w:szCs w:val="22"/>
          <w:lang w:val="es-MX" w:eastAsia="en-US"/>
        </w:rPr>
        <w:t>individual</w:t>
      </w:r>
      <w:r w:rsidRPr="00C94B65">
        <w:rPr>
          <w:rFonts w:ascii="Palatino Linotype" w:eastAsiaTheme="minorHAnsi" w:hAnsi="Palatino Linotype" w:cs="Arial"/>
          <w:i/>
          <w:sz w:val="22"/>
          <w:szCs w:val="22"/>
          <w:lang w:val="es-MX" w:eastAsia="es-MX"/>
        </w:rPr>
        <w:t>.”</w:t>
      </w:r>
    </w:p>
    <w:p w14:paraId="4314FCCC" w14:textId="77777777" w:rsidR="00C94B65" w:rsidRPr="00C94B65" w:rsidRDefault="00C94B65" w:rsidP="00C94B65">
      <w:pPr>
        <w:shd w:val="clear" w:color="auto" w:fill="FFFFFF"/>
        <w:spacing w:after="160" w:line="259" w:lineRule="auto"/>
        <w:jc w:val="both"/>
        <w:rPr>
          <w:rFonts w:ascii="Palatino Linotype" w:eastAsiaTheme="minorHAnsi" w:hAnsi="Palatino Linotype" w:cstheme="minorBidi"/>
          <w:sz w:val="16"/>
          <w:szCs w:val="16"/>
          <w:lang w:val="es-MX" w:eastAsia="es-MX"/>
        </w:rPr>
      </w:pPr>
    </w:p>
    <w:p w14:paraId="1732FACC" w14:textId="77777777" w:rsidR="00C94B65" w:rsidRPr="00C94B65" w:rsidRDefault="00C94B65" w:rsidP="00C94B65">
      <w:pPr>
        <w:shd w:val="clear" w:color="auto" w:fill="FFFFFF"/>
        <w:spacing w:line="360" w:lineRule="auto"/>
        <w:jc w:val="both"/>
        <w:rPr>
          <w:rFonts w:ascii="Palatino Linotype" w:eastAsiaTheme="minorHAnsi" w:hAnsi="Palatino Linotype" w:cstheme="minorBidi"/>
          <w:szCs w:val="22"/>
          <w:lang w:val="es-MX" w:eastAsia="es-MX"/>
        </w:rPr>
      </w:pPr>
      <w:r w:rsidRPr="00C94B65">
        <w:rPr>
          <w:rFonts w:ascii="Palatino Linotype" w:eastAsiaTheme="minorHAnsi" w:hAnsi="Palatino Linotype" w:cstheme="minorBidi"/>
          <w:szCs w:val="22"/>
          <w:lang w:val="es-MX"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C94B65">
        <w:rPr>
          <w:rFonts w:ascii="Palatino Linotype" w:eastAsiaTheme="minorHAnsi" w:hAnsi="Palatino Linotype" w:cs="Arial"/>
          <w:szCs w:val="22"/>
          <w:lang w:val="es-MX" w:eastAsia="es-MX"/>
        </w:rPr>
        <w:t>la primera letra del apellido paterno; seguida de la primera letra vocal del primer apellido; seguida de la primera letra del segundo apellido y por último la primera letra del nombre; fecha de nacimiento año/mes/día</w:t>
      </w:r>
      <w:r w:rsidRPr="00C94B65">
        <w:rPr>
          <w:rFonts w:ascii="Palatino Linotype" w:eastAsiaTheme="minorHAnsi" w:hAnsi="Palatino Linotype" w:cstheme="minorBidi"/>
          <w:szCs w:val="22"/>
          <w:lang w:val="es-MX" w:eastAsia="es-MX"/>
        </w:rPr>
        <w:t xml:space="preserve">; sexo; entidad federativa o lugar de </w:t>
      </w:r>
      <w:r w:rsidRPr="00C94B65">
        <w:rPr>
          <w:rFonts w:ascii="Palatino Linotype" w:eastAsiaTheme="minorHAnsi" w:hAnsi="Palatino Linotype" w:cstheme="minorBidi"/>
          <w:szCs w:val="22"/>
          <w:lang w:val="es-MX" w:eastAsia="es-MX"/>
        </w:rPr>
        <w:lastRenderedPageBreak/>
        <w:t xml:space="preserve">nacimiento; finalmente una </w:t>
      </w:r>
      <w:proofErr w:type="spellStart"/>
      <w:r w:rsidRPr="00C94B65">
        <w:rPr>
          <w:rFonts w:ascii="Palatino Linotype" w:eastAsiaTheme="minorHAnsi" w:hAnsi="Palatino Linotype" w:cstheme="minorBidi"/>
          <w:szCs w:val="22"/>
          <w:lang w:val="es-MX" w:eastAsia="es-MX"/>
        </w:rPr>
        <w:t>homoclave</w:t>
      </w:r>
      <w:proofErr w:type="spellEnd"/>
      <w:r w:rsidRPr="00C94B65">
        <w:rPr>
          <w:rFonts w:ascii="Palatino Linotype" w:eastAsiaTheme="minorHAnsi" w:hAnsi="Palatino Linotype" w:cstheme="minorBidi"/>
          <w:szCs w:val="22"/>
          <w:lang w:val="es-MX" w:eastAsia="es-MX"/>
        </w:rPr>
        <w:t xml:space="preserve"> o digito verificador, compuesto de dos elementos, con el que se evitan duplicaciones en la Clave, identifican el cambio de siglo y garantizan la correcta integración. </w:t>
      </w:r>
    </w:p>
    <w:p w14:paraId="19CC320A" w14:textId="77777777" w:rsidR="00C94B65" w:rsidRPr="00C94B65" w:rsidRDefault="00C94B65" w:rsidP="00C94B65">
      <w:pPr>
        <w:spacing w:line="360" w:lineRule="auto"/>
        <w:ind w:right="-91"/>
        <w:jc w:val="both"/>
        <w:rPr>
          <w:rFonts w:ascii="Palatino Linotype" w:eastAsiaTheme="minorHAnsi" w:hAnsi="Palatino Linotype" w:cs="Arial"/>
          <w:szCs w:val="22"/>
          <w:lang w:val="es-MX" w:eastAsia="es-MX"/>
        </w:rPr>
      </w:pPr>
    </w:p>
    <w:p w14:paraId="49A85983" w14:textId="77777777" w:rsidR="00C94B65" w:rsidRPr="00C94B65" w:rsidRDefault="00C94B65" w:rsidP="00C94B65">
      <w:pPr>
        <w:spacing w:line="360" w:lineRule="auto"/>
        <w:ind w:right="-91"/>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Al respecto, el INAI a través del Criterio 18/17, señala literalmente lo siguiente:</w:t>
      </w:r>
    </w:p>
    <w:p w14:paraId="5A7ED30D" w14:textId="77777777" w:rsidR="00C94B65" w:rsidRPr="00C94B65" w:rsidRDefault="00C94B65" w:rsidP="00C94B65">
      <w:pPr>
        <w:spacing w:before="120" w:after="120" w:line="259" w:lineRule="auto"/>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
          <w:b/>
          <w:bCs/>
          <w:i/>
          <w:sz w:val="22"/>
          <w:szCs w:val="22"/>
          <w:lang w:val="es-MX" w:eastAsia="es-MX"/>
        </w:rPr>
        <w:t>“Clave Única de Registro de Población (CURP)</w:t>
      </w:r>
      <w:r w:rsidRPr="00C94B65">
        <w:rPr>
          <w:rFonts w:ascii="Palatino Linotype" w:eastAsiaTheme="minorHAnsi" w:hAnsi="Palatino Linotype" w:cs="Arial"/>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E73791B" w14:textId="77777777" w:rsidR="00C94B65" w:rsidRPr="00C94B65" w:rsidRDefault="00C94B65" w:rsidP="00C94B65">
      <w:pPr>
        <w:spacing w:before="120" w:after="120" w:line="259" w:lineRule="auto"/>
        <w:ind w:left="851" w:right="900"/>
        <w:jc w:val="both"/>
        <w:rPr>
          <w:rFonts w:ascii="Palatino Linotype" w:eastAsiaTheme="minorHAnsi" w:hAnsi="Palatino Linotype" w:cs="Arial"/>
          <w:i/>
          <w:sz w:val="22"/>
          <w:szCs w:val="22"/>
          <w:lang w:val="es-MX" w:eastAsia="es-MX"/>
        </w:rPr>
      </w:pPr>
    </w:p>
    <w:p w14:paraId="3EF9E36A" w14:textId="77777777" w:rsidR="00C94B65" w:rsidRPr="00C94B65" w:rsidRDefault="00C94B65" w:rsidP="00C94B65">
      <w:pPr>
        <w:ind w:left="851" w:right="900"/>
        <w:jc w:val="both"/>
        <w:rPr>
          <w:rFonts w:ascii="Palatino Linotype" w:eastAsiaTheme="minorHAnsi" w:hAnsi="Palatino Linotype" w:cs="Arial"/>
          <w:b/>
          <w:i/>
          <w:sz w:val="22"/>
          <w:szCs w:val="22"/>
          <w:lang w:val="es-MX" w:eastAsia="es-MX"/>
        </w:rPr>
      </w:pPr>
      <w:r w:rsidRPr="00C94B65">
        <w:rPr>
          <w:rFonts w:ascii="Palatino Linotype" w:eastAsiaTheme="minorHAnsi" w:hAnsi="Palatino Linotype" w:cs="Arial"/>
          <w:b/>
          <w:i/>
          <w:sz w:val="22"/>
          <w:szCs w:val="22"/>
          <w:lang w:val="es-MX" w:eastAsia="es-MX"/>
        </w:rPr>
        <w:t>Resoluciones:</w:t>
      </w:r>
    </w:p>
    <w:p w14:paraId="139634D9" w14:textId="77777777" w:rsidR="00C94B65" w:rsidRPr="00C94B65" w:rsidRDefault="00C94B65" w:rsidP="00C94B65">
      <w:pPr>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
          <w:i/>
          <w:sz w:val="22"/>
          <w:szCs w:val="22"/>
          <w:lang w:val="es-MX" w:eastAsia="es-MX"/>
        </w:rPr>
        <w:t>•</w:t>
      </w:r>
      <w:r w:rsidRPr="00C94B65">
        <w:rPr>
          <w:rFonts w:ascii="Palatino Linotype" w:eastAsiaTheme="minorHAnsi" w:hAnsi="Palatino Linotype" w:cs="Arial"/>
          <w:i/>
          <w:sz w:val="22"/>
          <w:szCs w:val="22"/>
          <w:lang w:val="es-MX" w:eastAsia="es-MX"/>
        </w:rPr>
        <w:tab/>
      </w:r>
      <w:r w:rsidRPr="00C94B65">
        <w:rPr>
          <w:rFonts w:ascii="Palatino Linotype" w:eastAsiaTheme="minorHAnsi" w:hAnsi="Palatino Linotype" w:cs="Arial"/>
          <w:b/>
          <w:i/>
          <w:sz w:val="22"/>
          <w:szCs w:val="22"/>
          <w:lang w:val="es-MX" w:eastAsia="es-MX"/>
        </w:rPr>
        <w:t>RRA 3995/16</w:t>
      </w:r>
      <w:r w:rsidRPr="00C94B65">
        <w:rPr>
          <w:rFonts w:ascii="Palatino Linotype" w:eastAsiaTheme="minorHAnsi" w:hAnsi="Palatino Linotype" w:cs="Arial"/>
          <w:i/>
          <w:sz w:val="22"/>
          <w:szCs w:val="22"/>
          <w:lang w:val="es-MX" w:eastAsia="es-MX"/>
        </w:rPr>
        <w:t xml:space="preserve">. Secretaría de la Defensa Nacional. 1 de febrero de 2017. Por unanimidad. Comisionado Ponente </w:t>
      </w:r>
      <w:proofErr w:type="spellStart"/>
      <w:r w:rsidRPr="00C94B65">
        <w:rPr>
          <w:rFonts w:ascii="Palatino Linotype" w:eastAsiaTheme="minorHAnsi" w:hAnsi="Palatino Linotype" w:cs="Arial"/>
          <w:i/>
          <w:sz w:val="22"/>
          <w:szCs w:val="22"/>
          <w:lang w:val="es-MX" w:eastAsia="es-MX"/>
        </w:rPr>
        <w:t>Rosendoevgueni</w:t>
      </w:r>
      <w:proofErr w:type="spellEnd"/>
      <w:r w:rsidRPr="00C94B65">
        <w:rPr>
          <w:rFonts w:ascii="Palatino Linotype" w:eastAsiaTheme="minorHAnsi" w:hAnsi="Palatino Linotype" w:cs="Arial"/>
          <w:i/>
          <w:sz w:val="22"/>
          <w:szCs w:val="22"/>
          <w:lang w:val="es-MX" w:eastAsia="es-MX"/>
        </w:rPr>
        <w:t xml:space="preserve"> Monterrey </w:t>
      </w:r>
      <w:proofErr w:type="spellStart"/>
      <w:r w:rsidRPr="00C94B65">
        <w:rPr>
          <w:rFonts w:ascii="Palatino Linotype" w:eastAsiaTheme="minorHAnsi" w:hAnsi="Palatino Linotype" w:cs="Arial"/>
          <w:i/>
          <w:sz w:val="22"/>
          <w:szCs w:val="22"/>
          <w:lang w:val="es-MX" w:eastAsia="es-MX"/>
        </w:rPr>
        <w:t>Chepov</w:t>
      </w:r>
      <w:proofErr w:type="spellEnd"/>
      <w:r w:rsidRPr="00C94B65">
        <w:rPr>
          <w:rFonts w:ascii="Palatino Linotype" w:eastAsiaTheme="minorHAnsi" w:hAnsi="Palatino Linotype" w:cs="Arial"/>
          <w:i/>
          <w:sz w:val="22"/>
          <w:szCs w:val="22"/>
          <w:lang w:val="es-MX" w:eastAsia="es-MX"/>
        </w:rPr>
        <w:t>.</w:t>
      </w:r>
    </w:p>
    <w:p w14:paraId="04762C6C" w14:textId="77777777" w:rsidR="00C94B65" w:rsidRPr="00C94B65" w:rsidRDefault="00C94B65" w:rsidP="00C94B65">
      <w:pPr>
        <w:ind w:left="851" w:right="900"/>
        <w:jc w:val="both"/>
        <w:rPr>
          <w:rFonts w:ascii="Palatino Linotype" w:eastAsiaTheme="minorHAnsi" w:hAnsi="Palatino Linotype" w:cs="Arial"/>
          <w:i/>
          <w:sz w:val="22"/>
          <w:szCs w:val="22"/>
          <w:lang w:val="es-MX" w:eastAsia="es-MX"/>
        </w:rPr>
      </w:pPr>
      <w:r w:rsidRPr="00C94B65">
        <w:rPr>
          <w:rFonts w:ascii="Palatino Linotype" w:eastAsiaTheme="minorHAnsi" w:hAnsi="Palatino Linotype" w:cs="Arial"/>
          <w:i/>
          <w:sz w:val="22"/>
          <w:szCs w:val="22"/>
          <w:lang w:val="es-MX" w:eastAsia="es-MX"/>
        </w:rPr>
        <w:t>•</w:t>
      </w:r>
      <w:r w:rsidRPr="00C94B65">
        <w:rPr>
          <w:rFonts w:ascii="Palatino Linotype" w:eastAsiaTheme="minorHAnsi" w:hAnsi="Palatino Linotype" w:cs="Arial"/>
          <w:i/>
          <w:sz w:val="22"/>
          <w:szCs w:val="22"/>
          <w:lang w:val="es-MX" w:eastAsia="es-MX"/>
        </w:rPr>
        <w:tab/>
      </w:r>
      <w:r w:rsidRPr="00C94B65">
        <w:rPr>
          <w:rFonts w:ascii="Palatino Linotype" w:eastAsiaTheme="minorHAnsi" w:hAnsi="Palatino Linotype" w:cs="Arial"/>
          <w:b/>
          <w:i/>
          <w:sz w:val="22"/>
          <w:szCs w:val="22"/>
          <w:lang w:val="es-MX" w:eastAsia="es-MX"/>
        </w:rPr>
        <w:t>RRA 0937/17</w:t>
      </w:r>
      <w:r w:rsidRPr="00C94B65">
        <w:rPr>
          <w:rFonts w:ascii="Palatino Linotype" w:eastAsiaTheme="minorHAnsi" w:hAnsi="Palatino Linotype" w:cs="Arial"/>
          <w:i/>
          <w:sz w:val="22"/>
          <w:szCs w:val="22"/>
          <w:lang w:val="es-MX" w:eastAsia="es-MX"/>
        </w:rPr>
        <w:t xml:space="preserve">. Senado de la República. 15 de marzo de 2017. Por unanimidad. Comisionada Ponente Ximena Puente de la Mora. </w:t>
      </w:r>
    </w:p>
    <w:p w14:paraId="4492D891" w14:textId="77777777" w:rsidR="00C94B65" w:rsidRPr="00C94B65" w:rsidRDefault="00C94B65" w:rsidP="00C94B65">
      <w:pPr>
        <w:ind w:left="851" w:right="900"/>
        <w:jc w:val="both"/>
        <w:rPr>
          <w:rFonts w:ascii="Palatino Linotype" w:eastAsiaTheme="minorHAnsi" w:hAnsi="Palatino Linotype" w:cs="Arial"/>
          <w:sz w:val="22"/>
          <w:szCs w:val="22"/>
          <w:lang w:val="es-MX" w:eastAsia="es-MX"/>
        </w:rPr>
      </w:pPr>
      <w:r w:rsidRPr="00C94B65">
        <w:rPr>
          <w:rFonts w:ascii="Palatino Linotype" w:eastAsiaTheme="minorHAnsi" w:hAnsi="Palatino Linotype" w:cs="Arial"/>
          <w:i/>
          <w:sz w:val="22"/>
          <w:szCs w:val="22"/>
          <w:lang w:val="es-MX" w:eastAsia="es-MX"/>
        </w:rPr>
        <w:t>•</w:t>
      </w:r>
      <w:r w:rsidRPr="00C94B65">
        <w:rPr>
          <w:rFonts w:ascii="Palatino Linotype" w:eastAsiaTheme="minorHAnsi" w:hAnsi="Palatino Linotype" w:cs="Arial"/>
          <w:i/>
          <w:sz w:val="22"/>
          <w:szCs w:val="22"/>
          <w:lang w:val="es-MX" w:eastAsia="es-MX"/>
        </w:rPr>
        <w:tab/>
      </w:r>
      <w:r w:rsidRPr="00C94B65">
        <w:rPr>
          <w:rFonts w:ascii="Palatino Linotype" w:eastAsiaTheme="minorHAnsi" w:hAnsi="Palatino Linotype" w:cs="Arial"/>
          <w:b/>
          <w:i/>
          <w:sz w:val="22"/>
          <w:szCs w:val="22"/>
          <w:lang w:val="es-MX" w:eastAsia="es-MX"/>
        </w:rPr>
        <w:t>RRA 0478/17</w:t>
      </w:r>
      <w:r w:rsidRPr="00C94B65">
        <w:rPr>
          <w:rFonts w:ascii="Palatino Linotype" w:eastAsiaTheme="minorHAnsi" w:hAnsi="Palatino Linotype" w:cs="Arial"/>
          <w:i/>
          <w:sz w:val="22"/>
          <w:szCs w:val="22"/>
          <w:lang w:val="es-MX" w:eastAsia="es-MX"/>
        </w:rPr>
        <w:t>. Secretaría de Relaciones Exteriores. 26 de abril de 2017. Por unanimidad. Comisionada Ponente Areli Cano Guadiana.</w:t>
      </w:r>
      <w:r w:rsidRPr="00C94B65">
        <w:rPr>
          <w:rFonts w:ascii="Palatino Linotype" w:eastAsiaTheme="minorHAnsi" w:hAnsi="Palatino Linotype" w:cs="Arial"/>
          <w:i/>
          <w:sz w:val="22"/>
          <w:szCs w:val="22"/>
          <w:lang w:val="es-MX" w:eastAsia="en-US"/>
        </w:rPr>
        <w:t>”</w:t>
      </w:r>
    </w:p>
    <w:p w14:paraId="508B0865" w14:textId="77777777" w:rsidR="00C94B65" w:rsidRPr="00C94B65" w:rsidRDefault="00C94B65" w:rsidP="00C94B65">
      <w:pPr>
        <w:spacing w:after="160" w:line="360" w:lineRule="auto"/>
        <w:ind w:left="851" w:right="900"/>
        <w:jc w:val="both"/>
        <w:rPr>
          <w:rFonts w:ascii="Palatino Linotype" w:eastAsiaTheme="minorHAnsi" w:hAnsi="Palatino Linotype" w:cs="Arial"/>
          <w:sz w:val="16"/>
          <w:szCs w:val="16"/>
          <w:lang w:val="es-MX" w:eastAsia="es-MX"/>
        </w:rPr>
      </w:pPr>
    </w:p>
    <w:p w14:paraId="00CDDCBE" w14:textId="77777777" w:rsidR="00C94B65" w:rsidRPr="00C94B65" w:rsidRDefault="00C94B65" w:rsidP="00C94B65">
      <w:pPr>
        <w:spacing w:after="160" w:line="360" w:lineRule="auto"/>
        <w:ind w:right="-93"/>
        <w:jc w:val="both"/>
        <w:rPr>
          <w:rFonts w:ascii="Palatino Linotype" w:eastAsiaTheme="minorHAnsi" w:hAnsi="Palatino Linotype" w:cs="Arial"/>
          <w:szCs w:val="22"/>
          <w:lang w:val="es-MX" w:eastAsia="es-MX"/>
        </w:rPr>
      </w:pPr>
      <w:r w:rsidRPr="00C94B65">
        <w:rPr>
          <w:rFonts w:ascii="Palatino Linotype" w:eastAsiaTheme="minorHAnsi" w:hAnsi="Palatino Linotype" w:cs="Arial"/>
          <w:szCs w:val="22"/>
          <w:lang w:val="es-MX" w:eastAsia="es-MX"/>
        </w:rPr>
        <w:t xml:space="preserve">De lo anterior, se desprende que la </w:t>
      </w:r>
      <w:r w:rsidRPr="00C94B65">
        <w:rPr>
          <w:rFonts w:ascii="Palatino Linotype" w:eastAsiaTheme="minorHAnsi" w:hAnsi="Palatino Linotype" w:cstheme="minorBidi"/>
          <w:szCs w:val="22"/>
          <w:lang w:val="es-MX" w:eastAsia="es-MX"/>
        </w:rPr>
        <w:t xml:space="preserve">Clave Única de Registro de Población, </w:t>
      </w:r>
      <w:r w:rsidRPr="00C94B65">
        <w:rPr>
          <w:rFonts w:ascii="Palatino Linotype" w:eastAsiaTheme="minorHAnsi" w:hAnsi="Palatino Linotype" w:cs="Arial"/>
          <w:szCs w:val="22"/>
          <w:lang w:val="es-MX" w:eastAsia="es-MX"/>
        </w:rPr>
        <w:t xml:space="preserve">se encuentra vinculado al nombre de la persona, permitiendo identificar la edad, fecha de nacimiento, sexo, lugar de nacimiento, así como su </w:t>
      </w:r>
      <w:proofErr w:type="spellStart"/>
      <w:r w:rsidRPr="00C94B65">
        <w:rPr>
          <w:rFonts w:ascii="Palatino Linotype" w:eastAsiaTheme="minorHAnsi" w:hAnsi="Palatino Linotype" w:cs="Arial"/>
          <w:szCs w:val="22"/>
          <w:lang w:val="es-MX" w:eastAsia="es-MX"/>
        </w:rPr>
        <w:t>homoclave</w:t>
      </w:r>
      <w:proofErr w:type="spellEnd"/>
      <w:r w:rsidRPr="00C94B65">
        <w:rPr>
          <w:rFonts w:ascii="Palatino Linotype" w:eastAsiaTheme="minorHAnsi" w:hAnsi="Palatino Linotype" w:cs="Arial"/>
          <w:szCs w:val="22"/>
          <w:lang w:val="es-MX"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9D468C9" w14:textId="77777777" w:rsidR="00C94B65" w:rsidRPr="00C94B65" w:rsidRDefault="00C94B65" w:rsidP="00C94B65">
      <w:pPr>
        <w:widowControl w:val="0"/>
        <w:autoSpaceDE w:val="0"/>
        <w:autoSpaceDN w:val="0"/>
        <w:adjustRightInd w:val="0"/>
        <w:spacing w:line="360" w:lineRule="auto"/>
        <w:jc w:val="both"/>
        <w:rPr>
          <w:rFonts w:ascii="Palatino Linotype" w:eastAsiaTheme="minorHAnsi" w:hAnsi="Palatino Linotype" w:cs="Arial"/>
          <w:szCs w:val="22"/>
          <w:lang w:val="es-ES_tradnl" w:eastAsia="en-US"/>
        </w:rPr>
      </w:pPr>
    </w:p>
    <w:p w14:paraId="04C4A750" w14:textId="77777777" w:rsidR="00C94B65" w:rsidRPr="00C94B65" w:rsidRDefault="00C94B65" w:rsidP="00C94B65">
      <w:pPr>
        <w:widowControl w:val="0"/>
        <w:autoSpaceDE w:val="0"/>
        <w:autoSpaceDN w:val="0"/>
        <w:adjustRightInd w:val="0"/>
        <w:spacing w:line="360" w:lineRule="auto"/>
        <w:jc w:val="both"/>
        <w:rPr>
          <w:rFonts w:ascii="Palatino Linotype" w:eastAsiaTheme="minorHAnsi" w:hAnsi="Palatino Linotype" w:cstheme="minorBidi"/>
          <w:szCs w:val="22"/>
          <w:lang w:val="es-MX" w:eastAsia="en-US"/>
        </w:rPr>
      </w:pPr>
      <w:r w:rsidRPr="00C94B65">
        <w:rPr>
          <w:rFonts w:ascii="Palatino Linotype" w:eastAsiaTheme="minorHAnsi" w:hAnsi="Palatino Linotype" w:cs="Arial"/>
          <w:szCs w:val="22"/>
          <w:lang w:val="es-ES_tradnl" w:eastAsia="en-US"/>
        </w:rPr>
        <w:t>Por lo que hace a la</w:t>
      </w:r>
      <w:r w:rsidRPr="00C94B65">
        <w:rPr>
          <w:rFonts w:ascii="Palatino Linotype" w:eastAsiaTheme="minorHAnsi" w:hAnsi="Palatino Linotype" w:cs="Arial"/>
          <w:noProof/>
          <w:szCs w:val="22"/>
          <w:lang w:val="es-MX"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C94B65">
        <w:rPr>
          <w:rFonts w:ascii="Palatino Linotype" w:eastAsia="Calibri" w:hAnsi="Palatino Linotype" w:cs="Arial"/>
          <w:szCs w:val="22"/>
          <w:lang w:val="es-MX" w:eastAsia="en-US"/>
        </w:rPr>
        <w:t xml:space="preserve">de lo dispuesto en los artículos 3, fracción IX y 143, fracción I de la Ley de Transparencia y Acceso a la Información Pública del Estado de México y Municipios, </w:t>
      </w:r>
      <w:r w:rsidRPr="00C94B65">
        <w:rPr>
          <w:rFonts w:ascii="Palatino Linotype" w:eastAsiaTheme="minorHAnsi" w:hAnsi="Palatino Linotype" w:cs="Arial"/>
          <w:bCs/>
          <w:szCs w:val="22"/>
          <w:lang w:val="es-MX" w:eastAsia="es-MX"/>
        </w:rPr>
        <w:t xml:space="preserve">así como en el artículo 4, fracciones XI y XII de </w:t>
      </w:r>
      <w:r w:rsidRPr="00C94B65">
        <w:rPr>
          <w:rFonts w:ascii="Palatino Linotype" w:eastAsiaTheme="minorHAnsi" w:hAnsi="Palatino Linotype" w:cstheme="minorBidi"/>
          <w:szCs w:val="22"/>
          <w:lang w:val="es-MX" w:eastAsia="en-US"/>
        </w:rPr>
        <w:t xml:space="preserve">la Ley de Protección de Datos Personales en Posesión de Sujetos Obligados del Estado de México y Municipios, </w:t>
      </w:r>
      <w:r w:rsidRPr="00C94B65">
        <w:rPr>
          <w:rFonts w:ascii="Palatino Linotype" w:eastAsiaTheme="minorHAnsi" w:hAnsi="Palatino Linotype" w:cs="Arial"/>
          <w:lang w:val="es-MX" w:eastAsia="en-US"/>
        </w:rPr>
        <w:t>que establecen:</w:t>
      </w:r>
    </w:p>
    <w:p w14:paraId="075355B3" w14:textId="77777777" w:rsidR="00C94B65" w:rsidRPr="00C94B65" w:rsidRDefault="00C94B65" w:rsidP="00C94B65">
      <w:pPr>
        <w:rPr>
          <w:lang w:val="es-MX"/>
        </w:rPr>
      </w:pPr>
    </w:p>
    <w:p w14:paraId="230B58E5"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Artículo 3.</w:t>
      </w:r>
      <w:r w:rsidRPr="00C94B65">
        <w:rPr>
          <w:rFonts w:ascii="Palatino Linotype" w:eastAsiaTheme="minorHAnsi" w:hAnsi="Palatino Linotype" w:cs="Arial"/>
          <w:i/>
          <w:sz w:val="22"/>
          <w:lang w:val="es-MX" w:eastAsia="en-US"/>
        </w:rPr>
        <w:t xml:space="preserve"> Para los efectos de la presente Ley se entenderá por:</w:t>
      </w:r>
    </w:p>
    <w:p w14:paraId="055E0AC2"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w:t>
      </w:r>
    </w:p>
    <w:p w14:paraId="03CF657C"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IX. Datos personales:</w:t>
      </w:r>
      <w:r w:rsidRPr="00C94B65">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4674F195"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XX. Información clasificada:</w:t>
      </w:r>
      <w:r w:rsidRPr="00C94B65">
        <w:rPr>
          <w:rFonts w:ascii="Palatino Linotype" w:eastAsiaTheme="minorHAnsi" w:hAnsi="Palatino Linotype" w:cs="Arial"/>
          <w:i/>
          <w:sz w:val="22"/>
          <w:lang w:val="es-MX" w:eastAsia="en-US"/>
        </w:rPr>
        <w:t xml:space="preserve"> Aquella considerada por la presente Ley como reservada o confidencial;</w:t>
      </w:r>
    </w:p>
    <w:p w14:paraId="0F64A910"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XXI. Información confidencial:</w:t>
      </w:r>
      <w:r w:rsidRPr="00C94B65">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B68CAD"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XLV. Versión pública:</w:t>
      </w:r>
      <w:r w:rsidRPr="00C94B65">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w:t>
      </w:r>
    </w:p>
    <w:p w14:paraId="2D3F95BA"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w:t>
      </w:r>
    </w:p>
    <w:p w14:paraId="7B5FC1FB"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Artículo 91.</w:t>
      </w:r>
      <w:r w:rsidRPr="00C94B65">
        <w:rPr>
          <w:rFonts w:ascii="Palatino Linotype" w:eastAsiaTheme="minorHAnsi" w:hAnsi="Palatino Linotype" w:cs="Arial"/>
          <w:i/>
          <w:sz w:val="22"/>
          <w:lang w:val="es-MX" w:eastAsia="en-US"/>
        </w:rPr>
        <w:t xml:space="preserve"> El acceso a la información pública será restringido excepcionalmente, cuando ésta sea clasificada como reservada o confidencial.</w:t>
      </w:r>
    </w:p>
    <w:p w14:paraId="23A1A9FB" w14:textId="77777777" w:rsidR="00C94B65" w:rsidRPr="00C94B65" w:rsidRDefault="00C94B65" w:rsidP="00C94B65">
      <w:pPr>
        <w:ind w:left="851" w:right="851"/>
        <w:jc w:val="both"/>
        <w:rPr>
          <w:rFonts w:ascii="Palatino Linotype" w:eastAsiaTheme="minorHAnsi" w:hAnsi="Palatino Linotype" w:cs="Arial"/>
          <w:i/>
          <w:sz w:val="22"/>
          <w:lang w:val="es-MX" w:eastAsia="en-US"/>
        </w:rPr>
      </w:pPr>
    </w:p>
    <w:p w14:paraId="0C02B5F6"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Artículo 132.</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La clasificación de la información se llevará a cabo en el momento en que</w:t>
      </w:r>
      <w:r w:rsidRPr="00C94B65">
        <w:rPr>
          <w:rFonts w:ascii="Palatino Linotype" w:eastAsiaTheme="minorHAnsi" w:hAnsi="Palatino Linotype" w:cs="Arial"/>
          <w:i/>
          <w:sz w:val="22"/>
          <w:lang w:val="es-MX" w:eastAsia="en-US"/>
        </w:rPr>
        <w:t>:</w:t>
      </w:r>
    </w:p>
    <w:p w14:paraId="5F0B658C"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I.</w:t>
      </w:r>
      <w:r w:rsidRPr="00C94B65">
        <w:rPr>
          <w:rFonts w:ascii="Palatino Linotype" w:eastAsiaTheme="minorHAnsi" w:hAnsi="Palatino Linotype" w:cs="Arial"/>
          <w:i/>
          <w:sz w:val="22"/>
          <w:lang w:val="es-MX" w:eastAsia="en-US"/>
        </w:rPr>
        <w:t xml:space="preserve"> Se reciba una solicitud de acceso a la información;</w:t>
      </w:r>
    </w:p>
    <w:p w14:paraId="53439B21" w14:textId="77777777" w:rsidR="00C94B65" w:rsidRPr="00C94B65" w:rsidRDefault="00C94B65" w:rsidP="00C94B65">
      <w:pPr>
        <w:ind w:left="851" w:right="851"/>
        <w:jc w:val="both"/>
        <w:rPr>
          <w:rFonts w:ascii="Palatino Linotype" w:eastAsiaTheme="minorHAnsi" w:hAnsi="Palatino Linotype" w:cs="Arial"/>
          <w:i/>
          <w:sz w:val="22"/>
          <w:u w:val="single"/>
          <w:lang w:val="es-MX" w:eastAsia="en-US"/>
        </w:rPr>
      </w:pPr>
      <w:r w:rsidRPr="00C94B65">
        <w:rPr>
          <w:rFonts w:ascii="Palatino Linotype" w:eastAsiaTheme="minorHAnsi" w:hAnsi="Palatino Linotype" w:cs="Arial"/>
          <w:b/>
          <w:i/>
          <w:sz w:val="22"/>
          <w:lang w:val="es-MX" w:eastAsia="en-US"/>
        </w:rPr>
        <w:t>II.</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Se determine mediante resolución de autoridad competente; o</w:t>
      </w:r>
    </w:p>
    <w:p w14:paraId="63A310B6" w14:textId="77777777" w:rsidR="00C94B65" w:rsidRPr="00C94B65" w:rsidRDefault="00C94B65" w:rsidP="00C94B65">
      <w:pPr>
        <w:ind w:left="851" w:right="851"/>
        <w:jc w:val="both"/>
        <w:rPr>
          <w:rFonts w:ascii="Palatino Linotype" w:eastAsiaTheme="minorHAnsi" w:hAnsi="Palatino Linotype" w:cs="Arial"/>
          <w:i/>
          <w:sz w:val="22"/>
          <w:u w:val="single"/>
          <w:lang w:val="es-MX" w:eastAsia="en-US"/>
        </w:rPr>
      </w:pPr>
      <w:r w:rsidRPr="00C94B65">
        <w:rPr>
          <w:rFonts w:ascii="Palatino Linotype" w:eastAsiaTheme="minorHAnsi" w:hAnsi="Palatino Linotype" w:cs="Arial"/>
          <w:b/>
          <w:i/>
          <w:sz w:val="22"/>
          <w:lang w:val="es-MX" w:eastAsia="en-US"/>
        </w:rPr>
        <w:t>III.</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Se generen versiones públicas para dar cumplimiento a las obligaciones de transparencia previstas en esta Ley.</w:t>
      </w:r>
    </w:p>
    <w:p w14:paraId="01C4FA27"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w:t>
      </w:r>
    </w:p>
    <w:p w14:paraId="7CBD4A16" w14:textId="77777777" w:rsidR="00C94B65" w:rsidRPr="00C94B65" w:rsidRDefault="00C94B65" w:rsidP="00C94B65">
      <w:pPr>
        <w:ind w:left="851" w:right="851"/>
        <w:jc w:val="both"/>
        <w:rPr>
          <w:rFonts w:ascii="Palatino Linotype" w:eastAsiaTheme="minorHAnsi" w:hAnsi="Palatino Linotype" w:cs="Arial"/>
          <w:i/>
          <w:sz w:val="22"/>
          <w:lang w:val="es-MX" w:eastAsia="en-US"/>
        </w:rPr>
      </w:pPr>
    </w:p>
    <w:p w14:paraId="04D01660"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lastRenderedPageBreak/>
        <w:t>Artículo 143.</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Para los efectos de esta Ley se considera información confidencial, la clasificada como tal, de manera permanente, por su naturaleza, cuando</w:t>
      </w:r>
      <w:r w:rsidRPr="00C94B65">
        <w:rPr>
          <w:rFonts w:ascii="Palatino Linotype" w:eastAsiaTheme="minorHAnsi" w:hAnsi="Palatino Linotype" w:cs="Arial"/>
          <w:i/>
          <w:sz w:val="22"/>
          <w:lang w:val="es-MX" w:eastAsia="en-US"/>
        </w:rPr>
        <w:t>:</w:t>
      </w:r>
    </w:p>
    <w:p w14:paraId="3DF705F7"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I.</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 xml:space="preserve">Se refiera a la información privada y los datos personales concernientes a una persona física o </w:t>
      </w:r>
      <w:proofErr w:type="gramStart"/>
      <w:r w:rsidRPr="00C94B65">
        <w:rPr>
          <w:rFonts w:ascii="Palatino Linotype" w:eastAsiaTheme="minorHAnsi" w:hAnsi="Palatino Linotype" w:cs="Arial"/>
          <w:i/>
          <w:sz w:val="22"/>
          <w:u w:val="single"/>
          <w:lang w:val="es-MX" w:eastAsia="en-US"/>
        </w:rPr>
        <w:t>jurídico</w:t>
      </w:r>
      <w:proofErr w:type="gramEnd"/>
      <w:r w:rsidRPr="00C94B65">
        <w:rPr>
          <w:rFonts w:ascii="Palatino Linotype" w:eastAsiaTheme="minorHAnsi" w:hAnsi="Palatino Linotype" w:cs="Arial"/>
          <w:i/>
          <w:sz w:val="22"/>
          <w:u w:val="single"/>
          <w:lang w:val="es-MX" w:eastAsia="en-US"/>
        </w:rPr>
        <w:t xml:space="preserve"> colectiva identificada o identificable</w:t>
      </w:r>
      <w:r w:rsidRPr="00C94B65">
        <w:rPr>
          <w:rFonts w:ascii="Palatino Linotype" w:eastAsiaTheme="minorHAnsi" w:hAnsi="Palatino Linotype" w:cs="Arial"/>
          <w:i/>
          <w:sz w:val="22"/>
          <w:lang w:val="es-MX" w:eastAsia="en-US"/>
        </w:rPr>
        <w:t>;</w:t>
      </w:r>
    </w:p>
    <w:p w14:paraId="48ACAB33" w14:textId="77777777" w:rsidR="00C94B65" w:rsidRPr="00C94B65" w:rsidRDefault="00C94B65" w:rsidP="00C94B65">
      <w:pPr>
        <w:ind w:left="851" w:right="851"/>
        <w:jc w:val="both"/>
        <w:rPr>
          <w:rFonts w:ascii="Palatino Linotype" w:eastAsiaTheme="minorHAnsi" w:hAnsi="Palatino Linotype" w:cs="Arial"/>
          <w:i/>
          <w:sz w:val="22"/>
          <w:u w:val="single"/>
          <w:lang w:val="es-MX" w:eastAsia="en-US"/>
        </w:rPr>
      </w:pPr>
      <w:r w:rsidRPr="00C94B65">
        <w:rPr>
          <w:rFonts w:ascii="Palatino Linotype" w:eastAsiaTheme="minorHAnsi" w:hAnsi="Palatino Linotype" w:cs="Arial"/>
          <w:b/>
          <w:i/>
          <w:sz w:val="22"/>
          <w:lang w:val="es-MX" w:eastAsia="en-US"/>
        </w:rPr>
        <w:t>II.</w:t>
      </w:r>
      <w:r w:rsidRPr="00C94B65">
        <w:rPr>
          <w:rFonts w:ascii="Palatino Linotype" w:eastAsiaTheme="minorHAnsi" w:hAnsi="Palatino Linotype" w:cs="Arial"/>
          <w:i/>
          <w:sz w:val="22"/>
          <w:lang w:val="es-MX" w:eastAsia="en-US"/>
        </w:rPr>
        <w:t xml:space="preserve"> </w:t>
      </w:r>
      <w:r w:rsidRPr="00C94B65">
        <w:rPr>
          <w:rFonts w:ascii="Palatino Linotype" w:eastAsiaTheme="minorHAnsi" w:hAnsi="Palatino Linotype" w:cs="Arial"/>
          <w:i/>
          <w:sz w:val="22"/>
          <w:u w:val="single"/>
          <w:lang w:val="es-MX" w:eastAsia="en-US"/>
        </w:rPr>
        <w:t>Los secretos bancario, fiduciario, industrial, comercial, fiscal, bursátil y postal, cuya titularidad corresponda a particulares, sujetos de derecho internacional o a sujetos obligados cuando no involucren el ejercicio de recursos públicos; y</w:t>
      </w:r>
    </w:p>
    <w:p w14:paraId="23308E88"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b/>
          <w:i/>
          <w:sz w:val="22"/>
          <w:lang w:val="es-MX" w:eastAsia="en-US"/>
        </w:rPr>
        <w:t>III.</w:t>
      </w:r>
      <w:r w:rsidRPr="00C94B65">
        <w:rPr>
          <w:rFonts w:ascii="Palatino Linotype" w:eastAsiaTheme="minorHAnsi" w:hAnsi="Palatino Linotype" w:cs="Arial"/>
          <w:i/>
          <w:sz w:val="22"/>
          <w:lang w:val="es-MX" w:eastAsia="en-US"/>
        </w:rPr>
        <w:t xml:space="preserve"> La que presenten los particulares a los sujetos obligados, de conformidad con lo dispuesto por las leyes o los tratados internacionales.</w:t>
      </w:r>
    </w:p>
    <w:p w14:paraId="18D8CA6E"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La información confidencial no estará sujeta a temporalidad alguna y sólo podrán tener acceso a ella los titulares de la misma, sus representantes y los servidores públicos facultados para ello.</w:t>
      </w:r>
    </w:p>
    <w:p w14:paraId="4FDA9B54" w14:textId="77777777" w:rsidR="00C94B65" w:rsidRPr="00C94B65" w:rsidRDefault="00C94B65" w:rsidP="00C94B65">
      <w:pPr>
        <w:ind w:left="851" w:right="851"/>
        <w:jc w:val="both"/>
        <w:rPr>
          <w:rFonts w:ascii="Palatino Linotype" w:eastAsiaTheme="minorHAnsi" w:hAnsi="Palatino Linotype" w:cs="Arial"/>
          <w:i/>
          <w:sz w:val="22"/>
          <w:lang w:val="es-MX" w:eastAsia="en-US"/>
        </w:rPr>
      </w:pPr>
      <w:r w:rsidRPr="00C94B65">
        <w:rPr>
          <w:rFonts w:ascii="Palatino Linotype" w:eastAsiaTheme="minorHAnsi" w:hAnsi="Palatino Linotype" w:cs="Arial"/>
          <w:i/>
          <w:sz w:val="22"/>
          <w:lang w:val="es-MX" w:eastAsia="en-US"/>
        </w:rPr>
        <w:t>No se considerará confidencial la información que se encuentre en los registros públicos o en fuentes de acceso público, ni tampoco la que sea considerada por la presente ley como información pública. [Sic]</w:t>
      </w:r>
    </w:p>
    <w:p w14:paraId="1085B64B" w14:textId="77777777" w:rsidR="00C94B65" w:rsidRPr="00C94B65" w:rsidRDefault="00C94B65" w:rsidP="00C94B65">
      <w:pPr>
        <w:spacing w:line="360" w:lineRule="auto"/>
        <w:ind w:left="851" w:right="851"/>
        <w:jc w:val="both"/>
        <w:rPr>
          <w:rFonts w:ascii="Palatino Linotype" w:eastAsiaTheme="minorHAnsi" w:hAnsi="Palatino Linotype" w:cs="Arial"/>
          <w:i/>
          <w:sz w:val="22"/>
          <w:lang w:val="es-MX" w:eastAsia="en-US"/>
        </w:rPr>
      </w:pPr>
    </w:p>
    <w:p w14:paraId="74AF0760" w14:textId="77777777" w:rsidR="00C94B65" w:rsidRPr="00C94B65" w:rsidRDefault="00C94B65" w:rsidP="00C94B65">
      <w:pPr>
        <w:spacing w:line="360" w:lineRule="auto"/>
        <w:jc w:val="both"/>
        <w:rPr>
          <w:rFonts w:ascii="Palatino Linotype" w:eastAsiaTheme="minorHAnsi" w:hAnsi="Palatino Linotype" w:cstheme="minorBidi"/>
          <w:szCs w:val="22"/>
          <w:lang w:val="es-MX" w:eastAsia="en-US"/>
        </w:rPr>
      </w:pPr>
      <w:r w:rsidRPr="00C94B65">
        <w:rPr>
          <w:rFonts w:ascii="Palatino Linotype" w:eastAsiaTheme="minorHAnsi" w:hAnsi="Palatino Linotype" w:cstheme="minorBidi"/>
          <w:szCs w:val="22"/>
          <w:lang w:val="es-MX" w:eastAsia="en-US"/>
        </w:rPr>
        <w:t xml:space="preserve">Igualmente, los </w:t>
      </w:r>
      <w:r w:rsidRPr="00C94B65">
        <w:rPr>
          <w:rFonts w:ascii="Palatino Linotype" w:eastAsiaTheme="minorHAnsi" w:hAnsi="Palatino Linotype" w:cstheme="minorBidi"/>
          <w:i/>
          <w:szCs w:val="22"/>
          <w:lang w:val="es-MX" w:eastAsia="en-US"/>
        </w:rPr>
        <w:t>Lineamientos Generales en Materia de Clasificación y Desclasificación de la Información, así como para la elaboración de Versiones Públicas</w:t>
      </w:r>
      <w:r w:rsidRPr="00C94B65">
        <w:rPr>
          <w:rFonts w:ascii="Palatino Linotype" w:eastAsiaTheme="minorHAnsi" w:hAnsi="Palatino Linotype" w:cstheme="minorBidi"/>
          <w:szCs w:val="22"/>
          <w:lang w:val="es-MX" w:eastAsia="en-U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9BAED8D" w14:textId="77777777" w:rsidR="00C94B65" w:rsidRPr="00C94B65" w:rsidRDefault="00C94B65" w:rsidP="00C94B65">
      <w:pPr>
        <w:spacing w:line="360" w:lineRule="auto"/>
        <w:ind w:left="851" w:right="851"/>
        <w:jc w:val="both"/>
        <w:rPr>
          <w:rFonts w:ascii="Palatino Linotype" w:eastAsiaTheme="minorHAnsi" w:hAnsi="Palatino Linotype" w:cstheme="minorBidi"/>
          <w:szCs w:val="22"/>
          <w:lang w:val="es-MX" w:eastAsia="en-US"/>
        </w:rPr>
      </w:pPr>
    </w:p>
    <w:p w14:paraId="133827D9" w14:textId="0BE1D973" w:rsidR="00C94B65" w:rsidRDefault="00C94B65" w:rsidP="00C94B65">
      <w:pPr>
        <w:spacing w:line="360" w:lineRule="auto"/>
        <w:jc w:val="both"/>
        <w:rPr>
          <w:rFonts w:ascii="Palatino Linotype" w:eastAsiaTheme="minorHAnsi" w:hAnsi="Palatino Linotype" w:cs="Arial"/>
          <w:lang w:val="es-MX" w:eastAsia="es-CO"/>
        </w:rPr>
      </w:pPr>
      <w:r w:rsidRPr="00C94B65">
        <w:rPr>
          <w:rFonts w:ascii="Palatino Linotype" w:eastAsiaTheme="minorHAnsi" w:hAnsi="Palatino Linotype" w:cs="Arial"/>
          <w:lang w:val="es-MX"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C94B65">
        <w:rPr>
          <w:rFonts w:ascii="Palatino Linotype" w:eastAsiaTheme="minorHAnsi" w:hAnsi="Palatino Linotype" w:cs="Arial"/>
          <w:lang w:val="es-MX" w:eastAsia="es-CO"/>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25FCA78" w14:textId="5FE7588D" w:rsidR="00EC2430" w:rsidRDefault="00EC2430" w:rsidP="00C94B65">
      <w:pPr>
        <w:spacing w:line="360" w:lineRule="auto"/>
        <w:jc w:val="both"/>
        <w:rPr>
          <w:rFonts w:ascii="Palatino Linotype" w:eastAsiaTheme="minorHAnsi" w:hAnsi="Palatino Linotype" w:cs="Arial"/>
          <w:lang w:val="es-MX" w:eastAsia="es-CO"/>
        </w:rPr>
      </w:pPr>
    </w:p>
    <w:p w14:paraId="1A501FC2" w14:textId="77777777" w:rsidR="00EC2430" w:rsidRDefault="00EC2430" w:rsidP="00DC357D">
      <w:pPr>
        <w:numPr>
          <w:ilvl w:val="0"/>
          <w:numId w:val="22"/>
        </w:numPr>
        <w:tabs>
          <w:tab w:val="left" w:pos="709"/>
        </w:tabs>
        <w:spacing w:line="360" w:lineRule="auto"/>
        <w:jc w:val="both"/>
        <w:rPr>
          <w:rFonts w:ascii="Palatino Linotype" w:hAnsi="Palatino Linotype"/>
          <w:i/>
          <w:sz w:val="28"/>
        </w:rPr>
      </w:pPr>
      <w:r>
        <w:rPr>
          <w:rFonts w:ascii="Palatino Linotype" w:hAnsi="Palatino Linotype"/>
          <w:b/>
          <w:i/>
          <w:sz w:val="28"/>
        </w:rPr>
        <w:t>Vista al Órgano de Control Interno</w:t>
      </w:r>
    </w:p>
    <w:p w14:paraId="0EDF0EBA" w14:textId="77777777" w:rsidR="00EC2430" w:rsidRDefault="00EC2430" w:rsidP="00EC2430">
      <w:pPr>
        <w:tabs>
          <w:tab w:val="left" w:pos="709"/>
        </w:tabs>
        <w:spacing w:line="360" w:lineRule="auto"/>
        <w:jc w:val="both"/>
        <w:rPr>
          <w:rFonts w:ascii="Palatino Linotype" w:eastAsiaTheme="minorHAnsi" w:hAnsi="Palatino Linotype" w:cstheme="minorBidi"/>
          <w:lang w:val="es-MX" w:eastAsia="en-US"/>
        </w:rPr>
      </w:pPr>
    </w:p>
    <w:p w14:paraId="1E44A05B" w14:textId="77777777" w:rsidR="00EC2430" w:rsidRDefault="00EC2430" w:rsidP="00EC2430">
      <w:pPr>
        <w:tabs>
          <w:tab w:val="left" w:pos="709"/>
        </w:tabs>
        <w:spacing w:line="360" w:lineRule="auto"/>
        <w:jc w:val="both"/>
        <w:rPr>
          <w:rFonts w:ascii="Palatino Linotype" w:hAnsi="Palatino Linotype"/>
        </w:rPr>
      </w:pPr>
      <w:r>
        <w:rPr>
          <w:rFonts w:ascii="Palatino Linotype" w:hAnsi="Palatino Linotype"/>
        </w:rPr>
        <w:t xml:space="preserve">Es necesario resaltar que el recurso de revisión previsto en la Ley de la materia no es el medio para investigar y en su caso, sancionar a servidores públicos por la indebida clasificación de los datos confidenciales o sensibles; sin embargo, dados los planteamientos que se formularon al presentarse el recurso de revisión, se dará vista al área competente para que en ejercicio de sus atribuciones realice las investigaciones pertinentes por las omisiones detectadas atribuibles al </w:t>
      </w:r>
      <w:r>
        <w:rPr>
          <w:rFonts w:ascii="Palatino Linotype" w:hAnsi="Palatino Linotype"/>
          <w:b/>
        </w:rPr>
        <w:t>Sujeto Obligado</w:t>
      </w:r>
      <w:r>
        <w:rPr>
          <w:rFonts w:ascii="Palatino Linotype" w:hAnsi="Palatino Linotype"/>
        </w:rPr>
        <w:t>.</w:t>
      </w:r>
    </w:p>
    <w:p w14:paraId="49C89208" w14:textId="77777777" w:rsidR="00EC2430" w:rsidRDefault="00EC2430" w:rsidP="00EC2430">
      <w:pPr>
        <w:tabs>
          <w:tab w:val="left" w:pos="709"/>
        </w:tabs>
        <w:spacing w:line="360" w:lineRule="auto"/>
        <w:jc w:val="both"/>
        <w:rPr>
          <w:rFonts w:ascii="Palatino Linotype" w:hAnsi="Palatino Linotype"/>
        </w:rPr>
      </w:pPr>
    </w:p>
    <w:p w14:paraId="2E9727FB" w14:textId="77777777" w:rsidR="00EC2430" w:rsidRDefault="00EC2430" w:rsidP="00EC2430">
      <w:pPr>
        <w:tabs>
          <w:tab w:val="left" w:pos="709"/>
        </w:tabs>
        <w:spacing w:line="360" w:lineRule="auto"/>
        <w:jc w:val="both"/>
        <w:rPr>
          <w:rFonts w:ascii="Palatino Linotype" w:hAnsi="Palatino Linotype"/>
        </w:rPr>
      </w:pPr>
      <w:r>
        <w:rPr>
          <w:rFonts w:ascii="Palatino Linotype" w:hAnsi="Palatino Linotype"/>
        </w:rPr>
        <w:t>Por ello, es conveniente señalar la fracción X, del artículo 36, de la Ley de Transparencia y Acceso a la Información Pública del Estado de México y Municipios, que establece:</w:t>
      </w:r>
    </w:p>
    <w:p w14:paraId="77E5914F" w14:textId="77777777" w:rsidR="00EC2430" w:rsidRDefault="00EC2430" w:rsidP="00EC2430">
      <w:pPr>
        <w:tabs>
          <w:tab w:val="left" w:pos="709"/>
        </w:tabs>
        <w:spacing w:line="360" w:lineRule="auto"/>
        <w:jc w:val="both"/>
        <w:rPr>
          <w:rFonts w:ascii="Palatino Linotype" w:hAnsi="Palatino Linotype"/>
        </w:rPr>
      </w:pPr>
    </w:p>
    <w:p w14:paraId="3D048EB1" w14:textId="77777777" w:rsidR="00EC2430" w:rsidRDefault="00EC2430" w:rsidP="00EC2430">
      <w:pPr>
        <w:tabs>
          <w:tab w:val="left" w:pos="709"/>
        </w:tabs>
        <w:ind w:left="567" w:right="567"/>
        <w:jc w:val="both"/>
        <w:rPr>
          <w:rFonts w:ascii="Palatino Linotype" w:hAnsi="Palatino Linotype"/>
          <w:i/>
          <w:sz w:val="22"/>
        </w:rPr>
      </w:pPr>
      <w:r>
        <w:rPr>
          <w:rFonts w:ascii="Palatino Linotype" w:hAnsi="Palatino Linotype"/>
          <w:i/>
        </w:rPr>
        <w:t>“</w:t>
      </w:r>
      <w:r>
        <w:rPr>
          <w:rFonts w:ascii="Palatino Linotype" w:hAnsi="Palatino Linotype"/>
          <w:b/>
          <w:i/>
        </w:rPr>
        <w:t>Artículo 36</w:t>
      </w:r>
      <w:r>
        <w:rPr>
          <w:rFonts w:ascii="Palatino Linotype" w:hAnsi="Palatino Linotype"/>
          <w:i/>
        </w:rPr>
        <w:t>. El Instituto tendrá, en el ámbito de su competencia, las siguientes atribuciones:</w:t>
      </w:r>
    </w:p>
    <w:p w14:paraId="72E2F40A" w14:textId="77777777" w:rsidR="00EC2430" w:rsidRDefault="00EC2430" w:rsidP="00EC2430">
      <w:pPr>
        <w:tabs>
          <w:tab w:val="left" w:pos="709"/>
        </w:tabs>
        <w:ind w:left="567" w:right="567"/>
        <w:jc w:val="both"/>
        <w:rPr>
          <w:rFonts w:ascii="Palatino Linotype" w:hAnsi="Palatino Linotype"/>
          <w:i/>
        </w:rPr>
      </w:pPr>
      <w:r>
        <w:rPr>
          <w:rFonts w:ascii="Palatino Linotype" w:hAnsi="Palatino Linotype"/>
          <w:i/>
        </w:rPr>
        <w:t>…</w:t>
      </w:r>
    </w:p>
    <w:p w14:paraId="07B91860" w14:textId="77777777" w:rsidR="00EC2430" w:rsidRDefault="00EC2430" w:rsidP="00EC2430">
      <w:pPr>
        <w:tabs>
          <w:tab w:val="left" w:pos="709"/>
        </w:tabs>
        <w:ind w:left="567" w:right="567"/>
        <w:jc w:val="both"/>
        <w:rPr>
          <w:rFonts w:ascii="Palatino Linotype" w:hAnsi="Palatino Linotype"/>
          <w:i/>
        </w:rPr>
      </w:pPr>
      <w:r>
        <w:rPr>
          <w:rFonts w:ascii="Palatino Linotype" w:hAnsi="Palatino Linotype"/>
          <w:b/>
          <w:i/>
        </w:rPr>
        <w:t>X</w:t>
      </w:r>
      <w:r>
        <w:rPr>
          <w:rFonts w:ascii="Palatino Linotype" w:hAnsi="Palatino Linotype"/>
          <w:i/>
        </w:rPr>
        <w:t xml:space="preserve">. Hacer del conocimiento del órgano de control interno o equivalente de cada Sujeto Obligado las infracciones a esta Ley; </w:t>
      </w:r>
    </w:p>
    <w:p w14:paraId="62E8CE59" w14:textId="77777777" w:rsidR="00EC2430" w:rsidRDefault="00EC2430" w:rsidP="00EC2430">
      <w:pPr>
        <w:tabs>
          <w:tab w:val="left" w:pos="709"/>
        </w:tabs>
        <w:ind w:left="567" w:right="567"/>
        <w:jc w:val="both"/>
        <w:rPr>
          <w:rFonts w:ascii="Palatino Linotype" w:hAnsi="Palatino Linotype"/>
          <w:i/>
        </w:rPr>
      </w:pPr>
      <w:r>
        <w:rPr>
          <w:rFonts w:ascii="Palatino Linotype" w:hAnsi="Palatino Linotype"/>
          <w:i/>
        </w:rPr>
        <w:t>…”</w:t>
      </w:r>
    </w:p>
    <w:p w14:paraId="1841245F" w14:textId="77777777" w:rsidR="00EC2430" w:rsidRDefault="00EC2430" w:rsidP="00EC2430">
      <w:pPr>
        <w:tabs>
          <w:tab w:val="left" w:pos="709"/>
        </w:tabs>
        <w:spacing w:line="360" w:lineRule="auto"/>
        <w:jc w:val="both"/>
        <w:rPr>
          <w:rFonts w:ascii="Palatino Linotype" w:hAnsi="Palatino Linotype"/>
        </w:rPr>
      </w:pPr>
    </w:p>
    <w:p w14:paraId="161D038A" w14:textId="77777777" w:rsidR="00EC2430" w:rsidRDefault="00EC2430" w:rsidP="00EC2430">
      <w:pPr>
        <w:tabs>
          <w:tab w:val="left" w:pos="709"/>
        </w:tabs>
        <w:spacing w:line="360" w:lineRule="auto"/>
        <w:jc w:val="both"/>
        <w:rPr>
          <w:rFonts w:ascii="Palatino Linotype" w:hAnsi="Palatino Linotype"/>
        </w:rPr>
      </w:pPr>
      <w:r>
        <w:rPr>
          <w:rFonts w:ascii="Palatino Linotype" w:hAnsi="Palatino Linotype"/>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21D935B" w14:textId="77777777" w:rsidR="00EC2430" w:rsidRDefault="00EC2430" w:rsidP="00EC2430">
      <w:pPr>
        <w:tabs>
          <w:tab w:val="left" w:pos="709"/>
        </w:tabs>
        <w:spacing w:line="360" w:lineRule="auto"/>
        <w:jc w:val="both"/>
        <w:rPr>
          <w:rFonts w:ascii="Palatino Linotype" w:hAnsi="Palatino Linotype"/>
        </w:rPr>
      </w:pPr>
    </w:p>
    <w:p w14:paraId="73AAFC2C" w14:textId="77777777" w:rsidR="00EC2430" w:rsidRDefault="00EC2430" w:rsidP="00EC2430">
      <w:pPr>
        <w:tabs>
          <w:tab w:val="left" w:pos="709"/>
        </w:tabs>
        <w:ind w:left="567" w:right="567"/>
        <w:jc w:val="both"/>
        <w:rPr>
          <w:rFonts w:ascii="Palatino Linotype" w:hAnsi="Palatino Linotype"/>
          <w:i/>
          <w:sz w:val="22"/>
        </w:rPr>
      </w:pPr>
      <w:r>
        <w:rPr>
          <w:rFonts w:ascii="Palatino Linotype" w:hAnsi="Palatino Linotype"/>
          <w:i/>
        </w:rPr>
        <w:t>“</w:t>
      </w:r>
      <w:r>
        <w:rPr>
          <w:rFonts w:ascii="Palatino Linotype" w:hAnsi="Palatino Linotype"/>
          <w:b/>
          <w:i/>
        </w:rPr>
        <w:t>Artículo 190</w:t>
      </w:r>
      <w:r>
        <w:rPr>
          <w:rFonts w:ascii="Palatino Linotype" w:hAnsi="Palatino Linotype"/>
          <w:i/>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1991667" w14:textId="77777777" w:rsidR="00EC2430" w:rsidRDefault="00EC2430" w:rsidP="00EC2430">
      <w:pPr>
        <w:tabs>
          <w:tab w:val="left" w:pos="709"/>
        </w:tabs>
        <w:ind w:left="567" w:right="567"/>
        <w:jc w:val="both"/>
        <w:rPr>
          <w:rFonts w:ascii="Palatino Linotype" w:hAnsi="Palatino Linotype"/>
          <w:i/>
        </w:rPr>
      </w:pPr>
    </w:p>
    <w:p w14:paraId="68FD2EFA" w14:textId="77777777" w:rsidR="00EC2430" w:rsidRDefault="00EC2430" w:rsidP="00EC2430">
      <w:pPr>
        <w:tabs>
          <w:tab w:val="left" w:pos="709"/>
        </w:tabs>
        <w:ind w:left="567" w:right="567"/>
        <w:jc w:val="both"/>
        <w:rPr>
          <w:rFonts w:ascii="Palatino Linotype" w:hAnsi="Palatino Linotype"/>
          <w:i/>
        </w:rPr>
      </w:pPr>
      <w:r>
        <w:rPr>
          <w:rFonts w:ascii="Palatino Linotype" w:hAnsi="Palatino Linotype"/>
          <w:b/>
          <w:i/>
        </w:rPr>
        <w:t>Artículo 222</w:t>
      </w:r>
      <w:r>
        <w:rPr>
          <w:rFonts w:ascii="Palatino Linotype" w:hAnsi="Palatino Linotype"/>
          <w:i/>
        </w:rPr>
        <w:t>. Son causas de responsabilidad administrativa de los servidores públicos de los sujetos obligados, por incumplimiento de las obligaciones establecidas en la materia de la presente Ley, las siguientes:</w:t>
      </w:r>
    </w:p>
    <w:p w14:paraId="54002A8D" w14:textId="77777777" w:rsidR="00EC2430" w:rsidRDefault="00EC2430" w:rsidP="00EC2430">
      <w:pPr>
        <w:tabs>
          <w:tab w:val="left" w:pos="709"/>
        </w:tabs>
        <w:ind w:left="567" w:right="567"/>
        <w:jc w:val="both"/>
        <w:rPr>
          <w:rFonts w:ascii="Palatino Linotype" w:hAnsi="Palatino Linotype"/>
          <w:i/>
        </w:rPr>
      </w:pPr>
      <w:r>
        <w:rPr>
          <w:rFonts w:ascii="Palatino Linotype" w:hAnsi="Palatino Linotype"/>
          <w:i/>
        </w:rPr>
        <w:t>…</w:t>
      </w:r>
    </w:p>
    <w:p w14:paraId="256D4096" w14:textId="77777777" w:rsidR="00EC2430" w:rsidRDefault="00EC2430" w:rsidP="00EC2430">
      <w:pPr>
        <w:tabs>
          <w:tab w:val="left" w:pos="709"/>
        </w:tabs>
        <w:ind w:left="567" w:right="567"/>
        <w:jc w:val="both"/>
        <w:rPr>
          <w:rFonts w:ascii="Palatino Linotype" w:hAnsi="Palatino Linotype"/>
          <w:i/>
        </w:rPr>
      </w:pPr>
      <w:r>
        <w:rPr>
          <w:rFonts w:ascii="Palatino Linotype" w:hAnsi="Palatino Linotype"/>
          <w:i/>
        </w:rPr>
        <w:t>I. Cualquier acto u omisión que provoque la suspensión o deficiencia en la atención de las solicitudes de información;</w:t>
      </w:r>
    </w:p>
    <w:p w14:paraId="6B537A67" w14:textId="77777777" w:rsidR="00EC2430" w:rsidRDefault="00EC2430" w:rsidP="00EC2430">
      <w:pPr>
        <w:tabs>
          <w:tab w:val="left" w:pos="709"/>
        </w:tabs>
        <w:ind w:left="567" w:right="567"/>
        <w:jc w:val="both"/>
        <w:rPr>
          <w:rFonts w:ascii="Palatino Linotype" w:hAnsi="Palatino Linotype"/>
          <w:i/>
        </w:rPr>
      </w:pPr>
      <w:r>
        <w:rPr>
          <w:rFonts w:ascii="Palatino Linotype" w:hAnsi="Palatino Linotype"/>
          <w:i/>
        </w:rPr>
        <w:t>II. La falta de respuesta a las solicitudes de información en los plazos señalados en la normatividad aplicable;</w:t>
      </w:r>
    </w:p>
    <w:p w14:paraId="7C8BBF4B" w14:textId="77777777" w:rsidR="00EC2430" w:rsidRDefault="00EC2430" w:rsidP="00EC2430">
      <w:pPr>
        <w:tabs>
          <w:tab w:val="left" w:pos="709"/>
        </w:tabs>
        <w:ind w:left="567" w:right="567"/>
        <w:jc w:val="both"/>
        <w:rPr>
          <w:rFonts w:ascii="Palatino Linotype" w:hAnsi="Palatino Linotype"/>
          <w:i/>
        </w:rPr>
      </w:pPr>
      <w:r>
        <w:rPr>
          <w:rFonts w:ascii="Palatino Linotype" w:hAnsi="Palatino Linotype"/>
          <w:i/>
        </w:rPr>
        <w:t>…</w:t>
      </w:r>
    </w:p>
    <w:p w14:paraId="1836A672" w14:textId="77777777" w:rsidR="00EC2430" w:rsidRDefault="00EC2430" w:rsidP="00EC2430">
      <w:pPr>
        <w:tabs>
          <w:tab w:val="left" w:pos="709"/>
        </w:tabs>
        <w:ind w:left="567" w:right="567"/>
        <w:jc w:val="both"/>
        <w:rPr>
          <w:rFonts w:ascii="Palatino Linotype" w:hAnsi="Palatino Linotype"/>
          <w:i/>
        </w:rPr>
      </w:pPr>
      <w:r>
        <w:rPr>
          <w:rFonts w:ascii="Palatino Linotype" w:hAnsi="Palatino Linotype"/>
          <w:b/>
          <w:i/>
        </w:rPr>
        <w:t>Artículo 223</w:t>
      </w:r>
      <w:r>
        <w:rPr>
          <w:rFonts w:ascii="Palatino Linotype" w:hAnsi="Palatino Linotype"/>
          <w:i/>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93CF5E9" w14:textId="77777777" w:rsidR="00EC2430" w:rsidRPr="00C94B65" w:rsidRDefault="00EC2430" w:rsidP="00C94B65">
      <w:pPr>
        <w:spacing w:line="360" w:lineRule="auto"/>
        <w:jc w:val="both"/>
        <w:rPr>
          <w:rFonts w:ascii="Palatino Linotype" w:eastAsiaTheme="minorHAnsi" w:hAnsi="Palatino Linotype" w:cs="Arial"/>
          <w:lang w:val="es-MX" w:eastAsia="es-CO"/>
        </w:rPr>
      </w:pPr>
    </w:p>
    <w:p w14:paraId="5BAA508A" w14:textId="77777777" w:rsidR="00B57B32" w:rsidRPr="00657FEF" w:rsidRDefault="00B57B32" w:rsidP="00B57B32">
      <w:pPr>
        <w:spacing w:after="120" w:line="360" w:lineRule="auto"/>
        <w:jc w:val="both"/>
        <w:rPr>
          <w:rFonts w:ascii="Palatino Linotype" w:hAnsi="Palatino Linotype" w:cs="Arial"/>
        </w:rPr>
      </w:pPr>
    </w:p>
    <w:p w14:paraId="2FE09FD7" w14:textId="3ECAB991" w:rsidR="00B57B32" w:rsidRDefault="000A5A65" w:rsidP="00B57B32">
      <w:pPr>
        <w:spacing w:line="360" w:lineRule="auto"/>
        <w:jc w:val="both"/>
        <w:rPr>
          <w:rFonts w:ascii="Palatino Linotype" w:eastAsia="Calibri" w:hAnsi="Palatino Linotype"/>
        </w:rPr>
      </w:pPr>
      <w:r w:rsidRPr="00AB2C05">
        <w:rPr>
          <w:rFonts w:ascii="Palatino Linotype" w:eastAsia="Calibri" w:hAnsi="Palatino Linotype" w:cs="Arial"/>
          <w:lang w:eastAsia="es-MX"/>
        </w:rPr>
        <w:lastRenderedPageBreak/>
        <w:t>Final</w:t>
      </w:r>
      <w:r w:rsidRPr="00AB2C05">
        <w:rPr>
          <w:rFonts w:ascii="Palatino Linotype" w:eastAsia="Calibri" w:hAnsi="Palatino Linotype"/>
        </w:rPr>
        <w:t>mente,</w:t>
      </w:r>
      <w:r w:rsidR="00B57B32" w:rsidRPr="00AB2C05">
        <w:rPr>
          <w:rFonts w:ascii="Palatino Linotype" w:eastAsia="Calibri" w:hAnsi="Palatino Linotype"/>
        </w:rPr>
        <w:t xml:space="preserve"> y en mérito de lo expuesto en líneas anteriores, resultan fundados los motivos de inconformidad vertidos por </w:t>
      </w:r>
      <w:r w:rsidR="00C526F3">
        <w:rPr>
          <w:rFonts w:ascii="Palatino Linotype" w:eastAsia="Calibri" w:hAnsi="Palatino Linotype"/>
          <w:b/>
          <w:bCs/>
        </w:rPr>
        <w:t>El</w:t>
      </w:r>
      <w:r w:rsidR="00B57B32" w:rsidRPr="00AB2C05">
        <w:rPr>
          <w:rFonts w:ascii="Palatino Linotype" w:eastAsia="Calibri" w:hAnsi="Palatino Linotype"/>
        </w:rPr>
        <w:t xml:space="preserve"> </w:t>
      </w:r>
      <w:r w:rsidR="00B57B32" w:rsidRPr="00AB2C05">
        <w:rPr>
          <w:rFonts w:ascii="Palatino Linotype" w:eastAsia="Calibri" w:hAnsi="Palatino Linotype"/>
          <w:b/>
        </w:rPr>
        <w:t>Recurrente</w:t>
      </w:r>
      <w:r w:rsidR="00B57B32" w:rsidRPr="00AB2C05">
        <w:rPr>
          <w:rFonts w:ascii="Palatino Linotype" w:eastAsia="Calibri" w:hAnsi="Palatino Linotype"/>
        </w:rPr>
        <w:t xml:space="preserve">, por ello con fundamento en el artículo 186 fracción III de la Ley de Transparencia y Acceso a la Información Pública del Estado de México y Municipios, se </w:t>
      </w:r>
      <w:r w:rsidR="00B57B32">
        <w:rPr>
          <w:rFonts w:ascii="Palatino Linotype" w:eastAsia="Calibri" w:hAnsi="Palatino Linotype"/>
          <w:b/>
        </w:rPr>
        <w:t>MODIFICA</w:t>
      </w:r>
      <w:r w:rsidR="00B57B32" w:rsidRPr="00AB2C05">
        <w:rPr>
          <w:rFonts w:ascii="Palatino Linotype" w:eastAsia="Calibri" w:hAnsi="Palatino Linotype"/>
          <w:b/>
        </w:rPr>
        <w:t xml:space="preserve"> </w:t>
      </w:r>
      <w:r w:rsidR="00B57B32" w:rsidRPr="00AB2C05">
        <w:rPr>
          <w:rFonts w:ascii="Palatino Linotype" w:eastAsia="Calibri" w:hAnsi="Palatino Linotype"/>
        </w:rPr>
        <w:t xml:space="preserve">la respuesta a la solicitud de información </w:t>
      </w:r>
      <w:r w:rsidR="00F23C36" w:rsidRPr="00F23C36">
        <w:rPr>
          <w:rFonts w:ascii="Palatino Linotype" w:eastAsia="Calibri" w:hAnsi="Palatino Linotype" w:cs="Arial"/>
          <w:b/>
        </w:rPr>
        <w:t>00003/NEZA/IP/2022</w:t>
      </w:r>
      <w:r w:rsidR="00B57B32" w:rsidRPr="00AB2C05">
        <w:rPr>
          <w:rFonts w:ascii="Palatino Linotype" w:eastAsia="Calibri" w:hAnsi="Palatino Linotype" w:cs="Arial"/>
          <w:b/>
        </w:rPr>
        <w:t xml:space="preserve">, </w:t>
      </w:r>
      <w:r w:rsidR="00B57B32" w:rsidRPr="00AB2C05">
        <w:rPr>
          <w:rFonts w:ascii="Palatino Linotype" w:eastAsia="Calibri" w:hAnsi="Palatino Linotype"/>
        </w:rPr>
        <w:t>que ha sido materia del presente fallo.</w:t>
      </w:r>
    </w:p>
    <w:p w14:paraId="48568F33" w14:textId="77777777" w:rsidR="00140DDF" w:rsidRDefault="00140DDF" w:rsidP="00F457C8">
      <w:pPr>
        <w:autoSpaceDE w:val="0"/>
        <w:autoSpaceDN w:val="0"/>
        <w:adjustRightInd w:val="0"/>
        <w:spacing w:line="360" w:lineRule="auto"/>
        <w:jc w:val="both"/>
        <w:rPr>
          <w:rFonts w:ascii="Palatino Linotype" w:hAnsi="Palatino Linotype" w:cs="Arial"/>
        </w:rPr>
      </w:pPr>
    </w:p>
    <w:p w14:paraId="3BDEE55C" w14:textId="51602705" w:rsidR="006A2320" w:rsidRPr="00C812E3" w:rsidRDefault="00B57B32" w:rsidP="00C812E3">
      <w:pPr>
        <w:spacing w:after="120" w:line="360" w:lineRule="auto"/>
        <w:jc w:val="both"/>
        <w:rPr>
          <w:rFonts w:ascii="Palatino Linotype" w:eastAsia="Calibri" w:hAnsi="Palatino Linotype"/>
        </w:rPr>
      </w:pPr>
      <w:r w:rsidRPr="00AB2C05">
        <w:rPr>
          <w:rFonts w:ascii="Palatino Linotype" w:eastAsia="Calibri" w:hAnsi="Palatino Linotype"/>
        </w:rPr>
        <w:t xml:space="preserve">Por lo antes expuesto y fundado. </w:t>
      </w:r>
    </w:p>
    <w:p w14:paraId="7111D109" w14:textId="77777777" w:rsidR="006A2320" w:rsidRPr="006A2320" w:rsidRDefault="006A2320" w:rsidP="006A2320">
      <w:pPr>
        <w:widowControl w:val="0"/>
        <w:spacing w:line="360" w:lineRule="auto"/>
        <w:ind w:left="20"/>
        <w:jc w:val="both"/>
        <w:rPr>
          <w:rFonts w:ascii="Palatino Linotype" w:hAnsi="Palatino Linotype"/>
        </w:rPr>
      </w:pP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79A03E86" w14:textId="73137474" w:rsidR="00B57B32" w:rsidRPr="00AB2C05" w:rsidRDefault="006A2320" w:rsidP="00B57B32">
      <w:pPr>
        <w:autoSpaceDE w:val="0"/>
        <w:autoSpaceDN w:val="0"/>
        <w:adjustRightInd w:val="0"/>
        <w:spacing w:line="360" w:lineRule="auto"/>
        <w:ind w:right="49"/>
        <w:jc w:val="both"/>
        <w:rPr>
          <w:rFonts w:ascii="Palatino Linotype" w:eastAsia="Calibri" w:hAnsi="Palatino Linotype" w:cs="Arial"/>
        </w:rPr>
      </w:pPr>
      <w:r w:rsidRPr="006A2320">
        <w:rPr>
          <w:rFonts w:ascii="Palatino Linotype" w:eastAsia="Calibri" w:hAnsi="Palatino Linotype" w:cs="Arial"/>
          <w:b/>
          <w:sz w:val="28"/>
        </w:rPr>
        <w:t>PRIMERO</w:t>
      </w:r>
      <w:r w:rsidRPr="006A2320">
        <w:rPr>
          <w:rFonts w:ascii="Palatino Linotype" w:eastAsia="Calibri" w:hAnsi="Palatino Linotype" w:cs="Arial"/>
          <w:b/>
        </w:rPr>
        <w:t xml:space="preserve">. </w:t>
      </w:r>
      <w:r w:rsidR="00B57B32" w:rsidRPr="00AB2C05">
        <w:rPr>
          <w:rFonts w:ascii="Palatino Linotype" w:eastAsia="Calibri" w:hAnsi="Palatino Linotype" w:cs="Arial"/>
        </w:rPr>
        <w:t>Se</w:t>
      </w:r>
      <w:r w:rsidR="00B57B32" w:rsidRPr="00AB2C05">
        <w:rPr>
          <w:rFonts w:ascii="Palatino Linotype" w:eastAsia="Calibri" w:hAnsi="Palatino Linotype" w:cs="Arial"/>
          <w:b/>
        </w:rPr>
        <w:t xml:space="preserve"> </w:t>
      </w:r>
      <w:r w:rsidR="00B57B32">
        <w:rPr>
          <w:rFonts w:ascii="Palatino Linotype" w:eastAsia="Calibri" w:hAnsi="Palatino Linotype" w:cs="Arial"/>
          <w:b/>
        </w:rPr>
        <w:t>MODIFICA</w:t>
      </w:r>
      <w:r w:rsidR="00B57B32" w:rsidRPr="00AB2C05">
        <w:rPr>
          <w:rFonts w:ascii="Palatino Linotype" w:eastAsia="Calibri" w:hAnsi="Palatino Linotype" w:cs="Arial"/>
          <w:b/>
        </w:rPr>
        <w:t xml:space="preserve"> </w:t>
      </w:r>
      <w:r w:rsidR="00B57B32" w:rsidRPr="00AB2C05">
        <w:rPr>
          <w:rFonts w:ascii="Palatino Linotype" w:eastAsia="Calibri" w:hAnsi="Palatino Linotype" w:cs="Arial"/>
        </w:rPr>
        <w:t>la respuesta</w:t>
      </w:r>
      <w:r w:rsidR="00B57B32">
        <w:rPr>
          <w:rFonts w:ascii="Palatino Linotype" w:eastAsia="Calibri" w:hAnsi="Palatino Linotype" w:cs="Arial"/>
        </w:rPr>
        <w:t xml:space="preserve"> entregada por </w:t>
      </w:r>
      <w:r w:rsidR="00B57B32" w:rsidRPr="00FE5B53">
        <w:rPr>
          <w:rFonts w:ascii="Palatino Linotype" w:eastAsia="Calibri" w:hAnsi="Palatino Linotype" w:cs="Arial"/>
          <w:b/>
          <w:bCs/>
        </w:rPr>
        <w:t>El</w:t>
      </w:r>
      <w:r w:rsidR="00B57B32" w:rsidRPr="00AB2C05">
        <w:rPr>
          <w:rFonts w:ascii="Palatino Linotype" w:eastAsia="Calibri" w:hAnsi="Palatino Linotype" w:cs="Arial"/>
        </w:rPr>
        <w:t xml:space="preserve"> </w:t>
      </w:r>
      <w:r w:rsidR="00B57B32" w:rsidRPr="00AB2C05">
        <w:rPr>
          <w:rFonts w:ascii="Palatino Linotype" w:eastAsia="Calibri" w:hAnsi="Palatino Linotype" w:cs="Arial"/>
          <w:b/>
        </w:rPr>
        <w:t>Sujeto Obligado</w:t>
      </w:r>
      <w:r w:rsidR="00B57B32" w:rsidRPr="00AB2C05">
        <w:rPr>
          <w:rFonts w:ascii="Palatino Linotype" w:eastAsia="Calibri" w:hAnsi="Palatino Linotype" w:cs="Arial"/>
        </w:rPr>
        <w:t>,</w:t>
      </w:r>
      <w:r w:rsidR="00B57B32" w:rsidRPr="00FA677F">
        <w:rPr>
          <w:rFonts w:ascii="Palatino Linotype" w:hAnsi="Palatino Linotype" w:cs="Arial"/>
        </w:rPr>
        <w:t xml:space="preserve"> </w:t>
      </w:r>
      <w:r w:rsidR="00B57B32">
        <w:rPr>
          <w:rFonts w:ascii="Palatino Linotype" w:hAnsi="Palatino Linotype" w:cs="Arial"/>
        </w:rPr>
        <w:t xml:space="preserve">a </w:t>
      </w:r>
      <w:r w:rsidR="00B57B32" w:rsidRPr="00A05065">
        <w:rPr>
          <w:rFonts w:ascii="Palatino Linotype" w:hAnsi="Palatino Linotype" w:cs="Arial"/>
        </w:rPr>
        <w:t xml:space="preserve">la solicitud de </w:t>
      </w:r>
      <w:r w:rsidR="00B57B32">
        <w:rPr>
          <w:rFonts w:ascii="Palatino Linotype" w:hAnsi="Palatino Linotype" w:cs="Arial"/>
        </w:rPr>
        <w:t xml:space="preserve">información número </w:t>
      </w:r>
      <w:r w:rsidR="00F23C36" w:rsidRPr="00F23C36">
        <w:rPr>
          <w:rFonts w:ascii="Palatino Linotype" w:hAnsi="Palatino Linotype" w:cs="Arial"/>
          <w:b/>
        </w:rPr>
        <w:t>00003/NEZA/IP/2022</w:t>
      </w:r>
      <w:r w:rsidR="00B57B32">
        <w:rPr>
          <w:rFonts w:ascii="Palatino Linotype" w:hAnsi="Palatino Linotype" w:cs="Arial"/>
          <w:b/>
        </w:rPr>
        <w:t>,</w:t>
      </w:r>
      <w:r w:rsidR="00B57B32" w:rsidRPr="00AB2C05">
        <w:rPr>
          <w:rFonts w:ascii="Palatino Linotype" w:eastAsia="Calibri" w:hAnsi="Palatino Linotype" w:cs="Arial"/>
        </w:rPr>
        <w:t xml:space="preserve"> por resultar</w:t>
      </w:r>
      <w:r w:rsidR="00B57B32">
        <w:rPr>
          <w:rFonts w:ascii="Palatino Linotype" w:eastAsia="Calibri" w:hAnsi="Palatino Linotype" w:cs="Arial"/>
        </w:rPr>
        <w:t xml:space="preserve"> parcialmente</w:t>
      </w:r>
      <w:r w:rsidR="00B57B32" w:rsidRPr="00AB2C05">
        <w:rPr>
          <w:rFonts w:ascii="Palatino Linotype" w:eastAsia="Calibri" w:hAnsi="Palatino Linotype" w:cs="Arial"/>
        </w:rPr>
        <w:t xml:space="preserve"> fundados los motivos de inconformidad </w:t>
      </w:r>
      <w:r w:rsidR="00B57B32">
        <w:rPr>
          <w:rFonts w:ascii="Palatino Linotype" w:eastAsia="Calibri" w:hAnsi="Palatino Linotype" w:cs="Arial"/>
        </w:rPr>
        <w:t>que arguye</w:t>
      </w:r>
      <w:r w:rsidR="00B57B32" w:rsidRPr="00AB2C05">
        <w:rPr>
          <w:rFonts w:ascii="Palatino Linotype" w:eastAsia="Calibri" w:hAnsi="Palatino Linotype" w:cs="Arial"/>
        </w:rPr>
        <w:t xml:space="preserve"> el Recurrente, </w:t>
      </w:r>
      <w:r w:rsidR="00B57B32" w:rsidRPr="00FA677F">
        <w:rPr>
          <w:rFonts w:ascii="Palatino Linotype" w:eastAsia="Calibri" w:hAnsi="Palatino Linotype" w:cs="Arial"/>
        </w:rPr>
        <w:t xml:space="preserve">en términos del Considerando </w:t>
      </w:r>
      <w:r w:rsidR="00B57B32">
        <w:rPr>
          <w:rFonts w:ascii="Palatino Linotype" w:eastAsia="Calibri" w:hAnsi="Palatino Linotype" w:cs="Arial"/>
          <w:b/>
        </w:rPr>
        <w:t>CUARTO</w:t>
      </w:r>
      <w:r w:rsidR="00B57B32" w:rsidRPr="00FA677F">
        <w:rPr>
          <w:rFonts w:ascii="Palatino Linotype" w:eastAsia="Calibri" w:hAnsi="Palatino Linotype" w:cs="Arial"/>
        </w:rPr>
        <w:t xml:space="preserve"> de la presente resolución.</w:t>
      </w:r>
    </w:p>
    <w:p w14:paraId="5F6BCB92" w14:textId="138B987D" w:rsidR="006A2320" w:rsidRPr="006A2320" w:rsidRDefault="006A2320" w:rsidP="006A2320">
      <w:pPr>
        <w:tabs>
          <w:tab w:val="left" w:pos="8647"/>
        </w:tabs>
        <w:spacing w:line="360" w:lineRule="auto"/>
        <w:jc w:val="both"/>
        <w:rPr>
          <w:rFonts w:ascii="Palatino Linotype" w:eastAsia="Calibri" w:hAnsi="Palatino Linotype" w:cs="Arial"/>
        </w:rPr>
      </w:pPr>
    </w:p>
    <w:p w14:paraId="4DA2050A" w14:textId="08FFE3CF" w:rsidR="00B57B32" w:rsidRPr="00207556" w:rsidRDefault="00B57B32" w:rsidP="00B57B32">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Se </w:t>
      </w:r>
      <w:r w:rsidRPr="00AB2C05">
        <w:rPr>
          <w:rFonts w:ascii="Palatino Linotype" w:eastAsia="Calibri" w:hAnsi="Palatino Linotype" w:cs="Arial"/>
          <w:b/>
        </w:rPr>
        <w:t xml:space="preserve">ORDENA </w:t>
      </w:r>
      <w:r w:rsidRPr="00AB2C05">
        <w:rPr>
          <w:rFonts w:ascii="Palatino Linotype" w:eastAsia="Calibri" w:hAnsi="Palatino Linotype" w:cs="Arial"/>
        </w:rPr>
        <w:t xml:space="preserve">al </w:t>
      </w:r>
      <w:r w:rsidRPr="00AB2C05">
        <w:rPr>
          <w:rFonts w:ascii="Palatino Linotype" w:eastAsia="Calibri" w:hAnsi="Palatino Linotype" w:cs="Arial"/>
          <w:b/>
        </w:rPr>
        <w:t xml:space="preserve">Sujeto Obligado </w:t>
      </w:r>
      <w:r w:rsidRPr="00AB2C05">
        <w:rPr>
          <w:rFonts w:ascii="Palatino Linotype" w:eastAsia="Calibri" w:hAnsi="Palatino Linotype" w:cs="Arial"/>
        </w:rPr>
        <w:t xml:space="preserve">haga entrega a </w:t>
      </w:r>
      <w:r w:rsidR="00C526F3">
        <w:rPr>
          <w:rFonts w:ascii="Palatino Linotype" w:eastAsia="Calibri" w:hAnsi="Palatino Linotype" w:cs="Arial"/>
          <w:b/>
          <w:bCs/>
        </w:rPr>
        <w:t>el</w:t>
      </w:r>
      <w:r w:rsidR="00FE5B53">
        <w:rPr>
          <w:rFonts w:ascii="Palatino Linotype" w:eastAsia="Calibri" w:hAnsi="Palatino Linotype" w:cs="Arial"/>
        </w:rPr>
        <w:t xml:space="preserve"> </w:t>
      </w:r>
      <w:r w:rsidRPr="00AB2C05">
        <w:rPr>
          <w:rFonts w:ascii="Palatino Linotype" w:eastAsia="Calibri" w:hAnsi="Palatino Linotype" w:cs="Arial"/>
          <w:b/>
        </w:rPr>
        <w:t xml:space="preserve">Recurrente, </w:t>
      </w:r>
      <w:r w:rsidRPr="00AB2C05">
        <w:rPr>
          <w:rFonts w:ascii="Palatino Linotype" w:eastAsia="Calibri" w:hAnsi="Palatino Linotype" w:cs="Arial"/>
        </w:rPr>
        <w:t>a través del</w:t>
      </w:r>
      <w:r w:rsidR="00690103">
        <w:rPr>
          <w:rFonts w:ascii="Palatino Linotype" w:eastAsia="Calibri" w:hAnsi="Palatino Linotype" w:cs="Arial"/>
        </w:rPr>
        <w:t xml:space="preserve"> Sistema de Acceso a la Información Mexiquense (</w:t>
      </w:r>
      <w:r w:rsidRPr="00AB2C05">
        <w:rPr>
          <w:rFonts w:ascii="Palatino Linotype" w:eastAsia="Calibri" w:hAnsi="Palatino Linotype" w:cs="Arial"/>
        </w:rPr>
        <w:t>SAIMEX</w:t>
      </w:r>
      <w:r w:rsidR="00690103">
        <w:rPr>
          <w:rFonts w:ascii="Palatino Linotype" w:eastAsia="Calibri" w:hAnsi="Palatino Linotype" w:cs="Arial"/>
        </w:rPr>
        <w:t>)</w:t>
      </w:r>
      <w:r w:rsidRPr="00207556">
        <w:rPr>
          <w:rFonts w:ascii="Palatino Linotype" w:hAnsi="Palatino Linotype"/>
          <w:lang w:val="es-ES_tradnl"/>
        </w:rPr>
        <w:t xml:space="preserve">, en términos del </w:t>
      </w:r>
      <w:r w:rsidRPr="00207556">
        <w:rPr>
          <w:rFonts w:ascii="Palatino Linotype" w:hAnsi="Palatino Linotype"/>
          <w:bCs/>
          <w:lang w:val="es-ES_tradnl"/>
        </w:rPr>
        <w:t>Considerando</w:t>
      </w:r>
      <w:r w:rsidRPr="00207556">
        <w:rPr>
          <w:rFonts w:ascii="Palatino Linotype" w:hAnsi="Palatino Linotype"/>
          <w:b/>
          <w:lang w:val="es-ES_tradnl"/>
        </w:rPr>
        <w:t xml:space="preserve"> </w:t>
      </w:r>
      <w:r>
        <w:rPr>
          <w:rFonts w:ascii="Palatino Linotype" w:hAnsi="Palatino Linotype"/>
          <w:b/>
          <w:lang w:val="es-ES_tradnl"/>
        </w:rPr>
        <w:t>CUARTO</w:t>
      </w:r>
      <w:r w:rsidRPr="00207556">
        <w:rPr>
          <w:rFonts w:ascii="Palatino Linotype" w:hAnsi="Palatino Linotype"/>
        </w:rPr>
        <w:t xml:space="preserve"> de la presente resolución</w:t>
      </w:r>
      <w:r w:rsidRPr="00207556">
        <w:rPr>
          <w:rFonts w:ascii="Palatino Linotype" w:hAnsi="Palatino Linotype"/>
          <w:lang w:val="es-ES_tradnl"/>
        </w:rPr>
        <w:t xml:space="preserve">, </w:t>
      </w:r>
      <w:r w:rsidR="00F23C36">
        <w:rPr>
          <w:rFonts w:ascii="Palatino Linotype" w:hAnsi="Palatino Linotype"/>
          <w:lang w:val="es-ES_tradnl"/>
        </w:rPr>
        <w:t xml:space="preserve">de </w:t>
      </w:r>
      <w:r w:rsidRPr="00207556">
        <w:rPr>
          <w:rFonts w:ascii="Palatino Linotype" w:hAnsi="Palatino Linotype"/>
          <w:lang w:val="es-ES_tradnl"/>
        </w:rPr>
        <w:t xml:space="preserve">lo siguiente: </w:t>
      </w:r>
    </w:p>
    <w:p w14:paraId="5BA82E4B" w14:textId="77777777" w:rsidR="00B57B32" w:rsidRDefault="00B57B32" w:rsidP="00B57B32">
      <w:pPr>
        <w:autoSpaceDE w:val="0"/>
        <w:autoSpaceDN w:val="0"/>
        <w:adjustRightInd w:val="0"/>
        <w:spacing w:after="120" w:line="360" w:lineRule="auto"/>
        <w:ind w:right="51"/>
        <w:jc w:val="both"/>
        <w:rPr>
          <w:rFonts w:ascii="Palatino Linotype" w:hAnsi="Palatino Linotype"/>
          <w:lang w:eastAsia="es-MX"/>
        </w:rPr>
      </w:pPr>
    </w:p>
    <w:p w14:paraId="6434E3E2" w14:textId="731F53A2" w:rsidR="00877448" w:rsidRDefault="00B47551" w:rsidP="00FE5B53">
      <w:pPr>
        <w:numPr>
          <w:ilvl w:val="0"/>
          <w:numId w:val="19"/>
        </w:numPr>
        <w:spacing w:before="240" w:after="240" w:line="360" w:lineRule="auto"/>
        <w:ind w:left="924" w:right="567" w:hanging="357"/>
        <w:jc w:val="both"/>
        <w:rPr>
          <w:rFonts w:ascii="Palatino Linotype" w:hAnsi="Palatino Linotype"/>
          <w:bCs/>
        </w:rPr>
      </w:pPr>
      <w:r>
        <w:rPr>
          <w:rFonts w:ascii="Palatino Linotype" w:hAnsi="Palatino Linotype"/>
          <w:bCs/>
        </w:rPr>
        <w:t>P</w:t>
      </w:r>
      <w:r w:rsidRPr="00B47551">
        <w:rPr>
          <w:rFonts w:ascii="Palatino Linotype" w:hAnsi="Palatino Linotype"/>
          <w:bCs/>
        </w:rPr>
        <w:t xml:space="preserve">ermiso </w:t>
      </w:r>
      <w:r>
        <w:rPr>
          <w:rFonts w:ascii="Palatino Linotype" w:hAnsi="Palatino Linotype"/>
          <w:bCs/>
        </w:rPr>
        <w:t>emitido por</w:t>
      </w:r>
      <w:r w:rsidRPr="00B47551">
        <w:rPr>
          <w:rFonts w:ascii="Palatino Linotype" w:hAnsi="Palatino Linotype"/>
          <w:bCs/>
        </w:rPr>
        <w:t xml:space="preserve"> la autoridad sanitaria que permita al establecimiento</w:t>
      </w:r>
      <w:r>
        <w:rPr>
          <w:rFonts w:ascii="Palatino Linotype" w:hAnsi="Palatino Linotype"/>
          <w:bCs/>
        </w:rPr>
        <w:t xml:space="preserve"> referido en la solicitud de información </w:t>
      </w:r>
      <w:r w:rsidRPr="00B47551">
        <w:rPr>
          <w:rFonts w:ascii="Palatino Linotype" w:hAnsi="Palatino Linotype"/>
          <w:bCs/>
        </w:rPr>
        <w:t>00003/NEZA/IP/2022</w:t>
      </w:r>
      <w:r>
        <w:rPr>
          <w:rFonts w:ascii="Palatino Linotype" w:hAnsi="Palatino Linotype"/>
          <w:bCs/>
        </w:rPr>
        <w:t>,</w:t>
      </w:r>
      <w:r w:rsidRPr="00B47551">
        <w:rPr>
          <w:rFonts w:ascii="Palatino Linotype" w:hAnsi="Palatino Linotype"/>
          <w:bCs/>
        </w:rPr>
        <w:t xml:space="preserve"> el recibir aves vivas, sacrificarlas y procesarlas para su venta al mayoreo</w:t>
      </w:r>
      <w:r w:rsidR="0076305A">
        <w:rPr>
          <w:rFonts w:ascii="Palatino Linotype" w:hAnsi="Palatino Linotype"/>
          <w:bCs/>
        </w:rPr>
        <w:t>, en versión pública de ser procedente.</w:t>
      </w:r>
    </w:p>
    <w:p w14:paraId="42505316" w14:textId="20520C12" w:rsidR="00FE5B53" w:rsidRPr="00B47551" w:rsidRDefault="00CF74A7" w:rsidP="00B47551">
      <w:pPr>
        <w:numPr>
          <w:ilvl w:val="0"/>
          <w:numId w:val="19"/>
        </w:numPr>
        <w:spacing w:before="240" w:after="240" w:line="360" w:lineRule="auto"/>
        <w:ind w:left="924" w:right="567" w:hanging="357"/>
        <w:jc w:val="both"/>
        <w:rPr>
          <w:rFonts w:ascii="Palatino Linotype" w:hAnsi="Palatino Linotype"/>
          <w:bCs/>
        </w:rPr>
      </w:pPr>
      <w:r w:rsidRPr="00B47551">
        <w:rPr>
          <w:rFonts w:ascii="Palatino Linotype" w:hAnsi="Palatino Linotype"/>
          <w:bCs/>
        </w:rPr>
        <w:lastRenderedPageBreak/>
        <w:t>El Acuerdo que emita el Comité de Transparencia mediante el que confirme la declaratoria de incompetencia del Sujeto Obligado, respecto</w:t>
      </w:r>
      <w:r w:rsidR="00B47551">
        <w:rPr>
          <w:rFonts w:ascii="Palatino Linotype" w:hAnsi="Palatino Linotype"/>
          <w:bCs/>
        </w:rPr>
        <w:t xml:space="preserve"> de los c</w:t>
      </w:r>
      <w:r w:rsidR="00B47551" w:rsidRPr="00B47551">
        <w:rPr>
          <w:rFonts w:ascii="Palatino Linotype" w:hAnsi="Palatino Linotype"/>
          <w:bCs/>
        </w:rPr>
        <w:t>omprobantes de pago de los servicios de agua y luz eléctrica</w:t>
      </w:r>
      <w:r w:rsidR="00B47551">
        <w:rPr>
          <w:rFonts w:ascii="Palatino Linotype" w:hAnsi="Palatino Linotype"/>
          <w:bCs/>
        </w:rPr>
        <w:t xml:space="preserve"> del predio</w:t>
      </w:r>
      <w:r w:rsidR="00B47551" w:rsidRPr="00B47551">
        <w:t xml:space="preserve"> </w:t>
      </w:r>
      <w:r w:rsidR="00B47551" w:rsidRPr="00B47551">
        <w:rPr>
          <w:rFonts w:ascii="Palatino Linotype" w:hAnsi="Palatino Linotype"/>
          <w:bCs/>
        </w:rPr>
        <w:t>referido en la solicitud de información 00003/NEZA/IP/2022</w:t>
      </w:r>
      <w:r w:rsidR="00FE5B53" w:rsidRPr="00B47551">
        <w:rPr>
          <w:rFonts w:ascii="Palatino Linotype" w:hAnsi="Palatino Linotype"/>
          <w:bCs/>
        </w:rPr>
        <w:t>.</w:t>
      </w:r>
    </w:p>
    <w:p w14:paraId="7FC4ABF1" w14:textId="3C2E357B" w:rsidR="00FE5B53" w:rsidRDefault="00B47551" w:rsidP="00FE5B53">
      <w:pPr>
        <w:numPr>
          <w:ilvl w:val="0"/>
          <w:numId w:val="19"/>
        </w:numPr>
        <w:spacing w:before="240" w:after="240" w:line="360" w:lineRule="auto"/>
        <w:ind w:left="924" w:right="567" w:hanging="357"/>
        <w:jc w:val="both"/>
        <w:rPr>
          <w:rFonts w:ascii="Palatino Linotype" w:hAnsi="Palatino Linotype"/>
          <w:bCs/>
        </w:rPr>
      </w:pPr>
      <w:r w:rsidRPr="00B47551">
        <w:rPr>
          <w:rFonts w:ascii="Palatino Linotype" w:hAnsi="Palatino Linotype"/>
          <w:bCs/>
        </w:rPr>
        <w:t>El Acuerdo de Clasificación como información confidencial que emita el Comité de Transparencia, en términos de los artículos 122 y 143, fracción II, de la Ley de Transparencia y Acceso a la Información Pública del Estado de México y Municipios, respecto de</w:t>
      </w:r>
      <w:r>
        <w:rPr>
          <w:rFonts w:ascii="Palatino Linotype" w:hAnsi="Palatino Linotype"/>
          <w:bCs/>
        </w:rPr>
        <w:t xml:space="preserve"> los</w:t>
      </w:r>
      <w:r w:rsidRPr="00B47551">
        <w:rPr>
          <w:rFonts w:ascii="Palatino Linotype" w:hAnsi="Palatino Linotype"/>
          <w:bCs/>
        </w:rPr>
        <w:t xml:space="preserve"> </w:t>
      </w:r>
      <w:r>
        <w:rPr>
          <w:rFonts w:ascii="Palatino Linotype" w:hAnsi="Palatino Linotype"/>
          <w:bCs/>
        </w:rPr>
        <w:t>comprobantes</w:t>
      </w:r>
      <w:r w:rsidRPr="00B47551">
        <w:rPr>
          <w:rFonts w:ascii="Palatino Linotype" w:hAnsi="Palatino Linotype"/>
          <w:bCs/>
        </w:rPr>
        <w:t xml:space="preserve"> de pago de impuesto predial, del predio referido en la solicitud de información número 00003/NEZA/IP/2022</w:t>
      </w:r>
      <w:r w:rsidR="00FE5B53">
        <w:rPr>
          <w:rFonts w:ascii="Palatino Linotype" w:hAnsi="Palatino Linotype"/>
          <w:bCs/>
        </w:rPr>
        <w:t>.</w:t>
      </w:r>
    </w:p>
    <w:p w14:paraId="7987534C" w14:textId="34C73312" w:rsidR="00B57B32" w:rsidRDefault="00B57B32" w:rsidP="00FE5B53">
      <w:pPr>
        <w:pStyle w:val="Prrafodelista"/>
        <w:spacing w:before="240" w:after="360"/>
        <w:ind w:left="567" w:right="567"/>
        <w:contextualSpacing/>
        <w:jc w:val="both"/>
        <w:rPr>
          <w:rFonts w:ascii="Palatino Linotype" w:hAnsi="Palatino Linotype" w:cs="Arial"/>
          <w:i/>
        </w:rPr>
      </w:pPr>
      <w:r w:rsidRPr="00141341">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58FF1A7F" w14:textId="4DA855A0" w:rsidR="004E7A5E" w:rsidRDefault="004E7A5E" w:rsidP="00FE5B53">
      <w:pPr>
        <w:pStyle w:val="Prrafodelista"/>
        <w:spacing w:before="240" w:after="360"/>
        <w:ind w:left="567" w:right="567"/>
        <w:contextualSpacing/>
        <w:jc w:val="both"/>
        <w:rPr>
          <w:rFonts w:ascii="Palatino Linotype" w:hAnsi="Palatino Linotype" w:cs="Arial"/>
          <w:i/>
        </w:rPr>
      </w:pPr>
    </w:p>
    <w:p w14:paraId="061AA05E" w14:textId="13D87626" w:rsidR="00026EB1" w:rsidRPr="0076305A" w:rsidRDefault="004E7A5E" w:rsidP="0076305A">
      <w:pPr>
        <w:pStyle w:val="Prrafodelista"/>
        <w:spacing w:before="240" w:after="360"/>
        <w:ind w:left="567" w:right="567"/>
        <w:contextualSpacing/>
        <w:jc w:val="both"/>
        <w:rPr>
          <w:rFonts w:ascii="Palatino Linotype" w:hAnsi="Palatino Linotype" w:cs="Arial"/>
          <w:i/>
        </w:rPr>
      </w:pPr>
      <w:r w:rsidRPr="004E7A5E">
        <w:rPr>
          <w:rFonts w:ascii="Palatino Linotype" w:hAnsi="Palatino Linotype" w:cs="Arial"/>
          <w:i/>
        </w:rPr>
        <w:t xml:space="preserve">En el supuesto de que la información que se ordena su entrega en el punto 1 del presente resolutivo correspondiente </w:t>
      </w:r>
      <w:r w:rsidR="00B47551">
        <w:rPr>
          <w:rFonts w:ascii="Palatino Linotype" w:hAnsi="Palatino Linotype" w:cs="Arial"/>
          <w:i/>
        </w:rPr>
        <w:t>al p</w:t>
      </w:r>
      <w:r w:rsidR="00B47551" w:rsidRPr="00B47551">
        <w:rPr>
          <w:rFonts w:ascii="Palatino Linotype" w:hAnsi="Palatino Linotype" w:cs="Arial"/>
          <w:i/>
        </w:rPr>
        <w:t xml:space="preserve">ermiso </w:t>
      </w:r>
      <w:r w:rsidR="00B47551">
        <w:rPr>
          <w:rFonts w:ascii="Palatino Linotype" w:hAnsi="Palatino Linotype" w:cs="Arial"/>
          <w:i/>
        </w:rPr>
        <w:t>emitido por</w:t>
      </w:r>
      <w:r w:rsidR="00B47551" w:rsidRPr="00B47551">
        <w:rPr>
          <w:rFonts w:ascii="Palatino Linotype" w:hAnsi="Palatino Linotype" w:cs="Arial"/>
          <w:i/>
        </w:rPr>
        <w:t xml:space="preserve"> la autoridad sanitaria</w:t>
      </w:r>
      <w:r w:rsidRPr="004E7A5E">
        <w:rPr>
          <w:rFonts w:ascii="Palatino Linotype" w:hAnsi="Palatino Linotype" w:cs="Arial"/>
          <w:i/>
        </w:rPr>
        <w:t xml:space="preserve"> no haya sido poseída o administrada por El Sujeto Obligado, bastará con que así lo manifieste al momento de dar cumplimiento a la presente resolución.</w:t>
      </w:r>
    </w:p>
    <w:p w14:paraId="5793924E" w14:textId="10692FF6" w:rsidR="00B57B32" w:rsidRDefault="00B57B32" w:rsidP="00B57B32">
      <w:pPr>
        <w:autoSpaceDE w:val="0"/>
        <w:autoSpaceDN w:val="0"/>
        <w:adjustRightInd w:val="0"/>
        <w:spacing w:line="360" w:lineRule="auto"/>
        <w:ind w:right="49"/>
        <w:jc w:val="both"/>
        <w:rPr>
          <w:rFonts w:ascii="Palatino Linotype" w:eastAsia="Calibri" w:hAnsi="Palatino Linotype" w:cs="Arial"/>
        </w:rPr>
      </w:pPr>
      <w:r w:rsidRPr="00AB2C05">
        <w:rPr>
          <w:rFonts w:ascii="Palatino Linotype" w:eastAsia="Calibri" w:hAnsi="Palatino Linotype" w:cs="Arial"/>
          <w:b/>
          <w:sz w:val="28"/>
          <w:szCs w:val="28"/>
        </w:rPr>
        <w:t>TERCERO.</w:t>
      </w:r>
      <w:r w:rsidRPr="00AB2C05">
        <w:rPr>
          <w:rFonts w:ascii="Palatino Linotype" w:eastAsia="Calibri" w:hAnsi="Palatino Linotype" w:cs="Arial"/>
          <w:b/>
        </w:rPr>
        <w:t xml:space="preserve"> </w:t>
      </w:r>
      <w:r w:rsidRPr="00AB2C05">
        <w:rPr>
          <w:rFonts w:ascii="Palatino Linotype" w:eastAsia="Calibri" w:hAnsi="Palatino Linotype" w:cs="Arial"/>
        </w:rPr>
        <w:t>Notifíquese</w:t>
      </w:r>
      <w:r w:rsidRPr="00AB2C05">
        <w:rPr>
          <w:rFonts w:ascii="Palatino Linotype" w:eastAsia="Calibri" w:hAnsi="Palatino Linotype" w:cs="Arial"/>
          <w:i/>
        </w:rPr>
        <w:t xml:space="preserve"> </w:t>
      </w:r>
      <w:r w:rsidRPr="00AB2C05">
        <w:rPr>
          <w:rFonts w:ascii="Palatino Linotype" w:eastAsia="Calibri" w:hAnsi="Palatino Linotype" w:cs="Arial"/>
        </w:rPr>
        <w:t>al Titular de la Unidad de Transparencia del</w:t>
      </w:r>
      <w:r w:rsidRPr="00AB2C05">
        <w:rPr>
          <w:rFonts w:ascii="Palatino Linotype" w:eastAsia="Calibri" w:hAnsi="Palatino Linotype" w:cs="Arial"/>
          <w:b/>
        </w:rPr>
        <w:t xml:space="preserve"> </w:t>
      </w:r>
      <w:r w:rsidRPr="00AB2C05">
        <w:rPr>
          <w:rFonts w:ascii="Palatino Linotype" w:eastAsia="Calibri" w:hAnsi="Palatino Linotype" w:cs="Arial"/>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w:t>
      </w:r>
      <w:r w:rsidRPr="00AB2C05">
        <w:rPr>
          <w:rFonts w:ascii="Palatino Linotype" w:eastAsia="Calibri" w:hAnsi="Palatino Linotype" w:cs="Arial"/>
        </w:rPr>
        <w:lastRenderedPageBreak/>
        <w:t>hábiles, debiendo informar a este Instituto en un plazo de tres días hábiles siguientes sobre el cumplimiento dado a la presente resolución.</w:t>
      </w:r>
    </w:p>
    <w:p w14:paraId="2E6197DB" w14:textId="710B7BD4" w:rsidR="00970E3E"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970E3E" w:rsidRDefault="00970E3E" w:rsidP="00970E3E">
      <w:pPr>
        <w:autoSpaceDE w:val="0"/>
        <w:autoSpaceDN w:val="0"/>
        <w:adjustRightInd w:val="0"/>
        <w:spacing w:before="240" w:line="360" w:lineRule="auto"/>
        <w:jc w:val="both"/>
        <w:rPr>
          <w:rFonts w:ascii="Palatino Linotype" w:eastAsia="Calibri" w:hAnsi="Palatino Linotype" w:cs="Arial"/>
        </w:rPr>
      </w:pPr>
      <w:r w:rsidRPr="00970E3E">
        <w:rPr>
          <w:rFonts w:ascii="Palatino Linotype" w:eastAsia="Calibri" w:hAnsi="Palatino Linotype" w:cs="Arial"/>
          <w:b/>
          <w:sz w:val="28"/>
        </w:rPr>
        <w:t>CUARTO</w:t>
      </w:r>
      <w:r w:rsidRPr="00970E3E">
        <w:rPr>
          <w:rFonts w:ascii="Palatino Linotype" w:eastAsia="Calibri" w:hAnsi="Palatino Linotype" w:cs="Arial"/>
          <w:b/>
        </w:rPr>
        <w:t xml:space="preserve">. </w:t>
      </w:r>
      <w:r w:rsidRPr="00970E3E">
        <w:rPr>
          <w:rFonts w:ascii="Palatino Linotype" w:eastAsia="Calibri" w:hAnsi="Palatino Linotype" w:cs="Arial"/>
        </w:rPr>
        <w:t xml:space="preserve">De conformidad con el artículo 198, de la Ley de Transparencia y Acceso a la Información Pública del Estado de México y Municipios, de considerarlo procedente, el </w:t>
      </w:r>
      <w:r w:rsidRPr="00970E3E">
        <w:rPr>
          <w:rFonts w:ascii="Palatino Linotype" w:eastAsia="Calibri" w:hAnsi="Palatino Linotype" w:cs="Arial"/>
          <w:b/>
        </w:rPr>
        <w:t>Sujeto Obligado</w:t>
      </w:r>
      <w:r w:rsidRPr="00970E3E">
        <w:rPr>
          <w:rFonts w:ascii="Palatino Linotype" w:eastAsia="Calibri" w:hAnsi="Palatino Linotype" w:cs="Arial"/>
        </w:rPr>
        <w:t xml:space="preserve"> de manera fundada y motivada, podrá solicitar una ampliación de plazo para el cumplimiento de la presente resolución.</w:t>
      </w:r>
    </w:p>
    <w:p w14:paraId="53609260" w14:textId="77777777" w:rsidR="00B57B32" w:rsidRDefault="00B57B32" w:rsidP="00B57B32">
      <w:pPr>
        <w:pStyle w:val="Sinespaciado"/>
        <w:spacing w:line="360" w:lineRule="auto"/>
        <w:jc w:val="both"/>
        <w:rPr>
          <w:rFonts w:ascii="Palatino Linotype" w:eastAsia="Calibri" w:hAnsi="Palatino Linotype" w:cs="Arial"/>
          <w:b/>
          <w:sz w:val="28"/>
          <w:szCs w:val="28"/>
          <w:lang w:eastAsia="en-US"/>
        </w:rPr>
      </w:pPr>
    </w:p>
    <w:p w14:paraId="3BF303EE" w14:textId="4DE787E4" w:rsidR="008B5C47" w:rsidRPr="008B5C47" w:rsidRDefault="008B5C47" w:rsidP="008B5C47">
      <w:pPr>
        <w:spacing w:line="360" w:lineRule="auto"/>
        <w:jc w:val="both"/>
        <w:rPr>
          <w:rFonts w:ascii="Palatino Linotype" w:hAnsi="Palatino Linotype"/>
          <w:color w:val="222222"/>
          <w:shd w:val="clear" w:color="auto" w:fill="FFFFFF"/>
          <w:lang w:val="es-MX"/>
        </w:rPr>
      </w:pPr>
      <w:r w:rsidRPr="008B5C47">
        <w:rPr>
          <w:rFonts w:ascii="Palatino Linotype" w:hAnsi="Palatino Linotype" w:cs="Arial"/>
          <w:b/>
          <w:sz w:val="28"/>
          <w:szCs w:val="28"/>
          <w:lang w:val="es-MX"/>
        </w:rPr>
        <w:t>QUINTO</w:t>
      </w:r>
      <w:r w:rsidRPr="008B5C47">
        <w:rPr>
          <w:rFonts w:ascii="Palatino Linotype" w:hAnsi="Palatino Linotype" w:cs="Arial"/>
          <w:b/>
          <w:sz w:val="26"/>
          <w:szCs w:val="26"/>
          <w:lang w:val="es-MX"/>
        </w:rPr>
        <w:t>.</w:t>
      </w:r>
      <w:r w:rsidRPr="008B5C47">
        <w:rPr>
          <w:rFonts w:ascii="Palatino Linotype" w:hAnsi="Palatino Linotype" w:cs="Arial"/>
          <w:b/>
          <w:lang w:val="es-MX"/>
        </w:rPr>
        <w:t xml:space="preserve"> </w:t>
      </w:r>
      <w:r w:rsidR="00AB0C41">
        <w:rPr>
          <w:rFonts w:ascii="Palatino Linotype" w:hAnsi="Palatino Linotype"/>
          <w:b/>
        </w:rPr>
        <w:t xml:space="preserve">NOTIFÍQUESE </w:t>
      </w:r>
      <w:r w:rsidR="00AB0C41">
        <w:rPr>
          <w:rFonts w:ascii="Palatino Linotype" w:hAnsi="Palatino Linotype"/>
          <w:bCs/>
        </w:rPr>
        <w:t xml:space="preserve">al </w:t>
      </w:r>
      <w:r w:rsidR="00C526F3">
        <w:rPr>
          <w:rFonts w:ascii="Palatino Linotype" w:hAnsi="Palatino Linotype"/>
          <w:bCs/>
        </w:rPr>
        <w:t>R</w:t>
      </w:r>
      <w:r w:rsidR="00AB0C41">
        <w:rPr>
          <w:rFonts w:ascii="Palatino Linotype" w:hAnsi="Palatino Linotype"/>
          <w:bCs/>
        </w:rPr>
        <w:t>ecurrente la presente resolución y hágase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asimismo, de conformidad con el articulo 159 y 160 de la Ley General de Transparencia y Acceso a la Información Pública podrá impugnar la resolución mediante recurso de inconformidad ante el Instituto Nacional de Transparencia, Acceso a la Información y Protección de Datos Personales, en los términos de las leyes aplicables.</w:t>
      </w:r>
    </w:p>
    <w:p w14:paraId="2393D8C7" w14:textId="79EFFF44" w:rsidR="00F91528" w:rsidRDefault="00F91528" w:rsidP="00B57B32">
      <w:pPr>
        <w:pStyle w:val="Sinespaciado"/>
        <w:spacing w:line="360" w:lineRule="auto"/>
        <w:jc w:val="both"/>
        <w:rPr>
          <w:rFonts w:ascii="Palatino Linotype" w:eastAsia="Calibri" w:hAnsi="Palatino Linotype" w:cs="Arial"/>
          <w:lang w:eastAsia="en-US"/>
        </w:rPr>
      </w:pPr>
    </w:p>
    <w:p w14:paraId="3A19F321" w14:textId="4A8D9AAD" w:rsidR="00B21190" w:rsidRPr="000A5A65" w:rsidRDefault="00F91528" w:rsidP="000A5A65">
      <w:pPr>
        <w:spacing w:line="360" w:lineRule="auto"/>
        <w:jc w:val="both"/>
        <w:rPr>
          <w:rFonts w:ascii="Palatino Linotype" w:hAnsi="Palatino Linotype"/>
          <w:lang w:eastAsia="es-ES_tradnl"/>
        </w:rPr>
      </w:pPr>
      <w:r w:rsidRPr="00F91528">
        <w:rPr>
          <w:rFonts w:ascii="Palatino Linotype" w:hAnsi="Palatino Linotype" w:cs="Arial"/>
          <w:b/>
          <w:sz w:val="28"/>
        </w:rPr>
        <w:t>SEXTO</w:t>
      </w:r>
      <w:r w:rsidRPr="00F91528">
        <w:rPr>
          <w:rFonts w:ascii="Palatino Linotype" w:hAnsi="Palatino Linotype"/>
          <w:b/>
        </w:rPr>
        <w:t xml:space="preserve">. </w:t>
      </w:r>
      <w:r w:rsidR="00C526F3">
        <w:rPr>
          <w:rFonts w:ascii="Palatino Linotype" w:hAnsi="Palatino Linotype"/>
          <w:b/>
          <w:lang w:eastAsia="es-ES_tradnl"/>
        </w:rPr>
        <w:t>GÍRESE</w:t>
      </w:r>
      <w:r w:rsidR="008B5C47">
        <w:rPr>
          <w:rFonts w:ascii="Palatino Linotype" w:hAnsi="Palatino Linotype"/>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00FE5B53" w:rsidRPr="00FE5B53">
        <w:rPr>
          <w:rFonts w:ascii="Palatino Linotype" w:hAnsi="Palatino Linotype"/>
          <w:b/>
          <w:bCs/>
          <w:lang w:eastAsia="es-ES_tradnl"/>
        </w:rPr>
        <w:t>CUARTO</w:t>
      </w:r>
      <w:r w:rsidR="008B5C47">
        <w:rPr>
          <w:rFonts w:ascii="Palatino Linotype" w:hAnsi="Palatino Linotype"/>
          <w:lang w:eastAsia="es-ES_tradnl"/>
        </w:rPr>
        <w:t xml:space="preserve"> de la presente resolución.</w:t>
      </w:r>
    </w:p>
    <w:p w14:paraId="2CA59F8D" w14:textId="2A388288" w:rsidR="009F74E7" w:rsidRPr="00925243" w:rsidRDefault="008B5C47" w:rsidP="00925243">
      <w:pPr>
        <w:spacing w:before="240" w:line="360" w:lineRule="auto"/>
        <w:jc w:val="both"/>
        <w:rPr>
          <w:rFonts w:ascii="Palatino Linotype" w:hAnsi="Palatino Linotype" w:cs="Arial"/>
        </w:rPr>
      </w:pPr>
      <w:r w:rsidRPr="00DB5147">
        <w:rPr>
          <w:rFonts w:ascii="Palatino Linotype" w:hAnsi="Palatino Linotype"/>
        </w:rPr>
        <w:lastRenderedPageBreak/>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E5B53">
        <w:rPr>
          <w:rFonts w:ascii="Palatino Linotype" w:hAnsi="Palatino Linotype"/>
        </w:rPr>
        <w:t>NOVENA</w:t>
      </w:r>
      <w:r w:rsidRPr="00DB5147">
        <w:rPr>
          <w:rFonts w:ascii="Palatino Linotype" w:hAnsi="Palatino Linotype"/>
        </w:rPr>
        <w:t xml:space="preserve"> SESIÓN ORDINARIA CELEBRADA EL </w:t>
      </w:r>
      <w:r w:rsidR="00D536F1">
        <w:rPr>
          <w:rFonts w:ascii="Palatino Linotype" w:hAnsi="Palatino Linotype"/>
        </w:rPr>
        <w:t>NUEVE</w:t>
      </w:r>
      <w:r w:rsidR="009D5B53">
        <w:rPr>
          <w:rFonts w:ascii="Palatino Linotype" w:hAnsi="Palatino Linotype"/>
        </w:rPr>
        <w:t xml:space="preserve"> DE MARZO DE DOS MIL VEINTIDÓS</w:t>
      </w:r>
      <w:r w:rsidRPr="00DB5147">
        <w:rPr>
          <w:rFonts w:ascii="Palatino Linotype" w:hAnsi="Palatino Linotype"/>
        </w:rPr>
        <w:t>, ANTE EL SECRETARIO TÉCNICO DEL PLENO, ALEXIS TAPIA RAMÍREZ</w:t>
      </w:r>
      <w:r w:rsidR="009F74E7" w:rsidRPr="00B21190">
        <w:rPr>
          <w:rFonts w:ascii="Palatino Linotype" w:hAnsi="Palatino Linotype" w:cs="Arial"/>
        </w:rPr>
        <w:t>.</w:t>
      </w:r>
      <w:r w:rsidR="00117E65">
        <w:rPr>
          <w:rFonts w:ascii="Palatino Linotype" w:hAnsi="Palatino Linotype" w:cs="Arial"/>
        </w:rPr>
        <w:t>-----------------------------</w:t>
      </w:r>
      <w:r w:rsidR="00AB0C41">
        <w:rPr>
          <w:rFonts w:ascii="Palatino Linotype" w:hAnsi="Palatino Linotype" w:cs="Arial"/>
        </w:rPr>
        <w:t>------------</w:t>
      </w:r>
      <w:r w:rsidR="006301EC">
        <w:rPr>
          <w:rFonts w:ascii="Palatino Linotype" w:hAnsi="Palatino Linotype" w:cs="Arial"/>
        </w:rPr>
        <w:t>----------------------------------------------------------------------------------------------------------------------------------------------------------------------------------------------------------------------------------------------------------------------------------------------------------------------------------------------</w:t>
      </w:r>
      <w:r w:rsidR="000A5A65">
        <w:rPr>
          <w:rFonts w:ascii="Palatino Linotype" w:hAnsi="Palatino Linotype" w:cs="Arial"/>
        </w:rPr>
        <w:t>-----------------------------------------------------</w:t>
      </w:r>
      <w:r w:rsidR="009D5B53">
        <w:rPr>
          <w:rFonts w:ascii="Palatino Linotype" w:hAnsi="Palatino Linotype" w:cs="Arial"/>
        </w:rPr>
        <w:t>----------------------------------------------------------------------------------------------------------------------------------------------------------------------------------------------------------------------------------------------------------------------------------------------------------------------------------------------------------------------------------------------------------------------------------------------------------------------------------------------------------------------------------------------------------------------------------------------------</w:t>
      </w:r>
      <w:r w:rsidR="00DC357D">
        <w:rPr>
          <w:rFonts w:ascii="Palatino Linotype" w:hAnsi="Palatino Linotype" w:cs="Arial"/>
        </w:rPr>
        <w:t>------------------------------------------------------------------------------------------------------------------------------------------------------------------------------------------------------------------------------------------------------------------------------------------------------------------------------------------------------------------------------------------------------------------------------------------------------------------------------------------------------------------------------------------------------------------------------------------------------------------------------------------------------------------------------------------------------</w:t>
      </w:r>
      <w:r w:rsidR="009D5B53">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A47AF" w14:textId="77777777" w:rsidR="00C753E4" w:rsidRDefault="00C753E4" w:rsidP="00D34057">
      <w:r>
        <w:separator/>
      </w:r>
    </w:p>
  </w:endnote>
  <w:endnote w:type="continuationSeparator" w:id="0">
    <w:p w14:paraId="14C9A6EA" w14:textId="77777777" w:rsidR="00C753E4" w:rsidRDefault="00C753E4"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5F18">
      <w:rPr>
        <w:rFonts w:ascii="Palatino Linotype" w:hAnsi="Palatino Linotype"/>
        <w:bCs/>
        <w:noProof/>
        <w:sz w:val="20"/>
      </w:rPr>
      <w:t>57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5F18">
      <w:rPr>
        <w:rFonts w:ascii="Palatino Linotype" w:hAnsi="Palatino Linotype"/>
        <w:bCs/>
        <w:noProof/>
        <w:sz w:val="20"/>
      </w:rPr>
      <w:t>59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6C5F18">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6C5F18">
      <w:rPr>
        <w:rFonts w:ascii="Palatino Linotype" w:hAnsi="Palatino Linotype"/>
        <w:b/>
        <w:bCs/>
        <w:noProof/>
        <w:sz w:val="20"/>
      </w:rPr>
      <w:t>58</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98E33" w14:textId="77777777" w:rsidR="00C753E4" w:rsidRDefault="00C753E4" w:rsidP="00D34057">
      <w:r>
        <w:separator/>
      </w:r>
    </w:p>
  </w:footnote>
  <w:footnote w:type="continuationSeparator" w:id="0">
    <w:p w14:paraId="425A1C3F" w14:textId="77777777" w:rsidR="00C753E4" w:rsidRDefault="00C753E4"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E42AD9E" w14:textId="77777777" w:rsidR="0083125A" w:rsidRDefault="0083125A" w:rsidP="0083125A">
      <w:pPr>
        <w:pStyle w:val="Textonotapie"/>
        <w:jc w:val="both"/>
        <w:rPr>
          <w:rFonts w:ascii="Palatino Linotype" w:hAnsi="Palatino Linotype" w:cs="Times New Roman"/>
          <w:i/>
        </w:rPr>
      </w:pPr>
      <w:r>
        <w:rPr>
          <w:rStyle w:val="Refdenotaalpie"/>
          <w:b/>
        </w:rPr>
        <w:footnoteRef/>
      </w:r>
      <w:r>
        <w:rPr>
          <w:b/>
        </w:rPr>
        <w:t xml:space="preserve"> </w:t>
      </w: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F0B7CC9" w14:textId="77777777" w:rsidR="0083125A" w:rsidRDefault="0083125A" w:rsidP="0083125A">
      <w:pPr>
        <w:pStyle w:val="Textonotapie"/>
        <w:jc w:val="both"/>
        <w:rPr>
          <w:rFonts w:ascii="Palatino Linotype" w:hAnsi="Palatino Linotype"/>
          <w:i/>
        </w:rPr>
      </w:pPr>
      <w:r>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6BF048F" w14:textId="77777777" w:rsidR="0083125A" w:rsidRDefault="0083125A" w:rsidP="0083125A">
      <w:pPr>
        <w:pStyle w:val="Textonotapie"/>
        <w:jc w:val="both"/>
        <w:rPr>
          <w:rFonts w:ascii="Calibri" w:hAnsi="Calibri"/>
        </w:rPr>
      </w:pPr>
    </w:p>
  </w:footnote>
  <w:footnote w:id="3">
    <w:p w14:paraId="0A981100" w14:textId="77777777" w:rsidR="00CF74A7" w:rsidRPr="00D2586F" w:rsidRDefault="00CF74A7" w:rsidP="00CF74A7">
      <w:pPr>
        <w:pStyle w:val="Textonotapie"/>
        <w:jc w:val="both"/>
        <w:rPr>
          <w:rFonts w:ascii="Palatino Linotype" w:hAnsi="Palatino Linotype"/>
          <w:i/>
          <w:u w:val="single"/>
        </w:rPr>
      </w:pPr>
      <w:r w:rsidRPr="00D2586F">
        <w:rPr>
          <w:rStyle w:val="Refdenotaalpie"/>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06D0DAB6" w14:textId="77777777" w:rsidR="00CF74A7" w:rsidRPr="00D2586F" w:rsidRDefault="00CF74A7" w:rsidP="00CF74A7">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56323F4" w14:textId="77777777" w:rsidR="00CF74A7" w:rsidRPr="00D2586F" w:rsidRDefault="00CF74A7" w:rsidP="00CF74A7">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17670516" w14:textId="77777777" w:rsidR="00CF74A7" w:rsidRPr="00D2586F" w:rsidRDefault="00CF74A7" w:rsidP="00CF74A7">
      <w:pPr>
        <w:pStyle w:val="Textonotapie"/>
        <w:jc w:val="both"/>
        <w:rPr>
          <w:rFonts w:ascii="Palatino Linotype" w:hAnsi="Palatino Linotype"/>
          <w:i/>
        </w:rPr>
      </w:pPr>
    </w:p>
    <w:p w14:paraId="663ACE5E" w14:textId="77777777" w:rsidR="00CF74A7" w:rsidRDefault="00CF74A7" w:rsidP="00CF74A7">
      <w:pPr>
        <w:pStyle w:val="Textonotapie"/>
        <w:jc w:val="right"/>
      </w:pPr>
      <w:r w:rsidRPr="00D2586F">
        <w:rPr>
          <w:rFonts w:ascii="Palatino Linotype" w:hAnsi="Palatino Linotype"/>
          <w:i/>
        </w:rPr>
        <w:t>(Énfasis añadido)</w:t>
      </w:r>
    </w:p>
  </w:footnote>
  <w:footnote w:id="4">
    <w:p w14:paraId="01B9D75A" w14:textId="77777777" w:rsidR="00F23C36" w:rsidRPr="007F43A5" w:rsidRDefault="00F23C36" w:rsidP="00F23C36">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5">
    <w:p w14:paraId="51874DCB" w14:textId="77777777" w:rsidR="00F23C36" w:rsidRPr="0085625E" w:rsidRDefault="00F23C36" w:rsidP="00F23C36">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 xml:space="preserve">Tribunales Colegiados de Circuito. Novena </w:t>
      </w:r>
      <w:proofErr w:type="spellStart"/>
      <w:r w:rsidRPr="0085625E">
        <w:rPr>
          <w:rFonts w:asciiTheme="majorHAnsi" w:hAnsiTheme="majorHAnsi"/>
          <w:lang w:val="es-ES"/>
        </w:rPr>
        <w:t>Epoca</w:t>
      </w:r>
      <w:proofErr w:type="spellEnd"/>
      <w:r w:rsidRPr="0085625E">
        <w:rPr>
          <w:rFonts w:asciiTheme="majorHAnsi" w:hAnsiTheme="majorHAnsi"/>
          <w:lang w:val="es-ES"/>
        </w:rPr>
        <w:t xml:space="preserve">. Semanario Judicial de la Federación y su Gaceta. Tomo III, marzo de 1996. </w:t>
      </w:r>
      <w:proofErr w:type="spellStart"/>
      <w:r w:rsidRPr="0085625E">
        <w:rPr>
          <w:rFonts w:asciiTheme="majorHAnsi" w:hAnsiTheme="majorHAnsi"/>
          <w:lang w:val="es-ES"/>
        </w:rPr>
        <w:t>Pág</w:t>
      </w:r>
      <w:proofErr w:type="spellEnd"/>
      <w:r w:rsidRPr="0085625E">
        <w:rPr>
          <w:rFonts w:asciiTheme="majorHAnsi" w:hAnsiTheme="majorHAnsi"/>
          <w:lang w:val="es-ES"/>
        </w:rPr>
        <w:t xml:space="preserve"> 769. Consultado en http://sjf.scjn.gob.mx/sjfsist/Documentos/Tesis/203/203143.pdf  el viernes 16 de junio de 2017.</w:t>
      </w:r>
    </w:p>
    <w:p w14:paraId="4EC04422" w14:textId="77777777" w:rsidR="00F23C36" w:rsidRPr="0085625E" w:rsidRDefault="00F23C36" w:rsidP="00F23C36">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01730" w:rsidRDefault="006C5F18">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74CD6032" w:rsidR="00A01730" w:rsidRDefault="0014089B" w:rsidP="00564DB2">
          <w:pPr>
            <w:spacing w:after="120" w:line="256" w:lineRule="auto"/>
            <w:ind w:left="-486" w:right="214" w:firstLine="1585"/>
            <w:jc w:val="right"/>
            <w:rPr>
              <w:rFonts w:ascii="Palatino Linotype" w:hAnsi="Palatino Linotype" w:cs="Arial"/>
              <w:szCs w:val="20"/>
            </w:rPr>
          </w:pPr>
          <w:r w:rsidRPr="0014089B">
            <w:rPr>
              <w:rFonts w:ascii="Palatino Linotype" w:hAnsi="Palatino Linotype" w:cs="Arial"/>
              <w:bCs/>
              <w:lang w:eastAsia="es-MX"/>
            </w:rPr>
            <w:t>00425/INFOEM/IP/RR/2022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73B00929" w:rsidR="00A01730" w:rsidRDefault="0083125A" w:rsidP="00E31501">
          <w:pPr>
            <w:spacing w:line="256" w:lineRule="auto"/>
            <w:ind w:left="-72" w:right="214" w:firstLine="284"/>
            <w:jc w:val="right"/>
            <w:rPr>
              <w:rFonts w:ascii="Palatino Linotype" w:hAnsi="Palatino Linotype" w:cs="Arial"/>
              <w:szCs w:val="20"/>
            </w:rPr>
          </w:pPr>
          <w:r w:rsidRPr="0083125A">
            <w:rPr>
              <w:rFonts w:ascii="Palatino Linotype" w:hAnsi="Palatino Linotype" w:cs="Arial"/>
              <w:szCs w:val="20"/>
            </w:rPr>
            <w:t>Ayuntamiento de Nezahualcóyotl</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0A32FF3A" w:rsidR="00A01730" w:rsidRPr="00B4142F" w:rsidRDefault="0014089B" w:rsidP="004558D1">
          <w:pPr>
            <w:spacing w:after="120" w:line="256" w:lineRule="auto"/>
            <w:ind w:left="-486" w:right="214" w:firstLine="1408"/>
            <w:jc w:val="right"/>
            <w:rPr>
              <w:rFonts w:ascii="Palatino Linotype" w:hAnsi="Palatino Linotype" w:cs="Arial"/>
              <w:szCs w:val="20"/>
            </w:rPr>
          </w:pPr>
          <w:r w:rsidRPr="0014089B">
            <w:rPr>
              <w:rFonts w:ascii="Palatino Linotype" w:hAnsi="Palatino Linotype" w:cs="Arial"/>
              <w:bCs/>
              <w:lang w:eastAsia="es-MX"/>
            </w:rPr>
            <w:t>00425/INFOEM/IP/RR/2022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1D91B7F4" w:rsidR="00A01730" w:rsidRPr="00F06FED" w:rsidRDefault="008504C5"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w:t>
          </w:r>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02FB091E" w:rsidR="00A01730" w:rsidRDefault="0083125A" w:rsidP="008171C2">
          <w:pPr>
            <w:spacing w:line="256" w:lineRule="auto"/>
            <w:ind w:left="-495" w:right="214" w:firstLine="567"/>
            <w:jc w:val="right"/>
            <w:rPr>
              <w:rFonts w:ascii="Palatino Linotype" w:hAnsi="Palatino Linotype" w:cs="Arial"/>
              <w:szCs w:val="20"/>
            </w:rPr>
          </w:pPr>
          <w:r w:rsidRPr="0083125A">
            <w:rPr>
              <w:rFonts w:ascii="Palatino Linotype" w:hAnsi="Palatino Linotype" w:cs="Arial"/>
              <w:szCs w:val="20"/>
            </w:rPr>
            <w:t>Ayuntamiento de Nezahualcóyotl</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6C5F18">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2"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6"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7"/>
  </w:num>
  <w:num w:numId="3">
    <w:abstractNumId w:val="20"/>
  </w:num>
  <w:num w:numId="4">
    <w:abstractNumId w:val="19"/>
  </w:num>
  <w:num w:numId="5">
    <w:abstractNumId w:val="27"/>
  </w:num>
  <w:num w:numId="6">
    <w:abstractNumId w:val="21"/>
  </w:num>
  <w:num w:numId="7">
    <w:abstractNumId w:val="16"/>
  </w:num>
  <w:num w:numId="8">
    <w:abstractNumId w:val="23"/>
  </w:num>
  <w:num w:numId="9">
    <w:abstractNumId w:val="15"/>
  </w:num>
  <w:num w:numId="10">
    <w:abstractNumId w:val="14"/>
  </w:num>
  <w:num w:numId="11">
    <w:abstractNumId w:val="0"/>
  </w:num>
  <w:num w:numId="12">
    <w:abstractNumId w:val="13"/>
  </w:num>
  <w:num w:numId="13">
    <w:abstractNumId w:val="8"/>
  </w:num>
  <w:num w:numId="14">
    <w:abstractNumId w:val="12"/>
  </w:num>
  <w:num w:numId="15">
    <w:abstractNumId w:val="26"/>
  </w:num>
  <w:num w:numId="16">
    <w:abstractNumId w:val="22"/>
  </w:num>
  <w:num w:numId="17">
    <w:abstractNumId w:val="4"/>
  </w:num>
  <w:num w:numId="18">
    <w:abstractNumId w:val="10"/>
  </w:num>
  <w:num w:numId="19">
    <w:abstractNumId w:val="5"/>
  </w:num>
  <w:num w:numId="20">
    <w:abstractNumId w:val="1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1"/>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6"/>
  </w:num>
  <w:num w:numId="28">
    <w:abstractNumId w:val="18"/>
  </w:num>
  <w:num w:numId="29">
    <w:abstractNumId w:val="1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6BB6"/>
    <w:rsid w:val="00017B86"/>
    <w:rsid w:val="00020B6A"/>
    <w:rsid w:val="00026EB1"/>
    <w:rsid w:val="00041A17"/>
    <w:rsid w:val="00050780"/>
    <w:rsid w:val="00055AB9"/>
    <w:rsid w:val="000A5A65"/>
    <w:rsid w:val="000B1582"/>
    <w:rsid w:val="000C7DA1"/>
    <w:rsid w:val="000D006F"/>
    <w:rsid w:val="000D4CB2"/>
    <w:rsid w:val="000D6FBA"/>
    <w:rsid w:val="000E269D"/>
    <w:rsid w:val="000E7C06"/>
    <w:rsid w:val="000F43D7"/>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6720"/>
    <w:rsid w:val="00152971"/>
    <w:rsid w:val="001545AD"/>
    <w:rsid w:val="00154E6B"/>
    <w:rsid w:val="00155F3D"/>
    <w:rsid w:val="00157778"/>
    <w:rsid w:val="001615BA"/>
    <w:rsid w:val="001679F1"/>
    <w:rsid w:val="001705F4"/>
    <w:rsid w:val="00174621"/>
    <w:rsid w:val="00181245"/>
    <w:rsid w:val="00194E28"/>
    <w:rsid w:val="001A7973"/>
    <w:rsid w:val="001B0A88"/>
    <w:rsid w:val="001B7694"/>
    <w:rsid w:val="001C0E3D"/>
    <w:rsid w:val="001C2774"/>
    <w:rsid w:val="001D40B1"/>
    <w:rsid w:val="001D6B18"/>
    <w:rsid w:val="001E111C"/>
    <w:rsid w:val="001E7A89"/>
    <w:rsid w:val="00215429"/>
    <w:rsid w:val="00226E72"/>
    <w:rsid w:val="00234D61"/>
    <w:rsid w:val="002379F2"/>
    <w:rsid w:val="002468A3"/>
    <w:rsid w:val="0025394E"/>
    <w:rsid w:val="00256703"/>
    <w:rsid w:val="0025795D"/>
    <w:rsid w:val="00267078"/>
    <w:rsid w:val="00272D2A"/>
    <w:rsid w:val="0028416A"/>
    <w:rsid w:val="00286BF3"/>
    <w:rsid w:val="00293EFD"/>
    <w:rsid w:val="00295210"/>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22DC7"/>
    <w:rsid w:val="003242C7"/>
    <w:rsid w:val="00344F6E"/>
    <w:rsid w:val="00346625"/>
    <w:rsid w:val="00354DDE"/>
    <w:rsid w:val="003559E1"/>
    <w:rsid w:val="00360BBA"/>
    <w:rsid w:val="00362E23"/>
    <w:rsid w:val="003708E1"/>
    <w:rsid w:val="003756A5"/>
    <w:rsid w:val="00382978"/>
    <w:rsid w:val="00386844"/>
    <w:rsid w:val="003A1A28"/>
    <w:rsid w:val="003A5AE4"/>
    <w:rsid w:val="003B38F1"/>
    <w:rsid w:val="003B3DD4"/>
    <w:rsid w:val="003B6A9D"/>
    <w:rsid w:val="003C0538"/>
    <w:rsid w:val="003C49D6"/>
    <w:rsid w:val="003D002D"/>
    <w:rsid w:val="003D0754"/>
    <w:rsid w:val="003F3CC8"/>
    <w:rsid w:val="003F66C2"/>
    <w:rsid w:val="0040778F"/>
    <w:rsid w:val="0041558F"/>
    <w:rsid w:val="00416CE7"/>
    <w:rsid w:val="004204BB"/>
    <w:rsid w:val="0042060D"/>
    <w:rsid w:val="00420D92"/>
    <w:rsid w:val="004302BF"/>
    <w:rsid w:val="004308D7"/>
    <w:rsid w:val="00431689"/>
    <w:rsid w:val="0044308F"/>
    <w:rsid w:val="0044703B"/>
    <w:rsid w:val="00450A1F"/>
    <w:rsid w:val="004558D1"/>
    <w:rsid w:val="00457A19"/>
    <w:rsid w:val="00460121"/>
    <w:rsid w:val="00467861"/>
    <w:rsid w:val="00473A6A"/>
    <w:rsid w:val="00475335"/>
    <w:rsid w:val="00477598"/>
    <w:rsid w:val="004805B8"/>
    <w:rsid w:val="00480FEA"/>
    <w:rsid w:val="004838E7"/>
    <w:rsid w:val="00490AAB"/>
    <w:rsid w:val="004A2087"/>
    <w:rsid w:val="004A2EA2"/>
    <w:rsid w:val="004A451E"/>
    <w:rsid w:val="004B2123"/>
    <w:rsid w:val="004B3A7C"/>
    <w:rsid w:val="004B6B78"/>
    <w:rsid w:val="004C191E"/>
    <w:rsid w:val="004D498F"/>
    <w:rsid w:val="004D55BA"/>
    <w:rsid w:val="004E7A5E"/>
    <w:rsid w:val="004F3954"/>
    <w:rsid w:val="004F643D"/>
    <w:rsid w:val="004F77EA"/>
    <w:rsid w:val="005035F7"/>
    <w:rsid w:val="0050427F"/>
    <w:rsid w:val="005107A4"/>
    <w:rsid w:val="005151C4"/>
    <w:rsid w:val="00517C9B"/>
    <w:rsid w:val="005219ED"/>
    <w:rsid w:val="00525C26"/>
    <w:rsid w:val="0053007F"/>
    <w:rsid w:val="005414FD"/>
    <w:rsid w:val="00544ADD"/>
    <w:rsid w:val="0055620B"/>
    <w:rsid w:val="00557B3B"/>
    <w:rsid w:val="00564DB2"/>
    <w:rsid w:val="005733EB"/>
    <w:rsid w:val="00573B4F"/>
    <w:rsid w:val="00574BF4"/>
    <w:rsid w:val="00585BF1"/>
    <w:rsid w:val="00594FEE"/>
    <w:rsid w:val="005A14A4"/>
    <w:rsid w:val="005B0651"/>
    <w:rsid w:val="005B201D"/>
    <w:rsid w:val="005B4D50"/>
    <w:rsid w:val="005B5976"/>
    <w:rsid w:val="005B7C1F"/>
    <w:rsid w:val="005C3D98"/>
    <w:rsid w:val="005E1C1B"/>
    <w:rsid w:val="005E50F1"/>
    <w:rsid w:val="005F4AAF"/>
    <w:rsid w:val="006002BC"/>
    <w:rsid w:val="006004A4"/>
    <w:rsid w:val="00601482"/>
    <w:rsid w:val="006054E7"/>
    <w:rsid w:val="00620A1D"/>
    <w:rsid w:val="00622C8D"/>
    <w:rsid w:val="0062301B"/>
    <w:rsid w:val="00627C77"/>
    <w:rsid w:val="006301EC"/>
    <w:rsid w:val="00630FBE"/>
    <w:rsid w:val="00633AB9"/>
    <w:rsid w:val="00640746"/>
    <w:rsid w:val="00646183"/>
    <w:rsid w:val="00646421"/>
    <w:rsid w:val="00646635"/>
    <w:rsid w:val="00654C45"/>
    <w:rsid w:val="00656B46"/>
    <w:rsid w:val="00657723"/>
    <w:rsid w:val="00662B52"/>
    <w:rsid w:val="00666716"/>
    <w:rsid w:val="00666B5B"/>
    <w:rsid w:val="00674D6A"/>
    <w:rsid w:val="0067790D"/>
    <w:rsid w:val="006802F0"/>
    <w:rsid w:val="00690103"/>
    <w:rsid w:val="006A2320"/>
    <w:rsid w:val="006A66EE"/>
    <w:rsid w:val="006C2453"/>
    <w:rsid w:val="006C5F18"/>
    <w:rsid w:val="006D566D"/>
    <w:rsid w:val="006F612C"/>
    <w:rsid w:val="007017C7"/>
    <w:rsid w:val="0070231E"/>
    <w:rsid w:val="00703D66"/>
    <w:rsid w:val="00706E31"/>
    <w:rsid w:val="00722BF3"/>
    <w:rsid w:val="00725027"/>
    <w:rsid w:val="007250E5"/>
    <w:rsid w:val="00725339"/>
    <w:rsid w:val="00727C75"/>
    <w:rsid w:val="0073045F"/>
    <w:rsid w:val="00730A9F"/>
    <w:rsid w:val="0073583C"/>
    <w:rsid w:val="007358E0"/>
    <w:rsid w:val="00742B13"/>
    <w:rsid w:val="0074301E"/>
    <w:rsid w:val="007476C5"/>
    <w:rsid w:val="0075184E"/>
    <w:rsid w:val="00751C25"/>
    <w:rsid w:val="0075245B"/>
    <w:rsid w:val="00755A9B"/>
    <w:rsid w:val="00757DBC"/>
    <w:rsid w:val="00760FCC"/>
    <w:rsid w:val="0076305A"/>
    <w:rsid w:val="0076744D"/>
    <w:rsid w:val="0076759C"/>
    <w:rsid w:val="0078004C"/>
    <w:rsid w:val="00783FD2"/>
    <w:rsid w:val="00793527"/>
    <w:rsid w:val="007B1512"/>
    <w:rsid w:val="007C07B0"/>
    <w:rsid w:val="007C4C2E"/>
    <w:rsid w:val="007D0A9E"/>
    <w:rsid w:val="007D7483"/>
    <w:rsid w:val="007E1970"/>
    <w:rsid w:val="007E47E1"/>
    <w:rsid w:val="007F2A5E"/>
    <w:rsid w:val="00803FC8"/>
    <w:rsid w:val="008058B1"/>
    <w:rsid w:val="00805DE1"/>
    <w:rsid w:val="00806692"/>
    <w:rsid w:val="008067B5"/>
    <w:rsid w:val="0080743D"/>
    <w:rsid w:val="00812043"/>
    <w:rsid w:val="0081573E"/>
    <w:rsid w:val="00816560"/>
    <w:rsid w:val="008171C2"/>
    <w:rsid w:val="00820DE3"/>
    <w:rsid w:val="00827428"/>
    <w:rsid w:val="00827C8B"/>
    <w:rsid w:val="0083125A"/>
    <w:rsid w:val="00841CCD"/>
    <w:rsid w:val="0084347C"/>
    <w:rsid w:val="00847043"/>
    <w:rsid w:val="008504C5"/>
    <w:rsid w:val="00855E9B"/>
    <w:rsid w:val="00871E5C"/>
    <w:rsid w:val="008740B7"/>
    <w:rsid w:val="008746A2"/>
    <w:rsid w:val="0087697C"/>
    <w:rsid w:val="00877448"/>
    <w:rsid w:val="00881E67"/>
    <w:rsid w:val="00882B8D"/>
    <w:rsid w:val="008852D8"/>
    <w:rsid w:val="008A38A0"/>
    <w:rsid w:val="008A42CC"/>
    <w:rsid w:val="008B2EF8"/>
    <w:rsid w:val="008B5C47"/>
    <w:rsid w:val="008C5F81"/>
    <w:rsid w:val="008D6D96"/>
    <w:rsid w:val="008D7CE1"/>
    <w:rsid w:val="008E40A8"/>
    <w:rsid w:val="008E5AAE"/>
    <w:rsid w:val="008E5D5B"/>
    <w:rsid w:val="008F2868"/>
    <w:rsid w:val="008F4C6F"/>
    <w:rsid w:val="00902C13"/>
    <w:rsid w:val="009050DE"/>
    <w:rsid w:val="009118E2"/>
    <w:rsid w:val="009126FE"/>
    <w:rsid w:val="00912A21"/>
    <w:rsid w:val="0091562A"/>
    <w:rsid w:val="00916EEF"/>
    <w:rsid w:val="00917CAA"/>
    <w:rsid w:val="009232E7"/>
    <w:rsid w:val="00925243"/>
    <w:rsid w:val="00926051"/>
    <w:rsid w:val="00935D0B"/>
    <w:rsid w:val="00940A28"/>
    <w:rsid w:val="009440E4"/>
    <w:rsid w:val="00951B8F"/>
    <w:rsid w:val="0095372B"/>
    <w:rsid w:val="00970E3E"/>
    <w:rsid w:val="00972636"/>
    <w:rsid w:val="00993420"/>
    <w:rsid w:val="00993A72"/>
    <w:rsid w:val="00995F88"/>
    <w:rsid w:val="00996492"/>
    <w:rsid w:val="009A00AB"/>
    <w:rsid w:val="009A02FC"/>
    <w:rsid w:val="009A3EDE"/>
    <w:rsid w:val="009A58C5"/>
    <w:rsid w:val="009B26E5"/>
    <w:rsid w:val="009C304A"/>
    <w:rsid w:val="009C3C39"/>
    <w:rsid w:val="009C717B"/>
    <w:rsid w:val="009D1003"/>
    <w:rsid w:val="009D5B53"/>
    <w:rsid w:val="009D62BD"/>
    <w:rsid w:val="009D7D7B"/>
    <w:rsid w:val="009E6C93"/>
    <w:rsid w:val="009E71C1"/>
    <w:rsid w:val="009F3DA1"/>
    <w:rsid w:val="009F42F3"/>
    <w:rsid w:val="009F46A9"/>
    <w:rsid w:val="009F47DC"/>
    <w:rsid w:val="009F74E7"/>
    <w:rsid w:val="00A01730"/>
    <w:rsid w:val="00A01C97"/>
    <w:rsid w:val="00A10127"/>
    <w:rsid w:val="00A12134"/>
    <w:rsid w:val="00A1684F"/>
    <w:rsid w:val="00A17DC9"/>
    <w:rsid w:val="00A35B6F"/>
    <w:rsid w:val="00A37185"/>
    <w:rsid w:val="00A41464"/>
    <w:rsid w:val="00A45E2B"/>
    <w:rsid w:val="00A47E40"/>
    <w:rsid w:val="00A54243"/>
    <w:rsid w:val="00A56017"/>
    <w:rsid w:val="00A56F06"/>
    <w:rsid w:val="00A573AC"/>
    <w:rsid w:val="00A57715"/>
    <w:rsid w:val="00A618C1"/>
    <w:rsid w:val="00A7407A"/>
    <w:rsid w:val="00A74EA8"/>
    <w:rsid w:val="00A76C35"/>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E5F6D"/>
    <w:rsid w:val="00AF1B80"/>
    <w:rsid w:val="00B0487B"/>
    <w:rsid w:val="00B12105"/>
    <w:rsid w:val="00B16194"/>
    <w:rsid w:val="00B21190"/>
    <w:rsid w:val="00B235E2"/>
    <w:rsid w:val="00B26EBF"/>
    <w:rsid w:val="00B32668"/>
    <w:rsid w:val="00B35972"/>
    <w:rsid w:val="00B42E2D"/>
    <w:rsid w:val="00B453B2"/>
    <w:rsid w:val="00B468C8"/>
    <w:rsid w:val="00B47551"/>
    <w:rsid w:val="00B506F8"/>
    <w:rsid w:val="00B52B1E"/>
    <w:rsid w:val="00B53702"/>
    <w:rsid w:val="00B57B32"/>
    <w:rsid w:val="00B61E37"/>
    <w:rsid w:val="00B66344"/>
    <w:rsid w:val="00B72016"/>
    <w:rsid w:val="00B727AB"/>
    <w:rsid w:val="00B75B02"/>
    <w:rsid w:val="00B9730E"/>
    <w:rsid w:val="00BA06F7"/>
    <w:rsid w:val="00BB0BEB"/>
    <w:rsid w:val="00BB4154"/>
    <w:rsid w:val="00BB7570"/>
    <w:rsid w:val="00BB796F"/>
    <w:rsid w:val="00BC73E3"/>
    <w:rsid w:val="00BD28E3"/>
    <w:rsid w:val="00BD6588"/>
    <w:rsid w:val="00BE3B14"/>
    <w:rsid w:val="00BF390A"/>
    <w:rsid w:val="00C06C9A"/>
    <w:rsid w:val="00C07D77"/>
    <w:rsid w:val="00C156B4"/>
    <w:rsid w:val="00C20508"/>
    <w:rsid w:val="00C31842"/>
    <w:rsid w:val="00C34327"/>
    <w:rsid w:val="00C42C80"/>
    <w:rsid w:val="00C44875"/>
    <w:rsid w:val="00C526F3"/>
    <w:rsid w:val="00C531E1"/>
    <w:rsid w:val="00C57CB5"/>
    <w:rsid w:val="00C61705"/>
    <w:rsid w:val="00C6304A"/>
    <w:rsid w:val="00C6788F"/>
    <w:rsid w:val="00C753E4"/>
    <w:rsid w:val="00C77741"/>
    <w:rsid w:val="00C812E3"/>
    <w:rsid w:val="00C81700"/>
    <w:rsid w:val="00C82261"/>
    <w:rsid w:val="00C848BA"/>
    <w:rsid w:val="00C90E54"/>
    <w:rsid w:val="00C92FAC"/>
    <w:rsid w:val="00C93295"/>
    <w:rsid w:val="00C94B65"/>
    <w:rsid w:val="00CA261F"/>
    <w:rsid w:val="00CA2B5E"/>
    <w:rsid w:val="00CA3D77"/>
    <w:rsid w:val="00CB1908"/>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20C1D"/>
    <w:rsid w:val="00D25134"/>
    <w:rsid w:val="00D27E5B"/>
    <w:rsid w:val="00D34057"/>
    <w:rsid w:val="00D36682"/>
    <w:rsid w:val="00D536F1"/>
    <w:rsid w:val="00D53DDC"/>
    <w:rsid w:val="00D623CE"/>
    <w:rsid w:val="00D64AF1"/>
    <w:rsid w:val="00D67A0D"/>
    <w:rsid w:val="00D67BEC"/>
    <w:rsid w:val="00D74B7C"/>
    <w:rsid w:val="00D800F2"/>
    <w:rsid w:val="00D93767"/>
    <w:rsid w:val="00D95458"/>
    <w:rsid w:val="00D96EF8"/>
    <w:rsid w:val="00DA323F"/>
    <w:rsid w:val="00DA43AD"/>
    <w:rsid w:val="00DC357D"/>
    <w:rsid w:val="00DD13E2"/>
    <w:rsid w:val="00DD6010"/>
    <w:rsid w:val="00DD7C88"/>
    <w:rsid w:val="00DE2F9E"/>
    <w:rsid w:val="00E017CE"/>
    <w:rsid w:val="00E024BE"/>
    <w:rsid w:val="00E02FE0"/>
    <w:rsid w:val="00E127E6"/>
    <w:rsid w:val="00E131A8"/>
    <w:rsid w:val="00E1740E"/>
    <w:rsid w:val="00E213F7"/>
    <w:rsid w:val="00E2616D"/>
    <w:rsid w:val="00E26437"/>
    <w:rsid w:val="00E27B09"/>
    <w:rsid w:val="00E31501"/>
    <w:rsid w:val="00E3262B"/>
    <w:rsid w:val="00E36016"/>
    <w:rsid w:val="00E41748"/>
    <w:rsid w:val="00E43997"/>
    <w:rsid w:val="00E44452"/>
    <w:rsid w:val="00E45777"/>
    <w:rsid w:val="00E53540"/>
    <w:rsid w:val="00E53C06"/>
    <w:rsid w:val="00E746BE"/>
    <w:rsid w:val="00E82F11"/>
    <w:rsid w:val="00E91313"/>
    <w:rsid w:val="00E91EE4"/>
    <w:rsid w:val="00E9595C"/>
    <w:rsid w:val="00EA3297"/>
    <w:rsid w:val="00EA3EE4"/>
    <w:rsid w:val="00EA53C7"/>
    <w:rsid w:val="00EA6CEA"/>
    <w:rsid w:val="00EB231C"/>
    <w:rsid w:val="00EB5A3A"/>
    <w:rsid w:val="00EC2430"/>
    <w:rsid w:val="00EC61B4"/>
    <w:rsid w:val="00ED224E"/>
    <w:rsid w:val="00ED27AB"/>
    <w:rsid w:val="00ED33BB"/>
    <w:rsid w:val="00ED5CA3"/>
    <w:rsid w:val="00ED660D"/>
    <w:rsid w:val="00ED6C96"/>
    <w:rsid w:val="00ED72E2"/>
    <w:rsid w:val="00EE5D6D"/>
    <w:rsid w:val="00EF738F"/>
    <w:rsid w:val="00F06299"/>
    <w:rsid w:val="00F11AD3"/>
    <w:rsid w:val="00F16EF8"/>
    <w:rsid w:val="00F21527"/>
    <w:rsid w:val="00F23C36"/>
    <w:rsid w:val="00F3632E"/>
    <w:rsid w:val="00F36BA8"/>
    <w:rsid w:val="00F457C8"/>
    <w:rsid w:val="00F46230"/>
    <w:rsid w:val="00F50059"/>
    <w:rsid w:val="00F57746"/>
    <w:rsid w:val="00F60ECB"/>
    <w:rsid w:val="00F735E8"/>
    <w:rsid w:val="00F912B7"/>
    <w:rsid w:val="00F91528"/>
    <w:rsid w:val="00F96E94"/>
    <w:rsid w:val="00FA4896"/>
    <w:rsid w:val="00FA751D"/>
    <w:rsid w:val="00FB3270"/>
    <w:rsid w:val="00FC28CC"/>
    <w:rsid w:val="00FC3BBC"/>
    <w:rsid w:val="00FD1200"/>
    <w:rsid w:val="00FE23C7"/>
    <w:rsid w:val="00FE343A"/>
    <w:rsid w:val="00FE459F"/>
    <w:rsid w:val="00FE5B53"/>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9CB7D-66EB-45CD-ADBE-4545FEFAE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59</Pages>
  <Words>14582</Words>
  <Characters>80204</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2018-04-05T14:31:00Z</cp:lastPrinted>
  <dcterms:created xsi:type="dcterms:W3CDTF">2022-03-31T23:13:00Z</dcterms:created>
  <dcterms:modified xsi:type="dcterms:W3CDTF">2022-04-08T18:24:00Z</dcterms:modified>
</cp:coreProperties>
</file>