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E1379C" w:rsidRDefault="0029071C" w:rsidP="00C753C2">
      <w:pPr>
        <w:shd w:val="clear" w:color="auto" w:fill="FFFFFF"/>
        <w:spacing w:line="360" w:lineRule="auto"/>
        <w:jc w:val="both"/>
        <w:rPr>
          <w:rFonts w:ascii="Palatino Linotype" w:hAnsi="Palatino Linotype" w:cs="Arial"/>
          <w:color w:val="000000"/>
          <w:lang w:val="es-MX" w:eastAsia="es-MX"/>
        </w:rPr>
      </w:pPr>
      <w:r w:rsidRPr="00E1379C">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1379C" w:rsidRPr="00E1379C">
        <w:rPr>
          <w:rFonts w:ascii="Palatino Linotype" w:hAnsi="Palatino Linotype" w:cs="Arial"/>
          <w:color w:val="000000"/>
          <w:lang w:val="es-MX" w:eastAsia="es-MX"/>
        </w:rPr>
        <w:t>nueve de noviembre</w:t>
      </w:r>
      <w:r w:rsidR="00C4326C" w:rsidRPr="00E1379C">
        <w:rPr>
          <w:rFonts w:ascii="Palatino Linotype" w:hAnsi="Palatino Linotype" w:cs="Arial"/>
          <w:color w:val="000000"/>
          <w:lang w:val="es-MX" w:eastAsia="es-MX"/>
        </w:rPr>
        <w:t xml:space="preserve"> dos mil veintidós</w:t>
      </w:r>
      <w:r w:rsidRPr="00E1379C">
        <w:rPr>
          <w:rFonts w:ascii="Palatino Linotype" w:hAnsi="Palatino Linotype" w:cs="Arial"/>
          <w:color w:val="000000"/>
          <w:lang w:val="es-MX" w:eastAsia="es-MX"/>
        </w:rPr>
        <w:t>.</w:t>
      </w:r>
    </w:p>
    <w:p w:rsidR="00A83B4F" w:rsidRPr="00E1379C" w:rsidRDefault="00A83B4F" w:rsidP="00C753C2">
      <w:pPr>
        <w:tabs>
          <w:tab w:val="left" w:pos="1701"/>
        </w:tabs>
        <w:spacing w:line="360" w:lineRule="auto"/>
        <w:jc w:val="both"/>
        <w:rPr>
          <w:rFonts w:ascii="Palatino Linotype" w:hAnsi="Palatino Linotype" w:cs="Arial"/>
          <w:color w:val="000000"/>
          <w:lang w:val="es-MX" w:eastAsia="es-MX"/>
        </w:rPr>
      </w:pPr>
    </w:p>
    <w:p w:rsidR="009E0E89" w:rsidRPr="00E1379C" w:rsidRDefault="0029071C" w:rsidP="00C753C2">
      <w:pPr>
        <w:tabs>
          <w:tab w:val="left" w:pos="1701"/>
        </w:tabs>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b/>
          <w:lang w:val="es-MX" w:eastAsia="en-US"/>
        </w:rPr>
        <w:t>VISTO</w:t>
      </w:r>
      <w:r w:rsidRPr="00E1379C">
        <w:rPr>
          <w:rFonts w:ascii="Palatino Linotype" w:eastAsiaTheme="minorHAnsi" w:hAnsi="Palatino Linotype" w:cs="Arial"/>
          <w:lang w:val="es-MX" w:eastAsia="en-US"/>
        </w:rPr>
        <w:t xml:space="preserve"> el expediente electrónico formado con motivo del recurso de revisión número </w:t>
      </w:r>
      <w:r w:rsidR="00DD2DA4" w:rsidRPr="00E1379C">
        <w:rPr>
          <w:rFonts w:ascii="Palatino Linotype" w:eastAsiaTheme="minorHAnsi" w:hAnsi="Palatino Linotype" w:cs="Arial"/>
          <w:b/>
          <w:lang w:val="es-MX" w:eastAsia="en-US"/>
        </w:rPr>
        <w:t>14460</w:t>
      </w:r>
      <w:r w:rsidRPr="00E1379C">
        <w:rPr>
          <w:rFonts w:ascii="Palatino Linotype" w:eastAsiaTheme="minorHAnsi" w:hAnsi="Palatino Linotype" w:cs="Arial"/>
          <w:b/>
          <w:bCs/>
          <w:lang w:val="es-MX" w:eastAsia="es-MX"/>
        </w:rPr>
        <w:t>/INFOEM/IP/RR/202</w:t>
      </w:r>
      <w:r w:rsidR="00A83B4F" w:rsidRPr="00E1379C">
        <w:rPr>
          <w:rFonts w:ascii="Palatino Linotype" w:eastAsiaTheme="minorHAnsi" w:hAnsi="Palatino Linotype" w:cs="Arial"/>
          <w:b/>
          <w:bCs/>
          <w:lang w:val="es-MX" w:eastAsia="es-MX"/>
        </w:rPr>
        <w:t>2</w:t>
      </w:r>
      <w:r w:rsidRPr="00E1379C">
        <w:rPr>
          <w:rFonts w:ascii="Palatino Linotype" w:eastAsiaTheme="minorHAnsi" w:hAnsi="Palatino Linotype" w:cs="Arial"/>
          <w:lang w:val="es-MX" w:eastAsia="en-US"/>
        </w:rPr>
        <w:t xml:space="preserve">, </w:t>
      </w:r>
      <w:r w:rsidR="00EC54C8" w:rsidRPr="00E1379C">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E1379C">
        <w:rPr>
          <w:rFonts w:ascii="Palatino Linotype" w:hAnsi="Palatino Linotype" w:cs="Arial"/>
        </w:rPr>
        <w:t>,</w:t>
      </w:r>
      <w:r w:rsidR="005F1F89" w:rsidRPr="00E1379C">
        <w:rPr>
          <w:rFonts w:ascii="Palatino Linotype" w:hAnsi="Palatino Linotype" w:cs="Arial"/>
          <w:b/>
        </w:rPr>
        <w:t xml:space="preserve"> </w:t>
      </w:r>
      <w:r w:rsidR="005F1F89" w:rsidRPr="00E1379C">
        <w:rPr>
          <w:rFonts w:ascii="Palatino Linotype" w:hAnsi="Palatino Linotype" w:cs="Arial"/>
        </w:rPr>
        <w:t xml:space="preserve">en lo sucesivo </w:t>
      </w:r>
      <w:r w:rsidR="00C40502" w:rsidRPr="00E1379C">
        <w:rPr>
          <w:rFonts w:ascii="Palatino Linotype" w:hAnsi="Palatino Linotype" w:cs="Arial"/>
          <w:b/>
        </w:rPr>
        <w:t>El</w:t>
      </w:r>
      <w:r w:rsidR="005F1F89" w:rsidRPr="00E1379C">
        <w:rPr>
          <w:rFonts w:ascii="Palatino Linotype" w:hAnsi="Palatino Linotype" w:cs="Arial"/>
          <w:b/>
        </w:rPr>
        <w:t xml:space="preserve"> Recurrente</w:t>
      </w:r>
      <w:r w:rsidRPr="00E1379C">
        <w:rPr>
          <w:rFonts w:ascii="Palatino Linotype" w:eastAsiaTheme="minorHAnsi" w:hAnsi="Palatino Linotype" w:cs="Arial"/>
          <w:lang w:val="es-MX" w:eastAsia="en-US"/>
        </w:rPr>
        <w:t>, en contra de la respuesta de</w:t>
      </w:r>
      <w:r w:rsidR="00B20C2B" w:rsidRPr="00E1379C">
        <w:rPr>
          <w:rFonts w:ascii="Palatino Linotype" w:eastAsiaTheme="minorHAnsi" w:hAnsi="Palatino Linotype" w:cs="Arial"/>
          <w:lang w:val="es-MX" w:eastAsia="en-US"/>
        </w:rPr>
        <w:t>l</w:t>
      </w:r>
      <w:r w:rsidRPr="00E1379C">
        <w:rPr>
          <w:rFonts w:ascii="Palatino Linotype" w:eastAsiaTheme="minorHAnsi" w:hAnsi="Palatino Linotype" w:cs="Arial"/>
          <w:lang w:val="es-MX" w:eastAsia="en-US"/>
        </w:rPr>
        <w:t xml:space="preserve"> </w:t>
      </w:r>
      <w:r w:rsidR="00DD2DA4" w:rsidRPr="00E1379C">
        <w:rPr>
          <w:rFonts w:ascii="Palatino Linotype" w:eastAsiaTheme="minorHAnsi" w:hAnsi="Palatino Linotype" w:cs="Arial"/>
          <w:b/>
          <w:lang w:val="es-MX" w:eastAsia="en-US"/>
        </w:rPr>
        <w:t>Ayuntamiento de Metepec</w:t>
      </w:r>
      <w:r w:rsidRPr="00E1379C">
        <w:rPr>
          <w:rFonts w:ascii="Palatino Linotype" w:eastAsiaTheme="minorHAnsi" w:hAnsi="Palatino Linotype" w:cs="Arial"/>
          <w:lang w:val="es-MX" w:eastAsia="en-US"/>
        </w:rPr>
        <w:t>,</w:t>
      </w:r>
      <w:r w:rsidRPr="00E1379C">
        <w:rPr>
          <w:rFonts w:ascii="Palatino Linotype" w:eastAsiaTheme="minorHAnsi" w:hAnsi="Palatino Linotype" w:cs="Arial"/>
          <w:b/>
          <w:lang w:val="es-MX" w:eastAsia="en-US"/>
        </w:rPr>
        <w:t xml:space="preserve"> </w:t>
      </w:r>
      <w:r w:rsidRPr="00E1379C">
        <w:rPr>
          <w:rFonts w:ascii="Palatino Linotype" w:eastAsiaTheme="minorHAnsi" w:hAnsi="Palatino Linotype" w:cs="Arial"/>
          <w:lang w:val="es-MX" w:eastAsia="en-US"/>
        </w:rPr>
        <w:t>en lo subsecuente</w:t>
      </w:r>
      <w:r w:rsidRPr="00E1379C">
        <w:rPr>
          <w:rFonts w:ascii="Palatino Linotype" w:eastAsiaTheme="minorHAnsi" w:hAnsi="Palatino Linotype" w:cs="Arial"/>
          <w:b/>
          <w:lang w:val="es-MX" w:eastAsia="en-US"/>
        </w:rPr>
        <w:t xml:space="preserve"> El Sujeto Obligado, </w:t>
      </w:r>
      <w:r w:rsidRPr="00E1379C">
        <w:rPr>
          <w:rFonts w:ascii="Palatino Linotype" w:eastAsiaTheme="minorHAnsi" w:hAnsi="Palatino Linotype" w:cs="Arial"/>
          <w:lang w:val="es-MX" w:eastAsia="en-US"/>
        </w:rPr>
        <w:t>se procede a dictar la presente resolución.</w:t>
      </w:r>
    </w:p>
    <w:p w:rsidR="00C753C2" w:rsidRPr="00E1379C" w:rsidRDefault="00C753C2" w:rsidP="00C753C2">
      <w:pPr>
        <w:tabs>
          <w:tab w:val="left" w:pos="1701"/>
        </w:tabs>
        <w:spacing w:line="360" w:lineRule="auto"/>
        <w:jc w:val="both"/>
        <w:rPr>
          <w:rFonts w:ascii="Palatino Linotype" w:eastAsiaTheme="minorHAnsi" w:hAnsi="Palatino Linotype" w:cs="Arial"/>
          <w:b/>
          <w:sz w:val="20"/>
          <w:lang w:val="es-MX" w:eastAsia="en-US"/>
        </w:rPr>
      </w:pPr>
    </w:p>
    <w:p w:rsidR="00C753C2" w:rsidRPr="00E1379C" w:rsidRDefault="0029071C" w:rsidP="003B0FAC">
      <w:pPr>
        <w:spacing w:line="360" w:lineRule="auto"/>
        <w:jc w:val="center"/>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A N T E C E D E N T E S</w:t>
      </w:r>
    </w:p>
    <w:p w:rsidR="003B0FAC" w:rsidRPr="00E1379C" w:rsidRDefault="003B0FAC" w:rsidP="003B0FAC">
      <w:pPr>
        <w:spacing w:line="360" w:lineRule="auto"/>
        <w:jc w:val="center"/>
        <w:rPr>
          <w:rFonts w:ascii="Palatino Linotype" w:eastAsiaTheme="minorHAnsi" w:hAnsi="Palatino Linotype" w:cs="Arial"/>
          <w:b/>
          <w:sz w:val="16"/>
          <w:lang w:val="es-MX" w:eastAsia="en-US"/>
        </w:rPr>
      </w:pPr>
    </w:p>
    <w:p w:rsidR="0029071C" w:rsidRPr="00E1379C" w:rsidRDefault="0029071C" w:rsidP="0029071C">
      <w:pPr>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PRIMERO. De la solicitud de información.</w:t>
      </w:r>
      <w:bookmarkStart w:id="0" w:name="_GoBack"/>
      <w:bookmarkEnd w:id="0"/>
    </w:p>
    <w:p w:rsidR="009C6853" w:rsidRPr="00E1379C" w:rsidRDefault="0029071C" w:rsidP="009C6853">
      <w:pPr>
        <w:spacing w:line="360" w:lineRule="auto"/>
        <w:jc w:val="both"/>
        <w:rPr>
          <w:rFonts w:ascii="Palatino Linotype" w:eastAsiaTheme="minorHAnsi" w:hAnsi="Palatino Linotype" w:cs="Arial"/>
          <w:szCs w:val="22"/>
          <w:lang w:val="es-MX" w:eastAsia="en-US"/>
        </w:rPr>
      </w:pPr>
      <w:r w:rsidRPr="00E1379C">
        <w:rPr>
          <w:rFonts w:ascii="Palatino Linotype" w:eastAsiaTheme="minorHAnsi" w:hAnsi="Palatino Linotype" w:cs="Arial"/>
          <w:szCs w:val="22"/>
          <w:lang w:val="es-MX" w:eastAsia="en-US"/>
        </w:rPr>
        <w:t xml:space="preserve">En fecha </w:t>
      </w:r>
      <w:r w:rsidR="00DD2DA4" w:rsidRPr="00E1379C">
        <w:rPr>
          <w:rFonts w:ascii="Palatino Linotype" w:eastAsiaTheme="minorHAnsi" w:hAnsi="Palatino Linotype" w:cs="Arial"/>
          <w:szCs w:val="22"/>
          <w:lang w:val="es-MX" w:eastAsia="en-US"/>
        </w:rPr>
        <w:t xml:space="preserve">quince de agosto </w:t>
      </w:r>
      <w:r w:rsidR="005F1F89" w:rsidRPr="00E1379C">
        <w:rPr>
          <w:rFonts w:ascii="Palatino Linotype" w:eastAsiaTheme="minorHAnsi" w:hAnsi="Palatino Linotype" w:cs="Arial"/>
          <w:szCs w:val="22"/>
          <w:lang w:val="es-MX" w:eastAsia="en-US"/>
        </w:rPr>
        <w:t>de dos mil veintidós</w:t>
      </w:r>
      <w:r w:rsidRPr="00E1379C">
        <w:rPr>
          <w:rFonts w:ascii="Palatino Linotype" w:eastAsiaTheme="minorHAnsi" w:hAnsi="Palatino Linotype" w:cs="Arial"/>
          <w:szCs w:val="22"/>
          <w:lang w:val="es-MX" w:eastAsia="en-US"/>
        </w:rPr>
        <w:t xml:space="preserve">, </w:t>
      </w:r>
      <w:r w:rsidR="00BA27FC" w:rsidRPr="00E1379C">
        <w:rPr>
          <w:rFonts w:ascii="Palatino Linotype" w:eastAsiaTheme="minorHAnsi" w:hAnsi="Palatino Linotype" w:cs="Arial"/>
          <w:szCs w:val="22"/>
          <w:lang w:val="es-MX" w:eastAsia="en-US"/>
        </w:rPr>
        <w:t>el</w:t>
      </w:r>
      <w:r w:rsidRPr="00E1379C">
        <w:rPr>
          <w:rFonts w:ascii="Palatino Linotype" w:eastAsiaTheme="minorHAnsi" w:hAnsi="Palatino Linotype" w:cs="Arial"/>
          <w:szCs w:val="22"/>
          <w:lang w:val="es-MX" w:eastAsia="en-US"/>
        </w:rPr>
        <w:t xml:space="preserve"> </w:t>
      </w:r>
      <w:r w:rsidRPr="00E1379C">
        <w:rPr>
          <w:rFonts w:ascii="Palatino Linotype" w:eastAsiaTheme="minorHAnsi" w:hAnsi="Palatino Linotype" w:cs="Arial"/>
          <w:b/>
          <w:szCs w:val="22"/>
          <w:lang w:val="es-MX" w:eastAsia="en-US"/>
        </w:rPr>
        <w:t>Recurrente</w:t>
      </w:r>
      <w:r w:rsidRPr="00E1379C">
        <w:rPr>
          <w:rFonts w:ascii="Palatino Linotype" w:eastAsiaTheme="minorHAnsi" w:hAnsi="Palatino Linotype" w:cs="Arial"/>
          <w:szCs w:val="22"/>
          <w:lang w:val="es-MX" w:eastAsia="en-US"/>
        </w:rPr>
        <w:t>, presentó a través de</w:t>
      </w:r>
      <w:r w:rsidR="009C6853" w:rsidRPr="00E1379C">
        <w:rPr>
          <w:rFonts w:ascii="Palatino Linotype" w:eastAsiaTheme="minorHAnsi" w:hAnsi="Palatino Linotype" w:cs="Arial"/>
          <w:szCs w:val="22"/>
          <w:lang w:val="es-MX" w:eastAsia="en-US"/>
        </w:rPr>
        <w:t xml:space="preserve">l </w:t>
      </w:r>
      <w:r w:rsidRPr="00E1379C">
        <w:rPr>
          <w:rFonts w:ascii="Palatino Linotype" w:eastAsiaTheme="minorHAnsi" w:hAnsi="Palatino Linotype" w:cs="Arial"/>
          <w:szCs w:val="22"/>
          <w:lang w:val="es-MX" w:eastAsia="en-US"/>
        </w:rPr>
        <w:t xml:space="preserve">Sistema de Acceso a la Información Mexiquense </w:t>
      </w:r>
      <w:r w:rsidRPr="00E1379C">
        <w:rPr>
          <w:rFonts w:ascii="Palatino Linotype" w:eastAsiaTheme="minorHAnsi" w:hAnsi="Palatino Linotype" w:cs="Arial"/>
          <w:b/>
          <w:szCs w:val="22"/>
          <w:lang w:val="es-MX" w:eastAsia="en-US"/>
        </w:rPr>
        <w:t>(SAIMEX),</w:t>
      </w:r>
      <w:r w:rsidRPr="00E1379C">
        <w:rPr>
          <w:rFonts w:ascii="Palatino Linotype" w:eastAsiaTheme="minorHAnsi" w:hAnsi="Palatino Linotype" w:cs="Arial"/>
          <w:szCs w:val="22"/>
          <w:lang w:val="es-MX" w:eastAsia="en-US"/>
        </w:rPr>
        <w:t xml:space="preserve"> ante el </w:t>
      </w:r>
      <w:r w:rsidRPr="00E1379C">
        <w:rPr>
          <w:rFonts w:ascii="Palatino Linotype" w:eastAsiaTheme="minorHAnsi" w:hAnsi="Palatino Linotype" w:cs="Arial"/>
          <w:b/>
          <w:szCs w:val="22"/>
          <w:lang w:val="es-MX" w:eastAsia="en-US"/>
        </w:rPr>
        <w:t>Sujeto Obligado</w:t>
      </w:r>
      <w:r w:rsidRPr="00E1379C">
        <w:rPr>
          <w:rFonts w:ascii="Palatino Linotype" w:eastAsiaTheme="minorHAnsi" w:hAnsi="Palatino Linotype" w:cs="Arial"/>
          <w:szCs w:val="22"/>
          <w:lang w:val="es-MX" w:eastAsia="en-US"/>
        </w:rPr>
        <w:t>, la solicitud de acceso a la información pública, a la que se le</w:t>
      </w:r>
      <w:r w:rsidR="00C753C2" w:rsidRPr="00E1379C">
        <w:rPr>
          <w:rFonts w:ascii="Palatino Linotype" w:eastAsiaTheme="minorHAnsi" w:hAnsi="Palatino Linotype" w:cs="Arial"/>
          <w:szCs w:val="22"/>
          <w:lang w:val="es-MX" w:eastAsia="en-US"/>
        </w:rPr>
        <w:t xml:space="preserve"> asignó el número de expediente </w:t>
      </w:r>
      <w:r w:rsidR="00DD2DA4" w:rsidRPr="00E1379C">
        <w:rPr>
          <w:rFonts w:ascii="Palatino Linotype" w:eastAsiaTheme="minorHAnsi" w:hAnsi="Palatino Linotype" w:cs="Arial"/>
          <w:b/>
          <w:szCs w:val="22"/>
          <w:lang w:val="es-MX" w:eastAsia="en-US"/>
        </w:rPr>
        <w:t>04242/METEPEC/IP/2022</w:t>
      </w:r>
      <w:r w:rsidRPr="00E1379C">
        <w:rPr>
          <w:rFonts w:ascii="Palatino Linotype" w:eastAsiaTheme="minorHAnsi" w:hAnsi="Palatino Linotype" w:cs="Arial"/>
          <w:szCs w:val="22"/>
          <w:lang w:val="es-MX" w:eastAsia="en-US"/>
        </w:rPr>
        <w:t>, mediante la cual solicitó lo siguiente:</w:t>
      </w:r>
    </w:p>
    <w:p w:rsidR="00DD2DA4" w:rsidRPr="00E1379C" w:rsidRDefault="00DD2DA4" w:rsidP="00DD2DA4">
      <w:pPr>
        <w:pStyle w:val="Sinespaciado"/>
        <w:rPr>
          <w:rFonts w:eastAsiaTheme="minorHAnsi"/>
          <w:lang w:eastAsia="en-US"/>
        </w:rPr>
      </w:pPr>
    </w:p>
    <w:p w:rsidR="009C6853" w:rsidRPr="00E1379C" w:rsidRDefault="0029071C" w:rsidP="00DD2DA4">
      <w:pPr>
        <w:spacing w:line="360" w:lineRule="auto"/>
        <w:ind w:left="284" w:right="332"/>
        <w:jc w:val="both"/>
        <w:rPr>
          <w:rFonts w:ascii="Palatino Linotype" w:hAnsi="Palatino Linotype"/>
          <w:i/>
          <w:sz w:val="22"/>
          <w:szCs w:val="22"/>
          <w:lang w:val="es-ES_tradnl"/>
        </w:rPr>
      </w:pPr>
      <w:r w:rsidRPr="00E1379C">
        <w:rPr>
          <w:rFonts w:ascii="Palatino Linotype" w:hAnsi="Palatino Linotype"/>
          <w:i/>
          <w:sz w:val="22"/>
          <w:szCs w:val="22"/>
          <w:lang w:val="es-MX"/>
        </w:rPr>
        <w:t>“</w:t>
      </w:r>
      <w:r w:rsidR="00DD2DA4" w:rsidRPr="00E1379C">
        <w:rPr>
          <w:rFonts w:ascii="Palatino Linotype" w:hAnsi="Palatino Linotype"/>
          <w:i/>
          <w:sz w:val="22"/>
          <w:szCs w:val="22"/>
          <w:lang w:val="es-MX" w:eastAsia="es-MX"/>
        </w:rPr>
        <w:t>SOLICITO AL SUJETO OBLIGADO ME ENVIEN EN FORMATO PDF LA ÚLTIMA BALANZA DE COMPROBACIÓN DETALLADA ACUMULADA TRIMESTRAL DE ESTE MUNICIPIO.</w:t>
      </w:r>
      <w:r w:rsidRPr="00E1379C">
        <w:rPr>
          <w:rFonts w:ascii="Palatino Linotype" w:hAnsi="Palatino Linotype"/>
          <w:i/>
          <w:sz w:val="22"/>
          <w:szCs w:val="22"/>
          <w:lang w:val="es-MX"/>
        </w:rPr>
        <w:t>”</w:t>
      </w:r>
      <w:r w:rsidRPr="00E1379C">
        <w:rPr>
          <w:rFonts w:ascii="Palatino Linotype" w:hAnsi="Palatino Linotype"/>
          <w:i/>
          <w:sz w:val="22"/>
          <w:szCs w:val="22"/>
          <w:lang w:val="es-ES_tradnl"/>
        </w:rPr>
        <w:t xml:space="preserve"> (Sic).</w:t>
      </w:r>
    </w:p>
    <w:p w:rsidR="00DD2DA4" w:rsidRPr="00E1379C" w:rsidRDefault="00DD2DA4" w:rsidP="00DD2DA4">
      <w:pPr>
        <w:ind w:left="284" w:right="332"/>
        <w:jc w:val="both"/>
        <w:rPr>
          <w:rFonts w:ascii="Palatino Linotype" w:hAnsi="Palatino Linotype"/>
          <w:i/>
          <w:sz w:val="22"/>
          <w:szCs w:val="22"/>
          <w:lang w:val="es-ES_tradnl"/>
        </w:rPr>
      </w:pPr>
    </w:p>
    <w:p w:rsidR="00464839" w:rsidRPr="00E1379C"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E1379C">
        <w:rPr>
          <w:rFonts w:ascii="Palatino Linotype" w:hAnsi="Palatino Linotype"/>
          <w:b/>
          <w:lang w:val="es-ES_tradnl"/>
        </w:rPr>
        <w:t>MODALIDAD DE ENTREGA:</w:t>
      </w:r>
      <w:r w:rsidRPr="00E1379C">
        <w:rPr>
          <w:rFonts w:ascii="Palatino Linotype" w:hAnsi="Palatino Linotype"/>
          <w:lang w:val="es-ES_tradnl"/>
        </w:rPr>
        <w:t xml:space="preserve"> </w:t>
      </w:r>
      <w:r w:rsidR="009C6853" w:rsidRPr="00E1379C">
        <w:rPr>
          <w:rFonts w:ascii="Palatino Linotype" w:eastAsiaTheme="minorHAnsi" w:hAnsi="Palatino Linotype" w:cstheme="minorBidi"/>
          <w:color w:val="000000"/>
          <w:lang w:val="es-MX" w:eastAsia="en-US"/>
        </w:rPr>
        <w:t xml:space="preserve">A través del </w:t>
      </w:r>
      <w:r w:rsidRPr="00E1379C">
        <w:rPr>
          <w:rFonts w:ascii="Palatino Linotype" w:eastAsiaTheme="minorHAnsi" w:hAnsi="Palatino Linotype" w:cstheme="minorBidi"/>
          <w:b/>
          <w:color w:val="000000"/>
          <w:lang w:val="es-MX" w:eastAsia="en-US"/>
        </w:rPr>
        <w:t>SAIMEX</w:t>
      </w:r>
      <w:r w:rsidRPr="00E1379C">
        <w:rPr>
          <w:rFonts w:ascii="Palatino Linotype" w:eastAsiaTheme="minorHAnsi" w:hAnsi="Palatino Linotype" w:cstheme="minorBidi"/>
          <w:color w:val="000000"/>
          <w:lang w:val="es-MX" w:eastAsia="en-US"/>
        </w:rPr>
        <w:t>.</w:t>
      </w:r>
    </w:p>
    <w:p w:rsidR="00DD2DA4" w:rsidRPr="00E1379C" w:rsidRDefault="00DD2DA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rsidR="00DD2DA4" w:rsidRPr="00E1379C" w:rsidRDefault="00DD2DA4" w:rsidP="00DD2DA4">
      <w:pPr>
        <w:spacing w:line="360" w:lineRule="auto"/>
        <w:jc w:val="both"/>
        <w:rPr>
          <w:rFonts w:ascii="Palatino Linotype" w:eastAsiaTheme="minorHAnsi" w:hAnsi="Palatino Linotype" w:cs="Arial"/>
          <w:b/>
          <w:sz w:val="28"/>
          <w:szCs w:val="22"/>
          <w:lang w:val="es-MX" w:eastAsia="en-US"/>
        </w:rPr>
      </w:pPr>
      <w:r w:rsidRPr="00E1379C">
        <w:rPr>
          <w:rFonts w:ascii="Palatino Linotype" w:eastAsiaTheme="minorHAnsi" w:hAnsi="Palatino Linotype" w:cs="Arial"/>
          <w:b/>
          <w:sz w:val="28"/>
          <w:szCs w:val="22"/>
          <w:lang w:val="es-MX" w:eastAsia="en-US"/>
        </w:rPr>
        <w:lastRenderedPageBreak/>
        <w:t xml:space="preserve">SEGUNDO. De la solicitud de prórroga del Sujeto Obligado. </w:t>
      </w:r>
    </w:p>
    <w:p w:rsidR="00DD2DA4" w:rsidRPr="00E1379C" w:rsidRDefault="00DD2DA4" w:rsidP="00DD2DA4">
      <w:pPr>
        <w:spacing w:line="360" w:lineRule="auto"/>
        <w:jc w:val="both"/>
        <w:rPr>
          <w:rFonts w:ascii="Palatino Linotype" w:eastAsiaTheme="minorHAnsi" w:hAnsi="Palatino Linotype" w:cs="Arial"/>
          <w:szCs w:val="22"/>
          <w:lang w:val="es-MX" w:eastAsia="en-US"/>
        </w:rPr>
      </w:pPr>
      <w:r w:rsidRPr="00E1379C">
        <w:rPr>
          <w:rFonts w:ascii="Palatino Linotype" w:eastAsiaTheme="minorHAnsi" w:hAnsi="Palatino Linotype" w:cs="Arial"/>
          <w:szCs w:val="22"/>
          <w:lang w:val="es-MX" w:eastAsia="en-US"/>
        </w:rPr>
        <w:t xml:space="preserve">En fecha cinco de septiembre de dos mil veintidós, </w:t>
      </w:r>
      <w:r w:rsidRPr="00E1379C">
        <w:rPr>
          <w:rFonts w:ascii="Palatino Linotype" w:eastAsiaTheme="minorHAnsi" w:hAnsi="Palatino Linotype" w:cs="Arial"/>
          <w:b/>
          <w:szCs w:val="22"/>
          <w:lang w:val="es-MX" w:eastAsia="en-US"/>
        </w:rPr>
        <w:t>El Sujeto Obligado</w:t>
      </w:r>
      <w:r w:rsidRPr="00E1379C">
        <w:rPr>
          <w:rFonts w:ascii="Palatino Linotype" w:eastAsiaTheme="minorHAnsi" w:hAnsi="Palatino Linotype" w:cs="Arial"/>
          <w:szCs w:val="22"/>
          <w:lang w:val="es-MX" w:eastAsia="en-US"/>
        </w:rPr>
        <w:t xml:space="preserve"> solicitó con fundamento en el artículo 163, de la Ley de Transparencia y Acceso a la Información Pública del Estado de México y Municipios, una prórroga de 7 días hábiles para atender las solicitudes de información, en los siguientes términos:</w:t>
      </w:r>
    </w:p>
    <w:p w:rsidR="00DD2DA4" w:rsidRPr="00E1379C" w:rsidRDefault="00DD2DA4" w:rsidP="00DD2DA4">
      <w:pPr>
        <w:rPr>
          <w:rFonts w:asciiTheme="minorHAnsi" w:eastAsiaTheme="minorHAnsi" w:hAnsiTheme="minorHAnsi" w:cstheme="minorBidi"/>
          <w:sz w:val="22"/>
          <w:szCs w:val="22"/>
          <w:lang w:val="es-MX" w:eastAsia="en-US"/>
        </w:rPr>
      </w:pP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r w:rsidRPr="00E1379C">
        <w:rPr>
          <w:rFonts w:ascii="Palatino Linotype" w:eastAsiaTheme="minorHAnsi" w:hAnsi="Palatino Linotype" w:cstheme="minorBidi"/>
          <w:i/>
          <w:sz w:val="22"/>
          <w:szCs w:val="22"/>
          <w:lang w:val="es-MX" w:eastAsia="es-MX"/>
        </w:rPr>
        <w:t>“Con fundamento en el artículo 163 de la Ley de Transparencia y Acceso a la Información Pública del Estado de México y Municipios, se le hace de su conocimiento que el plazo de 15 días hábiles para atender su solicitud de información ha sido prorrogado por 7 días en virtud de las siguientes razones:</w:t>
      </w: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r w:rsidRPr="00E1379C">
        <w:rPr>
          <w:rFonts w:ascii="Palatino Linotype" w:eastAsiaTheme="minorHAnsi" w:hAnsi="Palatino Linotype" w:cstheme="minorBidi"/>
          <w:i/>
          <w:sz w:val="22"/>
          <w:szCs w:val="22"/>
          <w:lang w:val="es-MX" w:eastAsia="es-MX"/>
        </w:rPr>
        <w:t>ASUNTO: EL QUE SE INDICA A QUIEN CORRESPONDA P R E S E N T E. Por este conducto y con fundamento en lo dispuesto por los artículos 53, fracción VI y 163 de la Ley de Transparencia y Acceso a la Información Pública del Estado de México y Municipios, me permito notificarle la ampliación del plazo por siete días hábiles, aprobado por el Comité de Transparencia del Ayuntamiento de Metepec, Estado de México, mediante la trigésima séptima sesión extraordinaria de fecha 16 de agosto de 2022. Por lo anterior, se adjunta el acta del comité No CT/MET/EXT-37/2022. Sin más por el momento quedo a sus órdenes. ATENTAMENTE GERARDO ARTURO OZUNA MARTÍNEZ DIRECTOR DE TRANSPARENCIA Y GOBIERNO ABIERTO</w:t>
      </w: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r w:rsidRPr="00E1379C">
        <w:rPr>
          <w:rFonts w:ascii="Palatino Linotype" w:eastAsiaTheme="minorHAnsi" w:hAnsi="Palatino Linotype" w:cstheme="minorBidi"/>
          <w:i/>
          <w:sz w:val="22"/>
          <w:szCs w:val="22"/>
          <w:lang w:val="es-MX" w:eastAsia="es-MX"/>
        </w:rPr>
        <w:t>Lic. Gerardo Arturo Ozuna Martínez</w:t>
      </w:r>
    </w:p>
    <w:p w:rsidR="00DD2DA4" w:rsidRPr="00E1379C" w:rsidRDefault="00DD2DA4" w:rsidP="00DD2DA4">
      <w:pPr>
        <w:ind w:left="567" w:right="567"/>
        <w:jc w:val="both"/>
        <w:rPr>
          <w:rFonts w:ascii="Palatino Linotype" w:eastAsiaTheme="minorHAnsi" w:hAnsi="Palatino Linotype" w:cstheme="minorBidi"/>
          <w:i/>
          <w:sz w:val="22"/>
          <w:szCs w:val="22"/>
          <w:lang w:val="es-MX" w:eastAsia="es-MX"/>
        </w:rPr>
      </w:pPr>
      <w:r w:rsidRPr="00E1379C">
        <w:rPr>
          <w:rFonts w:ascii="Palatino Linotype" w:eastAsiaTheme="minorHAnsi" w:hAnsi="Palatino Linotype" w:cstheme="minorBidi"/>
          <w:i/>
          <w:sz w:val="22"/>
          <w:szCs w:val="22"/>
          <w:lang w:val="es-MX" w:eastAsia="es-MX"/>
        </w:rPr>
        <w:t>Responsable de la Unidad de Transparencia”</w:t>
      </w:r>
    </w:p>
    <w:p w:rsidR="00DD2DA4" w:rsidRPr="00E1379C" w:rsidRDefault="00DD2DA4"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rsidR="0029071C" w:rsidRPr="00E1379C" w:rsidRDefault="00DD2DA4" w:rsidP="0029071C">
      <w:pPr>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TERCER</w:t>
      </w:r>
      <w:r w:rsidR="0029071C" w:rsidRPr="00E1379C">
        <w:rPr>
          <w:rFonts w:ascii="Palatino Linotype" w:eastAsiaTheme="minorHAnsi" w:hAnsi="Palatino Linotype" w:cs="Arial"/>
          <w:b/>
          <w:sz w:val="28"/>
          <w:lang w:val="es-MX" w:eastAsia="en-US"/>
        </w:rPr>
        <w:t xml:space="preserve">O. De la respuesta del Sujeto Obligado. </w:t>
      </w:r>
    </w:p>
    <w:p w:rsidR="0029071C" w:rsidRPr="00E1379C" w:rsidRDefault="0029071C" w:rsidP="0029071C">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De las constancias que obran en el sistema SAIMEX, se advierte que en fecha </w:t>
      </w:r>
      <w:r w:rsidR="00DD2DA4" w:rsidRPr="00E1379C">
        <w:rPr>
          <w:rFonts w:ascii="Palatino Linotype" w:eastAsiaTheme="minorHAnsi" w:hAnsi="Palatino Linotype" w:cs="Arial"/>
          <w:lang w:val="es-MX" w:eastAsia="en-US"/>
        </w:rPr>
        <w:t>seis de septiembre</w:t>
      </w:r>
      <w:r w:rsidR="008150CA" w:rsidRPr="00E1379C">
        <w:rPr>
          <w:rFonts w:ascii="Palatino Linotype" w:eastAsiaTheme="minorHAnsi" w:hAnsi="Palatino Linotype" w:cs="Arial"/>
          <w:lang w:val="es-MX" w:eastAsia="en-US"/>
        </w:rPr>
        <w:t xml:space="preserve"> </w:t>
      </w:r>
      <w:r w:rsidR="005F1F89" w:rsidRPr="00E1379C">
        <w:rPr>
          <w:rFonts w:ascii="Palatino Linotype" w:eastAsiaTheme="minorHAnsi" w:hAnsi="Palatino Linotype" w:cs="Arial"/>
          <w:lang w:val="es-MX" w:eastAsia="en-US"/>
        </w:rPr>
        <w:t>de dos mil veintidós</w:t>
      </w:r>
      <w:r w:rsidRPr="00E1379C">
        <w:rPr>
          <w:rFonts w:ascii="Palatino Linotype" w:eastAsiaTheme="minorHAnsi" w:hAnsi="Palatino Linotype" w:cs="Arial"/>
          <w:lang w:val="es-MX" w:eastAsia="en-US"/>
        </w:rPr>
        <w:t xml:space="preserve">, </w:t>
      </w:r>
      <w:r w:rsidRPr="00E1379C">
        <w:rPr>
          <w:rFonts w:ascii="Palatino Linotype" w:eastAsiaTheme="minorHAnsi" w:hAnsi="Palatino Linotype" w:cs="Arial"/>
          <w:b/>
          <w:lang w:val="es-MX" w:eastAsia="en-US"/>
        </w:rPr>
        <w:t>El Sujeto Obligado</w:t>
      </w:r>
      <w:r w:rsidRPr="00E1379C">
        <w:rPr>
          <w:rFonts w:ascii="Palatino Linotype" w:eastAsiaTheme="minorHAnsi" w:hAnsi="Palatino Linotype" w:cs="Arial"/>
          <w:lang w:val="es-MX" w:eastAsia="en-US"/>
        </w:rPr>
        <w:t xml:space="preserve"> emitió la respuesta en los siguientes términos:</w:t>
      </w:r>
    </w:p>
    <w:p w:rsidR="0029071C" w:rsidRPr="00E1379C" w:rsidRDefault="0029071C" w:rsidP="0029071C">
      <w:pPr>
        <w:rPr>
          <w:lang w:val="es-MX"/>
        </w:rPr>
      </w:pPr>
    </w:p>
    <w:p w:rsidR="00DD2DA4" w:rsidRPr="00E1379C" w:rsidRDefault="0029071C" w:rsidP="00DD2DA4">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t>“</w:t>
      </w:r>
      <w:r w:rsidR="00DD2DA4" w:rsidRPr="00E1379C">
        <w:rPr>
          <w:rFonts w:ascii="Palatino Linotype" w:hAnsi="Palatino Linotype"/>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DD2DA4" w:rsidRPr="00E1379C" w:rsidRDefault="00DD2DA4" w:rsidP="00DD2DA4">
      <w:pPr>
        <w:spacing w:line="276" w:lineRule="auto"/>
        <w:ind w:left="567" w:right="567"/>
        <w:jc w:val="both"/>
        <w:rPr>
          <w:rFonts w:ascii="Palatino Linotype" w:hAnsi="Palatino Linotype"/>
          <w:i/>
          <w:sz w:val="22"/>
          <w:szCs w:val="22"/>
          <w:lang w:val="es-MX" w:eastAsia="es-MX"/>
        </w:rPr>
      </w:pPr>
    </w:p>
    <w:p w:rsidR="00DD2DA4" w:rsidRPr="00E1379C" w:rsidRDefault="00DD2DA4" w:rsidP="00DD2DA4">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lastRenderedPageBreak/>
        <w:t>C. SOLICITANTE P R E S E N T E. En respuesta a la solicitud recibida por medio del Sistema de Acceso a la Información Mexiquense (SAIMEX). Al respecto, le informo que esta Dirección de Transparencia y Gobierno Abierto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ATENTAMENTE GERARDO ARTURO OZUNA MARTÍNEZ DIRECTOR DE TRANSPARENCIA Y GOBIERNO ABIERTO</w:t>
      </w:r>
    </w:p>
    <w:p w:rsidR="00DD2DA4" w:rsidRPr="00E1379C" w:rsidRDefault="00DD2DA4" w:rsidP="00DD2DA4">
      <w:pPr>
        <w:spacing w:line="276" w:lineRule="auto"/>
        <w:ind w:left="567" w:right="567"/>
        <w:jc w:val="both"/>
        <w:rPr>
          <w:rFonts w:ascii="Palatino Linotype" w:hAnsi="Palatino Linotype"/>
          <w:i/>
          <w:sz w:val="22"/>
          <w:szCs w:val="22"/>
          <w:lang w:val="es-MX" w:eastAsia="es-MX"/>
        </w:rPr>
      </w:pPr>
    </w:p>
    <w:p w:rsidR="00DD2DA4" w:rsidRPr="00E1379C" w:rsidRDefault="00DD2DA4" w:rsidP="00DD2DA4">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t>ATENTAMENTE</w:t>
      </w:r>
    </w:p>
    <w:p w:rsidR="0029071C" w:rsidRPr="00E1379C" w:rsidRDefault="00DD2DA4" w:rsidP="00DD2DA4">
      <w:pPr>
        <w:spacing w:line="276" w:lineRule="auto"/>
        <w:ind w:left="567" w:right="567"/>
        <w:jc w:val="both"/>
        <w:rPr>
          <w:rFonts w:ascii="Palatino Linotype" w:hAnsi="Palatino Linotype"/>
          <w:i/>
          <w:sz w:val="22"/>
          <w:szCs w:val="22"/>
          <w:lang w:val="es-MX" w:eastAsia="es-MX"/>
        </w:rPr>
      </w:pPr>
      <w:r w:rsidRPr="00E1379C">
        <w:rPr>
          <w:rFonts w:ascii="Palatino Linotype" w:hAnsi="Palatino Linotype"/>
          <w:i/>
          <w:sz w:val="22"/>
          <w:szCs w:val="22"/>
          <w:lang w:val="es-MX" w:eastAsia="es-MX"/>
        </w:rPr>
        <w:t>Lic. Gerardo Arturo Ozuna Martínez</w:t>
      </w:r>
      <w:r w:rsidR="00E74701" w:rsidRPr="00E1379C">
        <w:rPr>
          <w:rFonts w:ascii="Palatino Linotype" w:hAnsi="Palatino Linotype"/>
          <w:i/>
          <w:sz w:val="22"/>
          <w:szCs w:val="22"/>
          <w:lang w:val="es-MX" w:eastAsia="es-MX"/>
        </w:rPr>
        <w:t>” (Sic).</w:t>
      </w:r>
    </w:p>
    <w:p w:rsidR="00DC1583" w:rsidRPr="00E1379C" w:rsidRDefault="00DC1583" w:rsidP="00DC1583">
      <w:pPr>
        <w:ind w:right="567"/>
        <w:jc w:val="both"/>
        <w:rPr>
          <w:rFonts w:ascii="Palatino Linotype" w:hAnsi="Palatino Linotype"/>
          <w:i/>
          <w:sz w:val="14"/>
          <w:szCs w:val="22"/>
          <w:lang w:val="es-MX" w:eastAsia="es-MX"/>
        </w:rPr>
      </w:pPr>
    </w:p>
    <w:p w:rsidR="00B250D7" w:rsidRPr="00E1379C" w:rsidRDefault="00B250D7" w:rsidP="00B250D7">
      <w:pPr>
        <w:pStyle w:val="Sinespaciado"/>
        <w:rPr>
          <w:lang w:eastAsia="es-MX"/>
        </w:rPr>
      </w:pPr>
    </w:p>
    <w:p w:rsidR="005F1F89" w:rsidRPr="00E1379C" w:rsidRDefault="00CF1DF5" w:rsidP="00386D38">
      <w:pPr>
        <w:spacing w:line="360" w:lineRule="auto"/>
        <w:jc w:val="both"/>
        <w:rPr>
          <w:rFonts w:ascii="Palatino Linotype" w:hAnsi="Palatino Linotype"/>
          <w:i/>
          <w:sz w:val="22"/>
          <w:szCs w:val="22"/>
          <w:lang w:val="es-MX" w:eastAsia="es-MX"/>
        </w:rPr>
      </w:pPr>
      <w:r w:rsidRPr="00E1379C">
        <w:rPr>
          <w:rFonts w:ascii="Palatino Linotype" w:eastAsiaTheme="minorHAnsi" w:hAnsi="Palatino Linotype" w:cs="Arial"/>
          <w:lang w:val="es-MX" w:eastAsia="en-US"/>
        </w:rPr>
        <w:t xml:space="preserve">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adjuntó</w:t>
      </w:r>
      <w:r w:rsidR="005F1F89" w:rsidRPr="00E1379C">
        <w:rPr>
          <w:rFonts w:ascii="Palatino Linotype" w:eastAsiaTheme="minorHAnsi" w:hAnsi="Palatino Linotype" w:cs="Arial"/>
          <w:lang w:val="es-MX" w:eastAsia="en-US"/>
        </w:rPr>
        <w:t xml:space="preserve"> a su respuesta</w:t>
      </w:r>
      <w:r w:rsidR="00DC1583" w:rsidRPr="00E1379C">
        <w:rPr>
          <w:rFonts w:ascii="Palatino Linotype" w:eastAsiaTheme="minorHAnsi" w:hAnsi="Palatino Linotype" w:cs="Arial"/>
          <w:lang w:val="es-MX" w:eastAsia="en-US"/>
        </w:rPr>
        <w:t xml:space="preserve">, </w:t>
      </w:r>
      <w:r w:rsidR="003B0FAC" w:rsidRPr="00E1379C">
        <w:rPr>
          <w:rFonts w:ascii="Palatino Linotype" w:eastAsiaTheme="minorHAnsi" w:hAnsi="Palatino Linotype" w:cs="Arial"/>
          <w:lang w:val="es-MX" w:eastAsia="en-US"/>
        </w:rPr>
        <w:t>el</w:t>
      </w:r>
      <w:r w:rsidR="001D2DE0" w:rsidRPr="00E1379C">
        <w:rPr>
          <w:rFonts w:ascii="Palatino Linotype" w:eastAsiaTheme="minorHAnsi" w:hAnsi="Palatino Linotype" w:cs="Arial"/>
          <w:lang w:val="es-MX" w:eastAsia="en-US"/>
        </w:rPr>
        <w:t xml:space="preserve"> archivo electrónico denominado</w:t>
      </w:r>
      <w:r w:rsidR="00DC1583" w:rsidRPr="00E1379C">
        <w:rPr>
          <w:rFonts w:ascii="Palatino Linotype" w:eastAsiaTheme="minorHAnsi" w:hAnsi="Palatino Linotype" w:cs="Arial"/>
          <w:lang w:val="es-MX" w:eastAsia="en-US"/>
        </w:rPr>
        <w:t xml:space="preserve"> </w:t>
      </w:r>
      <w:r w:rsidR="00DC1583" w:rsidRPr="00E1379C">
        <w:rPr>
          <w:rFonts w:ascii="Palatino Linotype" w:eastAsiaTheme="minorHAnsi" w:hAnsi="Palatino Linotype" w:cs="Arial"/>
          <w:i/>
          <w:lang w:val="es-MX" w:eastAsia="en-US"/>
        </w:rPr>
        <w:t>“</w:t>
      </w:r>
      <w:r w:rsidR="00DD2DA4" w:rsidRPr="00E1379C">
        <w:rPr>
          <w:rFonts w:ascii="Palatino Linotype" w:eastAsiaTheme="minorHAnsi" w:hAnsi="Palatino Linotype" w:cs="Arial"/>
          <w:i/>
          <w:lang w:val="es-MX" w:eastAsia="en-US"/>
        </w:rPr>
        <w:t>4242.pdf</w:t>
      </w:r>
      <w:r w:rsidR="00DC1583" w:rsidRPr="00E1379C">
        <w:rPr>
          <w:rFonts w:ascii="Palatino Linotype" w:eastAsiaTheme="minorHAnsi" w:hAnsi="Palatino Linotype" w:cs="Arial"/>
          <w:i/>
          <w:lang w:val="es-MX" w:eastAsia="en-US"/>
        </w:rPr>
        <w:t>”;</w:t>
      </w:r>
      <w:r w:rsidR="00DC1583" w:rsidRPr="00E1379C">
        <w:rPr>
          <w:rFonts w:ascii="Palatino Linotype" w:eastAsiaTheme="minorHAnsi" w:hAnsi="Palatino Linotype" w:cs="Arial"/>
          <w:lang w:val="es-MX" w:eastAsia="en-US"/>
        </w:rPr>
        <w:t xml:space="preserve"> cuyo contenido no se inserta por ser del conocim</w:t>
      </w:r>
      <w:r w:rsidR="001D2DE0" w:rsidRPr="00E1379C">
        <w:rPr>
          <w:rFonts w:ascii="Palatino Linotype" w:eastAsiaTheme="minorHAnsi" w:hAnsi="Palatino Linotype" w:cs="Arial"/>
          <w:lang w:val="es-MX" w:eastAsia="en-US"/>
        </w:rPr>
        <w:t>iento de las partes, sin embargo, será</w:t>
      </w:r>
      <w:r w:rsidR="00DC1583" w:rsidRPr="00E1379C">
        <w:rPr>
          <w:rFonts w:ascii="Palatino Linotype" w:eastAsiaTheme="minorHAnsi" w:hAnsi="Palatino Linotype" w:cs="Arial"/>
          <w:lang w:val="es-MX" w:eastAsia="en-US"/>
        </w:rPr>
        <w:t xml:space="preserve"> motivo de estudio en el Considerado respectivo. </w:t>
      </w:r>
    </w:p>
    <w:p w:rsidR="00464839" w:rsidRPr="00E1379C" w:rsidRDefault="00464839" w:rsidP="0029071C">
      <w:pPr>
        <w:spacing w:line="360" w:lineRule="auto"/>
        <w:jc w:val="both"/>
        <w:rPr>
          <w:rFonts w:ascii="Palatino Linotype" w:eastAsiaTheme="minorHAnsi" w:hAnsi="Palatino Linotype" w:cs="Arial"/>
          <w:b/>
          <w:lang w:val="es-MX" w:eastAsia="en-US"/>
        </w:rPr>
      </w:pPr>
    </w:p>
    <w:p w:rsidR="0029071C" w:rsidRPr="00E1379C" w:rsidRDefault="00DD2DA4" w:rsidP="0029071C">
      <w:pPr>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CUART</w:t>
      </w:r>
      <w:r w:rsidR="0029071C" w:rsidRPr="00E1379C">
        <w:rPr>
          <w:rFonts w:ascii="Palatino Linotype" w:eastAsiaTheme="minorHAnsi" w:hAnsi="Palatino Linotype" w:cs="Arial"/>
          <w:b/>
          <w:sz w:val="28"/>
          <w:lang w:val="es-MX" w:eastAsia="en-US"/>
        </w:rPr>
        <w:t>O. Del recurso de revisión.</w:t>
      </w:r>
    </w:p>
    <w:p w:rsidR="0029071C" w:rsidRPr="00E1379C" w:rsidRDefault="0029071C" w:rsidP="00B250D7">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Inconforme con la respuesta por parte del </w:t>
      </w:r>
      <w:r w:rsidRPr="00E1379C">
        <w:rPr>
          <w:rFonts w:ascii="Palatino Linotype" w:eastAsiaTheme="minorHAnsi" w:hAnsi="Palatino Linotype" w:cs="Arial"/>
          <w:b/>
          <w:lang w:val="es-MX" w:eastAsia="en-US"/>
        </w:rPr>
        <w:t>Sujeto Obligado</w:t>
      </w:r>
      <w:r w:rsidRPr="00E1379C">
        <w:rPr>
          <w:rFonts w:ascii="Palatino Linotype" w:eastAsiaTheme="minorHAnsi" w:hAnsi="Palatino Linotype" w:cs="Arial"/>
          <w:lang w:val="es-MX" w:eastAsia="en-US"/>
        </w:rPr>
        <w:t xml:space="preserve">, </w:t>
      </w:r>
      <w:r w:rsidR="00BA27FC" w:rsidRPr="00E1379C">
        <w:rPr>
          <w:rFonts w:ascii="Palatino Linotype" w:eastAsiaTheme="minorHAnsi" w:hAnsi="Palatino Linotype" w:cs="Arial"/>
          <w:lang w:val="es-MX" w:eastAsia="en-US"/>
        </w:rPr>
        <w:t>el</w:t>
      </w:r>
      <w:r w:rsidRPr="00E1379C">
        <w:rPr>
          <w:rFonts w:ascii="Palatino Linotype" w:eastAsiaTheme="minorHAnsi" w:hAnsi="Palatino Linotype" w:cs="Arial"/>
          <w:lang w:val="es-MX" w:eastAsia="en-US"/>
        </w:rPr>
        <w:t xml:space="preserve"> ahora </w:t>
      </w:r>
      <w:r w:rsidRPr="00E1379C">
        <w:rPr>
          <w:rFonts w:ascii="Palatino Linotype" w:eastAsiaTheme="minorHAnsi" w:hAnsi="Palatino Linotype" w:cs="Arial"/>
          <w:b/>
          <w:lang w:val="es-MX" w:eastAsia="en-US"/>
        </w:rPr>
        <w:t>Recurrente</w:t>
      </w:r>
      <w:r w:rsidRPr="00E1379C">
        <w:rPr>
          <w:rFonts w:ascii="Palatino Linotype" w:eastAsiaTheme="minorHAnsi" w:hAnsi="Palatino Linotype" w:cs="Arial"/>
          <w:lang w:val="es-MX" w:eastAsia="en-US"/>
        </w:rPr>
        <w:t xml:space="preserve"> interpuso el presente recurso de revisión en fecha </w:t>
      </w:r>
      <w:r w:rsidR="00DD2DA4" w:rsidRPr="00E1379C">
        <w:rPr>
          <w:rFonts w:ascii="Palatino Linotype" w:eastAsiaTheme="minorHAnsi" w:hAnsi="Palatino Linotype" w:cs="Arial"/>
          <w:lang w:val="es-MX" w:eastAsia="en-US"/>
        </w:rPr>
        <w:t>siete de septiembre</w:t>
      </w:r>
      <w:r w:rsidR="00B250D7" w:rsidRPr="00E1379C">
        <w:rPr>
          <w:rFonts w:ascii="Palatino Linotype" w:eastAsiaTheme="minorHAnsi" w:hAnsi="Palatino Linotype" w:cs="Arial"/>
          <w:lang w:val="es-MX" w:eastAsia="en-US"/>
        </w:rPr>
        <w:t xml:space="preserve"> de dos mil veintidós</w:t>
      </w:r>
      <w:r w:rsidRPr="00E1379C">
        <w:rPr>
          <w:rFonts w:ascii="Palatino Linotype" w:eastAsiaTheme="minorHAnsi" w:hAnsi="Palatino Linotype" w:cs="Arial"/>
          <w:lang w:val="es-MX" w:eastAsia="en-US"/>
        </w:rPr>
        <w:t>, el cual fue registrado</w:t>
      </w:r>
      <w:r w:rsidRPr="00E1379C">
        <w:rPr>
          <w:rFonts w:ascii="Palatino Linotype" w:eastAsiaTheme="minorHAnsi" w:hAnsi="Palatino Linotype" w:cs="Arial"/>
          <w:b/>
          <w:lang w:val="es-MX" w:eastAsia="en-US"/>
        </w:rPr>
        <w:t xml:space="preserve"> </w:t>
      </w:r>
      <w:r w:rsidRPr="00E1379C">
        <w:rPr>
          <w:rFonts w:ascii="Palatino Linotype" w:eastAsiaTheme="minorHAnsi" w:hAnsi="Palatino Linotype" w:cs="Arial"/>
          <w:lang w:val="es-MX" w:eastAsia="en-US"/>
        </w:rPr>
        <w:t xml:space="preserve">en el sistema electrónico con el expediente número </w:t>
      </w:r>
      <w:r w:rsidR="00DD2DA4" w:rsidRPr="00E1379C">
        <w:rPr>
          <w:rFonts w:ascii="Palatino Linotype" w:eastAsiaTheme="minorHAnsi" w:hAnsi="Palatino Linotype" w:cs="Arial"/>
          <w:b/>
          <w:bCs/>
          <w:lang w:val="es-MX" w:eastAsia="es-MX"/>
        </w:rPr>
        <w:t>14460</w:t>
      </w:r>
      <w:r w:rsidR="00B250D7" w:rsidRPr="00E1379C">
        <w:rPr>
          <w:rFonts w:ascii="Palatino Linotype" w:eastAsiaTheme="minorHAnsi" w:hAnsi="Palatino Linotype" w:cs="Arial"/>
          <w:b/>
          <w:bCs/>
          <w:lang w:val="es-MX" w:eastAsia="es-MX"/>
        </w:rPr>
        <w:t>/INFOEM/IP/RR/2022</w:t>
      </w:r>
      <w:r w:rsidRPr="00E1379C">
        <w:rPr>
          <w:rFonts w:ascii="Palatino Linotype" w:eastAsiaTheme="minorHAnsi" w:hAnsi="Palatino Linotype" w:cs="Arial"/>
          <w:lang w:val="es-MX" w:eastAsia="en-US"/>
        </w:rPr>
        <w:t>, en el cual aduce, las siguientes manifestaciones:</w:t>
      </w:r>
    </w:p>
    <w:p w:rsidR="0029071C" w:rsidRPr="00E1379C" w:rsidRDefault="0029071C" w:rsidP="00B250D7">
      <w:pPr>
        <w:rPr>
          <w:lang w:val="es-MX"/>
        </w:rPr>
      </w:pPr>
    </w:p>
    <w:p w:rsidR="002D6E4B" w:rsidRPr="00E1379C" w:rsidRDefault="0029071C" w:rsidP="00DD2DA4">
      <w:pPr>
        <w:numPr>
          <w:ilvl w:val="0"/>
          <w:numId w:val="1"/>
        </w:numPr>
        <w:spacing w:line="259" w:lineRule="auto"/>
        <w:jc w:val="both"/>
        <w:rPr>
          <w:rFonts w:ascii="Palatino Linotype" w:hAnsi="Palatino Linotype" w:cs="Arial"/>
          <w:b/>
          <w:sz w:val="26"/>
          <w:szCs w:val="26"/>
        </w:rPr>
      </w:pPr>
      <w:r w:rsidRPr="00E1379C">
        <w:rPr>
          <w:rFonts w:ascii="Palatino Linotype" w:hAnsi="Palatino Linotype" w:cs="Arial"/>
          <w:b/>
          <w:sz w:val="26"/>
          <w:szCs w:val="26"/>
        </w:rPr>
        <w:t>Acto Impugnado:</w:t>
      </w:r>
      <w:r w:rsidR="00DD2DA4" w:rsidRPr="00E1379C">
        <w:rPr>
          <w:rFonts w:ascii="Palatino Linotype" w:hAnsi="Palatino Linotype" w:cs="Arial"/>
          <w:b/>
          <w:sz w:val="26"/>
          <w:szCs w:val="26"/>
        </w:rPr>
        <w:t xml:space="preserve"> </w:t>
      </w:r>
      <w:r w:rsidRPr="00E1379C">
        <w:rPr>
          <w:rFonts w:ascii="Palatino Linotype" w:eastAsiaTheme="minorHAnsi" w:hAnsi="Palatino Linotype" w:cstheme="minorBidi"/>
          <w:i/>
          <w:color w:val="000000"/>
          <w:sz w:val="22"/>
          <w:szCs w:val="22"/>
          <w:lang w:val="es-MX" w:eastAsia="en-US"/>
        </w:rPr>
        <w:t>“</w:t>
      </w:r>
      <w:r w:rsidR="00DD2DA4" w:rsidRPr="00E1379C">
        <w:rPr>
          <w:rFonts w:ascii="Palatino Linotype" w:eastAsiaTheme="minorHAnsi" w:hAnsi="Palatino Linotype" w:cstheme="minorBidi"/>
          <w:i/>
          <w:color w:val="000000"/>
          <w:sz w:val="22"/>
          <w:szCs w:val="22"/>
          <w:lang w:val="es-MX" w:eastAsia="en-US"/>
        </w:rPr>
        <w:t>el sujeto obligado no me notifica el acta con la cual se autoriza la prórroga para dar contestación</w:t>
      </w:r>
      <w:r w:rsidRPr="00E1379C">
        <w:rPr>
          <w:rFonts w:ascii="Palatino Linotype" w:eastAsiaTheme="minorHAnsi" w:hAnsi="Palatino Linotype" w:cstheme="minorBidi"/>
          <w:i/>
          <w:color w:val="000000"/>
          <w:sz w:val="22"/>
          <w:szCs w:val="22"/>
          <w:lang w:val="es-MX" w:eastAsia="en-US"/>
        </w:rPr>
        <w:t>” (Sic).</w:t>
      </w:r>
    </w:p>
    <w:p w:rsidR="00E74701" w:rsidRPr="00E1379C" w:rsidRDefault="0029071C" w:rsidP="00DD2DA4">
      <w:pPr>
        <w:pStyle w:val="Prrafodelista"/>
        <w:numPr>
          <w:ilvl w:val="0"/>
          <w:numId w:val="1"/>
        </w:numPr>
        <w:jc w:val="both"/>
        <w:rPr>
          <w:rFonts w:ascii="Palatino Linotype" w:hAnsi="Palatino Linotype"/>
          <w:i/>
          <w:sz w:val="26"/>
          <w:szCs w:val="26"/>
          <w:lang w:val="es-MX" w:eastAsia="es-MX"/>
        </w:rPr>
      </w:pPr>
      <w:r w:rsidRPr="00E1379C">
        <w:rPr>
          <w:rFonts w:ascii="Palatino Linotype" w:hAnsi="Palatino Linotype" w:cs="Arial"/>
          <w:b/>
          <w:sz w:val="26"/>
          <w:szCs w:val="26"/>
        </w:rPr>
        <w:lastRenderedPageBreak/>
        <w:t>Razones o Motivos de Inconformidad</w:t>
      </w:r>
      <w:r w:rsidRPr="00E1379C">
        <w:rPr>
          <w:rFonts w:ascii="Palatino Linotype" w:hAnsi="Palatino Linotype" w:cs="Arial"/>
          <w:sz w:val="26"/>
          <w:szCs w:val="26"/>
        </w:rPr>
        <w:t xml:space="preserve">: </w:t>
      </w:r>
      <w:r w:rsidRPr="00E1379C">
        <w:rPr>
          <w:rFonts w:ascii="Palatino Linotype" w:eastAsiaTheme="minorHAnsi" w:hAnsi="Palatino Linotype" w:cs="Arial"/>
          <w:i/>
          <w:sz w:val="22"/>
          <w:szCs w:val="22"/>
          <w:lang w:val="es-MX" w:eastAsia="en-US"/>
        </w:rPr>
        <w:t>“</w:t>
      </w:r>
      <w:r w:rsidR="00DD2DA4" w:rsidRPr="00E1379C">
        <w:rPr>
          <w:rFonts w:ascii="Palatino Linotype" w:eastAsiaTheme="minorHAnsi" w:hAnsi="Palatino Linotype" w:cstheme="minorBidi"/>
          <w:i/>
          <w:color w:val="000000"/>
          <w:sz w:val="22"/>
          <w:szCs w:val="22"/>
          <w:lang w:val="es-MX" w:eastAsia="en-US"/>
        </w:rPr>
        <w:t>el sujeto obligado no me notifica el acta con la cual se autoriza la prórroga para dar contestación</w:t>
      </w:r>
      <w:r w:rsidRPr="00E1379C">
        <w:rPr>
          <w:rFonts w:ascii="Palatino Linotype" w:eastAsiaTheme="minorHAnsi" w:hAnsi="Palatino Linotype" w:cstheme="minorBidi"/>
          <w:i/>
          <w:color w:val="000000"/>
          <w:sz w:val="22"/>
          <w:szCs w:val="22"/>
          <w:lang w:val="es-MX" w:eastAsia="en-US"/>
        </w:rPr>
        <w:t>” (Sic)</w:t>
      </w:r>
    </w:p>
    <w:p w:rsidR="004A7F7D" w:rsidRPr="00E1379C" w:rsidRDefault="004A7F7D" w:rsidP="0029071C">
      <w:pPr>
        <w:spacing w:line="360" w:lineRule="auto"/>
        <w:jc w:val="both"/>
        <w:rPr>
          <w:rFonts w:ascii="Palatino Linotype" w:eastAsiaTheme="minorHAnsi" w:hAnsi="Palatino Linotype" w:cs="Arial"/>
          <w:b/>
          <w:lang w:val="es-MX" w:eastAsia="en-US"/>
        </w:rPr>
      </w:pPr>
    </w:p>
    <w:p w:rsidR="0029071C" w:rsidRPr="00E1379C" w:rsidRDefault="00DD2DA4" w:rsidP="0029071C">
      <w:pPr>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QUIN</w:t>
      </w:r>
      <w:r w:rsidR="00B250D7" w:rsidRPr="00E1379C">
        <w:rPr>
          <w:rFonts w:ascii="Palatino Linotype" w:eastAsiaTheme="minorHAnsi" w:hAnsi="Palatino Linotype" w:cs="Arial"/>
          <w:b/>
          <w:sz w:val="28"/>
          <w:lang w:val="es-MX" w:eastAsia="en-US"/>
        </w:rPr>
        <w:t>T</w:t>
      </w:r>
      <w:r w:rsidR="0029071C" w:rsidRPr="00E1379C">
        <w:rPr>
          <w:rFonts w:ascii="Palatino Linotype" w:eastAsiaTheme="minorHAnsi" w:hAnsi="Palatino Linotype" w:cs="Arial"/>
          <w:b/>
          <w:sz w:val="28"/>
          <w:lang w:val="es-MX" w:eastAsia="en-US"/>
        </w:rPr>
        <w:t>O. Del turno del recurso de revisión.</w:t>
      </w:r>
    </w:p>
    <w:p w:rsidR="00BA27FC" w:rsidRPr="00E1379C" w:rsidRDefault="0029071C" w:rsidP="00DC1583">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Medio de impugnación </w:t>
      </w:r>
      <w:r w:rsidR="00E74701" w:rsidRPr="00E1379C">
        <w:rPr>
          <w:rFonts w:ascii="Palatino Linotype" w:eastAsiaTheme="minorHAnsi" w:hAnsi="Palatino Linotype" w:cs="Arial"/>
          <w:lang w:val="es-MX" w:eastAsia="en-US"/>
        </w:rPr>
        <w:t>que le fue turnado al</w:t>
      </w:r>
      <w:r w:rsidRPr="00E1379C">
        <w:rPr>
          <w:rFonts w:ascii="Palatino Linotype" w:eastAsiaTheme="minorHAnsi" w:hAnsi="Palatino Linotype" w:cs="Arial"/>
          <w:lang w:val="es-MX" w:eastAsia="en-US"/>
        </w:rPr>
        <w:t xml:space="preserve"> </w:t>
      </w:r>
      <w:r w:rsidR="00E74701" w:rsidRPr="00E1379C">
        <w:rPr>
          <w:rFonts w:ascii="Palatino Linotype" w:eastAsiaTheme="minorHAnsi" w:hAnsi="Palatino Linotype" w:cs="Arial"/>
          <w:lang w:val="es-MX" w:eastAsia="en-US"/>
        </w:rPr>
        <w:t>Comisionado Presidente</w:t>
      </w:r>
      <w:r w:rsidRPr="00E1379C">
        <w:rPr>
          <w:rFonts w:ascii="Palatino Linotype" w:eastAsiaTheme="minorHAnsi" w:hAnsi="Palatino Linotype" w:cs="Arial"/>
          <w:lang w:val="es-MX" w:eastAsia="en-US"/>
        </w:rPr>
        <w:t xml:space="preserve"> </w:t>
      </w:r>
      <w:r w:rsidR="00E74701" w:rsidRPr="00E1379C">
        <w:rPr>
          <w:rFonts w:ascii="Palatino Linotype" w:eastAsiaTheme="minorHAnsi" w:hAnsi="Palatino Linotype" w:cs="Arial"/>
          <w:b/>
          <w:lang w:val="es-MX" w:eastAsia="en-US"/>
        </w:rPr>
        <w:t>José Martínez Vilchis</w:t>
      </w:r>
      <w:r w:rsidRPr="00E1379C">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DD2DA4" w:rsidRPr="00E1379C">
        <w:rPr>
          <w:rFonts w:ascii="Palatino Linotype" w:eastAsiaTheme="minorHAnsi" w:hAnsi="Palatino Linotype" w:cs="Arial"/>
          <w:lang w:val="es-MX" w:eastAsia="en-US"/>
        </w:rPr>
        <w:t>trece de septiembre</w:t>
      </w:r>
      <w:r w:rsidR="00BA27FC" w:rsidRPr="00E1379C">
        <w:rPr>
          <w:rFonts w:ascii="Palatino Linotype" w:eastAsiaTheme="minorHAnsi" w:hAnsi="Palatino Linotype" w:cs="Arial"/>
          <w:lang w:val="es-MX" w:eastAsia="en-US"/>
        </w:rPr>
        <w:t xml:space="preserve"> de</w:t>
      </w:r>
      <w:r w:rsidRPr="00E1379C">
        <w:rPr>
          <w:rFonts w:ascii="Palatino Linotype" w:eastAsiaTheme="minorHAnsi" w:hAnsi="Palatino Linotype" w:cs="Arial"/>
          <w:lang w:val="es-MX" w:eastAsia="en-US"/>
        </w:rPr>
        <w:t xml:space="preserve"> </w:t>
      </w:r>
      <w:r w:rsidR="002D6E4B" w:rsidRPr="00E1379C">
        <w:rPr>
          <w:rFonts w:ascii="Palatino Linotype" w:eastAsiaTheme="minorHAnsi" w:hAnsi="Palatino Linotype" w:cs="Arial"/>
          <w:lang w:val="es-MX" w:eastAsia="en-US"/>
        </w:rPr>
        <w:t>dos mil veintidós</w:t>
      </w:r>
      <w:r w:rsidRPr="00E1379C">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rsidR="00DD2DA4" w:rsidRPr="00E1379C" w:rsidRDefault="00DD2DA4" w:rsidP="00DC1583">
      <w:pPr>
        <w:spacing w:line="360" w:lineRule="auto"/>
        <w:jc w:val="both"/>
        <w:rPr>
          <w:rFonts w:ascii="Palatino Linotype" w:eastAsiaTheme="minorHAnsi" w:hAnsi="Palatino Linotype" w:cs="Arial"/>
          <w:lang w:val="es-MX" w:eastAsia="en-US"/>
        </w:rPr>
      </w:pPr>
    </w:p>
    <w:p w:rsidR="0029071C" w:rsidRPr="00E1379C" w:rsidRDefault="00DD2DA4" w:rsidP="0029071C">
      <w:pPr>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SEX</w:t>
      </w:r>
      <w:r w:rsidR="00B250D7" w:rsidRPr="00E1379C">
        <w:rPr>
          <w:rFonts w:ascii="Palatino Linotype" w:eastAsiaTheme="minorHAnsi" w:hAnsi="Palatino Linotype" w:cs="Arial"/>
          <w:b/>
          <w:sz w:val="28"/>
          <w:lang w:val="es-MX" w:eastAsia="en-US"/>
        </w:rPr>
        <w:t>T</w:t>
      </w:r>
      <w:r w:rsidR="0029071C" w:rsidRPr="00E1379C">
        <w:rPr>
          <w:rFonts w:ascii="Palatino Linotype" w:eastAsiaTheme="minorHAnsi" w:hAnsi="Palatino Linotype" w:cs="Arial"/>
          <w:b/>
          <w:sz w:val="28"/>
          <w:lang w:val="es-MX" w:eastAsia="en-US"/>
        </w:rPr>
        <w:t>O. De la etapa de manifestaciones y/o alegatos.</w:t>
      </w:r>
    </w:p>
    <w:p w:rsidR="00E7051C" w:rsidRPr="00E1379C" w:rsidRDefault="00CF1DF5" w:rsidP="00DD2DA4">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U</w:t>
      </w:r>
      <w:r w:rsidR="0029071C" w:rsidRPr="00E1379C">
        <w:rPr>
          <w:rFonts w:ascii="Palatino Linotype" w:eastAsiaTheme="minorHAnsi" w:hAnsi="Palatino Linotype" w:cs="Arial"/>
          <w:lang w:val="es-MX" w:eastAsia="en-US"/>
        </w:rPr>
        <w:t>na vez transcurrido el término legal referido se destaca que</w:t>
      </w:r>
      <w:r w:rsidR="00267458" w:rsidRPr="00E1379C">
        <w:rPr>
          <w:rFonts w:ascii="Palatino Linotype" w:eastAsiaTheme="minorHAnsi" w:hAnsi="Palatino Linotype" w:cs="Arial"/>
          <w:lang w:val="es-MX" w:eastAsia="en-US"/>
        </w:rPr>
        <w:t>,</w:t>
      </w:r>
      <w:r w:rsidR="0029071C" w:rsidRPr="00E1379C">
        <w:rPr>
          <w:rFonts w:ascii="Palatino Linotype" w:eastAsiaTheme="minorHAnsi" w:hAnsi="Palatino Linotype" w:cs="Arial"/>
          <w:lang w:val="es-MX" w:eastAsia="en-US"/>
        </w:rPr>
        <w:t xml:space="preserve"> </w:t>
      </w:r>
      <w:r w:rsidR="0029071C" w:rsidRPr="00E1379C">
        <w:rPr>
          <w:rFonts w:ascii="Palatino Linotype" w:eastAsiaTheme="minorHAnsi" w:hAnsi="Palatino Linotype" w:cs="Arial"/>
          <w:b/>
          <w:lang w:val="es-MX" w:eastAsia="en-US"/>
        </w:rPr>
        <w:t>El Sujeto Obligado</w:t>
      </w:r>
      <w:r w:rsidR="0029071C" w:rsidRPr="00E1379C">
        <w:rPr>
          <w:rFonts w:ascii="Palatino Linotype" w:eastAsiaTheme="minorHAnsi" w:hAnsi="Palatino Linotype" w:cs="Arial"/>
          <w:lang w:val="es-MX" w:eastAsia="en-US"/>
        </w:rPr>
        <w:t xml:space="preserve"> </w:t>
      </w:r>
      <w:r w:rsidR="00DD2DA4" w:rsidRPr="00E1379C">
        <w:rPr>
          <w:rFonts w:ascii="Palatino Linotype" w:eastAsiaTheme="minorHAnsi" w:hAnsi="Palatino Linotype" w:cs="Arial"/>
          <w:lang w:val="es-MX" w:eastAsia="en-US"/>
        </w:rPr>
        <w:t>fue omiso en remitir</w:t>
      </w:r>
      <w:r w:rsidR="00386D38" w:rsidRPr="00E1379C">
        <w:rPr>
          <w:rFonts w:ascii="Palatino Linotype" w:eastAsiaTheme="minorHAnsi" w:hAnsi="Palatino Linotype" w:cs="Arial"/>
          <w:lang w:val="es-MX" w:eastAsia="en-US"/>
        </w:rPr>
        <w:t xml:space="preserve"> </w:t>
      </w:r>
      <w:r w:rsidR="00267458" w:rsidRPr="00E1379C">
        <w:rPr>
          <w:rFonts w:ascii="Palatino Linotype" w:eastAsiaTheme="minorHAnsi" w:hAnsi="Palatino Linotype" w:cs="Arial"/>
          <w:lang w:val="es-MX" w:eastAsia="en-US"/>
        </w:rPr>
        <w:t xml:space="preserve">su </w:t>
      </w:r>
      <w:r w:rsidR="00BA27FC" w:rsidRPr="00E1379C">
        <w:rPr>
          <w:rFonts w:ascii="Palatino Linotype" w:eastAsiaTheme="minorHAnsi" w:hAnsi="Palatino Linotype" w:cs="Arial"/>
          <w:lang w:val="es-MX" w:eastAsia="en-US"/>
        </w:rPr>
        <w:t>informe justificado</w:t>
      </w:r>
      <w:r w:rsidR="00267458" w:rsidRPr="00E1379C">
        <w:rPr>
          <w:rFonts w:ascii="Palatino Linotype" w:eastAsiaTheme="minorHAnsi" w:hAnsi="Palatino Linotype" w:cs="Arial"/>
          <w:lang w:val="es-MX" w:eastAsia="en-US"/>
        </w:rPr>
        <w:t>;</w:t>
      </w:r>
      <w:r w:rsidR="00AE78CA" w:rsidRPr="00E1379C">
        <w:rPr>
          <w:rFonts w:ascii="Palatino Linotype" w:eastAsiaTheme="minorHAnsi" w:hAnsi="Palatino Linotype" w:cs="Arial"/>
          <w:lang w:val="es-MX" w:eastAsia="en-US"/>
        </w:rPr>
        <w:t xml:space="preserve"> </w:t>
      </w:r>
      <w:r w:rsidR="002D6E4B" w:rsidRPr="00E1379C">
        <w:rPr>
          <w:rFonts w:ascii="Palatino Linotype" w:eastAsiaTheme="minorHAnsi" w:hAnsi="Palatino Linotype" w:cs="Arial"/>
          <w:lang w:val="es-MX" w:eastAsia="en-US"/>
        </w:rPr>
        <w:t>asimismo</w:t>
      </w:r>
      <w:r w:rsidR="00267458" w:rsidRPr="00E1379C">
        <w:rPr>
          <w:rFonts w:ascii="Palatino Linotype" w:eastAsiaTheme="minorHAnsi" w:hAnsi="Palatino Linotype" w:cs="Arial"/>
          <w:lang w:val="es-MX" w:eastAsia="en-US"/>
        </w:rPr>
        <w:t>,</w:t>
      </w:r>
      <w:r w:rsidR="00B96A17" w:rsidRPr="00E1379C">
        <w:rPr>
          <w:rFonts w:ascii="Palatino Linotype" w:eastAsiaTheme="minorHAnsi" w:hAnsi="Palatino Linotype" w:cs="Arial"/>
          <w:lang w:val="es-MX" w:eastAsia="en-US"/>
        </w:rPr>
        <w:t xml:space="preserve"> se aprecia que</w:t>
      </w:r>
      <w:r w:rsidR="002D6E4B" w:rsidRPr="00E1379C">
        <w:rPr>
          <w:rFonts w:ascii="Palatino Linotype" w:eastAsiaTheme="minorHAnsi" w:hAnsi="Palatino Linotype" w:cs="Arial"/>
          <w:lang w:val="es-MX" w:eastAsia="en-US"/>
        </w:rPr>
        <w:t xml:space="preserve"> la </w:t>
      </w:r>
      <w:r w:rsidR="0029071C" w:rsidRPr="00E1379C">
        <w:rPr>
          <w:rFonts w:ascii="Palatino Linotype" w:eastAsiaTheme="minorHAnsi" w:hAnsi="Palatino Linotype" w:cs="Arial"/>
          <w:lang w:val="es-MX" w:eastAsia="en-US"/>
        </w:rPr>
        <w:t xml:space="preserve">parte </w:t>
      </w:r>
      <w:r w:rsidR="0029071C" w:rsidRPr="00E1379C">
        <w:rPr>
          <w:rFonts w:ascii="Palatino Linotype" w:eastAsiaTheme="minorHAnsi" w:hAnsi="Palatino Linotype" w:cs="Arial"/>
          <w:b/>
          <w:lang w:val="es-MX" w:eastAsia="en-US"/>
        </w:rPr>
        <w:t>Recurrente</w:t>
      </w:r>
      <w:r w:rsidR="0029071C" w:rsidRPr="00E1379C">
        <w:rPr>
          <w:rFonts w:ascii="Palatino Linotype" w:eastAsiaTheme="minorHAnsi" w:hAnsi="Palatino Linotype" w:cs="Arial"/>
          <w:lang w:val="es-MX" w:eastAsia="en-US"/>
        </w:rPr>
        <w:t xml:space="preserve"> </w:t>
      </w:r>
      <w:r w:rsidR="00DD2DA4" w:rsidRPr="00E1379C">
        <w:rPr>
          <w:rFonts w:ascii="Palatino Linotype" w:eastAsiaTheme="minorHAnsi" w:hAnsi="Palatino Linotype" w:cs="Arial"/>
          <w:lang w:val="es-MX" w:eastAsia="en-US"/>
        </w:rPr>
        <w:t xml:space="preserve">tampoco </w:t>
      </w:r>
      <w:r w:rsidR="00DC1583" w:rsidRPr="00E1379C">
        <w:rPr>
          <w:rFonts w:ascii="Palatino Linotype" w:eastAsiaTheme="minorHAnsi" w:hAnsi="Palatino Linotype" w:cs="Arial"/>
          <w:lang w:val="es-MX" w:eastAsia="en-US"/>
        </w:rPr>
        <w:t>realizó</w:t>
      </w:r>
      <w:r w:rsidR="0029071C" w:rsidRPr="00E1379C">
        <w:rPr>
          <w:rFonts w:ascii="Palatino Linotype" w:eastAsiaTheme="minorHAnsi" w:hAnsi="Palatino Linotype" w:cs="Arial"/>
          <w:lang w:val="es-MX" w:eastAsia="en-US"/>
        </w:rPr>
        <w:t xml:space="preserve"> alegatos, </w:t>
      </w:r>
      <w:r w:rsidR="00267458" w:rsidRPr="00E1379C">
        <w:rPr>
          <w:rFonts w:ascii="Palatino Linotype" w:eastAsiaTheme="minorHAnsi" w:hAnsi="Palatino Linotype" w:cs="Arial"/>
          <w:lang w:val="es-MX" w:eastAsia="en-US"/>
        </w:rPr>
        <w:t xml:space="preserve">ni ofreció </w:t>
      </w:r>
      <w:r w:rsidR="0029071C" w:rsidRPr="00E1379C">
        <w:rPr>
          <w:rFonts w:ascii="Palatino Linotype" w:eastAsiaTheme="minorHAnsi" w:hAnsi="Palatino Linotype" w:cs="Arial"/>
          <w:lang w:val="es-MX" w:eastAsia="en-US"/>
        </w:rPr>
        <w:t>pruebas o manifestaciones, lo anterior de conformidad con la siguiente imagen</w:t>
      </w:r>
      <w:r w:rsidR="00E74701" w:rsidRPr="00E1379C">
        <w:rPr>
          <w:rFonts w:ascii="Palatino Linotype" w:eastAsiaTheme="minorHAnsi" w:hAnsi="Palatino Linotype" w:cs="Arial"/>
          <w:lang w:val="es-MX" w:eastAsia="en-US"/>
        </w:rPr>
        <w:t>:</w:t>
      </w:r>
    </w:p>
    <w:p w:rsidR="00DD2DA4" w:rsidRPr="00E1379C" w:rsidRDefault="00DD2DA4" w:rsidP="00DD2DA4">
      <w:pPr>
        <w:tabs>
          <w:tab w:val="left" w:pos="3206"/>
        </w:tabs>
        <w:spacing w:line="360" w:lineRule="auto"/>
        <w:jc w:val="center"/>
        <w:rPr>
          <w:rFonts w:ascii="Palatino Linotype" w:eastAsiaTheme="minorHAnsi" w:hAnsi="Palatino Linotype" w:cs="Arial"/>
          <w:b/>
          <w:sz w:val="10"/>
          <w:lang w:val="es-MX" w:eastAsia="en-US"/>
        </w:rPr>
      </w:pPr>
      <w:r w:rsidRPr="00E1379C">
        <w:rPr>
          <w:rFonts w:ascii="Palatino Linotype" w:eastAsiaTheme="minorHAnsi" w:hAnsi="Palatino Linotype" w:cs="Arial"/>
          <w:b/>
          <w:noProof/>
          <w:sz w:val="10"/>
          <w:lang w:val="es-MX" w:eastAsia="es-MX"/>
        </w:rPr>
        <w:drawing>
          <wp:inline distT="0" distB="0" distL="0" distR="0">
            <wp:extent cx="5788660" cy="1415415"/>
            <wp:effectExtent l="190500" t="190500" r="193040" b="1847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415415"/>
                    </a:xfrm>
                    <a:prstGeom prst="rect">
                      <a:avLst/>
                    </a:prstGeom>
                    <a:ln>
                      <a:noFill/>
                    </a:ln>
                    <a:effectLst>
                      <a:outerShdw blurRad="190500" algn="tl" rotWithShape="0">
                        <a:srgbClr val="000000">
                          <a:alpha val="70000"/>
                        </a:srgbClr>
                      </a:outerShdw>
                    </a:effectLst>
                  </pic:spPr>
                </pic:pic>
              </a:graphicData>
            </a:graphic>
          </wp:inline>
        </w:drawing>
      </w:r>
    </w:p>
    <w:p w:rsidR="0029071C" w:rsidRPr="00E1379C" w:rsidRDefault="00DD2DA4" w:rsidP="0029071C">
      <w:pPr>
        <w:tabs>
          <w:tab w:val="left" w:pos="3206"/>
        </w:tabs>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SÉPTIM</w:t>
      </w:r>
      <w:r w:rsidR="0029071C" w:rsidRPr="00E1379C">
        <w:rPr>
          <w:rFonts w:ascii="Palatino Linotype" w:eastAsiaTheme="minorHAnsi" w:hAnsi="Palatino Linotype" w:cs="Arial"/>
          <w:b/>
          <w:sz w:val="28"/>
          <w:lang w:val="es-MX" w:eastAsia="en-US"/>
        </w:rPr>
        <w:t>O. Del cierre de instrucción.</w:t>
      </w:r>
      <w:r w:rsidR="0029071C" w:rsidRPr="00E1379C">
        <w:rPr>
          <w:rFonts w:ascii="Palatino Linotype" w:eastAsiaTheme="minorHAnsi" w:hAnsi="Palatino Linotype" w:cs="Arial"/>
          <w:b/>
          <w:sz w:val="28"/>
          <w:lang w:val="es-MX" w:eastAsia="en-US"/>
        </w:rPr>
        <w:tab/>
      </w:r>
    </w:p>
    <w:p w:rsidR="008150CA" w:rsidRPr="00E1379C" w:rsidRDefault="0029071C" w:rsidP="0029071C">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Así, una vez transcurrido el término legal, </w:t>
      </w:r>
      <w:r w:rsidR="00DC1583" w:rsidRPr="00E1379C">
        <w:rPr>
          <w:rFonts w:ascii="Palatino Linotype" w:eastAsiaTheme="minorHAnsi" w:hAnsi="Palatino Linotype" w:cs="Arial"/>
          <w:lang w:val="es-MX" w:eastAsia="en-US"/>
        </w:rPr>
        <w:t>permitió decretarse</w:t>
      </w:r>
      <w:r w:rsidRPr="00E1379C">
        <w:rPr>
          <w:rFonts w:ascii="Palatino Linotype" w:eastAsiaTheme="minorHAnsi" w:hAnsi="Palatino Linotype" w:cs="Arial"/>
          <w:lang w:val="es-MX" w:eastAsia="en-US"/>
        </w:rPr>
        <w:t xml:space="preserve"> el cierre de instrucción en fecha </w:t>
      </w:r>
      <w:r w:rsidR="00DD2DA4" w:rsidRPr="00E1379C">
        <w:rPr>
          <w:rFonts w:ascii="Palatino Linotype" w:eastAsiaTheme="minorHAnsi" w:hAnsi="Palatino Linotype" w:cs="Arial"/>
          <w:lang w:val="es-MX" w:eastAsia="en-US"/>
        </w:rPr>
        <w:t>veintiséis de septiembre</w:t>
      </w:r>
      <w:r w:rsidRPr="00E1379C">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w:t>
      </w:r>
      <w:r w:rsidRPr="00E1379C">
        <w:rPr>
          <w:rFonts w:ascii="Palatino Linotype" w:eastAsiaTheme="minorHAnsi" w:hAnsi="Palatino Linotype" w:cs="Arial"/>
          <w:lang w:val="es-MX" w:eastAsia="en-US"/>
        </w:rPr>
        <w:lastRenderedPageBreak/>
        <w:t>de México y Municipios, iniciando el término legal para dictar resolución definitiva del asunto.</w:t>
      </w:r>
    </w:p>
    <w:p w:rsidR="00DD2DA4" w:rsidRPr="00E1379C" w:rsidRDefault="00DD2DA4" w:rsidP="0029071C">
      <w:pPr>
        <w:spacing w:line="360" w:lineRule="auto"/>
        <w:jc w:val="both"/>
        <w:rPr>
          <w:rFonts w:ascii="Palatino Linotype" w:eastAsiaTheme="minorHAnsi" w:hAnsi="Palatino Linotype" w:cs="Arial"/>
          <w:lang w:val="es-MX" w:eastAsia="en-US"/>
        </w:rPr>
      </w:pPr>
    </w:p>
    <w:p w:rsidR="008150CA" w:rsidRPr="00E1379C" w:rsidRDefault="00DD2DA4" w:rsidP="008150CA">
      <w:pPr>
        <w:pStyle w:val="Sinespaciado"/>
        <w:spacing w:line="360" w:lineRule="auto"/>
        <w:rPr>
          <w:rFonts w:ascii="Palatino Linotype" w:hAnsi="Palatino Linotype"/>
          <w:b/>
          <w:sz w:val="28"/>
          <w:szCs w:val="26"/>
        </w:rPr>
      </w:pPr>
      <w:r w:rsidRPr="00E1379C">
        <w:rPr>
          <w:rFonts w:ascii="Palatino Linotype" w:hAnsi="Palatino Linotype"/>
          <w:b/>
          <w:sz w:val="28"/>
          <w:szCs w:val="26"/>
        </w:rPr>
        <w:t>OCTAV</w:t>
      </w:r>
      <w:r w:rsidR="008150CA" w:rsidRPr="00E1379C">
        <w:rPr>
          <w:rFonts w:ascii="Palatino Linotype" w:hAnsi="Palatino Linotype"/>
          <w:b/>
          <w:sz w:val="28"/>
          <w:szCs w:val="26"/>
        </w:rPr>
        <w:t>O. De la ampliación del término para resolver.</w:t>
      </w:r>
    </w:p>
    <w:p w:rsidR="008150CA" w:rsidRPr="00E1379C" w:rsidRDefault="008150CA" w:rsidP="008150CA">
      <w:pPr>
        <w:pStyle w:val="Sinespaciado"/>
        <w:spacing w:line="360" w:lineRule="auto"/>
        <w:jc w:val="both"/>
        <w:rPr>
          <w:rFonts w:ascii="Palatino Linotype" w:hAnsi="Palatino Linotype"/>
        </w:rPr>
      </w:pPr>
      <w:r w:rsidRPr="00E1379C">
        <w:rPr>
          <w:rFonts w:ascii="Palatino Linotype" w:hAnsi="Palatino Linotype"/>
        </w:rPr>
        <w:t xml:space="preserve">En fecha </w:t>
      </w:r>
      <w:r w:rsidR="00DD2DA4" w:rsidRPr="00E1379C">
        <w:rPr>
          <w:rFonts w:ascii="Palatino Linotype" w:hAnsi="Palatino Linotype"/>
        </w:rPr>
        <w:t>veintiséis de octubre</w:t>
      </w:r>
      <w:r w:rsidRPr="00E1379C">
        <w:rPr>
          <w:rFonts w:ascii="Palatino Linotype" w:hAnsi="Palatino Linotype"/>
        </w:rPr>
        <w:t xml:space="preserve"> de dos mil veintidós, se amplió el término para resolver el recurso de revisión en términos del artículo 181 párrafo tercero de la Ley de Transparencia y Acceso a la Información Pública del Estado de México y Municipios por un plazo de quince días hábiles.</w:t>
      </w:r>
    </w:p>
    <w:p w:rsidR="00DD2DA4" w:rsidRPr="00E1379C" w:rsidRDefault="00DD2DA4" w:rsidP="008150CA">
      <w:pPr>
        <w:pStyle w:val="Sinespaciado"/>
        <w:spacing w:line="360" w:lineRule="auto"/>
        <w:jc w:val="both"/>
        <w:rPr>
          <w:rFonts w:ascii="Palatino Linotype" w:hAnsi="Palatino Linotype"/>
        </w:rPr>
      </w:pP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Este organismo garante no pasa por alto justificar, </w:t>
      </w:r>
      <w:r w:rsidRPr="00E1379C">
        <w:rPr>
          <w:rFonts w:ascii="Palatino Linotype" w:hAnsi="Palatino Linotype"/>
          <w:bCs/>
          <w:lang w:val="es-MX"/>
        </w:rPr>
        <w:t xml:space="preserve">que el plazo para emitir resolución en el presente asunto </w:t>
      </w:r>
      <w:r w:rsidRPr="00E1379C">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rsidR="00DD2DA4" w:rsidRPr="00E1379C" w:rsidRDefault="00DD2DA4" w:rsidP="00DD2DA4">
      <w:pPr>
        <w:spacing w:line="360" w:lineRule="auto"/>
        <w:jc w:val="both"/>
        <w:rPr>
          <w:rFonts w:ascii="Palatino Linotype" w:hAnsi="Palatino Linotype"/>
          <w:lang w:val="es-MX"/>
        </w:rPr>
      </w:pP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Por ello, es menester precisar que si bien se ha excedido el plazo para resolver el presente medio de impugnación, de conformidad con la ley de la materia, </w:t>
      </w:r>
      <w:r w:rsidRPr="00E1379C">
        <w:rPr>
          <w:rFonts w:ascii="Palatino Linotype" w:hAnsi="Palatino Linotype"/>
          <w:bCs/>
          <w:lang w:val="es-MX"/>
        </w:rPr>
        <w:t>el plazo para emitir resolución</w:t>
      </w:r>
      <w:r w:rsidRPr="00E1379C">
        <w:rPr>
          <w:rFonts w:ascii="Palatino Linotype" w:hAnsi="Palatino Linotype"/>
          <w:lang w:val="es-MX"/>
        </w:rPr>
        <w:t xml:space="preserve"> se encuentra justificado en los elementos para medir su razonabilidad de asuntos conforme a los parámetros establecidos por diversos órganos jurisdiccionales federales, aplicables también en procedimientos análogos, como el que nos ocupa.</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a)      Complejidad del asunto: La complejidad de la prueba, la pluralidad de sujetos procesales, el tiempo transcurrido, las características y contexto del recurso.</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b)     Actividad Procesal del interesado: Acciones u omisiones del interesado.</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c)  Conducta de la Autoridad: Las Acciones u omisiones realizadas en el procedimiento. Así como si la autoridad actuó con la debida diligencia.</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d) La afectación generada en la situación jurídica de la persona involucrada en el proceso: Violación a sus derechos humanos.</w:t>
      </w:r>
    </w:p>
    <w:p w:rsidR="00DD2DA4" w:rsidRPr="00E1379C" w:rsidRDefault="00DD2DA4" w:rsidP="00DD2DA4">
      <w:pPr>
        <w:spacing w:line="360" w:lineRule="auto"/>
        <w:jc w:val="both"/>
        <w:rPr>
          <w:rFonts w:ascii="Palatino Linotype" w:hAnsi="Palatino Linotype"/>
          <w:lang w:val="es-MX"/>
        </w:rPr>
      </w:pP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De modo que, cuando se trate de un asunto excepcional, por alguna o todas las características mencionadas o bien, cuando el ingreso de asuntos al órgano jurisdiccional o cuasi jurisdiccional respectivo supere notoriamente al que podría </w:t>
      </w:r>
      <w:r w:rsidRPr="00E1379C">
        <w:rPr>
          <w:rFonts w:ascii="Palatino Linotype" w:hAnsi="Palatino Linotype"/>
          <w:lang w:val="es-MX"/>
        </w:rPr>
        <w:lastRenderedPageBreak/>
        <w:t>considerarse normal, debe concluirse que es una excluyente de responsabilidad en relación con la actuación del funcionario, como ha acontecido en el caso que nos ocupa.</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Argumento que encuentra sustento en la jurisprudencia P./J. 32/92 emitida por el Pleno de la Suprema Corte de Justicia de la Nación de rubro </w:t>
      </w:r>
      <w:r w:rsidRPr="00E1379C">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E1379C">
        <w:rPr>
          <w:rFonts w:ascii="Palatino Linotype" w:hAnsi="Palatino Linotype"/>
          <w:lang w:val="es-MX"/>
        </w:rPr>
        <w:t>, visible en la Gaceta del Seminario Judicial de la Federación con el registro digital 205635.</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DD2DA4" w:rsidRPr="00E1379C" w:rsidRDefault="00DD2DA4" w:rsidP="00DD2DA4">
      <w:pPr>
        <w:spacing w:line="360" w:lineRule="auto"/>
        <w:jc w:val="both"/>
        <w:rPr>
          <w:rFonts w:ascii="Palatino Linotype" w:hAnsi="Palatino Linotype"/>
          <w:lang w:val="es-MX"/>
        </w:rPr>
      </w:pP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Al respecto, también son de considerar los criterios sostenidos por el Cuarto Tribunal Colegiado en Materia Administrativa del Primer Circuito, cuyos rubros y datos de identificación son los siguientes:</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lastRenderedPageBreak/>
        <w:t xml:space="preserve"> </w:t>
      </w:r>
      <w:r w:rsidRPr="00E1379C">
        <w:rPr>
          <w:rFonts w:ascii="Palatino Linotype" w:hAnsi="Palatino Linotype"/>
          <w:b/>
          <w:i/>
          <w:lang w:val="es-MX"/>
        </w:rPr>
        <w:t>“PLAZO RAZONABLE PARA RESOLVER. DIMENSIÓN Y EFECTOS DE ESTE CONCEPTO CUANDO SE ADUCE EXCESIVA CARGA DE TRABAJO.”</w:t>
      </w:r>
      <w:r w:rsidRPr="00E1379C">
        <w:rPr>
          <w:rFonts w:ascii="Palatino Linotype" w:hAnsi="Palatino Linotype"/>
          <w:lang w:val="es-MX"/>
        </w:rPr>
        <w:t xml:space="preserve"> consultable en el Seminario Judicial de la Federación y su gaceta, con el registro digital 2002351.</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lang w:val="es-MX"/>
        </w:rPr>
        <w:t xml:space="preserve"> </w:t>
      </w: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b/>
          <w:i/>
          <w:lang w:val="es-MX"/>
        </w:rPr>
        <w:t>“PLAZO RAZONABLE PARA RESOLVER. CONCEPTO Y ELEMENTOS QUE LO INTEGRAN A LA LUZ DEL DERECHO INTERNACIONAL DE LOS DERECHOS HUMANOS.”</w:t>
      </w:r>
      <w:r w:rsidRPr="00E1379C">
        <w:rPr>
          <w:rFonts w:ascii="Palatino Linotype" w:hAnsi="Palatino Linotype"/>
          <w:lang w:val="es-MX"/>
        </w:rPr>
        <w:t>, visible en el Seminario Judicial de la Federación y su gaceta, con el registro digital 2002350.</w:t>
      </w:r>
    </w:p>
    <w:p w:rsidR="00DD2DA4" w:rsidRPr="00E1379C" w:rsidRDefault="00DD2DA4" w:rsidP="00DD2DA4">
      <w:pPr>
        <w:spacing w:line="360" w:lineRule="auto"/>
        <w:jc w:val="both"/>
        <w:rPr>
          <w:rFonts w:ascii="Palatino Linotype" w:hAnsi="Palatino Linotype"/>
          <w:lang w:val="es-MX"/>
        </w:rPr>
      </w:pPr>
    </w:p>
    <w:p w:rsidR="00DD2DA4" w:rsidRPr="00E1379C" w:rsidRDefault="00DD2DA4" w:rsidP="00DD2DA4">
      <w:pPr>
        <w:spacing w:line="360" w:lineRule="auto"/>
        <w:jc w:val="both"/>
        <w:rPr>
          <w:rFonts w:ascii="Palatino Linotype" w:hAnsi="Palatino Linotype"/>
          <w:lang w:val="es-MX"/>
        </w:rPr>
      </w:pPr>
      <w:r w:rsidRPr="00E1379C">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rsidR="008150CA" w:rsidRPr="00E1379C" w:rsidRDefault="008150CA" w:rsidP="00B96A17">
      <w:pPr>
        <w:spacing w:line="360" w:lineRule="auto"/>
        <w:jc w:val="both"/>
        <w:rPr>
          <w:rFonts w:ascii="Palatino Linotype" w:eastAsiaTheme="minorHAnsi" w:hAnsi="Palatino Linotype" w:cs="Arial"/>
          <w:lang w:val="es-MX" w:eastAsia="en-US"/>
        </w:rPr>
      </w:pPr>
    </w:p>
    <w:p w:rsidR="008150CA" w:rsidRPr="00E1379C" w:rsidRDefault="00E74701" w:rsidP="00EE7775">
      <w:pPr>
        <w:spacing w:line="360" w:lineRule="auto"/>
        <w:jc w:val="center"/>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C O N S I D E R A N</w:t>
      </w:r>
      <w:r w:rsidR="00D57F74" w:rsidRPr="00E1379C">
        <w:rPr>
          <w:rFonts w:ascii="Palatino Linotype" w:eastAsiaTheme="minorHAnsi" w:hAnsi="Palatino Linotype" w:cs="Arial"/>
          <w:b/>
          <w:sz w:val="28"/>
          <w:lang w:val="es-MX" w:eastAsia="en-US"/>
        </w:rPr>
        <w:t xml:space="preserve"> D O </w:t>
      </w:r>
    </w:p>
    <w:p w:rsidR="00EE7775" w:rsidRPr="00E1379C" w:rsidRDefault="00EE7775" w:rsidP="00EE7775">
      <w:pPr>
        <w:spacing w:line="360" w:lineRule="auto"/>
        <w:jc w:val="center"/>
        <w:rPr>
          <w:rFonts w:ascii="Palatino Linotype" w:eastAsiaTheme="minorHAnsi" w:hAnsi="Palatino Linotype" w:cs="Arial"/>
          <w:b/>
          <w:sz w:val="14"/>
          <w:lang w:val="es-MX" w:eastAsia="en-US"/>
        </w:rPr>
      </w:pPr>
    </w:p>
    <w:p w:rsidR="0029071C" w:rsidRPr="00E1379C" w:rsidRDefault="0029071C" w:rsidP="0029071C">
      <w:pPr>
        <w:spacing w:line="360" w:lineRule="auto"/>
        <w:jc w:val="both"/>
        <w:rPr>
          <w:rFonts w:ascii="Palatino Linotype" w:eastAsiaTheme="minorHAnsi" w:hAnsi="Palatino Linotype" w:cs="Arial"/>
          <w:sz w:val="28"/>
          <w:lang w:val="es-MX" w:eastAsia="en-US"/>
        </w:rPr>
      </w:pPr>
      <w:r w:rsidRPr="00E1379C">
        <w:rPr>
          <w:rFonts w:ascii="Palatino Linotype" w:eastAsiaTheme="minorHAnsi" w:hAnsi="Palatino Linotype" w:cs="Arial"/>
          <w:b/>
          <w:sz w:val="28"/>
          <w:lang w:val="es-MX" w:eastAsia="en-US"/>
        </w:rPr>
        <w:t>PRIMERO. De la competencia</w:t>
      </w:r>
      <w:r w:rsidRPr="00E1379C">
        <w:rPr>
          <w:rFonts w:ascii="Palatino Linotype" w:eastAsiaTheme="minorHAnsi" w:hAnsi="Palatino Linotype" w:cs="Arial"/>
          <w:sz w:val="28"/>
          <w:lang w:val="es-MX" w:eastAsia="en-US"/>
        </w:rPr>
        <w:t>.</w:t>
      </w:r>
    </w:p>
    <w:p w:rsidR="00723B5A" w:rsidRPr="00E1379C" w:rsidRDefault="0029071C" w:rsidP="00723B5A">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w:t>
      </w:r>
      <w:r w:rsidRPr="00E1379C">
        <w:rPr>
          <w:rFonts w:ascii="Palatino Linotype" w:eastAsiaTheme="minorHAnsi" w:hAnsi="Palatino Linotype" w:cs="Arial"/>
          <w:lang w:val="es-MX" w:eastAsia="en-US"/>
        </w:rPr>
        <w:lastRenderedPageBreak/>
        <w:t>Información Pública y Protección de Datos Personales del</w:t>
      </w:r>
      <w:r w:rsidR="00E74701" w:rsidRPr="00E1379C">
        <w:rPr>
          <w:rFonts w:ascii="Palatino Linotype" w:eastAsiaTheme="minorHAnsi" w:hAnsi="Palatino Linotype" w:cs="Arial"/>
          <w:lang w:val="es-MX" w:eastAsia="en-US"/>
        </w:rPr>
        <w:t xml:space="preserve"> Estado de México y Municipios.</w:t>
      </w:r>
    </w:p>
    <w:p w:rsidR="00723B5A" w:rsidRPr="00E1379C" w:rsidRDefault="00723B5A" w:rsidP="00723B5A">
      <w:pPr>
        <w:spacing w:line="360" w:lineRule="auto"/>
        <w:jc w:val="both"/>
        <w:rPr>
          <w:rFonts w:ascii="Palatino Linotype" w:eastAsiaTheme="minorHAnsi" w:hAnsi="Palatino Linotype" w:cs="Arial"/>
          <w:lang w:val="es-MX" w:eastAsia="en-US"/>
        </w:rPr>
      </w:pPr>
    </w:p>
    <w:p w:rsidR="0029071C" w:rsidRPr="00E1379C"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E1379C">
        <w:rPr>
          <w:rFonts w:ascii="Palatino Linotype" w:eastAsiaTheme="minorHAnsi" w:hAnsi="Palatino Linotype" w:cs="Arial"/>
          <w:b/>
          <w:sz w:val="28"/>
          <w:lang w:val="es-MX" w:eastAsia="en-US"/>
        </w:rPr>
        <w:t xml:space="preserve">SEGUNDO. De los alcances del Recurso de Revisión. </w:t>
      </w:r>
    </w:p>
    <w:p w:rsidR="00723B5A" w:rsidRPr="00E1379C"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723B5A" w:rsidRPr="00E1379C" w:rsidRDefault="00723B5A" w:rsidP="009C6853">
      <w:pPr>
        <w:autoSpaceDE w:val="0"/>
        <w:autoSpaceDN w:val="0"/>
        <w:adjustRightInd w:val="0"/>
        <w:spacing w:line="360" w:lineRule="auto"/>
        <w:jc w:val="both"/>
        <w:rPr>
          <w:rFonts w:ascii="Palatino Linotype" w:eastAsiaTheme="minorHAnsi" w:hAnsi="Palatino Linotype" w:cs="Arial"/>
          <w:lang w:val="es-MX" w:eastAsia="en-US"/>
        </w:rPr>
      </w:pPr>
    </w:p>
    <w:p w:rsidR="00723B5A" w:rsidRPr="00E1379C" w:rsidRDefault="00723B5A" w:rsidP="00723B5A">
      <w:pPr>
        <w:autoSpaceDE w:val="0"/>
        <w:autoSpaceDN w:val="0"/>
        <w:adjustRightInd w:val="0"/>
        <w:spacing w:line="360" w:lineRule="auto"/>
        <w:jc w:val="both"/>
        <w:rPr>
          <w:rFonts w:ascii="Palatino Linotype" w:hAnsi="Palatino Linotype" w:cs="Arial"/>
          <w:b/>
        </w:rPr>
      </w:pPr>
      <w:r w:rsidRPr="00E1379C">
        <w:rPr>
          <w:rFonts w:ascii="Palatino Linotype" w:hAnsi="Palatino Linotype" w:cs="Arial"/>
          <w:b/>
          <w:sz w:val="28"/>
        </w:rPr>
        <w:t>TERCERO. Cuestiones de previo y especial pronunciamiento</w:t>
      </w:r>
      <w:r w:rsidRPr="00E1379C">
        <w:rPr>
          <w:rFonts w:ascii="Palatino Linotype" w:hAnsi="Palatino Linotype" w:cs="Arial"/>
          <w:b/>
        </w:rPr>
        <w:t>.</w:t>
      </w:r>
    </w:p>
    <w:p w:rsidR="00723B5A" w:rsidRPr="00E1379C" w:rsidRDefault="00723B5A" w:rsidP="00723B5A">
      <w:pPr>
        <w:spacing w:line="360" w:lineRule="auto"/>
        <w:jc w:val="both"/>
        <w:rPr>
          <w:rFonts w:ascii="Palatino Linotype" w:hAnsi="Palatino Linotype"/>
        </w:rPr>
      </w:pPr>
      <w:r w:rsidRPr="00E1379C">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E1379C">
        <w:rPr>
          <w:rFonts w:ascii="Palatino Linotype" w:hAnsi="Palatino Linotype"/>
          <w:b/>
        </w:rPr>
        <w:t>Recurrente,</w:t>
      </w:r>
      <w:r w:rsidRPr="00E1379C">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manera electrónica, ello porque no se advierte nombre en específico</w:t>
      </w:r>
      <w:r w:rsidRPr="00E1379C">
        <w:rPr>
          <w:rFonts w:ascii="Palatino Linotype" w:hAnsi="Palatino Linotype" w:cs="Arial"/>
        </w:rPr>
        <w:t>, del cual no se colige que corresponda al nombre de una persona.</w:t>
      </w:r>
    </w:p>
    <w:p w:rsidR="00723B5A" w:rsidRPr="00E1379C" w:rsidRDefault="00723B5A" w:rsidP="00723B5A">
      <w:pPr>
        <w:widowControl w:val="0"/>
        <w:autoSpaceDE w:val="0"/>
        <w:autoSpaceDN w:val="0"/>
        <w:adjustRightInd w:val="0"/>
        <w:spacing w:line="360" w:lineRule="auto"/>
        <w:jc w:val="both"/>
        <w:rPr>
          <w:rFonts w:ascii="Palatino Linotype" w:hAnsi="Palatino Linotype" w:cs="Arial"/>
        </w:rPr>
      </w:pPr>
    </w:p>
    <w:p w:rsidR="00723B5A" w:rsidRPr="00E1379C" w:rsidRDefault="00723B5A" w:rsidP="00723B5A">
      <w:pPr>
        <w:widowControl w:val="0"/>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 xml:space="preserve">Esta Ponencia considera importante abordar el análisis de los requisitos de </w:t>
      </w:r>
      <w:r w:rsidRPr="00E1379C">
        <w:rPr>
          <w:rFonts w:ascii="Palatino Linotype" w:hAnsi="Palatino Linotype" w:cs="Arial"/>
        </w:rPr>
        <w:lastRenderedPageBreak/>
        <w:t xml:space="preserve">procedibilidad de los recursos de revisión, así el artículo 180 de la </w:t>
      </w:r>
      <w:r w:rsidRPr="00E1379C">
        <w:rPr>
          <w:rFonts w:ascii="Palatino Linotype" w:hAnsi="Palatino Linotype" w:cs="Arial"/>
          <w:lang w:eastAsia="es-MX"/>
        </w:rPr>
        <w:t xml:space="preserve">Ley de Transparencia y Acceso a la Información Pública del Estado de México y Municipios, que </w:t>
      </w:r>
      <w:r w:rsidRPr="00E1379C">
        <w:rPr>
          <w:rFonts w:ascii="Palatino Linotype" w:hAnsi="Palatino Linotype" w:cs="Arial"/>
        </w:rPr>
        <w:t>establece lo siguiente:</w:t>
      </w:r>
    </w:p>
    <w:p w:rsidR="00723B5A" w:rsidRPr="00E1379C" w:rsidRDefault="00723B5A" w:rsidP="00723B5A">
      <w:pPr>
        <w:rPr>
          <w:lang w:val="es-MX"/>
        </w:rPr>
      </w:pPr>
    </w:p>
    <w:p w:rsidR="00723B5A" w:rsidRPr="00E1379C" w:rsidRDefault="00723B5A" w:rsidP="00723B5A">
      <w:pPr>
        <w:ind w:left="851" w:right="851"/>
        <w:jc w:val="both"/>
        <w:rPr>
          <w:rFonts w:ascii="Palatino Linotype" w:hAnsi="Palatino Linotype"/>
          <w:b/>
          <w:i/>
          <w:sz w:val="22"/>
        </w:rPr>
      </w:pPr>
      <w:r w:rsidRPr="00E1379C">
        <w:rPr>
          <w:rFonts w:ascii="Palatino Linotype" w:hAnsi="Palatino Linotype"/>
          <w:i/>
          <w:sz w:val="22"/>
        </w:rPr>
        <w:t>“</w:t>
      </w:r>
      <w:r w:rsidRPr="00E1379C">
        <w:rPr>
          <w:rFonts w:ascii="Palatino Linotype" w:hAnsi="Palatino Linotype"/>
          <w:b/>
          <w:i/>
          <w:sz w:val="22"/>
        </w:rPr>
        <w:t xml:space="preserve">Artículo 180. </w:t>
      </w:r>
      <w:r w:rsidRPr="00E1379C">
        <w:rPr>
          <w:rFonts w:ascii="Palatino Linotype" w:hAnsi="Palatino Linotype"/>
          <w:i/>
          <w:sz w:val="22"/>
        </w:rPr>
        <w:t xml:space="preserve">El </w:t>
      </w:r>
      <w:r w:rsidRPr="00E1379C">
        <w:rPr>
          <w:rFonts w:ascii="Palatino Linotype" w:hAnsi="Palatino Linotype" w:cs="Arial"/>
          <w:i/>
          <w:sz w:val="22"/>
        </w:rPr>
        <w:t>recurso</w:t>
      </w:r>
      <w:r w:rsidRPr="00E1379C">
        <w:rPr>
          <w:rFonts w:ascii="Palatino Linotype" w:hAnsi="Palatino Linotype"/>
          <w:i/>
          <w:sz w:val="22"/>
        </w:rPr>
        <w:t xml:space="preserve"> </w:t>
      </w:r>
      <w:r w:rsidRPr="00E1379C">
        <w:rPr>
          <w:rFonts w:ascii="Palatino Linotype" w:hAnsi="Palatino Linotype" w:cs="Arial"/>
          <w:i/>
          <w:sz w:val="22"/>
          <w:lang w:eastAsia="es-MX"/>
        </w:rPr>
        <w:t>de</w:t>
      </w:r>
      <w:r w:rsidRPr="00E1379C">
        <w:rPr>
          <w:rFonts w:ascii="Palatino Linotype" w:hAnsi="Palatino Linotype"/>
          <w:i/>
          <w:sz w:val="22"/>
        </w:rPr>
        <w:t xml:space="preserve"> revisión contendrá:</w:t>
      </w:r>
      <w:r w:rsidRPr="00E1379C">
        <w:rPr>
          <w:rFonts w:ascii="Palatino Linotype" w:hAnsi="Palatino Linotype"/>
          <w:b/>
          <w:i/>
          <w:sz w:val="22"/>
        </w:rPr>
        <w:t xml:space="preserve"> </w:t>
      </w:r>
    </w:p>
    <w:p w:rsidR="00723B5A" w:rsidRPr="00E1379C" w:rsidRDefault="00723B5A" w:rsidP="00723B5A">
      <w:pPr>
        <w:ind w:left="851" w:right="851"/>
        <w:jc w:val="both"/>
        <w:rPr>
          <w:rFonts w:ascii="Palatino Linotype" w:hAnsi="Palatino Linotype"/>
          <w:b/>
          <w:i/>
          <w:sz w:val="22"/>
        </w:rPr>
      </w:pPr>
      <w:r w:rsidRPr="00E1379C">
        <w:rPr>
          <w:rFonts w:ascii="Palatino Linotype" w:hAnsi="Palatino Linotype"/>
          <w:b/>
          <w:i/>
          <w:sz w:val="22"/>
        </w:rPr>
        <w:t xml:space="preserve">I. </w:t>
      </w:r>
      <w:r w:rsidRPr="00E1379C">
        <w:rPr>
          <w:rFonts w:ascii="Palatino Linotype" w:hAnsi="Palatino Linotype"/>
          <w:i/>
          <w:sz w:val="22"/>
        </w:rPr>
        <w:t xml:space="preserve">El sujeto obligado ante </w:t>
      </w:r>
      <w:r w:rsidRPr="00E1379C">
        <w:rPr>
          <w:rFonts w:ascii="Palatino Linotype" w:hAnsi="Palatino Linotype" w:cs="Arial"/>
          <w:i/>
          <w:sz w:val="22"/>
        </w:rPr>
        <w:t>la</w:t>
      </w:r>
      <w:r w:rsidRPr="00E1379C">
        <w:rPr>
          <w:rFonts w:ascii="Palatino Linotype" w:hAnsi="Palatino Linotype"/>
          <w:i/>
          <w:sz w:val="22"/>
        </w:rPr>
        <w:t xml:space="preserve"> cual </w:t>
      </w:r>
      <w:r w:rsidRPr="00E1379C">
        <w:rPr>
          <w:rFonts w:ascii="Palatino Linotype" w:hAnsi="Palatino Linotype" w:cs="Arial"/>
          <w:i/>
          <w:sz w:val="22"/>
          <w:lang w:eastAsia="es-MX"/>
        </w:rPr>
        <w:t>se</w:t>
      </w:r>
      <w:r w:rsidRPr="00E1379C">
        <w:rPr>
          <w:rFonts w:ascii="Palatino Linotype" w:hAnsi="Palatino Linotype"/>
          <w:i/>
          <w:sz w:val="22"/>
        </w:rPr>
        <w:t xml:space="preserve"> presentó la solicitud;</w:t>
      </w:r>
      <w:r w:rsidRPr="00E1379C">
        <w:rPr>
          <w:rFonts w:ascii="Palatino Linotype" w:hAnsi="Palatino Linotype"/>
          <w:b/>
          <w:i/>
          <w:sz w:val="22"/>
        </w:rPr>
        <w:t xml:space="preserve"> </w:t>
      </w:r>
    </w:p>
    <w:p w:rsidR="00723B5A" w:rsidRPr="00E1379C" w:rsidRDefault="00723B5A" w:rsidP="00723B5A">
      <w:pPr>
        <w:ind w:left="851" w:right="851"/>
        <w:jc w:val="both"/>
        <w:rPr>
          <w:rFonts w:ascii="Palatino Linotype" w:hAnsi="Palatino Linotype"/>
          <w:b/>
          <w:i/>
          <w:sz w:val="22"/>
        </w:rPr>
      </w:pPr>
      <w:r w:rsidRPr="00E1379C">
        <w:rPr>
          <w:rFonts w:ascii="Palatino Linotype" w:hAnsi="Palatino Linotype"/>
          <w:b/>
          <w:i/>
          <w:sz w:val="22"/>
        </w:rPr>
        <w:t xml:space="preserve">II. </w:t>
      </w:r>
      <w:r w:rsidRPr="00E1379C">
        <w:rPr>
          <w:rFonts w:ascii="Palatino Linotype" w:hAnsi="Palatino Linotype"/>
          <w:b/>
          <w:i/>
          <w:sz w:val="22"/>
          <w:u w:val="single"/>
        </w:rPr>
        <w:t xml:space="preserve">El nombre del solicitante </w:t>
      </w:r>
      <w:r w:rsidRPr="00E1379C">
        <w:rPr>
          <w:rFonts w:ascii="Palatino Linotype" w:hAnsi="Palatino Linotype" w:cs="Arial"/>
          <w:b/>
          <w:i/>
          <w:sz w:val="22"/>
          <w:u w:val="single"/>
          <w:lang w:eastAsia="es-MX"/>
        </w:rPr>
        <w:t>que</w:t>
      </w:r>
      <w:r w:rsidRPr="00E1379C">
        <w:rPr>
          <w:rFonts w:ascii="Palatino Linotype" w:hAnsi="Palatino Linotype"/>
          <w:b/>
          <w:i/>
          <w:sz w:val="22"/>
          <w:u w:val="single"/>
        </w:rPr>
        <w:t xml:space="preserve"> recurre</w:t>
      </w:r>
      <w:r w:rsidRPr="00E1379C">
        <w:rPr>
          <w:rFonts w:ascii="Palatino Linotype" w:hAnsi="Palatino Linotype"/>
          <w:b/>
          <w:i/>
          <w:sz w:val="22"/>
        </w:rPr>
        <w:t xml:space="preserve"> </w:t>
      </w:r>
      <w:r w:rsidRPr="00E1379C">
        <w:rPr>
          <w:rFonts w:ascii="Palatino Linotype" w:hAnsi="Palatino Linotype"/>
          <w:i/>
          <w:sz w:val="22"/>
        </w:rPr>
        <w:t>o de su representante y, en su caso, del tercero interesado, así como la dirección o medio que señale para recibir notificaciones;</w:t>
      </w:r>
      <w:r w:rsidRPr="00E1379C">
        <w:rPr>
          <w:rFonts w:ascii="Palatino Linotype" w:hAnsi="Palatino Linotype"/>
          <w:b/>
          <w:i/>
          <w:sz w:val="22"/>
        </w:rPr>
        <w:t xml:space="preserve"> </w:t>
      </w:r>
    </w:p>
    <w:p w:rsidR="00723B5A" w:rsidRPr="00E1379C" w:rsidRDefault="00723B5A" w:rsidP="00723B5A">
      <w:pPr>
        <w:ind w:left="851" w:right="851"/>
        <w:rPr>
          <w:rFonts w:ascii="Palatino Linotype" w:hAnsi="Palatino Linotype"/>
          <w:i/>
          <w:sz w:val="22"/>
        </w:rPr>
      </w:pPr>
      <w:r w:rsidRPr="00E1379C">
        <w:rPr>
          <w:rFonts w:ascii="Palatino Linotype" w:hAnsi="Palatino Linotype"/>
          <w:i/>
          <w:sz w:val="22"/>
        </w:rPr>
        <w:t>(…)” [Sic]</w:t>
      </w:r>
    </w:p>
    <w:p w:rsidR="00723B5A" w:rsidRPr="00E1379C" w:rsidRDefault="00723B5A" w:rsidP="00723B5A">
      <w:pPr>
        <w:widowControl w:val="0"/>
        <w:autoSpaceDE w:val="0"/>
        <w:autoSpaceDN w:val="0"/>
        <w:adjustRightInd w:val="0"/>
        <w:spacing w:line="360" w:lineRule="auto"/>
        <w:jc w:val="both"/>
        <w:rPr>
          <w:rFonts w:ascii="Palatino Linotype" w:hAnsi="Palatino Linotype"/>
        </w:rPr>
      </w:pPr>
    </w:p>
    <w:p w:rsidR="00723B5A" w:rsidRPr="00E1379C" w:rsidRDefault="00723B5A" w:rsidP="00723B5A">
      <w:pPr>
        <w:widowControl w:val="0"/>
        <w:autoSpaceDE w:val="0"/>
        <w:autoSpaceDN w:val="0"/>
        <w:adjustRightInd w:val="0"/>
        <w:spacing w:line="360" w:lineRule="auto"/>
        <w:jc w:val="both"/>
        <w:rPr>
          <w:rFonts w:ascii="Palatino Linotype" w:hAnsi="Palatino Linotype"/>
        </w:rPr>
      </w:pPr>
      <w:r w:rsidRPr="00E1379C">
        <w:rPr>
          <w:rFonts w:ascii="Palatino Linotype" w:hAnsi="Palatino Linotype"/>
        </w:rPr>
        <w:t xml:space="preserve">En principio, de una interpretación del artículo transcrito se observan los requisitos que </w:t>
      </w:r>
      <w:r w:rsidRPr="00E1379C">
        <w:rPr>
          <w:rFonts w:ascii="Palatino Linotype" w:hAnsi="Palatino Linotype" w:cs="Arial"/>
        </w:rPr>
        <w:t>deberán</w:t>
      </w:r>
      <w:r w:rsidRPr="00E1379C">
        <w:rPr>
          <w:rFonts w:ascii="Palatino Linotype" w:hAnsi="Palatino Linotype"/>
        </w:rPr>
        <w:t xml:space="preserve"> contener los recursos de revisión; sobre el particular, de la revisión del expediente electrónico del </w:t>
      </w:r>
      <w:r w:rsidRPr="00E1379C">
        <w:rPr>
          <w:rFonts w:ascii="Palatino Linotype" w:hAnsi="Palatino Linotype"/>
          <w:b/>
        </w:rPr>
        <w:t>SAIMEX</w:t>
      </w:r>
      <w:r w:rsidRPr="00E1379C">
        <w:rPr>
          <w:rFonts w:ascii="Palatino Linotype" w:hAnsi="Palatino Linotype"/>
        </w:rPr>
        <w:t xml:space="preserve"> se desprende que el solicitante y ahora </w:t>
      </w:r>
      <w:r w:rsidRPr="00E1379C">
        <w:rPr>
          <w:rFonts w:ascii="Palatino Linotype" w:hAnsi="Palatino Linotype"/>
          <w:b/>
        </w:rPr>
        <w:t>Recurrente</w:t>
      </w:r>
      <w:r w:rsidRPr="00E1379C">
        <w:rPr>
          <w:rFonts w:ascii="Palatino Linotype" w:hAnsi="Palatino Linotype"/>
        </w:rPr>
        <w:t xml:space="preserve">, en ejercicio de su derecho de acceso a la información pública, no proporcionó un nombre para que </w:t>
      </w:r>
      <w:r w:rsidRPr="00E1379C">
        <w:rPr>
          <w:rFonts w:ascii="Palatino Linotype" w:hAnsi="Palatino Linotype" w:cs="Arial"/>
        </w:rPr>
        <w:t>sea</w:t>
      </w:r>
      <w:r w:rsidRPr="00E1379C">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rsidR="00723B5A" w:rsidRPr="00E1379C" w:rsidRDefault="00723B5A" w:rsidP="00723B5A">
      <w:pPr>
        <w:widowControl w:val="0"/>
        <w:autoSpaceDE w:val="0"/>
        <w:autoSpaceDN w:val="0"/>
        <w:adjustRightInd w:val="0"/>
        <w:spacing w:line="360" w:lineRule="auto"/>
        <w:jc w:val="both"/>
        <w:rPr>
          <w:rFonts w:ascii="Palatino Linotype" w:hAnsi="Palatino Linotype"/>
        </w:rPr>
      </w:pPr>
    </w:p>
    <w:p w:rsidR="00723B5A" w:rsidRPr="00E1379C" w:rsidRDefault="00723B5A" w:rsidP="00723B5A">
      <w:pPr>
        <w:widowControl w:val="0"/>
        <w:autoSpaceDE w:val="0"/>
        <w:autoSpaceDN w:val="0"/>
        <w:adjustRightInd w:val="0"/>
        <w:spacing w:line="360" w:lineRule="auto"/>
        <w:jc w:val="both"/>
        <w:rPr>
          <w:rFonts w:ascii="Palatino Linotype" w:hAnsi="Palatino Linotype" w:cs="Arial"/>
        </w:rPr>
      </w:pPr>
      <w:r w:rsidRPr="00E1379C">
        <w:rPr>
          <w:rFonts w:ascii="Palatino Linotype" w:hAnsi="Palatino Linotype"/>
        </w:rPr>
        <w:t xml:space="preserve">No obstante lo anterior, debe destacarse que el artículo 15, de </w:t>
      </w:r>
      <w:r w:rsidRPr="00E1379C">
        <w:rPr>
          <w:rFonts w:ascii="Palatino Linotype" w:hAnsi="Palatino Linotype" w:cs="Arial"/>
          <w:lang w:eastAsia="es-MX"/>
        </w:rPr>
        <w:t xml:space="preserve">Ley de Transparencia y Acceso a la </w:t>
      </w:r>
      <w:r w:rsidRPr="00E1379C">
        <w:rPr>
          <w:rFonts w:ascii="Palatino Linotype" w:hAnsi="Palatino Linotype" w:cs="Arial"/>
        </w:rPr>
        <w:t>Información</w:t>
      </w:r>
      <w:r w:rsidRPr="00E1379C">
        <w:rPr>
          <w:rFonts w:ascii="Palatino Linotype" w:hAnsi="Palatino Linotype" w:cs="Arial"/>
          <w:lang w:eastAsia="es-MX"/>
        </w:rPr>
        <w:t xml:space="preserve"> Pública del Estado de México y Municipios </w:t>
      </w:r>
      <w:r w:rsidRPr="00E1379C">
        <w:rPr>
          <w:rFonts w:ascii="Palatino Linotype" w:hAnsi="Palatino Linotype" w:cs="Arial"/>
          <w:iCs/>
        </w:rPr>
        <w:t xml:space="preserve">prevé que, </w:t>
      </w:r>
      <w:r w:rsidRPr="00E1379C">
        <w:rPr>
          <w:rFonts w:ascii="Palatino Linotype" w:hAnsi="Palatino Linotype"/>
        </w:rPr>
        <w:t xml:space="preserve">toda persona tendrá acceso a la información </w:t>
      </w:r>
      <w:r w:rsidRPr="00E1379C">
        <w:rPr>
          <w:rFonts w:ascii="Palatino Linotype" w:hAnsi="Palatino Linotype" w:cs="Arial"/>
        </w:rPr>
        <w:t xml:space="preserve">sin necesidad de acreditar interés alguno o justificar su utilización, de lo que se infiere que para el </w:t>
      </w:r>
      <w:r w:rsidRPr="00E1379C">
        <w:rPr>
          <w:rFonts w:ascii="Palatino Linotype" w:hAnsi="Palatino Linotype"/>
        </w:rPr>
        <w:t>ejercicio</w:t>
      </w:r>
      <w:r w:rsidRPr="00E1379C">
        <w:rPr>
          <w:rFonts w:ascii="Palatino Linotype" w:hAnsi="Palatino Linotype" w:cs="Arial"/>
        </w:rPr>
        <w:t xml:space="preserve"> del derecho de acceso a la información pública, el nombre no es un requisito </w:t>
      </w:r>
      <w:r w:rsidRPr="00E1379C">
        <w:rPr>
          <w:rFonts w:ascii="Palatino Linotype" w:hAnsi="Palatino Linotype" w:cs="Arial"/>
          <w:i/>
        </w:rPr>
        <w:t>sine qua non</w:t>
      </w:r>
      <w:r w:rsidRPr="00E1379C">
        <w:rPr>
          <w:rFonts w:ascii="Palatino Linotype" w:hAnsi="Palatino Linotype" w:cs="Arial"/>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rsidR="00723B5A" w:rsidRPr="00E1379C" w:rsidRDefault="00723B5A" w:rsidP="00723B5A">
      <w:pPr>
        <w:widowControl w:val="0"/>
        <w:autoSpaceDE w:val="0"/>
        <w:autoSpaceDN w:val="0"/>
        <w:adjustRightInd w:val="0"/>
        <w:spacing w:line="360" w:lineRule="auto"/>
        <w:jc w:val="both"/>
        <w:rPr>
          <w:rFonts w:ascii="Palatino Linotype" w:hAnsi="Palatino Linotype" w:cs="Arial"/>
        </w:rPr>
      </w:pPr>
    </w:p>
    <w:p w:rsidR="00723B5A" w:rsidRPr="00E1379C" w:rsidRDefault="00723B5A" w:rsidP="00723B5A">
      <w:pPr>
        <w:widowControl w:val="0"/>
        <w:autoSpaceDE w:val="0"/>
        <w:autoSpaceDN w:val="0"/>
        <w:adjustRightInd w:val="0"/>
        <w:spacing w:line="360" w:lineRule="auto"/>
        <w:jc w:val="both"/>
        <w:rPr>
          <w:rFonts w:ascii="Palatino Linotype" w:hAnsi="Palatino Linotype"/>
        </w:rPr>
      </w:pPr>
      <w:r w:rsidRPr="00E1379C">
        <w:rPr>
          <w:rFonts w:ascii="Palatino Linotype" w:hAnsi="Palatino Linotype"/>
        </w:rPr>
        <w:t xml:space="preserve">Por lo que el derecho humano de acceso a la información pública se reitera que toda </w:t>
      </w:r>
      <w:r w:rsidRPr="00E1379C">
        <w:rPr>
          <w:rFonts w:ascii="Palatino Linotype" w:hAnsi="Palatino Linotype"/>
        </w:rPr>
        <w:lastRenderedPageBreak/>
        <w:t xml:space="preserve">persona, sin necesidad de acreditar interés alguno o justificar su utilización, deberá tener acceso a la información pública, es decir, dicho </w:t>
      </w:r>
      <w:r w:rsidRPr="00E1379C">
        <w:rPr>
          <w:rFonts w:ascii="Palatino Linotype" w:hAnsi="Palatino Linotype" w:cs="Arial"/>
        </w:rPr>
        <w:t>derecho</w:t>
      </w:r>
      <w:r w:rsidRPr="00E1379C">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53327" w:rsidRPr="00E1379C" w:rsidRDefault="00D53327" w:rsidP="009C6853">
      <w:pPr>
        <w:autoSpaceDE w:val="0"/>
        <w:autoSpaceDN w:val="0"/>
        <w:adjustRightInd w:val="0"/>
        <w:spacing w:line="360" w:lineRule="auto"/>
        <w:jc w:val="both"/>
        <w:rPr>
          <w:rFonts w:ascii="Palatino Linotype" w:eastAsiaTheme="minorHAnsi" w:hAnsi="Palatino Linotype" w:cs="Arial"/>
          <w:lang w:val="es-MX" w:eastAsia="en-US"/>
        </w:rPr>
      </w:pPr>
    </w:p>
    <w:p w:rsidR="00D53327" w:rsidRPr="00E1379C" w:rsidRDefault="00723B5A" w:rsidP="00D53327">
      <w:pPr>
        <w:autoSpaceDE w:val="0"/>
        <w:autoSpaceDN w:val="0"/>
        <w:adjustRightInd w:val="0"/>
        <w:spacing w:line="360" w:lineRule="auto"/>
        <w:jc w:val="both"/>
        <w:rPr>
          <w:rFonts w:ascii="Palatino Linotype" w:hAnsi="Palatino Linotype" w:cs="Arial"/>
          <w:b/>
          <w:sz w:val="28"/>
        </w:rPr>
      </w:pPr>
      <w:r w:rsidRPr="00E1379C">
        <w:rPr>
          <w:rFonts w:ascii="Palatino Linotype" w:hAnsi="Palatino Linotype" w:cs="Arial"/>
          <w:b/>
          <w:sz w:val="28"/>
        </w:rPr>
        <w:t>CUART</w:t>
      </w:r>
      <w:r w:rsidR="00D53327" w:rsidRPr="00E1379C">
        <w:rPr>
          <w:rFonts w:ascii="Palatino Linotype" w:hAnsi="Palatino Linotype" w:cs="Arial"/>
          <w:b/>
          <w:sz w:val="28"/>
        </w:rPr>
        <w:t>O. Del estudio de las causas de improcedencia y sobreseimiento.</w:t>
      </w:r>
    </w:p>
    <w:p w:rsidR="00D53327" w:rsidRPr="00E1379C" w:rsidRDefault="00D53327" w:rsidP="00D53327">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rsidR="00D53327" w:rsidRPr="00E1379C" w:rsidRDefault="00D53327" w:rsidP="00D53327">
      <w:pPr>
        <w:autoSpaceDE w:val="0"/>
        <w:autoSpaceDN w:val="0"/>
        <w:adjustRightInd w:val="0"/>
        <w:spacing w:line="360" w:lineRule="auto"/>
        <w:jc w:val="both"/>
        <w:rPr>
          <w:rFonts w:ascii="Palatino Linotype" w:hAnsi="Palatino Linotype" w:cs="Arial"/>
        </w:rPr>
      </w:pPr>
    </w:p>
    <w:p w:rsidR="00D53327" w:rsidRPr="00E1379C" w:rsidRDefault="00D53327" w:rsidP="00D53327">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w:t>
      </w:r>
    </w:p>
    <w:p w:rsidR="00D53327" w:rsidRPr="00E1379C" w:rsidRDefault="00D53327" w:rsidP="00D53327">
      <w:pPr>
        <w:autoSpaceDE w:val="0"/>
        <w:autoSpaceDN w:val="0"/>
        <w:adjustRightInd w:val="0"/>
        <w:spacing w:line="360" w:lineRule="auto"/>
        <w:jc w:val="both"/>
        <w:rPr>
          <w:rFonts w:ascii="Palatino Linotype" w:hAnsi="Palatino Linotype" w:cs="Arial"/>
        </w:rPr>
      </w:pPr>
    </w:p>
    <w:p w:rsidR="00D53327" w:rsidRPr="00E1379C" w:rsidRDefault="00D53327" w:rsidP="00D53327">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lastRenderedPageBreak/>
        <w:t>Estudio de causales de improcedencia que no son incompatibles con el derecho de acceso a la justicia, ya que éste no se coarta por regular causas de improcedencia y sobreseimiento con tales fines</w:t>
      </w:r>
      <w:r w:rsidRPr="00E1379C">
        <w:rPr>
          <w:rFonts w:ascii="Palatino Linotype" w:hAnsi="Palatino Linotype" w:cs="Arial"/>
          <w:vertAlign w:val="superscript"/>
        </w:rPr>
        <w:footnoteReference w:id="1"/>
      </w:r>
      <w:r w:rsidRPr="00E1379C">
        <w:rPr>
          <w:rFonts w:ascii="Palatino Linotype" w:hAnsi="Palatino Linotype" w:cs="Arial"/>
        </w:rPr>
        <w:t>.</w:t>
      </w:r>
    </w:p>
    <w:p w:rsidR="00D53327" w:rsidRPr="00E1379C" w:rsidRDefault="00D53327" w:rsidP="00D53327">
      <w:pPr>
        <w:autoSpaceDE w:val="0"/>
        <w:autoSpaceDN w:val="0"/>
        <w:adjustRightInd w:val="0"/>
        <w:spacing w:line="360" w:lineRule="auto"/>
        <w:jc w:val="both"/>
        <w:rPr>
          <w:rFonts w:ascii="Palatino Linotype" w:eastAsiaTheme="minorHAnsi" w:hAnsi="Palatino Linotype" w:cs="Arial"/>
          <w:lang w:val="es-MX" w:eastAsia="en-US"/>
        </w:rPr>
      </w:pPr>
    </w:p>
    <w:p w:rsidR="00D53327" w:rsidRPr="00E1379C" w:rsidRDefault="00D53327" w:rsidP="00D53327">
      <w:pPr>
        <w:autoSpaceDE w:val="0"/>
        <w:autoSpaceDN w:val="0"/>
        <w:adjustRightInd w:val="0"/>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se le dé a las solicitudes de información, ya que el sujeto obligado puede considerar una circunstancia en particular diversa a la que el particular objetivamente requiere.</w:t>
      </w:r>
    </w:p>
    <w:p w:rsidR="00723B5A" w:rsidRPr="00E1379C" w:rsidRDefault="00723B5A" w:rsidP="00D53327">
      <w:pPr>
        <w:autoSpaceDE w:val="0"/>
        <w:autoSpaceDN w:val="0"/>
        <w:adjustRightInd w:val="0"/>
        <w:spacing w:line="360" w:lineRule="auto"/>
        <w:jc w:val="both"/>
        <w:rPr>
          <w:rFonts w:ascii="Palatino Linotype" w:hAnsi="Palatino Linotype" w:cs="Arial"/>
        </w:rPr>
      </w:pPr>
    </w:p>
    <w:p w:rsidR="00D53327" w:rsidRPr="00E1379C" w:rsidRDefault="00D53327" w:rsidP="00D53327">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lastRenderedPageBreak/>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rsidR="00D53327" w:rsidRPr="00E1379C" w:rsidRDefault="00D53327" w:rsidP="00D53327">
      <w:pPr>
        <w:autoSpaceDE w:val="0"/>
        <w:autoSpaceDN w:val="0"/>
        <w:adjustRightInd w:val="0"/>
        <w:spacing w:line="360" w:lineRule="auto"/>
        <w:jc w:val="both"/>
        <w:rPr>
          <w:rFonts w:ascii="Palatino Linotype" w:hAnsi="Palatino Linotype" w:cs="Arial"/>
        </w:rPr>
      </w:pPr>
    </w:p>
    <w:p w:rsidR="00D53327" w:rsidRPr="00E1379C" w:rsidRDefault="00D53327" w:rsidP="00D53327">
      <w:pPr>
        <w:tabs>
          <w:tab w:val="left" w:pos="709"/>
        </w:tabs>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rsidR="009602BA" w:rsidRPr="00E1379C" w:rsidRDefault="009602BA" w:rsidP="00D53327">
      <w:pPr>
        <w:tabs>
          <w:tab w:val="left" w:pos="709"/>
        </w:tabs>
        <w:spacing w:line="360" w:lineRule="auto"/>
        <w:jc w:val="both"/>
        <w:rPr>
          <w:rFonts w:ascii="Palatino Linotype" w:eastAsiaTheme="minorHAnsi" w:hAnsi="Palatino Linotype" w:cs="Arial"/>
          <w:lang w:val="es-MX" w:eastAsia="en-US"/>
        </w:rPr>
      </w:pPr>
    </w:p>
    <w:p w:rsidR="009602BA" w:rsidRPr="00E1379C" w:rsidRDefault="009602BA" w:rsidP="009602BA">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color w:val="000000" w:themeColor="text1"/>
        </w:rPr>
        <w:t xml:space="preserve">Como señalamos en el antecedente </w:t>
      </w:r>
      <w:r w:rsidRPr="00E1379C">
        <w:rPr>
          <w:rFonts w:ascii="Palatino Linotype" w:hAnsi="Palatino Linotype" w:cs="Arial"/>
          <w:b/>
        </w:rPr>
        <w:t>PRIMERO</w:t>
      </w:r>
      <w:r w:rsidRPr="00E1379C">
        <w:rPr>
          <w:rFonts w:ascii="Palatino Linotype" w:hAnsi="Palatino Linotype" w:cs="Arial"/>
        </w:rPr>
        <w:t xml:space="preserve">; en fecha </w:t>
      </w:r>
      <w:r w:rsidR="00723B5A" w:rsidRPr="00E1379C">
        <w:rPr>
          <w:rFonts w:ascii="Palatino Linotype" w:hAnsi="Palatino Linotype" w:cs="Arial"/>
        </w:rPr>
        <w:t>quince de agosto</w:t>
      </w:r>
      <w:r w:rsidRPr="00E1379C">
        <w:rPr>
          <w:rFonts w:ascii="Palatino Linotype" w:hAnsi="Palatino Linotype" w:cs="Arial"/>
        </w:rPr>
        <w:t xml:space="preserve"> de dos mil veintidós, el </w:t>
      </w:r>
      <w:r w:rsidRPr="00E1379C">
        <w:rPr>
          <w:rFonts w:ascii="Palatino Linotype" w:hAnsi="Palatino Linotype" w:cs="Arial"/>
          <w:b/>
        </w:rPr>
        <w:t>Recurrente</w:t>
      </w:r>
      <w:r w:rsidRPr="00E1379C">
        <w:rPr>
          <w:rFonts w:ascii="Palatino Linotype" w:hAnsi="Palatino Linotype" w:cs="Arial"/>
        </w:rPr>
        <w:t xml:space="preserve"> </w:t>
      </w:r>
      <w:r w:rsidRPr="00E1379C">
        <w:rPr>
          <w:rFonts w:ascii="Palatino Linotype" w:hAnsi="Palatino Linotype" w:cs="Arial"/>
          <w:color w:val="000000" w:themeColor="text1"/>
        </w:rPr>
        <w:t>realizó</w:t>
      </w:r>
      <w:r w:rsidRPr="00E1379C">
        <w:rPr>
          <w:rFonts w:ascii="Palatino Linotype" w:hAnsi="Palatino Linotype" w:cs="Arial"/>
          <w:b/>
          <w:color w:val="000000" w:themeColor="text1"/>
        </w:rPr>
        <w:t xml:space="preserve"> </w:t>
      </w:r>
      <w:r w:rsidRPr="00E1379C">
        <w:rPr>
          <w:rFonts w:ascii="Palatino Linotype" w:hAnsi="Palatino Linotype" w:cs="Arial"/>
          <w:color w:val="000000" w:themeColor="text1"/>
        </w:rPr>
        <w:t>la solicitud de acceso a la información con folio</w:t>
      </w:r>
      <w:r w:rsidRPr="00E1379C">
        <w:rPr>
          <w:rFonts w:ascii="Palatino Linotype" w:hAnsi="Palatino Linotype" w:cs="Arial"/>
          <w:b/>
        </w:rPr>
        <w:t xml:space="preserve"> </w:t>
      </w:r>
      <w:r w:rsidR="00723B5A" w:rsidRPr="00E1379C">
        <w:rPr>
          <w:rFonts w:ascii="Palatino Linotype" w:hAnsi="Palatino Linotype" w:cs="Arial"/>
          <w:b/>
        </w:rPr>
        <w:t>04242/METEPEC/IP/2022</w:t>
      </w:r>
      <w:r w:rsidRPr="00E1379C">
        <w:rPr>
          <w:rFonts w:ascii="Palatino Linotype" w:hAnsi="Palatino Linotype" w:cs="Arial"/>
          <w:lang w:eastAsia="es-MX"/>
        </w:rPr>
        <w:t>,</w:t>
      </w:r>
      <w:r w:rsidRPr="00E1379C">
        <w:rPr>
          <w:rFonts w:ascii="Palatino Linotype" w:hAnsi="Palatino Linotype" w:cs="Arial"/>
          <w:b/>
          <w:lang w:eastAsia="es-MX"/>
        </w:rPr>
        <w:t xml:space="preserve"> </w:t>
      </w:r>
      <w:r w:rsidRPr="00E1379C">
        <w:rPr>
          <w:rFonts w:ascii="Palatino Linotype" w:hAnsi="Palatino Linotype" w:cs="Arial"/>
        </w:rPr>
        <w:t>requiriendo lo siguiente:</w:t>
      </w:r>
    </w:p>
    <w:p w:rsidR="009602BA" w:rsidRPr="00E1379C" w:rsidRDefault="009602BA" w:rsidP="009602BA">
      <w:pPr>
        <w:autoSpaceDE w:val="0"/>
        <w:autoSpaceDN w:val="0"/>
        <w:adjustRightInd w:val="0"/>
        <w:spacing w:line="360" w:lineRule="auto"/>
        <w:jc w:val="both"/>
        <w:rPr>
          <w:rFonts w:ascii="Palatino Linotype" w:hAnsi="Palatino Linotype" w:cs="Arial"/>
        </w:rPr>
      </w:pPr>
    </w:p>
    <w:p w:rsidR="009602BA" w:rsidRPr="00E1379C" w:rsidRDefault="00723B5A" w:rsidP="00723B5A">
      <w:pPr>
        <w:pStyle w:val="Prrafodelista"/>
        <w:numPr>
          <w:ilvl w:val="0"/>
          <w:numId w:val="15"/>
        </w:num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En formato PDF, la última Balanza de Comprobación Detallada acumulada trimestral de este Municipio.</w:t>
      </w:r>
    </w:p>
    <w:p w:rsidR="009602BA" w:rsidRPr="00E1379C" w:rsidRDefault="009602BA" w:rsidP="009602BA">
      <w:pPr>
        <w:rPr>
          <w:rFonts w:asciiTheme="minorHAnsi" w:eastAsiaTheme="minorHAnsi" w:hAnsiTheme="minorHAnsi" w:cstheme="minorBidi"/>
          <w:sz w:val="22"/>
          <w:szCs w:val="22"/>
          <w:lang w:val="es-MX" w:eastAsia="en-US"/>
        </w:rPr>
      </w:pPr>
    </w:p>
    <w:p w:rsidR="009602BA" w:rsidRPr="00E1379C" w:rsidRDefault="009602BA" w:rsidP="009602BA">
      <w:pPr>
        <w:spacing w:line="360" w:lineRule="auto"/>
        <w:jc w:val="both"/>
        <w:rPr>
          <w:rFonts w:ascii="Palatino Linotype" w:eastAsiaTheme="minorHAnsi" w:hAnsi="Palatino Linotype" w:cs="TimesNewRomanPS-ItalicMT"/>
          <w:iCs/>
          <w:lang w:val="es-MX" w:eastAsia="en-US"/>
        </w:rPr>
      </w:pPr>
      <w:r w:rsidRPr="00E1379C">
        <w:rPr>
          <w:rFonts w:ascii="Palatino Linotype" w:eastAsiaTheme="minorHAnsi" w:hAnsi="Palatino Linotype" w:cs="TimesNewRomanPS-ItalicMT"/>
          <w:iCs/>
          <w:lang w:val="es-MX" w:eastAsia="en-US"/>
        </w:rPr>
        <w:t xml:space="preserve">En vista de lo anterior, el </w:t>
      </w:r>
      <w:r w:rsidRPr="00E1379C">
        <w:rPr>
          <w:rFonts w:ascii="Palatino Linotype" w:eastAsiaTheme="minorHAnsi" w:hAnsi="Palatino Linotype" w:cs="TimesNewRomanPS-ItalicMT"/>
          <w:b/>
          <w:iCs/>
          <w:lang w:val="es-MX" w:eastAsia="en-US"/>
        </w:rPr>
        <w:t>Sujeto Obligado</w:t>
      </w:r>
      <w:r w:rsidRPr="00E1379C">
        <w:rPr>
          <w:rFonts w:ascii="Palatino Linotype" w:eastAsiaTheme="minorHAnsi" w:hAnsi="Palatino Linotype" w:cs="TimesNewRomanPS-ItalicMT"/>
          <w:iCs/>
          <w:lang w:val="es-MX" w:eastAsia="en-US"/>
        </w:rPr>
        <w:t xml:space="preserve"> mediante </w:t>
      </w:r>
      <w:r w:rsidRPr="00E1379C">
        <w:rPr>
          <w:rFonts w:ascii="Palatino Linotype" w:eastAsiaTheme="minorHAnsi" w:hAnsi="Palatino Linotype" w:cs="Arial"/>
          <w:lang w:val="es-MX" w:eastAsia="en-US"/>
        </w:rPr>
        <w:t xml:space="preserve">el archivo denominado </w:t>
      </w:r>
      <w:r w:rsidRPr="00E1379C">
        <w:rPr>
          <w:rFonts w:ascii="Palatino Linotype" w:eastAsiaTheme="minorHAnsi" w:hAnsi="Palatino Linotype" w:cs="Arial"/>
          <w:i/>
          <w:sz w:val="22"/>
          <w:szCs w:val="22"/>
          <w:lang w:val="es-MX" w:eastAsia="en-US"/>
        </w:rPr>
        <w:t>“</w:t>
      </w:r>
      <w:r w:rsidR="00723B5A" w:rsidRPr="00E1379C">
        <w:rPr>
          <w:rFonts w:ascii="Palatino Linotype" w:eastAsiaTheme="minorHAnsi" w:hAnsi="Palatino Linotype" w:cs="Arial"/>
          <w:i/>
          <w:sz w:val="22"/>
          <w:szCs w:val="22"/>
          <w:lang w:val="es-MX" w:eastAsia="en-US"/>
        </w:rPr>
        <w:t>4242.pdf</w:t>
      </w:r>
      <w:r w:rsidRPr="00E1379C">
        <w:rPr>
          <w:rFonts w:ascii="Palatino Linotype" w:eastAsiaTheme="minorHAnsi" w:hAnsi="Palatino Linotype" w:cs="Arial"/>
          <w:i/>
          <w:sz w:val="22"/>
          <w:szCs w:val="22"/>
          <w:lang w:val="es-MX" w:eastAsia="en-US"/>
        </w:rPr>
        <w:t xml:space="preserve">”; </w:t>
      </w:r>
      <w:r w:rsidRPr="00E1379C">
        <w:rPr>
          <w:rFonts w:ascii="Palatino Linotype" w:eastAsiaTheme="minorHAnsi" w:hAnsi="Palatino Linotype" w:cs="TimesNewRomanPS-ItalicMT"/>
          <w:iCs/>
          <w:lang w:val="es-MX" w:eastAsia="en-US"/>
        </w:rPr>
        <w:t>remitió su respuesta, el cual, constan en lo siguiente:</w:t>
      </w:r>
    </w:p>
    <w:p w:rsidR="009602BA" w:rsidRPr="00E1379C" w:rsidRDefault="009602BA" w:rsidP="009602BA">
      <w:pPr>
        <w:spacing w:line="360" w:lineRule="auto"/>
        <w:jc w:val="both"/>
        <w:rPr>
          <w:rFonts w:ascii="Palatino Linotype" w:eastAsiaTheme="minorHAnsi" w:hAnsi="Palatino Linotype" w:cs="TimesNewRomanPS-ItalicMT"/>
          <w:iCs/>
          <w:lang w:val="es-MX" w:eastAsia="en-US"/>
        </w:rPr>
      </w:pPr>
    </w:p>
    <w:tbl>
      <w:tblPr>
        <w:tblStyle w:val="Tabladecuadrcula5oscur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21"/>
        <w:gridCol w:w="4823"/>
        <w:gridCol w:w="2027"/>
      </w:tblGrid>
      <w:tr w:rsidR="00900615" w:rsidRPr="00E1379C" w:rsidTr="00723B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right w:val="none" w:sz="0" w:space="0" w:color="auto"/>
            </w:tcBorders>
            <w:shd w:val="clear" w:color="auto" w:fill="D9D9D9" w:themeFill="background1" w:themeFillShade="D9"/>
            <w:vAlign w:val="center"/>
          </w:tcPr>
          <w:p w:rsidR="009602BA" w:rsidRPr="00E1379C" w:rsidRDefault="009602BA" w:rsidP="009602BA">
            <w:pPr>
              <w:jc w:val="center"/>
              <w:rPr>
                <w:rFonts w:ascii="Palatino Linotype" w:eastAsiaTheme="minorHAnsi" w:hAnsi="Palatino Linotype" w:cs="TimesNewRomanPS-ItalicMT"/>
                <w:iCs/>
                <w:color w:val="auto"/>
                <w:lang w:val="es-MX" w:eastAsia="en-US"/>
              </w:rPr>
            </w:pPr>
            <w:r w:rsidRPr="00E1379C">
              <w:rPr>
                <w:rFonts w:ascii="Palatino Linotype" w:eastAsiaTheme="minorHAnsi" w:hAnsi="Palatino Linotype" w:cs="TimesNewRomanPS-ItalicMT"/>
                <w:iCs/>
                <w:color w:val="auto"/>
                <w:lang w:val="es-MX" w:eastAsia="en-US"/>
              </w:rPr>
              <w:t>Solicitud de Información</w:t>
            </w:r>
          </w:p>
        </w:tc>
        <w:tc>
          <w:tcPr>
            <w:tcW w:w="4854" w:type="dxa"/>
            <w:tcBorders>
              <w:top w:val="none" w:sz="0" w:space="0" w:color="auto"/>
              <w:left w:val="none" w:sz="0" w:space="0" w:color="auto"/>
              <w:right w:val="none" w:sz="0" w:space="0" w:color="auto"/>
            </w:tcBorders>
            <w:shd w:val="clear" w:color="auto" w:fill="D9D9D9" w:themeFill="background1" w:themeFillShade="D9"/>
            <w:vAlign w:val="center"/>
          </w:tcPr>
          <w:p w:rsidR="009602BA" w:rsidRPr="00E1379C" w:rsidRDefault="009602BA" w:rsidP="009602B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E1379C">
              <w:rPr>
                <w:rFonts w:ascii="Palatino Linotype" w:eastAsiaTheme="minorHAnsi" w:hAnsi="Palatino Linotype" w:cs="TimesNewRomanPS-ItalicMT"/>
                <w:iCs/>
                <w:color w:val="auto"/>
                <w:lang w:val="es-MX" w:eastAsia="en-US"/>
              </w:rPr>
              <w:t>Respuesta</w:t>
            </w:r>
          </w:p>
        </w:tc>
        <w:tc>
          <w:tcPr>
            <w:tcW w:w="2029" w:type="dxa"/>
            <w:tcBorders>
              <w:top w:val="none" w:sz="0" w:space="0" w:color="auto"/>
              <w:left w:val="none" w:sz="0" w:space="0" w:color="auto"/>
              <w:right w:val="none" w:sz="0" w:space="0" w:color="auto"/>
            </w:tcBorders>
            <w:shd w:val="clear" w:color="auto" w:fill="D9D9D9" w:themeFill="background1" w:themeFillShade="D9"/>
            <w:vAlign w:val="center"/>
          </w:tcPr>
          <w:p w:rsidR="009602BA" w:rsidRPr="00E1379C" w:rsidRDefault="009602BA" w:rsidP="009602B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E1379C">
              <w:rPr>
                <w:rFonts w:ascii="Palatino Linotype" w:eastAsiaTheme="minorHAnsi" w:hAnsi="Palatino Linotype" w:cs="TimesNewRomanPS-ItalicMT"/>
                <w:iCs/>
                <w:color w:val="auto"/>
                <w:lang w:val="es-MX" w:eastAsia="en-US"/>
              </w:rPr>
              <w:t>Cumplimiento</w:t>
            </w:r>
          </w:p>
        </w:tc>
      </w:tr>
      <w:tr w:rsidR="00900615" w:rsidRPr="00E1379C" w:rsidTr="00723B5A">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28" w:type="dxa"/>
            <w:tcBorders>
              <w:left w:val="none" w:sz="0" w:space="0" w:color="auto"/>
              <w:bottom w:val="none" w:sz="0" w:space="0" w:color="auto"/>
            </w:tcBorders>
            <w:shd w:val="clear" w:color="auto" w:fill="auto"/>
            <w:vAlign w:val="center"/>
          </w:tcPr>
          <w:p w:rsidR="009602BA" w:rsidRPr="00E1379C" w:rsidRDefault="00723B5A" w:rsidP="00900615">
            <w:pPr>
              <w:jc w:val="both"/>
              <w:rPr>
                <w:rFonts w:ascii="Palatino Linotype" w:eastAsiaTheme="minorHAnsi" w:hAnsi="Palatino Linotype" w:cs="TimesNewRomanPS-ItalicMT"/>
                <w:b w:val="0"/>
                <w:iCs/>
                <w:color w:val="auto"/>
                <w:sz w:val="20"/>
                <w:lang w:val="es-MX" w:eastAsia="en-US"/>
              </w:rPr>
            </w:pPr>
            <w:r w:rsidRPr="00E1379C">
              <w:rPr>
                <w:rFonts w:ascii="Palatino Linotype" w:eastAsiaTheme="minorHAnsi" w:hAnsi="Palatino Linotype" w:cs="TimesNewRomanPS-ItalicMT"/>
                <w:b w:val="0"/>
                <w:iCs/>
                <w:color w:val="auto"/>
                <w:sz w:val="20"/>
                <w:lang w:val="es-MX" w:eastAsia="en-US"/>
              </w:rPr>
              <w:t>En formato PDF, la última Balanza de Comprobación Detallada acumulada trimestral</w:t>
            </w:r>
          </w:p>
        </w:tc>
        <w:tc>
          <w:tcPr>
            <w:tcW w:w="4854" w:type="dxa"/>
            <w:shd w:val="clear" w:color="auto" w:fill="FFFFFF" w:themeFill="background1"/>
            <w:vAlign w:val="center"/>
          </w:tcPr>
          <w:p w:rsidR="00614A53" w:rsidRPr="00E1379C" w:rsidRDefault="00137D13" w:rsidP="00137D13">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E1379C">
              <w:rPr>
                <w:rFonts w:ascii="Palatino Linotype" w:eastAsiaTheme="minorHAnsi" w:hAnsi="Palatino Linotype" w:cs="TimesNewRomanPS-ItalicMT"/>
                <w:iCs/>
                <w:sz w:val="22"/>
                <w:lang w:val="es-MX" w:eastAsia="en-US"/>
              </w:rPr>
              <w:t xml:space="preserve">El Servidor Público Habilitado de la Tesorería Municipal, mediante el oficio número TM/1976/2022, remitió la balanza de comprobación analítica acumulada trimestral, correspondiente al primer trimestre del año en curso, de conformidad con lo siguiente: </w:t>
            </w:r>
          </w:p>
        </w:tc>
        <w:tc>
          <w:tcPr>
            <w:tcW w:w="2029" w:type="dxa"/>
            <w:shd w:val="clear" w:color="auto" w:fill="FFFFFF" w:themeFill="background1"/>
            <w:vAlign w:val="center"/>
          </w:tcPr>
          <w:p w:rsidR="009602BA" w:rsidRPr="00E1379C" w:rsidRDefault="00900615" w:rsidP="009602B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E1379C">
              <w:rPr>
                <w:rFonts w:ascii="Palatino Linotype" w:eastAsiaTheme="minorHAnsi" w:hAnsi="Palatino Linotype" w:cs="TimesNewRomanPS-ItalicMT"/>
                <w:b/>
                <w:iCs/>
                <w:lang w:val="es-MX" w:eastAsia="en-US"/>
              </w:rPr>
              <w:t>Sí</w:t>
            </w:r>
          </w:p>
          <w:p w:rsidR="00137D13" w:rsidRPr="00E1379C" w:rsidRDefault="00137D13" w:rsidP="009602B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p>
          <w:p w:rsidR="00137D13" w:rsidRPr="00E1379C" w:rsidRDefault="00137D13" w:rsidP="00137D13">
            <w:pPr>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val="es-MX" w:eastAsia="en-US"/>
              </w:rPr>
            </w:pPr>
            <w:r w:rsidRPr="00E1379C">
              <w:rPr>
                <w:rFonts w:ascii="Palatino Linotype" w:eastAsiaTheme="minorHAnsi" w:hAnsi="Palatino Linotype" w:cs="TimesNewRomanPS-ItalicMT"/>
                <w:i/>
                <w:iCs/>
                <w:sz w:val="18"/>
                <w:lang w:val="es-MX" w:eastAsia="en-US"/>
              </w:rPr>
              <w:t>(El particular no impugnó la respuesta, por lo que se considera como “Actos Consentidos”.)</w:t>
            </w:r>
          </w:p>
        </w:tc>
      </w:tr>
    </w:tbl>
    <w:p w:rsidR="00137D13" w:rsidRPr="00E1379C" w:rsidRDefault="00137D13" w:rsidP="009602BA">
      <w:pPr>
        <w:spacing w:line="360" w:lineRule="auto"/>
        <w:jc w:val="both"/>
        <w:rPr>
          <w:rFonts w:ascii="Palatino Linotype" w:hAnsi="Palatino Linotype" w:cs="Arial"/>
        </w:rPr>
      </w:pPr>
      <w:r w:rsidRPr="00E1379C">
        <w:rPr>
          <w:rFonts w:ascii="Palatino Linotype" w:hAnsi="Palatino Linotype" w:cs="Arial"/>
          <w:noProof/>
          <w:lang w:val="es-MX" w:eastAsia="es-MX"/>
        </w:rPr>
        <w:lastRenderedPageBreak/>
        <w:drawing>
          <wp:inline distT="0" distB="0" distL="0" distR="0">
            <wp:extent cx="5780405" cy="3267710"/>
            <wp:effectExtent l="190500" t="190500" r="182245" b="19939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80405" cy="3267710"/>
                    </a:xfrm>
                    <a:prstGeom prst="rect">
                      <a:avLst/>
                    </a:prstGeom>
                    <a:ln>
                      <a:noFill/>
                    </a:ln>
                    <a:effectLst>
                      <a:outerShdw blurRad="190500" algn="tl" rotWithShape="0">
                        <a:srgbClr val="000000">
                          <a:alpha val="70000"/>
                        </a:srgbClr>
                      </a:outerShdw>
                    </a:effectLst>
                  </pic:spPr>
                </pic:pic>
              </a:graphicData>
            </a:graphic>
          </wp:inline>
        </w:drawing>
      </w:r>
    </w:p>
    <w:p w:rsidR="00137D13" w:rsidRPr="00E1379C" w:rsidRDefault="00137D13" w:rsidP="00137D13">
      <w:pPr>
        <w:shd w:val="clear" w:color="auto" w:fill="FFFFFF"/>
        <w:spacing w:line="360" w:lineRule="auto"/>
        <w:jc w:val="both"/>
        <w:rPr>
          <w:rFonts w:ascii="Palatino Linotype" w:hAnsi="Palatino Linotype"/>
          <w:color w:val="222222"/>
        </w:rPr>
      </w:pPr>
      <w:r w:rsidRPr="00E1379C">
        <w:rPr>
          <w:rFonts w:ascii="Palatino Linotype" w:hAnsi="Palatino Linotype"/>
          <w:color w:val="222222"/>
        </w:rPr>
        <w:t>En este sentido, debe dejarse claro que al haber existido un pronunciamiento por parte del </w:t>
      </w:r>
      <w:r w:rsidRPr="00E1379C">
        <w:rPr>
          <w:rFonts w:ascii="Palatino Linotype" w:hAnsi="Palatino Linotype"/>
          <w:b/>
          <w:bCs/>
          <w:color w:val="222222"/>
        </w:rPr>
        <w:t>Sujeto Obligado</w:t>
      </w:r>
      <w:r w:rsidRPr="00E1379C">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rsidR="00137D13" w:rsidRPr="00E1379C" w:rsidRDefault="00137D13" w:rsidP="00137D13">
      <w:pPr>
        <w:rPr>
          <w:lang w:val="es-MX"/>
        </w:rPr>
      </w:pPr>
    </w:p>
    <w:p w:rsidR="00137D13" w:rsidRPr="00E1379C" w:rsidRDefault="00137D13" w:rsidP="00137D13">
      <w:pPr>
        <w:shd w:val="clear" w:color="auto" w:fill="FFFFFF"/>
        <w:spacing w:line="221" w:lineRule="atLeast"/>
        <w:ind w:left="567" w:right="616"/>
        <w:jc w:val="both"/>
        <w:rPr>
          <w:color w:val="222222"/>
          <w:sz w:val="22"/>
        </w:rPr>
      </w:pPr>
      <w:r w:rsidRPr="00E1379C">
        <w:rPr>
          <w:rFonts w:ascii="Palatino Linotype" w:hAnsi="Palatino Linotype"/>
          <w:i/>
          <w:iCs/>
          <w:color w:val="222222"/>
          <w:sz w:val="22"/>
        </w:rPr>
        <w:t>“</w:t>
      </w:r>
      <w:r w:rsidRPr="00E1379C">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E1379C">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w:t>
      </w:r>
      <w:r w:rsidRPr="00E1379C">
        <w:rPr>
          <w:rFonts w:ascii="Palatino Linotype" w:hAnsi="Palatino Linotype"/>
          <w:i/>
          <w:iCs/>
          <w:color w:val="222222"/>
          <w:sz w:val="22"/>
        </w:rPr>
        <w:lastRenderedPageBreak/>
        <w:t>que permita al Instituto Federal de Acceso a la Información y Protección de Datos conocer, vía recurso revisión, al respecto.”</w:t>
      </w:r>
    </w:p>
    <w:p w:rsidR="00137D13" w:rsidRPr="00E1379C" w:rsidRDefault="00137D13" w:rsidP="009602BA">
      <w:pPr>
        <w:spacing w:line="360" w:lineRule="auto"/>
        <w:jc w:val="both"/>
        <w:rPr>
          <w:rFonts w:ascii="Palatino Linotype" w:hAnsi="Palatino Linotype" w:cs="Arial"/>
        </w:rPr>
      </w:pPr>
    </w:p>
    <w:p w:rsidR="009602BA" w:rsidRPr="00E1379C" w:rsidRDefault="009602BA" w:rsidP="009602BA">
      <w:pPr>
        <w:spacing w:line="360" w:lineRule="auto"/>
        <w:jc w:val="both"/>
        <w:rPr>
          <w:rFonts w:ascii="Palatino Linotype" w:eastAsiaTheme="minorHAnsi" w:hAnsi="Palatino Linotype" w:cs="TimesNewRomanPS-ItalicMT"/>
          <w:iCs/>
          <w:lang w:val="es-MX" w:eastAsia="en-US"/>
        </w:rPr>
      </w:pPr>
      <w:r w:rsidRPr="00E1379C">
        <w:rPr>
          <w:rFonts w:ascii="Palatino Linotype" w:hAnsi="Palatino Linotype" w:cs="Arial"/>
        </w:rPr>
        <w:t xml:space="preserve">Por lo que, inconforme con la respuesta emitida por parte del </w:t>
      </w:r>
      <w:r w:rsidRPr="00E1379C">
        <w:rPr>
          <w:rFonts w:ascii="Palatino Linotype" w:hAnsi="Palatino Linotype" w:cs="Arial"/>
          <w:b/>
        </w:rPr>
        <w:t>Sujeto Obligado</w:t>
      </w:r>
      <w:r w:rsidRPr="00E1379C">
        <w:rPr>
          <w:rFonts w:ascii="Palatino Linotype" w:hAnsi="Palatino Linotype" w:cs="Arial"/>
        </w:rPr>
        <w:t xml:space="preserve">, </w:t>
      </w:r>
      <w:r w:rsidR="0058348E" w:rsidRPr="00E1379C">
        <w:rPr>
          <w:rFonts w:ascii="Palatino Linotype" w:hAnsi="Palatino Linotype" w:cs="Arial"/>
          <w:b/>
        </w:rPr>
        <w:t>El</w:t>
      </w:r>
      <w:r w:rsidRPr="00E1379C">
        <w:rPr>
          <w:rFonts w:ascii="Palatino Linotype" w:hAnsi="Palatino Linotype" w:cs="Arial"/>
          <w:b/>
        </w:rPr>
        <w:t xml:space="preserve"> Recurrente </w:t>
      </w:r>
      <w:r w:rsidRPr="00E1379C">
        <w:rPr>
          <w:rFonts w:ascii="Palatino Linotype" w:hAnsi="Palatino Linotype" w:cs="Arial"/>
        </w:rPr>
        <w:t>interpuso el presente recurso de revisión, señalando como sus Razones o Motivos de la Inconformidad, lo siguiente:</w:t>
      </w:r>
      <w:r w:rsidRPr="00E1379C">
        <w:rPr>
          <w:rFonts w:ascii="Palatino Linotype" w:eastAsiaTheme="minorHAnsi" w:hAnsi="Palatino Linotype" w:cs="TimesNewRomanPS-ItalicMT"/>
          <w:iCs/>
          <w:lang w:val="es-MX" w:eastAsia="en-US"/>
        </w:rPr>
        <w:t xml:space="preserve"> </w:t>
      </w:r>
      <w:r w:rsidRPr="00E1379C">
        <w:rPr>
          <w:rFonts w:ascii="Palatino Linotype" w:eastAsiaTheme="minorHAnsi" w:hAnsi="Palatino Linotype" w:cstheme="minorBidi"/>
          <w:i/>
          <w:color w:val="000000"/>
          <w:szCs w:val="22"/>
          <w:lang w:val="es-MX" w:eastAsia="en-US"/>
        </w:rPr>
        <w:t>“</w:t>
      </w:r>
      <w:r w:rsidR="00137D13" w:rsidRPr="00E1379C">
        <w:rPr>
          <w:rFonts w:ascii="Palatino Linotype" w:eastAsiaTheme="minorHAnsi" w:hAnsi="Palatino Linotype" w:cstheme="minorBidi"/>
          <w:i/>
          <w:color w:val="000000"/>
          <w:szCs w:val="22"/>
          <w:lang w:val="es-MX" w:eastAsia="en-US"/>
        </w:rPr>
        <w:t>el sujeto obligado no me notifica el acta con la cual se autoriza la prórroga para dar contestación</w:t>
      </w:r>
      <w:r w:rsidRPr="00E1379C">
        <w:rPr>
          <w:rFonts w:ascii="Palatino Linotype" w:eastAsiaTheme="minorHAnsi" w:hAnsi="Palatino Linotype" w:cstheme="minorBidi"/>
          <w:i/>
          <w:color w:val="000000"/>
          <w:szCs w:val="22"/>
          <w:lang w:val="es-MX" w:eastAsia="en-US"/>
        </w:rPr>
        <w:t>" [Sic].</w:t>
      </w:r>
    </w:p>
    <w:p w:rsidR="001B1DE5" w:rsidRPr="00E1379C" w:rsidRDefault="001B1DE5" w:rsidP="009602BA">
      <w:pPr>
        <w:autoSpaceDE w:val="0"/>
        <w:autoSpaceDN w:val="0"/>
        <w:adjustRightInd w:val="0"/>
        <w:spacing w:line="360" w:lineRule="auto"/>
        <w:jc w:val="both"/>
        <w:rPr>
          <w:rFonts w:ascii="Palatino Linotype" w:hAnsi="Palatino Linotype" w:cs="Arial"/>
          <w:lang w:eastAsia="es-MX"/>
        </w:rPr>
      </w:pPr>
    </w:p>
    <w:p w:rsidR="003408DD" w:rsidRPr="00E1379C" w:rsidRDefault="003408DD" w:rsidP="003408DD">
      <w:pPr>
        <w:spacing w:line="360" w:lineRule="auto"/>
        <w:jc w:val="both"/>
        <w:rPr>
          <w:rFonts w:ascii="Palatino Linotype" w:hAnsi="Palatino Linotype" w:cs="Arial"/>
          <w:lang w:eastAsia="es-MX"/>
        </w:rPr>
      </w:pPr>
      <w:r w:rsidRPr="00E1379C">
        <w:rPr>
          <w:rFonts w:ascii="Palatino Linotype" w:hAnsi="Palatino Linotype" w:cs="Arial"/>
        </w:rPr>
        <w:t xml:space="preserve">Derivado de lo anterior, se colige que el </w:t>
      </w:r>
      <w:r w:rsidRPr="00E1379C">
        <w:rPr>
          <w:rFonts w:ascii="Palatino Linotype" w:hAnsi="Palatino Linotype" w:cs="Arial"/>
          <w:b/>
        </w:rPr>
        <w:t>Recurrente</w:t>
      </w:r>
      <w:r w:rsidRPr="00E1379C">
        <w:rPr>
          <w:rFonts w:ascii="Palatino Linotype" w:hAnsi="Palatino Linotype" w:cs="Arial"/>
        </w:rPr>
        <w:t xml:space="preserve"> está parcialmente conforme con la respuesta emitida por </w:t>
      </w:r>
      <w:r w:rsidRPr="00E1379C">
        <w:rPr>
          <w:rFonts w:ascii="Palatino Linotype" w:hAnsi="Palatino Linotype" w:cs="Arial"/>
          <w:b/>
        </w:rPr>
        <w:t>El Sujeto Obligado</w:t>
      </w:r>
      <w:r w:rsidRPr="00E1379C">
        <w:rPr>
          <w:rFonts w:ascii="Palatino Linotype" w:hAnsi="Palatino Linotype" w:cs="Arial"/>
        </w:rPr>
        <w:t xml:space="preserve">, ya que expresamente manifestó en dichos motivos que se encuentra inconforme únicamente por la </w:t>
      </w:r>
      <w:r w:rsidRPr="00E1379C">
        <w:rPr>
          <w:rFonts w:ascii="Palatino Linotype" w:hAnsi="Palatino Linotype" w:cs="Arial"/>
          <w:b/>
          <w:u w:val="single"/>
        </w:rPr>
        <w:t>falta de la notificación el acta con la cual se autoriza la prórroga para dar contestación</w:t>
      </w:r>
      <w:r w:rsidRPr="00E1379C">
        <w:rPr>
          <w:rFonts w:ascii="Palatino Linotype" w:hAnsi="Palatino Linotype" w:cs="Arial"/>
        </w:rPr>
        <w:t xml:space="preserve">; y </w:t>
      </w:r>
      <w:r w:rsidRPr="00E1379C">
        <w:rPr>
          <w:rFonts w:ascii="Palatino Linotype" w:hAnsi="Palatino Linotype" w:cs="Arial"/>
          <w:lang w:eastAsia="es-MX"/>
        </w:rPr>
        <w:t xml:space="preserve">toda vez que </w:t>
      </w:r>
      <w:r w:rsidRPr="00E1379C">
        <w:rPr>
          <w:rFonts w:ascii="Palatino Linotype" w:hAnsi="Palatino Linotype" w:cs="Arial"/>
          <w:b/>
          <w:u w:val="single"/>
          <w:lang w:eastAsia="es-MX"/>
        </w:rPr>
        <w:t>no impugnó lo relativo a los demás puntos</w:t>
      </w:r>
      <w:r w:rsidRPr="00E1379C">
        <w:rPr>
          <w:rFonts w:ascii="Palatino Linotype" w:hAnsi="Palatino Linotype" w:cs="Arial"/>
          <w:lang w:eastAsia="es-MX"/>
        </w:rPr>
        <w:t xml:space="preserve">, dichas cuestiones se considera que la parte </w:t>
      </w:r>
      <w:r w:rsidRPr="00E1379C">
        <w:rPr>
          <w:rFonts w:ascii="Palatino Linotype" w:hAnsi="Palatino Linotype" w:cs="Arial"/>
          <w:b/>
          <w:lang w:eastAsia="es-MX"/>
        </w:rPr>
        <w:t>Recurrente</w:t>
      </w:r>
      <w:r w:rsidRPr="00E1379C">
        <w:rPr>
          <w:rFonts w:ascii="Palatino Linotype" w:hAnsi="Palatino Linotype" w:cs="Arial"/>
          <w:lang w:eastAsia="es-MX"/>
        </w:rPr>
        <w:t xml:space="preserve"> consintió parte de la respuesta otorgada. </w:t>
      </w:r>
    </w:p>
    <w:p w:rsidR="003408DD" w:rsidRPr="00E1379C" w:rsidRDefault="003408DD" w:rsidP="003408DD">
      <w:pPr>
        <w:spacing w:line="360" w:lineRule="auto"/>
        <w:jc w:val="both"/>
        <w:rPr>
          <w:rFonts w:ascii="Palatino Linotype" w:hAnsi="Palatino Linotype" w:cs="Arial"/>
          <w:lang w:eastAsia="es-MX"/>
        </w:rPr>
      </w:pPr>
    </w:p>
    <w:p w:rsidR="003408DD" w:rsidRPr="00E1379C" w:rsidRDefault="003408DD" w:rsidP="003408DD">
      <w:pPr>
        <w:spacing w:line="360" w:lineRule="auto"/>
        <w:jc w:val="both"/>
        <w:rPr>
          <w:rFonts w:ascii="Palatino Linotype" w:hAnsi="Palatino Linotype" w:cs="Arial"/>
        </w:rPr>
      </w:pPr>
      <w:r w:rsidRPr="00E1379C">
        <w:rPr>
          <w:rFonts w:ascii="Palatino Linotype" w:hAnsi="Palatino Linotype" w:cs="Arial"/>
          <w:lang w:eastAsia="es-MX"/>
        </w:rPr>
        <w:t>Lo anterior es así, debido a que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rsidR="003408DD" w:rsidRPr="00E1379C" w:rsidRDefault="003408DD" w:rsidP="003408DD">
      <w:pPr>
        <w:rPr>
          <w:lang w:val="es-MX"/>
        </w:rPr>
      </w:pPr>
    </w:p>
    <w:p w:rsidR="003408DD" w:rsidRPr="00E1379C" w:rsidRDefault="003408DD" w:rsidP="003408DD">
      <w:pPr>
        <w:ind w:left="567" w:right="567"/>
        <w:jc w:val="both"/>
        <w:rPr>
          <w:rFonts w:ascii="Palatino Linotype" w:hAnsi="Palatino Linotype" w:cs="Arial"/>
          <w:i/>
          <w:sz w:val="22"/>
          <w:szCs w:val="22"/>
          <w:lang w:eastAsia="es-MX"/>
        </w:rPr>
      </w:pPr>
      <w:r w:rsidRPr="00E1379C">
        <w:rPr>
          <w:rFonts w:ascii="Palatino Linotype" w:hAnsi="Palatino Linotype" w:cs="Arial"/>
          <w:sz w:val="22"/>
          <w:szCs w:val="22"/>
          <w:lang w:eastAsia="es-MX"/>
        </w:rPr>
        <w:t>“</w:t>
      </w:r>
      <w:r w:rsidRPr="00E1379C">
        <w:rPr>
          <w:rFonts w:ascii="Palatino Linotype" w:hAnsi="Palatino Linotype" w:cs="Arial"/>
          <w:b/>
          <w:i/>
          <w:sz w:val="22"/>
          <w:szCs w:val="22"/>
          <w:lang w:eastAsia="es-MX"/>
        </w:rPr>
        <w:t>REVISIÓN EN AMPARO. LOS RESOLUTIVOS NO COMBATIDOS DEBEN DECLARARSE FIRMES</w:t>
      </w:r>
      <w:r w:rsidRPr="00E1379C">
        <w:rPr>
          <w:rFonts w:ascii="Palatino Linotype" w:hAnsi="Palatino Linotype" w:cs="Arial"/>
          <w:i/>
          <w:sz w:val="22"/>
          <w:szCs w:val="22"/>
          <w:lang w:eastAsia="es-MX"/>
        </w:rPr>
        <w:t xml:space="preserve">.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w:t>
      </w:r>
      <w:r w:rsidRPr="00E1379C">
        <w:rPr>
          <w:rFonts w:ascii="Palatino Linotype" w:hAnsi="Palatino Linotype" w:cs="Arial"/>
          <w:i/>
          <w:sz w:val="22"/>
          <w:szCs w:val="22"/>
          <w:lang w:eastAsia="es-MX"/>
        </w:rPr>
        <w:lastRenderedPageBreak/>
        <w:t>debe reflejarse en la parte considerativa y en los resolutivos debe confirmarse la sentencia recurrida en la parte correspondiente.”</w:t>
      </w:r>
    </w:p>
    <w:p w:rsidR="003408DD" w:rsidRPr="00E1379C" w:rsidRDefault="003408DD" w:rsidP="003408DD">
      <w:pPr>
        <w:rPr>
          <w:lang w:val="es-MX" w:eastAsia="es-MX"/>
        </w:rPr>
      </w:pPr>
    </w:p>
    <w:p w:rsidR="003408DD" w:rsidRPr="00E1379C" w:rsidRDefault="003408DD" w:rsidP="003408DD">
      <w:pPr>
        <w:rPr>
          <w:sz w:val="14"/>
          <w:lang w:val="es-MX" w:eastAsia="es-MX"/>
        </w:rPr>
      </w:pPr>
    </w:p>
    <w:p w:rsidR="003408DD" w:rsidRPr="00E1379C" w:rsidRDefault="003408DD" w:rsidP="003408DD">
      <w:pPr>
        <w:spacing w:line="360" w:lineRule="auto"/>
        <w:jc w:val="both"/>
        <w:rPr>
          <w:rFonts w:ascii="Palatino Linotype" w:hAnsi="Palatino Linotype" w:cs="Arial"/>
          <w:lang w:eastAsia="es-MX"/>
        </w:rPr>
      </w:pPr>
      <w:r w:rsidRPr="00E1379C">
        <w:rPr>
          <w:rFonts w:ascii="Palatino Linotype" w:hAnsi="Palatino Linotype" w:cs="Arial"/>
          <w:lang w:eastAsia="es-MX"/>
        </w:rPr>
        <w:t xml:space="preserve">Así, la parte de la solicitud sobre la que no se expresó inconformidad, debe declararse consentida por el hoy </w:t>
      </w:r>
      <w:r w:rsidRPr="00E1379C">
        <w:rPr>
          <w:rFonts w:ascii="Palatino Linotype" w:hAnsi="Palatino Linotype" w:cs="Arial"/>
          <w:b/>
          <w:lang w:eastAsia="es-MX"/>
        </w:rPr>
        <w:t>Recurrente</w:t>
      </w:r>
      <w:r w:rsidRPr="00E1379C">
        <w:rPr>
          <w:rFonts w:ascii="Palatino Linotype" w:hAnsi="Palatino Linotype" w:cs="Arial"/>
          <w:lang w:eastAsia="es-MX"/>
        </w:rPr>
        <w:t>, ya que no pueden producirse efectos jurídicos tendentes a revocar, confirmar o modificar la parte de la respuesta con relación a la parte de la solicitud que no fue motivo de disenso ya que se infiere un consentimiento de la recurrente ante la falta de impugnación eficaz. Sirve de sustento a lo anterior, por analogía, la tesis jurisprudencial número VI.3o.C. J/60, publicada en el Semanario Judicial de la Federación y su Gaceta bajo el número de registro 176,608 que a la letra dice:</w:t>
      </w:r>
    </w:p>
    <w:p w:rsidR="003408DD" w:rsidRPr="00E1379C" w:rsidRDefault="003408DD" w:rsidP="003408DD">
      <w:pPr>
        <w:rPr>
          <w:lang w:val="es-MX" w:eastAsia="es-MX"/>
        </w:rPr>
      </w:pPr>
    </w:p>
    <w:p w:rsidR="003408DD" w:rsidRPr="00E1379C" w:rsidRDefault="003408DD" w:rsidP="003408DD">
      <w:pPr>
        <w:ind w:left="567" w:right="567"/>
        <w:jc w:val="both"/>
        <w:rPr>
          <w:rFonts w:ascii="Palatino Linotype" w:hAnsi="Palatino Linotype" w:cs="Arial"/>
          <w:i/>
          <w:sz w:val="22"/>
          <w:szCs w:val="22"/>
          <w:lang w:eastAsia="es-MX"/>
        </w:rPr>
      </w:pPr>
      <w:r w:rsidRPr="00E1379C">
        <w:rPr>
          <w:rFonts w:ascii="Palatino Linotype" w:hAnsi="Palatino Linotype" w:cs="Arial"/>
          <w:i/>
          <w:sz w:val="22"/>
          <w:szCs w:val="22"/>
          <w:lang w:eastAsia="es-MX"/>
        </w:rPr>
        <w:t>“</w:t>
      </w:r>
      <w:r w:rsidRPr="00E1379C">
        <w:rPr>
          <w:rFonts w:ascii="Palatino Linotype" w:hAnsi="Palatino Linotype" w:cs="Arial"/>
          <w:b/>
          <w:i/>
          <w:sz w:val="22"/>
          <w:szCs w:val="22"/>
          <w:lang w:eastAsia="es-MX"/>
        </w:rPr>
        <w:t>ACTOS CONSENTIDOS. SON LOS QUE NO SE IMPUGNAN MEDIANTE EL RECURSO IDÓNEO</w:t>
      </w:r>
      <w:r w:rsidRPr="00E1379C">
        <w:rPr>
          <w:rFonts w:ascii="Palatino Linotype" w:hAnsi="Palatino Linotype" w:cs="Arial"/>
          <w:i/>
          <w:sz w:val="22"/>
          <w:szCs w:val="22"/>
          <w:lang w:eastAsia="es-MX"/>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3408DD" w:rsidRPr="00E1379C" w:rsidRDefault="003408DD" w:rsidP="009602BA">
      <w:pPr>
        <w:autoSpaceDE w:val="0"/>
        <w:autoSpaceDN w:val="0"/>
        <w:adjustRightInd w:val="0"/>
        <w:spacing w:line="360" w:lineRule="auto"/>
        <w:jc w:val="both"/>
        <w:rPr>
          <w:rFonts w:ascii="Palatino Linotype" w:hAnsi="Palatino Linotype" w:cs="Arial"/>
        </w:rPr>
      </w:pPr>
    </w:p>
    <w:p w:rsidR="003408DD" w:rsidRPr="00E1379C" w:rsidRDefault="003408DD" w:rsidP="003408DD">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 xml:space="preserve">Asimismo, se advierte </w:t>
      </w:r>
      <w:r w:rsidRPr="00E1379C">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Pr="00E1379C">
        <w:rPr>
          <w:rFonts w:ascii="Palatino Linotype" w:hAnsi="Palatino Linotype"/>
          <w:lang w:val="es-MX"/>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rsidR="003408DD" w:rsidRPr="00E1379C" w:rsidRDefault="003408DD" w:rsidP="003408DD">
      <w:pPr>
        <w:rPr>
          <w:lang w:val="es-MX"/>
        </w:rPr>
      </w:pPr>
    </w:p>
    <w:p w:rsidR="003408DD" w:rsidRPr="00E1379C" w:rsidRDefault="003408DD" w:rsidP="003408DD">
      <w:pPr>
        <w:ind w:left="567" w:right="567"/>
        <w:jc w:val="both"/>
        <w:rPr>
          <w:rFonts w:ascii="Palatino Linotype" w:hAnsi="Palatino Linotype"/>
          <w:b/>
          <w:i/>
          <w:sz w:val="22"/>
          <w:lang w:val="es-MX"/>
        </w:rPr>
      </w:pPr>
      <w:r w:rsidRPr="00E1379C">
        <w:rPr>
          <w:rFonts w:ascii="Palatino Linotype" w:hAnsi="Palatino Linotype"/>
          <w:b/>
          <w:i/>
          <w:sz w:val="22"/>
          <w:lang w:val="es-MX"/>
        </w:rPr>
        <w:t>CONCEPTOS DE VIOLACIÓN O AGRAVIOS. SON INOPERANTES CUANDO LOS ARGUMENTOS EXPUESTOS POR EL QUEJOSO O EL RECURRENTE SON AMBIGUOS Y SUPERFICIALES.</w:t>
      </w:r>
    </w:p>
    <w:p w:rsidR="003408DD" w:rsidRPr="00E1379C" w:rsidRDefault="003408DD" w:rsidP="003408DD">
      <w:pPr>
        <w:ind w:left="567" w:right="567"/>
        <w:jc w:val="both"/>
        <w:rPr>
          <w:rFonts w:ascii="Palatino Linotype" w:hAnsi="Palatino Linotype"/>
          <w:i/>
          <w:sz w:val="22"/>
          <w:lang w:val="es-MX"/>
        </w:rPr>
      </w:pPr>
    </w:p>
    <w:p w:rsidR="003408DD" w:rsidRPr="00E1379C" w:rsidRDefault="003408DD" w:rsidP="003408DD">
      <w:pPr>
        <w:ind w:left="567" w:right="567"/>
        <w:jc w:val="both"/>
        <w:rPr>
          <w:rFonts w:ascii="Palatino Linotype" w:hAnsi="Palatino Linotype"/>
          <w:i/>
          <w:sz w:val="22"/>
          <w:lang w:val="es-MX"/>
        </w:rPr>
      </w:pPr>
      <w:r w:rsidRPr="00E1379C">
        <w:rPr>
          <w:rFonts w:ascii="Palatino Linotype" w:hAnsi="Palatino Linotype"/>
          <w:i/>
          <w:sz w:val="22"/>
          <w:lang w:val="es-MX"/>
        </w:rPr>
        <w:lastRenderedPageBreak/>
        <w:t xml:space="preserve">Los actos de autoridad y las sentencias están investidos de una presunción de validez que debe ser destruida. Por tanto, </w:t>
      </w:r>
      <w:r w:rsidRPr="00E1379C">
        <w:rPr>
          <w:rFonts w:ascii="Palatino Linotype" w:hAnsi="Palatino Linotype"/>
          <w:b/>
          <w:i/>
          <w:sz w:val="22"/>
          <w:u w:val="single"/>
          <w:lang w:val="es-MX"/>
        </w:rPr>
        <w:t>cuando lo expuesto por la parte quejosa o el recurrente es ambiguo y superficial, en tanto que no señala ni concreta algún razonamiento capaz de ser analizado, tal pretensión de invalidez es inatendible, en cuanto no logra construir y proponer la causa de pedir, en la medida que elude referirse al fundamento, razones decisorias o argumentos y al porqué de su reclamación</w:t>
      </w:r>
      <w:r w:rsidRPr="00E1379C">
        <w:rPr>
          <w:rFonts w:ascii="Palatino Linotype" w:hAnsi="Palatino Linotype"/>
          <w:i/>
          <w:sz w:val="22"/>
          <w:lang w:val="es-MX"/>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rsidR="003408DD" w:rsidRPr="00E1379C" w:rsidRDefault="003408DD" w:rsidP="003408DD">
      <w:pPr>
        <w:ind w:left="567" w:right="567"/>
        <w:jc w:val="both"/>
        <w:rPr>
          <w:rFonts w:ascii="Palatino Linotype" w:hAnsi="Palatino Linotype"/>
          <w:i/>
          <w:lang w:val="es-MX"/>
        </w:rPr>
      </w:pPr>
    </w:p>
    <w:p w:rsidR="003408DD" w:rsidRPr="00E1379C" w:rsidRDefault="003408DD" w:rsidP="003408DD">
      <w:pPr>
        <w:ind w:left="567" w:right="567"/>
        <w:jc w:val="both"/>
        <w:rPr>
          <w:rFonts w:ascii="Palatino Linotype" w:hAnsi="Palatino Linotype"/>
          <w:i/>
          <w:sz w:val="20"/>
          <w:lang w:val="es-MX"/>
        </w:rPr>
      </w:pPr>
      <w:r w:rsidRPr="00E1379C">
        <w:rPr>
          <w:rFonts w:ascii="Palatino Linotype" w:hAnsi="Palatino Linotype"/>
          <w:i/>
          <w:sz w:val="20"/>
          <w:lang w:val="es-MX"/>
        </w:rPr>
        <w:t>CUARTO TRIBUNAL COLEGIADO EN MATERIA ADMINISTRATIVA DEL PRIMER CIRCUITO.</w:t>
      </w:r>
    </w:p>
    <w:p w:rsidR="003408DD" w:rsidRPr="00E1379C" w:rsidRDefault="003408DD" w:rsidP="003408DD">
      <w:pPr>
        <w:ind w:left="567" w:right="567"/>
        <w:jc w:val="both"/>
        <w:rPr>
          <w:rFonts w:ascii="Palatino Linotype" w:hAnsi="Palatino Linotype"/>
          <w:i/>
          <w:sz w:val="20"/>
          <w:lang w:val="es-MX"/>
        </w:rPr>
      </w:pPr>
    </w:p>
    <w:p w:rsidR="003408DD" w:rsidRPr="00E1379C" w:rsidRDefault="003408DD" w:rsidP="003408DD">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en revisión 43/2006. Juan Silva Rodríguez y otros. 22 de febrero de 2006. Unanimidad de votos. Ponente: Jean Claude Tron Petit. Secretaria: Claudia Patricia Peraza Espinoza. </w:t>
      </w:r>
    </w:p>
    <w:p w:rsidR="003408DD" w:rsidRPr="00E1379C" w:rsidRDefault="003408DD" w:rsidP="003408DD">
      <w:pPr>
        <w:ind w:left="567" w:right="567"/>
        <w:jc w:val="both"/>
        <w:rPr>
          <w:rFonts w:ascii="Palatino Linotype" w:hAnsi="Palatino Linotype"/>
          <w:i/>
          <w:sz w:val="20"/>
          <w:lang w:val="es-MX"/>
        </w:rPr>
      </w:pPr>
    </w:p>
    <w:p w:rsidR="003408DD" w:rsidRPr="00E1379C" w:rsidRDefault="003408DD" w:rsidP="003408DD">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directo 443/2005. Servicios Corporativos Cosmos, S.A. de C.V. 1o. de marzo de 2006. Unanimidad de votos. Ponente: Jean Claude Tron Petit. Secretario: Alfredo A. Martínez Jiménez. </w:t>
      </w:r>
    </w:p>
    <w:p w:rsidR="003408DD" w:rsidRPr="00E1379C" w:rsidRDefault="003408DD" w:rsidP="003408DD">
      <w:pPr>
        <w:ind w:left="567" w:right="567"/>
        <w:jc w:val="both"/>
        <w:rPr>
          <w:rFonts w:ascii="Palatino Linotype" w:hAnsi="Palatino Linotype"/>
          <w:i/>
          <w:sz w:val="20"/>
          <w:lang w:val="es-MX"/>
        </w:rPr>
      </w:pPr>
    </w:p>
    <w:p w:rsidR="003408DD" w:rsidRPr="00E1379C" w:rsidRDefault="003408DD" w:rsidP="003408DD">
      <w:pPr>
        <w:ind w:left="567" w:right="567"/>
        <w:jc w:val="both"/>
        <w:rPr>
          <w:rFonts w:ascii="Palatino Linotype" w:hAnsi="Palatino Linotype"/>
          <w:i/>
          <w:sz w:val="20"/>
          <w:lang w:val="es-MX"/>
        </w:rPr>
      </w:pPr>
      <w:r w:rsidRPr="00E1379C">
        <w:rPr>
          <w:rFonts w:ascii="Palatino Linotype" w:hAnsi="Palatino Linotype"/>
          <w:i/>
          <w:sz w:val="20"/>
          <w:lang w:val="es-MX"/>
        </w:rPr>
        <w:t xml:space="preserve">Amparo directo 125/2006. Víctor Hugo Reyes Monterrubio. 31 de mayo de 2006. Unanimidad de votos. Ponente: Jean Claude Tron Petit. Secretario: Alfredo A. Martínez Jiménez. </w:t>
      </w:r>
    </w:p>
    <w:p w:rsidR="003408DD" w:rsidRPr="00E1379C" w:rsidRDefault="003408DD" w:rsidP="003408DD">
      <w:pPr>
        <w:ind w:left="567" w:right="567"/>
        <w:jc w:val="both"/>
        <w:rPr>
          <w:rFonts w:ascii="Palatino Linotype" w:hAnsi="Palatino Linotype"/>
          <w:i/>
          <w:sz w:val="20"/>
          <w:lang w:val="es-MX"/>
        </w:rPr>
      </w:pPr>
    </w:p>
    <w:p w:rsidR="003408DD" w:rsidRPr="00E1379C" w:rsidRDefault="003408DD" w:rsidP="003408DD">
      <w:pPr>
        <w:ind w:left="567" w:right="567"/>
        <w:jc w:val="both"/>
        <w:rPr>
          <w:rFonts w:ascii="Palatino Linotype" w:hAnsi="Palatino Linotype"/>
          <w:i/>
          <w:sz w:val="20"/>
          <w:lang w:val="es-MX"/>
        </w:rPr>
      </w:pPr>
      <w:r w:rsidRPr="00E1379C">
        <w:rPr>
          <w:rFonts w:ascii="Palatino Linotype" w:hAnsi="Palatino Linotype"/>
          <w:i/>
          <w:sz w:val="20"/>
          <w:lang w:val="es-MX"/>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rsidR="003408DD" w:rsidRPr="00E1379C" w:rsidRDefault="003408DD" w:rsidP="003408DD">
      <w:pPr>
        <w:ind w:left="567" w:right="567"/>
        <w:jc w:val="both"/>
        <w:rPr>
          <w:rFonts w:ascii="Palatino Linotype" w:hAnsi="Palatino Linotype"/>
          <w:i/>
          <w:sz w:val="20"/>
          <w:lang w:val="es-MX"/>
        </w:rPr>
      </w:pPr>
    </w:p>
    <w:p w:rsidR="003408DD" w:rsidRPr="00E1379C" w:rsidRDefault="003408DD" w:rsidP="003408DD">
      <w:pPr>
        <w:ind w:left="567" w:right="567"/>
        <w:jc w:val="both"/>
        <w:rPr>
          <w:rFonts w:ascii="Palatino Linotype" w:hAnsi="Palatino Linotype"/>
          <w:sz w:val="20"/>
          <w:lang w:val="es-MX"/>
        </w:rPr>
      </w:pPr>
      <w:r w:rsidRPr="00E1379C">
        <w:rPr>
          <w:rFonts w:ascii="Palatino Linotype" w:hAnsi="Palatino Linotype"/>
          <w:i/>
          <w:sz w:val="20"/>
          <w:lang w:val="es-MX"/>
        </w:rPr>
        <w:t>Incidente de suspensión (revisión) 380/2006. Director General Jurídico y de Gobierno en la Delegación Tlalpan. 11 de octubre de 2006. Unanimidad de votos. Ponente: Jesús Antonio Nazar Sevilla. Secretaria: Indira Martínez Fernández.</w:t>
      </w:r>
    </w:p>
    <w:p w:rsidR="003408DD" w:rsidRPr="00E1379C" w:rsidRDefault="003408DD" w:rsidP="003408DD">
      <w:pPr>
        <w:spacing w:line="360" w:lineRule="auto"/>
        <w:jc w:val="both"/>
        <w:rPr>
          <w:rFonts w:ascii="Palatino Linotype" w:hAnsi="Palatino Linotype"/>
          <w:lang w:val="es-MX"/>
        </w:rPr>
      </w:pPr>
    </w:p>
    <w:p w:rsidR="003408DD" w:rsidRPr="00E1379C" w:rsidRDefault="003408DD" w:rsidP="003408DD">
      <w:pPr>
        <w:spacing w:line="360" w:lineRule="auto"/>
        <w:jc w:val="both"/>
        <w:rPr>
          <w:rFonts w:ascii="Palatino Linotype" w:hAnsi="Palatino Linotype"/>
          <w:lang w:val="es-MX"/>
        </w:rPr>
      </w:pPr>
      <w:r w:rsidRPr="00E1379C">
        <w:rPr>
          <w:rFonts w:ascii="Palatino Linotype" w:hAnsi="Palatino Linotype"/>
          <w:lang w:val="es-MX"/>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rsidR="003408DD" w:rsidRPr="00E1379C" w:rsidRDefault="003408DD" w:rsidP="003408DD">
      <w:pPr>
        <w:rPr>
          <w:lang w:val="es-MX"/>
        </w:rPr>
      </w:pPr>
    </w:p>
    <w:p w:rsidR="003408DD" w:rsidRPr="00E1379C" w:rsidRDefault="003408DD" w:rsidP="003408DD">
      <w:pPr>
        <w:ind w:left="567" w:right="567"/>
        <w:jc w:val="both"/>
        <w:rPr>
          <w:rFonts w:ascii="Palatino Linotype" w:hAnsi="Palatino Linotype"/>
          <w:b/>
          <w:i/>
          <w:sz w:val="22"/>
          <w:szCs w:val="22"/>
          <w:lang w:val="es-MX"/>
        </w:rPr>
      </w:pPr>
      <w:r w:rsidRPr="00E1379C">
        <w:rPr>
          <w:rFonts w:ascii="Palatino Linotype" w:hAnsi="Palatino Linotype"/>
          <w:b/>
          <w:i/>
          <w:sz w:val="22"/>
          <w:szCs w:val="22"/>
          <w:lang w:val="es-MX"/>
        </w:rPr>
        <w:t>AGRAVIOS, LO QUE DEBE CONSIDERARSE COMO TALES</w:t>
      </w:r>
    </w:p>
    <w:p w:rsidR="003408DD" w:rsidRPr="00E1379C" w:rsidRDefault="003408DD" w:rsidP="003408DD">
      <w:pPr>
        <w:ind w:left="567" w:right="567"/>
        <w:jc w:val="both"/>
        <w:rPr>
          <w:rFonts w:ascii="Palatino Linotype" w:hAnsi="Palatino Linotype"/>
          <w:i/>
          <w:sz w:val="22"/>
          <w:szCs w:val="22"/>
          <w:lang w:val="es-MX"/>
        </w:rPr>
      </w:pPr>
      <w:r w:rsidRPr="00E1379C">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rsidR="003408DD" w:rsidRPr="00E1379C" w:rsidRDefault="003408DD" w:rsidP="003408DD">
      <w:pPr>
        <w:ind w:left="567" w:right="567"/>
        <w:jc w:val="both"/>
        <w:rPr>
          <w:rFonts w:ascii="Palatino Linotype" w:hAnsi="Palatino Linotype"/>
          <w:i/>
          <w:sz w:val="22"/>
          <w:szCs w:val="22"/>
          <w:lang w:val="es-MX"/>
        </w:rPr>
      </w:pPr>
    </w:p>
    <w:p w:rsidR="003408DD" w:rsidRPr="00E1379C" w:rsidRDefault="003408DD" w:rsidP="003408DD">
      <w:pPr>
        <w:ind w:left="567" w:right="567"/>
        <w:jc w:val="both"/>
        <w:rPr>
          <w:rFonts w:ascii="Palatino Linotype" w:hAnsi="Palatino Linotype"/>
          <w:i/>
          <w:sz w:val="20"/>
          <w:szCs w:val="22"/>
          <w:lang w:val="es-MX"/>
        </w:rPr>
      </w:pPr>
      <w:r w:rsidRPr="00E1379C">
        <w:rPr>
          <w:rFonts w:ascii="Palatino Linotype" w:hAnsi="Palatino Linotype"/>
          <w:i/>
          <w:sz w:val="20"/>
          <w:szCs w:val="22"/>
          <w:lang w:val="es-MX"/>
        </w:rPr>
        <w:t>PRIMER TRIBUNAL COLEGIADO DEL SEPTIMO CIRCUITO.</w:t>
      </w:r>
    </w:p>
    <w:p w:rsidR="003408DD" w:rsidRPr="00E1379C" w:rsidRDefault="003408DD" w:rsidP="003408DD">
      <w:pPr>
        <w:ind w:left="567" w:right="567"/>
        <w:jc w:val="both"/>
        <w:rPr>
          <w:rFonts w:ascii="Palatino Linotype" w:hAnsi="Palatino Linotype"/>
          <w:i/>
          <w:sz w:val="20"/>
          <w:szCs w:val="22"/>
          <w:lang w:val="es-MX"/>
        </w:rPr>
      </w:pPr>
    </w:p>
    <w:p w:rsidR="003408DD" w:rsidRPr="00E1379C" w:rsidRDefault="003408DD" w:rsidP="003408DD">
      <w:pPr>
        <w:ind w:left="567" w:right="567"/>
        <w:jc w:val="both"/>
        <w:rPr>
          <w:rFonts w:ascii="Palatino Linotype" w:hAnsi="Palatino Linotype"/>
          <w:sz w:val="20"/>
          <w:szCs w:val="22"/>
          <w:lang w:val="es-MX"/>
        </w:rPr>
      </w:pPr>
      <w:r w:rsidRPr="00E1379C">
        <w:rPr>
          <w:rFonts w:ascii="Palatino Linotype" w:hAnsi="Palatino Linotype"/>
          <w:i/>
          <w:sz w:val="20"/>
          <w:szCs w:val="22"/>
          <w:lang w:val="es-MX"/>
        </w:rPr>
        <w:t>Incidente 563/87. Jorge Orlando Cuallo. 20 de enero de 1988. Unanimidad de votos. Ponente: Tomás Enrique Ochoa Moguel. Secretario: Héctor Riveros Caraza.</w:t>
      </w:r>
    </w:p>
    <w:p w:rsidR="00F50F2C" w:rsidRPr="00E1379C" w:rsidRDefault="00F50F2C" w:rsidP="009602BA">
      <w:pPr>
        <w:autoSpaceDE w:val="0"/>
        <w:autoSpaceDN w:val="0"/>
        <w:adjustRightInd w:val="0"/>
        <w:spacing w:line="360" w:lineRule="auto"/>
        <w:jc w:val="both"/>
        <w:rPr>
          <w:rFonts w:ascii="Palatino Linotype" w:hAnsi="Palatino Linotype" w:cs="Arial"/>
        </w:rPr>
      </w:pPr>
    </w:p>
    <w:p w:rsidR="009602BA" w:rsidRPr="00E1379C" w:rsidRDefault="009602BA" w:rsidP="009602BA">
      <w:pPr>
        <w:autoSpaceDE w:val="0"/>
        <w:autoSpaceDN w:val="0"/>
        <w:adjustRightInd w:val="0"/>
        <w:spacing w:line="360" w:lineRule="auto"/>
        <w:jc w:val="both"/>
        <w:rPr>
          <w:rFonts w:ascii="Palatino Linotype" w:hAnsi="Palatino Linotype" w:cs="Arial"/>
        </w:rPr>
      </w:pPr>
      <w:r w:rsidRPr="00E1379C">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rsidR="009602BA" w:rsidRPr="00E1379C" w:rsidRDefault="009602BA" w:rsidP="009602BA">
      <w:pPr>
        <w:rPr>
          <w:rFonts w:asciiTheme="minorHAnsi" w:eastAsiaTheme="minorHAnsi" w:hAnsiTheme="minorHAnsi" w:cstheme="minorBidi"/>
          <w:sz w:val="22"/>
          <w:szCs w:val="22"/>
          <w:lang w:val="es-MX" w:eastAsia="en-US"/>
        </w:rPr>
      </w:pPr>
    </w:p>
    <w:p w:rsidR="009602BA" w:rsidRPr="00E1379C" w:rsidRDefault="009602BA" w:rsidP="00C52084">
      <w:pPr>
        <w:pStyle w:val="Sinespaciado"/>
        <w:rPr>
          <w:rFonts w:eastAsiaTheme="minorHAnsi"/>
          <w:sz w:val="8"/>
        </w:rPr>
      </w:pPr>
    </w:p>
    <w:p w:rsidR="009602BA" w:rsidRPr="00E1379C"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E1379C">
        <w:rPr>
          <w:rFonts w:ascii="Palatino Linotype" w:eastAsiaTheme="minorHAnsi" w:hAnsi="Palatino Linotype" w:cs="Arial"/>
          <w:b/>
          <w:i/>
          <w:sz w:val="22"/>
          <w:szCs w:val="22"/>
          <w:lang w:val="es-MX" w:eastAsia="en-US"/>
        </w:rPr>
        <w:t>Artículo 12.</w:t>
      </w:r>
      <w:r w:rsidRPr="00E1379C">
        <w:rPr>
          <w:rFonts w:ascii="Palatino Linotype" w:eastAsiaTheme="minorHAnsi" w:hAnsi="Palatino Linotype" w:cs="Arial"/>
          <w:i/>
          <w:sz w:val="22"/>
          <w:szCs w:val="22"/>
          <w:lang w:val="es-MX" w:eastAsia="en-US"/>
        </w:rPr>
        <w:t xml:space="preserve"> …</w:t>
      </w:r>
      <w:r w:rsidRPr="00E1379C">
        <w:rPr>
          <w:rFonts w:ascii="Palatino Linotype" w:eastAsiaTheme="minorHAnsi" w:hAnsi="Palatino Linotype" w:cs="Arial"/>
          <w:b/>
          <w:i/>
          <w:sz w:val="22"/>
          <w:szCs w:val="22"/>
          <w:lang w:val="es-MX" w:eastAsia="en-US"/>
        </w:rPr>
        <w:t xml:space="preserve"> </w:t>
      </w:r>
    </w:p>
    <w:p w:rsidR="009602BA" w:rsidRPr="00E1379C"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E1379C">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E1379C">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rsidR="009602BA" w:rsidRPr="00E1379C"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rsidR="009602BA" w:rsidRPr="00E1379C" w:rsidRDefault="009602BA" w:rsidP="009602BA">
      <w:pPr>
        <w:spacing w:line="360" w:lineRule="auto"/>
        <w:jc w:val="both"/>
        <w:rPr>
          <w:rFonts w:ascii="Palatino Linotype" w:eastAsiaTheme="minorHAnsi" w:hAnsi="Palatino Linotype" w:cs="Arial"/>
          <w:lang w:val="es-MX" w:eastAsia="es-MX"/>
        </w:rPr>
      </w:pPr>
      <w:r w:rsidRPr="00E1379C">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E1379C">
        <w:rPr>
          <w:rFonts w:ascii="Palatino Linotype" w:eastAsiaTheme="minorHAnsi" w:hAnsi="Palatino Linotype" w:cs="Arial"/>
          <w:b/>
          <w:lang w:val="es-MX" w:eastAsia="es-MX"/>
        </w:rPr>
        <w:t>Sujeto Obligado</w:t>
      </w:r>
      <w:r w:rsidRPr="00E1379C">
        <w:rPr>
          <w:rFonts w:ascii="Palatino Linotype" w:eastAsiaTheme="minorHAnsi" w:hAnsi="Palatino Linotype" w:cs="Arial"/>
          <w:lang w:val="es-MX" w:eastAsia="es-MX"/>
        </w:rPr>
        <w:t xml:space="preserve"> sólo proporcionará la información que obra en sus archivos, lo que </w:t>
      </w:r>
      <w:r w:rsidRPr="00E1379C">
        <w:rPr>
          <w:rFonts w:ascii="Palatino Linotype" w:eastAsiaTheme="minorHAnsi" w:hAnsi="Palatino Linotype" w:cs="Arial"/>
          <w:i/>
          <w:lang w:val="es-MX" w:eastAsia="es-MX"/>
        </w:rPr>
        <w:t>a contrario sensu</w:t>
      </w:r>
      <w:r w:rsidRPr="00E1379C">
        <w:rPr>
          <w:rFonts w:ascii="Palatino Linotype" w:eastAsiaTheme="minorHAnsi" w:hAnsi="Palatino Linotype" w:cs="Arial"/>
          <w:lang w:val="es-MX" w:eastAsia="es-MX"/>
        </w:rPr>
        <w:t xml:space="preserve"> significa que no se está obligado a proporcionar lo que no obre en sus archivos.</w:t>
      </w:r>
    </w:p>
    <w:p w:rsidR="009602BA" w:rsidRPr="00E1379C" w:rsidRDefault="009602BA" w:rsidP="009602BA">
      <w:pPr>
        <w:spacing w:line="360" w:lineRule="auto"/>
        <w:jc w:val="both"/>
        <w:rPr>
          <w:rFonts w:ascii="Palatino Linotype" w:eastAsiaTheme="minorHAnsi" w:hAnsi="Palatino Linotype" w:cs="Arial"/>
          <w:szCs w:val="22"/>
          <w:lang w:val="es-MX" w:eastAsia="es-MX"/>
        </w:rPr>
      </w:pPr>
    </w:p>
    <w:p w:rsidR="009602BA" w:rsidRPr="00E1379C" w:rsidRDefault="009602BA" w:rsidP="009602BA">
      <w:pPr>
        <w:spacing w:line="360" w:lineRule="auto"/>
        <w:jc w:val="both"/>
        <w:rPr>
          <w:rFonts w:ascii="Palatino Linotype" w:eastAsiaTheme="minorHAnsi" w:hAnsi="Palatino Linotype" w:cs="Arial"/>
          <w:szCs w:val="22"/>
          <w:lang w:val="es-MX" w:eastAsia="es-MX"/>
        </w:rPr>
      </w:pPr>
      <w:r w:rsidRPr="00E1379C">
        <w:rPr>
          <w:rFonts w:ascii="Palatino Linotype" w:eastAsiaTheme="minorHAnsi" w:hAnsi="Palatino Linotype" w:cs="Arial"/>
          <w:szCs w:val="22"/>
          <w:lang w:val="es-MX" w:eastAsia="es-MX"/>
        </w:rPr>
        <w:t xml:space="preserve">Por lo tanto, bajo los principios de certeza, eficacia y objetividad, establecidos en el artículo 9, de la Ley de Transparencia y Acceso a la Información Pública del Estado de </w:t>
      </w:r>
      <w:r w:rsidRPr="00E1379C">
        <w:rPr>
          <w:rFonts w:ascii="Palatino Linotype" w:eastAsiaTheme="minorHAnsi" w:hAnsi="Palatino Linotype" w:cs="Arial"/>
          <w:szCs w:val="22"/>
          <w:lang w:val="es-MX" w:eastAsia="es-MX"/>
        </w:rPr>
        <w:lastRenderedPageBreak/>
        <w:t xml:space="preserve">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E1379C">
        <w:rPr>
          <w:rFonts w:ascii="Palatino Linotype" w:eastAsiaTheme="minorHAnsi" w:hAnsi="Palatino Linotype" w:cs="Arial"/>
          <w:b/>
          <w:szCs w:val="22"/>
          <w:lang w:val="es-MX" w:eastAsia="es-MX"/>
        </w:rPr>
        <w:t>El Recurrente</w:t>
      </w:r>
      <w:r w:rsidRPr="00E1379C">
        <w:rPr>
          <w:rFonts w:ascii="Palatino Linotype" w:eastAsiaTheme="minorHAnsi" w:hAnsi="Palatino Linotype" w:cs="Arial"/>
          <w:szCs w:val="22"/>
          <w:lang w:val="es-MX" w:eastAsia="es-MX"/>
        </w:rPr>
        <w:t xml:space="preserve"> para que pueda realizar la solicitud de información ante el </w:t>
      </w:r>
      <w:r w:rsidRPr="00E1379C">
        <w:rPr>
          <w:rFonts w:ascii="Palatino Linotype" w:eastAsiaTheme="minorHAnsi" w:hAnsi="Palatino Linotype" w:cs="Arial"/>
          <w:b/>
          <w:szCs w:val="22"/>
          <w:lang w:val="es-MX" w:eastAsia="es-MX"/>
        </w:rPr>
        <w:t>Sujeto Obligado</w:t>
      </w:r>
      <w:r w:rsidRPr="00E1379C">
        <w:rPr>
          <w:rFonts w:ascii="Palatino Linotype" w:eastAsiaTheme="minorHAnsi" w:hAnsi="Palatino Linotype" w:cs="Arial"/>
          <w:szCs w:val="22"/>
          <w:lang w:val="es-MX" w:eastAsia="es-MX"/>
        </w:rPr>
        <w:t xml:space="preserve"> correspondiente.</w:t>
      </w:r>
    </w:p>
    <w:p w:rsidR="009602BA" w:rsidRPr="00E1379C" w:rsidRDefault="009602BA" w:rsidP="009602BA">
      <w:pPr>
        <w:spacing w:line="360" w:lineRule="auto"/>
        <w:jc w:val="both"/>
        <w:rPr>
          <w:rFonts w:ascii="Palatino Linotype" w:eastAsiaTheme="minorHAnsi" w:hAnsi="Palatino Linotype" w:cs="Arial"/>
          <w:szCs w:val="22"/>
          <w:lang w:val="es-MX" w:eastAsia="es-MX"/>
        </w:rPr>
      </w:pPr>
    </w:p>
    <w:p w:rsidR="009602BA" w:rsidRPr="00E1379C" w:rsidRDefault="009602BA" w:rsidP="009602BA">
      <w:pPr>
        <w:spacing w:line="360" w:lineRule="auto"/>
        <w:jc w:val="both"/>
        <w:rPr>
          <w:rFonts w:ascii="Palatino Linotype" w:eastAsia="Calibri" w:hAnsi="Palatino Linotype" w:cs="Arial"/>
          <w:szCs w:val="22"/>
          <w:lang w:val="es-MX" w:eastAsia="en-US"/>
        </w:rPr>
      </w:pPr>
      <w:r w:rsidRPr="00E1379C">
        <w:rPr>
          <w:rFonts w:ascii="Palatino Linotype" w:eastAsia="Calibri" w:hAnsi="Palatino Linotype" w:cs="Arial"/>
          <w:szCs w:val="22"/>
          <w:lang w:val="es-MX" w:eastAsia="en-US"/>
        </w:rPr>
        <w:t>Así también, se dispone que</w:t>
      </w:r>
      <w:r w:rsidRPr="00E1379C">
        <w:rPr>
          <w:rFonts w:ascii="Palatino Linotype" w:eastAsiaTheme="minorHAnsi" w:hAnsi="Palatino Linotype" w:cstheme="minorBidi"/>
          <w:szCs w:val="22"/>
          <w:lang w:val="es-MX" w:eastAsia="en-US"/>
        </w:rPr>
        <w:t xml:space="preserve"> </w:t>
      </w:r>
      <w:r w:rsidRPr="00E1379C">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rsidR="009602BA" w:rsidRPr="00E1379C" w:rsidRDefault="009602BA" w:rsidP="009602BA">
      <w:pPr>
        <w:spacing w:line="360" w:lineRule="auto"/>
        <w:jc w:val="both"/>
        <w:rPr>
          <w:rFonts w:ascii="Palatino Linotype" w:eastAsiaTheme="minorHAnsi" w:hAnsi="Palatino Linotype" w:cs="Arial"/>
          <w:szCs w:val="22"/>
          <w:lang w:val="es-MX" w:eastAsia="en-US"/>
        </w:rPr>
      </w:pPr>
    </w:p>
    <w:p w:rsidR="009602BA" w:rsidRPr="00E1379C"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E1379C">
        <w:rPr>
          <w:rFonts w:ascii="Palatino Linotype" w:eastAsiaTheme="minorHAnsi" w:hAnsi="Palatino Linotype" w:cs="Arial"/>
          <w:szCs w:val="22"/>
          <w:lang w:val="es-MX" w:eastAsia="en-US"/>
        </w:rPr>
        <w:t xml:space="preserve">En este contexto, </w:t>
      </w:r>
      <w:r w:rsidRPr="00E1379C">
        <w:rPr>
          <w:rFonts w:ascii="Palatino Linotype" w:eastAsiaTheme="minorHAnsi" w:hAnsi="Palatino Linotype" w:cs="Arial"/>
          <w:szCs w:val="22"/>
          <w:lang w:val="es-MX" w:eastAsia="es-MX"/>
        </w:rPr>
        <w:t xml:space="preserve">el </w:t>
      </w:r>
      <w:r w:rsidRPr="00E1379C">
        <w:rPr>
          <w:rFonts w:ascii="Palatino Linotype" w:eastAsiaTheme="minorHAnsi" w:hAnsi="Palatino Linotype" w:cs="Arial"/>
          <w:b/>
          <w:szCs w:val="22"/>
          <w:lang w:val="es-MX" w:eastAsia="es-MX"/>
        </w:rPr>
        <w:t>Sujeto Obligado</w:t>
      </w:r>
      <w:r w:rsidRPr="00E1379C">
        <w:rPr>
          <w:rFonts w:ascii="Palatino Linotype" w:eastAsiaTheme="minorHAnsi" w:hAnsi="Palatino Linotype" w:cs="Arial"/>
          <w:szCs w:val="22"/>
          <w:lang w:val="es-MX" w:eastAsia="en-US"/>
        </w:rPr>
        <w:t xml:space="preserve"> no está obligado a generar documento </w:t>
      </w:r>
      <w:r w:rsidRPr="00E1379C">
        <w:rPr>
          <w:rFonts w:ascii="Palatino Linotype" w:eastAsiaTheme="minorHAnsi" w:hAnsi="Palatino Linotype" w:cs="Arial"/>
          <w:b/>
          <w:i/>
          <w:szCs w:val="22"/>
          <w:lang w:val="es-MX" w:eastAsia="en-US"/>
        </w:rPr>
        <w:t>ad hoc</w:t>
      </w:r>
      <w:r w:rsidRPr="00E1379C">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E1379C">
        <w:rPr>
          <w:rFonts w:ascii="Palatino Linotype" w:eastAsiaTheme="minorHAnsi" w:hAnsi="Palatino Linotype" w:cs="Arial"/>
          <w:color w:val="000000"/>
          <w:szCs w:val="22"/>
          <w:lang w:val="es-MX" w:eastAsia="en-US"/>
        </w:rPr>
        <w:t xml:space="preserve">Como apoyo a lo anterior, es aplicable el Criterio 03-17, emitido por </w:t>
      </w:r>
      <w:r w:rsidRPr="00E1379C">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E1379C">
        <w:rPr>
          <w:rFonts w:ascii="Palatino Linotype" w:eastAsiaTheme="minorHAnsi" w:hAnsi="Palatino Linotype" w:cstheme="minorBidi"/>
          <w:bCs/>
          <w:color w:val="000000"/>
          <w:szCs w:val="22"/>
          <w:lang w:val="es-MX" w:eastAsia="en-US"/>
        </w:rPr>
        <w:t xml:space="preserve"> que dice:</w:t>
      </w:r>
      <w:r w:rsidRPr="00E1379C">
        <w:rPr>
          <w:rFonts w:ascii="Palatino Linotype" w:eastAsiaTheme="minorHAnsi" w:hAnsi="Palatino Linotype" w:cstheme="minorBidi"/>
          <w:b/>
          <w:bCs/>
          <w:color w:val="000000"/>
          <w:szCs w:val="22"/>
          <w:lang w:val="es-MX" w:eastAsia="en-US"/>
        </w:rPr>
        <w:t xml:space="preserve"> </w:t>
      </w:r>
    </w:p>
    <w:p w:rsidR="009602BA" w:rsidRPr="00E1379C" w:rsidRDefault="009602BA" w:rsidP="009602BA">
      <w:pPr>
        <w:rPr>
          <w:rFonts w:asciiTheme="minorHAnsi" w:eastAsiaTheme="minorHAnsi" w:hAnsiTheme="minorHAnsi" w:cstheme="minorBidi"/>
          <w:sz w:val="22"/>
          <w:szCs w:val="22"/>
          <w:lang w:val="es-MX" w:eastAsia="en-US"/>
        </w:rPr>
      </w:pPr>
    </w:p>
    <w:p w:rsidR="009602BA" w:rsidRPr="00E1379C"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t>“</w:t>
      </w:r>
      <w:r w:rsidRPr="00E1379C">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E1379C">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E1379C">
        <w:rPr>
          <w:rFonts w:ascii="Palatino Linotype" w:eastAsiaTheme="minorHAnsi" w:hAnsi="Palatino Linotype" w:cs="Arial"/>
          <w:i/>
          <w:color w:val="000000"/>
          <w:sz w:val="22"/>
          <w:szCs w:val="22"/>
          <w:lang w:val="es-MX" w:eastAsia="en-US"/>
        </w:rPr>
        <w:lastRenderedPageBreak/>
        <w:t>cuentan en el formato en que la misma obre en sus archivos; sin necesidad de elaborar documentos ad hoc para atender las solicitudes de información.</w:t>
      </w:r>
    </w:p>
    <w:p w:rsidR="009602BA" w:rsidRPr="00E1379C" w:rsidRDefault="009602BA" w:rsidP="009602BA">
      <w:pPr>
        <w:spacing w:line="259" w:lineRule="auto"/>
        <w:ind w:left="851" w:right="901"/>
        <w:jc w:val="both"/>
        <w:rPr>
          <w:rFonts w:ascii="Palatino Linotype" w:eastAsiaTheme="minorHAnsi" w:hAnsi="Palatino Linotype" w:cs="Arial"/>
          <w:i/>
          <w:color w:val="000000"/>
          <w:sz w:val="2"/>
          <w:szCs w:val="22"/>
          <w:lang w:val="es-MX" w:eastAsia="en-US"/>
        </w:rPr>
      </w:pP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t xml:space="preserve">Resoluciones: </w:t>
      </w: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rsidR="009602BA" w:rsidRPr="00E1379C"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E1379C">
        <w:rPr>
          <w:rFonts w:ascii="Palatino Linotype" w:eastAsiaTheme="minorHAnsi" w:hAnsi="Palatino Linotype" w:cs="Arial"/>
          <w:i/>
          <w:color w:val="000000"/>
          <w:sz w:val="22"/>
          <w:szCs w:val="22"/>
          <w:lang w:val="es-MX" w:eastAsia="en-US"/>
        </w:rPr>
        <w:sym w:font="Symbol" w:char="F0B7"/>
      </w:r>
      <w:r w:rsidRPr="00E1379C">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rsidR="009602BA" w:rsidRPr="00E1379C"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rsidR="00D47741" w:rsidRPr="00E1379C" w:rsidRDefault="00D47741" w:rsidP="00D47741">
      <w:pPr>
        <w:spacing w:line="360" w:lineRule="auto"/>
        <w:jc w:val="both"/>
        <w:rPr>
          <w:rFonts w:ascii="Palatino Linotype" w:hAnsi="Palatino Linotype" w:cs="Arial"/>
        </w:rPr>
      </w:pPr>
      <w:r w:rsidRPr="00E1379C">
        <w:rPr>
          <w:rFonts w:ascii="Palatino Linotype" w:hAnsi="Palatino Linotype" w:cs="Tahoma"/>
          <w:bCs/>
        </w:rPr>
        <w:t xml:space="preserve">Bajo estas líneas argumentativas, al retomar y delimitar los requerimientos del ahora </w:t>
      </w:r>
      <w:r w:rsidRPr="00E1379C">
        <w:rPr>
          <w:rFonts w:ascii="Palatino Linotype" w:hAnsi="Palatino Linotype" w:cs="Tahoma"/>
          <w:b/>
          <w:bCs/>
        </w:rPr>
        <w:t>Recurrente</w:t>
      </w:r>
      <w:r w:rsidRPr="00E1379C">
        <w:rPr>
          <w:rFonts w:ascii="Palatino Linotype" w:hAnsi="Palatino Linotype" w:cs="Tahoma"/>
          <w:bCs/>
        </w:rPr>
        <w:t>, de manera objetiva se precisa que se queja de la siguiente información:</w:t>
      </w:r>
    </w:p>
    <w:p w:rsidR="00D47741" w:rsidRPr="00E1379C" w:rsidRDefault="00D47741" w:rsidP="00D47741">
      <w:pPr>
        <w:tabs>
          <w:tab w:val="left" w:pos="1828"/>
        </w:tabs>
        <w:spacing w:line="360" w:lineRule="auto"/>
        <w:jc w:val="both"/>
        <w:rPr>
          <w:rFonts w:ascii="Palatino Linotype" w:hAnsi="Palatino Linotype" w:cs="Tahoma"/>
          <w:bCs/>
        </w:rPr>
      </w:pPr>
    </w:p>
    <w:p w:rsidR="00D47741" w:rsidRPr="00E1379C" w:rsidRDefault="00D47741" w:rsidP="00D47741">
      <w:pPr>
        <w:spacing w:line="360" w:lineRule="auto"/>
        <w:ind w:right="141"/>
        <w:jc w:val="both"/>
        <w:rPr>
          <w:rFonts w:ascii="Palatino Linotype" w:eastAsiaTheme="minorHAnsi" w:hAnsi="Palatino Linotype" w:cstheme="minorBidi"/>
          <w:b/>
          <w:szCs w:val="22"/>
          <w:lang w:val="es-MX" w:eastAsia="es-MX"/>
        </w:rPr>
      </w:pPr>
      <w:r w:rsidRPr="00E1379C">
        <w:rPr>
          <w:rFonts w:ascii="Palatino Linotype" w:eastAsiaTheme="minorHAnsi" w:hAnsi="Palatino Linotype" w:cstheme="minorBidi"/>
          <w:b/>
          <w:szCs w:val="22"/>
          <w:lang w:val="es-MX" w:eastAsia="es-MX"/>
        </w:rPr>
        <w:t xml:space="preserve">PUNTOS RECURRIDOS: </w:t>
      </w:r>
    </w:p>
    <w:p w:rsidR="00D47741" w:rsidRPr="00E1379C" w:rsidRDefault="00D47741" w:rsidP="00D47741">
      <w:pPr>
        <w:pStyle w:val="Sinespaciado"/>
        <w:rPr>
          <w:rFonts w:eastAsiaTheme="minorHAnsi"/>
          <w:lang w:eastAsia="es-MX"/>
        </w:rPr>
      </w:pPr>
    </w:p>
    <w:p w:rsidR="00D47741" w:rsidRPr="00E1379C" w:rsidRDefault="00D47741" w:rsidP="00D47741">
      <w:pPr>
        <w:pStyle w:val="Prrafodelista"/>
        <w:numPr>
          <w:ilvl w:val="0"/>
          <w:numId w:val="20"/>
        </w:numPr>
        <w:spacing w:line="360" w:lineRule="auto"/>
        <w:jc w:val="both"/>
        <w:rPr>
          <w:rFonts w:ascii="Palatino Linotype" w:hAnsi="Palatino Linotype" w:cs="Arial"/>
        </w:rPr>
      </w:pPr>
      <w:r w:rsidRPr="00E1379C">
        <w:rPr>
          <w:rFonts w:ascii="Palatino Linotype" w:hAnsi="Palatino Linotype" w:cs="Arial"/>
        </w:rPr>
        <w:t xml:space="preserve">El </w:t>
      </w:r>
      <w:r w:rsidRPr="00E1379C">
        <w:rPr>
          <w:rFonts w:ascii="Palatino Linotype" w:hAnsi="Palatino Linotype" w:cs="Arial"/>
          <w:b/>
        </w:rPr>
        <w:t>Sujeto Obligado</w:t>
      </w:r>
      <w:r w:rsidRPr="00E1379C">
        <w:rPr>
          <w:rFonts w:ascii="Palatino Linotype" w:hAnsi="Palatino Linotype" w:cs="Arial"/>
        </w:rPr>
        <w:t xml:space="preserve"> no me notifica el acta con la cual se autoriza la prórroga para dar contestación.</w:t>
      </w:r>
    </w:p>
    <w:p w:rsidR="00D47741" w:rsidRPr="00E1379C" w:rsidRDefault="00D47741" w:rsidP="009602BA">
      <w:pPr>
        <w:spacing w:line="360" w:lineRule="auto"/>
        <w:jc w:val="both"/>
        <w:rPr>
          <w:rFonts w:ascii="Palatino Linotype" w:hAnsi="Palatino Linotype" w:cs="Arial"/>
        </w:rPr>
      </w:pPr>
    </w:p>
    <w:p w:rsidR="00D47741" w:rsidRPr="00E1379C" w:rsidRDefault="00D47741" w:rsidP="009602BA">
      <w:pPr>
        <w:spacing w:line="360" w:lineRule="auto"/>
        <w:jc w:val="both"/>
        <w:rPr>
          <w:rFonts w:ascii="Palatino Linotype" w:hAnsi="Palatino Linotype" w:cs="Arial"/>
        </w:rPr>
      </w:pPr>
      <w:r w:rsidRPr="00E1379C">
        <w:rPr>
          <w:rFonts w:ascii="Palatino Linotype" w:hAnsi="Palatino Linotype" w:cs="Arial"/>
        </w:rPr>
        <w:t>Por lo que, es de precisar que el artículo 163, de la Ley de Transparencia y Acceso a la Información Pública del Estado de México y Municipios, establece lo siguiente:</w:t>
      </w:r>
    </w:p>
    <w:p w:rsidR="00D47741" w:rsidRPr="00E1379C" w:rsidRDefault="00D47741" w:rsidP="009602BA">
      <w:pPr>
        <w:spacing w:line="360" w:lineRule="auto"/>
        <w:jc w:val="both"/>
        <w:rPr>
          <w:rFonts w:ascii="Palatino Linotype" w:hAnsi="Palatino Linotype" w:cs="Arial"/>
        </w:rPr>
      </w:pPr>
    </w:p>
    <w:p w:rsidR="00D47741" w:rsidRPr="00E1379C" w:rsidRDefault="00D47741" w:rsidP="00D47741">
      <w:pPr>
        <w:ind w:left="567" w:right="616"/>
        <w:jc w:val="both"/>
        <w:rPr>
          <w:rFonts w:ascii="Palatino Linotype" w:hAnsi="Palatino Linotype" w:cs="Arial"/>
          <w:i/>
          <w:sz w:val="22"/>
        </w:rPr>
      </w:pPr>
      <w:r w:rsidRPr="00E1379C">
        <w:rPr>
          <w:rFonts w:ascii="Palatino Linotype" w:hAnsi="Palatino Linotype" w:cs="Arial"/>
          <w:b/>
          <w:i/>
          <w:sz w:val="22"/>
        </w:rPr>
        <w:t>Artículo 163.</w:t>
      </w:r>
      <w:r w:rsidRPr="00E1379C">
        <w:rPr>
          <w:rFonts w:ascii="Palatino Linotype" w:hAnsi="Palatino Linotype" w:cs="Arial"/>
          <w:i/>
          <w:sz w:val="22"/>
        </w:rPr>
        <w:t xml:space="preserve"> La Unidad de Transparencia deberá notificar la respuesta a la solicitud al interesado en el menor tiempo posible, que no podrá exceder de quince días hábiles, contados a partir del día siguiente a la presentación de aquélla.</w:t>
      </w:r>
    </w:p>
    <w:p w:rsidR="00D47741" w:rsidRPr="00E1379C" w:rsidRDefault="00D47741" w:rsidP="00D47741">
      <w:pPr>
        <w:ind w:left="567" w:right="616"/>
        <w:jc w:val="both"/>
        <w:rPr>
          <w:rFonts w:ascii="Palatino Linotype" w:hAnsi="Palatino Linotype" w:cs="Arial"/>
          <w:i/>
          <w:sz w:val="22"/>
        </w:rPr>
      </w:pPr>
    </w:p>
    <w:p w:rsidR="00D47741" w:rsidRPr="00E1379C" w:rsidRDefault="00D47741" w:rsidP="00D47741">
      <w:pPr>
        <w:ind w:left="567" w:right="616"/>
        <w:jc w:val="both"/>
        <w:rPr>
          <w:rFonts w:ascii="Palatino Linotype" w:hAnsi="Palatino Linotype" w:cs="Arial"/>
          <w:i/>
          <w:sz w:val="22"/>
        </w:rPr>
      </w:pPr>
      <w:r w:rsidRPr="00E1379C">
        <w:rPr>
          <w:rFonts w:ascii="Palatino Linotype" w:hAnsi="Palatino Linotype" w:cs="Arial"/>
          <w:i/>
          <w:sz w:val="22"/>
        </w:rPr>
        <w:t xml:space="preserve">Excepcionalmente, </w:t>
      </w:r>
      <w:r w:rsidRPr="00E1379C">
        <w:rPr>
          <w:rFonts w:ascii="Palatino Linotype" w:hAnsi="Palatino Linotype" w:cs="Arial"/>
          <w:i/>
          <w:sz w:val="22"/>
          <w:u w:val="single"/>
        </w:rPr>
        <w:t>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w:t>
      </w:r>
      <w:r w:rsidRPr="00E1379C">
        <w:rPr>
          <w:rFonts w:ascii="Palatino Linotype" w:hAnsi="Palatino Linotype" w:cs="Arial"/>
          <w:i/>
          <w:sz w:val="22"/>
        </w:rPr>
        <w:t xml:space="preserve"> No podrán invocarse como causales de ampliación del plazo motivos que supongan negligencia o descuido del sujeto obligado en el desahogo de la solicitud.</w:t>
      </w:r>
    </w:p>
    <w:p w:rsidR="00D47741" w:rsidRPr="00E1379C" w:rsidRDefault="00D47741" w:rsidP="009602BA">
      <w:pPr>
        <w:spacing w:line="360" w:lineRule="auto"/>
        <w:jc w:val="both"/>
        <w:rPr>
          <w:rFonts w:ascii="Palatino Linotype" w:hAnsi="Palatino Linotype" w:cs="Arial"/>
        </w:rPr>
      </w:pPr>
      <w:r w:rsidRPr="00E1379C">
        <w:rPr>
          <w:rFonts w:ascii="Palatino Linotype" w:hAnsi="Palatino Linotype" w:cs="Arial"/>
        </w:rPr>
        <w:lastRenderedPageBreak/>
        <w:t xml:space="preserve">En ese orden de ideas, el plazo con el que contaba el </w:t>
      </w:r>
      <w:r w:rsidRPr="00E1379C">
        <w:rPr>
          <w:rFonts w:ascii="Palatino Linotype" w:hAnsi="Palatino Linotype" w:cs="Arial"/>
          <w:b/>
        </w:rPr>
        <w:t>Sujeto Obligado</w:t>
      </w:r>
      <w:r w:rsidRPr="00E1379C">
        <w:rPr>
          <w:rFonts w:ascii="Palatino Linotype" w:hAnsi="Palatino Linotype" w:cs="Arial"/>
        </w:rPr>
        <w:t xml:space="preserve"> para emitir contestación al requerimiento de información, se computó del </w:t>
      </w:r>
      <w:r w:rsidRPr="00E1379C">
        <w:rPr>
          <w:rFonts w:ascii="Palatino Linotype" w:hAnsi="Palatino Linotype" w:cs="Arial"/>
          <w:b/>
        </w:rPr>
        <w:t>seis al catorce de septiembre de dos mil veintidós</w:t>
      </w:r>
      <w:r w:rsidRPr="00E1379C">
        <w:rPr>
          <w:rFonts w:ascii="Palatino Linotype" w:hAnsi="Palatino Linotype" w:cs="Arial"/>
        </w:rPr>
        <w:t>, lo anterior, sin contar los días diez y once de septiembre, al ser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veintidós y enero dos mil veintitrés.</w:t>
      </w:r>
    </w:p>
    <w:p w:rsidR="00D47741" w:rsidRPr="00E1379C" w:rsidRDefault="00D47741" w:rsidP="009602BA">
      <w:pPr>
        <w:spacing w:line="360" w:lineRule="auto"/>
        <w:jc w:val="both"/>
        <w:rPr>
          <w:rFonts w:ascii="Palatino Linotype" w:hAnsi="Palatino Linotype" w:cs="Arial"/>
        </w:rPr>
      </w:pPr>
    </w:p>
    <w:p w:rsidR="00D47741" w:rsidRPr="00E1379C" w:rsidRDefault="00D47741" w:rsidP="009602BA">
      <w:pPr>
        <w:spacing w:line="360" w:lineRule="auto"/>
        <w:jc w:val="both"/>
        <w:rPr>
          <w:rFonts w:ascii="Palatino Linotype" w:hAnsi="Palatino Linotype" w:cs="Arial"/>
        </w:rPr>
      </w:pPr>
      <w:r w:rsidRPr="00E1379C">
        <w:rPr>
          <w:rFonts w:ascii="Palatino Linotype" w:hAnsi="Palatino Linotype" w:cs="Arial"/>
        </w:rPr>
        <w:t xml:space="preserve">Conforme a lo anterior, se colige que el </w:t>
      </w:r>
      <w:r w:rsidRPr="00E1379C">
        <w:rPr>
          <w:rFonts w:ascii="Palatino Linotype" w:hAnsi="Palatino Linotype" w:cs="Arial"/>
          <w:b/>
        </w:rPr>
        <w:t>Ayuntamiento de Metepec</w:t>
      </w:r>
      <w:r w:rsidRPr="00E1379C">
        <w:rPr>
          <w:rFonts w:ascii="Palatino Linotype" w:hAnsi="Palatino Linotype" w:cs="Arial"/>
        </w:rPr>
        <w:t xml:space="preserve"> emitió su respuesta a la solicitud de acceso a la información pública con folio </w:t>
      </w:r>
      <w:r w:rsidR="00AF2861" w:rsidRPr="00E1379C">
        <w:rPr>
          <w:rFonts w:ascii="Palatino Linotype" w:hAnsi="Palatino Linotype" w:cs="Arial"/>
          <w:b/>
        </w:rPr>
        <w:t>04242/METEPEC/IP/2022</w:t>
      </w:r>
      <w:r w:rsidR="00AF2861" w:rsidRPr="00E1379C">
        <w:rPr>
          <w:rFonts w:ascii="Palatino Linotype" w:hAnsi="Palatino Linotype" w:cs="Arial"/>
        </w:rPr>
        <w:t xml:space="preserve">, </w:t>
      </w:r>
      <w:r w:rsidRPr="00E1379C">
        <w:rPr>
          <w:rFonts w:ascii="Palatino Linotype" w:hAnsi="Palatino Linotype" w:cs="Arial"/>
        </w:rPr>
        <w:t xml:space="preserve">dentro del plazo establecido en el artículo 163, de la Ley de Transparencia y Acceso a la Información Pública del Estado de México y Municipios, pues tenía hasta el </w:t>
      </w:r>
      <w:r w:rsidR="00AF2861" w:rsidRPr="00E1379C">
        <w:rPr>
          <w:rFonts w:ascii="Palatino Linotype" w:hAnsi="Palatino Linotype" w:cs="Arial"/>
        </w:rPr>
        <w:t>día catorce de septiembre</w:t>
      </w:r>
      <w:r w:rsidRPr="00E1379C">
        <w:rPr>
          <w:rFonts w:ascii="Palatino Linotype" w:hAnsi="Palatino Linotype" w:cs="Arial"/>
        </w:rPr>
        <w:t xml:space="preserve"> de dos mil veintidós, para realizar dicha situación.</w:t>
      </w:r>
    </w:p>
    <w:p w:rsidR="00AF2861" w:rsidRPr="00E1379C" w:rsidRDefault="00AF2861" w:rsidP="009602BA">
      <w:pPr>
        <w:spacing w:line="360" w:lineRule="auto"/>
        <w:jc w:val="both"/>
        <w:rPr>
          <w:rFonts w:ascii="Palatino Linotype" w:hAnsi="Palatino Linotype" w:cs="Arial"/>
        </w:rPr>
      </w:pPr>
    </w:p>
    <w:p w:rsidR="00AF2861" w:rsidRPr="00E1379C" w:rsidRDefault="00AF2861" w:rsidP="00AF2861">
      <w:pPr>
        <w:autoSpaceDE w:val="0"/>
        <w:autoSpaceDN w:val="0"/>
        <w:adjustRightInd w:val="0"/>
        <w:spacing w:line="360" w:lineRule="auto"/>
        <w:jc w:val="both"/>
        <w:rPr>
          <w:rFonts w:ascii="Palatino Linotype" w:hAnsi="Palatino Linotype" w:cs="Arial"/>
          <w:color w:val="000000" w:themeColor="text1"/>
        </w:rPr>
      </w:pPr>
      <w:r w:rsidRPr="00E1379C">
        <w:rPr>
          <w:rFonts w:ascii="Palatino Linotype" w:hAnsi="Palatino Linotype" w:cs="Arial"/>
          <w:color w:val="000000" w:themeColor="text1"/>
        </w:rPr>
        <w:t xml:space="preserve">No obstante, no pasa desapercibido para esta ponencia que el </w:t>
      </w:r>
      <w:r w:rsidRPr="00E1379C">
        <w:rPr>
          <w:rFonts w:ascii="Palatino Linotype" w:hAnsi="Palatino Linotype" w:cs="Arial"/>
          <w:b/>
          <w:color w:val="000000" w:themeColor="text1"/>
        </w:rPr>
        <w:t>Sujeto Obligado</w:t>
      </w:r>
      <w:r w:rsidRPr="00E1379C">
        <w:rPr>
          <w:rFonts w:ascii="Palatino Linotype" w:hAnsi="Palatino Linotype" w:cs="Arial"/>
          <w:color w:val="000000" w:themeColor="text1"/>
        </w:rPr>
        <w:t xml:space="preserve"> fue omiso en remitir el Acta aprobado por el Comité de Transparencia, mediante la cual, aprobó la prórroga para dar atención a la solicitud de información; bajo esa premisa, la respuesta del </w:t>
      </w:r>
      <w:r w:rsidRPr="00E1379C">
        <w:rPr>
          <w:rFonts w:ascii="Palatino Linotype" w:hAnsi="Palatino Linotype" w:cs="Arial"/>
          <w:b/>
          <w:color w:val="000000" w:themeColor="text1"/>
        </w:rPr>
        <w:t>Sujeto Obligado</w:t>
      </w:r>
      <w:r w:rsidRPr="00E1379C">
        <w:rPr>
          <w:rFonts w:ascii="Palatino Linotype" w:hAnsi="Palatino Linotype" w:cs="Arial"/>
          <w:color w:val="000000" w:themeColor="text1"/>
        </w:rPr>
        <w:t xml:space="preserve"> </w:t>
      </w:r>
      <w:r w:rsidRPr="00E1379C">
        <w:rPr>
          <w:rFonts w:ascii="Palatino Linotype" w:hAnsi="Palatino Linotype" w:cs="Arial"/>
        </w:rPr>
        <w:t xml:space="preserve">vulneró el referido dispositivo de la Ley de Transparencia, toda vez que </w:t>
      </w:r>
      <w:r w:rsidR="00216980" w:rsidRPr="00E1379C">
        <w:rPr>
          <w:rFonts w:ascii="Palatino Linotype" w:hAnsi="Palatino Linotype" w:cs="Arial"/>
        </w:rPr>
        <w:t>no notificó dicha resolución</w:t>
      </w:r>
      <w:r w:rsidRPr="00E1379C">
        <w:rPr>
          <w:rFonts w:ascii="Palatino Linotype" w:hAnsi="Palatino Linotype" w:cs="Arial"/>
        </w:rPr>
        <w:t xml:space="preserve">, por lo que se le exhorta al </w:t>
      </w:r>
      <w:r w:rsidRPr="00E1379C">
        <w:rPr>
          <w:rFonts w:ascii="Palatino Linotype" w:hAnsi="Palatino Linotype" w:cs="Arial"/>
          <w:b/>
        </w:rPr>
        <w:t>Sujeto Obligado</w:t>
      </w:r>
      <w:r w:rsidRPr="00E1379C">
        <w:rPr>
          <w:rFonts w:ascii="Palatino Linotype" w:hAnsi="Palatino Linotype" w:cs="Arial"/>
        </w:rPr>
        <w:t xml:space="preserve">, para posteriores ocasiones, atender las solicitudes de información </w:t>
      </w:r>
      <w:r w:rsidR="00216980" w:rsidRPr="00E1379C">
        <w:rPr>
          <w:rFonts w:ascii="Palatino Linotype" w:hAnsi="Palatino Linotype" w:cs="Arial"/>
        </w:rPr>
        <w:t>con la mayor diligencia posible</w:t>
      </w:r>
      <w:r w:rsidRPr="00E1379C">
        <w:rPr>
          <w:rFonts w:ascii="Palatino Linotype" w:hAnsi="Palatino Linotype" w:cs="Arial"/>
        </w:rPr>
        <w:t xml:space="preserve">. </w:t>
      </w:r>
    </w:p>
    <w:p w:rsidR="00AF2861" w:rsidRPr="00E1379C" w:rsidRDefault="00AF2861" w:rsidP="009602BA">
      <w:pPr>
        <w:spacing w:line="360" w:lineRule="auto"/>
        <w:jc w:val="both"/>
        <w:rPr>
          <w:rFonts w:ascii="Palatino Linotype" w:hAnsi="Palatino Linotype" w:cs="Arial"/>
        </w:rPr>
      </w:pPr>
    </w:p>
    <w:p w:rsidR="00AF2861" w:rsidRPr="00E1379C" w:rsidRDefault="00AF2861" w:rsidP="009602BA">
      <w:pPr>
        <w:spacing w:line="360" w:lineRule="auto"/>
        <w:jc w:val="both"/>
        <w:rPr>
          <w:rFonts w:ascii="Palatino Linotype" w:hAnsi="Palatino Linotype" w:cs="Arial"/>
        </w:rPr>
      </w:pPr>
    </w:p>
    <w:p w:rsidR="00AF2861" w:rsidRPr="00E1379C" w:rsidRDefault="00AF2861" w:rsidP="009602BA">
      <w:pPr>
        <w:spacing w:line="360" w:lineRule="auto"/>
        <w:jc w:val="both"/>
        <w:rPr>
          <w:rFonts w:ascii="Palatino Linotype" w:hAnsi="Palatino Linotype" w:cs="Arial"/>
        </w:rPr>
      </w:pPr>
      <w:r w:rsidRPr="00E1379C">
        <w:rPr>
          <w:rFonts w:ascii="Palatino Linotype" w:hAnsi="Palatino Linotype" w:cs="Arial"/>
        </w:rPr>
        <w:lastRenderedPageBreak/>
        <w:t xml:space="preserve">Así las cosas, es necesario hacer del conocimiento del Particular que, de la simple lectura a su Recurso de Revisión, se desprende que el Recurso de Revisión que nos ocupa, no actualiza ninguno de los supuestos previstos en la Ley de la materia conforme a las actuaciones que obran en el expediente electrónico formado en el Sistema de Acceso a la Información Mexiquense </w:t>
      </w:r>
      <w:r w:rsidRPr="00E1379C">
        <w:rPr>
          <w:rFonts w:ascii="Palatino Linotype" w:hAnsi="Palatino Linotype" w:cs="Arial"/>
          <w:b/>
        </w:rPr>
        <w:t>(SAIMEX)</w:t>
      </w:r>
      <w:r w:rsidRPr="00E1379C">
        <w:rPr>
          <w:rFonts w:ascii="Palatino Linotype" w:hAnsi="Palatino Linotype" w:cs="Arial"/>
        </w:rPr>
        <w:t>.</w:t>
      </w:r>
    </w:p>
    <w:p w:rsidR="00AF2861" w:rsidRPr="00E1379C" w:rsidRDefault="00AF2861" w:rsidP="009602BA">
      <w:pPr>
        <w:spacing w:line="360" w:lineRule="auto"/>
        <w:jc w:val="both"/>
        <w:rPr>
          <w:rFonts w:ascii="Palatino Linotype" w:hAnsi="Palatino Linotype" w:cs="Arial"/>
        </w:rPr>
      </w:pPr>
    </w:p>
    <w:p w:rsidR="00D47741" w:rsidRPr="00E1379C" w:rsidRDefault="00AF2861" w:rsidP="009602BA">
      <w:pPr>
        <w:spacing w:line="360" w:lineRule="auto"/>
        <w:jc w:val="both"/>
        <w:rPr>
          <w:rFonts w:ascii="Palatino Linotype" w:hAnsi="Palatino Linotype" w:cs="Arial"/>
        </w:rPr>
      </w:pPr>
      <w:r w:rsidRPr="00E1379C">
        <w:rPr>
          <w:rFonts w:ascii="Palatino Linotype" w:hAnsi="Palatino Linotype" w:cs="Arial"/>
        </w:rPr>
        <w:t>Por tales circunstancias, este Instituto se encuentra impedido a entrar al estudio de fondo, en virtud que el Particular no manifestó razones o motivos de inconformidad, relacionados con la respuesta emitida por parte del Ayuntamiento de Metepec, a fin de atender su solicitud de acceso.</w:t>
      </w:r>
    </w:p>
    <w:p w:rsidR="00216980" w:rsidRPr="00E1379C" w:rsidRDefault="00216980" w:rsidP="009602BA">
      <w:pPr>
        <w:spacing w:line="360" w:lineRule="auto"/>
        <w:jc w:val="both"/>
        <w:rPr>
          <w:rFonts w:ascii="Palatino Linotype" w:hAnsi="Palatino Linotype" w:cs="Arial"/>
        </w:rPr>
      </w:pPr>
    </w:p>
    <w:p w:rsidR="009602BA" w:rsidRPr="00E1379C" w:rsidRDefault="009602BA" w:rsidP="009602BA">
      <w:pPr>
        <w:spacing w:line="360" w:lineRule="auto"/>
        <w:jc w:val="both"/>
        <w:rPr>
          <w:rFonts w:ascii="Palatino Linotype" w:hAnsi="Palatino Linotype"/>
          <w:lang w:eastAsia="es-MX"/>
        </w:rPr>
      </w:pPr>
      <w:r w:rsidRPr="00E1379C">
        <w:rPr>
          <w:rFonts w:ascii="Palatino Linotype" w:hAnsi="Palatino Linotype" w:cs="Arial"/>
        </w:rPr>
        <w:t xml:space="preserve">Adicionalmente, es de precisar que, aunque la solicitud de información y la respuesta estén dirigidas y atendidas por un </w:t>
      </w:r>
      <w:r w:rsidRPr="00E1379C">
        <w:rPr>
          <w:rFonts w:ascii="Palatino Linotype" w:hAnsi="Palatino Linotype" w:cs="Arial"/>
          <w:b/>
        </w:rPr>
        <w:t>Sujeto Obligado</w:t>
      </w:r>
      <w:r w:rsidRPr="00E1379C">
        <w:rPr>
          <w:rFonts w:ascii="Palatino Linotype" w:hAnsi="Palatino Linotype" w:cs="Arial"/>
        </w:rPr>
        <w:t xml:space="preserve">, lo cierto es que también tienen diversas Unidades Administrativas y cada área cuenta con un </w:t>
      </w:r>
      <w:r w:rsidRPr="00E1379C">
        <w:rPr>
          <w:rFonts w:ascii="Palatino Linotype" w:hAnsi="Palatino Linotype" w:cs="Arial"/>
          <w:b/>
        </w:rPr>
        <w:t>Servidor Público Habilitado</w:t>
      </w:r>
      <w:r w:rsidRPr="00E1379C">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9602BA" w:rsidRPr="00E1379C" w:rsidRDefault="009602BA" w:rsidP="009602BA">
      <w:pPr>
        <w:rPr>
          <w:rFonts w:ascii="Palatino Linotype" w:hAnsi="Palatino Linotype"/>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b/>
          <w:i/>
          <w:sz w:val="22"/>
        </w:rPr>
        <w:t>Artículo 3.</w:t>
      </w:r>
      <w:r w:rsidRPr="00E1379C">
        <w:rPr>
          <w:rFonts w:ascii="Palatino Linotype" w:hAnsi="Palatino Linotype" w:cs="Arial"/>
          <w:i/>
          <w:sz w:val="22"/>
        </w:rPr>
        <w:t xml:space="preserve"> Para los efectos de la presente Ley se entenderá por:</w:t>
      </w: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w:t>
      </w: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b/>
          <w:i/>
          <w:sz w:val="22"/>
        </w:rPr>
        <w:t xml:space="preserve">XXXIX. Servidor público habilitado: </w:t>
      </w:r>
      <w:r w:rsidRPr="00E1379C">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w:t>
      </w: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b/>
          <w:i/>
          <w:sz w:val="22"/>
        </w:rPr>
        <w:lastRenderedPageBreak/>
        <w:t>Artículo 58.</w:t>
      </w:r>
      <w:r w:rsidRPr="00E1379C">
        <w:rPr>
          <w:rFonts w:ascii="Palatino Linotype" w:hAnsi="Palatino Linotype" w:cs="Arial"/>
          <w:i/>
          <w:sz w:val="22"/>
        </w:rPr>
        <w:t xml:space="preserve"> Los servidores públicos habilitados serán designados por el titular del sujeto obligado a propuesta del responsable de la Unidad de Transparencia.</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b/>
          <w:i/>
          <w:sz w:val="22"/>
        </w:rPr>
        <w:t>Artículo 59.</w:t>
      </w:r>
      <w:r w:rsidRPr="00E1379C">
        <w:rPr>
          <w:rFonts w:ascii="Palatino Linotype" w:hAnsi="Palatino Linotype" w:cs="Arial"/>
          <w:i/>
          <w:sz w:val="22"/>
        </w:rPr>
        <w:t xml:space="preserve"> </w:t>
      </w:r>
      <w:r w:rsidRPr="00E1379C">
        <w:rPr>
          <w:rFonts w:ascii="Palatino Linotype" w:hAnsi="Palatino Linotype" w:cs="Arial"/>
          <w:b/>
          <w:i/>
          <w:sz w:val="22"/>
          <w:u w:val="single"/>
        </w:rPr>
        <w:t>Los servidores públicos habilitados</w:t>
      </w:r>
      <w:r w:rsidRPr="00E1379C">
        <w:rPr>
          <w:rFonts w:ascii="Palatino Linotype" w:hAnsi="Palatino Linotype" w:cs="Arial"/>
          <w:i/>
          <w:sz w:val="22"/>
        </w:rPr>
        <w:t xml:space="preserve"> tendrán las funciones siguientes:</w:t>
      </w: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 xml:space="preserve">I. </w:t>
      </w:r>
      <w:r w:rsidRPr="00E1379C">
        <w:rPr>
          <w:rFonts w:ascii="Palatino Linotype" w:hAnsi="Palatino Linotype" w:cs="Arial"/>
          <w:b/>
          <w:i/>
          <w:sz w:val="22"/>
          <w:u w:val="single"/>
        </w:rPr>
        <w:t>Localizar la información que le solicite la Unidad de Transparencia</w:t>
      </w:r>
      <w:r w:rsidRPr="00E1379C">
        <w:rPr>
          <w:rFonts w:ascii="Palatino Linotype" w:hAnsi="Palatino Linotype" w:cs="Arial"/>
          <w:i/>
          <w:sz w:val="22"/>
        </w:rPr>
        <w:t>;</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 xml:space="preserve">II. </w:t>
      </w:r>
      <w:r w:rsidRPr="00E1379C">
        <w:rPr>
          <w:rFonts w:ascii="Palatino Linotype" w:hAnsi="Palatino Linotype" w:cs="Arial"/>
          <w:b/>
          <w:i/>
          <w:sz w:val="22"/>
          <w:u w:val="single"/>
        </w:rPr>
        <w:t>Proporcionar la información que obre en los archivos y que le sea solicitada por la Unidad de Transparencia</w:t>
      </w:r>
      <w:r w:rsidRPr="00E1379C">
        <w:rPr>
          <w:rFonts w:ascii="Palatino Linotype" w:hAnsi="Palatino Linotype" w:cs="Arial"/>
          <w:i/>
          <w:sz w:val="22"/>
        </w:rPr>
        <w:t>;</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III. Apoyar a la Unidad de Transparencia en lo que esta le solicite para el cumplimiento de sus funciones;</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IV. Proporcionar a la Unidad de Transparencia, las modificaciones a la información pública de oficio que obre en su poder;</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VI. Verificar, una vez analizado el contenido de la información, que no se encuentre en los supuestos de información clasificada; y</w:t>
      </w:r>
    </w:p>
    <w:p w:rsidR="009602BA" w:rsidRPr="00E1379C" w:rsidRDefault="009602BA" w:rsidP="009602BA">
      <w:pPr>
        <w:autoSpaceDE w:val="0"/>
        <w:autoSpaceDN w:val="0"/>
        <w:adjustRightInd w:val="0"/>
        <w:ind w:left="567" w:right="708"/>
        <w:jc w:val="both"/>
        <w:rPr>
          <w:rFonts w:ascii="Palatino Linotype" w:hAnsi="Palatino Linotype" w:cs="Arial"/>
          <w:i/>
          <w:sz w:val="22"/>
        </w:rPr>
      </w:pPr>
    </w:p>
    <w:p w:rsidR="009602BA" w:rsidRPr="00E1379C" w:rsidRDefault="009602BA" w:rsidP="009602BA">
      <w:pPr>
        <w:autoSpaceDE w:val="0"/>
        <w:autoSpaceDN w:val="0"/>
        <w:adjustRightInd w:val="0"/>
        <w:ind w:left="567" w:right="708"/>
        <w:jc w:val="both"/>
        <w:rPr>
          <w:rFonts w:ascii="Palatino Linotype" w:hAnsi="Palatino Linotype" w:cs="Arial"/>
          <w:i/>
          <w:sz w:val="22"/>
        </w:rPr>
      </w:pPr>
      <w:r w:rsidRPr="00E1379C">
        <w:rPr>
          <w:rFonts w:ascii="Palatino Linotype" w:hAnsi="Palatino Linotype" w:cs="Arial"/>
          <w:i/>
          <w:sz w:val="22"/>
        </w:rPr>
        <w:t>VII. Dar cuenta a la Unidad de Transparencia del vencimiento de los plazos de reserva.</w:t>
      </w:r>
    </w:p>
    <w:p w:rsidR="009602BA" w:rsidRPr="00E1379C" w:rsidRDefault="009602BA" w:rsidP="009602BA">
      <w:pPr>
        <w:spacing w:line="360" w:lineRule="auto"/>
        <w:jc w:val="both"/>
        <w:rPr>
          <w:rFonts w:ascii="Palatino Linotype" w:hAnsi="Palatino Linotype"/>
          <w:lang w:eastAsia="es-MX"/>
        </w:rPr>
      </w:pPr>
    </w:p>
    <w:p w:rsidR="009602BA" w:rsidRPr="00E1379C" w:rsidRDefault="009602BA" w:rsidP="009602BA">
      <w:pPr>
        <w:spacing w:line="360" w:lineRule="auto"/>
        <w:jc w:val="both"/>
        <w:rPr>
          <w:rFonts w:ascii="Palatino Linotype" w:hAnsi="Palatino Linotype"/>
          <w:lang w:eastAsia="es-MX"/>
        </w:rPr>
      </w:pPr>
      <w:r w:rsidRPr="00E1379C">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rsidR="009602BA" w:rsidRPr="00E1379C" w:rsidRDefault="009602BA" w:rsidP="009602BA">
      <w:pPr>
        <w:spacing w:line="360" w:lineRule="auto"/>
        <w:jc w:val="both"/>
        <w:rPr>
          <w:rFonts w:ascii="Palatino Linotype" w:hAnsi="Palatino Linotype"/>
          <w:sz w:val="10"/>
          <w:lang w:eastAsia="es-MX"/>
        </w:rPr>
      </w:pPr>
    </w:p>
    <w:p w:rsidR="009602BA" w:rsidRPr="00E1379C" w:rsidRDefault="009602BA" w:rsidP="009602BA">
      <w:pPr>
        <w:spacing w:line="360" w:lineRule="auto"/>
        <w:jc w:val="both"/>
        <w:rPr>
          <w:rFonts w:ascii="Palatino Linotype" w:hAnsi="Palatino Linotype"/>
          <w:sz w:val="10"/>
          <w:lang w:eastAsia="es-MX"/>
        </w:rPr>
      </w:pPr>
    </w:p>
    <w:p w:rsidR="009602BA" w:rsidRPr="00E1379C" w:rsidRDefault="009602BA" w:rsidP="00C52084">
      <w:pPr>
        <w:ind w:left="567"/>
        <w:jc w:val="both"/>
        <w:rPr>
          <w:rFonts w:ascii="Palatino Linotype" w:hAnsi="Palatino Linotype"/>
          <w:i/>
          <w:sz w:val="18"/>
          <w:szCs w:val="20"/>
          <w:lang w:eastAsia="es-MX"/>
        </w:rPr>
      </w:pPr>
      <w:r w:rsidRPr="00E1379C">
        <w:rPr>
          <w:rFonts w:ascii="Palatino Linotype" w:hAnsi="Palatino Linotype"/>
          <w:i/>
          <w:sz w:val="22"/>
          <w:szCs w:val="20"/>
          <w:lang w:eastAsia="es-MX"/>
        </w:rPr>
        <w:t>“</w:t>
      </w:r>
      <w:r w:rsidRPr="00E1379C">
        <w:rPr>
          <w:rFonts w:ascii="Palatino Linotype" w:hAnsi="Palatino Linotype"/>
          <w:b/>
          <w:bCs/>
          <w:i/>
          <w:sz w:val="22"/>
          <w:szCs w:val="20"/>
          <w:lang w:eastAsia="es-MX"/>
        </w:rPr>
        <w:t xml:space="preserve">Artículo 162. </w:t>
      </w:r>
      <w:r w:rsidRPr="00E1379C">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E1379C">
        <w:rPr>
          <w:rFonts w:ascii="Palatino Linotype" w:hAnsi="Palatino Linotype"/>
          <w:i/>
          <w:sz w:val="22"/>
          <w:szCs w:val="20"/>
          <w:lang w:eastAsia="es-MX"/>
        </w:rPr>
        <w:t>”</w:t>
      </w:r>
    </w:p>
    <w:p w:rsidR="00EE7775" w:rsidRPr="00E1379C" w:rsidRDefault="00EE7775" w:rsidP="00614A53">
      <w:pPr>
        <w:autoSpaceDE w:val="0"/>
        <w:autoSpaceDN w:val="0"/>
        <w:adjustRightInd w:val="0"/>
        <w:spacing w:line="360" w:lineRule="auto"/>
        <w:jc w:val="both"/>
        <w:rPr>
          <w:rFonts w:ascii="Palatino Linotype" w:eastAsiaTheme="minorHAnsi" w:hAnsi="Palatino Linotype" w:cs="Arial"/>
          <w:lang w:val="es-MX" w:eastAsia="en-US"/>
        </w:rPr>
      </w:pPr>
    </w:p>
    <w:p w:rsidR="00614A53" w:rsidRPr="00E1379C" w:rsidRDefault="00614A53" w:rsidP="00614A53">
      <w:pPr>
        <w:autoSpaceDE w:val="0"/>
        <w:autoSpaceDN w:val="0"/>
        <w:adjustRightInd w:val="0"/>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 xml:space="preserve">Hasta lo aquí expuesto, se advierte que se actualiza la hipótesis prevista en el artículo 191, fracción </w:t>
      </w:r>
      <w:r w:rsidR="00AF2861" w:rsidRPr="00E1379C">
        <w:rPr>
          <w:rFonts w:ascii="Palatino Linotype" w:eastAsiaTheme="minorHAnsi" w:hAnsi="Palatino Linotype" w:cs="Arial"/>
          <w:lang w:val="es-MX" w:eastAsia="en-US"/>
        </w:rPr>
        <w:t>III</w:t>
      </w:r>
      <w:r w:rsidRPr="00E1379C">
        <w:rPr>
          <w:rFonts w:ascii="Palatino Linotype" w:eastAsiaTheme="minorHAnsi" w:hAnsi="Palatino Linotype" w:cs="Arial"/>
          <w:lang w:val="es-MX" w:eastAsia="en-US"/>
        </w:rPr>
        <w:t>, de la Ley de Transparencia y Acceso a la Información Pública del Estado de México y Municipios en vigor, que a la letra dice:</w:t>
      </w:r>
    </w:p>
    <w:p w:rsidR="00614A53" w:rsidRPr="00E1379C"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E1379C">
        <w:rPr>
          <w:rFonts w:ascii="Palatino Linotype" w:eastAsiaTheme="minorHAnsi" w:hAnsi="Palatino Linotype" w:cs="Arial"/>
          <w:i/>
          <w:lang w:val="es-MX" w:eastAsia="en-US"/>
        </w:rPr>
        <w:lastRenderedPageBreak/>
        <w:t>“</w:t>
      </w:r>
      <w:r w:rsidRPr="00E1379C">
        <w:rPr>
          <w:rFonts w:ascii="Palatino Linotype" w:eastAsiaTheme="minorHAnsi" w:hAnsi="Palatino Linotype" w:cs="Arial"/>
          <w:b/>
          <w:i/>
          <w:lang w:val="es-MX" w:eastAsia="en-US"/>
        </w:rPr>
        <w:t>Artículo 191</w:t>
      </w:r>
      <w:r w:rsidRPr="00E1379C">
        <w:rPr>
          <w:rFonts w:ascii="Palatino Linotype" w:eastAsiaTheme="minorHAnsi" w:hAnsi="Palatino Linotype" w:cs="Arial"/>
          <w:i/>
          <w:lang w:val="es-MX" w:eastAsia="en-US"/>
        </w:rPr>
        <w:t>. El recurso será desechado por improcedente cuando:</w:t>
      </w:r>
    </w:p>
    <w:p w:rsidR="00614A53" w:rsidRPr="00E1379C"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E1379C">
        <w:rPr>
          <w:rFonts w:ascii="Palatino Linotype" w:eastAsiaTheme="minorHAnsi" w:hAnsi="Palatino Linotype" w:cs="Arial"/>
          <w:i/>
          <w:lang w:val="es-MX" w:eastAsia="en-US"/>
        </w:rPr>
        <w:t>(…)</w:t>
      </w:r>
    </w:p>
    <w:p w:rsidR="00AF2861" w:rsidRPr="00E1379C" w:rsidRDefault="00AF2861" w:rsidP="00614A53">
      <w:pPr>
        <w:autoSpaceDE w:val="0"/>
        <w:autoSpaceDN w:val="0"/>
        <w:adjustRightInd w:val="0"/>
        <w:ind w:left="567" w:right="616"/>
        <w:jc w:val="both"/>
        <w:rPr>
          <w:rFonts w:ascii="Palatino Linotype" w:eastAsiaTheme="minorHAnsi" w:hAnsi="Palatino Linotype" w:cs="Arial"/>
          <w:b/>
          <w:i/>
          <w:lang w:val="es-MX" w:eastAsia="en-US"/>
        </w:rPr>
      </w:pPr>
      <w:r w:rsidRPr="00E1379C">
        <w:rPr>
          <w:rFonts w:ascii="Palatino Linotype" w:eastAsiaTheme="minorHAnsi" w:hAnsi="Palatino Linotype" w:cs="Arial"/>
          <w:b/>
          <w:i/>
          <w:lang w:val="es-MX" w:eastAsia="en-US"/>
        </w:rPr>
        <w:t xml:space="preserve">III. </w:t>
      </w:r>
      <w:r w:rsidRPr="00E1379C">
        <w:rPr>
          <w:rFonts w:ascii="Palatino Linotype" w:eastAsiaTheme="minorHAnsi" w:hAnsi="Palatino Linotype" w:cs="Arial"/>
          <w:i/>
          <w:u w:val="single"/>
          <w:lang w:val="es-MX" w:eastAsia="en-US"/>
        </w:rPr>
        <w:t>No actualice alguno de los supuestos previstos en la presente Ley</w:t>
      </w:r>
      <w:r w:rsidRPr="00E1379C">
        <w:rPr>
          <w:rFonts w:ascii="Palatino Linotype" w:eastAsiaTheme="minorHAnsi" w:hAnsi="Palatino Linotype" w:cs="Arial"/>
          <w:i/>
          <w:lang w:val="es-MX" w:eastAsia="en-US"/>
        </w:rPr>
        <w:t>;</w:t>
      </w:r>
      <w:r w:rsidRPr="00E1379C">
        <w:rPr>
          <w:rFonts w:ascii="Palatino Linotype" w:eastAsiaTheme="minorHAnsi" w:hAnsi="Palatino Linotype" w:cs="Arial"/>
          <w:b/>
          <w:i/>
          <w:lang w:val="es-MX" w:eastAsia="en-US"/>
        </w:rPr>
        <w:t xml:space="preserve"> </w:t>
      </w:r>
    </w:p>
    <w:p w:rsidR="00614A53" w:rsidRPr="00E1379C"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E1379C">
        <w:rPr>
          <w:rFonts w:ascii="Palatino Linotype" w:eastAsiaTheme="minorHAnsi" w:hAnsi="Palatino Linotype" w:cs="Arial"/>
          <w:i/>
          <w:lang w:val="es-MX" w:eastAsia="en-US"/>
        </w:rPr>
        <w:t>(…)</w:t>
      </w:r>
    </w:p>
    <w:p w:rsidR="009602BA" w:rsidRPr="00E1379C" w:rsidRDefault="009602BA" w:rsidP="009602BA">
      <w:pPr>
        <w:autoSpaceDE w:val="0"/>
        <w:autoSpaceDN w:val="0"/>
        <w:adjustRightInd w:val="0"/>
        <w:spacing w:line="360" w:lineRule="auto"/>
        <w:jc w:val="both"/>
        <w:rPr>
          <w:rFonts w:ascii="Palatino Linotype" w:eastAsiaTheme="minorHAnsi" w:hAnsi="Palatino Linotype" w:cs="Arial"/>
          <w:szCs w:val="22"/>
          <w:lang w:val="es-MX" w:eastAsia="en-US"/>
        </w:rPr>
      </w:pPr>
    </w:p>
    <w:p w:rsidR="009602BA" w:rsidRPr="00E1379C" w:rsidRDefault="009602BA" w:rsidP="009602BA">
      <w:pPr>
        <w:autoSpaceDE w:val="0"/>
        <w:autoSpaceDN w:val="0"/>
        <w:adjustRightInd w:val="0"/>
        <w:spacing w:line="360" w:lineRule="auto"/>
        <w:jc w:val="both"/>
        <w:rPr>
          <w:rFonts w:ascii="Palatino Linotype" w:hAnsi="Palatino Linotype" w:cs="Arial"/>
        </w:rPr>
      </w:pPr>
      <w:r w:rsidRPr="00E1379C">
        <w:rPr>
          <w:rFonts w:ascii="Palatino Linotype" w:eastAsiaTheme="minorHAnsi" w:hAnsi="Palatino Linotype" w:cs="Arial"/>
          <w:szCs w:val="22"/>
          <w:lang w:val="es-MX" w:eastAsia="en-US"/>
        </w:rPr>
        <w:t xml:space="preserve">En conclusión, la ley de la materia establece </w:t>
      </w:r>
      <w:r w:rsidR="00614A53" w:rsidRPr="00E1379C">
        <w:rPr>
          <w:rFonts w:ascii="Palatino Linotype" w:hAnsi="Palatino Linotype" w:cs="Arial"/>
        </w:rPr>
        <w:t xml:space="preserve">en la fracción </w:t>
      </w:r>
      <w:r w:rsidRPr="00E1379C">
        <w:rPr>
          <w:rFonts w:ascii="Palatino Linotype" w:hAnsi="Palatino Linotype" w:cs="Arial"/>
        </w:rPr>
        <w:t>I</w:t>
      </w:r>
      <w:r w:rsidR="00614A53" w:rsidRPr="00E1379C">
        <w:rPr>
          <w:rFonts w:ascii="Palatino Linotype" w:hAnsi="Palatino Linotype" w:cs="Arial"/>
        </w:rPr>
        <w:t>V</w:t>
      </w:r>
      <w:r w:rsidRPr="00E1379C">
        <w:rPr>
          <w:rFonts w:ascii="Palatino Linotype" w:hAnsi="Palatino Linotype" w:cs="Arial"/>
        </w:rPr>
        <w:t>, del artículo 192, de la Ley de Transparencia vigente en la entidad, que a la letra establecen:</w:t>
      </w:r>
    </w:p>
    <w:p w:rsidR="00AF2861" w:rsidRPr="00E1379C" w:rsidRDefault="00AF2861" w:rsidP="009602BA">
      <w:pPr>
        <w:autoSpaceDE w:val="0"/>
        <w:autoSpaceDN w:val="0"/>
        <w:adjustRightInd w:val="0"/>
        <w:spacing w:line="360" w:lineRule="auto"/>
        <w:jc w:val="both"/>
        <w:rPr>
          <w:rFonts w:ascii="Palatino Linotype" w:hAnsi="Palatino Linotype" w:cs="Arial"/>
        </w:rPr>
      </w:pPr>
    </w:p>
    <w:p w:rsidR="009602BA" w:rsidRPr="00E1379C" w:rsidRDefault="009602BA" w:rsidP="00EE7775">
      <w:pPr>
        <w:autoSpaceDE w:val="0"/>
        <w:autoSpaceDN w:val="0"/>
        <w:adjustRightInd w:val="0"/>
        <w:ind w:left="708"/>
        <w:jc w:val="both"/>
        <w:rPr>
          <w:rFonts w:ascii="Palatino Linotype" w:hAnsi="Palatino Linotype"/>
          <w:i/>
          <w:sz w:val="22"/>
        </w:rPr>
      </w:pPr>
      <w:r w:rsidRPr="00E1379C">
        <w:rPr>
          <w:rFonts w:ascii="Palatino Linotype" w:hAnsi="Palatino Linotype"/>
          <w:i/>
          <w:sz w:val="22"/>
        </w:rPr>
        <w:t>“</w:t>
      </w:r>
      <w:r w:rsidRPr="00E1379C">
        <w:rPr>
          <w:rFonts w:ascii="Palatino Linotype" w:hAnsi="Palatino Linotype"/>
          <w:b/>
          <w:i/>
          <w:sz w:val="22"/>
        </w:rPr>
        <w:t xml:space="preserve">Artículo 192. </w:t>
      </w:r>
      <w:r w:rsidRPr="00E1379C">
        <w:rPr>
          <w:rFonts w:ascii="Palatino Linotype" w:hAnsi="Palatino Linotype"/>
          <w:b/>
          <w:i/>
          <w:sz w:val="22"/>
          <w:u w:val="single"/>
        </w:rPr>
        <w:t>El recurso será sobreseído, en todo o en parte, cuando una vez admitido, se actualicen alguno de los siguientes supuestos</w:t>
      </w:r>
      <w:r w:rsidRPr="00E1379C">
        <w:rPr>
          <w:rFonts w:ascii="Palatino Linotype" w:hAnsi="Palatino Linotype"/>
          <w:i/>
          <w:sz w:val="22"/>
        </w:rPr>
        <w:t>:</w:t>
      </w:r>
    </w:p>
    <w:p w:rsidR="009602BA" w:rsidRPr="00E1379C" w:rsidRDefault="009602BA" w:rsidP="00EE7775">
      <w:pPr>
        <w:autoSpaceDE w:val="0"/>
        <w:autoSpaceDN w:val="0"/>
        <w:adjustRightInd w:val="0"/>
        <w:ind w:left="708"/>
        <w:jc w:val="both"/>
        <w:rPr>
          <w:rFonts w:ascii="Palatino Linotype" w:hAnsi="Palatino Linotype"/>
          <w:i/>
          <w:sz w:val="22"/>
        </w:rPr>
      </w:pPr>
    </w:p>
    <w:p w:rsidR="009602BA" w:rsidRPr="00E1379C" w:rsidRDefault="009602BA" w:rsidP="00EE7775">
      <w:pPr>
        <w:numPr>
          <w:ilvl w:val="0"/>
          <w:numId w:val="18"/>
        </w:numPr>
        <w:autoSpaceDE w:val="0"/>
        <w:autoSpaceDN w:val="0"/>
        <w:adjustRightInd w:val="0"/>
        <w:jc w:val="both"/>
        <w:rPr>
          <w:rFonts w:ascii="Palatino Linotype" w:hAnsi="Palatino Linotype"/>
          <w:i/>
          <w:sz w:val="22"/>
        </w:rPr>
      </w:pPr>
      <w:r w:rsidRPr="00E1379C">
        <w:rPr>
          <w:rFonts w:ascii="Palatino Linotype" w:hAnsi="Palatino Linotype"/>
          <w:i/>
          <w:sz w:val="22"/>
        </w:rPr>
        <w:t xml:space="preserve">El recurrente se desista expresamente del recurso; </w:t>
      </w:r>
    </w:p>
    <w:p w:rsidR="009602BA" w:rsidRPr="00E1379C" w:rsidRDefault="009602BA" w:rsidP="00EE7775">
      <w:pPr>
        <w:numPr>
          <w:ilvl w:val="0"/>
          <w:numId w:val="18"/>
        </w:numPr>
        <w:autoSpaceDE w:val="0"/>
        <w:autoSpaceDN w:val="0"/>
        <w:adjustRightInd w:val="0"/>
        <w:jc w:val="both"/>
        <w:rPr>
          <w:rFonts w:ascii="Palatino Linotype" w:hAnsi="Palatino Linotype" w:cs="Arial"/>
          <w:i/>
          <w:sz w:val="22"/>
        </w:rPr>
      </w:pPr>
      <w:r w:rsidRPr="00E1379C">
        <w:rPr>
          <w:rFonts w:ascii="Palatino Linotype" w:hAnsi="Palatino Linotype"/>
          <w:i/>
          <w:sz w:val="22"/>
        </w:rPr>
        <w:t xml:space="preserve">El recurrente fallezca o, tratándose de personas jurídicas colectivas, se disuelva; </w:t>
      </w:r>
    </w:p>
    <w:p w:rsidR="009602BA" w:rsidRPr="00E1379C" w:rsidRDefault="009602BA" w:rsidP="00EE7775">
      <w:pPr>
        <w:numPr>
          <w:ilvl w:val="0"/>
          <w:numId w:val="18"/>
        </w:numPr>
        <w:autoSpaceDE w:val="0"/>
        <w:autoSpaceDN w:val="0"/>
        <w:adjustRightInd w:val="0"/>
        <w:jc w:val="both"/>
        <w:rPr>
          <w:rFonts w:ascii="Palatino Linotype" w:hAnsi="Palatino Linotype" w:cs="Arial"/>
          <w:i/>
          <w:sz w:val="22"/>
        </w:rPr>
      </w:pPr>
      <w:r w:rsidRPr="00E1379C">
        <w:rPr>
          <w:rFonts w:ascii="Palatino Linotype" w:hAnsi="Palatino Linotype"/>
          <w:i/>
          <w:sz w:val="22"/>
        </w:rPr>
        <w:t xml:space="preserve">El sujeto obligado responsable del acto lo modifique o revoque de tal manera que el recurso de revisión quede sin materia; </w:t>
      </w:r>
    </w:p>
    <w:p w:rsidR="009602BA" w:rsidRPr="00E1379C" w:rsidRDefault="009602BA" w:rsidP="00EE7775">
      <w:pPr>
        <w:numPr>
          <w:ilvl w:val="0"/>
          <w:numId w:val="18"/>
        </w:numPr>
        <w:autoSpaceDE w:val="0"/>
        <w:autoSpaceDN w:val="0"/>
        <w:adjustRightInd w:val="0"/>
        <w:jc w:val="both"/>
        <w:rPr>
          <w:rFonts w:ascii="Palatino Linotype" w:hAnsi="Palatino Linotype" w:cs="Arial"/>
          <w:i/>
          <w:sz w:val="22"/>
        </w:rPr>
      </w:pPr>
      <w:r w:rsidRPr="00E1379C">
        <w:rPr>
          <w:rFonts w:ascii="Palatino Linotype" w:hAnsi="Palatino Linotype"/>
          <w:b/>
          <w:i/>
          <w:sz w:val="22"/>
          <w:u w:val="single"/>
        </w:rPr>
        <w:t>Admitido el recurso de revisión, aparezca alguna causal de improcedencia en los términos de la presente Ley</w:t>
      </w:r>
      <w:r w:rsidRPr="00E1379C">
        <w:rPr>
          <w:rFonts w:ascii="Palatino Linotype" w:hAnsi="Palatino Linotype"/>
          <w:i/>
          <w:sz w:val="22"/>
        </w:rPr>
        <w:t xml:space="preserve">; y </w:t>
      </w:r>
    </w:p>
    <w:p w:rsidR="009602BA" w:rsidRPr="00E1379C" w:rsidRDefault="009602BA" w:rsidP="00EE7775">
      <w:pPr>
        <w:numPr>
          <w:ilvl w:val="0"/>
          <w:numId w:val="18"/>
        </w:numPr>
        <w:autoSpaceDE w:val="0"/>
        <w:autoSpaceDN w:val="0"/>
        <w:adjustRightInd w:val="0"/>
        <w:jc w:val="both"/>
        <w:rPr>
          <w:rFonts w:ascii="Palatino Linotype" w:hAnsi="Palatino Linotype" w:cs="Arial"/>
          <w:i/>
          <w:sz w:val="22"/>
        </w:rPr>
      </w:pPr>
      <w:r w:rsidRPr="00E1379C">
        <w:rPr>
          <w:rFonts w:ascii="Palatino Linotype" w:hAnsi="Palatino Linotype"/>
          <w:i/>
          <w:sz w:val="22"/>
        </w:rPr>
        <w:t>Cuando por cualquier motivo quede sin materia el recurso.”</w:t>
      </w:r>
    </w:p>
    <w:p w:rsidR="009602BA" w:rsidRPr="00E1379C" w:rsidRDefault="009602BA" w:rsidP="009602BA">
      <w:pPr>
        <w:spacing w:after="160" w:line="259" w:lineRule="auto"/>
        <w:rPr>
          <w:rFonts w:ascii="Palatino Linotype" w:eastAsiaTheme="minorHAnsi" w:hAnsi="Palatino Linotype" w:cstheme="minorBidi"/>
          <w:szCs w:val="22"/>
        </w:rPr>
      </w:pPr>
    </w:p>
    <w:p w:rsidR="00EE7775" w:rsidRPr="00E1379C" w:rsidRDefault="00EE7775" w:rsidP="009602BA">
      <w:pPr>
        <w:autoSpaceDE w:val="0"/>
        <w:autoSpaceDN w:val="0"/>
        <w:adjustRightInd w:val="0"/>
        <w:spacing w:line="360" w:lineRule="auto"/>
        <w:jc w:val="both"/>
        <w:rPr>
          <w:rFonts w:ascii="Palatino Linotype" w:hAnsi="Palatino Linotype"/>
          <w:sz w:val="14"/>
        </w:rPr>
      </w:pPr>
    </w:p>
    <w:p w:rsidR="009602BA" w:rsidRPr="00E1379C" w:rsidRDefault="009602BA" w:rsidP="009602BA">
      <w:pPr>
        <w:autoSpaceDE w:val="0"/>
        <w:autoSpaceDN w:val="0"/>
        <w:adjustRightInd w:val="0"/>
        <w:spacing w:line="360" w:lineRule="auto"/>
        <w:jc w:val="both"/>
        <w:rPr>
          <w:rFonts w:ascii="Palatino Linotype" w:hAnsi="Palatino Linotype"/>
          <w:b/>
          <w:u w:val="single"/>
        </w:rPr>
      </w:pPr>
      <w:r w:rsidRPr="00E1379C">
        <w:rPr>
          <w:rFonts w:ascii="Palatino Linotype" w:hAnsi="Palatino Linotype"/>
        </w:rPr>
        <w:t xml:space="preserve">Es importante resaltar a manera de analogía que la Suprema Corte de Justicia de la Nación mediante el número 2 de la Serie </w:t>
      </w:r>
      <w:r w:rsidRPr="00E1379C">
        <w:rPr>
          <w:rFonts w:ascii="Palatino Linotype" w:hAnsi="Palatino Linotype"/>
          <w:i/>
        </w:rPr>
        <w:t xml:space="preserve">Estudios Introductorios sobre el Juicio de Amparo </w:t>
      </w:r>
      <w:r w:rsidRPr="00E1379C">
        <w:rPr>
          <w:rFonts w:ascii="Palatino Linotype" w:hAnsi="Palatino Linotype"/>
        </w:rPr>
        <w:t xml:space="preserve">relativo a </w:t>
      </w:r>
      <w:r w:rsidRPr="00E1379C">
        <w:rPr>
          <w:rFonts w:ascii="Palatino Linotype" w:hAnsi="Palatino Linotype"/>
          <w:i/>
        </w:rPr>
        <w:t xml:space="preserve">LA IMPROCEDENCIA DE LA ACCIÓN DE AMPARO </w:t>
      </w:r>
      <w:r w:rsidRPr="00E1379C">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E1379C">
        <w:rPr>
          <w:rFonts w:ascii="Palatino Linotype" w:hAnsi="Palatino Linotype"/>
          <w:b/>
          <w:u w:val="single"/>
        </w:rPr>
        <w:t>lo que generará que la demanda sea desechada; o bien, después de admitida la demanda, lo que tendrá como consecuencia que se sobresea en el juicio.</w:t>
      </w:r>
    </w:p>
    <w:p w:rsidR="009602BA" w:rsidRPr="00E1379C" w:rsidRDefault="009602BA" w:rsidP="009602BA">
      <w:pPr>
        <w:autoSpaceDE w:val="0"/>
        <w:autoSpaceDN w:val="0"/>
        <w:adjustRightInd w:val="0"/>
        <w:spacing w:line="360" w:lineRule="auto"/>
        <w:jc w:val="both"/>
        <w:rPr>
          <w:rFonts w:ascii="Palatino Linotype" w:hAnsi="Palatino Linotype"/>
          <w:b/>
          <w:u w:val="single"/>
        </w:rPr>
      </w:pPr>
    </w:p>
    <w:p w:rsidR="00AF2861" w:rsidRPr="00E1379C" w:rsidRDefault="00AF2861" w:rsidP="00AF2861">
      <w:pPr>
        <w:autoSpaceDE w:val="0"/>
        <w:autoSpaceDN w:val="0"/>
        <w:adjustRightInd w:val="0"/>
        <w:spacing w:line="360" w:lineRule="auto"/>
        <w:jc w:val="both"/>
        <w:rPr>
          <w:rFonts w:ascii="Palatino Linotype" w:hAnsi="Palatino Linotype"/>
        </w:rPr>
      </w:pPr>
      <w:r w:rsidRPr="00E1379C">
        <w:rPr>
          <w:rFonts w:ascii="Palatino Linotype" w:hAnsi="Palatino Linotype"/>
        </w:rPr>
        <w:lastRenderedPageBreak/>
        <w:t xml:space="preserve">En este orden de ideas, es conducente colegir que en el presente Recurso de Revisión, se actualizó la causal de improcedencia prevista en la fracción III, del numeral 191, de la Ley de Transparencia y Acceso a la Información Pública del Estado de México y Municipios, en virtud que no se actualizó ningún supuesto de procedencia señalado en el ordenamiento en cita. </w:t>
      </w:r>
    </w:p>
    <w:p w:rsidR="00AF2861" w:rsidRPr="00E1379C" w:rsidRDefault="00AF2861" w:rsidP="00AF2861">
      <w:pPr>
        <w:autoSpaceDE w:val="0"/>
        <w:autoSpaceDN w:val="0"/>
        <w:adjustRightInd w:val="0"/>
        <w:spacing w:line="360" w:lineRule="auto"/>
        <w:jc w:val="both"/>
        <w:rPr>
          <w:rFonts w:ascii="Palatino Linotype" w:hAnsi="Palatino Linotype"/>
        </w:rPr>
      </w:pPr>
    </w:p>
    <w:p w:rsidR="00AF2861" w:rsidRPr="00E1379C" w:rsidRDefault="00AF2861" w:rsidP="00AF2861">
      <w:pPr>
        <w:autoSpaceDE w:val="0"/>
        <w:autoSpaceDN w:val="0"/>
        <w:adjustRightInd w:val="0"/>
        <w:spacing w:line="360" w:lineRule="auto"/>
        <w:jc w:val="both"/>
        <w:rPr>
          <w:rFonts w:ascii="Palatino Linotype" w:hAnsi="Palatino Linotype"/>
        </w:rPr>
      </w:pPr>
      <w:r w:rsidRPr="00E1379C">
        <w:rPr>
          <w:rFonts w:ascii="Palatino Linotype" w:hAnsi="Palatino Linotype"/>
        </w:rPr>
        <w:t>Finalmente, no se deja de lado que se dejan a salvo los derechos del Particular a fin de que de considerarlo pertinente, interponga una nueva solicitud de acceso ante el Ayuntamiento de Metepec, a fin de solicitar la información de su interés.</w:t>
      </w:r>
    </w:p>
    <w:p w:rsidR="00AF2861" w:rsidRPr="00E1379C" w:rsidRDefault="00AF2861" w:rsidP="009602BA">
      <w:pPr>
        <w:autoSpaceDE w:val="0"/>
        <w:autoSpaceDN w:val="0"/>
        <w:adjustRightInd w:val="0"/>
        <w:spacing w:line="360" w:lineRule="auto"/>
        <w:jc w:val="both"/>
        <w:rPr>
          <w:rFonts w:ascii="Palatino Linotype" w:hAnsi="Palatino Linotype"/>
          <w:b/>
          <w:u w:val="single"/>
        </w:rPr>
      </w:pPr>
    </w:p>
    <w:p w:rsidR="009602BA" w:rsidRPr="00E1379C" w:rsidRDefault="009602BA" w:rsidP="009602BA">
      <w:pPr>
        <w:spacing w:line="360" w:lineRule="auto"/>
        <w:ind w:right="51"/>
        <w:jc w:val="both"/>
        <w:rPr>
          <w:rFonts w:ascii="Palatino Linotype" w:hAnsi="Palatino Linotype" w:cs="Arial"/>
          <w:bCs/>
          <w:lang w:eastAsia="es-MX"/>
        </w:rPr>
      </w:pPr>
      <w:r w:rsidRPr="00E1379C">
        <w:rPr>
          <w:rFonts w:ascii="Palatino Linotype" w:hAnsi="Palatino Linotype" w:cs="Arial"/>
        </w:rPr>
        <w:t>En mérito de lo expuesto en líneas anteriores</w:t>
      </w:r>
      <w:r w:rsidRPr="00E1379C">
        <w:rPr>
          <w:rFonts w:ascii="Palatino Linotype" w:hAnsi="Palatino Linotype"/>
          <w:noProof/>
          <w:lang w:eastAsia="es-MX"/>
        </w:rPr>
        <w:t xml:space="preserve">, resultan parcialmente procedentes los motivos de inconformidad que arguye </w:t>
      </w:r>
      <w:r w:rsidR="00D96D23" w:rsidRPr="00E1379C">
        <w:rPr>
          <w:rFonts w:ascii="Palatino Linotype" w:hAnsi="Palatino Linotype"/>
          <w:b/>
          <w:noProof/>
          <w:lang w:eastAsia="es-MX"/>
        </w:rPr>
        <w:t>El</w:t>
      </w:r>
      <w:r w:rsidRPr="00E1379C">
        <w:rPr>
          <w:rFonts w:ascii="Palatino Linotype" w:hAnsi="Palatino Linotype"/>
          <w:b/>
          <w:noProof/>
          <w:lang w:eastAsia="es-MX"/>
        </w:rPr>
        <w:t xml:space="preserve"> Recurrente</w:t>
      </w:r>
      <w:r w:rsidRPr="00E1379C">
        <w:rPr>
          <w:rFonts w:ascii="Palatino Linotype" w:hAnsi="Palatino Linotype"/>
          <w:noProof/>
          <w:lang w:eastAsia="es-MX"/>
        </w:rPr>
        <w:t xml:space="preserve"> en su medio de impugnación que fue materia de estudio, </w:t>
      </w:r>
      <w:r w:rsidRPr="00E1379C">
        <w:rPr>
          <w:rFonts w:ascii="Palatino Linotype" w:hAnsi="Palatino Linotype" w:cs="Arial"/>
        </w:rPr>
        <w:t>por ello con fundamento en el artículo 186, fracción I, en concordancia c</w:t>
      </w:r>
      <w:r w:rsidR="00D96D23" w:rsidRPr="00E1379C">
        <w:rPr>
          <w:rFonts w:ascii="Palatino Linotype" w:hAnsi="Palatino Linotype" w:cs="Arial"/>
        </w:rPr>
        <w:t>on el artículo 192, fracción IV</w:t>
      </w:r>
      <w:r w:rsidRPr="00E1379C">
        <w:rPr>
          <w:rFonts w:ascii="Palatino Linotype" w:hAnsi="Palatino Linotype" w:cs="Arial"/>
        </w:rPr>
        <w:t xml:space="preserve">, de la Ley de Transparencia y Acceso a la Información Pública del Estado de México y Municipios, se </w:t>
      </w:r>
      <w:r w:rsidRPr="00E1379C">
        <w:rPr>
          <w:rFonts w:ascii="Palatino Linotype" w:hAnsi="Palatino Linotype" w:cs="Arial"/>
          <w:b/>
        </w:rPr>
        <w:t>SOBRESEE</w:t>
      </w:r>
      <w:r w:rsidRPr="00E1379C">
        <w:rPr>
          <w:rFonts w:ascii="Palatino Linotype" w:hAnsi="Palatino Linotype" w:cs="Arial"/>
        </w:rPr>
        <w:t xml:space="preserve"> el recurso de revisión </w:t>
      </w:r>
      <w:r w:rsidR="00AF2861" w:rsidRPr="00E1379C">
        <w:rPr>
          <w:rFonts w:ascii="Palatino Linotype" w:eastAsiaTheme="minorEastAsia" w:hAnsi="Palatino Linotype" w:cstheme="minorBidi"/>
          <w:b/>
          <w:lang w:val="es-ES_tradnl"/>
        </w:rPr>
        <w:t>14460</w:t>
      </w:r>
      <w:r w:rsidRPr="00E1379C">
        <w:rPr>
          <w:rFonts w:ascii="Palatino Linotype" w:eastAsiaTheme="minorEastAsia" w:hAnsi="Palatino Linotype" w:cstheme="minorBidi"/>
          <w:b/>
          <w:lang w:val="es-ES_tradnl"/>
        </w:rPr>
        <w:t>/INFOEM/IP/RR/2022</w:t>
      </w:r>
      <w:r w:rsidRPr="00E1379C">
        <w:rPr>
          <w:rFonts w:ascii="Palatino Linotype" w:eastAsiaTheme="minorEastAsia" w:hAnsi="Palatino Linotype" w:cstheme="minorBidi"/>
          <w:lang w:val="es-ES_tradnl"/>
        </w:rPr>
        <w:t>,</w:t>
      </w:r>
      <w:r w:rsidRPr="00E1379C">
        <w:rPr>
          <w:rFonts w:ascii="Palatino Linotype" w:eastAsiaTheme="minorEastAsia" w:hAnsi="Palatino Linotype" w:cstheme="minorBidi"/>
          <w:b/>
          <w:lang w:val="es-ES_tradnl"/>
        </w:rPr>
        <w:t xml:space="preserve"> </w:t>
      </w:r>
      <w:r w:rsidRPr="00E1379C">
        <w:rPr>
          <w:rFonts w:ascii="Palatino Linotype" w:hAnsi="Palatino Linotype" w:cs="Arial"/>
          <w:bCs/>
          <w:lang w:eastAsia="es-MX"/>
        </w:rPr>
        <w:t>que ha sido materia del presente fallo.</w:t>
      </w:r>
    </w:p>
    <w:p w:rsidR="005909E0" w:rsidRPr="00E1379C" w:rsidRDefault="005909E0" w:rsidP="009602BA">
      <w:pPr>
        <w:tabs>
          <w:tab w:val="left" w:pos="8931"/>
        </w:tabs>
        <w:spacing w:line="360" w:lineRule="auto"/>
        <w:ind w:right="51"/>
        <w:jc w:val="both"/>
        <w:rPr>
          <w:rFonts w:ascii="Palatino Linotype" w:eastAsiaTheme="minorHAnsi" w:hAnsi="Palatino Linotype" w:cstheme="minorBidi"/>
          <w:lang w:val="es-MX" w:eastAsia="en-US"/>
        </w:rPr>
      </w:pPr>
    </w:p>
    <w:p w:rsidR="009602BA" w:rsidRPr="00E1379C" w:rsidRDefault="009602BA" w:rsidP="009602BA">
      <w:pPr>
        <w:tabs>
          <w:tab w:val="left" w:pos="8931"/>
        </w:tabs>
        <w:spacing w:line="360" w:lineRule="auto"/>
        <w:ind w:right="51"/>
        <w:jc w:val="both"/>
        <w:rPr>
          <w:rFonts w:ascii="Palatino Linotype" w:eastAsiaTheme="minorHAnsi" w:hAnsi="Palatino Linotype" w:cstheme="minorBidi"/>
          <w:lang w:val="es-MX" w:eastAsia="en-US"/>
        </w:rPr>
      </w:pPr>
      <w:r w:rsidRPr="00E1379C">
        <w:rPr>
          <w:rFonts w:ascii="Palatino Linotype" w:eastAsiaTheme="minorHAnsi" w:hAnsi="Palatino Linotype" w:cstheme="minorBidi"/>
          <w:lang w:val="es-MX" w:eastAsia="en-US"/>
        </w:rPr>
        <w:t>Por lo antes expuesto y fundado es de resolverse y,</w:t>
      </w:r>
    </w:p>
    <w:p w:rsidR="005909E0" w:rsidRPr="00E1379C" w:rsidRDefault="005909E0" w:rsidP="009602BA">
      <w:pPr>
        <w:tabs>
          <w:tab w:val="left" w:pos="8931"/>
        </w:tabs>
        <w:spacing w:line="360" w:lineRule="auto"/>
        <w:ind w:right="51"/>
        <w:jc w:val="both"/>
        <w:rPr>
          <w:rFonts w:ascii="Palatino Linotype" w:eastAsiaTheme="minorHAnsi" w:hAnsi="Palatino Linotype" w:cstheme="minorBidi"/>
          <w:lang w:val="es-MX" w:eastAsia="en-US"/>
        </w:rPr>
      </w:pPr>
    </w:p>
    <w:p w:rsidR="009602BA" w:rsidRPr="00E1379C" w:rsidRDefault="009602BA" w:rsidP="009602BA">
      <w:pPr>
        <w:spacing w:line="360" w:lineRule="auto"/>
        <w:jc w:val="center"/>
        <w:rPr>
          <w:rFonts w:ascii="Palatino Linotype" w:hAnsi="Palatino Linotype" w:cstheme="minorBidi"/>
          <w:b/>
          <w:bCs/>
          <w:spacing w:val="60"/>
          <w:sz w:val="28"/>
          <w:szCs w:val="22"/>
          <w:lang w:val="es-ES_tradnl" w:eastAsia="en-US"/>
        </w:rPr>
      </w:pPr>
      <w:r w:rsidRPr="00E1379C">
        <w:rPr>
          <w:rFonts w:ascii="Palatino Linotype" w:hAnsi="Palatino Linotype" w:cstheme="minorBidi"/>
          <w:b/>
          <w:bCs/>
          <w:spacing w:val="60"/>
          <w:sz w:val="28"/>
          <w:szCs w:val="22"/>
          <w:lang w:val="es-ES_tradnl" w:eastAsia="en-US"/>
        </w:rPr>
        <w:t>SE    RESUELVE</w:t>
      </w:r>
    </w:p>
    <w:p w:rsidR="009602BA" w:rsidRPr="00E1379C" w:rsidRDefault="009602BA" w:rsidP="009602BA">
      <w:pPr>
        <w:spacing w:line="360" w:lineRule="auto"/>
        <w:jc w:val="center"/>
        <w:rPr>
          <w:rFonts w:ascii="Palatino Linotype" w:hAnsi="Palatino Linotype" w:cstheme="minorBidi"/>
          <w:b/>
          <w:bCs/>
          <w:spacing w:val="60"/>
          <w:szCs w:val="22"/>
          <w:lang w:val="es-ES_tradnl" w:eastAsia="en-US"/>
        </w:rPr>
      </w:pPr>
    </w:p>
    <w:p w:rsidR="009602BA" w:rsidRPr="00E1379C" w:rsidRDefault="009602BA" w:rsidP="009602BA">
      <w:pPr>
        <w:spacing w:line="360" w:lineRule="auto"/>
        <w:jc w:val="both"/>
        <w:rPr>
          <w:rFonts w:ascii="Palatino Linotype" w:eastAsiaTheme="minorEastAsia" w:hAnsi="Palatino Linotype" w:cstheme="minorBidi"/>
          <w:lang w:val="es-ES_tradnl" w:eastAsia="en-US"/>
        </w:rPr>
      </w:pPr>
      <w:r w:rsidRPr="00E1379C">
        <w:rPr>
          <w:rFonts w:ascii="Palatino Linotype" w:hAnsi="Palatino Linotype" w:cstheme="minorBidi"/>
          <w:b/>
          <w:bCs/>
          <w:sz w:val="28"/>
          <w:szCs w:val="22"/>
          <w:lang w:val="es-MX" w:eastAsia="es-MX"/>
        </w:rPr>
        <w:t>PRIMERO</w:t>
      </w:r>
      <w:r w:rsidRPr="00E1379C">
        <w:rPr>
          <w:rFonts w:ascii="Palatino Linotype" w:hAnsi="Palatino Linotype" w:cstheme="minorBidi"/>
          <w:sz w:val="28"/>
          <w:szCs w:val="22"/>
          <w:lang w:val="es-MX" w:eastAsia="es-MX"/>
        </w:rPr>
        <w:t xml:space="preserve">. </w:t>
      </w:r>
      <w:r w:rsidRPr="00E1379C">
        <w:rPr>
          <w:rFonts w:ascii="Palatino Linotype" w:eastAsiaTheme="minorHAnsi" w:hAnsi="Palatino Linotype" w:cs="Arial"/>
          <w:lang w:val="es-ES_tradnl" w:eastAsia="en-US"/>
        </w:rPr>
        <w:t xml:space="preserve">Se </w:t>
      </w:r>
      <w:r w:rsidRPr="00E1379C">
        <w:rPr>
          <w:rFonts w:ascii="Palatino Linotype" w:eastAsiaTheme="minorHAnsi" w:hAnsi="Palatino Linotype" w:cs="Arial"/>
          <w:b/>
          <w:lang w:val="es-ES_tradnl" w:eastAsia="en-US"/>
        </w:rPr>
        <w:t>SOBRESEE</w:t>
      </w:r>
      <w:r w:rsidRPr="00E1379C">
        <w:rPr>
          <w:rFonts w:ascii="Palatino Linotype" w:eastAsiaTheme="minorHAnsi" w:hAnsi="Palatino Linotype" w:cs="Arial"/>
          <w:lang w:val="es-ES_tradnl" w:eastAsia="en-US"/>
        </w:rPr>
        <w:t xml:space="preserve"> el recurso de revisión número </w:t>
      </w:r>
      <w:r w:rsidR="00AF2861" w:rsidRPr="00E1379C">
        <w:rPr>
          <w:rFonts w:ascii="Palatino Linotype" w:eastAsiaTheme="minorEastAsia" w:hAnsi="Palatino Linotype" w:cstheme="minorBidi"/>
          <w:b/>
          <w:lang w:val="es-ES_tradnl" w:eastAsia="en-US"/>
        </w:rPr>
        <w:t>14460</w:t>
      </w:r>
      <w:r w:rsidRPr="00E1379C">
        <w:rPr>
          <w:rFonts w:ascii="Palatino Linotype" w:eastAsiaTheme="minorEastAsia" w:hAnsi="Palatino Linotype" w:cstheme="minorBidi"/>
          <w:b/>
          <w:lang w:val="es-ES_tradnl" w:eastAsia="en-US"/>
        </w:rPr>
        <w:t>/INFOEM/IP/RR/2022</w:t>
      </w:r>
      <w:r w:rsidRPr="00E1379C">
        <w:rPr>
          <w:rFonts w:ascii="Palatino Linotype" w:eastAsiaTheme="minorEastAsia" w:hAnsi="Palatino Linotype" w:cstheme="minorBidi"/>
          <w:lang w:val="es-ES_tradnl" w:eastAsia="en-US"/>
        </w:rPr>
        <w:t xml:space="preserve">, </w:t>
      </w:r>
      <w:r w:rsidR="00C52084" w:rsidRPr="00E1379C">
        <w:rPr>
          <w:rFonts w:ascii="Palatino Linotype" w:eastAsiaTheme="minorEastAsia" w:hAnsi="Palatino Linotype" w:cstheme="minorBidi"/>
          <w:lang w:val="es-ES_tradnl" w:eastAsia="en-US"/>
        </w:rPr>
        <w:t xml:space="preserve">por improcedente en términos de los artículos 191, fracción </w:t>
      </w:r>
      <w:r w:rsidR="00AF2861" w:rsidRPr="00E1379C">
        <w:rPr>
          <w:rFonts w:ascii="Palatino Linotype" w:eastAsiaTheme="minorEastAsia" w:hAnsi="Palatino Linotype" w:cstheme="minorBidi"/>
          <w:lang w:val="es-ES_tradnl" w:eastAsia="en-US"/>
        </w:rPr>
        <w:t>III</w:t>
      </w:r>
      <w:r w:rsidR="00C52084" w:rsidRPr="00E1379C">
        <w:rPr>
          <w:rFonts w:ascii="Palatino Linotype" w:eastAsiaTheme="minorEastAsia" w:hAnsi="Palatino Linotype" w:cstheme="minorBidi"/>
          <w:lang w:val="es-ES_tradnl" w:eastAsia="en-US"/>
        </w:rPr>
        <w:t xml:space="preserve"> y 192, fracción IV, de la Ley de Transparencia y Acceso a la Información </w:t>
      </w:r>
      <w:r w:rsidR="00C52084" w:rsidRPr="00E1379C">
        <w:rPr>
          <w:rFonts w:ascii="Palatino Linotype" w:eastAsiaTheme="minorEastAsia" w:hAnsi="Palatino Linotype" w:cstheme="minorBidi"/>
          <w:lang w:val="es-ES_tradnl" w:eastAsia="en-US"/>
        </w:rPr>
        <w:lastRenderedPageBreak/>
        <w:t>Pública del Estado de México y Municipios</w:t>
      </w:r>
      <w:r w:rsidRPr="00E1379C">
        <w:rPr>
          <w:rFonts w:ascii="Palatino Linotype" w:eastAsiaTheme="minorEastAsia" w:hAnsi="Palatino Linotype" w:cstheme="minorBidi"/>
          <w:lang w:val="es-ES_tradnl" w:eastAsia="en-US"/>
        </w:rPr>
        <w:t xml:space="preserve">, y en términos del Considerando </w:t>
      </w:r>
      <w:r w:rsidR="00AF2861" w:rsidRPr="00E1379C">
        <w:rPr>
          <w:rFonts w:ascii="Palatino Linotype" w:eastAsiaTheme="minorEastAsia" w:hAnsi="Palatino Linotype" w:cstheme="minorBidi"/>
          <w:b/>
          <w:lang w:val="es-ES_tradnl" w:eastAsia="en-US"/>
        </w:rPr>
        <w:t>CUART</w:t>
      </w:r>
      <w:r w:rsidRPr="00E1379C">
        <w:rPr>
          <w:rFonts w:ascii="Palatino Linotype" w:eastAsiaTheme="minorEastAsia" w:hAnsi="Palatino Linotype" w:cstheme="minorBidi"/>
          <w:b/>
          <w:lang w:val="es-ES_tradnl" w:eastAsia="en-US"/>
        </w:rPr>
        <w:t>O</w:t>
      </w:r>
      <w:r w:rsidRPr="00E1379C">
        <w:rPr>
          <w:rFonts w:ascii="Palatino Linotype" w:eastAsiaTheme="minorEastAsia" w:hAnsi="Palatino Linotype" w:cstheme="minorBidi"/>
          <w:lang w:val="es-ES_tradnl" w:eastAsia="en-US"/>
        </w:rPr>
        <w:t xml:space="preserve"> de la presente resolución.</w:t>
      </w:r>
    </w:p>
    <w:p w:rsidR="009602BA" w:rsidRPr="00E1379C" w:rsidRDefault="009602BA" w:rsidP="009602BA">
      <w:pPr>
        <w:spacing w:line="360" w:lineRule="auto"/>
        <w:jc w:val="both"/>
        <w:rPr>
          <w:rFonts w:ascii="Palatino Linotype" w:eastAsiaTheme="minorEastAsia" w:hAnsi="Palatino Linotype" w:cstheme="minorBidi"/>
          <w:lang w:val="es-ES_tradnl" w:eastAsia="en-US"/>
        </w:rPr>
      </w:pPr>
    </w:p>
    <w:p w:rsidR="009602BA" w:rsidRPr="00E1379C" w:rsidRDefault="009602BA" w:rsidP="009602BA">
      <w:pPr>
        <w:spacing w:line="360" w:lineRule="auto"/>
        <w:jc w:val="both"/>
        <w:rPr>
          <w:rFonts w:ascii="Palatino Linotype" w:eastAsiaTheme="minorHAnsi" w:hAnsi="Palatino Linotype" w:cstheme="minorBidi"/>
          <w:lang w:val="es-MX" w:eastAsia="en-US"/>
        </w:rPr>
      </w:pPr>
      <w:r w:rsidRPr="00E1379C">
        <w:rPr>
          <w:rFonts w:ascii="Palatino Linotype" w:eastAsiaTheme="minorHAnsi" w:hAnsi="Palatino Linotype" w:cstheme="minorBidi"/>
          <w:b/>
          <w:sz w:val="28"/>
          <w:lang w:val="es-MX" w:eastAsia="en-US"/>
        </w:rPr>
        <w:t>SEGUNDO.</w:t>
      </w:r>
      <w:r w:rsidRPr="00E1379C">
        <w:rPr>
          <w:rFonts w:ascii="Palatino Linotype" w:eastAsiaTheme="minorHAnsi" w:hAnsi="Palatino Linotype" w:cs="Arial"/>
          <w:sz w:val="28"/>
          <w:lang w:val="es-MX" w:eastAsia="en-US"/>
        </w:rPr>
        <w:t xml:space="preserve"> </w:t>
      </w:r>
      <w:r w:rsidRPr="00E1379C">
        <w:rPr>
          <w:rFonts w:ascii="Palatino Linotype" w:eastAsiaTheme="minorHAnsi" w:hAnsi="Palatino Linotype" w:cstheme="minorBidi"/>
          <w:b/>
          <w:lang w:val="es-MX" w:eastAsia="en-US"/>
        </w:rPr>
        <w:t>NOTIFÍQUESE</w:t>
      </w:r>
      <w:r w:rsidRPr="00E1379C">
        <w:rPr>
          <w:rFonts w:ascii="Palatino Linotype" w:eastAsiaTheme="minorHAnsi" w:hAnsi="Palatino Linotype" w:cstheme="minorBidi"/>
          <w:lang w:val="es-MX" w:eastAsia="en-US"/>
        </w:rPr>
        <w:t xml:space="preserve"> vía Sistema de Acceso a la Información Mexiquense </w:t>
      </w:r>
      <w:r w:rsidRPr="00E1379C">
        <w:rPr>
          <w:rFonts w:ascii="Palatino Linotype" w:eastAsiaTheme="minorHAnsi" w:hAnsi="Palatino Linotype" w:cstheme="minorBidi"/>
          <w:b/>
          <w:lang w:val="es-MX" w:eastAsia="en-US"/>
        </w:rPr>
        <w:t>(SAIMEX)</w:t>
      </w:r>
      <w:r w:rsidRPr="00E1379C">
        <w:rPr>
          <w:rFonts w:ascii="Palatino Linotype" w:eastAsiaTheme="minorHAnsi" w:hAnsi="Palatino Linotype" w:cstheme="minorBidi"/>
          <w:lang w:val="es-MX" w:eastAsia="en-US"/>
        </w:rPr>
        <w:t xml:space="preserve">, la presente resolución al Titular de la Unidad de Transparencia del </w:t>
      </w:r>
      <w:r w:rsidRPr="00E1379C">
        <w:rPr>
          <w:rFonts w:ascii="Palatino Linotype" w:eastAsiaTheme="minorHAnsi" w:hAnsi="Palatino Linotype" w:cstheme="minorBidi"/>
          <w:b/>
          <w:lang w:val="es-MX" w:eastAsia="en-US"/>
        </w:rPr>
        <w:t>Sujeto Obligado</w:t>
      </w:r>
      <w:r w:rsidRPr="00E1379C">
        <w:rPr>
          <w:rFonts w:ascii="Palatino Linotype" w:eastAsiaTheme="minorHAnsi" w:hAnsi="Palatino Linotype" w:cstheme="minorBidi"/>
          <w:lang w:val="es-MX" w:eastAsia="en-US"/>
        </w:rPr>
        <w:t>.</w:t>
      </w:r>
    </w:p>
    <w:p w:rsidR="009602BA" w:rsidRPr="00E1379C" w:rsidRDefault="009602BA" w:rsidP="009602BA">
      <w:pPr>
        <w:spacing w:line="360" w:lineRule="auto"/>
        <w:jc w:val="both"/>
        <w:rPr>
          <w:rFonts w:ascii="Palatino Linotype" w:eastAsiaTheme="minorHAnsi" w:hAnsi="Palatino Linotype" w:cstheme="minorBidi"/>
          <w:lang w:val="es-MX" w:eastAsia="en-US"/>
        </w:rPr>
      </w:pPr>
    </w:p>
    <w:p w:rsidR="009602BA" w:rsidRPr="00E1379C" w:rsidRDefault="009602BA" w:rsidP="009602BA">
      <w:pPr>
        <w:spacing w:line="360" w:lineRule="auto"/>
        <w:jc w:val="both"/>
        <w:rPr>
          <w:rFonts w:ascii="Palatino Linotype" w:eastAsiaTheme="minorHAnsi" w:hAnsi="Palatino Linotype" w:cstheme="minorBidi"/>
          <w:lang w:val="es-MX" w:eastAsia="en-US"/>
        </w:rPr>
      </w:pPr>
      <w:r w:rsidRPr="00E1379C">
        <w:rPr>
          <w:rFonts w:ascii="Palatino Linotype" w:eastAsiaTheme="minorHAnsi" w:hAnsi="Palatino Linotype" w:cs="Arial"/>
          <w:b/>
          <w:sz w:val="28"/>
          <w:lang w:val="es-MX" w:eastAsia="en-US"/>
        </w:rPr>
        <w:t xml:space="preserve">TERCERO. </w:t>
      </w:r>
      <w:r w:rsidRPr="00E1379C">
        <w:rPr>
          <w:rFonts w:ascii="Palatino Linotype" w:eastAsiaTheme="minorHAnsi" w:hAnsi="Palatino Linotype" w:cstheme="minorBidi"/>
          <w:b/>
          <w:lang w:val="es-MX" w:eastAsia="en-US"/>
        </w:rPr>
        <w:t>NOTIFÍQUESE</w:t>
      </w:r>
      <w:r w:rsidR="00C52084" w:rsidRPr="00E1379C">
        <w:rPr>
          <w:rFonts w:ascii="Palatino Linotype" w:eastAsiaTheme="minorHAnsi" w:hAnsi="Palatino Linotype" w:cstheme="minorBidi"/>
          <w:lang w:val="es-MX" w:eastAsia="en-US"/>
        </w:rPr>
        <w:t xml:space="preserve"> al</w:t>
      </w:r>
      <w:r w:rsidRPr="00E1379C">
        <w:rPr>
          <w:rFonts w:ascii="Palatino Linotype" w:eastAsiaTheme="minorHAnsi" w:hAnsi="Palatino Linotype" w:cstheme="minorBidi"/>
          <w:lang w:val="es-MX" w:eastAsia="en-US"/>
        </w:rPr>
        <w:t xml:space="preserve"> </w:t>
      </w:r>
      <w:r w:rsidRPr="00E1379C">
        <w:rPr>
          <w:rFonts w:ascii="Palatino Linotype" w:eastAsiaTheme="minorHAnsi" w:hAnsi="Palatino Linotype" w:cstheme="minorBidi"/>
          <w:b/>
          <w:lang w:val="es-MX" w:eastAsia="en-US"/>
        </w:rPr>
        <w:t xml:space="preserve">Recurrente </w:t>
      </w:r>
      <w:r w:rsidRPr="00E1379C">
        <w:rPr>
          <w:rFonts w:ascii="Palatino Linotype" w:eastAsiaTheme="minorHAnsi" w:hAnsi="Palatino Linotype" w:cstheme="minorBidi"/>
          <w:lang w:val="es-MX" w:eastAsia="en-US"/>
        </w:rPr>
        <w:t xml:space="preserve">la presente resolución vía Sistema de Acceso a la Información Mexiquense </w:t>
      </w:r>
      <w:r w:rsidRPr="00E1379C">
        <w:rPr>
          <w:rFonts w:ascii="Palatino Linotype" w:eastAsiaTheme="minorHAnsi" w:hAnsi="Palatino Linotype" w:cstheme="minorBidi"/>
          <w:b/>
          <w:lang w:val="es-MX" w:eastAsia="en-US"/>
        </w:rPr>
        <w:t>(SAIMEX)</w:t>
      </w:r>
      <w:r w:rsidRPr="00E1379C">
        <w:rPr>
          <w:rFonts w:ascii="Palatino Linotype" w:eastAsiaTheme="minorHAnsi" w:hAnsi="Palatino Linotype" w:cstheme="minorBidi"/>
          <w:lang w:val="es-MX" w:eastAsia="en-US"/>
        </w:rPr>
        <w:t xml:space="preserve">, y </w:t>
      </w:r>
      <w:r w:rsidRPr="00E1379C">
        <w:rPr>
          <w:rFonts w:ascii="Palatino Linotype" w:eastAsiaTheme="minorHAnsi" w:hAnsi="Palatino Linotype" w:cs="Arial"/>
          <w:lang w:val="es-MX" w:eastAsia="en-US"/>
        </w:rPr>
        <w:t>hágase</w:t>
      </w:r>
      <w:r w:rsidRPr="00E1379C">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rsidR="009602BA" w:rsidRPr="00E1379C" w:rsidRDefault="009602BA" w:rsidP="009602BA">
      <w:pPr>
        <w:spacing w:line="360" w:lineRule="auto"/>
        <w:jc w:val="both"/>
        <w:rPr>
          <w:rFonts w:ascii="Palatino Linotype" w:eastAsiaTheme="minorHAnsi" w:hAnsi="Palatino Linotype" w:cstheme="minorBidi"/>
          <w:lang w:val="es-MX" w:eastAsia="en-US"/>
        </w:rPr>
      </w:pPr>
    </w:p>
    <w:p w:rsidR="00054E04" w:rsidRPr="00E1379C" w:rsidRDefault="0029071C" w:rsidP="00EE7775">
      <w:pPr>
        <w:spacing w:line="360" w:lineRule="auto"/>
        <w:jc w:val="both"/>
        <w:rPr>
          <w:rFonts w:ascii="Palatino Linotype" w:eastAsiaTheme="minorHAnsi" w:hAnsi="Palatino Linotype" w:cs="Arial"/>
          <w:lang w:val="es-MX" w:eastAsia="en-US"/>
        </w:rPr>
      </w:pPr>
      <w:r w:rsidRPr="00E1379C">
        <w:rPr>
          <w:rFonts w:ascii="Palatino Linotype" w:eastAsiaTheme="minorHAnsi" w:hAnsi="Palatino Linotype" w:cs="Arial"/>
          <w:lang w:val="es-MX" w:eastAsia="en-US"/>
        </w:rPr>
        <w:t>ASÍ LO RESUELVE, POR UNANIMIDAD DE VOTOS, EL PLENO DEL</w:t>
      </w:r>
      <w:r w:rsidRPr="00E1379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E1379C">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E1379C">
        <w:rPr>
          <w:rFonts w:ascii="Palatino Linotype" w:eastAsiaTheme="minorHAnsi" w:hAnsi="Palatino Linotype" w:cs="Arial"/>
          <w:lang w:val="es-MX" w:eastAsia="en-US"/>
        </w:rPr>
        <w:t xml:space="preserve">; </w:t>
      </w:r>
      <w:r w:rsidRPr="00E1379C">
        <w:rPr>
          <w:rFonts w:ascii="Palatino Linotype" w:eastAsiaTheme="minorHAnsi" w:hAnsi="Palatino Linotype" w:cs="Arial"/>
          <w:lang w:val="es-MX" w:eastAsia="en-US"/>
        </w:rPr>
        <w:t xml:space="preserve">LUIS GUSTAVO PARRA NORIEGA Y GUADALUPE RAMÍREZ PEÑA; EN LA </w:t>
      </w:r>
      <w:r w:rsidR="00E1379C" w:rsidRPr="00E1379C">
        <w:rPr>
          <w:rFonts w:ascii="Palatino Linotype" w:eastAsiaTheme="minorHAnsi" w:hAnsi="Palatino Linotype" w:cs="Arial"/>
          <w:lang w:val="es-MX" w:eastAsia="en-US"/>
        </w:rPr>
        <w:t xml:space="preserve">CUADRAGÉSIMA </w:t>
      </w:r>
      <w:r w:rsidR="00C753C2" w:rsidRPr="00E1379C">
        <w:rPr>
          <w:rFonts w:ascii="Palatino Linotype" w:eastAsiaTheme="minorHAnsi" w:hAnsi="Palatino Linotype" w:cs="Arial"/>
          <w:lang w:val="es-MX" w:eastAsia="en-US"/>
        </w:rPr>
        <w:t xml:space="preserve">SESIÓN ORDINARIA CELEBRADA EL </w:t>
      </w:r>
      <w:r w:rsidR="00E1379C" w:rsidRPr="00E1379C">
        <w:rPr>
          <w:rFonts w:ascii="Palatino Linotype" w:hAnsi="Palatino Linotype" w:cs="Arial"/>
          <w:color w:val="000000"/>
          <w:lang w:val="es-MX" w:eastAsia="es-MX"/>
        </w:rPr>
        <w:t xml:space="preserve">NUEVE </w:t>
      </w:r>
      <w:r w:rsidR="00D0621B" w:rsidRPr="00E1379C">
        <w:rPr>
          <w:rFonts w:ascii="Palatino Linotype" w:hAnsi="Palatino Linotype" w:cs="Arial"/>
          <w:color w:val="000000"/>
          <w:lang w:val="es-MX" w:eastAsia="es-MX"/>
        </w:rPr>
        <w:t>DE NOVIEMBR</w:t>
      </w:r>
      <w:r w:rsidR="00524043" w:rsidRPr="00E1379C">
        <w:rPr>
          <w:rFonts w:ascii="Palatino Linotype" w:hAnsi="Palatino Linotype" w:cs="Arial"/>
          <w:color w:val="000000"/>
          <w:lang w:val="es-MX" w:eastAsia="es-MX"/>
        </w:rPr>
        <w:t>E</w:t>
      </w:r>
      <w:r w:rsidRPr="00E1379C">
        <w:rPr>
          <w:rFonts w:ascii="Palatino Linotype" w:hAnsi="Palatino Linotype" w:cs="Arial"/>
          <w:color w:val="000000"/>
          <w:lang w:val="es-MX" w:eastAsia="es-MX"/>
        </w:rPr>
        <w:t xml:space="preserve"> DE</w:t>
      </w:r>
      <w:r w:rsidR="00C4326C" w:rsidRPr="00E1379C">
        <w:rPr>
          <w:rFonts w:ascii="Palatino Linotype" w:eastAsiaTheme="minorHAnsi" w:hAnsi="Palatino Linotype" w:cs="Arial"/>
          <w:lang w:val="es-MX" w:eastAsia="en-US"/>
        </w:rPr>
        <w:t xml:space="preserve"> DOS MIL VEINTIDÓS</w:t>
      </w:r>
      <w:r w:rsidRPr="00E1379C">
        <w:rPr>
          <w:rFonts w:ascii="Palatino Linotype" w:eastAsiaTheme="minorHAnsi" w:hAnsi="Palatino Linotype" w:cs="Arial"/>
          <w:lang w:val="es-MX" w:eastAsia="en-US"/>
        </w:rPr>
        <w:t>, ANTE EL SECRETARIO TÉCNICO, ALEXIS TAPIA RA</w:t>
      </w:r>
      <w:r w:rsidR="00054E04" w:rsidRPr="00E1379C">
        <w:rPr>
          <w:rFonts w:ascii="Palatino Linotype" w:eastAsiaTheme="minorHAnsi" w:hAnsi="Palatino Linotype" w:cs="Arial"/>
          <w:lang w:val="es-MX" w:eastAsia="en-US"/>
        </w:rPr>
        <w:t>MÍREZ.</w:t>
      </w:r>
      <w:r w:rsidR="005909E0" w:rsidRPr="00E1379C">
        <w:rPr>
          <w:rFonts w:ascii="Palatino Linotype" w:eastAsiaTheme="minorHAnsi" w:hAnsi="Palatino Linotype" w:cs="Arial"/>
          <w:lang w:val="es-MX" w:eastAsia="en-US"/>
        </w:rPr>
        <w:t>--------------------------------------------------------------------</w:t>
      </w:r>
      <w:r w:rsidR="00524043" w:rsidRPr="00E1379C">
        <w:rPr>
          <w:rFonts w:ascii="Palatino Linotype" w:eastAsiaTheme="minorHAnsi" w:hAnsi="Palatino Linotype" w:cs="Arial"/>
          <w:lang w:val="es-MX" w:eastAsia="en-US"/>
        </w:rPr>
        <w:t>-------------------------------</w:t>
      </w:r>
      <w:r w:rsidR="005909E0" w:rsidRPr="00E1379C">
        <w:rPr>
          <w:rFonts w:ascii="Palatino Linotype" w:eastAsiaTheme="minorHAnsi" w:hAnsi="Palatino Linotype" w:cs="Arial"/>
          <w:lang w:val="es-MX" w:eastAsia="en-US"/>
        </w:rPr>
        <w:t>------------------------------------------------------------------------------------------</w:t>
      </w:r>
      <w:r w:rsidR="00216980" w:rsidRPr="00E1379C">
        <w:rPr>
          <w:rFonts w:ascii="Palatino Linotype" w:eastAsiaTheme="minorHAnsi" w:hAnsi="Palatino Linotype" w:cs="Arial"/>
          <w:lang w:val="es-MX" w:eastAsia="en-US"/>
        </w:rPr>
        <w:t>--------------</w:t>
      </w:r>
      <w:r w:rsidR="00E1379C" w:rsidRPr="00E1379C">
        <w:rPr>
          <w:rFonts w:ascii="Palatino Linotype" w:eastAsiaTheme="minorHAnsi" w:hAnsi="Palatino Linotype" w:cs="Arial"/>
          <w:lang w:val="es-MX" w:eastAsia="en-US"/>
        </w:rPr>
        <w:t>----------</w:t>
      </w:r>
    </w:p>
    <w:p w:rsidR="005909E0" w:rsidRPr="005909E0" w:rsidRDefault="005909E0" w:rsidP="00EE7775">
      <w:pPr>
        <w:spacing w:line="360" w:lineRule="auto"/>
        <w:jc w:val="both"/>
        <w:rPr>
          <w:rFonts w:ascii="Palatino Linotype" w:eastAsiaTheme="minorHAnsi" w:hAnsi="Palatino Linotype" w:cs="Arial"/>
          <w:sz w:val="2"/>
          <w:lang w:val="es-MX" w:eastAsia="en-US"/>
        </w:rPr>
      </w:pPr>
      <w:r w:rsidRPr="00E1379C">
        <w:rPr>
          <w:rFonts w:ascii="Palatino Linotype" w:eastAsiaTheme="minorHAnsi" w:hAnsi="Palatino Linotype" w:cs="Arial"/>
          <w:sz w:val="18"/>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0"/>
      <w:headerReference w:type="default" r:id="rId11"/>
      <w:footerReference w:type="default" r:id="rId12"/>
      <w:headerReference w:type="first" r:id="rId13"/>
      <w:footerReference w:type="first" r:id="rId1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32A0" w:rsidRDefault="001D32A0" w:rsidP="000B5E25">
      <w:r>
        <w:separator/>
      </w:r>
    </w:p>
  </w:endnote>
  <w:endnote w:type="continuationSeparator" w:id="0">
    <w:p w:rsidR="001D32A0" w:rsidRDefault="001D32A0"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panose1 w:val="00000000000000000000"/>
    <w:charset w:val="00"/>
    <w:family w:val="roman"/>
    <w:notTrueType/>
    <w:pitch w:val="default"/>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843E9">
      <w:rPr>
        <w:rFonts w:ascii="Palatino Linotype" w:hAnsi="Palatino Linotype" w:cs="Arial"/>
        <w:bCs/>
        <w:noProof/>
        <w:sz w:val="20"/>
        <w:szCs w:val="20"/>
      </w:rPr>
      <w:t>21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843E9">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843E9">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843E9">
      <w:rPr>
        <w:rFonts w:ascii="Palatino Linotype" w:hAnsi="Palatino Linotype" w:cs="Arial"/>
        <w:bCs/>
        <w:noProof/>
        <w:sz w:val="20"/>
        <w:szCs w:val="20"/>
      </w:rPr>
      <w:t>27</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32A0" w:rsidRDefault="001D32A0" w:rsidP="000B5E25">
      <w:r>
        <w:separator/>
      </w:r>
    </w:p>
  </w:footnote>
  <w:footnote w:type="continuationSeparator" w:id="0">
    <w:p w:rsidR="001D32A0" w:rsidRDefault="001D32A0" w:rsidP="000B5E25">
      <w:r>
        <w:continuationSeparator/>
      </w:r>
    </w:p>
  </w:footnote>
  <w:footnote w:id="1">
    <w:p w:rsidR="00D53327" w:rsidRPr="00911081" w:rsidRDefault="00D53327" w:rsidP="00D53327">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rsidR="00D53327" w:rsidRPr="00911081" w:rsidRDefault="00D53327" w:rsidP="00D5332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4B7A" w:rsidRDefault="003843E9">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DD2DA4" w:rsidP="0059614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14460</w:t>
          </w:r>
          <w:r w:rsidR="00C04B7A" w:rsidRPr="0029071C">
            <w:rPr>
              <w:rFonts w:ascii="Palatino Linotype" w:hAnsi="Palatino Linotype"/>
              <w:sz w:val="22"/>
              <w:szCs w:val="22"/>
              <w:lang w:val="es-ES_tradnl"/>
            </w:rPr>
            <w:t>/INFOEM/IP/RR/202</w:t>
          </w:r>
          <w:r w:rsidR="00C04B7A">
            <w:rPr>
              <w:rFonts w:ascii="Palatino Linotype" w:hAnsi="Palatino Linotype"/>
              <w:sz w:val="22"/>
              <w:szCs w:val="22"/>
              <w:lang w:val="es-ES_tradnl"/>
            </w:rPr>
            <w:t>2</w:t>
          </w:r>
        </w:p>
      </w:tc>
    </w:tr>
    <w:tr w:rsidR="00C04B7A" w:rsidRPr="008F2CCC" w:rsidTr="00BA27FC">
      <w:trPr>
        <w:trHeight w:val="228"/>
      </w:trPr>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DD2DA4" w:rsidP="0033140D">
          <w:pPr>
            <w:spacing w:line="276" w:lineRule="auto"/>
            <w:jc w:val="right"/>
            <w:rPr>
              <w:rFonts w:ascii="Palatino Linotype" w:hAnsi="Palatino Linotype"/>
              <w:sz w:val="22"/>
              <w:szCs w:val="22"/>
            </w:rPr>
          </w:pPr>
          <w:r w:rsidRPr="00DD2DA4">
            <w:rPr>
              <w:rFonts w:ascii="Palatino Linotype" w:hAnsi="Palatino Linotype"/>
              <w:sz w:val="22"/>
              <w:szCs w:val="22"/>
            </w:rPr>
            <w:t>Ayuntamiento de Metepec</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C04B7A" w:rsidRPr="001779E0" w:rsidRDefault="003843E9"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rsidR="00C04B7A" w:rsidRPr="0029071C" w:rsidRDefault="00DD2DA4" w:rsidP="005A59B3">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14460</w:t>
          </w:r>
          <w:r w:rsidR="00C04B7A" w:rsidRPr="0029071C">
            <w:rPr>
              <w:rFonts w:ascii="Palatino Linotype" w:hAnsi="Palatino Linotype"/>
              <w:sz w:val="22"/>
              <w:szCs w:val="22"/>
              <w:lang w:val="es-ES_tradnl"/>
            </w:rPr>
            <w:t>/INFOEM/IP/RR/202</w:t>
          </w:r>
          <w:r w:rsidR="00C04B7A">
            <w:rPr>
              <w:rFonts w:ascii="Palatino Linotype" w:hAnsi="Palatino Linotype"/>
              <w:sz w:val="22"/>
              <w:szCs w:val="22"/>
              <w:lang w:val="es-ES_tradnl"/>
            </w:rPr>
            <w:t>2</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rsidR="00C04B7A" w:rsidRPr="006D30E6" w:rsidRDefault="003843E9"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04B7A" w:rsidRPr="008F2CCC" w:rsidTr="00BA27FC">
      <w:trPr>
        <w:trHeight w:val="228"/>
      </w:trPr>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rsidR="00C04B7A" w:rsidRPr="0029071C" w:rsidRDefault="00EC54C8" w:rsidP="00C40502">
          <w:pPr>
            <w:spacing w:line="276" w:lineRule="auto"/>
            <w:jc w:val="right"/>
            <w:rPr>
              <w:rFonts w:ascii="Palatino Linotype" w:hAnsi="Palatino Linotype"/>
              <w:sz w:val="22"/>
              <w:szCs w:val="22"/>
            </w:rPr>
          </w:pPr>
          <w:r w:rsidRPr="00EC54C8">
            <w:rPr>
              <w:rFonts w:ascii="Palatino Linotype" w:hAnsi="Palatino Linotype"/>
              <w:sz w:val="22"/>
              <w:szCs w:val="22"/>
            </w:rPr>
            <w:t>Ayuntamiento de Metepec</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rsidTr="00BA27FC">
      <w:tc>
        <w:tcPr>
          <w:tcW w:w="2551" w:type="dxa"/>
          <w:shd w:val="clear" w:color="auto" w:fill="auto"/>
          <w:vAlign w:val="center"/>
        </w:tcPr>
        <w:p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rsidR="00C04B7A" w:rsidRPr="00BA27FC" w:rsidRDefault="00C04B7A" w:rsidP="00BA27FC">
          <w:pPr>
            <w:spacing w:line="276" w:lineRule="auto"/>
            <w:rPr>
              <w:rFonts w:ascii="Palatino Linotype" w:hAnsi="Palatino Linotype"/>
              <w:sz w:val="14"/>
              <w:szCs w:val="22"/>
              <w:lang w:val="es-ES_tradnl"/>
            </w:rPr>
          </w:pPr>
        </w:p>
      </w:tc>
    </w:tr>
  </w:tbl>
  <w:p w:rsidR="00C04B7A" w:rsidRPr="009F1AB6" w:rsidRDefault="003843E9">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8E54FBA"/>
    <w:multiLevelType w:val="hybridMultilevel"/>
    <w:tmpl w:val="591CECBA"/>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2"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5"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4"/>
  </w:num>
  <w:num w:numId="3">
    <w:abstractNumId w:val="7"/>
  </w:num>
  <w:num w:numId="4">
    <w:abstractNumId w:val="4"/>
  </w:num>
  <w:num w:numId="5">
    <w:abstractNumId w:val="12"/>
  </w:num>
  <w:num w:numId="6">
    <w:abstractNumId w:val="0"/>
  </w:num>
  <w:num w:numId="7">
    <w:abstractNumId w:val="3"/>
  </w:num>
  <w:num w:numId="8">
    <w:abstractNumId w:val="13"/>
  </w:num>
  <w:num w:numId="9">
    <w:abstractNumId w:val="10"/>
  </w:num>
  <w:num w:numId="10">
    <w:abstractNumId w:val="1"/>
  </w:num>
  <w:num w:numId="11">
    <w:abstractNumId w:val="15"/>
  </w:num>
  <w:num w:numId="12">
    <w:abstractNumId w:val="18"/>
  </w:num>
  <w:num w:numId="13">
    <w:abstractNumId w:val="11"/>
  </w:num>
  <w:num w:numId="14">
    <w:abstractNumId w:val="19"/>
  </w:num>
  <w:num w:numId="15">
    <w:abstractNumId w:val="9"/>
  </w:num>
  <w:num w:numId="16">
    <w:abstractNumId w:val="5"/>
  </w:num>
  <w:num w:numId="17">
    <w:abstractNumId w:val="17"/>
  </w:num>
  <w:num w:numId="18">
    <w:abstractNumId w:val="8"/>
  </w:num>
  <w:num w:numId="19">
    <w:abstractNumId w:val="6"/>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54E04"/>
    <w:rsid w:val="000572E9"/>
    <w:rsid w:val="00070547"/>
    <w:rsid w:val="00071173"/>
    <w:rsid w:val="000775FC"/>
    <w:rsid w:val="0008501B"/>
    <w:rsid w:val="00093AE1"/>
    <w:rsid w:val="00094F32"/>
    <w:rsid w:val="000A34BB"/>
    <w:rsid w:val="000A717C"/>
    <w:rsid w:val="000B5876"/>
    <w:rsid w:val="000B5E25"/>
    <w:rsid w:val="000B7C6C"/>
    <w:rsid w:val="000C43CE"/>
    <w:rsid w:val="000C49B8"/>
    <w:rsid w:val="000C5FDF"/>
    <w:rsid w:val="000C615C"/>
    <w:rsid w:val="000D3AD4"/>
    <w:rsid w:val="000E592F"/>
    <w:rsid w:val="000F16BA"/>
    <w:rsid w:val="00101AD8"/>
    <w:rsid w:val="0010712B"/>
    <w:rsid w:val="00123996"/>
    <w:rsid w:val="0012510D"/>
    <w:rsid w:val="00137D13"/>
    <w:rsid w:val="0014397A"/>
    <w:rsid w:val="00143F6E"/>
    <w:rsid w:val="00151D4C"/>
    <w:rsid w:val="001558F3"/>
    <w:rsid w:val="00170AA7"/>
    <w:rsid w:val="00186CCB"/>
    <w:rsid w:val="00191418"/>
    <w:rsid w:val="0019170F"/>
    <w:rsid w:val="001A6109"/>
    <w:rsid w:val="001B1DE5"/>
    <w:rsid w:val="001C14AC"/>
    <w:rsid w:val="001C3AA7"/>
    <w:rsid w:val="001D2DE0"/>
    <w:rsid w:val="001D32A0"/>
    <w:rsid w:val="001D4046"/>
    <w:rsid w:val="001D5495"/>
    <w:rsid w:val="001E2DA3"/>
    <w:rsid w:val="001E45B5"/>
    <w:rsid w:val="001F1FCC"/>
    <w:rsid w:val="001F2305"/>
    <w:rsid w:val="001F4F5E"/>
    <w:rsid w:val="0020249A"/>
    <w:rsid w:val="00202C04"/>
    <w:rsid w:val="002167BB"/>
    <w:rsid w:val="00216980"/>
    <w:rsid w:val="00217E6C"/>
    <w:rsid w:val="0022516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3085"/>
    <w:rsid w:val="002F3B20"/>
    <w:rsid w:val="00307006"/>
    <w:rsid w:val="0030701F"/>
    <w:rsid w:val="0031472B"/>
    <w:rsid w:val="00320F38"/>
    <w:rsid w:val="00330FC3"/>
    <w:rsid w:val="0033140D"/>
    <w:rsid w:val="003408DD"/>
    <w:rsid w:val="00340A06"/>
    <w:rsid w:val="00343F0B"/>
    <w:rsid w:val="003520C5"/>
    <w:rsid w:val="0035559A"/>
    <w:rsid w:val="00371835"/>
    <w:rsid w:val="0037315D"/>
    <w:rsid w:val="003746DE"/>
    <w:rsid w:val="003804E8"/>
    <w:rsid w:val="00380D3E"/>
    <w:rsid w:val="003843E9"/>
    <w:rsid w:val="00386D38"/>
    <w:rsid w:val="00396DB6"/>
    <w:rsid w:val="003B0FAC"/>
    <w:rsid w:val="003B1C85"/>
    <w:rsid w:val="003B70B0"/>
    <w:rsid w:val="003E21A7"/>
    <w:rsid w:val="003E56C9"/>
    <w:rsid w:val="004018F9"/>
    <w:rsid w:val="00425E0F"/>
    <w:rsid w:val="004344EA"/>
    <w:rsid w:val="0043515A"/>
    <w:rsid w:val="004403F7"/>
    <w:rsid w:val="00442FD8"/>
    <w:rsid w:val="00443892"/>
    <w:rsid w:val="004445A1"/>
    <w:rsid w:val="00445CAA"/>
    <w:rsid w:val="00464839"/>
    <w:rsid w:val="004672ED"/>
    <w:rsid w:val="00490422"/>
    <w:rsid w:val="004A7F7D"/>
    <w:rsid w:val="004B2314"/>
    <w:rsid w:val="004B2516"/>
    <w:rsid w:val="004D18B6"/>
    <w:rsid w:val="004D5D2F"/>
    <w:rsid w:val="004D6F71"/>
    <w:rsid w:val="004E5628"/>
    <w:rsid w:val="0050130E"/>
    <w:rsid w:val="0050243E"/>
    <w:rsid w:val="00514370"/>
    <w:rsid w:val="00524043"/>
    <w:rsid w:val="00524A8D"/>
    <w:rsid w:val="0054391A"/>
    <w:rsid w:val="00555C87"/>
    <w:rsid w:val="00563B39"/>
    <w:rsid w:val="0057289F"/>
    <w:rsid w:val="0058032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3241"/>
    <w:rsid w:val="005F4BFB"/>
    <w:rsid w:val="006000C5"/>
    <w:rsid w:val="006002E0"/>
    <w:rsid w:val="00614A53"/>
    <w:rsid w:val="00620280"/>
    <w:rsid w:val="006258FD"/>
    <w:rsid w:val="00630A94"/>
    <w:rsid w:val="00632E48"/>
    <w:rsid w:val="00634926"/>
    <w:rsid w:val="00643B58"/>
    <w:rsid w:val="006810FF"/>
    <w:rsid w:val="00694976"/>
    <w:rsid w:val="006B321A"/>
    <w:rsid w:val="006B418F"/>
    <w:rsid w:val="006C3931"/>
    <w:rsid w:val="006D1713"/>
    <w:rsid w:val="006D30E6"/>
    <w:rsid w:val="006D3A03"/>
    <w:rsid w:val="006E08FA"/>
    <w:rsid w:val="006F2978"/>
    <w:rsid w:val="006F358C"/>
    <w:rsid w:val="006F5F93"/>
    <w:rsid w:val="00710FED"/>
    <w:rsid w:val="00716632"/>
    <w:rsid w:val="00717A0C"/>
    <w:rsid w:val="00723B5A"/>
    <w:rsid w:val="0072658E"/>
    <w:rsid w:val="00732345"/>
    <w:rsid w:val="007532C7"/>
    <w:rsid w:val="00756F04"/>
    <w:rsid w:val="00757D60"/>
    <w:rsid w:val="00770F18"/>
    <w:rsid w:val="007764BB"/>
    <w:rsid w:val="007828DC"/>
    <w:rsid w:val="007A118C"/>
    <w:rsid w:val="007A37FE"/>
    <w:rsid w:val="007C1D5B"/>
    <w:rsid w:val="007C3435"/>
    <w:rsid w:val="007C35A4"/>
    <w:rsid w:val="007C3E46"/>
    <w:rsid w:val="007D2A81"/>
    <w:rsid w:val="007E1695"/>
    <w:rsid w:val="007E3AEF"/>
    <w:rsid w:val="007E52D5"/>
    <w:rsid w:val="007E534B"/>
    <w:rsid w:val="007E7C02"/>
    <w:rsid w:val="007F7462"/>
    <w:rsid w:val="00800A80"/>
    <w:rsid w:val="008150CA"/>
    <w:rsid w:val="00835035"/>
    <w:rsid w:val="008500D3"/>
    <w:rsid w:val="00852668"/>
    <w:rsid w:val="008578BF"/>
    <w:rsid w:val="008660D6"/>
    <w:rsid w:val="00891C59"/>
    <w:rsid w:val="00896D29"/>
    <w:rsid w:val="00897751"/>
    <w:rsid w:val="008A12CF"/>
    <w:rsid w:val="008A1A90"/>
    <w:rsid w:val="008A64CB"/>
    <w:rsid w:val="008B082B"/>
    <w:rsid w:val="008B6546"/>
    <w:rsid w:val="008C2536"/>
    <w:rsid w:val="008C3B24"/>
    <w:rsid w:val="008E01E4"/>
    <w:rsid w:val="008E7F32"/>
    <w:rsid w:val="008F148C"/>
    <w:rsid w:val="008F5DAE"/>
    <w:rsid w:val="00900615"/>
    <w:rsid w:val="00900C9B"/>
    <w:rsid w:val="0090126C"/>
    <w:rsid w:val="00901487"/>
    <w:rsid w:val="00921551"/>
    <w:rsid w:val="009217E8"/>
    <w:rsid w:val="0092579A"/>
    <w:rsid w:val="00925B0B"/>
    <w:rsid w:val="00926C44"/>
    <w:rsid w:val="0093645B"/>
    <w:rsid w:val="0094381A"/>
    <w:rsid w:val="009602BA"/>
    <w:rsid w:val="00961002"/>
    <w:rsid w:val="009758CB"/>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3490B"/>
    <w:rsid w:val="00A5260D"/>
    <w:rsid w:val="00A54C18"/>
    <w:rsid w:val="00A54DC2"/>
    <w:rsid w:val="00A6190A"/>
    <w:rsid w:val="00A6692F"/>
    <w:rsid w:val="00A6775F"/>
    <w:rsid w:val="00A72262"/>
    <w:rsid w:val="00A7773A"/>
    <w:rsid w:val="00A83B4F"/>
    <w:rsid w:val="00AA26B4"/>
    <w:rsid w:val="00AB15E3"/>
    <w:rsid w:val="00AB4982"/>
    <w:rsid w:val="00AC3DB9"/>
    <w:rsid w:val="00AC687D"/>
    <w:rsid w:val="00AD0EF6"/>
    <w:rsid w:val="00AD194E"/>
    <w:rsid w:val="00AD33BE"/>
    <w:rsid w:val="00AE1A47"/>
    <w:rsid w:val="00AE5995"/>
    <w:rsid w:val="00AE6704"/>
    <w:rsid w:val="00AE78CA"/>
    <w:rsid w:val="00AE7B8D"/>
    <w:rsid w:val="00AF2861"/>
    <w:rsid w:val="00AF302E"/>
    <w:rsid w:val="00B01BD5"/>
    <w:rsid w:val="00B04476"/>
    <w:rsid w:val="00B05B83"/>
    <w:rsid w:val="00B17992"/>
    <w:rsid w:val="00B20C2B"/>
    <w:rsid w:val="00B23344"/>
    <w:rsid w:val="00B24258"/>
    <w:rsid w:val="00B250D7"/>
    <w:rsid w:val="00B309E3"/>
    <w:rsid w:val="00B31853"/>
    <w:rsid w:val="00B36260"/>
    <w:rsid w:val="00B50B07"/>
    <w:rsid w:val="00B6659F"/>
    <w:rsid w:val="00B71058"/>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4B7A"/>
    <w:rsid w:val="00C058C8"/>
    <w:rsid w:val="00C17A86"/>
    <w:rsid w:val="00C20F80"/>
    <w:rsid w:val="00C249A6"/>
    <w:rsid w:val="00C40502"/>
    <w:rsid w:val="00C4326C"/>
    <w:rsid w:val="00C52084"/>
    <w:rsid w:val="00C56DD5"/>
    <w:rsid w:val="00C63F7B"/>
    <w:rsid w:val="00C753C2"/>
    <w:rsid w:val="00C802FB"/>
    <w:rsid w:val="00C85653"/>
    <w:rsid w:val="00CA216C"/>
    <w:rsid w:val="00CA4BF9"/>
    <w:rsid w:val="00CC0700"/>
    <w:rsid w:val="00CD024D"/>
    <w:rsid w:val="00CD3A41"/>
    <w:rsid w:val="00CD431E"/>
    <w:rsid w:val="00CE0469"/>
    <w:rsid w:val="00CE1C82"/>
    <w:rsid w:val="00CE51D0"/>
    <w:rsid w:val="00CF1DF5"/>
    <w:rsid w:val="00CF7FBE"/>
    <w:rsid w:val="00D01A63"/>
    <w:rsid w:val="00D0621B"/>
    <w:rsid w:val="00D12C36"/>
    <w:rsid w:val="00D21ECE"/>
    <w:rsid w:val="00D27727"/>
    <w:rsid w:val="00D4431A"/>
    <w:rsid w:val="00D46962"/>
    <w:rsid w:val="00D47741"/>
    <w:rsid w:val="00D53327"/>
    <w:rsid w:val="00D553D4"/>
    <w:rsid w:val="00D57210"/>
    <w:rsid w:val="00D57AED"/>
    <w:rsid w:val="00D57F74"/>
    <w:rsid w:val="00D6211C"/>
    <w:rsid w:val="00D901D7"/>
    <w:rsid w:val="00D92BFE"/>
    <w:rsid w:val="00D96D23"/>
    <w:rsid w:val="00DA14E0"/>
    <w:rsid w:val="00DC1583"/>
    <w:rsid w:val="00DC2B31"/>
    <w:rsid w:val="00DD1866"/>
    <w:rsid w:val="00DD2DA4"/>
    <w:rsid w:val="00DD5A69"/>
    <w:rsid w:val="00DE0A8D"/>
    <w:rsid w:val="00DE562A"/>
    <w:rsid w:val="00DE7148"/>
    <w:rsid w:val="00DF62A4"/>
    <w:rsid w:val="00E00D15"/>
    <w:rsid w:val="00E11B18"/>
    <w:rsid w:val="00E1379C"/>
    <w:rsid w:val="00E17110"/>
    <w:rsid w:val="00E34413"/>
    <w:rsid w:val="00E40828"/>
    <w:rsid w:val="00E42B2B"/>
    <w:rsid w:val="00E5647F"/>
    <w:rsid w:val="00E625D3"/>
    <w:rsid w:val="00E65F37"/>
    <w:rsid w:val="00E7051C"/>
    <w:rsid w:val="00E711DE"/>
    <w:rsid w:val="00E74701"/>
    <w:rsid w:val="00E75E5F"/>
    <w:rsid w:val="00E823B8"/>
    <w:rsid w:val="00E9091C"/>
    <w:rsid w:val="00E93BB3"/>
    <w:rsid w:val="00E9680B"/>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193B"/>
    <w:rsid w:val="00F23D6E"/>
    <w:rsid w:val="00F241AD"/>
    <w:rsid w:val="00F30C33"/>
    <w:rsid w:val="00F32EBF"/>
    <w:rsid w:val="00F34A32"/>
    <w:rsid w:val="00F455F1"/>
    <w:rsid w:val="00F50F2C"/>
    <w:rsid w:val="00F570D3"/>
    <w:rsid w:val="00F62221"/>
    <w:rsid w:val="00F712EE"/>
    <w:rsid w:val="00F73BB1"/>
    <w:rsid w:val="00F8513C"/>
    <w:rsid w:val="00F97C38"/>
    <w:rsid w:val="00FA7ED5"/>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4E3114-8E06-45A6-A9F5-010038E581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27</Pages>
  <Words>6777</Words>
  <Characters>37276</Characters>
  <Application>Microsoft Office Word</Application>
  <DocSecurity>0</DocSecurity>
  <Lines>310</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Juan Carlos Miranda Araiza</cp:lastModifiedBy>
  <cp:revision>9</cp:revision>
  <dcterms:created xsi:type="dcterms:W3CDTF">2022-10-11T20:34:00Z</dcterms:created>
  <dcterms:modified xsi:type="dcterms:W3CDTF">2022-12-13T20:28:00Z</dcterms:modified>
</cp:coreProperties>
</file>