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de fecha </w:t>
      </w:r>
      <w:r w:rsidRPr="003C3066">
        <w:rPr>
          <w:rFonts w:ascii="Palatino Linotype" w:eastAsia="Palatino Linotype" w:hAnsi="Palatino Linotype" w:cs="Palatino Linotype"/>
          <w:b/>
          <w:sz w:val="24"/>
          <w:szCs w:val="24"/>
          <w:lang w:eastAsia="es-MX"/>
        </w:rPr>
        <w:t>nueve de noviembre del dos mil veintidós</w:t>
      </w: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90020C" w:rsidRDefault="003C3066" w:rsidP="003C3066">
      <w:pPr>
        <w:spacing w:after="0" w:line="360" w:lineRule="auto"/>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Visto</w:t>
      </w:r>
      <w:r w:rsidRPr="003C3066">
        <w:rPr>
          <w:rFonts w:ascii="Palatino Linotype" w:eastAsia="Palatino Linotype" w:hAnsi="Palatino Linotype" w:cs="Palatino Linotype"/>
          <w:sz w:val="24"/>
          <w:szCs w:val="24"/>
          <w:lang w:eastAsia="es-MX"/>
        </w:rPr>
        <w:t xml:space="preserve"> el expediente relativo al recurso de revisión </w:t>
      </w:r>
      <w:r w:rsidRPr="003C3066">
        <w:rPr>
          <w:rFonts w:ascii="Palatino Linotype" w:eastAsia="Palatino Linotype" w:hAnsi="Palatino Linotype" w:cs="Palatino Linotype"/>
          <w:b/>
          <w:sz w:val="24"/>
          <w:szCs w:val="24"/>
          <w:lang w:eastAsia="es-MX"/>
        </w:rPr>
        <w:t>08754/INFOEM/IP/RR/2022</w:t>
      </w:r>
      <w:r w:rsidRPr="003C3066">
        <w:rPr>
          <w:rFonts w:ascii="Palatino Linotype" w:eastAsia="Palatino Linotype" w:hAnsi="Palatino Linotype" w:cs="Palatino Linotype"/>
          <w:sz w:val="24"/>
          <w:szCs w:val="24"/>
          <w:lang w:eastAsia="es-MX"/>
        </w:rPr>
        <w:t>, interpuesto por la C.</w:t>
      </w:r>
      <w:r w:rsidR="00F2058D">
        <w:rPr>
          <w:rFonts w:ascii="Palatino Linotype" w:eastAsia="Palatino Linotype" w:hAnsi="Palatino Linotype" w:cs="Palatino Linotype"/>
          <w:b/>
          <w:sz w:val="24"/>
          <w:szCs w:val="24"/>
          <w:lang w:eastAsia="es-MX"/>
        </w:rPr>
        <w:t xml:space="preserve"> XXXXXXXX XXXXXXXXX XXXXXXX,</w:t>
      </w:r>
      <w:bookmarkStart w:id="0" w:name="_GoBack"/>
      <w:bookmarkEnd w:id="0"/>
      <w:r w:rsidRPr="003C3066">
        <w:rPr>
          <w:rFonts w:ascii="Palatino Linotype" w:eastAsia="Palatino Linotype" w:hAnsi="Palatino Linotype" w:cs="Palatino Linotype"/>
          <w:sz w:val="24"/>
          <w:szCs w:val="24"/>
          <w:lang w:eastAsia="es-MX"/>
        </w:rPr>
        <w:t xml:space="preserve"> al cual en lo sucesivo se le denominara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en contra de la respuesta a su solicitud de información con número de folio</w:t>
      </w:r>
      <w:r w:rsidRPr="003C3066">
        <w:rPr>
          <w:rFonts w:ascii="Palatino Linotype" w:eastAsia="Palatino Linotype" w:hAnsi="Palatino Linotype" w:cs="Palatino Linotype"/>
          <w:b/>
          <w:sz w:val="24"/>
          <w:szCs w:val="24"/>
          <w:lang w:eastAsia="es-MX"/>
        </w:rPr>
        <w:t xml:space="preserve"> 00273/CHALCO/IP/2022, </w:t>
      </w:r>
      <w:r w:rsidRPr="003C3066">
        <w:rPr>
          <w:rFonts w:ascii="Palatino Linotype" w:eastAsia="Palatino Linotype" w:hAnsi="Palatino Linotype" w:cs="Palatino Linotype"/>
          <w:sz w:val="24"/>
          <w:szCs w:val="24"/>
          <w:lang w:eastAsia="es-MX"/>
        </w:rPr>
        <w:t xml:space="preserve">por parte del </w:t>
      </w:r>
      <w:r w:rsidRPr="003C3066">
        <w:rPr>
          <w:rFonts w:ascii="Palatino Linotype" w:eastAsia="Palatino Linotype" w:hAnsi="Palatino Linotype" w:cs="Palatino Linotype"/>
          <w:b/>
          <w:sz w:val="24"/>
          <w:szCs w:val="24"/>
          <w:lang w:eastAsia="es-MX"/>
        </w:rPr>
        <w:t>Ayuntamiento de Chalco</w:t>
      </w:r>
      <w:r w:rsidRPr="003C3066">
        <w:rPr>
          <w:rFonts w:ascii="Palatino Linotype" w:eastAsia="Palatino Linotype" w:hAnsi="Palatino Linotype" w:cs="Palatino Linotype"/>
          <w:sz w:val="24"/>
          <w:szCs w:val="24"/>
          <w:lang w:eastAsia="es-MX"/>
        </w:rPr>
        <w:t xml:space="preserve">, en lo sucesivo el </w:t>
      </w:r>
      <w:r w:rsidRPr="003C3066">
        <w:rPr>
          <w:rFonts w:ascii="Palatino Linotype" w:eastAsia="Palatino Linotype" w:hAnsi="Palatino Linotype" w:cs="Palatino Linotype"/>
          <w:b/>
          <w:sz w:val="24"/>
          <w:szCs w:val="24"/>
          <w:lang w:eastAsia="es-MX"/>
        </w:rPr>
        <w:t xml:space="preserve">SUJETO OBLIGADO; </w:t>
      </w:r>
      <w:r w:rsidRPr="003C3066">
        <w:rPr>
          <w:rFonts w:ascii="Palatino Linotype" w:eastAsia="Palatino Linotype" w:hAnsi="Palatino Linotype" w:cs="Palatino Linotype"/>
          <w:sz w:val="24"/>
          <w:szCs w:val="24"/>
          <w:lang w:eastAsia="es-MX"/>
        </w:rPr>
        <w:t>se procede a dictar la presente resolución, con base en los siguientes:</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numPr>
          <w:ilvl w:val="0"/>
          <w:numId w:val="4"/>
        </w:num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A N T E C E D E N T E S</w:t>
      </w:r>
    </w:p>
    <w:p w:rsidR="003C3066" w:rsidRPr="003C3066" w:rsidRDefault="003C3066" w:rsidP="003C3066">
      <w:pPr>
        <w:pBdr>
          <w:top w:val="nil"/>
          <w:left w:val="nil"/>
          <w:bottom w:val="nil"/>
          <w:right w:val="nil"/>
          <w:between w:val="nil"/>
        </w:pBdr>
        <w:spacing w:after="0" w:line="360" w:lineRule="auto"/>
        <w:ind w:left="1077"/>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1. Solicitud de acceso a la información. </w:t>
      </w:r>
      <w:r w:rsidRPr="003C3066">
        <w:rPr>
          <w:rFonts w:ascii="Palatino Linotype" w:eastAsia="Palatino Linotype" w:hAnsi="Palatino Linotype" w:cs="Palatino Linotype"/>
          <w:sz w:val="24"/>
          <w:szCs w:val="24"/>
          <w:lang w:eastAsia="es-MX"/>
        </w:rPr>
        <w:t xml:space="preserve">Con fecha </w:t>
      </w:r>
      <w:r w:rsidRPr="003C3066">
        <w:rPr>
          <w:rFonts w:ascii="Palatino Linotype" w:eastAsia="Palatino Linotype" w:hAnsi="Palatino Linotype" w:cs="Palatino Linotype"/>
          <w:b/>
          <w:sz w:val="24"/>
          <w:szCs w:val="24"/>
          <w:lang w:eastAsia="es-MX"/>
        </w:rPr>
        <w:t>veintisiete de marzo del dos mil veintidós</w:t>
      </w:r>
      <w:r w:rsidRPr="003C3066">
        <w:rPr>
          <w:rFonts w:ascii="Palatino Linotype" w:eastAsia="Palatino Linotype" w:hAnsi="Palatino Linotype" w:cs="Palatino Linotype"/>
          <w:sz w:val="24"/>
          <w:szCs w:val="24"/>
          <w:lang w:eastAsia="es-MX"/>
        </w:rPr>
        <w:t xml:space="preserve">,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formuló solicitud de acceso a información pública al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a través del Sistema de Acceso a la Información Mexiquense, en adelante </w:t>
      </w:r>
      <w:r w:rsidRPr="003C3066">
        <w:rPr>
          <w:rFonts w:ascii="Palatino Linotype" w:eastAsia="Palatino Linotype" w:hAnsi="Palatino Linotype" w:cs="Palatino Linotype"/>
          <w:b/>
          <w:sz w:val="24"/>
          <w:szCs w:val="24"/>
          <w:lang w:eastAsia="es-MX"/>
        </w:rPr>
        <w:t>SAIMEX,</w:t>
      </w:r>
      <w:r w:rsidRPr="003C3066">
        <w:rPr>
          <w:rFonts w:ascii="Palatino Linotype" w:eastAsia="Palatino Linotype" w:hAnsi="Palatino Linotype" w:cs="Palatino Linotype"/>
          <w:sz w:val="24"/>
          <w:szCs w:val="24"/>
          <w:lang w:eastAsia="es-MX"/>
        </w:rPr>
        <w:t xml:space="preserve"> requiriéndole lo siguiente:</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276" w:lineRule="auto"/>
        <w:ind w:left="851" w:right="900"/>
        <w:jc w:val="both"/>
        <w:rPr>
          <w:rFonts w:ascii="Palatino Linotype" w:eastAsia="Palatino Linotype" w:hAnsi="Palatino Linotype" w:cs="Palatino Linotype"/>
          <w:lang w:eastAsia="es-MX"/>
        </w:rPr>
      </w:pPr>
      <w:r w:rsidRPr="003C3066">
        <w:rPr>
          <w:rFonts w:ascii="Palatino Linotype" w:eastAsia="Palatino Linotype" w:hAnsi="Palatino Linotype" w:cs="Palatino Linotype"/>
          <w:i/>
          <w:lang w:eastAsia="es-MX"/>
        </w:rPr>
        <w:t xml:space="preserve">“Solicito respuesta a lo siguiente, por favor. 1. Solicito saber si los miembros del Ayuntamiento y los directores son titulados de alguna carrera, si es así, especificar nombre, número de cédula profesional, carrera y universidad donde se realizaron dichos estudios. 2. ¿Cuáles son los listados de los beneficiarios de programas sociales? Y ¿Qué estudios socioeconómicos se les aplicaron? Solicito copia del formato de estudio socioeconómico 3. Solicito saber cuáles bienes inmuebles ha adquirido el ayuntamiento, ¿cuál fue el costo de estos de enero del 2021 a la fecha? ¿Cuándo fueron ingresados al patrimonio municipal? Solicito copia de las actas y contratos 4. ¿Qué bienes se han dado de baja del patrimonio municipal desde enero de 2022? Especificando cada bien y motivos de la baja 5. </w:t>
      </w:r>
      <w:r w:rsidRPr="003C3066">
        <w:rPr>
          <w:rFonts w:ascii="Palatino Linotype" w:eastAsia="Palatino Linotype" w:hAnsi="Palatino Linotype" w:cs="Palatino Linotype"/>
          <w:i/>
          <w:lang w:eastAsia="es-MX"/>
        </w:rPr>
        <w:lastRenderedPageBreak/>
        <w:t>¿Qué obras públicas se ha realizado de enero del 2022 a la fecha? ¿</w:t>
      </w:r>
      <w:proofErr w:type="gramStart"/>
      <w:r w:rsidRPr="003C3066">
        <w:rPr>
          <w:rFonts w:ascii="Palatino Linotype" w:eastAsia="Palatino Linotype" w:hAnsi="Palatino Linotype" w:cs="Palatino Linotype"/>
          <w:i/>
          <w:lang w:eastAsia="es-MX"/>
        </w:rPr>
        <w:t>cómo</w:t>
      </w:r>
      <w:proofErr w:type="gramEnd"/>
      <w:r w:rsidRPr="003C3066">
        <w:rPr>
          <w:rFonts w:ascii="Palatino Linotype" w:eastAsia="Palatino Linotype" w:hAnsi="Palatino Linotype" w:cs="Palatino Linotype"/>
          <w:i/>
          <w:lang w:eastAsia="es-MX"/>
        </w:rPr>
        <w:t xml:space="preserve"> fue el proceso de licitación para la realización de la misma y que costo tuvo cada obra? 6. ¿Qué bienes inmuebles renta el h. ayuntamiento y que costo mensual tienen? Copia del contrato</w:t>
      </w:r>
      <w:proofErr w:type="gramStart"/>
      <w:r w:rsidRPr="003C3066">
        <w:rPr>
          <w:rFonts w:ascii="Palatino Linotype" w:eastAsia="Palatino Linotype" w:hAnsi="Palatino Linotype" w:cs="Palatino Linotype"/>
          <w:i/>
          <w:lang w:eastAsia="es-MX"/>
        </w:rPr>
        <w:t>?</w:t>
      </w:r>
      <w:proofErr w:type="gramEnd"/>
      <w:r w:rsidRPr="003C3066">
        <w:rPr>
          <w:rFonts w:ascii="Palatino Linotype" w:eastAsia="Palatino Linotype" w:hAnsi="Palatino Linotype" w:cs="Palatino Linotype"/>
          <w:i/>
          <w:lang w:eastAsia="es-MX"/>
        </w:rPr>
        <w:t xml:space="preserve"> 7. ¿Qué vehículos fueron adquiridos de enero del 2022 a la fecha? qué uso se les atribuye a los mismos y el costo que estos generan</w:t>
      </w:r>
      <w:proofErr w:type="gramStart"/>
      <w:r w:rsidRPr="003C3066">
        <w:rPr>
          <w:rFonts w:ascii="Palatino Linotype" w:eastAsia="Palatino Linotype" w:hAnsi="Palatino Linotype" w:cs="Palatino Linotype"/>
          <w:i/>
          <w:lang w:eastAsia="es-MX"/>
        </w:rPr>
        <w:t>?</w:t>
      </w:r>
      <w:proofErr w:type="gramEnd"/>
      <w:r w:rsidRPr="003C3066">
        <w:rPr>
          <w:rFonts w:ascii="Palatino Linotype" w:eastAsia="Palatino Linotype" w:hAnsi="Palatino Linotype" w:cs="Palatino Linotype"/>
          <w:i/>
          <w:lang w:eastAsia="es-MX"/>
        </w:rPr>
        <w:t xml:space="preserve"> 8. ¿Cuándo se instaló el consejo de planeación y desarrollo municipal (COPLAMUN)? 9. ¿Cuántas personas han sido remitidas al oficial mediador y calificador en el municipio? Desde enero 2022. ¿</w:t>
      </w:r>
      <w:proofErr w:type="gramStart"/>
      <w:r w:rsidRPr="003C3066">
        <w:rPr>
          <w:rFonts w:ascii="Palatino Linotype" w:eastAsia="Palatino Linotype" w:hAnsi="Palatino Linotype" w:cs="Palatino Linotype"/>
          <w:i/>
          <w:lang w:eastAsia="es-MX"/>
        </w:rPr>
        <w:t>qué</w:t>
      </w:r>
      <w:proofErr w:type="gramEnd"/>
      <w:r w:rsidRPr="003C3066">
        <w:rPr>
          <w:rFonts w:ascii="Palatino Linotype" w:eastAsia="Palatino Linotype" w:hAnsi="Palatino Linotype" w:cs="Palatino Linotype"/>
          <w:i/>
          <w:lang w:eastAsia="es-MX"/>
        </w:rPr>
        <w:t xml:space="preserve"> tipo de sanciones se les han impuesto? Y cuáles son las causas</w:t>
      </w:r>
      <w:proofErr w:type="gramStart"/>
      <w:r w:rsidRPr="003C3066">
        <w:rPr>
          <w:rFonts w:ascii="Palatino Linotype" w:eastAsia="Palatino Linotype" w:hAnsi="Palatino Linotype" w:cs="Palatino Linotype"/>
          <w:i/>
          <w:lang w:eastAsia="es-MX"/>
        </w:rPr>
        <w:t>?</w:t>
      </w:r>
      <w:proofErr w:type="gramEnd"/>
      <w:r w:rsidRPr="003C3066">
        <w:rPr>
          <w:rFonts w:ascii="Palatino Linotype" w:eastAsia="Palatino Linotype" w:hAnsi="Palatino Linotype" w:cs="Palatino Linotype"/>
          <w:i/>
          <w:lang w:eastAsia="es-MX"/>
        </w:rPr>
        <w:t xml:space="preserve"> Favor de desglosar cuantas personas han sido remitidas por cada tipo de sanción 10. Cuáles son los ingresos que reporta haber recibido la tesorería municipal por concepto del pago de sanciones por faltas administrativas cometidas por personas presentadas ante los oficiales calificadores 11. ¿Cuántas licencias de funcionamiento de unidades económicas se han expedido desde el inicio de la administración? 12. ¿Cuáles son los requisitos para tramitar una licencia de funcionamiento de unidades económica desreguladas? 13. ¿Cuántas licencias de funcionamiento se encuentran vigentes para unidades económicas actualmente? 14. ¿Cuántas unidades económicas se encuentran registradas en el Registro Municipal de Unidades Económicas? 15. Solicitud de una copia de las actas de la instalación y sesiones de las comisiones edilicias municipales que se hayan realizado a la fecha de recepción de la presente.” </w:t>
      </w:r>
      <w:r w:rsidRPr="003C3066">
        <w:rPr>
          <w:rFonts w:ascii="Palatino Linotype" w:eastAsia="Palatino Linotype" w:hAnsi="Palatino Linotype" w:cs="Palatino Linotype"/>
          <w:lang w:eastAsia="es-MX"/>
        </w:rPr>
        <w:t>(Sic)</w:t>
      </w:r>
    </w:p>
    <w:p w:rsidR="003C3066" w:rsidRPr="003C3066" w:rsidRDefault="003C3066" w:rsidP="003C3066">
      <w:pPr>
        <w:spacing w:after="0" w:line="276" w:lineRule="auto"/>
        <w:ind w:left="851" w:right="900"/>
        <w:jc w:val="both"/>
        <w:rPr>
          <w:rFonts w:ascii="Palatino Linotype" w:eastAsia="Palatino Linotype" w:hAnsi="Palatino Linotype" w:cs="Palatino Linotype"/>
          <w:i/>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Modalidad elegida para la entrega de la información: </w:t>
      </w:r>
      <w:r w:rsidRPr="003C3066">
        <w:rPr>
          <w:rFonts w:ascii="Palatino Linotype" w:eastAsia="Palatino Linotype" w:hAnsi="Palatino Linotype" w:cs="Palatino Linotype"/>
          <w:sz w:val="24"/>
          <w:szCs w:val="24"/>
          <w:lang w:eastAsia="es-MX"/>
        </w:rPr>
        <w:t xml:space="preserve">a través del </w:t>
      </w:r>
      <w:r w:rsidRPr="003C3066">
        <w:rPr>
          <w:rFonts w:ascii="Palatino Linotype" w:eastAsia="Palatino Linotype" w:hAnsi="Palatino Linotype" w:cs="Palatino Linotype"/>
          <w:b/>
          <w:sz w:val="24"/>
          <w:szCs w:val="24"/>
          <w:lang w:eastAsia="es-MX"/>
        </w:rPr>
        <w:t>SAIMEX</w:t>
      </w:r>
      <w:r w:rsidRPr="003C3066">
        <w:rPr>
          <w:rFonts w:ascii="Palatino Linotype" w:eastAsia="Palatino Linotype" w:hAnsi="Palatino Linotype" w:cs="Palatino Linotype"/>
          <w:sz w:val="24"/>
          <w:szCs w:val="24"/>
          <w:lang w:eastAsia="es-MX"/>
        </w:rPr>
        <w:t>.</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2. Respuesta. </w:t>
      </w:r>
      <w:r w:rsidRPr="003C3066">
        <w:rPr>
          <w:rFonts w:ascii="Palatino Linotype" w:eastAsia="Palatino Linotype" w:hAnsi="Palatino Linotype" w:cs="Palatino Linotype"/>
          <w:sz w:val="24"/>
          <w:szCs w:val="24"/>
          <w:lang w:eastAsia="es-MX"/>
        </w:rPr>
        <w:t xml:space="preserve">Con fecha </w:t>
      </w:r>
      <w:r w:rsidRPr="003C3066">
        <w:rPr>
          <w:rFonts w:ascii="Palatino Linotype" w:eastAsia="Palatino Linotype" w:hAnsi="Palatino Linotype" w:cs="Palatino Linotype"/>
          <w:b/>
          <w:sz w:val="24"/>
          <w:szCs w:val="24"/>
          <w:lang w:eastAsia="es-MX"/>
        </w:rPr>
        <w:t>tres de mayo del dos mil veintidós,</w:t>
      </w:r>
      <w:r w:rsidRPr="003C3066">
        <w:rPr>
          <w:rFonts w:ascii="Palatino Linotype" w:eastAsia="Palatino Linotype" w:hAnsi="Palatino Linotype" w:cs="Palatino Linotype"/>
          <w:sz w:val="24"/>
          <w:szCs w:val="24"/>
          <w:lang w:eastAsia="es-MX"/>
        </w:rPr>
        <w:t xml:space="preserv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envió su respuesta a la solicitud de acceso a la información a través del SAIMEX, la cual versa como sigue:</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40" w:lineRule="auto"/>
        <w:ind w:left="851" w:right="902"/>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w:t>
      </w:r>
      <w:r w:rsidRPr="003C3066">
        <w:rPr>
          <w:rFonts w:ascii="Palatino Linotype" w:eastAsia="Palatino Linotype" w:hAnsi="Palatino Linotype" w:cs="Palatino Linotype"/>
          <w:i/>
          <w:lang w:eastAsia="es-MX"/>
        </w:rPr>
        <w:lastRenderedPageBreak/>
        <w:t xml:space="preserve">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los servidores públicos habilitados la Coordinadora de </w:t>
      </w:r>
      <w:proofErr w:type="spellStart"/>
      <w:r w:rsidRPr="003C3066">
        <w:rPr>
          <w:rFonts w:ascii="Palatino Linotype" w:eastAsia="Palatino Linotype" w:hAnsi="Palatino Linotype" w:cs="Palatino Linotype"/>
          <w:i/>
          <w:lang w:eastAsia="es-MX"/>
        </w:rPr>
        <w:t>Oficilias</w:t>
      </w:r>
      <w:proofErr w:type="spellEnd"/>
      <w:r w:rsidRPr="003C3066">
        <w:rPr>
          <w:rFonts w:ascii="Palatino Linotype" w:eastAsia="Palatino Linotype" w:hAnsi="Palatino Linotype" w:cs="Palatino Linotype"/>
          <w:i/>
          <w:lang w:eastAsia="es-MX"/>
        </w:rPr>
        <w:t xml:space="preserve"> Calificadoras, Directora de Desarrollo Económico y Tesorera Municipal en los siguientes </w:t>
      </w:r>
      <w:proofErr w:type="spellStart"/>
      <w:r w:rsidRPr="003C3066">
        <w:rPr>
          <w:rFonts w:ascii="Palatino Linotype" w:eastAsia="Palatino Linotype" w:hAnsi="Palatino Linotype" w:cs="Palatino Linotype"/>
          <w:i/>
          <w:lang w:eastAsia="es-MX"/>
        </w:rPr>
        <w:t>términos:Por</w:t>
      </w:r>
      <w:proofErr w:type="spellEnd"/>
      <w:r w:rsidRPr="003C3066">
        <w:rPr>
          <w:rFonts w:ascii="Palatino Linotype" w:eastAsia="Palatino Linotype" w:hAnsi="Palatino Linotype" w:cs="Palatino Linotype"/>
          <w:i/>
          <w:lang w:eastAsia="es-MX"/>
        </w:rPr>
        <w:t xml:space="preserve"> medio del presente reciba un cordial saludo, al tiempo remito contestación de la solicitud de información número 00273/CHALCO/IP/2022, mediante archivo que se adjunta a la </w:t>
      </w:r>
      <w:proofErr w:type="spellStart"/>
      <w:r w:rsidRPr="003C3066">
        <w:rPr>
          <w:rFonts w:ascii="Palatino Linotype" w:eastAsia="Palatino Linotype" w:hAnsi="Palatino Linotype" w:cs="Palatino Linotype"/>
          <w:i/>
          <w:lang w:eastAsia="es-MX"/>
        </w:rPr>
        <w:t>presente.Considerando</w:t>
      </w:r>
      <w:proofErr w:type="spellEnd"/>
      <w:r w:rsidRPr="003C3066">
        <w:rPr>
          <w:rFonts w:ascii="Palatino Linotype" w:eastAsia="Palatino Linotype" w:hAnsi="Palatino Linotype" w:cs="Palatino Linotype"/>
          <w:i/>
          <w:lang w:eastAsia="es-MX"/>
        </w:rPr>
        <w:t xml:space="preserve">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rsidR="003C3066" w:rsidRPr="003C3066" w:rsidRDefault="003C3066" w:rsidP="003C3066">
      <w:pPr>
        <w:spacing w:after="0" w:line="240" w:lineRule="auto"/>
        <w:ind w:left="851" w:right="902"/>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ATENTAMENTE</w:t>
      </w:r>
    </w:p>
    <w:p w:rsidR="003C3066" w:rsidRPr="003C3066" w:rsidRDefault="003C3066" w:rsidP="003C3066">
      <w:pPr>
        <w:spacing w:after="0" w:line="240" w:lineRule="auto"/>
        <w:ind w:left="851" w:right="902"/>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C. P. JESÚS CLISERIO HERNÁNDEZ MORENO” (Sic)</w:t>
      </w:r>
    </w:p>
    <w:p w:rsidR="003C3066" w:rsidRPr="003C3066" w:rsidRDefault="003C3066" w:rsidP="003C3066">
      <w:pPr>
        <w:spacing w:after="0" w:line="240" w:lineRule="auto"/>
        <w:ind w:left="851" w:right="902"/>
        <w:jc w:val="both"/>
        <w:rPr>
          <w:rFonts w:ascii="Palatino Linotype" w:eastAsia="Palatino Linotype" w:hAnsi="Palatino Linotype" w:cs="Palatino Linotype"/>
          <w:i/>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adjuntó a su respuesta tres archivos electrónicos siguientes:</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0"/>
        </w:numPr>
        <w:spacing w:after="0" w:line="360" w:lineRule="auto"/>
        <w:ind w:right="49"/>
        <w:jc w:val="both"/>
        <w:rPr>
          <w:rFonts w:ascii="Palatino Linotype" w:eastAsia="Palatino Linotype" w:hAnsi="Palatino Linotype" w:cs="Palatino Linotype"/>
          <w:sz w:val="24"/>
          <w:szCs w:val="24"/>
          <w:lang w:val="es-ES" w:eastAsia="es-MX"/>
        </w:rPr>
      </w:pPr>
      <w:r w:rsidRPr="003C3066">
        <w:rPr>
          <w:rFonts w:ascii="Palatino Linotype" w:eastAsia="Palatino Linotype" w:hAnsi="Palatino Linotype" w:cs="Palatino Linotype"/>
          <w:b/>
          <w:i/>
          <w:sz w:val="24"/>
          <w:szCs w:val="24"/>
          <w:lang w:val="es-ES" w:eastAsia="es-MX"/>
        </w:rPr>
        <w:t>00273-CHALCO-IP-2022 OFICALIF.pdf,</w:t>
      </w:r>
      <w:r w:rsidRPr="003C3066">
        <w:rPr>
          <w:rFonts w:ascii="Palatino Linotype" w:eastAsia="Palatino Linotype" w:hAnsi="Palatino Linotype" w:cs="Palatino Linotype"/>
          <w:sz w:val="24"/>
          <w:szCs w:val="24"/>
          <w:lang w:val="es-ES" w:eastAsia="es-MX"/>
        </w:rPr>
        <w:t xml:space="preserve"> oficio número GCH/COC/183/2022, de fecha ocho de abril de dos mil veintidós, suscrito y signado por la Coordinadora de Oficialías Calificadoras, mediante el cual informa lo siguiente:</w:t>
      </w:r>
    </w:p>
    <w:p w:rsidR="003C3066" w:rsidRPr="003C3066" w:rsidRDefault="003C3066" w:rsidP="003C3066">
      <w:pPr>
        <w:spacing w:after="0" w:line="360" w:lineRule="auto"/>
        <w:ind w:left="720" w:right="49"/>
        <w:jc w:val="center"/>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lastRenderedPageBreak/>
        <w:drawing>
          <wp:inline distT="0" distB="0" distL="0" distR="0" wp14:anchorId="5B1A2FDD" wp14:editId="16AB2A4C">
            <wp:extent cx="5363542" cy="3291840"/>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40" t="44222" r="51493" b="25152"/>
                    <a:stretch/>
                  </pic:blipFill>
                  <pic:spPr bwMode="auto">
                    <a:xfrm>
                      <a:off x="0" y="0"/>
                      <a:ext cx="5393706" cy="3310353"/>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left="720" w:right="49"/>
        <w:jc w:val="center"/>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drawing>
          <wp:inline distT="0" distB="0" distL="0" distR="0" wp14:anchorId="3F82667F" wp14:editId="08A2FB85">
            <wp:extent cx="5743120" cy="71641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54" t="21424" r="51460" b="18726"/>
                    <a:stretch/>
                  </pic:blipFill>
                  <pic:spPr bwMode="auto">
                    <a:xfrm>
                      <a:off x="0" y="0"/>
                      <a:ext cx="5764672" cy="7191010"/>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left="720" w:right="49"/>
        <w:jc w:val="both"/>
        <w:rPr>
          <w:rFonts w:ascii="Palatino Linotype" w:eastAsia="Palatino Linotype" w:hAnsi="Palatino Linotype" w:cs="Palatino Linotype"/>
          <w:sz w:val="24"/>
          <w:szCs w:val="24"/>
          <w:lang w:val="es-ES" w:eastAsia="es-MX"/>
        </w:rPr>
      </w:pPr>
    </w:p>
    <w:p w:rsidR="003C3066" w:rsidRPr="003C3066" w:rsidRDefault="003C3066" w:rsidP="003C3066">
      <w:pPr>
        <w:spacing w:after="0" w:line="360" w:lineRule="auto"/>
        <w:ind w:left="720" w:right="49"/>
        <w:jc w:val="center"/>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drawing>
          <wp:inline distT="0" distB="0" distL="0" distR="0" wp14:anchorId="6F97C793" wp14:editId="2CD03D54">
            <wp:extent cx="5920924" cy="4063117"/>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894" t="34701" r="53415" b="35174"/>
                    <a:stretch/>
                  </pic:blipFill>
                  <pic:spPr bwMode="auto">
                    <a:xfrm>
                      <a:off x="0" y="0"/>
                      <a:ext cx="5955921" cy="4087133"/>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numPr>
          <w:ilvl w:val="0"/>
          <w:numId w:val="10"/>
        </w:numPr>
        <w:spacing w:after="0" w:line="360" w:lineRule="auto"/>
        <w:ind w:right="49"/>
        <w:jc w:val="both"/>
        <w:rPr>
          <w:rFonts w:ascii="Palatino Linotype" w:eastAsia="Palatino Linotype" w:hAnsi="Palatino Linotype" w:cs="Palatino Linotype"/>
          <w:sz w:val="24"/>
          <w:szCs w:val="24"/>
          <w:lang w:val="es-ES" w:eastAsia="es-MX"/>
        </w:rPr>
      </w:pPr>
      <w:r w:rsidRPr="003C3066">
        <w:rPr>
          <w:rFonts w:ascii="Palatino Linotype" w:eastAsia="Palatino Linotype" w:hAnsi="Palatino Linotype" w:cs="Palatino Linotype"/>
          <w:b/>
          <w:i/>
          <w:sz w:val="24"/>
          <w:szCs w:val="24"/>
          <w:lang w:val="es-ES" w:eastAsia="es-MX"/>
        </w:rPr>
        <w:t>00273-CHALCO-IP-2022 DESECO.pdf</w:t>
      </w:r>
      <w:r w:rsidRPr="003C3066">
        <w:rPr>
          <w:rFonts w:ascii="Palatino Linotype" w:eastAsia="Palatino Linotype" w:hAnsi="Palatino Linotype" w:cs="Palatino Linotype"/>
          <w:sz w:val="24"/>
          <w:szCs w:val="24"/>
          <w:lang w:val="es-ES" w:eastAsia="es-MX"/>
        </w:rPr>
        <w:t>, oficio número GCH/DDE/0111/2022, de fecha ocho de abril de dos mil veintidós, suscrito por la Directora de Desarrollo Económico, en el siguiente sentido:</w:t>
      </w:r>
    </w:p>
    <w:p w:rsidR="003C3066" w:rsidRPr="003C3066" w:rsidRDefault="003C3066" w:rsidP="003C3066">
      <w:pPr>
        <w:spacing w:after="0" w:line="360" w:lineRule="auto"/>
        <w:ind w:right="49"/>
        <w:jc w:val="center"/>
        <w:rPr>
          <w:rFonts w:ascii="Palatino Linotype" w:eastAsia="Palatino Linotype" w:hAnsi="Palatino Linotype" w:cs="Palatino Linotype"/>
          <w:sz w:val="24"/>
          <w:szCs w:val="24"/>
          <w:lang w:eastAsia="es-MX"/>
        </w:rPr>
      </w:pPr>
      <w:r w:rsidRPr="003C3066">
        <w:rPr>
          <w:rFonts w:ascii="Times New Roman" w:eastAsia="Times New Roman" w:hAnsi="Times New Roman" w:cs="Times New Roman"/>
          <w:noProof/>
          <w:sz w:val="24"/>
          <w:szCs w:val="24"/>
          <w:lang w:eastAsia="es-MX"/>
        </w:rPr>
        <w:drawing>
          <wp:inline distT="0" distB="0" distL="0" distR="0" wp14:anchorId="4BCD7AC9" wp14:editId="24EC3E7F">
            <wp:extent cx="6280770" cy="530352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87" t="42433" r="54160" b="18305"/>
                    <a:stretch/>
                  </pic:blipFill>
                  <pic:spPr bwMode="auto">
                    <a:xfrm>
                      <a:off x="0" y="0"/>
                      <a:ext cx="6287402" cy="5309120"/>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Agregando al oficio las Actas de Instalación de los Comités Municipales de Dictámenes de Giro, Del Consejo Municipal para el Desarrollo Rural Sustentable y del Consejo Consultivo Municipal de Turismo Sostenible y Desarrollo Artesanal.</w:t>
      </w:r>
    </w:p>
    <w:p w:rsidR="003C3066" w:rsidRPr="003C3066" w:rsidRDefault="003C3066" w:rsidP="003C3066">
      <w:pPr>
        <w:numPr>
          <w:ilvl w:val="0"/>
          <w:numId w:val="10"/>
        </w:numPr>
        <w:spacing w:after="0" w:line="360" w:lineRule="auto"/>
        <w:ind w:right="49"/>
        <w:jc w:val="both"/>
        <w:rPr>
          <w:rFonts w:ascii="Palatino Linotype" w:eastAsia="Palatino Linotype" w:hAnsi="Palatino Linotype" w:cs="Palatino Linotype"/>
          <w:b/>
          <w:i/>
          <w:sz w:val="24"/>
          <w:szCs w:val="24"/>
          <w:lang w:val="es-ES" w:eastAsia="es-MX"/>
        </w:rPr>
      </w:pPr>
      <w:r w:rsidRPr="003C3066">
        <w:rPr>
          <w:rFonts w:ascii="Palatino Linotype" w:eastAsia="Palatino Linotype" w:hAnsi="Palatino Linotype" w:cs="Palatino Linotype"/>
          <w:b/>
          <w:i/>
          <w:sz w:val="24"/>
          <w:szCs w:val="24"/>
          <w:lang w:val="es-ES" w:eastAsia="es-MX"/>
        </w:rPr>
        <w:t xml:space="preserve">00273-CHALCO-IP-2022 TESO.pdf, </w:t>
      </w:r>
      <w:r w:rsidRPr="003C3066">
        <w:rPr>
          <w:rFonts w:ascii="Palatino Linotype" w:eastAsia="Palatino Linotype" w:hAnsi="Palatino Linotype" w:cs="Palatino Linotype"/>
          <w:sz w:val="24"/>
          <w:szCs w:val="24"/>
          <w:lang w:val="es-ES" w:eastAsia="es-MX"/>
        </w:rPr>
        <w:t>oficio número TM/296/2022, de fecha veintidós de abril de dos mil veintidós, suscrito por la Tesorera Municipal, manifestando lo siguiente:</w:t>
      </w:r>
    </w:p>
    <w:p w:rsidR="003C3066" w:rsidRPr="003C3066" w:rsidRDefault="003C3066" w:rsidP="003C3066">
      <w:pPr>
        <w:spacing w:after="0" w:line="360" w:lineRule="auto"/>
        <w:ind w:left="720" w:right="49"/>
        <w:jc w:val="both"/>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drawing>
          <wp:inline distT="0" distB="0" distL="0" distR="0" wp14:anchorId="162660EF" wp14:editId="59617FA6">
            <wp:extent cx="5600265" cy="4365266"/>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48" t="46484" r="52138" b="14001"/>
                    <a:stretch/>
                  </pic:blipFill>
                  <pic:spPr bwMode="auto">
                    <a:xfrm>
                      <a:off x="0" y="0"/>
                      <a:ext cx="5611729" cy="4374202"/>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right="51"/>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3. Interposición del recurso de revisión. </w:t>
      </w:r>
      <w:r w:rsidRPr="003C3066">
        <w:rPr>
          <w:rFonts w:ascii="Palatino Linotype" w:eastAsia="Palatino Linotype" w:hAnsi="Palatino Linotype" w:cs="Palatino Linotype"/>
          <w:sz w:val="24"/>
          <w:szCs w:val="24"/>
          <w:lang w:eastAsia="es-MX"/>
        </w:rPr>
        <w:t xml:space="preserve">Inconforme con la respuesta del </w:t>
      </w:r>
      <w:r w:rsidRPr="003C3066">
        <w:rPr>
          <w:rFonts w:ascii="Palatino Linotype" w:eastAsia="Palatino Linotype" w:hAnsi="Palatino Linotype" w:cs="Palatino Linotype"/>
          <w:b/>
          <w:sz w:val="24"/>
          <w:szCs w:val="24"/>
          <w:lang w:eastAsia="es-MX"/>
        </w:rPr>
        <w:t xml:space="preserve">SUJETO OBLIGADO </w:t>
      </w:r>
      <w:r w:rsidRPr="003C3066">
        <w:rPr>
          <w:rFonts w:ascii="Palatino Linotype" w:eastAsia="Palatino Linotype" w:hAnsi="Palatino Linotype" w:cs="Palatino Linotype"/>
          <w:sz w:val="24"/>
          <w:szCs w:val="24"/>
          <w:lang w:eastAsia="es-MX"/>
        </w:rPr>
        <w:t>la parte</w:t>
      </w:r>
      <w:r w:rsidRPr="003C3066">
        <w:rPr>
          <w:rFonts w:ascii="Palatino Linotype" w:eastAsia="Palatino Linotype" w:hAnsi="Palatino Linotype" w:cs="Palatino Linotype"/>
          <w:b/>
          <w:sz w:val="24"/>
          <w:szCs w:val="24"/>
          <w:lang w:eastAsia="es-MX"/>
        </w:rPr>
        <w:t xml:space="preserve"> RECURRENTE</w:t>
      </w:r>
      <w:r w:rsidRPr="003C3066">
        <w:rPr>
          <w:rFonts w:ascii="Palatino Linotype" w:eastAsia="Palatino Linotype" w:hAnsi="Palatino Linotype" w:cs="Palatino Linotype"/>
          <w:sz w:val="24"/>
          <w:szCs w:val="24"/>
          <w:lang w:eastAsia="es-MX"/>
        </w:rPr>
        <w:t xml:space="preserve"> interpuso recurso de revisión a través del SAIMEX en fecha </w:t>
      </w:r>
      <w:r w:rsidRPr="003C3066">
        <w:rPr>
          <w:rFonts w:ascii="Palatino Linotype" w:eastAsia="Palatino Linotype" w:hAnsi="Palatino Linotype" w:cs="Palatino Linotype"/>
          <w:b/>
          <w:sz w:val="24"/>
          <w:szCs w:val="24"/>
          <w:lang w:eastAsia="es-MX"/>
        </w:rPr>
        <w:t>veinte de mayo de dos mil veintidós,</w:t>
      </w:r>
      <w:r w:rsidRPr="003C3066">
        <w:rPr>
          <w:rFonts w:ascii="Palatino Linotype" w:eastAsia="Palatino Linotype" w:hAnsi="Palatino Linotype" w:cs="Palatino Linotype"/>
          <w:sz w:val="24"/>
          <w:szCs w:val="24"/>
          <w:lang w:eastAsia="es-MX"/>
        </w:rPr>
        <w:t xml:space="preserve"> a través del cual expresó lo siguiente:</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a) Acto impugnado.</w:t>
      </w:r>
    </w:p>
    <w:p w:rsidR="003C3066" w:rsidRPr="003C3066" w:rsidRDefault="003C3066" w:rsidP="003C3066">
      <w:pPr>
        <w:spacing w:after="0" w:line="276" w:lineRule="auto"/>
        <w:ind w:left="851"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 xml:space="preserve">“El día 26 de marzo de 2022, se llevó a cabo una solicitud de acceso a la información pública en el cual se realizó una serie de preguntas al ayuntamiento de Chalco, el sujeto obligado en cuestión, estas preguntas son de carácter público y recibir respuesta a estas preguntas es un derecho. En virtud de considerar que </w:t>
      </w:r>
      <w:r w:rsidRPr="003C3066">
        <w:rPr>
          <w:rFonts w:ascii="Palatino Linotype" w:eastAsia="Palatino Linotype" w:hAnsi="Palatino Linotype" w:cs="Palatino Linotype"/>
          <w:b/>
          <w:i/>
          <w:lang w:eastAsia="es-MX"/>
        </w:rPr>
        <w:t>el sujeto obligado incurrió en dar respuesta incompleta a la solicitud de transparencia</w:t>
      </w:r>
      <w:r w:rsidRPr="003C3066">
        <w:rPr>
          <w:rFonts w:ascii="Palatino Linotype" w:eastAsia="Palatino Linotype" w:hAnsi="Palatino Linotype" w:cs="Palatino Linotype"/>
          <w:i/>
          <w:lang w:eastAsia="es-MX"/>
        </w:rPr>
        <w:t xml:space="preserve">, de lo que le fue solicitado. Además de </w:t>
      </w:r>
      <w:r w:rsidRPr="003C3066">
        <w:rPr>
          <w:rFonts w:ascii="Palatino Linotype" w:eastAsia="Palatino Linotype" w:hAnsi="Palatino Linotype" w:cs="Palatino Linotype"/>
          <w:b/>
          <w:i/>
          <w:lang w:eastAsia="es-MX"/>
        </w:rPr>
        <w:t>contestar fuera de la fecha límite establecida por la ley.” (</w:t>
      </w:r>
      <w:r w:rsidRPr="003C3066">
        <w:rPr>
          <w:rFonts w:ascii="Palatino Linotype" w:eastAsia="Palatino Linotype" w:hAnsi="Palatino Linotype" w:cs="Palatino Linotype"/>
          <w:i/>
          <w:lang w:eastAsia="es-MX"/>
        </w:rPr>
        <w:t xml:space="preserve">Sic) </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b) Motivos de inconformidad.</w:t>
      </w:r>
    </w:p>
    <w:p w:rsidR="003C3066" w:rsidRPr="003C3066" w:rsidRDefault="003C3066" w:rsidP="003C3066">
      <w:pPr>
        <w:spacing w:after="0" w:line="276" w:lineRule="auto"/>
        <w:ind w:left="851"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 xml:space="preserve">“El contenido de esta solicitud de transparencia con folio 00273/CHALCO/IP/2022 eran 15 preguntas, </w:t>
      </w:r>
      <w:r w:rsidRPr="003C3066">
        <w:rPr>
          <w:rFonts w:ascii="Palatino Linotype" w:eastAsia="Palatino Linotype" w:hAnsi="Palatino Linotype" w:cs="Palatino Linotype"/>
          <w:b/>
          <w:i/>
          <w:lang w:eastAsia="es-MX"/>
        </w:rPr>
        <w:t>de las cuales algunas tuvieron una respuesta satisfactoria, la cual agradezco mucho</w:t>
      </w:r>
      <w:r w:rsidRPr="003C3066">
        <w:rPr>
          <w:rFonts w:ascii="Palatino Linotype" w:eastAsia="Palatino Linotype" w:hAnsi="Palatino Linotype" w:cs="Palatino Linotype"/>
          <w:i/>
          <w:lang w:eastAsia="es-MX"/>
        </w:rPr>
        <w:t xml:space="preserve">, </w:t>
      </w:r>
      <w:r w:rsidRPr="003C3066">
        <w:rPr>
          <w:rFonts w:ascii="Palatino Linotype" w:eastAsia="Palatino Linotype" w:hAnsi="Palatino Linotype" w:cs="Palatino Linotype"/>
          <w:b/>
          <w:i/>
          <w:lang w:eastAsia="es-MX"/>
        </w:rPr>
        <w:t xml:space="preserve">no obstante </w:t>
      </w:r>
      <w:r w:rsidRPr="003C3066">
        <w:rPr>
          <w:rFonts w:ascii="Palatino Linotype" w:eastAsia="Palatino Linotype" w:hAnsi="Palatino Linotype" w:cs="Palatino Linotype"/>
          <w:b/>
          <w:i/>
          <w:u w:val="single"/>
          <w:lang w:eastAsia="es-MX"/>
        </w:rPr>
        <w:t>las primeras ocho preguntas expuestas en la solicitud fueron ignoradas</w:t>
      </w:r>
      <w:r w:rsidRPr="003C3066">
        <w:rPr>
          <w:rFonts w:ascii="Palatino Linotype" w:eastAsia="Palatino Linotype" w:hAnsi="Palatino Linotype" w:cs="Palatino Linotype"/>
          <w:i/>
          <w:u w:val="single"/>
          <w:lang w:eastAsia="es-MX"/>
        </w:rPr>
        <w:t>.</w:t>
      </w:r>
      <w:r w:rsidRPr="003C3066">
        <w:rPr>
          <w:rFonts w:ascii="Palatino Linotype" w:eastAsia="Palatino Linotype" w:hAnsi="Palatino Linotype" w:cs="Palatino Linotype"/>
          <w:i/>
          <w:lang w:eastAsia="es-MX"/>
        </w:rPr>
        <w:t xml:space="preserve"> Las cuales eran: “Solicito saber si los miembros del Ayuntamiento y los directores son titulados de alguna carrera, si es así, especificar nombre, número de cédula profesional, carrera y universidad donde se realizaron dichos estudios.” según el artículo 92 de la Ley de Transparencia y Acceso a la Información Pública del Estado de México y Municipios, en la fracción XXI es de acceso público toda información curricular de los miembros del ayuntamiento. “¿Cuáles son los listados de los beneficiarios de programas sociales? Y ¿Qué estudios socioeconómicos se les aplicaron? Solicito copia del formato de estudio socioeconómico.” Esto es información pública, según el artículo 92 de la Ley de Transparencia y Acceso a la Información Pública del Estado de México y Municipios, en la fracción XIV, inciso p se establece que podré tener información del padrón de beneficiarios, con los datos que solicito en la pregunta. Respecto a las preguntas: “Solicito saber cuáles bienes inmuebles ha adquirido el ayuntamiento, ¿cuál fue el costo de estos de enero del 2021 a la fecha? ¿Cuándo fueron ingresados al patrimonio municipal? Solicito copia de las actas y contratos.”, “¿Qué vehículos fueron adquiridos de enero del 2022 a la fecha? qué uso se les atribuye a los mismos y el costo que estos generan</w:t>
      </w:r>
      <w:proofErr w:type="gramStart"/>
      <w:r w:rsidRPr="003C3066">
        <w:rPr>
          <w:rFonts w:ascii="Palatino Linotype" w:eastAsia="Palatino Linotype" w:hAnsi="Palatino Linotype" w:cs="Palatino Linotype"/>
          <w:i/>
          <w:lang w:eastAsia="es-MX"/>
        </w:rPr>
        <w:t>?</w:t>
      </w:r>
      <w:proofErr w:type="gramEnd"/>
      <w:r w:rsidRPr="003C3066">
        <w:rPr>
          <w:rFonts w:ascii="Palatino Linotype" w:eastAsia="Palatino Linotype" w:hAnsi="Palatino Linotype" w:cs="Palatino Linotype"/>
          <w:i/>
          <w:lang w:eastAsia="es-MX"/>
        </w:rPr>
        <w:t>” y “¿Qué bienes inmuebles renta el h. ayuntamiento y que costo mensual tienen? Copia del contrato</w:t>
      </w:r>
      <w:proofErr w:type="gramStart"/>
      <w:r w:rsidRPr="003C3066">
        <w:rPr>
          <w:rFonts w:ascii="Palatino Linotype" w:eastAsia="Palatino Linotype" w:hAnsi="Palatino Linotype" w:cs="Palatino Linotype"/>
          <w:i/>
          <w:lang w:eastAsia="es-MX"/>
        </w:rPr>
        <w:t>?</w:t>
      </w:r>
      <w:proofErr w:type="gramEnd"/>
      <w:r w:rsidRPr="003C3066">
        <w:rPr>
          <w:rFonts w:ascii="Palatino Linotype" w:eastAsia="Palatino Linotype" w:hAnsi="Palatino Linotype" w:cs="Palatino Linotype"/>
          <w:i/>
          <w:lang w:eastAsia="es-MX"/>
        </w:rPr>
        <w:t xml:space="preserve">“ Correspondiente a la fracción XXXVIII, y XXXII del artículo 92, de la misma ley mencionada anteriormente, nos dicen que el inventario de bienes muebles e INMUEBLES que tiene el ayuntamiento es de carácter público, por otro lado en el mismo artículo pero diferente fracción se establece que la entrega de los gastos hechos por el municipio, también son de carácter público. Por otro lado se puede conocer los contratos y convenios para la adquisición o arrendamiento de bienes y servicios, según el artículo 100 de la Ley de Transparencia y Acceso a la Información Pública del Estado de México y Municipios, fracción IV. De la mano con las preguntas acerca de los bienes del municipio, pregunte “¿Qué bienes se han dado de baja del patrimonio municipal desde enero de 2022? Especificando cada bien y motivos de la baja”, a lo cual no me dieron respuesta, pero respecto la fracción VII del artículo 33 de la ley mencionada anteriormente, esta es información pública La pregunta “¿Qué obras públicas se ha realizado de enero del 2022 a la fecha? ¿cómo fue el proceso de licitación para la realización de la misma y que costo tuvo cada obra?,” es información pública y a la que puedo acceder, según el artículo 92, en su fracción XXIX, inciso “a” de las licitaciones públicas o procedimientos de invitación restringida e inciso “b” de las adjudicaciones directas. “¿Cuándo se instaló el consejo de planeación y desarrollo municipal (COPLAMUN)?”, todo lo relativo al Plan Estatal de Desarrollo y Plan de Desarrollo Municipal, es de información pública, basado en la fracción IV, del artículo 92 de la ley mencionada anteriormente. </w:t>
      </w:r>
      <w:proofErr w:type="gramStart"/>
      <w:r w:rsidRPr="003C3066">
        <w:rPr>
          <w:rFonts w:ascii="Palatino Linotype" w:eastAsia="Palatino Linotype" w:hAnsi="Palatino Linotype" w:cs="Palatino Linotype"/>
          <w:i/>
          <w:lang w:eastAsia="es-MX"/>
        </w:rPr>
        <w:t>“ (</w:t>
      </w:r>
      <w:proofErr w:type="gramEnd"/>
      <w:r w:rsidRPr="003C3066">
        <w:rPr>
          <w:rFonts w:ascii="Palatino Linotype" w:eastAsia="Palatino Linotype" w:hAnsi="Palatino Linotype" w:cs="Palatino Linotype"/>
          <w:i/>
          <w:lang w:eastAsia="es-MX"/>
        </w:rPr>
        <w:t>Sic)</w:t>
      </w:r>
    </w:p>
    <w:p w:rsidR="003C3066" w:rsidRPr="003C3066" w:rsidRDefault="003C3066" w:rsidP="003C3066">
      <w:pPr>
        <w:spacing w:after="0" w:line="276" w:lineRule="auto"/>
        <w:ind w:left="851" w:right="900"/>
        <w:jc w:val="both"/>
        <w:rPr>
          <w:rFonts w:ascii="Palatino Linotype" w:eastAsia="Palatino Linotype" w:hAnsi="Palatino Linotype" w:cs="Palatino Linotype"/>
          <w:i/>
          <w:lang w:eastAsia="es-MX"/>
        </w:rPr>
      </w:pPr>
    </w:p>
    <w:p w:rsidR="003C3066" w:rsidRPr="003C3066" w:rsidRDefault="003C3066" w:rsidP="003C3066">
      <w:pPr>
        <w:spacing w:after="0" w:line="276" w:lineRule="auto"/>
        <w:ind w:right="900"/>
        <w:jc w:val="both"/>
        <w:rPr>
          <w:rFonts w:ascii="Palatino Linotype" w:eastAsia="Palatino Linotype" w:hAnsi="Palatino Linotype" w:cs="Palatino Linotype"/>
          <w:sz w:val="24"/>
          <w:lang w:eastAsia="es-MX"/>
        </w:rPr>
      </w:pPr>
      <w:r w:rsidRPr="003C3066">
        <w:rPr>
          <w:rFonts w:ascii="Palatino Linotype" w:eastAsia="Palatino Linotype" w:hAnsi="Palatino Linotype" w:cs="Palatino Linotype"/>
          <w:sz w:val="24"/>
          <w:lang w:eastAsia="es-MX"/>
        </w:rPr>
        <w:t xml:space="preserve">La </w:t>
      </w:r>
      <w:r w:rsidRPr="003C3066">
        <w:rPr>
          <w:rFonts w:ascii="Palatino Linotype" w:eastAsia="Palatino Linotype" w:hAnsi="Palatino Linotype" w:cs="Palatino Linotype"/>
          <w:b/>
          <w:sz w:val="24"/>
          <w:lang w:eastAsia="es-MX"/>
        </w:rPr>
        <w:t>RECURRENTE</w:t>
      </w:r>
      <w:r w:rsidRPr="003C3066">
        <w:rPr>
          <w:rFonts w:ascii="Palatino Linotype" w:eastAsia="Palatino Linotype" w:hAnsi="Palatino Linotype" w:cs="Palatino Linotype"/>
          <w:sz w:val="24"/>
          <w:lang w:eastAsia="es-MX"/>
        </w:rPr>
        <w:t xml:space="preserve"> agrega a su recurso cuatro documentos, los cuales refieren lo siguiente:</w:t>
      </w:r>
    </w:p>
    <w:p w:rsidR="003C3066" w:rsidRPr="003C3066" w:rsidRDefault="003C3066" w:rsidP="003C3066">
      <w:pPr>
        <w:spacing w:after="0" w:line="276" w:lineRule="auto"/>
        <w:ind w:right="900"/>
        <w:jc w:val="both"/>
        <w:rPr>
          <w:rFonts w:ascii="Palatino Linotype" w:eastAsia="Palatino Linotype" w:hAnsi="Palatino Linotype" w:cs="Palatino Linotype"/>
          <w:sz w:val="24"/>
          <w:lang w:eastAsia="es-MX"/>
        </w:rPr>
      </w:pPr>
    </w:p>
    <w:p w:rsidR="003C3066" w:rsidRPr="003C3066" w:rsidRDefault="003C3066" w:rsidP="003C3066">
      <w:pPr>
        <w:numPr>
          <w:ilvl w:val="0"/>
          <w:numId w:val="11"/>
        </w:numPr>
        <w:spacing w:after="0" w:line="276" w:lineRule="auto"/>
        <w:ind w:right="900"/>
        <w:jc w:val="both"/>
        <w:rPr>
          <w:rFonts w:ascii="Palatino Linotype" w:eastAsia="Palatino Linotype" w:hAnsi="Palatino Linotype" w:cs="Palatino Linotype"/>
          <w:sz w:val="24"/>
          <w:szCs w:val="24"/>
          <w:lang w:val="es-ES" w:eastAsia="es-MX"/>
        </w:rPr>
      </w:pPr>
      <w:r w:rsidRPr="003C3066">
        <w:rPr>
          <w:rFonts w:ascii="Palatino Linotype" w:eastAsia="Palatino Linotype" w:hAnsi="Palatino Linotype" w:cs="Palatino Linotype"/>
          <w:b/>
          <w:i/>
          <w:sz w:val="24"/>
          <w:szCs w:val="24"/>
          <w:u w:val="single"/>
          <w:lang w:val="es-ES" w:eastAsia="es-MX"/>
        </w:rPr>
        <w:t>recurso 00273.pdf,</w:t>
      </w:r>
      <w:r w:rsidRPr="003C3066">
        <w:rPr>
          <w:rFonts w:ascii="Palatino Linotype" w:eastAsia="Palatino Linotype" w:hAnsi="Palatino Linotype" w:cs="Palatino Linotype"/>
          <w:i/>
          <w:sz w:val="24"/>
          <w:szCs w:val="24"/>
          <w:u w:val="single"/>
          <w:lang w:val="es-ES" w:eastAsia="es-MX"/>
        </w:rPr>
        <w:t xml:space="preserve"> </w:t>
      </w:r>
      <w:r w:rsidRPr="003C3066">
        <w:rPr>
          <w:rFonts w:ascii="Palatino Linotype" w:eastAsia="Palatino Linotype" w:hAnsi="Palatino Linotype" w:cs="Palatino Linotype"/>
          <w:sz w:val="24"/>
          <w:szCs w:val="24"/>
          <w:lang w:val="es-ES" w:eastAsia="es-MX"/>
        </w:rPr>
        <w:t xml:space="preserve">documento elaborado por la </w:t>
      </w:r>
      <w:r w:rsidRPr="003C3066">
        <w:rPr>
          <w:rFonts w:ascii="Palatino Linotype" w:eastAsia="Palatino Linotype" w:hAnsi="Palatino Linotype" w:cs="Palatino Linotype"/>
          <w:b/>
          <w:sz w:val="24"/>
          <w:szCs w:val="24"/>
          <w:lang w:val="es-ES" w:eastAsia="es-MX"/>
        </w:rPr>
        <w:t>RECURRENTE</w:t>
      </w:r>
      <w:r w:rsidRPr="003C3066">
        <w:rPr>
          <w:rFonts w:ascii="Palatino Linotype" w:eastAsia="Palatino Linotype" w:hAnsi="Palatino Linotype" w:cs="Palatino Linotype"/>
          <w:sz w:val="24"/>
          <w:szCs w:val="24"/>
          <w:lang w:val="es-ES" w:eastAsia="es-MX"/>
        </w:rPr>
        <w:t>, que muestra lo siguiente</w:t>
      </w:r>
    </w:p>
    <w:p w:rsidR="003C3066" w:rsidRPr="003C3066" w:rsidRDefault="003C3066" w:rsidP="003C3066">
      <w:pPr>
        <w:spacing w:after="0" w:line="276" w:lineRule="auto"/>
        <w:ind w:right="49"/>
        <w:jc w:val="center"/>
        <w:rPr>
          <w:rFonts w:ascii="Palatino Linotype" w:eastAsia="Palatino Linotype" w:hAnsi="Palatino Linotype" w:cs="Palatino Linotype"/>
          <w:i/>
          <w:u w:val="single"/>
          <w:lang w:eastAsia="es-MX"/>
        </w:rPr>
      </w:pPr>
      <w:r w:rsidRPr="003C3066">
        <w:rPr>
          <w:rFonts w:ascii="Times New Roman" w:eastAsia="Times New Roman" w:hAnsi="Times New Roman" w:cs="Times New Roman"/>
          <w:noProof/>
          <w:sz w:val="24"/>
          <w:szCs w:val="24"/>
          <w:lang w:eastAsia="es-MX"/>
        </w:rPr>
        <w:drawing>
          <wp:inline distT="0" distB="0" distL="0" distR="0" wp14:anchorId="0C6AE072" wp14:editId="7B31206B">
            <wp:extent cx="5730905" cy="2218414"/>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18" t="32589" r="54175" b="49306"/>
                    <a:stretch/>
                  </pic:blipFill>
                  <pic:spPr bwMode="auto">
                    <a:xfrm>
                      <a:off x="0" y="0"/>
                      <a:ext cx="5789910" cy="2241255"/>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tabs>
          <w:tab w:val="left" w:pos="7938"/>
        </w:tabs>
        <w:spacing w:after="0" w:line="276" w:lineRule="auto"/>
        <w:ind w:right="900" w:firstLine="709"/>
        <w:jc w:val="center"/>
        <w:rPr>
          <w:rFonts w:ascii="Palatino Linotype" w:eastAsia="Palatino Linotype" w:hAnsi="Palatino Linotype" w:cs="Palatino Linotype"/>
          <w:i/>
          <w:u w:val="single"/>
          <w:lang w:eastAsia="es-MX"/>
        </w:rPr>
      </w:pPr>
      <w:r w:rsidRPr="003C3066">
        <w:rPr>
          <w:rFonts w:ascii="Times New Roman" w:eastAsia="Times New Roman" w:hAnsi="Times New Roman" w:cs="Times New Roman"/>
          <w:noProof/>
          <w:sz w:val="24"/>
          <w:szCs w:val="24"/>
          <w:lang w:eastAsia="es-MX"/>
        </w:rPr>
        <w:drawing>
          <wp:inline distT="0" distB="0" distL="0" distR="0" wp14:anchorId="26B5B31E" wp14:editId="23A53E52">
            <wp:extent cx="5855052" cy="7370859"/>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28" t="26554" r="55023" b="11588"/>
                    <a:stretch/>
                  </pic:blipFill>
                  <pic:spPr bwMode="auto">
                    <a:xfrm>
                      <a:off x="0" y="0"/>
                      <a:ext cx="5894709" cy="7420783"/>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276" w:lineRule="auto"/>
        <w:ind w:right="49"/>
        <w:jc w:val="center"/>
        <w:rPr>
          <w:rFonts w:ascii="Palatino Linotype" w:eastAsia="Palatino Linotype" w:hAnsi="Palatino Linotype" w:cs="Palatino Linotype"/>
          <w:i/>
          <w:u w:val="single"/>
          <w:lang w:eastAsia="es-MX"/>
        </w:rPr>
      </w:pPr>
      <w:r w:rsidRPr="003C3066">
        <w:rPr>
          <w:rFonts w:ascii="Times New Roman" w:eastAsia="Times New Roman" w:hAnsi="Times New Roman" w:cs="Times New Roman"/>
          <w:noProof/>
          <w:sz w:val="24"/>
          <w:szCs w:val="24"/>
          <w:lang w:eastAsia="es-MX"/>
        </w:rPr>
        <w:drawing>
          <wp:inline distT="0" distB="0" distL="0" distR="0" wp14:anchorId="1554A104" wp14:editId="6AB1C608">
            <wp:extent cx="5457387" cy="344291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67" t="33495" r="54345" b="38141"/>
                    <a:stretch/>
                  </pic:blipFill>
                  <pic:spPr bwMode="auto">
                    <a:xfrm>
                      <a:off x="0" y="0"/>
                      <a:ext cx="5487411" cy="3461856"/>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right="49"/>
        <w:jc w:val="both"/>
        <w:rPr>
          <w:rFonts w:ascii="Palatino Linotype" w:eastAsia="Palatino Linotype" w:hAnsi="Palatino Linotype" w:cs="Palatino Linotype"/>
          <w:sz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i/>
          <w:u w:val="single"/>
          <w:lang w:eastAsia="es-MX"/>
        </w:rPr>
      </w:pPr>
      <w:r w:rsidRPr="003C3066">
        <w:rPr>
          <w:rFonts w:ascii="Palatino Linotype" w:eastAsia="Palatino Linotype" w:hAnsi="Palatino Linotype" w:cs="Palatino Linotype"/>
          <w:sz w:val="24"/>
          <w:lang w:eastAsia="es-MX"/>
        </w:rPr>
        <w:t>En atención a los demás documentos que adjuntó y que se identifican como</w:t>
      </w:r>
      <w:r w:rsidRPr="003C3066">
        <w:rPr>
          <w:rFonts w:ascii="Palatino Linotype" w:eastAsia="Palatino Linotype" w:hAnsi="Palatino Linotype" w:cs="Palatino Linotype"/>
          <w:b/>
          <w:i/>
          <w:sz w:val="24"/>
          <w:lang w:eastAsia="es-MX"/>
        </w:rPr>
        <w:t>:</w:t>
      </w:r>
      <w:r w:rsidRPr="003C3066">
        <w:rPr>
          <w:rFonts w:ascii="Palatino Linotype" w:eastAsia="Palatino Linotype" w:hAnsi="Palatino Linotype" w:cs="Palatino Linotype"/>
          <w:b/>
          <w:i/>
          <w:sz w:val="24"/>
          <w:u w:val="single"/>
          <w:lang w:eastAsia="es-MX"/>
        </w:rPr>
        <w:t xml:space="preserve"> 00273-CHALCO-IP-2022 OFICALIF.pdf, 00273-CHALCO-IP-2022 DESECO.pdf, y 00273-CHALCO-IP-2022 OFICALIF.pdf,</w:t>
      </w:r>
      <w:r w:rsidRPr="003C3066">
        <w:rPr>
          <w:rFonts w:ascii="Palatino Linotype" w:eastAsia="Palatino Linotype" w:hAnsi="Palatino Linotype" w:cs="Palatino Linotype"/>
          <w:i/>
          <w:sz w:val="24"/>
          <w:lang w:eastAsia="es-MX"/>
        </w:rPr>
        <w:t xml:space="preserve">  </w:t>
      </w:r>
      <w:r w:rsidRPr="003C3066">
        <w:rPr>
          <w:rFonts w:ascii="Palatino Linotype" w:eastAsia="Palatino Linotype" w:hAnsi="Palatino Linotype" w:cs="Palatino Linotype"/>
          <w:sz w:val="24"/>
          <w:lang w:eastAsia="es-MX"/>
        </w:rPr>
        <w:t xml:space="preserve">son los documentos que proporcionó en respuesta el </w:t>
      </w:r>
      <w:r w:rsidRPr="003C3066">
        <w:rPr>
          <w:rFonts w:ascii="Palatino Linotype" w:eastAsia="Palatino Linotype" w:hAnsi="Palatino Linotype" w:cs="Palatino Linotype"/>
          <w:b/>
          <w:sz w:val="24"/>
          <w:lang w:eastAsia="es-MX"/>
        </w:rPr>
        <w:t>SUJETO OBLIGADO</w:t>
      </w:r>
      <w:r w:rsidRPr="003C3066">
        <w:rPr>
          <w:rFonts w:ascii="Palatino Linotype" w:eastAsia="Palatino Linotype" w:hAnsi="Palatino Linotype" w:cs="Palatino Linotype"/>
          <w:sz w:val="24"/>
          <w:lang w:eastAsia="es-MX"/>
        </w:rPr>
        <w:t>, los cuales quedaron descritos en el segundo Antecedente.</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4. Turno. </w:t>
      </w:r>
      <w:r w:rsidRPr="003C3066">
        <w:rPr>
          <w:rFonts w:ascii="Palatino Linotype" w:eastAsia="Palatino Linotype" w:hAnsi="Palatino Linotype" w:cs="Palatino Linotype"/>
          <w:sz w:val="24"/>
          <w:szCs w:val="24"/>
          <w:lang w:eastAsia="es-MX"/>
        </w:rPr>
        <w:t xml:space="preserve">De conformidad con el artículo 185, fracción I de la Ley de Transparencia y Acceso a la Información Pública del Estado de México y Municipios, el recurso de revisión número </w:t>
      </w:r>
      <w:r w:rsidRPr="003C3066">
        <w:rPr>
          <w:rFonts w:ascii="Palatino Linotype" w:eastAsia="Palatino Linotype" w:hAnsi="Palatino Linotype" w:cs="Palatino Linotype"/>
          <w:b/>
          <w:sz w:val="24"/>
          <w:szCs w:val="24"/>
          <w:lang w:eastAsia="es-MX"/>
        </w:rPr>
        <w:t xml:space="preserve">08754/INFOEM/IP/RR/2022, </w:t>
      </w:r>
      <w:r w:rsidRPr="003C3066">
        <w:rPr>
          <w:rFonts w:ascii="Palatino Linotype" w:eastAsia="Palatino Linotype" w:hAnsi="Palatino Linotype" w:cs="Palatino Linotype"/>
          <w:sz w:val="24"/>
          <w:szCs w:val="24"/>
          <w:lang w:eastAsia="es-MX"/>
        </w:rPr>
        <w:t xml:space="preserve">se turnó por el sistema electrónico del Instituto de Transparencia, Acceso a la Información Pública y Protección de Datos Personales del Estado de México y Municipios, a la Comisionada </w:t>
      </w:r>
      <w:r w:rsidRPr="003C3066">
        <w:rPr>
          <w:rFonts w:ascii="Palatino Linotype" w:eastAsia="Palatino Linotype" w:hAnsi="Palatino Linotype" w:cs="Palatino Linotype"/>
          <w:b/>
          <w:sz w:val="24"/>
          <w:szCs w:val="24"/>
          <w:lang w:eastAsia="es-MX"/>
        </w:rPr>
        <w:t>Guadalupe Ramírez Peña</w:t>
      </w:r>
      <w:r w:rsidRPr="003C3066">
        <w:rPr>
          <w:rFonts w:ascii="Palatino Linotype" w:eastAsia="Palatino Linotype" w:hAnsi="Palatino Linotype" w:cs="Palatino Linotype"/>
          <w:sz w:val="24"/>
          <w:szCs w:val="24"/>
          <w:lang w:eastAsia="es-MX"/>
        </w:rPr>
        <w:t>, para su análisis, estudio, elaboración del proyecto y presentación ante el Pleno de este Instituto.</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5. Admisión del recurso de revisión: </w:t>
      </w:r>
      <w:r w:rsidRPr="003C3066">
        <w:rPr>
          <w:rFonts w:ascii="Palatino Linotype" w:eastAsia="Palatino Linotype" w:hAnsi="Palatino Linotype" w:cs="Palatino Linotype"/>
          <w:sz w:val="24"/>
          <w:szCs w:val="24"/>
          <w:lang w:eastAsia="es-MX"/>
        </w:rPr>
        <w:t xml:space="preserve">En fecha </w:t>
      </w:r>
      <w:r w:rsidRPr="003C3066">
        <w:rPr>
          <w:rFonts w:ascii="Palatino Linotype" w:eastAsia="Palatino Linotype" w:hAnsi="Palatino Linotype" w:cs="Palatino Linotype"/>
          <w:b/>
          <w:sz w:val="24"/>
          <w:szCs w:val="24"/>
          <w:lang w:eastAsia="es-MX"/>
        </w:rPr>
        <w:t>veintiséis de mayo de dos mil veintidós,</w:t>
      </w:r>
      <w:r w:rsidRPr="003C3066">
        <w:rPr>
          <w:rFonts w:ascii="Palatino Linotype" w:eastAsia="Palatino Linotype" w:hAnsi="Palatino Linotype" w:cs="Palatino Linotype"/>
          <w:sz w:val="24"/>
          <w:szCs w:val="24"/>
          <w:lang w:eastAsia="es-MX"/>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presentara su informe justificado. </w:t>
      </w:r>
    </w:p>
    <w:p w:rsidR="003C3066" w:rsidRPr="003C3066" w:rsidRDefault="003C3066" w:rsidP="003C3066">
      <w:pPr>
        <w:widowControl w:val="0"/>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b/>
          <w:sz w:val="24"/>
          <w:szCs w:val="24"/>
          <w:lang w:eastAsia="es-MX"/>
        </w:rPr>
      </w:pPr>
      <w:bookmarkStart w:id="1" w:name="_heading=h.gjdgxs" w:colFirst="0" w:colLast="0"/>
      <w:bookmarkEnd w:id="1"/>
    </w:p>
    <w:p w:rsidR="003C3066" w:rsidRPr="003C3066" w:rsidRDefault="003C3066" w:rsidP="003C3066">
      <w:pPr>
        <w:widowControl w:val="0"/>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6. Manifestaciones</w:t>
      </w:r>
      <w:r w:rsidRPr="003C3066">
        <w:rPr>
          <w:rFonts w:ascii="Palatino Linotype" w:eastAsia="Palatino Linotype" w:hAnsi="Palatino Linotype" w:cs="Palatino Linotype"/>
          <w:sz w:val="24"/>
          <w:szCs w:val="24"/>
          <w:lang w:eastAsia="es-MX"/>
        </w:rPr>
        <w:t xml:space="preserve">: De las constancias que integran el expediente en que se actúa se advierte que  tanto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como el </w:t>
      </w:r>
      <w:r w:rsidRPr="003C3066">
        <w:rPr>
          <w:rFonts w:ascii="Palatino Linotype" w:eastAsia="Palatino Linotype" w:hAnsi="Palatino Linotype" w:cs="Palatino Linotype"/>
          <w:b/>
          <w:sz w:val="24"/>
          <w:szCs w:val="24"/>
          <w:lang w:eastAsia="es-MX"/>
        </w:rPr>
        <w:t xml:space="preserve">SUJETO OBLIGADO, </w:t>
      </w:r>
      <w:r w:rsidRPr="003C3066">
        <w:rPr>
          <w:rFonts w:ascii="Palatino Linotype" w:eastAsia="Palatino Linotype" w:hAnsi="Palatino Linotype" w:cs="Palatino Linotype"/>
          <w:sz w:val="24"/>
          <w:szCs w:val="24"/>
          <w:lang w:eastAsia="es-MX"/>
        </w:rPr>
        <w:t xml:space="preserve">fueron omisos en presentar sus alegatos y en el caso de éste último, su informe justificado, como se muestra a continuación: </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Times New Roman" w:eastAsia="Times New Roman" w:hAnsi="Times New Roman" w:cs="Times New Roman"/>
          <w:noProof/>
          <w:sz w:val="24"/>
          <w:szCs w:val="24"/>
          <w:lang w:eastAsia="es-MX"/>
        </w:rPr>
        <w:drawing>
          <wp:inline distT="0" distB="0" distL="0" distR="0" wp14:anchorId="410707DC" wp14:editId="45C54C6D">
            <wp:extent cx="5619750" cy="170934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49" t="24442" r="52817" b="53530"/>
                    <a:stretch/>
                  </pic:blipFill>
                  <pic:spPr bwMode="auto">
                    <a:xfrm>
                      <a:off x="0" y="0"/>
                      <a:ext cx="5651657" cy="1719046"/>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7.-</w:t>
      </w:r>
      <w:r w:rsidRPr="003C3066">
        <w:rPr>
          <w:rFonts w:ascii="Palatino Linotype" w:eastAsia="Palatino Linotype" w:hAnsi="Palatino Linotype" w:cs="Palatino Linotype"/>
          <w:sz w:val="24"/>
          <w:szCs w:val="24"/>
          <w:lang w:eastAsia="es-MX"/>
        </w:rPr>
        <w:t xml:space="preserve"> </w:t>
      </w:r>
      <w:r w:rsidRPr="003C3066">
        <w:rPr>
          <w:rFonts w:ascii="Palatino Linotype" w:eastAsia="Palatino Linotype" w:hAnsi="Palatino Linotype" w:cs="Palatino Linotype"/>
          <w:b/>
          <w:sz w:val="24"/>
          <w:szCs w:val="24"/>
          <w:lang w:eastAsia="es-MX"/>
        </w:rPr>
        <w:t xml:space="preserve">Cierre de instrucción. </w:t>
      </w:r>
      <w:r w:rsidRPr="003C3066">
        <w:rPr>
          <w:rFonts w:ascii="Palatino Linotype" w:eastAsia="Palatino Linotype" w:hAnsi="Palatino Linotype" w:cs="Palatino Linotype"/>
          <w:sz w:val="24"/>
          <w:szCs w:val="24"/>
          <w:lang w:eastAsia="es-MX"/>
        </w:rPr>
        <w:t xml:space="preserve">En fecha </w:t>
      </w:r>
      <w:r w:rsidRPr="003C3066">
        <w:rPr>
          <w:rFonts w:ascii="Palatino Linotype" w:eastAsia="Palatino Linotype" w:hAnsi="Palatino Linotype" w:cs="Palatino Linotype"/>
          <w:b/>
          <w:sz w:val="24"/>
          <w:szCs w:val="24"/>
          <w:lang w:eastAsia="es-MX"/>
        </w:rPr>
        <w:t>quince de junio de dos mil veintidós,</w:t>
      </w:r>
      <w:r w:rsidRPr="003C3066">
        <w:rPr>
          <w:rFonts w:ascii="Palatino Linotype" w:eastAsia="Palatino Linotype" w:hAnsi="Palatino Linotype" w:cs="Palatino Linotype"/>
          <w:sz w:val="24"/>
          <w:szCs w:val="24"/>
          <w:lang w:eastAsia="es-MX"/>
        </w:rPr>
        <w:t xml:space="preserve"> la Comisionada ponente notificó el cierre de instrucción en términos de la fracción VI del artículo 185 de la Ley de Transparencia y Acceso a la Información Pública del Estado de México y Municipios.</w:t>
      </w:r>
    </w:p>
    <w:p w:rsidR="003C3066" w:rsidRPr="003C3066" w:rsidRDefault="003C3066" w:rsidP="003C3066">
      <w:pPr>
        <w:widowControl w:val="0"/>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8.- Ampliación del plazo.</w:t>
      </w:r>
      <w:r w:rsidRPr="003C3066">
        <w:rPr>
          <w:rFonts w:ascii="Palatino Linotype" w:eastAsia="Palatino Linotype" w:hAnsi="Palatino Linotype" w:cs="Palatino Linotype"/>
          <w:sz w:val="24"/>
          <w:szCs w:val="24"/>
          <w:lang w:eastAsia="es-MX"/>
        </w:rPr>
        <w:t xml:space="preserve"> En fecha </w:t>
      </w:r>
      <w:r w:rsidRPr="003C3066">
        <w:rPr>
          <w:rFonts w:ascii="Palatino Linotype" w:eastAsia="Palatino Linotype" w:hAnsi="Palatino Linotype" w:cs="Palatino Linotype"/>
          <w:b/>
          <w:sz w:val="24"/>
          <w:szCs w:val="24"/>
          <w:lang w:eastAsia="es-MX"/>
        </w:rPr>
        <w:t>once de agosto del año dos mil veintidós</w:t>
      </w:r>
      <w:r w:rsidRPr="003C3066">
        <w:rPr>
          <w:rFonts w:ascii="Palatino Linotype" w:eastAsia="Palatino Linotype" w:hAnsi="Palatino Linotype" w:cs="Palatino Linotype"/>
          <w:sz w:val="24"/>
          <w:szCs w:val="24"/>
          <w:lang w:eastAsia="es-MX"/>
        </w:rPr>
        <w:t>, con fundamento en el artículo 181, párrafo tercero de la Ley de Transparencia y Acceso a la Información Pública del Estado de México y Municipios, se notificó la ampliación del plazo para su resolución.</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trike/>
          <w:sz w:val="24"/>
          <w:szCs w:val="24"/>
          <w:lang w:eastAsia="es-MX"/>
        </w:rPr>
      </w:pPr>
      <w:r w:rsidRPr="003C3066">
        <w:rPr>
          <w:rFonts w:ascii="Palatino Linotype" w:eastAsia="Palatino Linotype" w:hAnsi="Palatino Linotype" w:cs="Palatino Linotype"/>
          <w:sz w:val="24"/>
          <w:szCs w:val="24"/>
          <w:lang w:eastAsia="es-MX"/>
        </w:rPr>
        <w:t xml:space="preserve">Por ello, excepcionalmente, si un asunto es resuelto con posterioridad a los plazos señalados por la norma debe analizarse la razonabilidad del tiempo necesario para su resolución, atentos a los siguientes criterios: </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2"/>
        </w:num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Complejidad del Asunto: La complejidad de la prueba, la pluralidad de sujetos procesales, el tiempo transcurrido, las características y contexto del recurso. </w:t>
      </w:r>
    </w:p>
    <w:p w:rsidR="003C3066" w:rsidRPr="003C3066" w:rsidRDefault="003C3066" w:rsidP="003C3066">
      <w:pPr>
        <w:spacing w:after="0" w:line="360" w:lineRule="auto"/>
        <w:ind w:left="927"/>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2"/>
        </w:num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Actividad Procesal del interesado. Acciones u omisiones del interesado.</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2"/>
        </w:num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Conducta de la Autoridad: Las Acciones u omisiones realizadas en el procedimiento. Así como si la autoridad actuó con la debida diligencia.</w:t>
      </w:r>
    </w:p>
    <w:p w:rsidR="003C3066" w:rsidRPr="003C3066" w:rsidRDefault="003C3066" w:rsidP="003C3066">
      <w:pPr>
        <w:spacing w:after="0" w:line="240" w:lineRule="auto"/>
        <w:ind w:left="708"/>
        <w:rPr>
          <w:rFonts w:ascii="Palatino Linotype" w:eastAsia="Palatino Linotype" w:hAnsi="Palatino Linotype" w:cs="Palatino Linotype"/>
          <w:sz w:val="24"/>
          <w:szCs w:val="24"/>
          <w:lang w:val="es-ES" w:eastAsia="es-MX"/>
        </w:rPr>
      </w:pPr>
    </w:p>
    <w:p w:rsidR="003C3066" w:rsidRPr="003C3066" w:rsidRDefault="003C3066" w:rsidP="003C3066">
      <w:pPr>
        <w:numPr>
          <w:ilvl w:val="0"/>
          <w:numId w:val="2"/>
        </w:num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La afectación generada en la situación jurídica de la persona involucrada en el proceso: Violación a sus derechos humanos.</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sz w:val="24"/>
          <w:szCs w:val="24"/>
          <w:lang w:eastAsia="es-MX"/>
        </w:rPr>
        <w:t>Argumento que encuentra sustento en la jurisprudencia P</w:t>
      </w:r>
      <w:proofErr w:type="gramStart"/>
      <w:r w:rsidRPr="003C3066">
        <w:rPr>
          <w:rFonts w:ascii="Palatino Linotype" w:eastAsia="Palatino Linotype" w:hAnsi="Palatino Linotype" w:cs="Palatino Linotype"/>
          <w:sz w:val="24"/>
          <w:szCs w:val="24"/>
          <w:lang w:eastAsia="es-MX"/>
        </w:rPr>
        <w:t>./</w:t>
      </w:r>
      <w:proofErr w:type="gramEnd"/>
      <w:r w:rsidRPr="003C3066">
        <w:rPr>
          <w:rFonts w:ascii="Palatino Linotype" w:eastAsia="Palatino Linotype" w:hAnsi="Palatino Linotype" w:cs="Palatino Linotype"/>
          <w:sz w:val="24"/>
          <w:szCs w:val="24"/>
          <w:lang w:eastAsia="es-MX"/>
        </w:rPr>
        <w:t xml:space="preserve">J. 32/92 emitida por el Pleno de la Suprema Corte de Justicia de la Nación de rubro </w:t>
      </w:r>
      <w:r w:rsidRPr="003C3066">
        <w:rPr>
          <w:rFonts w:ascii="Palatino Linotype" w:eastAsia="Palatino Linotype" w:hAnsi="Palatino Linotype" w:cs="Palatino Linotype"/>
          <w:i/>
          <w:sz w:val="24"/>
          <w:szCs w:val="24"/>
          <w:lang w:eastAsia="es-MX"/>
        </w:rPr>
        <w:t>“TÉRMINOS PROCESALES. PARA DETERMINAR SI UN FUNCIONARIO JUDICIAL ACTUÓ INDEBIDAMENTE POR NO RESPETARLOS SE DEBE ATENDER AL PRESUPUESTO QUE CONSIDERÓ EL LEGISLADOR AL FIJARLOS Y LAS CARACTERÍSTICAS DEL CASO.”</w:t>
      </w:r>
      <w:r w:rsidRPr="003C3066">
        <w:rPr>
          <w:rFonts w:ascii="Palatino Linotype" w:eastAsia="Palatino Linotype" w:hAnsi="Palatino Linotype" w:cs="Palatino Linotype"/>
          <w:sz w:val="24"/>
          <w:szCs w:val="24"/>
          <w:lang w:eastAsia="es-MX"/>
        </w:rPr>
        <w:t>, visible en la Gaceta del Seminario Judicial de la Federación con el registro digital 205635.</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Al respecto, también son de considerar los criterios sostenidos por el Cuarto Tribunal Colegiado en Materia Administrativa del Primer Circuito, cuyos rubros y datos de identificación son los siguientes:</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 </w:t>
      </w:r>
      <w:r w:rsidRPr="003C3066">
        <w:rPr>
          <w:rFonts w:ascii="Palatino Linotype" w:eastAsia="Palatino Linotype" w:hAnsi="Palatino Linotype" w:cs="Palatino Linotype"/>
          <w:i/>
          <w:sz w:val="24"/>
          <w:szCs w:val="24"/>
          <w:lang w:eastAsia="es-MX"/>
        </w:rPr>
        <w:t>“PLAZO RAZONABLE PARA RESOLVER. DIMENSIÓN Y EFECTOS DE ESTE CONCEPTO CUANDO SE ADUCE EXCESIVA CARGA DE TRABAJO.”</w:t>
      </w:r>
      <w:r w:rsidRPr="003C3066">
        <w:rPr>
          <w:rFonts w:ascii="Palatino Linotype" w:eastAsia="Palatino Linotype" w:hAnsi="Palatino Linotype" w:cs="Palatino Linotype"/>
          <w:sz w:val="24"/>
          <w:szCs w:val="24"/>
          <w:lang w:eastAsia="es-MX"/>
        </w:rPr>
        <w:t xml:space="preserve"> consultable en el Seminario Judicial de la Federación y su gaceta, con el registro digital 2002351.</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i/>
          <w:sz w:val="24"/>
          <w:szCs w:val="24"/>
          <w:lang w:eastAsia="es-MX"/>
        </w:rPr>
        <w:t>“PLAZO RAZONABLE PARA RESOLVER. CONCEPTO Y ELEMENTOS QUE LO INTEGRAN A LA LUZ DEL DERECHO INTERNACIONAL DE LOS DERECHOS HUMANOS.”</w:t>
      </w:r>
      <w:r w:rsidRPr="003C3066">
        <w:rPr>
          <w:rFonts w:ascii="Palatino Linotype" w:eastAsia="Palatino Linotype" w:hAnsi="Palatino Linotype" w:cs="Palatino Linotype"/>
          <w:sz w:val="24"/>
          <w:szCs w:val="24"/>
          <w:lang w:eastAsia="es-MX"/>
        </w:rPr>
        <w:t>, visible en el Seminario Judicial de la Federación y su gaceta, con el registro digital 2002350.</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Por ello, este organismo garante comprometido con la tutela de los derechos humanos confiados, señala que este exceso de plazo legal para resolver el presente asunto, resulta de carácter excepcional.</w:t>
      </w:r>
    </w:p>
    <w:p w:rsidR="003C3066" w:rsidRPr="003C3066" w:rsidRDefault="003C3066" w:rsidP="003C3066">
      <w:pPr>
        <w:spacing w:after="0" w:line="240" w:lineRule="auto"/>
        <w:rPr>
          <w:rFonts w:ascii="Times New Roman" w:eastAsia="Times New Roman" w:hAnsi="Times New Roman" w:cs="Times New Roman"/>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razón de que fue debidamente sustanciado el expediente electrónico y no existe diligencia pendiente de desahogo, se emite la Resolución que conforme a Derecho proceda, de acuerdo con los siguientes: </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4"/>
        </w:numPr>
        <w:pBdr>
          <w:top w:val="nil"/>
          <w:left w:val="nil"/>
          <w:bottom w:val="nil"/>
          <w:right w:val="nil"/>
          <w:between w:val="nil"/>
        </w:pBdr>
        <w:spacing w:after="0" w:line="360" w:lineRule="auto"/>
        <w:ind w:left="720"/>
        <w:jc w:val="center"/>
        <w:rPr>
          <w:rFonts w:ascii="Palatino Linotype" w:eastAsia="Palatino Linotype" w:hAnsi="Palatino Linotype" w:cs="Palatino Linotype"/>
          <w:b/>
          <w:sz w:val="24"/>
          <w:szCs w:val="24"/>
          <w:lang w:eastAsia="es-MX"/>
        </w:rPr>
      </w:pPr>
      <w:bookmarkStart w:id="2" w:name="_heading=h.30j0zll" w:colFirst="0" w:colLast="0"/>
      <w:bookmarkEnd w:id="2"/>
      <w:r w:rsidRPr="003C3066">
        <w:rPr>
          <w:rFonts w:ascii="Palatino Linotype" w:eastAsia="Palatino Linotype" w:hAnsi="Palatino Linotype" w:cs="Palatino Linotype"/>
          <w:b/>
          <w:sz w:val="24"/>
          <w:szCs w:val="24"/>
          <w:lang w:eastAsia="es-MX"/>
        </w:rPr>
        <w:t>C O N S I D E R A N D O</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Primero. Competencia. </w:t>
      </w:r>
      <w:r w:rsidRPr="003C3066">
        <w:rPr>
          <w:rFonts w:ascii="Palatino Linotype" w:eastAsia="Palatino Linotype" w:hAnsi="Palatino Linotype" w:cs="Palatino Linotype"/>
          <w:sz w:val="24"/>
          <w:szCs w:val="24"/>
          <w:lang w:eastAsia="es-MX"/>
        </w:rPr>
        <w:t>El Instituto de Transparencia, Acceso a la Información Pública y Protección de Datos Personales del Estado de México y Municipios, es competente para conocer y resolver el presente recurso de revisión interpuesto por la</w:t>
      </w:r>
      <w:r w:rsidRPr="003C3066">
        <w:rPr>
          <w:rFonts w:ascii="Palatino Linotype" w:eastAsia="Palatino Linotype" w:hAnsi="Palatino Linotype" w:cs="Palatino Linotype"/>
          <w:b/>
          <w:sz w:val="24"/>
          <w:szCs w:val="24"/>
          <w:lang w:eastAsia="es-MX"/>
        </w:rPr>
        <w:t xml:space="preserve"> RECURRENTE,</w:t>
      </w:r>
      <w:r w:rsidRPr="003C3066">
        <w:rPr>
          <w:rFonts w:ascii="Palatino Linotype" w:eastAsia="Palatino Linotype" w:hAnsi="Palatino Linotype" w:cs="Palatino Linotype"/>
          <w:sz w:val="24"/>
          <w:szCs w:val="24"/>
          <w:lang w:eastAsia="es-MX"/>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Segundo. Oportunidad y </w:t>
      </w:r>
      <w:proofErr w:type="spellStart"/>
      <w:r w:rsidRPr="003C3066">
        <w:rPr>
          <w:rFonts w:ascii="Palatino Linotype" w:eastAsia="Palatino Linotype" w:hAnsi="Palatino Linotype" w:cs="Palatino Linotype"/>
          <w:b/>
          <w:sz w:val="24"/>
          <w:szCs w:val="24"/>
          <w:lang w:eastAsia="es-MX"/>
        </w:rPr>
        <w:t>Procedibilidad</w:t>
      </w:r>
      <w:proofErr w:type="spellEnd"/>
      <w:r w:rsidRPr="003C3066">
        <w:rPr>
          <w:rFonts w:ascii="Palatino Linotype" w:eastAsia="Palatino Linotype" w:hAnsi="Palatino Linotype" w:cs="Palatino Linotype"/>
          <w:b/>
          <w:sz w:val="24"/>
          <w:szCs w:val="24"/>
          <w:lang w:eastAsia="es-MX"/>
        </w:rPr>
        <w:t xml:space="preserve"> del Recurso de Revisión</w:t>
      </w:r>
      <w:r w:rsidRPr="003C3066">
        <w:rPr>
          <w:rFonts w:ascii="Palatino Linotype" w:eastAsia="Palatino Linotype" w:hAnsi="Palatino Linotype" w:cs="Palatino Linotype"/>
          <w:sz w:val="24"/>
          <w:szCs w:val="24"/>
          <w:lang w:eastAsia="es-MX"/>
        </w:rPr>
        <w:t xml:space="preserve">. Previo al estudio del fondo del asunto, se procede a analizar los requisitos de oportunidad y </w:t>
      </w:r>
      <w:proofErr w:type="spellStart"/>
      <w:r w:rsidRPr="003C3066">
        <w:rPr>
          <w:rFonts w:ascii="Palatino Linotype" w:eastAsia="Palatino Linotype" w:hAnsi="Palatino Linotype" w:cs="Palatino Linotype"/>
          <w:sz w:val="24"/>
          <w:szCs w:val="24"/>
          <w:lang w:eastAsia="es-MX"/>
        </w:rPr>
        <w:t>procedibilidad</w:t>
      </w:r>
      <w:proofErr w:type="spellEnd"/>
      <w:r w:rsidRPr="003C3066">
        <w:rPr>
          <w:rFonts w:ascii="Palatino Linotype" w:eastAsia="Palatino Linotype" w:hAnsi="Palatino Linotype" w:cs="Palatino Linotype"/>
          <w:sz w:val="24"/>
          <w:szCs w:val="24"/>
          <w:lang w:eastAsia="es-MX"/>
        </w:rPr>
        <w:t xml:space="preserve"> que debe reunir el recurso de revisión interpuesto, previstos en los artículos 178 y 180 de la Ley de Transparencia y Acceso a la Información Pública del Estado de México y Municipios.</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El recurso de revisión fue interpuesto dentro del plazo de quince días hábiles, previsto en el artículo 178 de la Ley de Transparencia y Acceso a la Información Pública del Estado de México y Municipios, ya que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proporcionó su respuesta a la solicitud de información el </w:t>
      </w:r>
      <w:r w:rsidRPr="003C3066">
        <w:rPr>
          <w:rFonts w:ascii="Palatino Linotype" w:eastAsia="Palatino Linotype" w:hAnsi="Palatino Linotype" w:cs="Palatino Linotype"/>
          <w:b/>
          <w:sz w:val="24"/>
          <w:szCs w:val="24"/>
          <w:lang w:eastAsia="es-MX"/>
        </w:rPr>
        <w:t>tres de mayo del dos mil veintidós</w:t>
      </w:r>
      <w:r w:rsidRPr="003C3066">
        <w:rPr>
          <w:rFonts w:ascii="Palatino Linotype" w:eastAsia="Palatino Linotype" w:hAnsi="Palatino Linotype" w:cs="Palatino Linotype"/>
          <w:sz w:val="24"/>
          <w:szCs w:val="24"/>
          <w:lang w:eastAsia="es-MX"/>
        </w:rPr>
        <w:t xml:space="preserve">, y la parte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presentó su recurso de revisión el </w:t>
      </w:r>
      <w:r w:rsidRPr="003C3066">
        <w:rPr>
          <w:rFonts w:ascii="Palatino Linotype" w:eastAsia="Palatino Linotype" w:hAnsi="Palatino Linotype" w:cs="Palatino Linotype"/>
          <w:b/>
          <w:sz w:val="24"/>
          <w:szCs w:val="24"/>
          <w:lang w:eastAsia="es-MX"/>
        </w:rPr>
        <w:t>veinte de mayo del mismo año</w:t>
      </w:r>
      <w:r w:rsidRPr="003C3066">
        <w:rPr>
          <w:rFonts w:ascii="Palatino Linotype" w:eastAsia="Palatino Linotype" w:hAnsi="Palatino Linotype" w:cs="Palatino Linotype"/>
          <w:sz w:val="24"/>
          <w:szCs w:val="24"/>
          <w:lang w:eastAsia="es-MX"/>
        </w:rPr>
        <w:t>, esto es a los doce días hábiles de aquel en que tuvo conocimiento de la respuesta, evidenciándose que la interposición del recurso se encuentra dentro de los márgenes temporales previstos en el citado precepto legal.</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Asimismo, resulta procedente la interposición del recurso de revisión al rubro anotado, toda vez que se actualiza las hipótesis previstas en el artículo 179, fracción V de la ley de la materia, que a la letra dice:</w:t>
      </w:r>
    </w:p>
    <w:p w:rsidR="003C3066" w:rsidRPr="003C3066" w:rsidRDefault="003C3066" w:rsidP="003C3066">
      <w:pPr>
        <w:spacing w:after="0" w:line="276" w:lineRule="auto"/>
        <w:ind w:left="1276" w:right="1752"/>
        <w:jc w:val="both"/>
        <w:rPr>
          <w:rFonts w:ascii="Palatino Linotype" w:eastAsia="Palatino Linotype" w:hAnsi="Palatino Linotype" w:cs="Palatino Linotype"/>
          <w:i/>
          <w:lang w:eastAsia="es-MX"/>
        </w:rPr>
      </w:pPr>
    </w:p>
    <w:p w:rsidR="003C3066" w:rsidRPr="003C3066" w:rsidRDefault="003C3066" w:rsidP="003C3066">
      <w:pPr>
        <w:spacing w:after="0" w:line="276" w:lineRule="auto"/>
        <w:ind w:left="1276" w:right="1752"/>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w:t>
      </w:r>
      <w:r w:rsidRPr="003C3066">
        <w:rPr>
          <w:rFonts w:ascii="Palatino Linotype" w:eastAsia="Palatino Linotype" w:hAnsi="Palatino Linotype" w:cs="Palatino Linotype"/>
          <w:b/>
          <w:i/>
          <w:lang w:eastAsia="es-MX"/>
        </w:rPr>
        <w:t xml:space="preserve">Artículo 179. </w:t>
      </w:r>
      <w:r w:rsidRPr="003C3066">
        <w:rPr>
          <w:rFonts w:ascii="Palatino Linotype" w:eastAsia="Palatino Linotype" w:hAnsi="Palatino Linotype" w:cs="Palatino Linotype"/>
          <w:i/>
          <w:lang w:eastAsia="es-MX"/>
        </w:rPr>
        <w:t xml:space="preserve">El recurso de revisión es un medio de protección que la Ley otorga a los particulares, para hacer valer su derecho de acceso a la información pública, y procederá en contra de las siguientes </w:t>
      </w:r>
      <w:r w:rsidRPr="003C3066">
        <w:rPr>
          <w:rFonts w:ascii="Palatino Linotype" w:eastAsia="Palatino Linotype" w:hAnsi="Palatino Linotype" w:cs="Palatino Linotype"/>
          <w:i/>
          <w:sz w:val="24"/>
          <w:szCs w:val="24"/>
          <w:lang w:eastAsia="es-MX"/>
        </w:rPr>
        <w:t>causas</w:t>
      </w:r>
      <w:r w:rsidRPr="003C3066">
        <w:rPr>
          <w:rFonts w:ascii="Palatino Linotype" w:eastAsia="Palatino Linotype" w:hAnsi="Palatino Linotype" w:cs="Palatino Linotype"/>
          <w:i/>
          <w:lang w:eastAsia="es-MX"/>
        </w:rPr>
        <w:t>:</w:t>
      </w:r>
    </w:p>
    <w:p w:rsidR="003C3066" w:rsidRPr="003C3066" w:rsidRDefault="003C3066" w:rsidP="003C3066">
      <w:pPr>
        <w:spacing w:after="0" w:line="276" w:lineRule="auto"/>
        <w:ind w:left="1276" w:right="1752"/>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w:t>
      </w:r>
    </w:p>
    <w:p w:rsidR="003C3066" w:rsidRPr="003C3066" w:rsidRDefault="003C3066" w:rsidP="003C3066">
      <w:pPr>
        <w:spacing w:after="0" w:line="276" w:lineRule="auto"/>
        <w:ind w:left="1276" w:right="1752"/>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u w:val="single"/>
          <w:lang w:eastAsia="es-MX"/>
        </w:rPr>
        <w:t>V. La entrega de información incompleta;…”</w:t>
      </w:r>
      <w:r w:rsidRPr="003C3066">
        <w:rPr>
          <w:rFonts w:ascii="Palatino Linotype" w:eastAsia="Palatino Linotype" w:hAnsi="Palatino Linotype" w:cs="Palatino Linotype"/>
          <w:i/>
          <w:lang w:eastAsia="es-MX"/>
        </w:rPr>
        <w:t xml:space="preserve"> (Sic)</w:t>
      </w:r>
    </w:p>
    <w:p w:rsidR="003C3066" w:rsidRPr="003C3066" w:rsidRDefault="003C3066" w:rsidP="003C30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Tercero. Materia de Revisión</w:t>
      </w:r>
      <w:r w:rsidRPr="003C3066">
        <w:rPr>
          <w:rFonts w:ascii="Palatino Linotype" w:eastAsia="Palatino Linotype" w:hAnsi="Palatino Linotype" w:cs="Palatino Linotype"/>
          <w:sz w:val="24"/>
          <w:szCs w:val="24"/>
          <w:lang w:eastAsia="es-MX"/>
        </w:rPr>
        <w:t xml:space="preserve">: De las constancias que integran el expediente electrónico se advierte que el tema sobre el que este Instituto se pronunciará será: </w:t>
      </w:r>
      <w:r w:rsidRPr="003C3066">
        <w:rPr>
          <w:rFonts w:ascii="Palatino Linotype" w:eastAsia="Palatino Linotype" w:hAnsi="Palatino Linotype" w:cs="Palatino Linotype"/>
          <w:b/>
          <w:sz w:val="24"/>
          <w:szCs w:val="24"/>
          <w:lang w:eastAsia="es-MX"/>
        </w:rPr>
        <w:t xml:space="preserve">verificar si la respuesta otorgada por el SUJETO OBLIGADO es adecuada y suficiente para satisfacer el derecho de acceso a la información pública </w:t>
      </w:r>
      <w:r w:rsidRPr="003C3066">
        <w:rPr>
          <w:rFonts w:ascii="Palatino Linotype" w:eastAsia="Palatino Linotype" w:hAnsi="Palatino Linotype" w:cs="Palatino Linotype"/>
          <w:sz w:val="24"/>
          <w:szCs w:val="24"/>
          <w:lang w:eastAsia="es-MX"/>
        </w:rPr>
        <w:t xml:space="preserve">de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o en su defecto, en caso de ser procedente, ordenar la entrega de información.</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Cuarto. Estudio de fondo del asunto. </w:t>
      </w:r>
      <w:r w:rsidRPr="003C3066">
        <w:rPr>
          <w:rFonts w:ascii="Palatino Linotype" w:eastAsia="Palatino Linotype" w:hAnsi="Palatino Linotype" w:cs="Palatino Linotype"/>
          <w:sz w:val="24"/>
          <w:szCs w:val="24"/>
          <w:lang w:eastAsia="es-MX"/>
        </w:rPr>
        <w:t xml:space="preserve">Es conveniente analizar si la respuesta del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C3066" w:rsidRPr="003C3066" w:rsidRDefault="003C3066" w:rsidP="003C3066">
      <w:pPr>
        <w:spacing w:after="0" w:line="276" w:lineRule="auto"/>
        <w:ind w:left="709" w:right="760"/>
        <w:jc w:val="both"/>
        <w:rPr>
          <w:rFonts w:ascii="Palatino Linotype" w:eastAsia="Palatino Linotype" w:hAnsi="Palatino Linotype" w:cs="Palatino Linotype"/>
          <w:i/>
          <w:lang w:eastAsia="es-MX"/>
        </w:rPr>
      </w:pPr>
    </w:p>
    <w:p w:rsidR="003C3066" w:rsidRPr="003C3066" w:rsidRDefault="003C3066" w:rsidP="003C3066">
      <w:pPr>
        <w:spacing w:after="0" w:line="276" w:lineRule="auto"/>
        <w:ind w:left="709" w:right="76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w:t>
      </w:r>
      <w:r w:rsidRPr="003C3066">
        <w:rPr>
          <w:rFonts w:ascii="Palatino Linotype" w:eastAsia="Palatino Linotype" w:hAnsi="Palatino Linotype" w:cs="Palatino Linotype"/>
          <w:b/>
          <w:i/>
          <w:lang w:eastAsia="es-MX"/>
        </w:rPr>
        <w:t>Artículo 4</w:t>
      </w:r>
      <w:r w:rsidRPr="003C3066">
        <w:rPr>
          <w:rFonts w:ascii="Palatino Linotype" w:eastAsia="Palatino Linotype" w:hAnsi="Palatino Linotype" w:cs="Palatino Linotype"/>
          <w:i/>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C3066" w:rsidRPr="003C3066" w:rsidRDefault="003C3066" w:rsidP="003C3066">
      <w:pPr>
        <w:spacing w:after="0" w:line="276" w:lineRule="auto"/>
        <w:ind w:left="709" w:right="76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lang w:eastAsia="es-MX"/>
        </w:rPr>
        <w:t>Toda la información generada, obtenida, adquirida, transformada, administrada o en posesión de los sujetos obligados es pública y accesible de manera permanente a cualquier persona</w:t>
      </w:r>
      <w:r w:rsidRPr="003C3066">
        <w:rPr>
          <w:rFonts w:ascii="Palatino Linotype" w:eastAsia="Palatino Linotype" w:hAnsi="Palatino Linotype" w:cs="Palatino Linotype"/>
          <w:i/>
          <w:lang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C3066" w:rsidRPr="003C3066" w:rsidRDefault="003C3066" w:rsidP="003C3066">
      <w:pPr>
        <w:spacing w:after="0" w:line="276" w:lineRule="auto"/>
        <w:ind w:left="709" w:right="76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lang w:eastAsia="es-MX"/>
        </w:rPr>
        <w:t>Los sujetos obligados deben poner en práctica, políticas y programas de acceso a la información que se apeguen a criterios de publicidad, veracidad, oportunidad, precisión y suficiencia en beneficio de los solicitantes</w:t>
      </w:r>
      <w:r w:rsidRPr="003C3066">
        <w:rPr>
          <w:rFonts w:ascii="Palatino Linotype" w:eastAsia="Palatino Linotype" w:hAnsi="Palatino Linotype" w:cs="Palatino Linotype"/>
          <w:i/>
          <w:lang w:eastAsia="es-MX"/>
        </w:rPr>
        <w:t>.”(Sic)</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758"/>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lang w:eastAsia="es-MX"/>
        </w:rPr>
        <w:t>“Artículo 12.-</w:t>
      </w:r>
      <w:r w:rsidRPr="003C3066">
        <w:rPr>
          <w:rFonts w:ascii="Palatino Linotype" w:eastAsia="Palatino Linotype" w:hAnsi="Palatino Linotype" w:cs="Palatino Linotype"/>
          <w:i/>
          <w:lang w:eastAsia="es-MX"/>
        </w:rPr>
        <w:t xml:space="preserve"> Quienes generen, recopilen, administren, manejen, procesen, archiven o conserven información pública serán responsables de la misma en los términos de las disposiciones jurídicas aplicables. </w:t>
      </w:r>
    </w:p>
    <w:p w:rsidR="003C3066" w:rsidRPr="003C3066" w:rsidRDefault="003C3066" w:rsidP="003C3066">
      <w:pPr>
        <w:spacing w:after="0" w:line="276" w:lineRule="auto"/>
        <w:ind w:left="567" w:right="758"/>
        <w:jc w:val="both"/>
        <w:rPr>
          <w:rFonts w:ascii="Palatino Linotype" w:eastAsia="Palatino Linotype" w:hAnsi="Palatino Linotype" w:cs="Palatino Linotype"/>
          <w:i/>
          <w:lang w:eastAsia="es-MX"/>
        </w:rPr>
      </w:pPr>
    </w:p>
    <w:p w:rsidR="003C3066" w:rsidRPr="003C3066" w:rsidRDefault="003C3066" w:rsidP="003C3066">
      <w:pPr>
        <w:spacing w:after="0" w:line="276" w:lineRule="auto"/>
        <w:ind w:left="567" w:right="758"/>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lang w:eastAsia="es-MX"/>
        </w:rPr>
        <w:t>Los sujetos obligados sólo proporcionarán la información pública que se les requiera y que obre en sus archivos y en el estado en que ésta se encuentre</w:t>
      </w:r>
      <w:r w:rsidRPr="003C3066">
        <w:rPr>
          <w:rFonts w:ascii="Palatino Linotype" w:eastAsia="Palatino Linotype" w:hAnsi="Palatino Linotype" w:cs="Palatino Linotype"/>
          <w:i/>
          <w:lang w:eastAsia="es-MX"/>
        </w:rPr>
        <w:t xml:space="preserve">. </w:t>
      </w:r>
      <w:r w:rsidRPr="003C3066">
        <w:rPr>
          <w:rFonts w:ascii="Palatino Linotype" w:eastAsia="Palatino Linotype" w:hAnsi="Palatino Linotype" w:cs="Palatino Linotype"/>
          <w:b/>
          <w:i/>
          <w:lang w:eastAsia="es-MX"/>
        </w:rPr>
        <w:t>La obligación de proporcionar información no comprende el procesamiento de la misma, ni el presentarla conforme al interés del solicitante; no estarán obligados a generarla, resumirla, efectuar cálculos o practicar investigaciones.” (Sic)</w:t>
      </w:r>
    </w:p>
    <w:p w:rsidR="003C3066" w:rsidRPr="003C3066" w:rsidRDefault="003C3066" w:rsidP="003C3066">
      <w:pPr>
        <w:spacing w:after="0" w:line="360" w:lineRule="auto"/>
        <w:ind w:right="-93"/>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93"/>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3C3066" w:rsidRPr="003C3066" w:rsidRDefault="003C3066" w:rsidP="003C3066">
      <w:pPr>
        <w:spacing w:after="0" w:line="360" w:lineRule="auto"/>
        <w:ind w:right="-93"/>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sz w:val="24"/>
          <w:szCs w:val="24"/>
          <w:lang w:eastAsia="es-MX"/>
        </w:rPr>
        <w:t>Sirve de apoyo a lo anterior, el criterio 03-17, expuesto por el Instituto Nacional de Transparencia, Acceso a la Información y Protección de Datos Personales, que dice:</w:t>
      </w:r>
      <w:r w:rsidRPr="003C3066">
        <w:rPr>
          <w:rFonts w:ascii="Palatino Linotype" w:eastAsia="Palatino Linotype" w:hAnsi="Palatino Linotype" w:cs="Palatino Linotype"/>
          <w:b/>
          <w:sz w:val="24"/>
          <w:szCs w:val="24"/>
          <w:lang w:eastAsia="es-MX"/>
        </w:rPr>
        <w:t xml:space="preserve"> </w:t>
      </w:r>
    </w:p>
    <w:p w:rsidR="003C3066" w:rsidRPr="003C3066" w:rsidRDefault="003C3066" w:rsidP="003C3066">
      <w:pPr>
        <w:spacing w:after="0" w:line="240" w:lineRule="auto"/>
        <w:ind w:left="851" w:right="850"/>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851" w:right="901"/>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w:t>
      </w:r>
      <w:r w:rsidRPr="003C3066">
        <w:rPr>
          <w:rFonts w:ascii="Palatino Linotype" w:eastAsia="Palatino Linotype" w:hAnsi="Palatino Linotype" w:cs="Palatino Linotype"/>
          <w:b/>
          <w:i/>
          <w:lang w:eastAsia="es-MX"/>
        </w:rPr>
        <w:t>No existe obligación de elaborar documentos ad hoc para atender las solicitudes de acceso a la información.</w:t>
      </w:r>
      <w:r w:rsidRPr="003C3066">
        <w:rPr>
          <w:rFonts w:ascii="Palatino Linotype" w:eastAsia="Palatino Linotype" w:hAnsi="Palatino Linotype" w:cs="Palatino Linotype"/>
          <w:i/>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C3066" w:rsidRPr="003C3066" w:rsidRDefault="003C3066" w:rsidP="003C3066">
      <w:pPr>
        <w:spacing w:after="0" w:line="276" w:lineRule="auto"/>
        <w:ind w:left="851" w:right="901"/>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 xml:space="preserve">Resoluciones: </w:t>
      </w:r>
    </w:p>
    <w:p w:rsidR="003C3066" w:rsidRPr="003C3066" w:rsidRDefault="003C3066" w:rsidP="003C3066">
      <w:pPr>
        <w:spacing w:after="0" w:line="276" w:lineRule="auto"/>
        <w:ind w:left="851" w:right="901"/>
        <w:jc w:val="both"/>
        <w:rPr>
          <w:rFonts w:ascii="Palatino Linotype" w:eastAsia="Palatino Linotype" w:hAnsi="Palatino Linotype" w:cs="Palatino Linotype"/>
          <w:i/>
          <w:lang w:eastAsia="es-MX"/>
        </w:rPr>
      </w:pPr>
      <w:r w:rsidRPr="003C3066">
        <w:rPr>
          <w:rFonts w:ascii="Noto Sans Symbols" w:eastAsia="Noto Sans Symbols" w:hAnsi="Noto Sans Symbols" w:cs="Noto Sans Symbols"/>
          <w:i/>
          <w:lang w:eastAsia="es-MX"/>
        </w:rPr>
        <w:t>∙</w:t>
      </w:r>
      <w:r w:rsidRPr="003C3066">
        <w:rPr>
          <w:rFonts w:ascii="Palatino Linotype" w:eastAsia="Palatino Linotype" w:hAnsi="Palatino Linotype" w:cs="Palatino Linotype"/>
          <w:i/>
          <w:lang w:eastAsia="es-MX"/>
        </w:rPr>
        <w:t xml:space="preserve"> RRA 0050/16. Instituto Nacional para la Evaluación de la Educación. 13 julio de 2016. Por unanimidad. Comisionado Ponente: Francisco Javier Acuña Llamas.</w:t>
      </w:r>
    </w:p>
    <w:p w:rsidR="003C3066" w:rsidRPr="003C3066" w:rsidRDefault="003C3066" w:rsidP="003C3066">
      <w:pPr>
        <w:spacing w:after="0" w:line="276" w:lineRule="auto"/>
        <w:ind w:left="851" w:right="901"/>
        <w:jc w:val="both"/>
        <w:rPr>
          <w:rFonts w:ascii="Palatino Linotype" w:eastAsia="Palatino Linotype" w:hAnsi="Palatino Linotype" w:cs="Palatino Linotype"/>
          <w:i/>
          <w:lang w:eastAsia="es-MX"/>
        </w:rPr>
      </w:pPr>
      <w:r w:rsidRPr="003C3066">
        <w:rPr>
          <w:rFonts w:ascii="Noto Sans Symbols" w:eastAsia="Noto Sans Symbols" w:hAnsi="Noto Sans Symbols" w:cs="Noto Sans Symbols"/>
          <w:i/>
          <w:lang w:eastAsia="es-MX"/>
        </w:rPr>
        <w:t>∙</w:t>
      </w:r>
      <w:r w:rsidRPr="003C3066">
        <w:rPr>
          <w:rFonts w:ascii="Palatino Linotype" w:eastAsia="Palatino Linotype" w:hAnsi="Palatino Linotype" w:cs="Palatino Linotype"/>
          <w:i/>
          <w:lang w:eastAsia="es-MX"/>
        </w:rPr>
        <w:t xml:space="preserve"> RRA 0310/16. Instituto Nacional de Transparencia, Acceso a la Información y Protección de Datos Personales. 10 de agosto de 2016. Por unanimidad. Comisionada Ponente. Areli Cano Guadiana. </w:t>
      </w:r>
    </w:p>
    <w:p w:rsidR="003C3066" w:rsidRPr="003C3066" w:rsidRDefault="003C3066" w:rsidP="003C3066">
      <w:pPr>
        <w:spacing w:after="0" w:line="276" w:lineRule="auto"/>
        <w:ind w:left="851" w:right="901"/>
        <w:jc w:val="both"/>
        <w:rPr>
          <w:rFonts w:ascii="Palatino Linotype" w:eastAsia="Palatino Linotype" w:hAnsi="Palatino Linotype" w:cs="Palatino Linotype"/>
          <w:i/>
          <w:lang w:eastAsia="es-MX"/>
        </w:rPr>
      </w:pPr>
      <w:r w:rsidRPr="003C3066">
        <w:rPr>
          <w:rFonts w:ascii="Noto Sans Symbols" w:eastAsia="Noto Sans Symbols" w:hAnsi="Noto Sans Symbols" w:cs="Noto Sans Symbols"/>
          <w:i/>
          <w:lang w:eastAsia="es-MX"/>
        </w:rPr>
        <w:t>∙</w:t>
      </w:r>
      <w:r w:rsidRPr="003C3066">
        <w:rPr>
          <w:rFonts w:ascii="Palatino Linotype" w:eastAsia="Palatino Linotype" w:hAnsi="Palatino Linotype" w:cs="Palatino Linotype"/>
          <w:i/>
          <w:lang w:eastAsia="es-MX"/>
        </w:rPr>
        <w:t xml:space="preserve"> RRA 1889/16. Secretaría de Hacienda y Crédito Público. 05 de octubre de 2016. Por unanimidad. Comisionada Ponente. Ximena Puente de la Mora.”(Sic)</w:t>
      </w:r>
    </w:p>
    <w:p w:rsidR="003C3066" w:rsidRPr="003C3066" w:rsidRDefault="003C3066" w:rsidP="003C3066">
      <w:pPr>
        <w:spacing w:after="0" w:line="276" w:lineRule="auto"/>
        <w:ind w:right="-93"/>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C3066" w:rsidRPr="003C3066" w:rsidRDefault="003C3066" w:rsidP="003C3066">
      <w:pPr>
        <w:spacing w:after="0" w:line="240" w:lineRule="auto"/>
        <w:ind w:left="851" w:right="899"/>
        <w:jc w:val="both"/>
        <w:rPr>
          <w:rFonts w:ascii="Palatino Linotype" w:eastAsia="Palatino Linotype" w:hAnsi="Palatino Linotype" w:cs="Palatino Linotype"/>
          <w:i/>
          <w:lang w:eastAsia="es-MX"/>
        </w:rPr>
      </w:pPr>
    </w:p>
    <w:p w:rsidR="003C3066" w:rsidRPr="003C3066" w:rsidRDefault="003C3066" w:rsidP="003C3066">
      <w:pPr>
        <w:spacing w:after="0" w:line="240" w:lineRule="auto"/>
        <w:ind w:left="851" w:right="899"/>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w:t>
      </w:r>
      <w:r w:rsidRPr="003C3066">
        <w:rPr>
          <w:rFonts w:ascii="Palatino Linotype" w:eastAsia="Palatino Linotype" w:hAnsi="Palatino Linotype" w:cs="Palatino Linotype"/>
          <w:b/>
          <w:i/>
          <w:lang w:eastAsia="es-MX"/>
        </w:rPr>
        <w:t xml:space="preserve">Artículo 3. </w:t>
      </w:r>
      <w:r w:rsidRPr="003C3066">
        <w:rPr>
          <w:rFonts w:ascii="Palatino Linotype" w:eastAsia="Palatino Linotype" w:hAnsi="Palatino Linotype" w:cs="Palatino Linotype"/>
          <w:i/>
          <w:lang w:eastAsia="es-MX"/>
        </w:rPr>
        <w:t>Para los efectos de la presente Ley se entenderá por:</w:t>
      </w:r>
    </w:p>
    <w:p w:rsidR="003C3066" w:rsidRPr="003C3066" w:rsidRDefault="003C3066" w:rsidP="003C3066">
      <w:pPr>
        <w:spacing w:after="0" w:line="240" w:lineRule="auto"/>
        <w:ind w:left="851" w:right="899"/>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w:t>
      </w:r>
    </w:p>
    <w:p w:rsidR="003C3066" w:rsidRPr="003C3066" w:rsidRDefault="003C3066" w:rsidP="003C3066">
      <w:pPr>
        <w:spacing w:after="0" w:line="240" w:lineRule="auto"/>
        <w:ind w:left="851" w:right="899"/>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lang w:eastAsia="es-MX"/>
        </w:rPr>
        <w:t>XI. Documento:</w:t>
      </w:r>
      <w:r w:rsidRPr="003C3066">
        <w:rPr>
          <w:rFonts w:ascii="Palatino Linotype" w:eastAsia="Palatino Linotype" w:hAnsi="Palatino Linotype" w:cs="Palatino Linotype"/>
          <w:i/>
          <w:lang w:eastAsia="es-MX"/>
        </w:rPr>
        <w:t xml:space="preserve"> Los expedientes, reportes, estudios, actas</w:t>
      </w:r>
      <w:r w:rsidRPr="003C3066">
        <w:rPr>
          <w:rFonts w:ascii="Palatino Linotype" w:eastAsia="Palatino Linotype" w:hAnsi="Palatino Linotype" w:cs="Palatino Linotype"/>
          <w:b/>
          <w:i/>
          <w:lang w:eastAsia="es-MX"/>
        </w:rPr>
        <w:t>,</w:t>
      </w:r>
      <w:r w:rsidRPr="003C3066">
        <w:rPr>
          <w:rFonts w:ascii="Palatino Linotype" w:eastAsia="Palatino Linotype" w:hAnsi="Palatino Linotype" w:cs="Palatino Linotype"/>
          <w:i/>
          <w:lang w:eastAsia="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3C3066" w:rsidRPr="003C3066" w:rsidRDefault="003C3066" w:rsidP="003C3066">
      <w:pPr>
        <w:spacing w:after="0" w:line="240" w:lineRule="auto"/>
        <w:ind w:left="851" w:right="899"/>
        <w:jc w:val="both"/>
        <w:rPr>
          <w:rFonts w:ascii="Palatino Linotype" w:eastAsia="Palatino Linotype" w:hAnsi="Palatino Linotype" w:cs="Palatino Linotype"/>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C3066" w:rsidRPr="003C3066" w:rsidRDefault="003C3066" w:rsidP="003C3066">
      <w:pPr>
        <w:spacing w:after="0" w:line="240" w:lineRule="auto"/>
        <w:ind w:left="851" w:right="89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40" w:lineRule="auto"/>
        <w:ind w:left="851" w:right="899"/>
        <w:jc w:val="both"/>
        <w:rPr>
          <w:rFonts w:ascii="Palatino Linotype" w:eastAsia="Palatino Linotype" w:hAnsi="Palatino Linotype" w:cs="Palatino Linotype"/>
          <w:b/>
          <w:i/>
          <w:lang w:eastAsia="es-MX"/>
        </w:rPr>
      </w:pPr>
      <w:r w:rsidRPr="003C3066">
        <w:rPr>
          <w:rFonts w:ascii="Palatino Linotype" w:eastAsia="Palatino Linotype" w:hAnsi="Palatino Linotype" w:cs="Palatino Linotype"/>
          <w:b/>
          <w:lang w:eastAsia="es-MX"/>
        </w:rPr>
        <w:t>“</w:t>
      </w:r>
      <w:r w:rsidRPr="003C3066">
        <w:rPr>
          <w:rFonts w:ascii="Palatino Linotype" w:eastAsia="Palatino Linotype" w:hAnsi="Palatino Linotype" w:cs="Palatino Linotype"/>
          <w:b/>
          <w:i/>
          <w:lang w:eastAsia="es-MX"/>
        </w:rPr>
        <w:t>CRITERIO 0002-11</w:t>
      </w:r>
    </w:p>
    <w:p w:rsidR="003C3066" w:rsidRPr="003C3066" w:rsidRDefault="003C3066" w:rsidP="003C3066">
      <w:pPr>
        <w:spacing w:after="0" w:line="240" w:lineRule="auto"/>
        <w:ind w:left="851" w:right="899"/>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lang w:eastAsia="es-MX"/>
        </w:rPr>
        <w:t>INFORMACIÓN PÚBLICA, CONCEPTO DE, EN MATERIA DE TRANSPARENCIA. INTERPRETACIÓN SISTEMÁTICA DE LOS ARTÍCULOS 2°, FRACCIÓN V, XV, Y XVI, 3°, 4°, 11 Y 41.</w:t>
      </w:r>
      <w:r w:rsidRPr="003C3066">
        <w:rPr>
          <w:rFonts w:ascii="Palatino Linotype" w:eastAsia="Palatino Linotype" w:hAnsi="Palatino Linotype" w:cs="Palatino Linotype"/>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C3066" w:rsidRPr="003C3066" w:rsidRDefault="003C3066" w:rsidP="003C3066">
      <w:pPr>
        <w:spacing w:after="0" w:line="240" w:lineRule="auto"/>
        <w:ind w:left="851" w:right="899"/>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En consecuencia el acceso a la información se refiere a que se cumplan cualquiera de los siguientes tres supuestos:</w:t>
      </w:r>
    </w:p>
    <w:p w:rsidR="003C3066" w:rsidRPr="003C3066" w:rsidRDefault="003C3066" w:rsidP="003C3066">
      <w:pPr>
        <w:spacing w:after="0" w:line="240" w:lineRule="auto"/>
        <w:ind w:left="851" w:right="899"/>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1) Que se trate de información registrada en cualquier soporte documental, que en ejercicio de las atribuciones conferidas, sea generada por los Sujetos Obligados;</w:t>
      </w:r>
    </w:p>
    <w:p w:rsidR="003C3066" w:rsidRPr="003C3066" w:rsidRDefault="003C3066" w:rsidP="003C3066">
      <w:pPr>
        <w:spacing w:after="0" w:line="240" w:lineRule="auto"/>
        <w:ind w:left="851" w:right="899"/>
        <w:jc w:val="both"/>
        <w:rPr>
          <w:rFonts w:ascii="Palatino Linotype" w:eastAsia="Palatino Linotype" w:hAnsi="Palatino Linotype" w:cs="Palatino Linotype"/>
          <w:b/>
          <w:i/>
          <w:lang w:eastAsia="es-MX"/>
        </w:rPr>
      </w:pPr>
      <w:r w:rsidRPr="003C3066">
        <w:rPr>
          <w:rFonts w:ascii="Palatino Linotype" w:eastAsia="Palatino Linotype" w:hAnsi="Palatino Linotype" w:cs="Palatino Linotype"/>
          <w:b/>
          <w:i/>
          <w:lang w:eastAsia="es-MX"/>
        </w:rPr>
        <w:t>2) Que se trate de información registrada en cualquier soporte documental, que en ejercicio de las atribuciones conferidas, sea administrada por los Sujetos Obligados, y</w:t>
      </w:r>
    </w:p>
    <w:p w:rsidR="003C3066" w:rsidRPr="003C3066" w:rsidRDefault="003C3066" w:rsidP="003C3066">
      <w:pPr>
        <w:spacing w:after="0" w:line="240" w:lineRule="auto"/>
        <w:ind w:left="851" w:right="899"/>
        <w:jc w:val="both"/>
        <w:rPr>
          <w:rFonts w:ascii="Palatino Linotype" w:eastAsia="Palatino Linotype" w:hAnsi="Palatino Linotype" w:cs="Palatino Linotype"/>
          <w:b/>
          <w:i/>
          <w:lang w:eastAsia="es-MX"/>
        </w:rPr>
      </w:pPr>
      <w:r w:rsidRPr="003C3066">
        <w:rPr>
          <w:rFonts w:ascii="Palatino Linotype" w:eastAsia="Palatino Linotype" w:hAnsi="Palatino Linotype" w:cs="Palatino Linotype"/>
          <w:b/>
          <w:i/>
          <w:lang w:eastAsia="es-MX"/>
        </w:rPr>
        <w:t>3) Que se trate de información registrada en cualquier soporte documental, que en ejercicio de las atribuciones conferidas, se encuentre en posesión de los Sujetos Obligados.” (Sic)</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Precisado lo anterior conviene recordar que el particular requirió al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lo siguiente:</w:t>
      </w:r>
    </w:p>
    <w:p w:rsidR="003C3066" w:rsidRPr="003C3066" w:rsidRDefault="003C3066" w:rsidP="003C3066">
      <w:pPr>
        <w:spacing w:after="0" w:line="276" w:lineRule="auto"/>
        <w:ind w:left="1134" w:right="900"/>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 w:val="24"/>
          <w:szCs w:val="24"/>
          <w:lang w:eastAsia="es-MX"/>
        </w:rPr>
        <w:t>“1</w:t>
      </w:r>
      <w:r w:rsidRPr="003C3066">
        <w:rPr>
          <w:rFonts w:ascii="Palatino Linotype" w:eastAsia="Palatino Linotype" w:hAnsi="Palatino Linotype" w:cs="Palatino Linotype"/>
          <w:i/>
          <w:szCs w:val="24"/>
          <w:lang w:eastAsia="es-MX"/>
        </w:rPr>
        <w:t xml:space="preserve">. Solicito saber si los miembros del Ayuntamiento y los directores son titulados de alguna carrera, si es así, especificar nombre, número de cédula profesional, carrera y universidad donde se realizaron dichos estudios.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2. ¿Cuáles son los listados de los beneficiarios de programas sociales? Y ¿Qué estudios socioeconómicos se les aplicaron? Solicito copia del formato de estudio socioeconómico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3. Solicito saber cuáles bienes inmuebles ha adquirido el ayuntamiento, ¿cuál fue el costo de estos de enero del 2021 a la fecha? ¿Cuándo fueron ingresados al patrimonio municipal? Solicito copia de las actas y contratos</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 4. ¿Qué bienes se han dado de baja del patrimonio municipal desde enero de 2022? Especificando cada bien y motivos de la baja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5. ¿Qué obras públicas se ha realizado de enero del 2022 a la fecha? ¿</w:t>
      </w:r>
      <w:proofErr w:type="gramStart"/>
      <w:r w:rsidRPr="003C3066">
        <w:rPr>
          <w:rFonts w:ascii="Palatino Linotype" w:eastAsia="Palatino Linotype" w:hAnsi="Palatino Linotype" w:cs="Palatino Linotype"/>
          <w:i/>
          <w:szCs w:val="24"/>
          <w:lang w:eastAsia="es-MX"/>
        </w:rPr>
        <w:t>cómo</w:t>
      </w:r>
      <w:proofErr w:type="gramEnd"/>
      <w:r w:rsidRPr="003C3066">
        <w:rPr>
          <w:rFonts w:ascii="Palatino Linotype" w:eastAsia="Palatino Linotype" w:hAnsi="Palatino Linotype" w:cs="Palatino Linotype"/>
          <w:i/>
          <w:szCs w:val="24"/>
          <w:lang w:eastAsia="es-MX"/>
        </w:rPr>
        <w:t xml:space="preserve"> fue el proceso de licitación para la realización de la misma y que costo tuvo cada obra?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6. ¿Qué bienes inmuebles renta el h. ayuntamiento y que costo mensual tienen? Copia del contrato</w:t>
      </w:r>
      <w:proofErr w:type="gramStart"/>
      <w:r w:rsidRPr="003C3066">
        <w:rPr>
          <w:rFonts w:ascii="Palatino Linotype" w:eastAsia="Palatino Linotype" w:hAnsi="Palatino Linotype" w:cs="Palatino Linotype"/>
          <w:i/>
          <w:szCs w:val="24"/>
          <w:lang w:eastAsia="es-MX"/>
        </w:rPr>
        <w:t>?</w:t>
      </w:r>
      <w:proofErr w:type="gramEnd"/>
      <w:r w:rsidRPr="003C3066">
        <w:rPr>
          <w:rFonts w:ascii="Palatino Linotype" w:eastAsia="Palatino Linotype" w:hAnsi="Palatino Linotype" w:cs="Palatino Linotype"/>
          <w:i/>
          <w:szCs w:val="24"/>
          <w:lang w:eastAsia="es-MX"/>
        </w:rPr>
        <w:t xml:space="preserve">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7. ¿Qué vehículos fueron adquiridos de enero del 2022 a la fecha? qué uso se les atribuye a los mismos y el costo que estos generan</w:t>
      </w:r>
      <w:proofErr w:type="gramStart"/>
      <w:r w:rsidRPr="003C3066">
        <w:rPr>
          <w:rFonts w:ascii="Palatino Linotype" w:eastAsia="Palatino Linotype" w:hAnsi="Palatino Linotype" w:cs="Palatino Linotype"/>
          <w:i/>
          <w:szCs w:val="24"/>
          <w:lang w:eastAsia="es-MX"/>
        </w:rPr>
        <w:t>?</w:t>
      </w:r>
      <w:proofErr w:type="gramEnd"/>
      <w:r w:rsidRPr="003C3066">
        <w:rPr>
          <w:rFonts w:ascii="Palatino Linotype" w:eastAsia="Palatino Linotype" w:hAnsi="Palatino Linotype" w:cs="Palatino Linotype"/>
          <w:i/>
          <w:szCs w:val="24"/>
          <w:lang w:eastAsia="es-MX"/>
        </w:rPr>
        <w:t xml:space="preserve">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8. ¿Cuándo se instaló el consejo de planeación y desarrollo municipal (COPLAMUN)?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9. ¿Cuántas personas han sido remitidas al oficial mediador y calificador en el municipio? Desde enero 2022. ¿</w:t>
      </w:r>
      <w:proofErr w:type="gramStart"/>
      <w:r w:rsidRPr="003C3066">
        <w:rPr>
          <w:rFonts w:ascii="Palatino Linotype" w:eastAsia="Palatino Linotype" w:hAnsi="Palatino Linotype" w:cs="Palatino Linotype"/>
          <w:i/>
          <w:szCs w:val="24"/>
          <w:lang w:eastAsia="es-MX"/>
        </w:rPr>
        <w:t>qué</w:t>
      </w:r>
      <w:proofErr w:type="gramEnd"/>
      <w:r w:rsidRPr="003C3066">
        <w:rPr>
          <w:rFonts w:ascii="Palatino Linotype" w:eastAsia="Palatino Linotype" w:hAnsi="Palatino Linotype" w:cs="Palatino Linotype"/>
          <w:i/>
          <w:szCs w:val="24"/>
          <w:lang w:eastAsia="es-MX"/>
        </w:rPr>
        <w:t xml:space="preserve"> tipo de sanciones se les han impuesto? Y cuáles son las causas</w:t>
      </w:r>
      <w:proofErr w:type="gramStart"/>
      <w:r w:rsidRPr="003C3066">
        <w:rPr>
          <w:rFonts w:ascii="Palatino Linotype" w:eastAsia="Palatino Linotype" w:hAnsi="Palatino Linotype" w:cs="Palatino Linotype"/>
          <w:i/>
          <w:szCs w:val="24"/>
          <w:lang w:eastAsia="es-MX"/>
        </w:rPr>
        <w:t>?</w:t>
      </w:r>
      <w:proofErr w:type="gramEnd"/>
      <w:r w:rsidRPr="003C3066">
        <w:rPr>
          <w:rFonts w:ascii="Palatino Linotype" w:eastAsia="Palatino Linotype" w:hAnsi="Palatino Linotype" w:cs="Palatino Linotype"/>
          <w:i/>
          <w:szCs w:val="24"/>
          <w:lang w:eastAsia="es-MX"/>
        </w:rPr>
        <w:t xml:space="preserve"> Favor de desglosar cuantas personas han sido remitidas por cada tipo de sanción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10. Cuáles son los ingresos que reporta haber recibido la tesorería municipal por concepto del pago de sanciones por faltas administrativas cometidas por personas presentadas ante los oficiales calificadores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11. ¿Cuántas licencias de funcionamiento de unidades económicas se han expedido desde el inicio de la administración?</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 12. ¿Cuáles son los requisitos para tramitar una licencia de funcionamiento de unidades económica desreguladas?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13. ¿Cuántas licencias de funcionamiento se encuentran vigentes para unidades económicas actualmente?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14. ¿Cuántas unidades económicas se encuentran registradas en el Registro Municipal de Unidades Económicas?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15. Solicitud de una copia de las actas de la instalación y sesiones de las comisiones edilicias municipales que se hayan realizado a la fecha de recepción de la presente” (Sic)</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su parte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emitió su respuesta mediante los siguientes documentos:</w:t>
      </w:r>
    </w:p>
    <w:p w:rsidR="003C3066" w:rsidRPr="003C3066" w:rsidRDefault="003C3066" w:rsidP="003C3066">
      <w:pPr>
        <w:numPr>
          <w:ilvl w:val="0"/>
          <w:numId w:val="10"/>
        </w:numPr>
        <w:spacing w:after="0" w:line="360" w:lineRule="auto"/>
        <w:ind w:right="49"/>
        <w:jc w:val="both"/>
        <w:rPr>
          <w:rFonts w:ascii="Palatino Linotype" w:eastAsia="Palatino Linotype" w:hAnsi="Palatino Linotype" w:cs="Palatino Linotype"/>
          <w:sz w:val="24"/>
          <w:szCs w:val="24"/>
          <w:lang w:val="es-ES" w:eastAsia="es-MX"/>
        </w:rPr>
      </w:pPr>
      <w:r w:rsidRPr="003C3066">
        <w:rPr>
          <w:rFonts w:ascii="Palatino Linotype" w:eastAsia="Palatino Linotype" w:hAnsi="Palatino Linotype" w:cs="Palatino Linotype"/>
          <w:b/>
          <w:i/>
          <w:sz w:val="24"/>
          <w:szCs w:val="24"/>
          <w:lang w:val="es-ES" w:eastAsia="es-MX"/>
        </w:rPr>
        <w:t>00273-CHALCO-IP-2022 OFICALIF.pdf,</w:t>
      </w:r>
      <w:r w:rsidRPr="003C3066">
        <w:rPr>
          <w:rFonts w:ascii="Palatino Linotype" w:eastAsia="Palatino Linotype" w:hAnsi="Palatino Linotype" w:cs="Palatino Linotype"/>
          <w:sz w:val="24"/>
          <w:szCs w:val="24"/>
          <w:lang w:val="es-ES" w:eastAsia="es-MX"/>
        </w:rPr>
        <w:t xml:space="preserve"> oficio número GCH/COC/183/2022, de fecha ocho de abril de dos mil veintidós, suscrito y signado por la Coordinadora de Oficialías Calificadoras, mediante el cual informa lo siguiente:</w:t>
      </w:r>
    </w:p>
    <w:p w:rsidR="003C3066" w:rsidRPr="003C3066" w:rsidRDefault="003C3066" w:rsidP="003C3066">
      <w:pPr>
        <w:spacing w:after="0" w:line="360" w:lineRule="auto"/>
        <w:ind w:left="720" w:right="49"/>
        <w:jc w:val="center"/>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drawing>
          <wp:inline distT="0" distB="0" distL="0" distR="0" wp14:anchorId="3D11D2B5" wp14:editId="6FCD2CD0">
            <wp:extent cx="5272851" cy="3236180"/>
            <wp:effectExtent l="0" t="0" r="444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40" t="44222" r="51493" b="25152"/>
                    <a:stretch/>
                  </pic:blipFill>
                  <pic:spPr bwMode="auto">
                    <a:xfrm>
                      <a:off x="0" y="0"/>
                      <a:ext cx="5327514" cy="3269729"/>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left="720" w:right="49"/>
        <w:jc w:val="center"/>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drawing>
          <wp:inline distT="0" distB="0" distL="0" distR="0" wp14:anchorId="2D3D1735" wp14:editId="1BB0189C">
            <wp:extent cx="5500902" cy="6861976"/>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54" t="21424" r="51460" b="18726"/>
                    <a:stretch/>
                  </pic:blipFill>
                  <pic:spPr bwMode="auto">
                    <a:xfrm>
                      <a:off x="0" y="0"/>
                      <a:ext cx="5519780" cy="6885525"/>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left="720" w:right="49"/>
        <w:jc w:val="both"/>
        <w:rPr>
          <w:rFonts w:ascii="Palatino Linotype" w:eastAsia="Palatino Linotype" w:hAnsi="Palatino Linotype" w:cs="Palatino Linotype"/>
          <w:sz w:val="24"/>
          <w:szCs w:val="24"/>
          <w:lang w:val="es-ES" w:eastAsia="es-MX"/>
        </w:rPr>
      </w:pPr>
    </w:p>
    <w:p w:rsidR="003C3066" w:rsidRPr="003C3066" w:rsidRDefault="003C3066" w:rsidP="003C3066">
      <w:pPr>
        <w:spacing w:after="0" w:line="360" w:lineRule="auto"/>
        <w:ind w:left="720" w:right="49"/>
        <w:jc w:val="center"/>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drawing>
          <wp:inline distT="0" distB="0" distL="0" distR="0" wp14:anchorId="4DACCFAB" wp14:editId="79A7B965">
            <wp:extent cx="5492208" cy="3768919"/>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894" t="34701" r="53415" b="35174"/>
                    <a:stretch/>
                  </pic:blipFill>
                  <pic:spPr bwMode="auto">
                    <a:xfrm>
                      <a:off x="0" y="0"/>
                      <a:ext cx="5528664" cy="3793936"/>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numPr>
          <w:ilvl w:val="0"/>
          <w:numId w:val="10"/>
        </w:numPr>
        <w:spacing w:after="0" w:line="360" w:lineRule="auto"/>
        <w:ind w:right="49"/>
        <w:jc w:val="both"/>
        <w:rPr>
          <w:rFonts w:ascii="Palatino Linotype" w:eastAsia="Palatino Linotype" w:hAnsi="Palatino Linotype" w:cs="Palatino Linotype"/>
          <w:sz w:val="24"/>
          <w:szCs w:val="24"/>
          <w:lang w:val="es-ES" w:eastAsia="es-MX"/>
        </w:rPr>
      </w:pPr>
      <w:r w:rsidRPr="003C3066">
        <w:rPr>
          <w:rFonts w:ascii="Palatino Linotype" w:eastAsia="Palatino Linotype" w:hAnsi="Palatino Linotype" w:cs="Palatino Linotype"/>
          <w:b/>
          <w:i/>
          <w:sz w:val="24"/>
          <w:szCs w:val="24"/>
          <w:lang w:val="es-ES" w:eastAsia="es-MX"/>
        </w:rPr>
        <w:t>00273-CHALCO-IP-2022 DESECO.pdf</w:t>
      </w:r>
      <w:r w:rsidRPr="003C3066">
        <w:rPr>
          <w:rFonts w:ascii="Palatino Linotype" w:eastAsia="Palatino Linotype" w:hAnsi="Palatino Linotype" w:cs="Palatino Linotype"/>
          <w:sz w:val="24"/>
          <w:szCs w:val="24"/>
          <w:lang w:val="es-ES" w:eastAsia="es-MX"/>
        </w:rPr>
        <w:t>, oficio número GCH/DDE/0111/2022, de fecha ocho de abril de dos mil veintidós, suscrito por la Directora de Desarrollo Económico, en el siguiente sentido:</w:t>
      </w:r>
    </w:p>
    <w:p w:rsidR="003C3066" w:rsidRPr="003C3066" w:rsidRDefault="003C3066" w:rsidP="003C3066">
      <w:pPr>
        <w:spacing w:after="0" w:line="360" w:lineRule="auto"/>
        <w:ind w:right="49"/>
        <w:jc w:val="center"/>
        <w:rPr>
          <w:rFonts w:ascii="Palatino Linotype" w:eastAsia="Palatino Linotype" w:hAnsi="Palatino Linotype" w:cs="Palatino Linotype"/>
          <w:sz w:val="24"/>
          <w:szCs w:val="24"/>
          <w:lang w:eastAsia="es-MX"/>
        </w:rPr>
      </w:pPr>
      <w:r w:rsidRPr="003C3066">
        <w:rPr>
          <w:rFonts w:ascii="Times New Roman" w:eastAsia="Times New Roman" w:hAnsi="Times New Roman" w:cs="Times New Roman"/>
          <w:noProof/>
          <w:sz w:val="24"/>
          <w:szCs w:val="24"/>
          <w:lang w:eastAsia="es-MX"/>
        </w:rPr>
        <w:drawing>
          <wp:inline distT="0" distB="0" distL="0" distR="0" wp14:anchorId="32805592" wp14:editId="005FA1E0">
            <wp:extent cx="5772748" cy="36019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87" t="42433" r="54160" b="28555"/>
                    <a:stretch/>
                  </pic:blipFill>
                  <pic:spPr bwMode="auto">
                    <a:xfrm>
                      <a:off x="0" y="0"/>
                      <a:ext cx="5798968" cy="3618301"/>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Agregando al oficio tres Actas de Instalación de los Comités Municipales de Dictámenes de Giro, del Consejo Municipal para el Desarrollo Rural Sustentable y del Consejo Consultivo Municipal de Turismo Sostenible y Desarrollo Artesanal.</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0"/>
        </w:numPr>
        <w:spacing w:after="0" w:line="360" w:lineRule="auto"/>
        <w:ind w:right="49"/>
        <w:jc w:val="both"/>
        <w:rPr>
          <w:rFonts w:ascii="Palatino Linotype" w:eastAsia="Palatino Linotype" w:hAnsi="Palatino Linotype" w:cs="Palatino Linotype"/>
          <w:b/>
          <w:i/>
          <w:sz w:val="24"/>
          <w:szCs w:val="24"/>
          <w:lang w:val="es-ES" w:eastAsia="es-MX"/>
        </w:rPr>
      </w:pPr>
      <w:r w:rsidRPr="003C3066">
        <w:rPr>
          <w:rFonts w:ascii="Palatino Linotype" w:eastAsia="Palatino Linotype" w:hAnsi="Palatino Linotype" w:cs="Palatino Linotype"/>
          <w:b/>
          <w:i/>
          <w:sz w:val="24"/>
          <w:szCs w:val="24"/>
          <w:lang w:val="es-ES" w:eastAsia="es-MX"/>
        </w:rPr>
        <w:t xml:space="preserve">00273-CHALCO-IP-2022 TESO.pdf, </w:t>
      </w:r>
      <w:r w:rsidRPr="003C3066">
        <w:rPr>
          <w:rFonts w:ascii="Palatino Linotype" w:eastAsia="Palatino Linotype" w:hAnsi="Palatino Linotype" w:cs="Palatino Linotype"/>
          <w:sz w:val="24"/>
          <w:szCs w:val="24"/>
          <w:lang w:val="es-ES" w:eastAsia="es-MX"/>
        </w:rPr>
        <w:t>oficio número TM/296/2022, de fecha veintidós de abril de dos mil veintidós, suscrito por la Tesorera Municipal, manifestando lo siguiente:</w:t>
      </w:r>
    </w:p>
    <w:p w:rsidR="003C3066" w:rsidRPr="003C3066" w:rsidRDefault="003C3066" w:rsidP="003C3066">
      <w:pPr>
        <w:spacing w:after="0" w:line="360" w:lineRule="auto"/>
        <w:ind w:left="720" w:right="49"/>
        <w:jc w:val="both"/>
        <w:rPr>
          <w:rFonts w:ascii="Palatino Linotype" w:eastAsia="Palatino Linotype" w:hAnsi="Palatino Linotype" w:cs="Palatino Linotype"/>
          <w:sz w:val="24"/>
          <w:szCs w:val="24"/>
          <w:lang w:val="es-ES" w:eastAsia="es-MX"/>
        </w:rPr>
      </w:pPr>
      <w:r w:rsidRPr="003C3066">
        <w:rPr>
          <w:rFonts w:ascii="Times New Roman" w:eastAsia="Times New Roman" w:hAnsi="Times New Roman" w:cs="Times New Roman"/>
          <w:noProof/>
          <w:sz w:val="24"/>
          <w:szCs w:val="24"/>
          <w:lang w:eastAsia="es-MX"/>
        </w:rPr>
        <w:drawing>
          <wp:inline distT="0" distB="0" distL="0" distR="0" wp14:anchorId="6FD1CE10" wp14:editId="5EDB24C9">
            <wp:extent cx="5906292" cy="4603806"/>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48" t="46484" r="52138" b="14001"/>
                    <a:stretch/>
                  </pic:blipFill>
                  <pic:spPr bwMode="auto">
                    <a:xfrm>
                      <a:off x="0" y="0"/>
                      <a:ext cx="5919125" cy="4613809"/>
                    </a:xfrm>
                    <a:prstGeom prst="rect">
                      <a:avLst/>
                    </a:prstGeom>
                    <a:ln>
                      <a:noFill/>
                    </a:ln>
                    <a:extLst>
                      <a:ext uri="{53640926-AAD7-44D8-BBD7-CCE9431645EC}">
                        <a14:shadowObscured xmlns:a14="http://schemas.microsoft.com/office/drawing/2010/main"/>
                      </a:ext>
                    </a:extLst>
                  </pic:spPr>
                </pic:pic>
              </a:graphicData>
            </a:graphic>
          </wp:inline>
        </w:drawing>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No conforme la particular con la respuesta, interpone el recurso de revisión que se resuelve, señalando como motivos de inconformidad en lo medular porque: </w:t>
      </w:r>
      <w:r w:rsidRPr="003C3066">
        <w:rPr>
          <w:rFonts w:ascii="Palatino Linotype" w:eastAsia="Palatino Linotype" w:hAnsi="Palatino Linotype" w:cs="Palatino Linotype"/>
          <w:i/>
          <w:sz w:val="24"/>
          <w:szCs w:val="24"/>
          <w:u w:val="single"/>
          <w:lang w:eastAsia="es-MX"/>
        </w:rPr>
        <w:t>“</w:t>
      </w:r>
      <w:r w:rsidRPr="003C3066">
        <w:rPr>
          <w:rFonts w:ascii="Palatino Linotype" w:eastAsia="Palatino Linotype" w:hAnsi="Palatino Linotype" w:cs="Palatino Linotype"/>
          <w:b/>
          <w:i/>
          <w:sz w:val="24"/>
          <w:szCs w:val="24"/>
          <w:u w:val="single"/>
          <w:lang w:eastAsia="es-MX"/>
        </w:rPr>
        <w:t>las primeras ocho preguntas expuestas en la solicitud fueron ignoradas</w:t>
      </w:r>
      <w:r w:rsidRPr="003C3066">
        <w:rPr>
          <w:rFonts w:ascii="Palatino Linotype" w:eastAsia="Palatino Linotype" w:hAnsi="Palatino Linotype" w:cs="Palatino Linotype"/>
          <w:b/>
          <w:i/>
          <w:sz w:val="24"/>
          <w:szCs w:val="24"/>
          <w:lang w:eastAsia="es-MX"/>
        </w:rPr>
        <w:t>.”</w:t>
      </w:r>
      <w:r w:rsidRPr="003C3066">
        <w:rPr>
          <w:rFonts w:ascii="Palatino Linotype" w:eastAsia="Palatino Linotype" w:hAnsi="Palatino Linotype" w:cs="Palatino Linotype"/>
          <w:sz w:val="24"/>
          <w:szCs w:val="24"/>
          <w:lang w:eastAsia="es-MX"/>
        </w:rPr>
        <w:t xml:space="preserve"> (Sic)</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Asimismo, precisó mediante archivo adjunto que los puntos que no fueron atendidos son los siguientes: </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“Solicito saber si los miembros del Ayuntamiento y los directores son titulados de alguna carrera, si es así, especificar nombre, número de cédula profesional, carrera y universidad donde se realizaron dichos estudios.” según el artículo 92 de la Ley de Transparencia y Acceso a la Información Pública del Estado de México y Municipios, en la fracción XXI es de acceso público toda información curricular de los miembros del ayuntamiento.</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“¿Cuáles son los listados de los beneficiarios de programas sociales? Y ¿Qué estudios socioeconómicos se les aplicaron? Solicito copia del formato de estudio socioeconómico.” Esto es información pública, según el artículo 92 de la Ley de Transparencia y Acceso a la Información Pública del Estado de México y Municipios, en la fracción XIV, inciso p se establece que podré tener información del padrón de beneficiarios, con los datos que solicito en la pregunta.</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Respecto a las preguntas: “Solicito saber cuáles bienes inmuebles ha adquirido el ayuntamiento, ¿cuál fue el costo de estos de enero del 2021 a la fecha? ¿Cuándo fueron ingresados al patrimonio municipal? Solicito copia de las actas y contratos.”, “¿Qué vehículos fueron adquiridos de enero del 2022 a la fecha? qué uso se les atribuye a los mismos y el costo que estos generan</w:t>
      </w:r>
      <w:proofErr w:type="gramStart"/>
      <w:r w:rsidRPr="003C3066">
        <w:rPr>
          <w:rFonts w:ascii="Palatino Linotype" w:eastAsia="Palatino Linotype" w:hAnsi="Palatino Linotype" w:cs="Palatino Linotype"/>
          <w:i/>
          <w:szCs w:val="24"/>
          <w:lang w:eastAsia="es-MX"/>
        </w:rPr>
        <w:t>?</w:t>
      </w:r>
      <w:proofErr w:type="gramEnd"/>
      <w:r w:rsidRPr="003C3066">
        <w:rPr>
          <w:rFonts w:ascii="Palatino Linotype" w:eastAsia="Palatino Linotype" w:hAnsi="Palatino Linotype" w:cs="Palatino Linotype"/>
          <w:i/>
          <w:szCs w:val="24"/>
          <w:lang w:eastAsia="es-MX"/>
        </w:rPr>
        <w:t>” y “¿Qué bienes inmuebles renta el h. ayuntamiento y que costo mensual tienen? Copia del contrato</w:t>
      </w:r>
      <w:proofErr w:type="gramStart"/>
      <w:r w:rsidRPr="003C3066">
        <w:rPr>
          <w:rFonts w:ascii="Palatino Linotype" w:eastAsia="Palatino Linotype" w:hAnsi="Palatino Linotype" w:cs="Palatino Linotype"/>
          <w:i/>
          <w:szCs w:val="24"/>
          <w:lang w:eastAsia="es-MX"/>
        </w:rPr>
        <w:t>?</w:t>
      </w:r>
      <w:proofErr w:type="gramEnd"/>
      <w:r w:rsidRPr="003C3066">
        <w:rPr>
          <w:rFonts w:ascii="Palatino Linotype" w:eastAsia="Palatino Linotype" w:hAnsi="Palatino Linotype" w:cs="Palatino Linotype"/>
          <w:i/>
          <w:szCs w:val="24"/>
          <w:lang w:eastAsia="es-MX"/>
        </w:rPr>
        <w:t>“ Correspondiente a la fracción XXXVIII, y XXXII del artículo 92, de la misma ley mencionada anteriormente, nos dicen que el inventario de bienes muebles e INMUEBLES que tiene el ayuntamiento es de carácter público, por otro lado en el mismo artículo pero diferente fracción se establece que la entrega de los gastos hechos por el municipio, también son de carácter público. Por otro lado se puede conocer los contratos y convenios para la adquisición o arrendamiento de bienes y servicios, según el artículo 100 de la Ley de Transparencia y Acceso a la Información Pública del Estado de México y Municipios, fracción IV.</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De la mano con las preguntas acerca de los bienes del municipio, pregunte “¿Qué bienes se han dado de baja del patrimonio municipal desde enero de 2022? Especificando cada bien y motivos de la baja”, a lo cual no me dieron respuesta, pero respecto la fracción VII del artículo 33 de la ley mencionada anteriormente, esta es información pública</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La pregunta “¿Qué obras públicas se ha realizado de enero del 2022 a la fecha? ¿</w:t>
      </w:r>
      <w:proofErr w:type="gramStart"/>
      <w:r w:rsidRPr="003C3066">
        <w:rPr>
          <w:rFonts w:ascii="Palatino Linotype" w:eastAsia="Palatino Linotype" w:hAnsi="Palatino Linotype" w:cs="Palatino Linotype"/>
          <w:i/>
          <w:szCs w:val="24"/>
          <w:lang w:eastAsia="es-MX"/>
        </w:rPr>
        <w:t>cómo</w:t>
      </w:r>
      <w:proofErr w:type="gramEnd"/>
      <w:r w:rsidRPr="003C3066">
        <w:rPr>
          <w:rFonts w:ascii="Palatino Linotype" w:eastAsia="Palatino Linotype" w:hAnsi="Palatino Linotype" w:cs="Palatino Linotype"/>
          <w:i/>
          <w:szCs w:val="24"/>
          <w:lang w:eastAsia="es-MX"/>
        </w:rPr>
        <w:t xml:space="preserve"> fue el proceso de licitación para la realización de la misma y que costo tuvo</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cada obra?,” es información pública y a la que puedo acceder, según el artículo 92, en su fracción XXIX, inciso “a” de las licitaciones públicas o procedimientos de invitación restringida e inciso “b” de las adjudicaciones directas.</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“¿Cuándo se instaló el consejo de planeación y desarrollo municipal (COPLAMUN)?”, todo lo relativo al Plan Estatal de Desarrollo y Plan de Desarrollo Municipal, es de información pública, basado en la fracción IV, del artículo 92 de la ley mencionada anteriormente.” (Sic)</w:t>
      </w:r>
    </w:p>
    <w:p w:rsidR="003C3066" w:rsidRPr="003C3066" w:rsidRDefault="003C3066" w:rsidP="003C3066">
      <w:pPr>
        <w:spacing w:after="0" w:line="276" w:lineRule="auto"/>
        <w:ind w:left="851" w:right="900"/>
        <w:jc w:val="both"/>
        <w:rPr>
          <w:rFonts w:ascii="Palatino Linotype" w:eastAsia="Palatino Linotype" w:hAnsi="Palatino Linotype" w:cs="Palatino Linotype"/>
          <w:i/>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Ante la interposición del Recurso de Revisión,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no rindió su informe justificado, por su parte la parte </w:t>
      </w:r>
      <w:r w:rsidRPr="003C3066">
        <w:rPr>
          <w:rFonts w:ascii="Palatino Linotype" w:eastAsia="Palatino Linotype" w:hAnsi="Palatino Linotype" w:cs="Palatino Linotype"/>
          <w:b/>
          <w:sz w:val="24"/>
          <w:szCs w:val="24"/>
          <w:lang w:eastAsia="es-MX"/>
        </w:rPr>
        <w:t xml:space="preserve">RECURRENTE </w:t>
      </w:r>
      <w:r w:rsidRPr="003C3066">
        <w:rPr>
          <w:rFonts w:ascii="Palatino Linotype" w:eastAsia="Palatino Linotype" w:hAnsi="Palatino Linotype" w:cs="Palatino Linotype"/>
          <w:sz w:val="24"/>
          <w:szCs w:val="24"/>
          <w:lang w:eastAsia="es-MX"/>
        </w:rPr>
        <w:t xml:space="preserve">fue omisa al emitir manifestaciones o alegatos, quedando </w:t>
      </w:r>
      <w:proofErr w:type="spellStart"/>
      <w:r w:rsidRPr="003C3066">
        <w:rPr>
          <w:rFonts w:ascii="Palatino Linotype" w:eastAsia="Palatino Linotype" w:hAnsi="Palatino Linotype" w:cs="Palatino Linotype"/>
          <w:sz w:val="24"/>
          <w:szCs w:val="24"/>
          <w:lang w:eastAsia="es-MX"/>
        </w:rPr>
        <w:t>precluido</w:t>
      </w:r>
      <w:proofErr w:type="spellEnd"/>
      <w:r w:rsidRPr="003C3066">
        <w:rPr>
          <w:rFonts w:ascii="Palatino Linotype" w:eastAsia="Palatino Linotype" w:hAnsi="Palatino Linotype" w:cs="Palatino Linotype"/>
          <w:sz w:val="24"/>
          <w:szCs w:val="24"/>
          <w:lang w:eastAsia="es-MX"/>
        </w:rPr>
        <w:t xml:space="preserve"> su derecho para tal efecto.</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en razón de las consideraciones de derecho que a continuación se exponen:</w:t>
      </w:r>
    </w:p>
    <w:p w:rsidR="003C3066" w:rsidRPr="003C3066" w:rsidRDefault="003C3066" w:rsidP="003C3066">
      <w:pPr>
        <w:spacing w:after="0" w:line="360" w:lineRule="auto"/>
        <w:jc w:val="both"/>
        <w:rPr>
          <w:rFonts w:ascii="Palatino Linotype" w:eastAsia="Times New Roman" w:hAnsi="Palatino Linotype" w:cs="Times New Roman"/>
          <w:sz w:val="24"/>
          <w:szCs w:val="24"/>
          <w:lang w:eastAsia="es-MX"/>
        </w:rPr>
      </w:pPr>
    </w:p>
    <w:p w:rsidR="003C3066" w:rsidRPr="003C3066" w:rsidRDefault="003C3066" w:rsidP="003C3066">
      <w:pPr>
        <w:spacing w:after="0" w:line="360" w:lineRule="auto"/>
        <w:jc w:val="both"/>
        <w:rPr>
          <w:rFonts w:ascii="Times New Roman" w:eastAsia="Times New Roman" w:hAnsi="Times New Roman" w:cs="Times New Roman"/>
          <w:sz w:val="24"/>
          <w:szCs w:val="24"/>
          <w:lang w:eastAsia="es-MX"/>
        </w:rPr>
      </w:pPr>
      <w:r w:rsidRPr="003C3066">
        <w:rPr>
          <w:rFonts w:ascii="Palatino Linotype" w:eastAsia="Times New Roman" w:hAnsi="Palatino Linotype" w:cs="Times New Roman"/>
          <w:sz w:val="24"/>
          <w:szCs w:val="24"/>
          <w:lang w:eastAsia="es-MX"/>
        </w:rPr>
        <w:t xml:space="preserve">Primeramente es necesario señalar que en los motivos de inconformidad la </w:t>
      </w:r>
      <w:r w:rsidRPr="003C3066">
        <w:rPr>
          <w:rFonts w:ascii="Palatino Linotype" w:eastAsia="Times New Roman" w:hAnsi="Palatino Linotype" w:cs="Times New Roman"/>
          <w:b/>
          <w:sz w:val="24"/>
          <w:szCs w:val="24"/>
          <w:lang w:eastAsia="es-MX"/>
        </w:rPr>
        <w:t>RECURRENTE</w:t>
      </w:r>
      <w:r w:rsidRPr="003C3066">
        <w:rPr>
          <w:rFonts w:ascii="Palatino Linotype" w:eastAsia="Times New Roman" w:hAnsi="Palatino Linotype" w:cs="Times New Roman"/>
          <w:sz w:val="24"/>
          <w:szCs w:val="24"/>
          <w:lang w:eastAsia="es-MX"/>
        </w:rPr>
        <w:t xml:space="preserve"> manifiesta: </w:t>
      </w:r>
      <w:r w:rsidRPr="003C3066">
        <w:rPr>
          <w:rFonts w:ascii="Palatino Linotype" w:eastAsia="Times New Roman" w:hAnsi="Palatino Linotype" w:cs="Times New Roman"/>
          <w:bCs/>
          <w:i/>
          <w:iCs/>
          <w:sz w:val="24"/>
          <w:szCs w:val="24"/>
          <w:lang w:eastAsia="es-MX"/>
        </w:rPr>
        <w:t>“El contenido de esta solicitud de transparencia con folio 00273/CHALCO/IP/2022 eran 15 preguntas</w:t>
      </w:r>
      <w:r w:rsidRPr="003C3066">
        <w:rPr>
          <w:rFonts w:ascii="Palatino Linotype" w:eastAsia="Times New Roman" w:hAnsi="Palatino Linotype" w:cs="Times New Roman"/>
          <w:b/>
          <w:bCs/>
          <w:i/>
          <w:iCs/>
          <w:sz w:val="24"/>
          <w:szCs w:val="24"/>
          <w:lang w:eastAsia="es-MX"/>
        </w:rPr>
        <w:t xml:space="preserve">, </w:t>
      </w:r>
      <w:r w:rsidRPr="003C3066">
        <w:rPr>
          <w:rFonts w:ascii="Palatino Linotype" w:eastAsia="Times New Roman" w:hAnsi="Palatino Linotype" w:cs="Times New Roman"/>
          <w:b/>
          <w:bCs/>
          <w:i/>
          <w:iCs/>
          <w:sz w:val="24"/>
          <w:szCs w:val="24"/>
          <w:u w:val="single"/>
          <w:lang w:eastAsia="es-MX"/>
        </w:rPr>
        <w:t>de las cuales algunas tuvieron una respuesta satisfactoria, la cual agradezco mucho, no obstante las primeras ocho preguntas expuestas en la solicitud fueron ignoradas…”</w:t>
      </w:r>
      <w:r w:rsidRPr="003C3066">
        <w:rPr>
          <w:rFonts w:ascii="Palatino Linotype" w:eastAsia="Times New Roman" w:hAnsi="Palatino Linotype" w:cs="Times New Roman"/>
          <w:bCs/>
          <w:i/>
          <w:iCs/>
          <w:sz w:val="24"/>
          <w:szCs w:val="24"/>
          <w:lang w:eastAsia="es-MX"/>
        </w:rPr>
        <w:t>(Sic)</w:t>
      </w:r>
      <w:r w:rsidRPr="003C3066">
        <w:rPr>
          <w:rFonts w:ascii="Palatino Linotype" w:eastAsia="Times New Roman" w:hAnsi="Palatino Linotype" w:cs="Times New Roman"/>
          <w:sz w:val="24"/>
          <w:szCs w:val="24"/>
          <w:lang w:eastAsia="es-MX"/>
        </w:rPr>
        <w:t xml:space="preserve">, por lo que se tiene que no fue impugnada en su totalidad, consecuentemente deben declararse consentidas las preguntas enumeradas de la 9 a la 15, toda vez que, al no haber realizado manifestaciones de inconformidad al respecto, se infiere que la información proporcionada por el </w:t>
      </w:r>
      <w:r w:rsidRPr="003C3066">
        <w:rPr>
          <w:rFonts w:ascii="Palatino Linotype" w:eastAsia="Times New Roman" w:hAnsi="Palatino Linotype" w:cs="Times New Roman"/>
          <w:b/>
          <w:bCs/>
          <w:sz w:val="24"/>
          <w:szCs w:val="24"/>
          <w:lang w:eastAsia="es-MX"/>
        </w:rPr>
        <w:t>SUJETO OBLIGADO</w:t>
      </w:r>
      <w:r w:rsidRPr="003C3066">
        <w:rPr>
          <w:rFonts w:ascii="Palatino Linotype" w:eastAsia="Times New Roman" w:hAnsi="Palatino Linotype" w:cs="Times New Roman"/>
          <w:sz w:val="24"/>
          <w:szCs w:val="24"/>
          <w:lang w:eastAsia="es-MX"/>
        </w:rPr>
        <w:t>, satisface este punto de la solicitud presentada.</w:t>
      </w:r>
    </w:p>
    <w:p w:rsidR="003C3066" w:rsidRPr="003C3066" w:rsidRDefault="003C3066" w:rsidP="003C3066">
      <w:pPr>
        <w:spacing w:after="0" w:line="360" w:lineRule="auto"/>
        <w:jc w:val="both"/>
        <w:rPr>
          <w:rFonts w:ascii="Times New Roman" w:eastAsia="Times New Roman" w:hAnsi="Times New Roman" w:cs="Times New Roman"/>
          <w:sz w:val="24"/>
          <w:szCs w:val="24"/>
          <w:lang w:eastAsia="es-MX"/>
        </w:rPr>
      </w:pPr>
      <w:r w:rsidRPr="003C3066">
        <w:rPr>
          <w:rFonts w:ascii="Palatino Linotype" w:eastAsia="Times New Roman" w:hAnsi="Palatino Linotype" w:cs="Times New Roman"/>
          <w:sz w:val="24"/>
          <w:szCs w:val="24"/>
          <w:lang w:eastAsia="es-MX"/>
        </w:rPr>
        <w:t xml:space="preserve">Lo anterior es así, debido a que cuando un </w:t>
      </w:r>
      <w:r w:rsidRPr="003C3066">
        <w:rPr>
          <w:rFonts w:ascii="Palatino Linotype" w:eastAsia="Times New Roman" w:hAnsi="Palatino Linotype" w:cs="Times New Roman"/>
          <w:bCs/>
          <w:sz w:val="24"/>
          <w:szCs w:val="24"/>
          <w:lang w:eastAsia="es-MX"/>
        </w:rPr>
        <w:t>Recurrente</w:t>
      </w:r>
      <w:r w:rsidRPr="003C3066">
        <w:rPr>
          <w:rFonts w:ascii="Palatino Linotype" w:eastAsia="Times New Roman" w:hAnsi="Palatino Linotype" w:cs="Times New Roman"/>
          <w:sz w:val="24"/>
          <w:szCs w:val="24"/>
          <w:lang w:eastAsia="es-MX"/>
        </w:rPr>
        <w:t xml:space="preserve"> impugna la respuesta del </w:t>
      </w:r>
      <w:r w:rsidRPr="003C3066">
        <w:rPr>
          <w:rFonts w:ascii="Palatino Linotype" w:eastAsia="Times New Roman" w:hAnsi="Palatino Linotype" w:cs="Times New Roman"/>
          <w:bCs/>
          <w:sz w:val="24"/>
          <w:szCs w:val="24"/>
          <w:lang w:eastAsia="es-MX"/>
        </w:rPr>
        <w:t>Sujeto Obligado</w:t>
      </w:r>
      <w:r w:rsidRPr="003C3066">
        <w:rPr>
          <w:rFonts w:ascii="Palatino Linotype" w:eastAsia="Times New Roman" w:hAnsi="Palatino Linotype" w:cs="Times New Roman"/>
          <w:sz w:val="24"/>
          <w:szCs w:val="24"/>
          <w:lang w:eastAsia="es-MX"/>
        </w:rPr>
        <w:t xml:space="preserve">, y este no expresa Razón o Motivo de Inconformidad en contra de todos los rubros solicitados, dichos rubros deben declararse atendidos, pues se entiende que </w:t>
      </w:r>
      <w:r w:rsidRPr="003C3066">
        <w:rPr>
          <w:rFonts w:ascii="Palatino Linotype" w:eastAsia="Times New Roman" w:hAnsi="Palatino Linotype" w:cs="Times New Roman"/>
          <w:bCs/>
          <w:sz w:val="24"/>
          <w:szCs w:val="24"/>
          <w:lang w:eastAsia="es-MX"/>
        </w:rPr>
        <w:t>el Recurrente</w:t>
      </w:r>
      <w:r w:rsidRPr="003C3066">
        <w:rPr>
          <w:rFonts w:ascii="Palatino Linotype" w:eastAsia="Times New Roman" w:hAnsi="Palatino Linotype" w:cs="Times New Roman"/>
          <w:sz w:val="24"/>
          <w:szCs w:val="24"/>
          <w:lang w:eastAsia="es-MX"/>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3C3066" w:rsidRPr="003C3066" w:rsidRDefault="003C3066" w:rsidP="003C3066">
      <w:pPr>
        <w:spacing w:after="0" w:line="276" w:lineRule="auto"/>
        <w:ind w:left="851" w:right="900"/>
        <w:jc w:val="both"/>
        <w:rPr>
          <w:rFonts w:ascii="Palatino Linotype" w:eastAsia="Times New Roman" w:hAnsi="Palatino Linotype" w:cs="Times New Roman"/>
          <w:b/>
          <w:bCs/>
          <w:i/>
          <w:iCs/>
          <w:lang w:eastAsia="es-MX"/>
        </w:rPr>
      </w:pPr>
    </w:p>
    <w:p w:rsidR="003C3066" w:rsidRPr="003C3066" w:rsidRDefault="003C3066" w:rsidP="003C3066">
      <w:pPr>
        <w:spacing w:after="0" w:line="276" w:lineRule="auto"/>
        <w:ind w:left="851" w:right="900"/>
        <w:jc w:val="both"/>
        <w:rPr>
          <w:rFonts w:ascii="Times New Roman" w:eastAsia="Times New Roman" w:hAnsi="Times New Roman" w:cs="Times New Roman"/>
          <w:sz w:val="24"/>
          <w:szCs w:val="24"/>
          <w:lang w:eastAsia="es-MX"/>
        </w:rPr>
      </w:pPr>
      <w:r w:rsidRPr="003C3066">
        <w:rPr>
          <w:rFonts w:ascii="Palatino Linotype" w:eastAsia="Times New Roman" w:hAnsi="Palatino Linotype" w:cs="Times New Roman"/>
          <w:b/>
          <w:bCs/>
          <w:i/>
          <w:iCs/>
          <w:lang w:eastAsia="es-MX"/>
        </w:rPr>
        <w:t xml:space="preserve">“REVISIÓN EN AMPARO. LOS RESOLUTIVOS NO COMBATIDOS DEBEN DECLARARSE FIRMES. </w:t>
      </w:r>
      <w:r w:rsidRPr="003C3066">
        <w:rPr>
          <w:rFonts w:ascii="Palatino Linotype" w:eastAsia="Times New Roman" w:hAnsi="Palatino Linotype" w:cs="Times New Roman"/>
          <w:i/>
          <w:iCs/>
          <w:lang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C3066" w:rsidRPr="003C3066" w:rsidRDefault="003C3066" w:rsidP="003C3066">
      <w:pPr>
        <w:spacing w:after="0" w:line="360" w:lineRule="auto"/>
        <w:jc w:val="both"/>
        <w:rPr>
          <w:rFonts w:ascii="Palatino Linotype" w:eastAsia="Times New Roman" w:hAnsi="Palatino Linotype" w:cs="Times New Roman"/>
          <w:sz w:val="24"/>
          <w:szCs w:val="24"/>
          <w:lang w:eastAsia="es-MX"/>
        </w:rPr>
      </w:pPr>
    </w:p>
    <w:p w:rsidR="003C3066" w:rsidRPr="003C3066" w:rsidRDefault="003C3066" w:rsidP="003C3066">
      <w:pPr>
        <w:spacing w:after="0" w:line="360" w:lineRule="auto"/>
        <w:jc w:val="both"/>
        <w:rPr>
          <w:rFonts w:ascii="Times New Roman" w:eastAsia="Times New Roman" w:hAnsi="Times New Roman" w:cs="Times New Roman"/>
          <w:sz w:val="24"/>
          <w:szCs w:val="24"/>
          <w:lang w:eastAsia="es-MX"/>
        </w:rPr>
      </w:pPr>
      <w:r w:rsidRPr="003C3066">
        <w:rPr>
          <w:rFonts w:ascii="Palatino Linotype" w:eastAsia="Times New Roman" w:hAnsi="Palatino Linotype" w:cs="Times New Roman"/>
          <w:sz w:val="24"/>
          <w:szCs w:val="24"/>
          <w:lang w:eastAsia="es-MX"/>
        </w:rPr>
        <w:t xml:space="preserve">Consecuentemente, se reitera que la parte de la solicitud que no fue impugnada debe declararse consentida por </w:t>
      </w:r>
      <w:r w:rsidRPr="003C3066">
        <w:rPr>
          <w:rFonts w:ascii="Palatino Linotype" w:eastAsia="Times New Roman" w:hAnsi="Palatino Linotype" w:cs="Times New Roman"/>
          <w:b/>
          <w:bCs/>
          <w:sz w:val="24"/>
          <w:szCs w:val="24"/>
          <w:lang w:eastAsia="es-MX"/>
        </w:rPr>
        <w:t>la RECURRENTE</w:t>
      </w:r>
      <w:r w:rsidRPr="003C3066">
        <w:rPr>
          <w:rFonts w:ascii="Palatino Linotype" w:eastAsia="Times New Roman" w:hAnsi="Palatino Linotype" w:cs="Times New Roman"/>
          <w:sz w:val="24"/>
          <w:szCs w:val="24"/>
          <w:lang w:eastAsia="es-MX"/>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3C3066" w:rsidRPr="003C3066" w:rsidRDefault="003C3066" w:rsidP="003C3066">
      <w:pPr>
        <w:spacing w:after="0" w:line="360" w:lineRule="auto"/>
        <w:jc w:val="both"/>
        <w:rPr>
          <w:rFonts w:ascii="Times New Roman" w:eastAsia="Times New Roman" w:hAnsi="Times New Roman" w:cs="Times New Roman"/>
          <w:sz w:val="24"/>
          <w:szCs w:val="24"/>
          <w:lang w:eastAsia="es-MX"/>
        </w:rPr>
      </w:pPr>
      <w:r w:rsidRPr="003C3066">
        <w:rPr>
          <w:rFonts w:ascii="Palatino Linotype" w:eastAsia="Times New Roman" w:hAnsi="Palatino Linotype" w:cs="Times New Roman"/>
          <w:sz w:val="24"/>
          <w:szCs w:val="24"/>
          <w:lang w:eastAsia="es-MX"/>
        </w:rPr>
        <w:t>Sirve de sustento a lo anterior por analogía la tesis jurisprudencial número VI.3o.C. J/60, publicada en el Semanario Judicial de la Federación y su Gaceta bajo el número de registro 176,608 que a la letra dice:</w:t>
      </w:r>
    </w:p>
    <w:p w:rsidR="003C3066" w:rsidRPr="003C3066" w:rsidRDefault="003C3066" w:rsidP="003C3066">
      <w:pPr>
        <w:spacing w:after="0" w:line="276" w:lineRule="auto"/>
        <w:ind w:left="851" w:right="900"/>
        <w:jc w:val="both"/>
        <w:rPr>
          <w:rFonts w:ascii="Times New Roman" w:eastAsia="Times New Roman" w:hAnsi="Times New Roman" w:cs="Times New Roman"/>
          <w:sz w:val="24"/>
          <w:szCs w:val="24"/>
          <w:lang w:eastAsia="es-MX"/>
        </w:rPr>
      </w:pPr>
      <w:r w:rsidRPr="003C3066">
        <w:rPr>
          <w:rFonts w:ascii="Palatino Linotype" w:eastAsia="Times New Roman" w:hAnsi="Palatino Linotype" w:cs="Times New Roman"/>
          <w:b/>
          <w:bCs/>
          <w:i/>
          <w:iCs/>
          <w:smallCaps/>
          <w:lang w:eastAsia="es-MX"/>
        </w:rPr>
        <w:t xml:space="preserve">“ACTOS CONSENTIDOS. SON LOS QUE NO SE IMPUGNAN MEDIANTE EL RECURSO IDÓNEO. </w:t>
      </w:r>
      <w:r w:rsidRPr="003C3066">
        <w:rPr>
          <w:rFonts w:ascii="Palatino Linotype" w:eastAsia="Times New Roman" w:hAnsi="Palatino Linotype" w:cs="Times New Roman"/>
          <w:i/>
          <w:iCs/>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lo que en este sentido, del análisis de las constancias que obran el SAIMEX, se advierte que efectivamente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proporcionó respuesta a partir de la pregunta identificada con el numeral nueve, sin emitir algún pronunciamiento de los primeros ocho cuestionamientos, motivo por el que se entrará al estudio de los numerales siguientes:</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“1. Solicito saber si los miembros del Ayuntamiento y los directores son titulados de alguna carrera, si es así, especificar nombre, número de cédula profesional, carrera y universidad donde se realizaron dichos estudios.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2. ¿Cuáles son los listados de los beneficiarios de programas sociales? Y ¿Qué estudios socioeconómicos se les aplicaron? Solicito copia del formato de estudio socioeconómico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3. Solicito saber cuáles bienes inmuebles ha adquirido el ayuntamiento, ¿cuál fue el costo de estos de enero del 2021 a la fecha? ¿Cuándo fueron ingresados al patrimonio municipal? Solicito copia de las actas y contratos</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 4. ¿Qué bienes se han dado de baja del patrimonio municipal desde enero de 2022? Especificando cada bien y motivos de la baja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5. ¿Qué obras públicas se ha realizado de enero del 2022 a la fecha? ¿</w:t>
      </w:r>
      <w:proofErr w:type="gramStart"/>
      <w:r w:rsidRPr="003C3066">
        <w:rPr>
          <w:rFonts w:ascii="Palatino Linotype" w:eastAsia="Palatino Linotype" w:hAnsi="Palatino Linotype" w:cs="Palatino Linotype"/>
          <w:i/>
          <w:szCs w:val="24"/>
          <w:lang w:eastAsia="es-MX"/>
        </w:rPr>
        <w:t>cómo</w:t>
      </w:r>
      <w:proofErr w:type="gramEnd"/>
      <w:r w:rsidRPr="003C3066">
        <w:rPr>
          <w:rFonts w:ascii="Palatino Linotype" w:eastAsia="Palatino Linotype" w:hAnsi="Palatino Linotype" w:cs="Palatino Linotype"/>
          <w:i/>
          <w:szCs w:val="24"/>
          <w:lang w:eastAsia="es-MX"/>
        </w:rPr>
        <w:t xml:space="preserve"> fue el proceso de licitación para la realización de la misma y que costo tuvo cada obra?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6. ¿Qué bienes inmuebles renta el h. ayuntamiento y que costo mensual tienen? Copia del contrato</w:t>
      </w:r>
      <w:proofErr w:type="gramStart"/>
      <w:r w:rsidRPr="003C3066">
        <w:rPr>
          <w:rFonts w:ascii="Palatino Linotype" w:eastAsia="Palatino Linotype" w:hAnsi="Palatino Linotype" w:cs="Palatino Linotype"/>
          <w:i/>
          <w:szCs w:val="24"/>
          <w:lang w:eastAsia="es-MX"/>
        </w:rPr>
        <w:t>?</w:t>
      </w:r>
      <w:proofErr w:type="gramEnd"/>
      <w:r w:rsidRPr="003C3066">
        <w:rPr>
          <w:rFonts w:ascii="Palatino Linotype" w:eastAsia="Palatino Linotype" w:hAnsi="Palatino Linotype" w:cs="Palatino Linotype"/>
          <w:i/>
          <w:szCs w:val="24"/>
          <w:lang w:eastAsia="es-MX"/>
        </w:rPr>
        <w:t xml:space="preserve">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7. ¿Qué vehículos fueron adquiridos de enero del 2022 a la fecha? qué uso se les atribuye a los mismos y el costo que estos generan</w:t>
      </w:r>
      <w:proofErr w:type="gramStart"/>
      <w:r w:rsidRPr="003C3066">
        <w:rPr>
          <w:rFonts w:ascii="Palatino Linotype" w:eastAsia="Palatino Linotype" w:hAnsi="Palatino Linotype" w:cs="Palatino Linotype"/>
          <w:i/>
          <w:szCs w:val="24"/>
          <w:lang w:eastAsia="es-MX"/>
        </w:rPr>
        <w:t>?</w:t>
      </w:r>
      <w:proofErr w:type="gramEnd"/>
      <w:r w:rsidRPr="003C3066">
        <w:rPr>
          <w:rFonts w:ascii="Palatino Linotype" w:eastAsia="Palatino Linotype" w:hAnsi="Palatino Linotype" w:cs="Palatino Linotype"/>
          <w:i/>
          <w:szCs w:val="24"/>
          <w:lang w:eastAsia="es-MX"/>
        </w:rPr>
        <w:t xml:space="preserve">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8. ¿Cuándo se instaló el consejo de planeación y desarrollo municipal (COPLAMUN)? </w:t>
      </w:r>
    </w:p>
    <w:p w:rsidR="003C3066" w:rsidRPr="003C3066" w:rsidRDefault="003C3066" w:rsidP="003C3066">
      <w:pPr>
        <w:spacing w:after="0" w:line="276" w:lineRule="auto"/>
        <w:ind w:left="1134" w:right="900"/>
        <w:jc w:val="both"/>
        <w:rPr>
          <w:rFonts w:ascii="Palatino Linotype" w:eastAsia="Palatino Linotype" w:hAnsi="Palatino Linotype" w:cs="Palatino Linotype"/>
          <w:i/>
          <w:szCs w:val="24"/>
          <w:lang w:eastAsia="es-MX"/>
        </w:rPr>
      </w:pPr>
    </w:p>
    <w:p w:rsidR="003C3066" w:rsidRPr="003C3066" w:rsidRDefault="003C3066" w:rsidP="003C3066">
      <w:pPr>
        <w:spacing w:after="0" w:line="360" w:lineRule="auto"/>
        <w:ind w:right="49"/>
        <w:jc w:val="both"/>
        <w:rPr>
          <w:rFonts w:ascii="Palatino Linotype" w:eastAsia="Times New Roman" w:hAnsi="Palatino Linotype" w:cs="Times New Roman"/>
          <w:sz w:val="24"/>
          <w:szCs w:val="24"/>
          <w:lang w:eastAsia="es-MX"/>
        </w:rPr>
      </w:pPr>
      <w:r w:rsidRPr="003C3066">
        <w:rPr>
          <w:rFonts w:ascii="Palatino Linotype" w:eastAsia="Times New Roman" w:hAnsi="Palatino Linotype" w:cs="Times New Roman"/>
          <w:sz w:val="24"/>
          <w:szCs w:val="24"/>
          <w:lang w:eastAsia="es-MX"/>
        </w:rPr>
        <w:t>Dicho lo anterior, resulta procedente realizar el estudio de los requerimientos del solicitante, al tenor de lo siguiente:</w:t>
      </w:r>
    </w:p>
    <w:p w:rsidR="003C3066" w:rsidRPr="003C3066" w:rsidRDefault="003C3066" w:rsidP="003C3066">
      <w:pPr>
        <w:spacing w:after="0" w:line="360" w:lineRule="auto"/>
        <w:ind w:right="49"/>
        <w:jc w:val="both"/>
        <w:rPr>
          <w:rFonts w:ascii="Times New Roman" w:eastAsia="Times New Roman" w:hAnsi="Times New Roman" w:cs="Times New Roman"/>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sz w:val="24"/>
          <w:szCs w:val="24"/>
          <w:lang w:eastAsia="es-MX"/>
        </w:rPr>
        <w:t>•</w:t>
      </w:r>
      <w:r w:rsidRPr="003C3066">
        <w:rPr>
          <w:rFonts w:ascii="Palatino Linotype" w:eastAsia="Palatino Linotype" w:hAnsi="Palatino Linotype" w:cs="Palatino Linotype"/>
          <w:sz w:val="24"/>
          <w:szCs w:val="24"/>
          <w:lang w:eastAsia="es-MX"/>
        </w:rPr>
        <w:tab/>
      </w:r>
      <w:r w:rsidRPr="003C3066">
        <w:rPr>
          <w:rFonts w:ascii="Palatino Linotype" w:eastAsia="Palatino Linotype" w:hAnsi="Palatino Linotype" w:cs="Palatino Linotype"/>
          <w:b/>
          <w:sz w:val="24"/>
          <w:szCs w:val="24"/>
          <w:lang w:eastAsia="es-MX"/>
        </w:rPr>
        <w:t xml:space="preserve">De los servidores públicos adscritos al Ayuntamiento. </w:t>
      </w:r>
    </w:p>
    <w:p w:rsidR="003C3066" w:rsidRPr="003C3066" w:rsidRDefault="003C3066" w:rsidP="003C3066">
      <w:pPr>
        <w:spacing w:after="0" w:line="360" w:lineRule="auto"/>
        <w:ind w:right="49"/>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relación con este punto, es necesario recordar que el Particular solicitó </w:t>
      </w:r>
      <w:r w:rsidRPr="003C3066">
        <w:rPr>
          <w:rFonts w:ascii="Palatino Linotype" w:eastAsia="Palatino Linotype" w:hAnsi="Palatino Linotype" w:cs="Palatino Linotype"/>
          <w:b/>
          <w:sz w:val="24"/>
          <w:szCs w:val="24"/>
          <w:u w:val="single"/>
          <w:lang w:eastAsia="es-MX"/>
        </w:rPr>
        <w:t>conocer si los miembros del Ayuntamiento y los Directores son titulados de alguna carrera, y en caso de ser así, obtener el nombre, número de cédula profesional, carrera y universidad donde se realizaron los estudios.</w:t>
      </w: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En ese sentido, de conformidad con lo que establece el Bando Municipal de Chalco, en sus artículos 2, fracciones IV  y V, y 28, el ayuntamiento es un órgano colegiado integrado por un Presidente, Síndico y Regidores, que para su adecuado funcionamiento de auxiliarán de diversas unidades administrativas, como a continuación se observa:</w:t>
      </w:r>
    </w:p>
    <w:p w:rsidR="003C3066" w:rsidRPr="003C3066" w:rsidRDefault="003C3066" w:rsidP="003C3066">
      <w:pPr>
        <w:spacing w:after="0" w:line="360" w:lineRule="auto"/>
        <w:ind w:right="900"/>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ARTÍCULO 2.- Para efectos del presente Bando, se entenderá por:</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IV. Ayuntamiento: El órgano de gobierno colegiado integrado por el ejecutivo municipal, síndica municipal y cuerpo de regidores;</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V. Administración Pública Municipal: Conjunto de direcciones, dependencias, organismos o unidades administrativas, encargadas de la ejecución de las acciones contenidas en el Plan de Desarrollo municipal, cuyos titulares guardan una relación de subordinación al titular del ejecutivo municipal; …</w:t>
      </w:r>
    </w:p>
    <w:p w:rsidR="003C3066" w:rsidRPr="003C3066" w:rsidRDefault="003C3066" w:rsidP="003C3066">
      <w:pPr>
        <w:spacing w:after="0" w:line="276" w:lineRule="auto"/>
        <w:ind w:right="900"/>
        <w:jc w:val="both"/>
        <w:rPr>
          <w:rFonts w:ascii="Palatino Linotype" w:eastAsia="Palatino Linotype" w:hAnsi="Palatino Linotype" w:cs="Palatino Linotype"/>
          <w:i/>
          <w:lang w:eastAsia="es-MX"/>
        </w:rPr>
      </w:pPr>
    </w:p>
    <w:p w:rsidR="003C3066" w:rsidRPr="003C3066" w:rsidRDefault="003C3066" w:rsidP="003C3066">
      <w:pPr>
        <w:spacing w:after="0" w:line="276" w:lineRule="auto"/>
        <w:ind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ARTÍCULO 28.-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Órgano Autónomo, siguientes:</w:t>
      </w:r>
    </w:p>
    <w:p w:rsidR="003C3066" w:rsidRPr="003C3066" w:rsidRDefault="003C3066" w:rsidP="003C3066">
      <w:pPr>
        <w:spacing w:after="0" w:line="276" w:lineRule="auto"/>
        <w:ind w:right="900"/>
        <w:jc w:val="both"/>
        <w:rPr>
          <w:rFonts w:ascii="Palatino Linotype" w:eastAsia="Palatino Linotype" w:hAnsi="Palatino Linotype" w:cs="Palatino Linotype"/>
          <w:i/>
          <w:lang w:eastAsia="es-MX"/>
        </w:rPr>
      </w:pPr>
    </w:p>
    <w:p w:rsidR="003C3066" w:rsidRPr="003C3066" w:rsidRDefault="003C3066" w:rsidP="003C3066">
      <w:pPr>
        <w:spacing w:after="0" w:line="276" w:lineRule="auto"/>
        <w:ind w:left="567" w:right="900"/>
        <w:jc w:val="both"/>
        <w:rPr>
          <w:rFonts w:ascii="Palatino Linotype" w:eastAsia="Palatino Linotype" w:hAnsi="Palatino Linotype" w:cs="Palatino Linotype"/>
          <w:b/>
          <w:i/>
          <w:lang w:eastAsia="es-MX"/>
        </w:rPr>
      </w:pPr>
      <w:r w:rsidRPr="003C3066">
        <w:rPr>
          <w:rFonts w:ascii="Palatino Linotype" w:eastAsia="Palatino Linotype" w:hAnsi="Palatino Linotype" w:cs="Palatino Linotype"/>
          <w:b/>
          <w:i/>
          <w:lang w:eastAsia="es-MX"/>
        </w:rPr>
        <w:t>1. Áreas Centralizadas:</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a) Secretaría del Ayuntamiento;</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b) Secretaría Técnica Administrativa;</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c) Contraloría Municipal, y</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d) Tesorería Municipal.</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b/>
          <w:i/>
          <w:lang w:eastAsia="es-MX"/>
        </w:rPr>
        <w:t>2. Direcciones</w:t>
      </w:r>
      <w:r w:rsidRPr="003C3066">
        <w:rPr>
          <w:rFonts w:ascii="Palatino Linotype" w:eastAsia="Palatino Linotype" w:hAnsi="Palatino Linotype" w:cs="Palatino Linotype"/>
          <w:i/>
          <w:lang w:eastAsia="es-MX"/>
        </w:rPr>
        <w:t>:</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a) Dirección de Administración;</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b) Dirección de Obras Públicas;</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c) Dirección de Desarrollo Económico;</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d) Dirección de Desarrollo Urbano;</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e) Dirección de Ecología;</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f) Dirección de Seguridad Pública, Tránsito y Bomberos;</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g) Dirección de Innovación Gubernamental;</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h) Dirección de Gobierno;</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i) Dirección Jurídica;</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j) Dirección de Bienestar;</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k) Dirección de Educación;</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l) Dirección de Cultura;</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m) Dirección de Comercio, y</w:t>
      </w:r>
    </w:p>
    <w:p w:rsidR="003C3066" w:rsidRPr="003C3066" w:rsidRDefault="003C3066" w:rsidP="003C3066">
      <w:pPr>
        <w:spacing w:after="0" w:line="276" w:lineRule="auto"/>
        <w:ind w:left="567" w:right="90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n) Dirección de Servicios Públicos.</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En el caso que ahora nos ocupa, toda vez que la pretensión del Particular es obtener información relacionada con la preparación académica de los miembros del Ayuntamiento, así como los titulares de las Direcciones que lo auxilian, resulta importante contextualizar la naturaleza de estos cargos, conforme a lo siguiente:</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2"/>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De los cargos de elección popular. </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acuerdo con el Sistema de Información Legislativa de la Secretaría de Gobernación (consultado en </w:t>
      </w:r>
      <w:hyperlink r:id="rId16">
        <w:r w:rsidRPr="003C3066">
          <w:rPr>
            <w:rFonts w:ascii="Palatino Linotype" w:eastAsia="Palatino Linotype" w:hAnsi="Palatino Linotype" w:cs="Palatino Linotype"/>
            <w:sz w:val="24"/>
            <w:szCs w:val="24"/>
            <w:u w:val="single"/>
            <w:lang w:eastAsia="es-MX"/>
          </w:rPr>
          <w:t>http://sil.gobernacion.gob.mx/Glosario/definicionpop.php?ID=31</w:t>
        </w:r>
      </w:hyperlink>
      <w:r w:rsidRPr="003C3066">
        <w:rPr>
          <w:rFonts w:ascii="Palatino Linotype" w:eastAsia="Palatino Linotype" w:hAnsi="Palatino Linotype" w:cs="Palatino Linotype"/>
          <w:sz w:val="24"/>
          <w:szCs w:val="24"/>
          <w:lang w:eastAsia="es-MX"/>
        </w:rPr>
        <w:t xml:space="preserve">),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lo que, de conformidad con el artículo 119 de la Constitución Política del Estado Libre y Soberano de México, para ser miembro propietario o suplente de un ayuntamiento se requiere: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Artículo 119.- Para ser miembro propietario o suplente de un ayuntamiento se requiere:</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 Ser mexicano por nacimiento, ciudadano del Estado, en pleno ejercicio de sus derechos;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II. Ser mexiquense con residencia efectiva en el municipio no menor a un año o vecino del mismo, con residencia efectiva en su territorio no menor a tres años, anteriores al día de la elección; y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III. Ser de reconocida probidad y buena fama pública.</w:t>
      </w:r>
    </w:p>
    <w:p w:rsidR="003C3066" w:rsidRPr="003C3066" w:rsidRDefault="003C3066" w:rsidP="003C3066">
      <w:pPr>
        <w:spacing w:after="0" w:line="360" w:lineRule="auto"/>
        <w:ind w:right="49"/>
        <w:jc w:val="both"/>
        <w:rPr>
          <w:rFonts w:ascii="Palatino Linotype" w:eastAsia="Palatino Linotype" w:hAnsi="Palatino Linotype" w:cs="Palatino Linotype"/>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su parte, para ser miembro del Ayuntamiento, la Constitución Política únicamente, refiere lo siguiente: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114.-</w:t>
      </w:r>
      <w:r w:rsidRPr="003C3066">
        <w:rPr>
          <w:rFonts w:ascii="Palatino Linotype" w:eastAsia="Palatino Linotype" w:hAnsi="Palatino Linotype" w:cs="Palatino Linotype"/>
          <w:i/>
          <w:szCs w:val="24"/>
          <w:lang w:eastAsia="es-MX"/>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b/>
          <w:sz w:val="24"/>
          <w:szCs w:val="24"/>
          <w:u w:val="single"/>
          <w:lang w:eastAsia="es-MX"/>
        </w:rPr>
      </w:pPr>
      <w:r w:rsidRPr="003C3066">
        <w:rPr>
          <w:rFonts w:ascii="Palatino Linotype" w:eastAsia="Palatino Linotype" w:hAnsi="Palatino Linotype" w:cs="Palatino Linotype"/>
          <w:sz w:val="24"/>
          <w:szCs w:val="24"/>
          <w:lang w:eastAsia="es-MX"/>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de síndicos y regidores, no se requiere algún requisito, más que haber sido electo mediante sufragio, por lo que, </w:t>
      </w:r>
      <w:r w:rsidRPr="003C3066">
        <w:rPr>
          <w:rFonts w:ascii="Palatino Linotype" w:eastAsia="Palatino Linotype" w:hAnsi="Palatino Linotype" w:cs="Palatino Linotype"/>
          <w:b/>
          <w:sz w:val="24"/>
          <w:szCs w:val="24"/>
          <w:u w:val="single"/>
          <w:lang w:eastAsia="es-MX"/>
        </w:rPr>
        <w:t xml:space="preserve">se colige que no es obligatorio que los miembros del Ayuntamiento cuenten con algún grado de estudios y mucho menos, con una cédula profesional.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2"/>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De los titulares de las Direcciones que integran la estructura orgánica.</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Respecto a esto, la Ley del Trabajo de los Servidores Públicos del Estado de México y Municipios, establece que, para ingresar al servicio público, los interesados deben acreditar una serie de requisitos, entre ellos, presentar una solicitud de empleo, no estar inhabilitado para el ejercicio del servicio público, o acreditar los conocimientos y aptitudes necesarios para el desempeño, tal como se observa a continuación: </w:t>
      </w:r>
    </w:p>
    <w:p w:rsidR="003C3066" w:rsidRPr="003C3066" w:rsidRDefault="003C3066" w:rsidP="003C3066">
      <w:pPr>
        <w:spacing w:after="0" w:line="276" w:lineRule="auto"/>
        <w:ind w:left="567" w:right="560"/>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47.</w:t>
      </w:r>
      <w:r w:rsidRPr="003C3066">
        <w:rPr>
          <w:rFonts w:ascii="Palatino Linotype" w:eastAsia="Palatino Linotype" w:hAnsi="Palatino Linotype" w:cs="Palatino Linotype"/>
          <w:i/>
          <w:szCs w:val="24"/>
          <w:lang w:eastAsia="es-MX"/>
        </w:rPr>
        <w:t xml:space="preserve"> Para ingresar al servicio público se requiere: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 Presentar una solicitud utilizando la forma oficial que se autorice por la institución pública o dependencia correspondiente;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II. Ser de nacionalidad mexicana, con la excepción prevista en el artículo 17 de la presente ley;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III. Estar en pleno ejercicio de sus derechos civiles y políticos, en su caso;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IV. Acreditar, cuando proceda, el cumplimiento de la Ley del Servicio Militar Nacional;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 Derogada.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 No haber sido separado anteriormente del servicio por las causas previstas en el artículo 93 de la presente ley;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VII. Tener buena salud, lo que se comprobará con los certificados médicos correspondientes, en la forma en que se establezca en cada institución pública;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VIII. Cumplir con los requisitos que se establezcan para los diferentes puestos;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IX. Acreditar por medio de los exámenes correspondientes los conocimientos y aptitudes necesarios para el desempeño del puesto; y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X. No estar inhabilitado para el ejercicio del servicio público.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XI. Presentar certificado expedido por la Unidad del Registro de Deudores Alimentarios Morosos en el que conste, si se encuentra inscrito o no en el mismo.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otro lado, la Ley Orgánica Municipal del Estado de México, establece en su artículo 32 lo siguiente: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32.</w:t>
      </w:r>
      <w:r w:rsidRPr="003C3066">
        <w:rPr>
          <w:rFonts w:ascii="Palatino Linotype" w:eastAsia="Palatino Linotype" w:hAnsi="Palatino Linotype" w:cs="Palatino Linotype"/>
          <w:i/>
          <w:szCs w:val="24"/>
          <w:lang w:eastAsia="es-MX"/>
        </w:rPr>
        <w:t xml:space="preserve"> Para ocupar las titularidades de la </w:t>
      </w:r>
      <w:r w:rsidRPr="003C3066">
        <w:rPr>
          <w:rFonts w:ascii="Palatino Linotype" w:eastAsia="Palatino Linotype" w:hAnsi="Palatino Linotype" w:cs="Palatino Linotype"/>
          <w:b/>
          <w:i/>
          <w:szCs w:val="24"/>
          <w:u w:val="single"/>
          <w:lang w:eastAsia="es-MX"/>
        </w:rPr>
        <w:t>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w:t>
      </w:r>
      <w:r w:rsidRPr="003C3066">
        <w:rPr>
          <w:rFonts w:ascii="Palatino Linotype" w:eastAsia="Palatino Linotype" w:hAnsi="Palatino Linotype" w:cs="Palatino Linotype"/>
          <w:i/>
          <w:szCs w:val="24"/>
          <w:lang w:eastAsia="es-MX"/>
        </w:rPr>
        <w:t xml:space="preserve">, se deberán satisfacer los siguientes requisitos: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 Ser persona ciudadana del Estado, en pleno uso de sus derechos;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II. No estar inhabilitada o inhabilitado para desempeñar cargo, empleo, o comisión pública;</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u w:val="single"/>
          <w:lang w:eastAsia="es-MX"/>
        </w:rPr>
        <w:t>III. Contar con título profesional</w:t>
      </w:r>
      <w:r w:rsidRPr="003C3066">
        <w:rPr>
          <w:rFonts w:ascii="Palatino Linotype" w:eastAsia="Palatino Linotype" w:hAnsi="Palatino Linotype" w:cs="Palatino Linotype"/>
          <w:i/>
          <w:szCs w:val="24"/>
          <w:lang w:eastAsia="es-MX"/>
        </w:rPr>
        <w:t xml:space="preserve"> o </w:t>
      </w:r>
      <w:r w:rsidRPr="003C3066">
        <w:rPr>
          <w:rFonts w:ascii="Palatino Linotype" w:eastAsia="Palatino Linotype" w:hAnsi="Palatino Linotype" w:cs="Palatino Linotype"/>
          <w:b/>
          <w:i/>
          <w:szCs w:val="24"/>
          <w:u w:val="single"/>
          <w:lang w:eastAsia="es-MX"/>
        </w:rPr>
        <w:t>acreditar experiencia mínima de un año en la materia, ante la o el Presidente o el Ayuntamiento, cuando sea el caso</w:t>
      </w:r>
      <w:r w:rsidRPr="003C3066">
        <w:rPr>
          <w:rFonts w:ascii="Palatino Linotype" w:eastAsia="Palatino Linotype" w:hAnsi="Palatino Linotype" w:cs="Palatino Linotype"/>
          <w:i/>
          <w:szCs w:val="24"/>
          <w:lang w:eastAsia="es-MX"/>
        </w:rPr>
        <w:t xml:space="preserve">, para el desempeño de los cargos que así lo requieran;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 No estar condenada o condenado por sentencia ejecutoriada por el delito de violencia política contra las mujeres en razón de género;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 No estar inscrito en el Registro de Deudores Alimentarios Morosos en el Estado, ni en otra entidad federativa, y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VII. No estar condenada o condenado por sentencia ejecutoriada por delitos de violencia familiar, contra la libertad sexual o de violencia de género.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szCs w:val="24"/>
          <w:lang w:eastAsia="es-MX"/>
        </w:rPr>
      </w:pPr>
      <w:r w:rsidRPr="003C3066">
        <w:rPr>
          <w:rFonts w:ascii="Palatino Linotype" w:eastAsia="Palatino Linotype" w:hAnsi="Palatino Linotype" w:cs="Palatino Linotype"/>
          <w:i/>
          <w:szCs w:val="24"/>
          <w:lang w:eastAsia="es-MX"/>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r w:rsidRPr="003C3066">
        <w:rPr>
          <w:rFonts w:ascii="Times New Roman" w:eastAsia="Times New Roman" w:hAnsi="Times New Roman" w:cs="Times New Roman"/>
          <w:szCs w:val="24"/>
          <w:lang w:eastAsia="es-MX"/>
        </w:rPr>
        <w:t>.</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sentido, resulta necesario traer a colación lo que la Ley en cita establece en sus artículos 92, 96, 96 Ter, 96 </w:t>
      </w:r>
      <w:proofErr w:type="spellStart"/>
      <w:r w:rsidRPr="003C3066">
        <w:rPr>
          <w:rFonts w:ascii="Palatino Linotype" w:eastAsia="Palatino Linotype" w:hAnsi="Palatino Linotype" w:cs="Palatino Linotype"/>
          <w:sz w:val="24"/>
          <w:szCs w:val="24"/>
          <w:lang w:eastAsia="es-MX"/>
        </w:rPr>
        <w:t>Quintus</w:t>
      </w:r>
      <w:proofErr w:type="spellEnd"/>
      <w:r w:rsidRPr="003C3066">
        <w:rPr>
          <w:rFonts w:ascii="Palatino Linotype" w:eastAsia="Palatino Linotype" w:hAnsi="Palatino Linotype" w:cs="Palatino Linotype"/>
          <w:sz w:val="24"/>
          <w:szCs w:val="24"/>
          <w:lang w:eastAsia="es-MX"/>
        </w:rPr>
        <w:t xml:space="preserve">, 96 </w:t>
      </w:r>
      <w:proofErr w:type="spellStart"/>
      <w:r w:rsidRPr="003C3066">
        <w:rPr>
          <w:rFonts w:ascii="Palatino Linotype" w:eastAsia="Palatino Linotype" w:hAnsi="Palatino Linotype" w:cs="Palatino Linotype"/>
          <w:sz w:val="24"/>
          <w:szCs w:val="24"/>
          <w:lang w:eastAsia="es-MX"/>
        </w:rPr>
        <w:t>Septies</w:t>
      </w:r>
      <w:proofErr w:type="spellEnd"/>
      <w:r w:rsidRPr="003C3066">
        <w:rPr>
          <w:rFonts w:ascii="Palatino Linotype" w:eastAsia="Palatino Linotype" w:hAnsi="Palatino Linotype" w:cs="Palatino Linotype"/>
          <w:sz w:val="24"/>
          <w:szCs w:val="24"/>
          <w:lang w:eastAsia="es-MX"/>
        </w:rPr>
        <w:t xml:space="preserve">, 96 </w:t>
      </w:r>
      <w:proofErr w:type="spellStart"/>
      <w:r w:rsidRPr="003C3066">
        <w:rPr>
          <w:rFonts w:ascii="Palatino Linotype" w:eastAsia="Palatino Linotype" w:hAnsi="Palatino Linotype" w:cs="Palatino Linotype"/>
          <w:sz w:val="24"/>
          <w:szCs w:val="24"/>
          <w:lang w:eastAsia="es-MX"/>
        </w:rPr>
        <w:t>Nonies</w:t>
      </w:r>
      <w:proofErr w:type="spellEnd"/>
      <w:r w:rsidRPr="003C3066">
        <w:rPr>
          <w:rFonts w:ascii="Palatino Linotype" w:eastAsia="Palatino Linotype" w:hAnsi="Palatino Linotype" w:cs="Palatino Linotype"/>
          <w:sz w:val="24"/>
          <w:szCs w:val="24"/>
          <w:lang w:eastAsia="es-MX"/>
        </w:rPr>
        <w:t xml:space="preserve">, 96 </w:t>
      </w:r>
      <w:proofErr w:type="spellStart"/>
      <w:r w:rsidRPr="003C3066">
        <w:rPr>
          <w:rFonts w:ascii="Palatino Linotype" w:eastAsia="Palatino Linotype" w:hAnsi="Palatino Linotype" w:cs="Palatino Linotype"/>
          <w:sz w:val="24"/>
          <w:szCs w:val="24"/>
          <w:lang w:eastAsia="es-MX"/>
        </w:rPr>
        <w:t>Undecis</w:t>
      </w:r>
      <w:proofErr w:type="spellEnd"/>
      <w:r w:rsidRPr="003C3066">
        <w:rPr>
          <w:rFonts w:ascii="Palatino Linotype" w:eastAsia="Palatino Linotype" w:hAnsi="Palatino Linotype" w:cs="Palatino Linotype"/>
          <w:sz w:val="24"/>
          <w:szCs w:val="24"/>
          <w:lang w:eastAsia="es-MX"/>
        </w:rPr>
        <w:t xml:space="preserve">, 96 </w:t>
      </w:r>
      <w:proofErr w:type="spellStart"/>
      <w:r w:rsidRPr="003C3066">
        <w:rPr>
          <w:rFonts w:ascii="Palatino Linotype" w:eastAsia="Palatino Linotype" w:hAnsi="Palatino Linotype" w:cs="Palatino Linotype"/>
          <w:sz w:val="24"/>
          <w:szCs w:val="24"/>
          <w:lang w:eastAsia="es-MX"/>
        </w:rPr>
        <w:t>Tercecies</w:t>
      </w:r>
      <w:proofErr w:type="spellEnd"/>
      <w:r w:rsidRPr="003C3066">
        <w:rPr>
          <w:rFonts w:ascii="Palatino Linotype" w:eastAsia="Palatino Linotype" w:hAnsi="Palatino Linotype" w:cs="Palatino Linotype"/>
          <w:sz w:val="24"/>
          <w:szCs w:val="24"/>
          <w:lang w:eastAsia="es-MX"/>
        </w:rPr>
        <w:t xml:space="preserve"> y 96 </w:t>
      </w:r>
      <w:proofErr w:type="spellStart"/>
      <w:r w:rsidRPr="003C3066">
        <w:rPr>
          <w:rFonts w:ascii="Palatino Linotype" w:eastAsia="Palatino Linotype" w:hAnsi="Palatino Linotype" w:cs="Palatino Linotype"/>
          <w:sz w:val="24"/>
          <w:szCs w:val="24"/>
          <w:lang w:eastAsia="es-MX"/>
        </w:rPr>
        <w:t>Quindecies</w:t>
      </w:r>
      <w:proofErr w:type="spellEnd"/>
      <w:r w:rsidRPr="003C3066">
        <w:rPr>
          <w:rFonts w:ascii="Palatino Linotype" w:eastAsia="Palatino Linotype" w:hAnsi="Palatino Linotype" w:cs="Palatino Linotype"/>
          <w:sz w:val="24"/>
          <w:szCs w:val="24"/>
          <w:lang w:eastAsia="es-MX"/>
        </w:rPr>
        <w:t xml:space="preserve">, por lo que, se hará el siguiente cuadro de análisis para mayor claridad: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tbl>
      <w:tblPr>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198"/>
        <w:gridCol w:w="3019"/>
      </w:tblGrid>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Cargo o puesto</w:t>
            </w:r>
          </w:p>
        </w:tc>
        <w:tc>
          <w:tcPr>
            <w:tcW w:w="419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Artículo de la Ley Orgánica Municipal del Estado de México aplicable.</w:t>
            </w:r>
          </w:p>
        </w:tc>
        <w:tc>
          <w:tcPr>
            <w:tcW w:w="3019"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Observaciones</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Secretario del Ayuntamiento</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Artículo 92.- Para ser secretario del ayuntamiento se requiere, además de los requisitos establecidos en el artículo 32 de esta Ley, los siguientes:</w:t>
            </w:r>
          </w:p>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I. En municipios que tengan una población de hasta 150 mil habitantes, </w:t>
            </w:r>
            <w:r w:rsidRPr="003C3066">
              <w:rPr>
                <w:rFonts w:ascii="Palatino Linotype" w:eastAsia="Palatino Linotype" w:hAnsi="Palatino Linotype" w:cs="Palatino Linotype"/>
                <w:b/>
                <w:sz w:val="20"/>
                <w:szCs w:val="20"/>
                <w:lang w:eastAsia="es-MX"/>
              </w:rPr>
              <w:t>podrán tener título profesional de educación superior; en los municipios que tengan más de 150 mil o que sean cabecera distrital, tener título profesional de educación superior</w:t>
            </w:r>
            <w:r w:rsidRPr="003C3066">
              <w:rPr>
                <w:rFonts w:ascii="Palatino Linotype" w:eastAsia="Palatino Linotype" w:hAnsi="Palatino Linotype" w:cs="Palatino Linotype"/>
                <w:sz w:val="20"/>
                <w:szCs w:val="20"/>
                <w:lang w:eastAsia="es-MX"/>
              </w:rPr>
              <w:t>;</w:t>
            </w:r>
          </w:p>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p>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b/>
                <w:sz w:val="20"/>
                <w:szCs w:val="20"/>
                <w:lang w:eastAsia="es-MX"/>
              </w:rPr>
              <w:t>Debe contar con Título Profesional en educación superior</w:t>
            </w:r>
            <w:r w:rsidRPr="003C3066">
              <w:rPr>
                <w:rFonts w:ascii="Palatino Linotype" w:eastAsia="Palatino Linotype" w:hAnsi="Palatino Linotype" w:cs="Palatino Linotype"/>
                <w:sz w:val="20"/>
                <w:szCs w:val="20"/>
                <w:lang w:eastAsia="es-MX"/>
              </w:rPr>
              <w:t xml:space="preserve"> porque el Municipio de Chalco, es la cabecera del Distrito electoral XXXIII del Estado de México. </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Tesorero Municipal</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Artículo 96.- Para ser tesorero municipal se requiere, además de los requisitos del artículos 32 de esta Ley:</w:t>
            </w:r>
          </w:p>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p>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Debe contar con Título Profesional, además de experiencia mínima de un año. </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Director de Obras Públicas o equivalente.</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p>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Puede contar con Título Profesional o con experiencia mínima de un año. </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Director de Desarrollo Económico o equivalente</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Artículo 96 </w:t>
            </w:r>
            <w:proofErr w:type="spellStart"/>
            <w:r w:rsidRPr="003C3066">
              <w:rPr>
                <w:rFonts w:ascii="Palatino Linotype" w:eastAsia="Palatino Linotype" w:hAnsi="Palatino Linotype" w:cs="Palatino Linotype"/>
                <w:sz w:val="20"/>
                <w:szCs w:val="20"/>
                <w:lang w:eastAsia="es-MX"/>
              </w:rPr>
              <w:t>Quintus</w:t>
            </w:r>
            <w:proofErr w:type="spellEnd"/>
            <w:r w:rsidRPr="003C3066">
              <w:rPr>
                <w:rFonts w:ascii="Palatino Linotype" w:eastAsia="Palatino Linotype" w:hAnsi="Palatino Linotype" w:cs="Palatino Linotype"/>
                <w:sz w:val="20"/>
                <w:szCs w:val="20"/>
                <w:lang w:eastAsia="es-MX"/>
              </w:rPr>
              <w:t>.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p>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Puede contar con Título Profesional o con experiencia mínima de un año.</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Director de Desarrollo Urbano o equivalente</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Artículo 96 </w:t>
            </w:r>
            <w:proofErr w:type="spellStart"/>
            <w:r w:rsidRPr="003C3066">
              <w:rPr>
                <w:rFonts w:ascii="Palatino Linotype" w:eastAsia="Palatino Linotype" w:hAnsi="Palatino Linotype" w:cs="Palatino Linotype"/>
                <w:sz w:val="20"/>
                <w:szCs w:val="20"/>
                <w:lang w:eastAsia="es-MX"/>
              </w:rPr>
              <w:t>Septies</w:t>
            </w:r>
            <w:proofErr w:type="spellEnd"/>
            <w:r w:rsidRPr="003C3066">
              <w:rPr>
                <w:rFonts w:ascii="Palatino Linotype" w:eastAsia="Palatino Linotype" w:hAnsi="Palatino Linotype" w:cs="Palatino Linotype"/>
                <w:sz w:val="20"/>
                <w:szCs w:val="20"/>
                <w:lang w:eastAsia="es-MX"/>
              </w:rPr>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p>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Puede contar con Título Profesional o con experiencia mínima de un año.</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Director de Ecología o equivalente</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Artículo 96 </w:t>
            </w:r>
            <w:proofErr w:type="spellStart"/>
            <w:r w:rsidRPr="003C3066">
              <w:rPr>
                <w:rFonts w:ascii="Palatino Linotype" w:eastAsia="Palatino Linotype" w:hAnsi="Palatino Linotype" w:cs="Palatino Linotype"/>
                <w:sz w:val="20"/>
                <w:szCs w:val="20"/>
                <w:lang w:eastAsia="es-MX"/>
              </w:rPr>
              <w:t>Nonies</w:t>
            </w:r>
            <w:proofErr w:type="spellEnd"/>
            <w:r w:rsidRPr="003C3066">
              <w:rPr>
                <w:rFonts w:ascii="Palatino Linotype" w:eastAsia="Palatino Linotype" w:hAnsi="Palatino Linotype" w:cs="Palatino Linotype"/>
                <w:sz w:val="20"/>
                <w:szCs w:val="20"/>
                <w:lang w:eastAsia="es-MX"/>
              </w:rPr>
              <w:t>.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p>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Puede contar con Título Profesional o con experiencia mínima de un año.</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Director de Desarrollo Social o equivalente</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Artículo 96 </w:t>
            </w:r>
            <w:proofErr w:type="spellStart"/>
            <w:r w:rsidRPr="003C3066">
              <w:rPr>
                <w:rFonts w:ascii="Palatino Linotype" w:eastAsia="Palatino Linotype" w:hAnsi="Palatino Linotype" w:cs="Palatino Linotype"/>
                <w:sz w:val="20"/>
                <w:szCs w:val="20"/>
                <w:lang w:eastAsia="es-MX"/>
              </w:rPr>
              <w:t>Terdecies</w:t>
            </w:r>
            <w:proofErr w:type="spellEnd"/>
            <w:r w:rsidRPr="003C3066">
              <w:rPr>
                <w:rFonts w:ascii="Palatino Linotype" w:eastAsia="Palatino Linotype" w:hAnsi="Palatino Linotype" w:cs="Palatino Linotype"/>
                <w:sz w:val="20"/>
                <w:szCs w:val="20"/>
                <w:lang w:eastAsia="es-MX"/>
              </w:rPr>
              <w:t>.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Puede contar con Título Profesional o con experiencia mínima de un año.</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 xml:space="preserve">Director de la Unidad Municipal de Control y Bienestar Animal. </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Artículo 124 </w:t>
            </w:r>
            <w:proofErr w:type="spellStart"/>
            <w:r w:rsidRPr="003C3066">
              <w:rPr>
                <w:rFonts w:ascii="Palatino Linotype" w:eastAsia="Palatino Linotype" w:hAnsi="Palatino Linotype" w:cs="Palatino Linotype"/>
                <w:sz w:val="20"/>
                <w:szCs w:val="20"/>
                <w:lang w:eastAsia="es-MX"/>
              </w:rPr>
              <w:t>Quater</w:t>
            </w:r>
            <w:proofErr w:type="spellEnd"/>
            <w:r w:rsidRPr="003C3066">
              <w:rPr>
                <w:rFonts w:ascii="Palatino Linotype" w:eastAsia="Palatino Linotype" w:hAnsi="Palatino Linotype" w:cs="Palatino Linotype"/>
                <w:sz w:val="20"/>
                <w:szCs w:val="20"/>
                <w:lang w:eastAsia="es-MX"/>
              </w:rPr>
              <w:t>.-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 xml:space="preserve">Debe contar con Título Profesional y cédula profesional.   </w:t>
            </w:r>
          </w:p>
        </w:tc>
      </w:tr>
      <w:tr w:rsidR="003C3066" w:rsidRPr="003C3066" w:rsidTr="00F2058D">
        <w:tc>
          <w:tcPr>
            <w:tcW w:w="1838" w:type="dxa"/>
            <w:shd w:val="clear" w:color="auto" w:fill="F2F2F2"/>
          </w:tcPr>
          <w:p w:rsidR="003C3066" w:rsidRPr="003C3066" w:rsidRDefault="003C3066" w:rsidP="003C3066">
            <w:pPr>
              <w:spacing w:after="0" w:line="240" w:lineRule="auto"/>
              <w:ind w:right="49"/>
              <w:jc w:val="center"/>
              <w:rPr>
                <w:rFonts w:ascii="Palatino Linotype" w:eastAsia="Palatino Linotype" w:hAnsi="Palatino Linotype" w:cs="Palatino Linotype"/>
                <w:b/>
                <w:sz w:val="20"/>
                <w:szCs w:val="20"/>
                <w:lang w:eastAsia="es-MX"/>
              </w:rPr>
            </w:pPr>
            <w:r w:rsidRPr="003C3066">
              <w:rPr>
                <w:rFonts w:ascii="Palatino Linotype" w:eastAsia="Palatino Linotype" w:hAnsi="Palatino Linotype" w:cs="Palatino Linotype"/>
                <w:b/>
                <w:sz w:val="20"/>
                <w:szCs w:val="20"/>
                <w:lang w:eastAsia="es-MX"/>
              </w:rPr>
              <w:t>Contralor Municipal</w:t>
            </w:r>
          </w:p>
        </w:tc>
        <w:tc>
          <w:tcPr>
            <w:tcW w:w="4198" w:type="dxa"/>
          </w:tcPr>
          <w:p w:rsidR="003C3066" w:rsidRPr="003C3066" w:rsidRDefault="003C3066" w:rsidP="003C3066">
            <w:pPr>
              <w:spacing w:after="0" w:line="240" w:lineRule="auto"/>
              <w:ind w:right="49"/>
              <w:jc w:val="both"/>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Artículo 113.- Para ser contralor se requiere cumplir con los requisitos que se exigen para ser tesorero municipal, a excepción de la caución correspondiente.</w:t>
            </w:r>
          </w:p>
        </w:tc>
        <w:tc>
          <w:tcPr>
            <w:tcW w:w="3019" w:type="dxa"/>
          </w:tcPr>
          <w:p w:rsidR="003C3066" w:rsidRPr="003C3066" w:rsidRDefault="003C3066" w:rsidP="003C3066">
            <w:pPr>
              <w:spacing w:after="0" w:line="240" w:lineRule="auto"/>
              <w:ind w:right="49"/>
              <w:jc w:val="center"/>
              <w:rPr>
                <w:rFonts w:ascii="Palatino Linotype" w:eastAsia="Palatino Linotype" w:hAnsi="Palatino Linotype" w:cs="Palatino Linotype"/>
                <w:sz w:val="20"/>
                <w:szCs w:val="20"/>
                <w:lang w:eastAsia="es-MX"/>
              </w:rPr>
            </w:pPr>
            <w:r w:rsidRPr="003C3066">
              <w:rPr>
                <w:rFonts w:ascii="Palatino Linotype" w:eastAsia="Palatino Linotype" w:hAnsi="Palatino Linotype" w:cs="Palatino Linotype"/>
                <w:sz w:val="20"/>
                <w:szCs w:val="20"/>
                <w:lang w:eastAsia="es-MX"/>
              </w:rPr>
              <w:t>Debe contar con Título Profesional</w:t>
            </w:r>
          </w:p>
        </w:tc>
      </w:tr>
    </w:tbl>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lo anterior, se advierte que para el caso de ser titular de ciertas dependencias, como es el caso de la Tesorería Municipal, se </w:t>
      </w:r>
      <w:r w:rsidRPr="003C3066">
        <w:rPr>
          <w:rFonts w:ascii="Palatino Linotype" w:eastAsia="Palatino Linotype" w:hAnsi="Palatino Linotype" w:cs="Palatino Linotype"/>
          <w:b/>
          <w:sz w:val="24"/>
          <w:szCs w:val="24"/>
          <w:u w:val="single"/>
          <w:lang w:eastAsia="es-MX"/>
        </w:rPr>
        <w:t>deberá contar forzosamente con un determinado grado de estudios</w:t>
      </w:r>
      <w:r w:rsidRPr="003C3066">
        <w:rPr>
          <w:rFonts w:ascii="Palatino Linotype" w:eastAsia="Palatino Linotype" w:hAnsi="Palatino Linotype" w:cs="Palatino Linotype"/>
          <w:sz w:val="24"/>
          <w:szCs w:val="24"/>
          <w:lang w:eastAsia="es-MX"/>
        </w:rPr>
        <w:t xml:space="preserve">, lo cual se avalará a través de un documento comprobatorio, es decir; con un título profesional, no obstante, para ciertos cargos, como Titular de la Dirección de Ecología, se </w:t>
      </w:r>
      <w:r w:rsidRPr="003C3066">
        <w:rPr>
          <w:rFonts w:ascii="Palatino Linotype" w:eastAsia="Palatino Linotype" w:hAnsi="Palatino Linotype" w:cs="Palatino Linotype"/>
          <w:b/>
          <w:sz w:val="24"/>
          <w:szCs w:val="24"/>
          <w:u w:val="single"/>
          <w:lang w:eastAsia="es-MX"/>
        </w:rPr>
        <w:t>deberá contar ya sea con título profesional o con experiencia</w:t>
      </w: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otro lado, no pasa desapercibido mencionar que el Solicitante requirió conocer el número de cédula profesional, por lo que, de acuerdo con la Secretaría de Educación Pública, la cédula profesional, es una autorización que permite ejercer profesionalmente, cuyo proceso de tramitación dependerá de una serie de pasos como: la realización de pago por concepto de derechos, el llenado de solicitud y la programación de una cita en la Dirección General de Profesiones.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Es decir, el proceso de tramitación de cédulas profesionales, es un proceso personal y voluntario que permite al titulado ejercer en el campo de su experiencia. No obstante, como se previó anteriormente, la Ley no establece que los interesados a ingresar al servicio público deban contar con cédula profesional </w:t>
      </w:r>
      <w:r w:rsidRPr="003C3066">
        <w:rPr>
          <w:rFonts w:ascii="Palatino Linotype" w:eastAsia="Palatino Linotype" w:hAnsi="Palatino Linotype" w:cs="Palatino Linotype"/>
          <w:b/>
          <w:sz w:val="24"/>
          <w:szCs w:val="24"/>
          <w:lang w:eastAsia="es-MX"/>
        </w:rPr>
        <w:t>(</w:t>
      </w:r>
      <w:r w:rsidRPr="003C3066">
        <w:rPr>
          <w:rFonts w:ascii="Palatino Linotype" w:eastAsia="Palatino Linotype" w:hAnsi="Palatino Linotype" w:cs="Palatino Linotype"/>
          <w:b/>
          <w:sz w:val="24"/>
          <w:szCs w:val="24"/>
          <w:u w:val="single"/>
          <w:lang w:eastAsia="es-MX"/>
        </w:rPr>
        <w:t>a excepción de quien ocupe la titularidad de la Unidad Municipal de Control y Bienestar Animal o equivalente, pero para el presente caso, tal como se vio en párrafos anteriores el Sujeto Obligado no cuenta con una unidad o área con estas características</w:t>
      </w:r>
      <w:r w:rsidRPr="003C3066">
        <w:rPr>
          <w:rFonts w:ascii="Palatino Linotype" w:eastAsia="Palatino Linotype" w:hAnsi="Palatino Linotype" w:cs="Palatino Linotype"/>
          <w:b/>
          <w:sz w:val="24"/>
          <w:szCs w:val="24"/>
          <w:lang w:eastAsia="es-MX"/>
        </w:rPr>
        <w:t>)</w:t>
      </w:r>
      <w:r w:rsidRPr="003C3066">
        <w:rPr>
          <w:rFonts w:ascii="Palatino Linotype" w:eastAsia="Palatino Linotype" w:hAnsi="Palatino Linotype" w:cs="Palatino Linotype"/>
          <w:sz w:val="24"/>
          <w:szCs w:val="24"/>
          <w:lang w:eastAsia="es-MX"/>
        </w:rPr>
        <w:t xml:space="preserve">, en ese sentido, se colige que este documento pudo o no haber sido entregado al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por lo que, si bien existe la posibilidad de que obre en sus archivos, también lo es que no es obligación que lo administre.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Dicho esto, toda vez que no existió pronunciamiento del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sobre estos puntos de la solicitud, el Ayuntamiento de Chalco, deberá proporcionar el título y cédula profesional de los miembros del ayuntamiento, </w:t>
      </w:r>
      <w:r w:rsidRPr="003C3066">
        <w:rPr>
          <w:rFonts w:ascii="Palatino Linotype" w:eastAsia="Palatino Linotype" w:hAnsi="Palatino Linotype" w:cs="Palatino Linotype"/>
          <w:b/>
          <w:sz w:val="24"/>
          <w:szCs w:val="24"/>
          <w:lang w:eastAsia="es-MX"/>
        </w:rPr>
        <w:t>(</w:t>
      </w:r>
      <w:r w:rsidRPr="003C3066">
        <w:rPr>
          <w:rFonts w:ascii="Palatino Linotype" w:eastAsia="Palatino Linotype" w:hAnsi="Palatino Linotype" w:cs="Palatino Linotype"/>
          <w:b/>
          <w:sz w:val="24"/>
          <w:szCs w:val="24"/>
          <w:u w:val="single"/>
          <w:lang w:eastAsia="es-MX"/>
        </w:rPr>
        <w:t>en caso de que, estos cuenten con estos)</w:t>
      </w:r>
      <w:r w:rsidRPr="003C3066">
        <w:rPr>
          <w:rFonts w:ascii="Palatino Linotype" w:eastAsia="Palatino Linotype" w:hAnsi="Palatino Linotype" w:cs="Palatino Linotype"/>
          <w:sz w:val="24"/>
          <w:szCs w:val="24"/>
          <w:lang w:eastAsia="es-MX"/>
        </w:rPr>
        <w:t xml:space="preserve"> y, de los titulares de las áreas que integran su estructura orgánica (</w:t>
      </w:r>
      <w:r w:rsidRPr="003C3066">
        <w:rPr>
          <w:rFonts w:ascii="Palatino Linotype" w:eastAsia="Palatino Linotype" w:hAnsi="Palatino Linotype" w:cs="Palatino Linotype"/>
          <w:b/>
          <w:sz w:val="24"/>
          <w:szCs w:val="24"/>
          <w:lang w:eastAsia="es-MX"/>
        </w:rPr>
        <w:t>en el caso que sea obligatorio)</w:t>
      </w:r>
      <w:r w:rsidRPr="003C3066">
        <w:rPr>
          <w:rFonts w:ascii="Palatino Linotype" w:eastAsia="Palatino Linotype" w:hAnsi="Palatino Linotype" w:cs="Palatino Linotype"/>
          <w:sz w:val="24"/>
          <w:szCs w:val="24"/>
          <w:lang w:eastAsia="es-MX"/>
        </w:rPr>
        <w:t>, en donde se advierta, el nombre del servidor público, licenciatura e institución educativa.</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3"/>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 xml:space="preserve">De los beneficiarios de programas sociales.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principio, resulta conveniente traer a colación lo que establecen los artículos 31, 115 y 119, párrafo primero y 122 de la Ley Orgánica Municipal del Estado de México y Municipios, disponen de lo siguiente: </w:t>
      </w:r>
    </w:p>
    <w:p w:rsidR="003C3066" w:rsidRPr="003C3066" w:rsidRDefault="003C3066" w:rsidP="003C3066">
      <w:pPr>
        <w:spacing w:after="0" w:line="360" w:lineRule="auto"/>
        <w:ind w:right="49"/>
        <w:jc w:val="both"/>
        <w:rPr>
          <w:rFonts w:ascii="Palatino Linotype" w:eastAsia="Palatino Linotype" w:hAnsi="Palatino Linotype" w:cs="Palatino Linotype"/>
          <w:szCs w:val="24"/>
          <w:lang w:eastAsia="es-MX"/>
        </w:rPr>
      </w:pPr>
    </w:p>
    <w:p w:rsidR="003C3066" w:rsidRPr="003C3066" w:rsidRDefault="003C3066" w:rsidP="003C3066">
      <w:pPr>
        <w:spacing w:after="0" w:line="276"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31</w:t>
      </w:r>
      <w:r w:rsidRPr="003C3066">
        <w:rPr>
          <w:rFonts w:ascii="Palatino Linotype" w:eastAsia="Palatino Linotype" w:hAnsi="Palatino Linotype" w:cs="Palatino Linotype"/>
          <w:i/>
          <w:szCs w:val="24"/>
          <w:lang w:eastAsia="es-MX"/>
        </w:rPr>
        <w:t>.- Son atribuciones de los ayuntamientos:</w:t>
      </w:r>
    </w:p>
    <w:p w:rsidR="003C3066" w:rsidRPr="003C3066" w:rsidRDefault="003C3066" w:rsidP="003C3066">
      <w:pPr>
        <w:spacing w:after="0" w:line="276"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XXI. Formular, aprobar y ejecutar los planes de desarrollo municipal y los Programas correspondientes;</w:t>
      </w:r>
    </w:p>
    <w:p w:rsidR="003C3066" w:rsidRPr="003C3066" w:rsidRDefault="003C3066" w:rsidP="003C3066">
      <w:pPr>
        <w:spacing w:after="0" w:line="276" w:lineRule="auto"/>
        <w:ind w:left="567" w:right="902"/>
        <w:jc w:val="both"/>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115</w:t>
      </w:r>
      <w:r w:rsidRPr="003C3066">
        <w:rPr>
          <w:rFonts w:ascii="Palatino Linotype" w:eastAsia="Palatino Linotype" w:hAnsi="Palatino Linotype" w:cs="Palatino Linotype"/>
          <w:i/>
          <w:szCs w:val="24"/>
          <w:lang w:eastAsia="es-MX"/>
        </w:rPr>
        <w:t xml:space="preserve">.- La formulación, aprobación, ejecución, control y evaluación del plan y </w:t>
      </w:r>
      <w:r w:rsidRPr="003C3066">
        <w:rPr>
          <w:rFonts w:ascii="Palatino Linotype" w:eastAsia="Palatino Linotype" w:hAnsi="Palatino Linotype" w:cs="Palatino Linotype"/>
          <w:b/>
          <w:i/>
          <w:szCs w:val="24"/>
          <w:lang w:eastAsia="es-MX"/>
        </w:rPr>
        <w:t>programas municipales estarán a cargo de los órganos, dependencias o servidores públicos que determinen los ayuntamientos, conforme a las normas legales de la materia y las que cada cabildo determine</w:t>
      </w: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119</w:t>
      </w:r>
      <w:r w:rsidRPr="003C3066">
        <w:rPr>
          <w:rFonts w:ascii="Palatino Linotype" w:eastAsia="Palatino Linotype" w:hAnsi="Palatino Linotype" w:cs="Palatino Linotype"/>
          <w:i/>
          <w:szCs w:val="24"/>
          <w:lang w:eastAsia="es-MX"/>
        </w:rPr>
        <w:t xml:space="preserve">.- El Plan de Desarrollo Municipal se complementará con </w:t>
      </w:r>
      <w:r w:rsidRPr="003C3066">
        <w:rPr>
          <w:rFonts w:ascii="Palatino Linotype" w:eastAsia="Palatino Linotype" w:hAnsi="Palatino Linotype" w:cs="Palatino Linotype"/>
          <w:b/>
          <w:i/>
          <w:szCs w:val="24"/>
          <w:lang w:eastAsia="es-MX"/>
        </w:rPr>
        <w:t>programas anuales sectoriales</w:t>
      </w:r>
      <w:r w:rsidRPr="003C3066">
        <w:rPr>
          <w:rFonts w:ascii="Palatino Linotype" w:eastAsia="Palatino Linotype" w:hAnsi="Palatino Linotype" w:cs="Palatino Linotype"/>
          <w:i/>
          <w:szCs w:val="24"/>
          <w:lang w:eastAsia="es-MX"/>
        </w:rPr>
        <w:t xml:space="preserve"> de la administración municipal y con </w:t>
      </w:r>
      <w:r w:rsidRPr="003C3066">
        <w:rPr>
          <w:rFonts w:ascii="Palatino Linotype" w:eastAsia="Palatino Linotype" w:hAnsi="Palatino Linotype" w:cs="Palatino Linotype"/>
          <w:b/>
          <w:i/>
          <w:szCs w:val="24"/>
          <w:lang w:eastAsia="es-MX"/>
        </w:rPr>
        <w:t>programas especiales de los organismos desconcentrados y descentralizados de carácter municipal.</w:t>
      </w:r>
    </w:p>
    <w:p w:rsidR="003C3066" w:rsidRPr="003C3066" w:rsidRDefault="003C3066" w:rsidP="003C3066">
      <w:pPr>
        <w:spacing w:after="0" w:line="276"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902"/>
        <w:jc w:val="both"/>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lang w:eastAsia="es-MX"/>
        </w:rPr>
        <w:t>Artículo 122</w:t>
      </w:r>
      <w:r w:rsidRPr="003C3066">
        <w:rPr>
          <w:rFonts w:ascii="Palatino Linotype" w:eastAsia="Palatino Linotype" w:hAnsi="Palatino Linotype" w:cs="Palatino Linotype"/>
          <w:i/>
          <w:szCs w:val="24"/>
          <w:lang w:eastAsia="es-MX"/>
        </w:rPr>
        <w:t xml:space="preserve">.- El Plan de Desarrollo y </w:t>
      </w:r>
      <w:r w:rsidRPr="003C3066">
        <w:rPr>
          <w:rFonts w:ascii="Palatino Linotype" w:eastAsia="Palatino Linotype" w:hAnsi="Palatino Linotype" w:cs="Palatino Linotype"/>
          <w:b/>
          <w:i/>
          <w:szCs w:val="24"/>
          <w:lang w:eastAsia="es-MX"/>
        </w:rPr>
        <w:t xml:space="preserve">los programas que de éste se deriven, serán obligatorios para las dependencias de la administración pública municipal, y en general para las entidades públicas de carácter municipal. </w:t>
      </w:r>
    </w:p>
    <w:p w:rsidR="003C3066" w:rsidRPr="003C3066" w:rsidRDefault="003C3066" w:rsidP="003C3066">
      <w:pPr>
        <w:spacing w:after="0" w:line="276" w:lineRule="auto"/>
        <w:ind w:left="567" w:right="902"/>
        <w:jc w:val="both"/>
        <w:rPr>
          <w:rFonts w:ascii="Palatino Linotype" w:eastAsia="Palatino Linotype" w:hAnsi="Palatino Linotype" w:cs="Palatino Linotype"/>
          <w:b/>
          <w:i/>
          <w:szCs w:val="24"/>
          <w:lang w:eastAsia="es-MX"/>
        </w:rPr>
      </w:pPr>
    </w:p>
    <w:p w:rsidR="003C3066" w:rsidRPr="003C3066" w:rsidRDefault="003C3066" w:rsidP="003C3066">
      <w:pPr>
        <w:spacing w:after="0" w:line="276" w:lineRule="auto"/>
        <w:ind w:left="567" w:right="902"/>
        <w:jc w:val="both"/>
        <w:rPr>
          <w:rFonts w:ascii="Palatino Linotype" w:eastAsia="Palatino Linotype" w:hAnsi="Palatino Linotype" w:cs="Palatino Linotype"/>
          <w:szCs w:val="24"/>
          <w:lang w:eastAsia="es-MX"/>
        </w:rPr>
      </w:pPr>
      <w:r w:rsidRPr="003C3066">
        <w:rPr>
          <w:rFonts w:ascii="Palatino Linotype" w:eastAsia="Palatino Linotype" w:hAnsi="Palatino Linotype" w:cs="Palatino Linotype"/>
          <w:i/>
          <w:szCs w:val="24"/>
          <w:lang w:eastAsia="es-MX"/>
        </w:rPr>
        <w:t xml:space="preserve">Los planes y </w:t>
      </w:r>
      <w:r w:rsidRPr="003C3066">
        <w:rPr>
          <w:rFonts w:ascii="Palatino Linotype" w:eastAsia="Palatino Linotype" w:hAnsi="Palatino Linotype" w:cs="Palatino Linotype"/>
          <w:b/>
          <w:i/>
          <w:szCs w:val="24"/>
          <w:lang w:eastAsia="es-MX"/>
        </w:rPr>
        <w:t>programas podrán ser modificados o suspendidos siguiendo el mismo procedimiento que para su elaboración, aprobación y publicación</w:t>
      </w:r>
      <w:r w:rsidRPr="003C3066">
        <w:rPr>
          <w:rFonts w:ascii="Palatino Linotype" w:eastAsia="Palatino Linotype" w:hAnsi="Palatino Linotype" w:cs="Palatino Linotype"/>
          <w:i/>
          <w:szCs w:val="24"/>
          <w:lang w:eastAsia="es-MX"/>
        </w:rPr>
        <w:t>, cuando lo demande el interés social o lo requieran las circunstancias de tipo técnico o económico</w:t>
      </w:r>
      <w:r w:rsidRPr="003C3066">
        <w:rPr>
          <w:rFonts w:ascii="Times New Roman" w:eastAsia="Times New Roman" w:hAnsi="Times New Roman" w:cs="Times New Roman"/>
          <w:szCs w:val="24"/>
          <w:lang w:eastAsia="es-MX"/>
        </w:rPr>
        <w:t>.”</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conformidad con el artículo 3, fracción I y III de la Ley de Desarrollo Social del Estado de México, </w:t>
      </w:r>
      <w:r w:rsidRPr="003C3066">
        <w:rPr>
          <w:rFonts w:ascii="Palatino Linotype" w:eastAsia="Palatino Linotype" w:hAnsi="Palatino Linotype" w:cs="Palatino Linotype"/>
          <w:i/>
          <w:sz w:val="24"/>
          <w:szCs w:val="24"/>
          <w:lang w:eastAsia="es-MX"/>
        </w:rPr>
        <w:t>“desarrollo social”</w:t>
      </w:r>
      <w:r w:rsidRPr="003C3066">
        <w:rPr>
          <w:rFonts w:ascii="Palatino Linotype" w:eastAsia="Palatino Linotype" w:hAnsi="Palatino Linotype" w:cs="Palatino Linotype"/>
          <w:sz w:val="24"/>
          <w:szCs w:val="24"/>
          <w:lang w:eastAsia="es-MX"/>
        </w:rPr>
        <w:t xml:space="preserve"> es entendido como aquel proceso de mecanismos y políticas públicas permanente que genera condiciones para la integración plena de individuos, grupos y sectores de la sociedad, a fin de erradicar la desigualdad social y, un programa de desarrollo social, es entendido como aquella acción gubernamental dirigida a modificar la condición de desigualdad social, tal como se advierte a continuación: </w:t>
      </w:r>
    </w:p>
    <w:p w:rsidR="003C3066" w:rsidRPr="003C3066" w:rsidRDefault="003C3066" w:rsidP="003C3066">
      <w:pPr>
        <w:spacing w:after="0" w:line="360" w:lineRule="auto"/>
        <w:ind w:right="49"/>
        <w:jc w:val="both"/>
        <w:rPr>
          <w:rFonts w:ascii="Palatino Linotype" w:eastAsia="Palatino Linotype" w:hAnsi="Palatino Linotype" w:cs="Palatino Linotype"/>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3.-</w:t>
      </w:r>
      <w:r w:rsidRPr="003C3066">
        <w:rPr>
          <w:rFonts w:ascii="Palatino Linotype" w:eastAsia="Palatino Linotype" w:hAnsi="Palatino Linotype" w:cs="Palatino Linotype"/>
          <w:i/>
          <w:szCs w:val="24"/>
          <w:lang w:eastAsia="es-MX"/>
        </w:rPr>
        <w:t xml:space="preserve"> Para los efectos de la presente ley se entenderá por:</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I. Desarrollo social:</w:t>
      </w:r>
      <w:r w:rsidRPr="003C3066">
        <w:rPr>
          <w:rFonts w:ascii="Palatino Linotype" w:eastAsia="Palatino Linotype" w:hAnsi="Palatino Linotype" w:cs="Palatino Linotype"/>
          <w:i/>
          <w:szCs w:val="24"/>
          <w:lang w:eastAsia="es-MX"/>
        </w:rPr>
        <w:t xml:space="preserve"> Proceso de mecanismos y políticas públicas permanente que genera las condiciones para la integración plena de individuos, grupos y sectores de la sociedad, comunidades y regiones al mejoramiento integral y sustentable de sus capacidades productivas y su calidad de vida que garantice el disfrute de los derechos constitucionales, a fin de erradicar la desigualdad social;</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 w:val="24"/>
          <w:szCs w:val="24"/>
          <w:lang w:eastAsia="es-MX"/>
        </w:rPr>
      </w:pPr>
      <w:r w:rsidRPr="003C3066">
        <w:rPr>
          <w:rFonts w:ascii="Palatino Linotype" w:eastAsia="Palatino Linotype" w:hAnsi="Palatino Linotype" w:cs="Palatino Linotype"/>
          <w:b/>
          <w:i/>
          <w:szCs w:val="24"/>
          <w:lang w:eastAsia="es-MX"/>
        </w:rPr>
        <w:t>III. Programa de desarrollo social:</w:t>
      </w:r>
      <w:r w:rsidRPr="003C3066">
        <w:rPr>
          <w:rFonts w:ascii="Palatino Linotype" w:eastAsia="Palatino Linotype" w:hAnsi="Palatino Linotype" w:cs="Palatino Linotype"/>
          <w:i/>
          <w:szCs w:val="24"/>
          <w:lang w:eastAsia="es-MX"/>
        </w:rPr>
        <w:t xml:space="preserve"> Acción gubernamental dirigida a modificar la condición de desigualdad social mediante la entrega de un bien o una transferencia de recursos, la cual se norma a partir de sus respectivas reglas de operación</w:t>
      </w:r>
      <w:r w:rsidRPr="003C3066">
        <w:rPr>
          <w:rFonts w:ascii="Palatino Linotype" w:eastAsia="Palatino Linotype" w:hAnsi="Palatino Linotype" w:cs="Palatino Linotype"/>
          <w:i/>
          <w:sz w:val="24"/>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 w:val="24"/>
          <w:szCs w:val="24"/>
          <w:lang w:eastAsia="es-MX"/>
        </w:rPr>
      </w:pPr>
      <w:r w:rsidRPr="003C3066">
        <w:rPr>
          <w:rFonts w:ascii="Palatino Linotype" w:eastAsia="Palatino Linotype" w:hAnsi="Palatino Linotype" w:cs="Palatino Linotype"/>
          <w:i/>
          <w:sz w:val="24"/>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 w:val="24"/>
          <w:szCs w:val="24"/>
          <w:lang w:eastAsia="es-MX"/>
        </w:rPr>
      </w:pPr>
      <w:r w:rsidRPr="003C3066">
        <w:rPr>
          <w:rFonts w:ascii="Palatino Linotype" w:eastAsia="Palatino Linotype" w:hAnsi="Palatino Linotype" w:cs="Palatino Linotype"/>
          <w:i/>
          <w:sz w:val="24"/>
          <w:szCs w:val="24"/>
          <w:lang w:eastAsia="es-MX"/>
        </w:rPr>
        <w:t xml:space="preserv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Del mismo modo, la Ley en cita precisa que:</w:t>
      </w:r>
    </w:p>
    <w:p w:rsidR="003C3066" w:rsidRPr="003C3066" w:rsidRDefault="003C3066" w:rsidP="003C3066">
      <w:pPr>
        <w:spacing w:after="0" w:line="276" w:lineRule="auto"/>
        <w:ind w:left="567" w:right="843"/>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276" w:lineRule="auto"/>
        <w:ind w:left="567" w:right="843"/>
        <w:jc w:val="both"/>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lang w:eastAsia="es-MX"/>
        </w:rPr>
        <w:t>Artículo 14.-</w:t>
      </w:r>
      <w:r w:rsidRPr="003C3066">
        <w:rPr>
          <w:rFonts w:ascii="Palatino Linotype" w:eastAsia="Palatino Linotype" w:hAnsi="Palatino Linotype" w:cs="Palatino Linotype"/>
          <w:i/>
          <w:szCs w:val="24"/>
          <w:lang w:eastAsia="es-MX"/>
        </w:rPr>
        <w:t xml:space="preserve"> Son obligaciones de los municipios en </w:t>
      </w:r>
      <w:r w:rsidRPr="003C3066">
        <w:rPr>
          <w:rFonts w:ascii="Palatino Linotype" w:eastAsia="Palatino Linotype" w:hAnsi="Palatino Linotype" w:cs="Palatino Linotype"/>
          <w:b/>
          <w:i/>
          <w:szCs w:val="24"/>
          <w:lang w:eastAsia="es-MX"/>
        </w:rPr>
        <w:t>materia de desarrollo social las siguientes:</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V.</w:t>
      </w:r>
      <w:r w:rsidRPr="003C3066">
        <w:rPr>
          <w:rFonts w:ascii="Palatino Linotype" w:eastAsia="Palatino Linotype" w:hAnsi="Palatino Linotype" w:cs="Palatino Linotype"/>
          <w:i/>
          <w:szCs w:val="24"/>
          <w:lang w:eastAsia="es-MX"/>
        </w:rPr>
        <w:t xml:space="preserve"> </w:t>
      </w:r>
      <w:r w:rsidRPr="003C3066">
        <w:rPr>
          <w:rFonts w:ascii="Palatino Linotype" w:eastAsia="Palatino Linotype" w:hAnsi="Palatino Linotype" w:cs="Palatino Linotype"/>
          <w:b/>
          <w:i/>
          <w:szCs w:val="24"/>
          <w:lang w:eastAsia="es-MX"/>
        </w:rPr>
        <w:t>Obtener información de los beneficiarios para la integración de los padrones</w:t>
      </w:r>
      <w:r w:rsidRPr="003C3066">
        <w:rPr>
          <w:rFonts w:ascii="Palatino Linotype" w:eastAsia="Palatino Linotype" w:hAnsi="Palatino Linotype" w:cs="Palatino Linotype"/>
          <w:i/>
          <w:szCs w:val="24"/>
          <w:lang w:eastAsia="es-MX"/>
        </w:rPr>
        <w:t xml:space="preserve"> de sus respectivos programas de desarrollo social; </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VI.</w:t>
      </w:r>
      <w:r w:rsidRPr="003C3066">
        <w:rPr>
          <w:rFonts w:ascii="Palatino Linotype" w:eastAsia="Palatino Linotype" w:hAnsi="Palatino Linotype" w:cs="Palatino Linotype"/>
          <w:i/>
          <w:szCs w:val="24"/>
          <w:lang w:eastAsia="es-MX"/>
        </w:rPr>
        <w:t xml:space="preserve"> </w:t>
      </w:r>
      <w:r w:rsidRPr="003C3066">
        <w:rPr>
          <w:rFonts w:ascii="Palatino Linotype" w:eastAsia="Palatino Linotype" w:hAnsi="Palatino Linotype" w:cs="Palatino Linotype"/>
          <w:b/>
          <w:i/>
          <w:szCs w:val="24"/>
          <w:lang w:eastAsia="es-MX"/>
        </w:rPr>
        <w:t>Informar a la sociedad de</w:t>
      </w:r>
      <w:r w:rsidRPr="003C3066">
        <w:rPr>
          <w:rFonts w:ascii="Palatino Linotype" w:eastAsia="Palatino Linotype" w:hAnsi="Palatino Linotype" w:cs="Palatino Linotype"/>
          <w:i/>
          <w:szCs w:val="24"/>
          <w:lang w:eastAsia="es-MX"/>
        </w:rPr>
        <w:t xml:space="preserve"> las políticas, </w:t>
      </w:r>
      <w:r w:rsidRPr="003C3066">
        <w:rPr>
          <w:rFonts w:ascii="Palatino Linotype" w:eastAsia="Palatino Linotype" w:hAnsi="Palatino Linotype" w:cs="Palatino Linotype"/>
          <w:b/>
          <w:i/>
          <w:szCs w:val="24"/>
          <w:lang w:eastAsia="es-MX"/>
        </w:rPr>
        <w:t>programas</w:t>
      </w:r>
      <w:r w:rsidRPr="003C3066">
        <w:rPr>
          <w:rFonts w:ascii="Palatino Linotype" w:eastAsia="Palatino Linotype" w:hAnsi="Palatino Linotype" w:cs="Palatino Linotype"/>
          <w:i/>
          <w:szCs w:val="24"/>
          <w:lang w:eastAsia="es-MX"/>
        </w:rPr>
        <w:t xml:space="preserve"> y acciones de desarrollo social que ejecuten;</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VIII.</w:t>
      </w:r>
      <w:r w:rsidRPr="003C3066">
        <w:rPr>
          <w:rFonts w:ascii="Palatino Linotype" w:eastAsia="Palatino Linotype" w:hAnsi="Palatino Linotype" w:cs="Palatino Linotype"/>
          <w:i/>
          <w:szCs w:val="24"/>
          <w:lang w:eastAsia="es-MX"/>
        </w:rPr>
        <w:t xml:space="preserve"> Establecer mecanismos para incluir la participación social organizada, en los programas y acciones de desarrollo social; y</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26</w:t>
      </w:r>
      <w:r w:rsidRPr="003C3066">
        <w:rPr>
          <w:rFonts w:ascii="Palatino Linotype" w:eastAsia="Palatino Linotype" w:hAnsi="Palatino Linotype" w:cs="Palatino Linotype"/>
          <w:i/>
          <w:szCs w:val="24"/>
          <w:lang w:eastAsia="es-MX"/>
        </w:rPr>
        <w:t>.- La Secretaría y los ayuntamientos fomentarán el derecho de la sociedad a participar de manera activa y corresponsable en la planeación, ejecución, evaluación y supervisión de la política social.</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En ese sentido, es oportuno referir que de conformidad con lo que establece el Bando Municipal de Chalco 2022, que refiere</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ARTÍCULO 47.- El Gobierno de Chalco, a través de la </w:t>
      </w:r>
      <w:r w:rsidRPr="003C3066">
        <w:rPr>
          <w:rFonts w:ascii="Palatino Linotype" w:eastAsia="Palatino Linotype" w:hAnsi="Palatino Linotype" w:cs="Palatino Linotype"/>
          <w:b/>
          <w:i/>
          <w:szCs w:val="24"/>
          <w:lang w:eastAsia="es-MX"/>
        </w:rPr>
        <w:t>Dirección de Gobierno</w:t>
      </w:r>
      <w:r w:rsidRPr="003C3066">
        <w:rPr>
          <w:rFonts w:ascii="Palatino Linotype" w:eastAsia="Palatino Linotype" w:hAnsi="Palatino Linotype" w:cs="Palatino Linotype"/>
          <w:i/>
          <w:szCs w:val="24"/>
          <w:lang w:eastAsia="es-MX"/>
        </w:rPr>
        <w:t>, implementará acciones estratégicas que contribuyan a la gobernabilidad democrática del Municipio, atendiendo oportunamente las demandas ciudadanas y dirimiendo los conflictos político-sociales; por lo que, para cumplir con sus objetivos, tendrá las siguientes facultades y atribuciones:</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IV. </w:t>
      </w:r>
      <w:r w:rsidRPr="003C3066">
        <w:rPr>
          <w:rFonts w:ascii="Palatino Linotype" w:eastAsia="Palatino Linotype" w:hAnsi="Palatino Linotype" w:cs="Palatino Linotype"/>
          <w:b/>
          <w:i/>
          <w:szCs w:val="24"/>
          <w:lang w:eastAsia="es-MX"/>
        </w:rPr>
        <w:t>Coadyuvar en la consecución de los diversos programas sociales implementados por el gobierno municipal que propicien la inclusión social y la igualdad para contribuir al bienestar del pueblo de Chalco</w:t>
      </w: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CAPÍTULO I</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DEL BIENESTAR SOCIAL</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ARTÍCULO 110.- El </w:t>
      </w:r>
      <w:r w:rsidRPr="003C3066">
        <w:rPr>
          <w:rFonts w:ascii="Palatino Linotype" w:eastAsia="Palatino Linotype" w:hAnsi="Palatino Linotype" w:cs="Palatino Linotype"/>
          <w:b/>
          <w:i/>
          <w:szCs w:val="24"/>
          <w:lang w:eastAsia="es-MX"/>
        </w:rPr>
        <w:t>Gobierno de Chalco, diseñará, instrumentará y operará programas sociales tendientes a revertir los contrastes sociales y la marginación</w:t>
      </w:r>
      <w:r w:rsidRPr="003C3066">
        <w:rPr>
          <w:rFonts w:ascii="Palatino Linotype" w:eastAsia="Palatino Linotype" w:hAnsi="Palatino Linotype" w:cs="Palatino Linotype"/>
          <w:i/>
          <w:szCs w:val="24"/>
          <w:lang w:eastAsia="es-MX"/>
        </w:rPr>
        <w:t xml:space="preserve">, mejorando y garantizando la mejor calidad de vida sostenible, propiciando la equidad de oportunidades entre hombres y mujeres del Municipio; y la transversalidad de los programas. Para lograr lo anterior, el Gobierno de Chalco creará los programas sociales necesarios para la atención de la población que se encuentre en situación de vulnerabilidad, enfatizando a personas con discapacidad, niñas, niños y adolescentes, madres y padres solteros y personas adultas mayores. Teniendo como acciones prioritarias: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 </w:t>
      </w:r>
      <w:r w:rsidRPr="003C3066">
        <w:rPr>
          <w:rFonts w:ascii="Palatino Linotype" w:eastAsia="Palatino Linotype" w:hAnsi="Palatino Linotype" w:cs="Palatino Linotype"/>
          <w:b/>
          <w:i/>
          <w:szCs w:val="24"/>
          <w:lang w:eastAsia="es-MX"/>
        </w:rPr>
        <w:t>Formular las reglas de operación de los programas municipales</w:t>
      </w:r>
      <w:r w:rsidRPr="003C3066">
        <w:rPr>
          <w:rFonts w:ascii="Palatino Linotype" w:eastAsia="Palatino Linotype" w:hAnsi="Palatino Linotype" w:cs="Palatino Linotype"/>
          <w:i/>
          <w:szCs w:val="24"/>
          <w:lang w:eastAsia="es-MX"/>
        </w:rPr>
        <w:t xml:space="preserve"> y verificar su difusión, así como el asesoramiento y capacitación en esta materia de las personas operadoras y ejecutoras;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II. Verificar que la operatividad y ejecución de los programas sociales que se deberán gestionar ante el Gobierno del Estado y sociedad civil, sean operados de forma congruente con los fines que persigue el Gobierno de Chalco de acuerdo a los Objetivos del Desarrollo Sostenible de la Agenda 2030;</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 III. Determinar en el ámbito de su competencia los criterios para definir las comunidades donde se concentran niveles bajos de Bienestar Social y que requieran atención prioritaria;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IV. Fomentar el bienestar social con respeto a los derechos y la dignidad de las personas con igualdad de género;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 Preservar la integración de los pueblos indígenas asentados en el municipio al desarrollo social;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 Integrar y ejecutar acciones destinadas a lograr el desarrollo social, económico, cultural y lingüístico de los pueblos indígenas, respetando su identidad, costumbres y tradiciones.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VII. Promover la participación corresponsable, de los diferentes ámbitos de gobierno y la sociedad civil, en la ejecución de los programas sociales a fin de lograr el bienestar social,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VIII. Implementar centros de lactancia en apoyo a las madres lactantes,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IX. Promover el uso de los espacios públicos y centros sociales, bajo acciones y actividades que permitan la cohesión de las estructuras sociales, en un marco de respeto y fomento de los derechos humanos, permitiendo la inclusión de todos los sectores o grupos sociales, a fin de atender a la diversidad social y cultural, con el objetivo de reforzar el tejido social, el desarrollo comunitario y la participación social.</w:t>
      </w:r>
    </w:p>
    <w:p w:rsidR="003C3066" w:rsidRPr="003C3066" w:rsidRDefault="003C3066" w:rsidP="003C3066">
      <w:pPr>
        <w:spacing w:after="0" w:line="276" w:lineRule="auto"/>
        <w:ind w:left="567" w:right="560"/>
        <w:jc w:val="both"/>
        <w:rPr>
          <w:rFonts w:ascii="Times New Roman" w:eastAsia="Times New Roman" w:hAnsi="Times New Roman" w:cs="Times New Roman"/>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8"/>
          <w:szCs w:val="28"/>
          <w:lang w:eastAsia="es-MX"/>
        </w:rPr>
      </w:pPr>
      <w:r w:rsidRPr="003C3066">
        <w:rPr>
          <w:rFonts w:ascii="Palatino Linotype" w:eastAsia="Palatino Linotype" w:hAnsi="Palatino Linotype" w:cs="Palatino Linotype"/>
          <w:sz w:val="24"/>
          <w:szCs w:val="24"/>
          <w:lang w:eastAsia="es-MX"/>
        </w:rPr>
        <w:t xml:space="preserve">Hasta aquí se tiene que,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en efecto cuenta con las atribuciones, competencias y facultades para generar y administrar todo aquello relacionado con programas sociales que se pongan a disposición de la población, esto, a través de su Dirección de Bienestar y su Dirección de Gobierno.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Ahora bien, en lo que compete a nuestra materia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como parte de sus obligaciones de transparencia, se encuentra constreñido a poner a disposición del público de manera permanente y actualizada de forma sencilla, precisa y entendible, lo relativo a los programas de subsidios, estímulos y apoyos como se desprende del artículo 92, fracción XIV de la Ley de Transparencia y Acceso a la Información Pública del Estado de México y Municipios, a saber:</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40"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92</w:t>
      </w:r>
      <w:r w:rsidRPr="003C3066">
        <w:rPr>
          <w:rFonts w:ascii="Palatino Linotype" w:eastAsia="Palatino Linotype" w:hAnsi="Palatino Linotype" w:cs="Palatino Linotype"/>
          <w:i/>
          <w:szCs w:val="24"/>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3066" w:rsidRPr="003C3066" w:rsidRDefault="003C3066" w:rsidP="003C3066">
      <w:pPr>
        <w:spacing w:after="0" w:line="240" w:lineRule="auto"/>
        <w:ind w:left="567" w:right="902"/>
        <w:jc w:val="both"/>
        <w:rPr>
          <w:rFonts w:ascii="Times New Roman" w:eastAsia="Times New Roman" w:hAnsi="Times New Roman" w:cs="Times New Roman"/>
          <w:b/>
          <w:szCs w:val="24"/>
          <w:lang w:eastAsia="es-MX"/>
        </w:rPr>
      </w:pPr>
      <w:r w:rsidRPr="003C3066">
        <w:rPr>
          <w:rFonts w:ascii="Times New Roman" w:eastAsia="Times New Roman" w:hAnsi="Times New Roman" w:cs="Times New Roman"/>
          <w:b/>
          <w:szCs w:val="24"/>
          <w:lang w:eastAsia="es-MX"/>
        </w:rPr>
        <w:t>…</w:t>
      </w:r>
    </w:p>
    <w:p w:rsidR="003C3066" w:rsidRPr="003C3066" w:rsidRDefault="003C3066" w:rsidP="003C3066">
      <w:pPr>
        <w:spacing w:after="0" w:line="240" w:lineRule="auto"/>
        <w:ind w:left="567" w:right="902"/>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XIV.</w:t>
      </w:r>
      <w:r w:rsidRPr="003C3066">
        <w:rPr>
          <w:rFonts w:ascii="Palatino Linotype" w:eastAsia="Palatino Linotype" w:hAnsi="Palatino Linotype" w:cs="Palatino Linotype"/>
          <w:i/>
          <w:szCs w:val="24"/>
          <w:lang w:eastAsia="es-MX"/>
        </w:rPr>
        <w:t xml:space="preserve"> La información de los programas de subsidios, estímulos y apoyos, en el que se deberá informar respecto de los programas de transferencia, de servicios, de infraestructura social y de subsidio, en los que se deberá contener lo siguiente:…”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En cuanto a la publicación de los requisitos citados debe considerarse lo dispuesto en el Anexo 1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en relación con el artículo 70, fracción XV de la Ley General de Transparencia que de manera análoga prevén la hipótesis que se analizan y que en lo que al presente estudio interesa disponen que la información que será de conocimiento del público sobre el padrón de beneficiarios deberá contener:</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center"/>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i/>
          <w:noProof/>
          <w:sz w:val="24"/>
          <w:szCs w:val="24"/>
          <w:lang w:eastAsia="es-MX"/>
        </w:rPr>
        <w:drawing>
          <wp:inline distT="0" distB="0" distL="0" distR="0" wp14:anchorId="181F2DAE" wp14:editId="7F282CF2">
            <wp:extent cx="4972744" cy="3305636"/>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972744" cy="3305636"/>
                    </a:xfrm>
                    <a:prstGeom prst="rect">
                      <a:avLst/>
                    </a:prstGeom>
                    <a:ln/>
                  </pic:spPr>
                </pic:pic>
              </a:graphicData>
            </a:graphic>
          </wp:inline>
        </w:drawing>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Ahora bien, no pasa desapercibido mencionar, que respecto a este requerimiento, la persona Solicitante no señaló temporalidad, por lo que, en atención al Criterio 03/19, cuando el particular no haya señalado el periodo del cual requiere la información, para efectos de búsqueda de esta, será de un año inmediato anterior, contados a partir de la fecha en que se presentó la solicitud, tal como se advierte a continuación:</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709" w:right="616"/>
        <w:jc w:val="both"/>
        <w:rPr>
          <w:rFonts w:ascii="Palatino Linotype" w:eastAsia="Arial" w:hAnsi="Palatino Linotype" w:cs="Arial"/>
          <w:i/>
          <w:szCs w:val="24"/>
          <w:lang w:eastAsia="es-MX"/>
        </w:rPr>
      </w:pPr>
      <w:r w:rsidRPr="003C3066">
        <w:rPr>
          <w:rFonts w:ascii="Palatino Linotype" w:eastAsia="Arial" w:hAnsi="Palatino Linotype" w:cs="Arial"/>
          <w:b/>
          <w:i/>
          <w:szCs w:val="24"/>
          <w:lang w:eastAsia="es-MX"/>
        </w:rPr>
        <w:t xml:space="preserve">Periodo de búsqueda de la información. </w:t>
      </w:r>
      <w:r w:rsidRPr="003C3066">
        <w:rPr>
          <w:rFonts w:ascii="Palatino Linotype" w:eastAsia="Arial" w:hAnsi="Palatino Linotype" w:cs="Arial"/>
          <w:i/>
          <w:szCs w:val="24"/>
          <w:lang w:eastAsia="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Es por lo que, se determina que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deberá proporcionar la información relacionada con el </w:t>
      </w:r>
      <w:r w:rsidRPr="003C3066">
        <w:rPr>
          <w:rFonts w:ascii="Palatino Linotype" w:eastAsia="Palatino Linotype" w:hAnsi="Palatino Linotype" w:cs="Palatino Linotype"/>
          <w:b/>
          <w:sz w:val="24"/>
          <w:szCs w:val="24"/>
          <w:u w:val="single"/>
          <w:lang w:eastAsia="es-MX"/>
        </w:rPr>
        <w:t>padrón de beneficiarios de los programas sociales del veintisiete de marzo de dos mil veintiuno al veintisiete de marzo de dos mil veintidós</w:t>
      </w:r>
      <w:r w:rsidRPr="003C3066">
        <w:rPr>
          <w:rFonts w:ascii="Palatino Linotype" w:eastAsia="Palatino Linotype" w:hAnsi="Palatino Linotype" w:cs="Palatino Linotype"/>
          <w:sz w:val="24"/>
          <w:szCs w:val="24"/>
          <w:lang w:eastAsia="es-MX"/>
        </w:rPr>
        <w:t>.</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Ahora bien, es de mencionar que en cuanto hace a la información solicitada relativa a los estudios socioeconómicos que se aplicaron, es importante traer a colación lo que se entiende por </w:t>
      </w:r>
      <w:r w:rsidRPr="003C3066">
        <w:rPr>
          <w:rFonts w:ascii="Palatino Linotype" w:eastAsia="Palatino Linotype" w:hAnsi="Palatino Linotype" w:cs="Palatino Linotype"/>
          <w:i/>
          <w:sz w:val="24"/>
          <w:szCs w:val="24"/>
          <w:lang w:eastAsia="es-MX"/>
        </w:rPr>
        <w:t>“</w:t>
      </w:r>
      <w:r w:rsidRPr="003C3066">
        <w:rPr>
          <w:rFonts w:ascii="Palatino Linotype" w:eastAsia="Palatino Linotype" w:hAnsi="Palatino Linotype" w:cs="Palatino Linotype"/>
          <w:b/>
          <w:i/>
          <w:sz w:val="24"/>
          <w:szCs w:val="24"/>
          <w:lang w:eastAsia="es-MX"/>
        </w:rPr>
        <w:t>Reglas de Operación”</w:t>
      </w:r>
      <w:r w:rsidRPr="003C3066">
        <w:rPr>
          <w:rFonts w:ascii="Palatino Linotype" w:eastAsia="Palatino Linotype" w:hAnsi="Palatino Linotype" w:cs="Palatino Linotype"/>
          <w:sz w:val="24"/>
          <w:szCs w:val="24"/>
          <w:lang w:eastAsia="es-MX"/>
        </w:rPr>
        <w:t xml:space="preserve"> las cuales pueden ser entendidas como el modo en que los beneficiarios deben solicitar los recursos públicos y los criterios que debe seguir la autoridad para su asignación, es decir; en estas se precisará, entre otras cosas, los criterios de selección de los beneficiarios, el procedimiento de entrega o apoyo y el mecanismo de selección y asignación.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contexto, no pasa desapercibido mencionar que es posible que no en todos los programas sociales que se pongan a disposición de la población, se exige el llenado de </w:t>
      </w:r>
      <w:r w:rsidRPr="003C3066">
        <w:rPr>
          <w:rFonts w:ascii="Palatino Linotype" w:eastAsia="Palatino Linotype" w:hAnsi="Palatino Linotype" w:cs="Palatino Linotype"/>
          <w:b/>
          <w:sz w:val="24"/>
          <w:szCs w:val="24"/>
          <w:u w:val="single"/>
          <w:lang w:eastAsia="es-MX"/>
        </w:rPr>
        <w:t>formatos de estudio socioeconómico</w:t>
      </w:r>
      <w:r w:rsidRPr="003C3066">
        <w:rPr>
          <w:rFonts w:ascii="Palatino Linotype" w:eastAsia="Palatino Linotype" w:hAnsi="Palatino Linotype" w:cs="Palatino Linotype"/>
          <w:sz w:val="24"/>
          <w:szCs w:val="24"/>
          <w:lang w:eastAsia="es-MX"/>
        </w:rPr>
        <w:t xml:space="preserve">, toda vez que esto depende de la naturaleza de cada programa, por lo que, para atender la solicitud del Particular, el Ayuntamiento deberá proporcionar el o los formatos utilizados para realizar los estudios socioeconómicos de los programas sociales en los que se haya requerido.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Es necesario puntualizar, que en el presente caso, se entenderá como </w:t>
      </w:r>
      <w:r w:rsidRPr="003C3066">
        <w:rPr>
          <w:rFonts w:ascii="Palatino Linotype" w:eastAsia="Palatino Linotype" w:hAnsi="Palatino Linotype" w:cs="Palatino Linotype"/>
          <w:i/>
          <w:sz w:val="24"/>
          <w:szCs w:val="24"/>
          <w:lang w:eastAsia="es-MX"/>
        </w:rPr>
        <w:t>“formato”</w:t>
      </w:r>
      <w:r w:rsidRPr="003C3066">
        <w:rPr>
          <w:rFonts w:ascii="Palatino Linotype" w:eastAsia="Palatino Linotype" w:hAnsi="Palatino Linotype" w:cs="Palatino Linotype"/>
          <w:sz w:val="24"/>
          <w:szCs w:val="24"/>
          <w:lang w:eastAsia="es-MX"/>
        </w:rPr>
        <w:t xml:space="preserve"> a la estructura de un determinado documento, es decir; el documento diseñado con el propósito de que un usuario introduzca datos estructurados en las zonas destinadas a ese propósito, para ser almacenados y procesados posteriormente, en otras palabras; se requieren los </w:t>
      </w:r>
      <w:r w:rsidRPr="003C3066">
        <w:rPr>
          <w:rFonts w:ascii="Palatino Linotype" w:eastAsia="Palatino Linotype" w:hAnsi="Palatino Linotype" w:cs="Palatino Linotype"/>
          <w:i/>
          <w:sz w:val="24"/>
          <w:szCs w:val="24"/>
          <w:lang w:eastAsia="es-MX"/>
        </w:rPr>
        <w:t>“formularios”,</w:t>
      </w:r>
      <w:r w:rsidRPr="003C3066">
        <w:rPr>
          <w:rFonts w:ascii="Palatino Linotype" w:eastAsia="Palatino Linotype" w:hAnsi="Palatino Linotype" w:cs="Palatino Linotype"/>
          <w:sz w:val="24"/>
          <w:szCs w:val="24"/>
          <w:lang w:eastAsia="es-MX"/>
        </w:rPr>
        <w:t xml:space="preserve"> de tal forma que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proporcionará dicho documento </w:t>
      </w:r>
      <w:r w:rsidRPr="003C3066">
        <w:rPr>
          <w:rFonts w:ascii="Palatino Linotype" w:eastAsia="Palatino Linotype" w:hAnsi="Palatino Linotype" w:cs="Palatino Linotype"/>
          <w:b/>
          <w:sz w:val="24"/>
          <w:szCs w:val="24"/>
          <w:u w:val="single"/>
          <w:lang w:eastAsia="es-MX"/>
        </w:rPr>
        <w:t xml:space="preserve">sin cumplimentar.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3"/>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 xml:space="preserve">De la información que integran los informes trimestrales.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relación con este punto, es de recordar que </w:t>
      </w:r>
      <w:r w:rsidRPr="003C3066">
        <w:rPr>
          <w:rFonts w:ascii="Palatino Linotype" w:eastAsia="Palatino Linotype" w:hAnsi="Palatino Linotype" w:cs="Palatino Linotype"/>
          <w:b/>
          <w:sz w:val="24"/>
          <w:szCs w:val="24"/>
          <w:u w:val="single"/>
          <w:lang w:eastAsia="es-MX"/>
        </w:rPr>
        <w:t>el Particular solicitó obtener información de los bienes inmuebles que ha adquirido el Ayuntamiento, los que se han dado de baja, los que tiene en renta, sus vehículos y la información de obras públicas, tanto del año dos mil veintiuno como dos mil veintidós, respectivamente</w:t>
      </w: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sentido, es de traer a colación que la Legislatura a través del Órgano Superior de Fiscalización del Estado de México, controla, fiscaliza, revisa el ingreso y el gasto público de los poderes del Estado, Organismos Autónomos, Organismos Auxiliares y demás entes públicos que manejan recursos del Estado y Municipios.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tal forma que, el artículo 8 de la Ley de Fiscalización Superior del Estado de México, menciona que son atribuciones del Órgano Superior de Fiscalización las siguientes: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8.-</w:t>
      </w:r>
      <w:r w:rsidRPr="003C3066">
        <w:rPr>
          <w:rFonts w:ascii="Palatino Linotype" w:eastAsia="Palatino Linotype" w:hAnsi="Palatino Linotype" w:cs="Palatino Linotype"/>
          <w:i/>
          <w:szCs w:val="24"/>
          <w:lang w:eastAsia="es-MX"/>
        </w:rPr>
        <w:t xml:space="preserve"> El Órgano Superior tendrá las siguientes atribuciones:</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IV. Requerir y revisar de manera casuística y concreta, la información y documentación relativa a ejercicios anteriores al de la cuenta pública en revisión, sin que con este motivo se entienda</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XIV.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p>
    <w:p w:rsidR="003C3066" w:rsidRPr="003C3066" w:rsidRDefault="003C3066" w:rsidP="003C3066">
      <w:pPr>
        <w:spacing w:after="0" w:line="360"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atención a ello, los informes trimestrales son los documentos físico y/o electrónico que trimestralmente presentan las entidades fiscalizables sobre la situación económica, las finanzas públicas y, en su caso deuda pública para su análisis al Órgano Superior, a través de las tesorerías municipales y la Secretaría de Finanzas del Poder Ejecutivo y, en su caso las áreas competentes.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contexto, de conformidad con las “Políticas para la Integración del Informe Trimestral de los Sujetos de Fiscalización Estatales para el Ejercicio 2021” y los “Lineamientos para la integración y entrega del Informe Trimestral 2022”, los módulos que integrarán los informes trimestrales son: </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Módulo 1. Información Contable y Financiera.</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 xml:space="preserve">Módulo 2. Información Presupuestaria. </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Módulo 3. Información Programática y;</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Módulo 4. Información Administrativa.</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relación con lo que ahora nos ocupa, se tiene que el Módulo 4, para ambos años, se integra de información relativa a los </w:t>
      </w:r>
      <w:r w:rsidRPr="003C3066">
        <w:rPr>
          <w:rFonts w:ascii="Palatino Linotype" w:eastAsia="Palatino Linotype" w:hAnsi="Palatino Linotype" w:cs="Palatino Linotype"/>
          <w:b/>
          <w:sz w:val="24"/>
          <w:szCs w:val="24"/>
          <w:u w:val="single"/>
          <w:lang w:eastAsia="es-MX"/>
        </w:rPr>
        <w:t>Bienes Muebles e Inmuebles e información de obra</w:t>
      </w:r>
      <w:r w:rsidRPr="003C3066">
        <w:rPr>
          <w:rFonts w:ascii="Palatino Linotype" w:eastAsia="Palatino Linotype" w:hAnsi="Palatino Linotype" w:cs="Palatino Linotype"/>
          <w:sz w:val="24"/>
          <w:szCs w:val="24"/>
          <w:lang w:eastAsia="es-MX"/>
        </w:rPr>
        <w:t xml:space="preserve">, en ese sentido, toda vez que el Solicitante requirió obtener información relacionada con los bienes inmuebles adquiridos por el Ayuntamiento, es menester precisar que los informes trimestrales se conformará  de los siguientes documentos: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4"/>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Información de Bienes Muebles e Inmuebles del Ayuntamiento.</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En lo que respecta a esto cabe destacar que para el año dos mil veintiuno y dos mil veintidós, el informe trimestral de los municipios se integró por un documento denominado</w:t>
      </w:r>
      <w:r w:rsidRPr="003C3066">
        <w:rPr>
          <w:rFonts w:ascii="Palatino Linotype" w:eastAsia="Palatino Linotype" w:hAnsi="Palatino Linotype" w:cs="Palatino Linotype"/>
          <w:b/>
          <w:sz w:val="24"/>
          <w:szCs w:val="24"/>
          <w:lang w:eastAsia="es-MX"/>
        </w:rPr>
        <w:t xml:space="preserve"> “Reporte Mensual de Movimientos de Bienes Inmuebles”</w:t>
      </w:r>
      <w:r w:rsidRPr="003C3066">
        <w:rPr>
          <w:rFonts w:ascii="Palatino Linotype" w:eastAsia="Palatino Linotype" w:hAnsi="Palatino Linotype" w:cs="Palatino Linotype"/>
          <w:sz w:val="24"/>
          <w:szCs w:val="24"/>
          <w:lang w:eastAsia="es-MX"/>
        </w:rPr>
        <w:t xml:space="preserve"> que de su contenido se advierte lo siguiente: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noProof/>
          <w:sz w:val="24"/>
          <w:szCs w:val="24"/>
          <w:lang w:eastAsia="es-MX"/>
        </w:rPr>
        <w:drawing>
          <wp:inline distT="0" distB="0" distL="0" distR="0" wp14:anchorId="43513DB8" wp14:editId="1EB994C9">
            <wp:extent cx="5756275" cy="148844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56275" cy="1488440"/>
                    </a:xfrm>
                    <a:prstGeom prst="rect">
                      <a:avLst/>
                    </a:prstGeom>
                    <a:ln/>
                  </pic:spPr>
                </pic:pic>
              </a:graphicData>
            </a:graphic>
          </wp:inline>
        </w:drawing>
      </w:r>
      <w:r w:rsidRPr="003C3066">
        <w:rPr>
          <w:rFonts w:ascii="Times New Roman" w:eastAsia="Times New Roman" w:hAnsi="Times New Roman" w:cs="Times New Roman"/>
          <w:noProof/>
          <w:sz w:val="24"/>
          <w:szCs w:val="24"/>
          <w:lang w:eastAsia="es-MX"/>
        </w:rPr>
        <mc:AlternateContent>
          <mc:Choice Requires="wps">
            <w:drawing>
              <wp:anchor distT="0" distB="0" distL="114300" distR="114300" simplePos="0" relativeHeight="251659264" behindDoc="0" locked="0" layoutInCell="1" hidden="0" allowOverlap="1" wp14:anchorId="508DADCC" wp14:editId="66514F96">
                <wp:simplePos x="0" y="0"/>
                <wp:positionH relativeFrom="column">
                  <wp:posOffset>1536700</wp:posOffset>
                </wp:positionH>
                <wp:positionV relativeFrom="paragraph">
                  <wp:posOffset>342900</wp:posOffset>
                </wp:positionV>
                <wp:extent cx="419100" cy="1019175"/>
                <wp:effectExtent l="0" t="0" r="0" b="0"/>
                <wp:wrapNone/>
                <wp:docPr id="22" name="Rectángulo 22"/>
                <wp:cNvGraphicFramePr/>
                <a:graphic xmlns:a="http://schemas.openxmlformats.org/drawingml/2006/main">
                  <a:graphicData uri="http://schemas.microsoft.com/office/word/2010/wordprocessingShape">
                    <wps:wsp>
                      <wps:cNvSpPr/>
                      <wps:spPr>
                        <a:xfrm>
                          <a:off x="5155500" y="3289463"/>
                          <a:ext cx="381000" cy="981075"/>
                        </a:xfrm>
                        <a:prstGeom prst="rect">
                          <a:avLst/>
                        </a:prstGeom>
                        <a:noFill/>
                        <a:ln w="38100" cap="flat" cmpd="sng">
                          <a:solidFill>
                            <a:srgbClr val="FF0000"/>
                          </a:solidFill>
                          <a:prstDash val="solid"/>
                          <a:miter lim="800000"/>
                          <a:headEnd type="none" w="sm" len="sm"/>
                          <a:tailEnd type="none" w="sm" len="sm"/>
                        </a:ln>
                      </wps:spPr>
                      <wps:txbx>
                        <w:txbxContent>
                          <w:p w:rsidR="00F2058D" w:rsidRDefault="00F2058D" w:rsidP="003C3066">
                            <w:pPr>
                              <w:textDirection w:val="btLr"/>
                            </w:pPr>
                          </w:p>
                        </w:txbxContent>
                      </wps:txbx>
                      <wps:bodyPr spcFirstLastPara="1" wrap="square" lIns="91425" tIns="91425" rIns="91425" bIns="91425" anchor="ctr" anchorCtr="0">
                        <a:noAutofit/>
                      </wps:bodyPr>
                    </wps:wsp>
                  </a:graphicData>
                </a:graphic>
              </wp:anchor>
            </w:drawing>
          </mc:Choice>
          <mc:Fallback>
            <w:pict>
              <v:rect w14:anchorId="508DADCC" id="Rectángulo 22" o:spid="_x0000_s1026" style="position:absolute;left:0;text-align:left;margin-left:121pt;margin-top:27pt;width:33pt;height:8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" filled="f" strokecolor="red" strokeweight="3pt">
                <v:stroke startarrowwidth="narrow" startarrowlength="short" endarrowwidth="narrow" endarrowlength="short"/>
                <v:textbox inset="2.53958mm,2.53958mm,2.53958mm,2.53958mm">
                  <w:txbxContent>
                    <w:p w:rsidR="00F2058D" w:rsidRDefault="00F2058D" w:rsidP="003C3066">
                      <w:pPr>
                        <w:textDirection w:val="btLr"/>
                      </w:pPr>
                    </w:p>
                  </w:txbxContent>
                </v:textbox>
              </v:rect>
            </w:pict>
          </mc:Fallback>
        </mc:AlternateContent>
      </w:r>
      <w:r w:rsidRPr="003C3066">
        <w:rPr>
          <w:rFonts w:ascii="Times New Roman" w:eastAsia="Times New Roman" w:hAnsi="Times New Roman" w:cs="Times New Roman"/>
          <w:noProof/>
          <w:sz w:val="24"/>
          <w:szCs w:val="24"/>
          <w:lang w:eastAsia="es-MX"/>
        </w:rPr>
        <mc:AlternateContent>
          <mc:Choice Requires="wps">
            <w:drawing>
              <wp:anchor distT="0" distB="0" distL="114300" distR="114300" simplePos="0" relativeHeight="251660288" behindDoc="0" locked="0" layoutInCell="1" hidden="0" allowOverlap="1" wp14:anchorId="58671D95" wp14:editId="06E6D325">
                <wp:simplePos x="0" y="0"/>
                <wp:positionH relativeFrom="column">
                  <wp:posOffset>5295900</wp:posOffset>
                </wp:positionH>
                <wp:positionV relativeFrom="paragraph">
                  <wp:posOffset>355600</wp:posOffset>
                </wp:positionV>
                <wp:extent cx="419100" cy="1019175"/>
                <wp:effectExtent l="0" t="0" r="0" b="0"/>
                <wp:wrapNone/>
                <wp:docPr id="24" name="Rectángulo 24"/>
                <wp:cNvGraphicFramePr/>
                <a:graphic xmlns:a="http://schemas.openxmlformats.org/drawingml/2006/main">
                  <a:graphicData uri="http://schemas.microsoft.com/office/word/2010/wordprocessingShape">
                    <wps:wsp>
                      <wps:cNvSpPr/>
                      <wps:spPr>
                        <a:xfrm>
                          <a:off x="5155500" y="3289463"/>
                          <a:ext cx="381000" cy="981075"/>
                        </a:xfrm>
                        <a:prstGeom prst="rect">
                          <a:avLst/>
                        </a:prstGeom>
                        <a:noFill/>
                        <a:ln w="38100" cap="flat" cmpd="sng">
                          <a:solidFill>
                            <a:srgbClr val="FF0000"/>
                          </a:solidFill>
                          <a:prstDash val="solid"/>
                          <a:miter lim="800000"/>
                          <a:headEnd type="none" w="sm" len="sm"/>
                          <a:tailEnd type="none" w="sm" len="sm"/>
                        </a:ln>
                      </wps:spPr>
                      <wps:txbx>
                        <w:txbxContent>
                          <w:p w:rsidR="00F2058D" w:rsidRDefault="00F2058D" w:rsidP="003C3066">
                            <w:pPr>
                              <w:textDirection w:val="btLr"/>
                            </w:pPr>
                          </w:p>
                        </w:txbxContent>
                      </wps:txbx>
                      <wps:bodyPr spcFirstLastPara="1" wrap="square" lIns="91425" tIns="91425" rIns="91425" bIns="91425" anchor="ctr" anchorCtr="0">
                        <a:noAutofit/>
                      </wps:bodyPr>
                    </wps:wsp>
                  </a:graphicData>
                </a:graphic>
              </wp:anchor>
            </w:drawing>
          </mc:Choice>
          <mc:Fallback>
            <w:pict>
              <v:rect w14:anchorId="58671D95" id="Rectángulo 24" o:spid="_x0000_s1027" style="position:absolute;left:0;text-align:left;margin-left:417pt;margin-top:28pt;width:33pt;height:8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" filled="f" strokecolor="red" strokeweight="3pt">
                <v:stroke startarrowwidth="narrow" startarrowlength="short" endarrowwidth="narrow" endarrowlength="short"/>
                <v:textbox inset="2.53958mm,2.53958mm,2.53958mm,2.53958mm">
                  <w:txbxContent>
                    <w:p w:rsidR="00F2058D" w:rsidRDefault="00F2058D" w:rsidP="003C3066">
                      <w:pPr>
                        <w:textDirection w:val="btLr"/>
                      </w:pPr>
                    </w:p>
                  </w:txbxContent>
                </v:textbox>
              </v:rect>
            </w:pict>
          </mc:Fallback>
        </mc:AlternateConten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noProof/>
          <w:sz w:val="24"/>
          <w:szCs w:val="24"/>
          <w:lang w:eastAsia="es-MX"/>
        </w:rPr>
        <w:drawing>
          <wp:inline distT="0" distB="0" distL="0" distR="0" wp14:anchorId="603EE923" wp14:editId="6882D47B">
            <wp:extent cx="5725329" cy="1276529"/>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25329" cy="1276529"/>
                    </a:xfrm>
                    <a:prstGeom prst="rect">
                      <a:avLst/>
                    </a:prstGeom>
                    <a:ln/>
                  </pic:spPr>
                </pic:pic>
              </a:graphicData>
            </a:graphic>
          </wp:inline>
        </w:drawing>
      </w:r>
      <w:r w:rsidRPr="003C3066">
        <w:rPr>
          <w:rFonts w:ascii="Times New Roman" w:eastAsia="Times New Roman" w:hAnsi="Times New Roman" w:cs="Times New Roman"/>
          <w:noProof/>
          <w:sz w:val="24"/>
          <w:szCs w:val="24"/>
          <w:lang w:eastAsia="es-MX"/>
        </w:rPr>
        <mc:AlternateContent>
          <mc:Choice Requires="wps">
            <w:drawing>
              <wp:anchor distT="0" distB="0" distL="114300" distR="114300" simplePos="0" relativeHeight="251661312" behindDoc="0" locked="0" layoutInCell="1" hidden="0" allowOverlap="1" wp14:anchorId="7E1E5AAE" wp14:editId="6D89C9E8">
                <wp:simplePos x="0" y="0"/>
                <wp:positionH relativeFrom="column">
                  <wp:posOffset>558800</wp:posOffset>
                </wp:positionH>
                <wp:positionV relativeFrom="paragraph">
                  <wp:posOffset>0</wp:posOffset>
                </wp:positionV>
                <wp:extent cx="1524000" cy="1019175"/>
                <wp:effectExtent l="0" t="0" r="0" b="0"/>
                <wp:wrapNone/>
                <wp:docPr id="25" name="Rectángulo 25"/>
                <wp:cNvGraphicFramePr/>
                <a:graphic xmlns:a="http://schemas.openxmlformats.org/drawingml/2006/main">
                  <a:graphicData uri="http://schemas.microsoft.com/office/word/2010/wordprocessingShape">
                    <wps:wsp>
                      <wps:cNvSpPr/>
                      <wps:spPr>
                        <a:xfrm>
                          <a:off x="4603050" y="3289463"/>
                          <a:ext cx="1485900" cy="981075"/>
                        </a:xfrm>
                        <a:prstGeom prst="rect">
                          <a:avLst/>
                        </a:prstGeom>
                        <a:noFill/>
                        <a:ln w="38100" cap="flat" cmpd="sng">
                          <a:solidFill>
                            <a:srgbClr val="FF0000"/>
                          </a:solidFill>
                          <a:prstDash val="solid"/>
                          <a:miter lim="800000"/>
                          <a:headEnd type="none" w="sm" len="sm"/>
                          <a:tailEnd type="none" w="sm" len="sm"/>
                        </a:ln>
                      </wps:spPr>
                      <wps:txbx>
                        <w:txbxContent>
                          <w:p w:rsidR="00F2058D" w:rsidRDefault="00F2058D" w:rsidP="003C3066">
                            <w:pPr>
                              <w:textDirection w:val="btLr"/>
                            </w:pPr>
                          </w:p>
                        </w:txbxContent>
                      </wps:txbx>
                      <wps:bodyPr spcFirstLastPara="1" wrap="square" lIns="91425" tIns="91425" rIns="91425" bIns="91425" anchor="ctr" anchorCtr="0">
                        <a:noAutofit/>
                      </wps:bodyPr>
                    </wps:wsp>
                  </a:graphicData>
                </a:graphic>
              </wp:anchor>
            </w:drawing>
          </mc:Choice>
          <mc:Fallback>
            <w:pict>
              <v:rect w14:anchorId="7E1E5AAE" id="Rectángulo 25" o:spid="_x0000_s1028" style="position:absolute;left:0;text-align:left;margin-left:44pt;margin-top:0;width:120pt;height:8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" filled="f" strokecolor="red" strokeweight="3pt">
                <v:stroke startarrowwidth="narrow" startarrowlength="short" endarrowwidth="narrow" endarrowlength="short"/>
                <v:textbox inset="2.53958mm,2.53958mm,2.53958mm,2.53958mm">
                  <w:txbxContent>
                    <w:p w:rsidR="00F2058D" w:rsidRDefault="00F2058D" w:rsidP="003C3066">
                      <w:pPr>
                        <w:textDirection w:val="btLr"/>
                      </w:pPr>
                    </w:p>
                  </w:txbxContent>
                </v:textbox>
              </v:rect>
            </w:pict>
          </mc:Fallback>
        </mc:AlternateContent>
      </w:r>
      <w:r w:rsidRPr="003C3066">
        <w:rPr>
          <w:rFonts w:ascii="Times New Roman" w:eastAsia="Times New Roman" w:hAnsi="Times New Roman" w:cs="Times New Roman"/>
          <w:noProof/>
          <w:sz w:val="24"/>
          <w:szCs w:val="24"/>
          <w:lang w:eastAsia="es-MX"/>
        </w:rPr>
        <mc:AlternateContent>
          <mc:Choice Requires="wps">
            <w:drawing>
              <wp:anchor distT="0" distB="0" distL="114300" distR="114300" simplePos="0" relativeHeight="251662336" behindDoc="0" locked="0" layoutInCell="1" hidden="0" allowOverlap="1" wp14:anchorId="5A13BD7E" wp14:editId="4259807C">
                <wp:simplePos x="0" y="0"/>
                <wp:positionH relativeFrom="column">
                  <wp:posOffset>3708400</wp:posOffset>
                </wp:positionH>
                <wp:positionV relativeFrom="paragraph">
                  <wp:posOffset>0</wp:posOffset>
                </wp:positionV>
                <wp:extent cx="1123950" cy="1009650"/>
                <wp:effectExtent l="0" t="0" r="0" b="0"/>
                <wp:wrapNone/>
                <wp:docPr id="26" name="Rectángulo 26"/>
                <wp:cNvGraphicFramePr/>
                <a:graphic xmlns:a="http://schemas.openxmlformats.org/drawingml/2006/main">
                  <a:graphicData uri="http://schemas.microsoft.com/office/word/2010/wordprocessingShape">
                    <wps:wsp>
                      <wps:cNvSpPr/>
                      <wps:spPr>
                        <a:xfrm>
                          <a:off x="4803075" y="3294225"/>
                          <a:ext cx="1085850" cy="971550"/>
                        </a:xfrm>
                        <a:prstGeom prst="rect">
                          <a:avLst/>
                        </a:prstGeom>
                        <a:noFill/>
                        <a:ln w="38100" cap="flat" cmpd="sng">
                          <a:solidFill>
                            <a:srgbClr val="FF0000"/>
                          </a:solidFill>
                          <a:prstDash val="solid"/>
                          <a:miter lim="800000"/>
                          <a:headEnd type="none" w="sm" len="sm"/>
                          <a:tailEnd type="none" w="sm" len="sm"/>
                        </a:ln>
                      </wps:spPr>
                      <wps:txbx>
                        <w:txbxContent>
                          <w:p w:rsidR="00F2058D" w:rsidRDefault="00F2058D" w:rsidP="003C3066">
                            <w:pPr>
                              <w:textDirection w:val="btLr"/>
                            </w:pPr>
                          </w:p>
                        </w:txbxContent>
                      </wps:txbx>
                      <wps:bodyPr spcFirstLastPara="1" wrap="square" lIns="91425" tIns="91425" rIns="91425" bIns="91425" anchor="ctr" anchorCtr="0">
                        <a:noAutofit/>
                      </wps:bodyPr>
                    </wps:wsp>
                  </a:graphicData>
                </a:graphic>
              </wp:anchor>
            </w:drawing>
          </mc:Choice>
          <mc:Fallback>
            <w:pict>
              <v:rect w14:anchorId="5A13BD7E" id="Rectángulo 26" o:spid="_x0000_s1029" style="position:absolute;left:0;text-align:left;margin-left:292pt;margin-top:0;width:88.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" filled="f" strokecolor="red" strokeweight="3pt">
                <v:stroke startarrowwidth="narrow" startarrowlength="short" endarrowwidth="narrow" endarrowlength="short"/>
                <v:textbox inset="2.53958mm,2.53958mm,2.53958mm,2.53958mm">
                  <w:txbxContent>
                    <w:p w:rsidR="00F2058D" w:rsidRDefault="00F2058D" w:rsidP="003C3066">
                      <w:pPr>
                        <w:textDirection w:val="btLr"/>
                      </w:pPr>
                    </w:p>
                  </w:txbxContent>
                </v:textbox>
              </v:rect>
            </w:pict>
          </mc:Fallback>
        </mc:AlternateConten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esto se logra observar, que de manera enunciativa más no limitativa, el documento que da cuenta de los bienes inmuebles que le pertenecen al Ayuntamiento, el costo, y las fechas de alta y de baja, se pueden encontrar en el documento denominado Reporte Mensual de Movimientos de Bienes Inmuebles, los cuales fueron entregados al Órgano Superior de Fiscalización en las fechas y años correspondientes.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sz w:val="24"/>
          <w:szCs w:val="24"/>
          <w:lang w:eastAsia="es-MX"/>
        </w:rPr>
        <w:t xml:space="preserve">Asimismo, no pasa desapercibido mencionar que el Solicitante requirió obtener información de los bienes que se han dado de baja del patrimonio municipal, es especificando el bien y motivo de cada baja, es decir; </w:t>
      </w:r>
      <w:r w:rsidRPr="003C3066">
        <w:rPr>
          <w:rFonts w:ascii="Palatino Linotype" w:eastAsia="Palatino Linotype" w:hAnsi="Palatino Linotype" w:cs="Palatino Linotype"/>
          <w:b/>
          <w:sz w:val="24"/>
          <w:szCs w:val="24"/>
          <w:u w:val="single"/>
          <w:lang w:eastAsia="es-MX"/>
        </w:rPr>
        <w:t>de todos los bienes del ayuntamiento</w:t>
      </w:r>
      <w:r w:rsidRPr="003C3066">
        <w:rPr>
          <w:rFonts w:ascii="Palatino Linotype" w:eastAsia="Palatino Linotype" w:hAnsi="Palatino Linotype" w:cs="Palatino Linotype"/>
          <w:sz w:val="24"/>
          <w:szCs w:val="24"/>
          <w:lang w:eastAsia="es-MX"/>
        </w:rPr>
        <w:t xml:space="preserve">, por lo que, es de precisar que así como los informes trimestrales se integran del documento denominado </w:t>
      </w:r>
      <w:r w:rsidRPr="003C3066">
        <w:rPr>
          <w:rFonts w:ascii="Palatino Linotype" w:eastAsia="Palatino Linotype" w:hAnsi="Palatino Linotype" w:cs="Palatino Linotype"/>
          <w:i/>
          <w:sz w:val="24"/>
          <w:szCs w:val="24"/>
          <w:lang w:eastAsia="es-MX"/>
        </w:rPr>
        <w:t>“reporte de movimientos de bienes inmuebles”</w:t>
      </w:r>
      <w:r w:rsidRPr="003C3066">
        <w:rPr>
          <w:rFonts w:ascii="Palatino Linotype" w:eastAsia="Palatino Linotype" w:hAnsi="Palatino Linotype" w:cs="Palatino Linotype"/>
          <w:sz w:val="24"/>
          <w:szCs w:val="24"/>
          <w:lang w:eastAsia="es-MX"/>
        </w:rPr>
        <w:t xml:space="preserve">, también se conforman por reportes relacionados con bienes muebles y de bajo costo, en donde se puede advertir la fecha del movimiento, ya sea alta o baja y el comentario respectivo, el cual puede consistir en el motivo de baja de estos bienes, no obstante, en todo caso,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deberá otorgar una expresión documental y proporcionar a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w:t>
      </w:r>
      <w:r w:rsidRPr="003C3066">
        <w:rPr>
          <w:rFonts w:ascii="Palatino Linotype" w:eastAsia="Palatino Linotype" w:hAnsi="Palatino Linotype" w:cs="Palatino Linotype"/>
          <w:b/>
          <w:sz w:val="24"/>
          <w:szCs w:val="24"/>
          <w:lang w:eastAsia="es-MX"/>
        </w:rPr>
        <w:t xml:space="preserve">la documentación en donde consten las fechas de baja de los bienes del ayuntamiento y los motivos de esto, del periodo relativo de uno de enero de dos mil veintiuno al veintisiete de marzo de dos mil veintidós.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Para robustecer lo anterior, es importante traer a colación lo que establecen los Lineamientos para el Registro y Control del Inventario y la Conciliación y Desincorporación de Bienes Muebles e Inmuebles para las Entidades Fiscalizables Municipales del Estado de México (consultado en </w:t>
      </w:r>
      <w:hyperlink r:id="rId20">
        <w:r w:rsidRPr="003C3066">
          <w:rPr>
            <w:rFonts w:ascii="Palatino Linotype" w:eastAsia="Palatino Linotype" w:hAnsi="Palatino Linotype" w:cs="Palatino Linotype"/>
            <w:sz w:val="24"/>
            <w:szCs w:val="24"/>
            <w:u w:val="single"/>
            <w:lang w:eastAsia="es-MX"/>
          </w:rPr>
          <w:t>https://legislacion.edomex.gob.mx/sites/legislacion.edomex.gob.mx/files/files/vigentes/jul113.PDF</w:t>
        </w:r>
      </w:hyperlink>
      <w:r w:rsidRPr="003C3066">
        <w:rPr>
          <w:rFonts w:ascii="Palatino Linotype" w:eastAsia="Palatino Linotype" w:hAnsi="Palatino Linotype" w:cs="Palatino Linotype"/>
          <w:sz w:val="24"/>
          <w:szCs w:val="24"/>
          <w:lang w:eastAsia="es-MX"/>
        </w:rPr>
        <w:t>), los cuales refieren en su artículo noveno, lo siguiente:</w:t>
      </w:r>
    </w:p>
    <w:p w:rsidR="003C3066" w:rsidRPr="003C3066" w:rsidRDefault="003C3066" w:rsidP="003C3066">
      <w:pPr>
        <w:pBdr>
          <w:top w:val="nil"/>
          <w:left w:val="nil"/>
          <w:bottom w:val="nil"/>
          <w:right w:val="nil"/>
          <w:between w:val="nil"/>
        </w:pBdr>
        <w:spacing w:after="0" w:line="276" w:lineRule="auto"/>
        <w:ind w:right="49"/>
        <w:jc w:val="both"/>
        <w:rPr>
          <w:rFonts w:ascii="Palatino Linotype" w:eastAsia="Palatino Linotype" w:hAnsi="Palatino Linotype" w:cs="Palatino Linotype"/>
          <w:i/>
          <w:sz w:val="24"/>
          <w:szCs w:val="24"/>
          <w:lang w:eastAsia="es-MX"/>
        </w:rPr>
      </w:pP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NOVENO: Para efectos de los presentes Lineamientos, se entenderá por:</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XX. DEPURACIÓN:</w:t>
      </w:r>
      <w:r w:rsidRPr="003C3066">
        <w:rPr>
          <w:rFonts w:ascii="Palatino Linotype" w:eastAsia="Palatino Linotype" w:hAnsi="Palatino Linotype" w:cs="Palatino Linotype"/>
          <w:i/>
          <w:szCs w:val="24"/>
          <w:lang w:eastAsia="es-MX"/>
        </w:rPr>
        <w:t xml:space="preserve"> A los procedimientos mediante el cual se dan de baja los bienes muebles que ya no son de utilidad para la entidad fiscalizable, debiéndose registrar la baja en el inventario y en caso de los bienes muebles registrados en el activo no circulante, en el estado financiero;</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 w:val="24"/>
          <w:szCs w:val="24"/>
          <w:lang w:eastAsia="es-MX"/>
        </w:rPr>
      </w:pPr>
    </w:p>
    <w:p w:rsidR="003C3066" w:rsidRPr="003C3066" w:rsidRDefault="003C3066" w:rsidP="003C3066">
      <w:pPr>
        <w:pBdr>
          <w:top w:val="nil"/>
          <w:left w:val="nil"/>
          <w:bottom w:val="nil"/>
          <w:right w:val="nil"/>
          <w:between w:val="nil"/>
        </w:pBdr>
        <w:spacing w:after="0" w:line="276" w:lineRule="auto"/>
        <w:ind w:right="134"/>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Asimismo, los artículos de los Lineamientos señalados, refieren que: </w:t>
      </w:r>
    </w:p>
    <w:p w:rsidR="003C3066" w:rsidRPr="003C3066" w:rsidRDefault="003C3066" w:rsidP="003C3066">
      <w:pPr>
        <w:pBdr>
          <w:top w:val="nil"/>
          <w:left w:val="nil"/>
          <w:bottom w:val="nil"/>
          <w:right w:val="nil"/>
          <w:between w:val="nil"/>
        </w:pBdr>
        <w:spacing w:after="0" w:line="276" w:lineRule="auto"/>
        <w:ind w:right="134"/>
        <w:jc w:val="both"/>
        <w:rPr>
          <w:rFonts w:ascii="Palatino Linotype" w:eastAsia="Palatino Linotype" w:hAnsi="Palatino Linotype" w:cs="Palatino Linotype"/>
          <w:b/>
          <w:i/>
          <w:sz w:val="24"/>
          <w:szCs w:val="24"/>
          <w:lang w:eastAsia="es-MX"/>
        </w:rPr>
      </w:pP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SEXAGÉSIMO PRIMERO:</w:t>
      </w:r>
      <w:r w:rsidRPr="003C3066">
        <w:rPr>
          <w:rFonts w:ascii="Palatino Linotype" w:eastAsia="Palatino Linotype" w:hAnsi="Palatino Linotype" w:cs="Palatino Linotype"/>
          <w:i/>
          <w:szCs w:val="24"/>
          <w:lang w:eastAsia="es-MX"/>
        </w:rPr>
        <w:t xml:space="preserve"> Para realizar la baja de bienes muebles, la entidades fiscalizables elaborarán anualmente el programa anual para la disposición final de bienes muebles para lo cual </w:t>
      </w:r>
      <w:r w:rsidRPr="003C3066">
        <w:rPr>
          <w:rFonts w:ascii="Palatino Linotype" w:eastAsia="Palatino Linotype" w:hAnsi="Palatino Linotype" w:cs="Palatino Linotype"/>
          <w:b/>
          <w:i/>
          <w:szCs w:val="24"/>
          <w:u w:val="single"/>
          <w:lang w:eastAsia="es-MX"/>
        </w:rPr>
        <w:t>es necesario integrar un expediente técnico que contenga la documentación relativa a la baja del bien mueble, mismo que deberá ser enviado por las entidades fiscalizables, al Órgano Superior para su análisis y revisión.</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SEXAGÉSIMO TERCERO:</w:t>
      </w:r>
      <w:r w:rsidRPr="003C3066">
        <w:rPr>
          <w:rFonts w:ascii="Palatino Linotype" w:eastAsia="Palatino Linotype" w:hAnsi="Palatino Linotype" w:cs="Palatino Linotype"/>
          <w:i/>
          <w:szCs w:val="24"/>
          <w:lang w:eastAsia="es-MX"/>
        </w:rPr>
        <w:t xml:space="preserve"> Para dar de baja bienes muebles por enajenación, se deberán satisfacer los siguientes requisitos:</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IV. Acta de su órgano máximo de gobierno, donde se establecerán los siguientes señalamientos: motivos de la enajenación, destino de los recursos que se obtengan de la venta, autorización para darlos de baja del inventario general de bienes muebles así como la baja contable a precio de costo histórico o de registro, el número de inventario y las características de identificación, así como el total del importe que será dado de baja;</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SEXAGÉSIMO CUARTO</w:t>
      </w:r>
      <w:r w:rsidRPr="003C3066">
        <w:rPr>
          <w:rFonts w:ascii="Palatino Linotype" w:eastAsia="Palatino Linotype" w:hAnsi="Palatino Linotype" w:cs="Palatino Linotype"/>
          <w:i/>
          <w:szCs w:val="24"/>
          <w:lang w:eastAsia="es-MX"/>
        </w:rPr>
        <w:t>: Para dar de baja bienes muebles por robo o siniestro, se deberán satisfacer los siguientes requisitos</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11 Acta administrativa levantada por el titular del órgano de control interno, en la que se establezcan los hechos ocurridos, describiendo las características de identificación del bien mueble, mismas que deben coincidir con las descritas en la averiguación previa o carpeta de investigación, según corresponda atendiendo a la fecha en que ocurrieron los hechos, iniciada ante el ministerio público;</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SEXAGÉSIMO QUINTO:</w:t>
      </w:r>
      <w:r w:rsidRPr="003C3066">
        <w:rPr>
          <w:rFonts w:ascii="Palatino Linotype" w:eastAsia="Palatino Linotype" w:hAnsi="Palatino Linotype" w:cs="Palatino Linotype"/>
          <w:i/>
          <w:szCs w:val="24"/>
          <w:lang w:eastAsia="es-MX"/>
        </w:rPr>
        <w:t xml:space="preserve"> Los bienes muebles de las entidades fiscalizables, que por sus características o condiciones no pueden seguir siendo utilizados para el fin que tenían destinados, o su vida útil haya concluido y su reparación es incosteable, podrán ser destruidos y eliminados del inventario general de bienes muebles, en su caso también del activo fijo.</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1. Estudio técnico en el que se justifique que los bienes por sus condiciones de servicio, deterioro y uso, se ha determinado que su reparación es incosteable para la entidad fiscalizable, en cuanto a precio calidad y financiamiento, p </w:t>
      </w:r>
      <w:proofErr w:type="spellStart"/>
      <w:r w:rsidRPr="003C3066">
        <w:rPr>
          <w:rFonts w:ascii="Palatino Linotype" w:eastAsia="Palatino Linotype" w:hAnsi="Palatino Linotype" w:cs="Palatino Linotype"/>
          <w:i/>
          <w:szCs w:val="24"/>
          <w:lang w:eastAsia="es-MX"/>
        </w:rPr>
        <w:t>or</w:t>
      </w:r>
      <w:proofErr w:type="spellEnd"/>
      <w:r w:rsidRPr="003C3066">
        <w:rPr>
          <w:rFonts w:ascii="Palatino Linotype" w:eastAsia="Palatino Linotype" w:hAnsi="Palatino Linotype" w:cs="Palatino Linotype"/>
          <w:i/>
          <w:szCs w:val="24"/>
          <w:lang w:eastAsia="es-MX"/>
        </w:rPr>
        <w:t xml:space="preserve"> tal motivo son susceptibles de ser destruidos y como consecuencia dados de baja de los inventarios, emitido por experto en la materia;</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SEXAGÉSIMO OCTAVO:</w:t>
      </w:r>
      <w:r w:rsidRPr="003C3066">
        <w:rPr>
          <w:rFonts w:ascii="Palatino Linotype" w:eastAsia="Palatino Linotype" w:hAnsi="Palatino Linotype" w:cs="Palatino Linotype"/>
          <w:i/>
          <w:szCs w:val="24"/>
          <w:lang w:eastAsia="es-MX"/>
        </w:rPr>
        <w:t xml:space="preserve"> Para dar de baja bienes muebles por donación, se deberán satisfacer los siguientes requisitos:</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IV. Acta del órgano máximo de gobierno, en la que se autorice la baja de los bienes muebles por donación, mencionando los motivos, nombre, cantidad y características de identificación, así como el saldo que será dado de baja;</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SEPTUAGÉSIMO:</w:t>
      </w:r>
      <w:r w:rsidRPr="003C3066">
        <w:rPr>
          <w:rFonts w:ascii="Palatino Linotype" w:eastAsia="Palatino Linotype" w:hAnsi="Palatino Linotype" w:cs="Palatino Linotype"/>
          <w:i/>
          <w:szCs w:val="24"/>
          <w:lang w:eastAsia="es-MX"/>
        </w:rPr>
        <w:t xml:space="preserve"> Para dar de baja bienes muebles no localizados, se deberán satisfacer los siguientes requisitos:</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V. Acta del órgano máximo de gobierno, en la que se apruebe la baja de los bienes, mencionando que se autoriza la baja por ser bienes no localizados físicamente, las características de identificación y el saldo total de los bienes de baja;</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SEPTUAGÉSIMO SEGUNDO:</w:t>
      </w:r>
      <w:r w:rsidRPr="003C3066">
        <w:rPr>
          <w:rFonts w:ascii="Palatino Linotype" w:eastAsia="Palatino Linotype" w:hAnsi="Palatino Linotype" w:cs="Palatino Linotype"/>
          <w:i/>
          <w:szCs w:val="24"/>
          <w:lang w:eastAsia="es-MX"/>
        </w:rPr>
        <w:t xml:space="preserve"> Para dar de baja bienes muebles por dación en pago, se deberán satisfacer los siguientes requisitos:</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III. Acta del órgano máximo de gobierno, en la que se autoriza la baja de los bienes muebles por dación en pago, mencionando los motivos y características de identificación por cada bien;</w:t>
      </w:r>
    </w:p>
    <w:p w:rsidR="003C3066" w:rsidRPr="003C3066" w:rsidRDefault="003C3066" w:rsidP="003C3066">
      <w:pPr>
        <w:pBdr>
          <w:top w:val="nil"/>
          <w:left w:val="nil"/>
          <w:bottom w:val="nil"/>
          <w:right w:val="nil"/>
          <w:between w:val="nil"/>
        </w:pBdr>
        <w:tabs>
          <w:tab w:val="left" w:pos="8505"/>
        </w:tabs>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tabs>
          <w:tab w:val="left" w:pos="8505"/>
        </w:tabs>
        <w:spacing w:after="0" w:line="240" w:lineRule="auto"/>
        <w:ind w:left="567" w:right="560"/>
        <w:jc w:val="both"/>
        <w:rPr>
          <w:rFonts w:ascii="Palatino Linotype" w:eastAsia="Palatino Linotype" w:hAnsi="Palatino Linotype" w:cs="Palatino Linotype"/>
          <w:i/>
          <w:sz w:val="24"/>
          <w:szCs w:val="24"/>
          <w:lang w:eastAsia="es-MX"/>
        </w:rPr>
      </w:pPr>
    </w:p>
    <w:p w:rsidR="003C3066" w:rsidRPr="003C3066" w:rsidRDefault="003C3066" w:rsidP="003C3066">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los preceptos normativos antes descritos, se colige que, se entiendo por depuración al procedimiento mediante el cual se dan de baja los bienes muebles que no son de utilidad para la entidad fiscalizable, lo cual se debe registrar en el inventario respectivo. Asimismo, los Lineamientos antes citados prevén los diferentes requisitos y procedimientos para dar de baja los bienes muebles, ya sea en los casos de enajenación, por robo o siniestro, por obsoletos, por donación, los no localizados, por dación de pago, entre otros, y en donde, para que proceda la baja de estos, las entidades fiscalizables deberán integrar el expediente respectivo, que contenga entre otras cosas, las causas o motivos de baja, información que está generalmente contenida en las actas. </w:t>
      </w:r>
    </w:p>
    <w:p w:rsidR="003C3066" w:rsidRPr="003C3066" w:rsidRDefault="003C3066" w:rsidP="003C3066">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cuanto hace a las actas, para el año dos mil veintiuno y veintidós los informes trimestrales se integraron también por un documento denominado </w:t>
      </w:r>
      <w:r w:rsidRPr="003C3066">
        <w:rPr>
          <w:rFonts w:ascii="Palatino Linotype" w:eastAsia="Palatino Linotype" w:hAnsi="Palatino Linotype" w:cs="Palatino Linotype"/>
          <w:b/>
          <w:sz w:val="24"/>
          <w:szCs w:val="24"/>
          <w:lang w:eastAsia="es-MX"/>
        </w:rPr>
        <w:t>“Dictámenes de Adjudicación emitidos por el Comité de Arrendamiento, Adquisiciones de Inmuebles y Enajenaciones”</w:t>
      </w:r>
      <w:r w:rsidRPr="003C3066">
        <w:rPr>
          <w:rFonts w:ascii="Palatino Linotype" w:eastAsia="Palatino Linotype" w:hAnsi="Palatino Linotype" w:cs="Palatino Linotype"/>
          <w:sz w:val="24"/>
          <w:szCs w:val="24"/>
          <w:lang w:eastAsia="es-MX"/>
        </w:rPr>
        <w:t xml:space="preserve">, en el cual se observa lo siguiente: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noProof/>
          <w:sz w:val="24"/>
          <w:szCs w:val="24"/>
          <w:lang w:eastAsia="es-MX"/>
        </w:rPr>
        <w:drawing>
          <wp:inline distT="0" distB="0" distL="0" distR="0" wp14:anchorId="7EA2FC98" wp14:editId="4DC15478">
            <wp:extent cx="5756275" cy="111188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56275" cy="1111885"/>
                    </a:xfrm>
                    <a:prstGeom prst="rect">
                      <a:avLst/>
                    </a:prstGeom>
                    <a:ln/>
                  </pic:spPr>
                </pic:pic>
              </a:graphicData>
            </a:graphic>
          </wp:inline>
        </w:drawing>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ello, se advierte que, respecto a los bienes inmuebles el Sujeto Obligado a través de su Comité de Arrendamiento, Adquisiciones de Inmuebles y Enajenaciones, debe generar y administrar un acta mediante la cual se aprobó la adquisiciones de dichos bienes, toda vez que un documento de los que integran e integraron los informe trimestrales son llenados con la información de las referidas, por lo que, deberá proporcionar las </w:t>
      </w:r>
      <w:r w:rsidRPr="003C3066">
        <w:rPr>
          <w:rFonts w:ascii="Palatino Linotype" w:eastAsia="Palatino Linotype" w:hAnsi="Palatino Linotype" w:cs="Palatino Linotype"/>
          <w:b/>
          <w:sz w:val="24"/>
          <w:szCs w:val="24"/>
          <w:lang w:eastAsia="es-MX"/>
        </w:rPr>
        <w:t>actas mediante las cuales se aprobó la adquisición de los bienes inmuebles propiedad del Ayuntamiento, del uno de enero al veintisiete de marzo de dos mil veintidós.</w:t>
      </w: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otro lado, hay que precisar que el Particular requirió los contratos de los bienes inmuebles adquiridos y los que se han rentado, por lo que, resulta necesario traer a colación que el artículo 92, fracción XXIX, menciona que los sujetos obligados deberán poner a disposición del público de manera actualizada y permanente la información relativa a los procesos y resultados sobre procedimientos de adjudicación directa, invitación restringida y licitación de cualquier naturaleza, incluyendo la versión pública del expediente y de los contratos celebrados, que deberán contener, por lo menos lo siguiente: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92.</w:t>
      </w:r>
      <w:r w:rsidRPr="003C3066">
        <w:rPr>
          <w:rFonts w:ascii="Palatino Linotype" w:eastAsia="Palatino Linotype" w:hAnsi="Palatino Linotype" w:cs="Palatino Linotype"/>
          <w:i/>
          <w:szCs w:val="24"/>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lang w:eastAsia="es-MX"/>
        </w:rPr>
        <w:t>a) De licitaciones públicas o procedimientos de invitación restringida:</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u w:val="single"/>
          <w:lang w:eastAsia="es-MX"/>
        </w:rPr>
        <w:t>7) El contrato</w:t>
      </w:r>
      <w:r w:rsidRPr="003C3066">
        <w:rPr>
          <w:rFonts w:ascii="Palatino Linotype" w:eastAsia="Palatino Linotype" w:hAnsi="Palatino Linotype" w:cs="Palatino Linotype"/>
          <w:b/>
          <w:i/>
          <w:szCs w:val="24"/>
          <w:lang w:eastAsia="es-MX"/>
        </w:rPr>
        <w:t xml:space="preserve"> y, en su caso, sus anexos;</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lang w:eastAsia="es-MX"/>
        </w:rPr>
        <w:t>b) De las adjudicaciones directas:</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lang w:eastAsia="es-MX"/>
        </w:rPr>
        <w:t xml:space="preserve">7) El número, fecha, </w:t>
      </w:r>
      <w:r w:rsidRPr="003C3066">
        <w:rPr>
          <w:rFonts w:ascii="Palatino Linotype" w:eastAsia="Palatino Linotype" w:hAnsi="Palatino Linotype" w:cs="Palatino Linotype"/>
          <w:b/>
          <w:i/>
          <w:szCs w:val="24"/>
          <w:u w:val="single"/>
          <w:lang w:eastAsia="es-MX"/>
        </w:rPr>
        <w:t>el monto del contrato</w:t>
      </w:r>
      <w:r w:rsidRPr="003C3066">
        <w:rPr>
          <w:rFonts w:ascii="Palatino Linotype" w:eastAsia="Palatino Linotype" w:hAnsi="Palatino Linotype" w:cs="Palatino Linotype"/>
          <w:b/>
          <w:i/>
          <w:szCs w:val="24"/>
          <w:lang w:eastAsia="es-MX"/>
        </w:rPr>
        <w:t xml:space="preserve"> y el plazo de entrega o de ejecución de los servicios u obra;</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lang w:eastAsia="es-MX"/>
        </w:rPr>
      </w:pPr>
      <w:r w:rsidRPr="003C3066">
        <w:rPr>
          <w:rFonts w:ascii="Palatino Linotype" w:eastAsia="Palatino Linotype" w:hAnsi="Palatino Linotype" w:cs="Palatino Linotype"/>
          <w:szCs w:val="24"/>
          <w:lang w:eastAsia="es-MX"/>
        </w:rPr>
        <w:t xml:space="preserve">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sz w:val="24"/>
          <w:szCs w:val="24"/>
          <w:lang w:eastAsia="es-MX"/>
        </w:rPr>
        <w:t xml:space="preserve">Por lo que se colige, que los contratos son documentos que deben integrar los expedientes derivados de los procesos y procedimientos de adjudicación directa, invitación restringida y licitación, y a la vez, estos deben ser puestos a disposición del público, toda vez que son considerados como una </w:t>
      </w:r>
      <w:r w:rsidRPr="003C3066">
        <w:rPr>
          <w:rFonts w:ascii="Palatino Linotype" w:eastAsia="Palatino Linotype" w:hAnsi="Palatino Linotype" w:cs="Palatino Linotype"/>
          <w:b/>
          <w:sz w:val="24"/>
          <w:szCs w:val="24"/>
          <w:lang w:eastAsia="es-MX"/>
        </w:rPr>
        <w:t xml:space="preserve">obligación de transparencia. </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lang w:eastAsia="es-MX"/>
        </w:rPr>
      </w:pP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lang w:eastAsia="es-MX"/>
        </w:rPr>
      </w:pPr>
      <w:r w:rsidRPr="003C3066">
        <w:rPr>
          <w:rFonts w:ascii="Palatino Linotype" w:eastAsia="Palatino Linotype" w:hAnsi="Palatino Linotype" w:cs="Palatino Linotype"/>
          <w:sz w:val="24"/>
          <w:szCs w:val="24"/>
          <w:lang w:eastAsia="es-MX"/>
        </w:rPr>
        <w:t xml:space="preserve">Es por lo anterior, que se determina que el Sujeto Obligado, deberá proporcionar la información relativa a </w:t>
      </w:r>
      <w:r w:rsidRPr="003C3066">
        <w:rPr>
          <w:rFonts w:ascii="Palatino Linotype" w:eastAsia="Palatino Linotype" w:hAnsi="Palatino Linotype" w:cs="Palatino Linotype"/>
          <w:b/>
          <w:sz w:val="24"/>
          <w:szCs w:val="24"/>
          <w:u w:val="single"/>
          <w:lang w:eastAsia="es-MX"/>
        </w:rPr>
        <w:t>los documentos donde consten los bienes inmuebles adquiridos por el Ayuntamiento, costo, actas emitidas para tales efectos y contratos de estos; los bienes dados de baja y motivo y; los bienes inmuebles rentados y costo mensual, acompañado de su contrato, todo ello, del periodo comprendido del uno de enero de dos mil veintiuno al veintisiete de marzo de dos mil veintidós.</w:t>
      </w:r>
    </w:p>
    <w:p w:rsidR="003C3066" w:rsidRPr="003C3066" w:rsidRDefault="003C3066" w:rsidP="003C3066">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lang w:eastAsia="es-MX"/>
        </w:rPr>
      </w:pPr>
    </w:p>
    <w:p w:rsidR="003C3066" w:rsidRPr="003C3066" w:rsidRDefault="003C3066" w:rsidP="003C3066">
      <w:pPr>
        <w:numPr>
          <w:ilvl w:val="0"/>
          <w:numId w:val="15"/>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Información de Obra Pública.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Como se mencionó el Módulo 4 que integra el Informe Trimestral Municipal 2022, se conforma por un </w:t>
      </w:r>
      <w:proofErr w:type="spellStart"/>
      <w:r w:rsidRPr="003C3066">
        <w:rPr>
          <w:rFonts w:ascii="Palatino Linotype" w:eastAsia="Palatino Linotype" w:hAnsi="Palatino Linotype" w:cs="Palatino Linotype"/>
          <w:sz w:val="24"/>
          <w:szCs w:val="24"/>
          <w:lang w:eastAsia="es-MX"/>
        </w:rPr>
        <w:t>submódulo</w:t>
      </w:r>
      <w:proofErr w:type="spellEnd"/>
      <w:r w:rsidRPr="003C3066">
        <w:rPr>
          <w:rFonts w:ascii="Palatino Linotype" w:eastAsia="Palatino Linotype" w:hAnsi="Palatino Linotype" w:cs="Palatino Linotype"/>
          <w:sz w:val="24"/>
          <w:szCs w:val="24"/>
          <w:lang w:eastAsia="es-MX"/>
        </w:rPr>
        <w:t xml:space="preserve"> denominado </w:t>
      </w:r>
      <w:r w:rsidRPr="003C3066">
        <w:rPr>
          <w:rFonts w:ascii="Palatino Linotype" w:eastAsia="Palatino Linotype" w:hAnsi="Palatino Linotype" w:cs="Palatino Linotype"/>
          <w:i/>
          <w:sz w:val="24"/>
          <w:szCs w:val="24"/>
          <w:lang w:eastAsia="es-MX"/>
        </w:rPr>
        <w:t>“obra”</w:t>
      </w:r>
      <w:r w:rsidRPr="003C3066">
        <w:rPr>
          <w:rFonts w:ascii="Palatino Linotype" w:eastAsia="Palatino Linotype" w:hAnsi="Palatino Linotype" w:cs="Palatino Linotype"/>
          <w:sz w:val="24"/>
          <w:szCs w:val="24"/>
          <w:lang w:eastAsia="es-MX"/>
        </w:rPr>
        <w:t xml:space="preserve">, el cual para dar cuenta de esta información se integrará de diversos documentos como el denominado </w:t>
      </w:r>
      <w:r w:rsidRPr="003C3066">
        <w:rPr>
          <w:rFonts w:ascii="Palatino Linotype" w:eastAsia="Palatino Linotype" w:hAnsi="Palatino Linotype" w:cs="Palatino Linotype"/>
          <w:b/>
          <w:sz w:val="24"/>
          <w:szCs w:val="24"/>
          <w:lang w:eastAsia="es-MX"/>
        </w:rPr>
        <w:t>“</w:t>
      </w:r>
      <w:r w:rsidRPr="003C3066">
        <w:rPr>
          <w:rFonts w:ascii="Palatino Linotype" w:eastAsia="Palatino Linotype" w:hAnsi="Palatino Linotype" w:cs="Palatino Linotype"/>
          <w:b/>
          <w:sz w:val="24"/>
          <w:szCs w:val="24"/>
          <w:u w:val="single"/>
          <w:lang w:eastAsia="es-MX"/>
        </w:rPr>
        <w:t>Conciliación de Obra Pública</w:t>
      </w:r>
      <w:r w:rsidRPr="003C3066">
        <w:rPr>
          <w:rFonts w:ascii="Palatino Linotype" w:eastAsia="Palatino Linotype" w:hAnsi="Palatino Linotype" w:cs="Palatino Linotype"/>
          <w:b/>
          <w:sz w:val="24"/>
          <w:szCs w:val="24"/>
          <w:lang w:eastAsia="es-MX"/>
        </w:rPr>
        <w:t>”</w:t>
      </w:r>
      <w:r w:rsidRPr="003C3066">
        <w:rPr>
          <w:rFonts w:ascii="Palatino Linotype" w:eastAsia="Palatino Linotype" w:hAnsi="Palatino Linotype" w:cs="Palatino Linotype"/>
          <w:sz w:val="24"/>
          <w:szCs w:val="24"/>
          <w:lang w:eastAsia="es-MX"/>
        </w:rPr>
        <w:t xml:space="preserve">, del cual se puede obtener información de las obras que se ha realizado el Ayuntamiento, la modalidad de ejecución y el costo de la misma, como se advierte a continuación: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noProof/>
          <w:sz w:val="24"/>
          <w:szCs w:val="24"/>
          <w:lang w:eastAsia="es-MX"/>
        </w:rPr>
        <w:drawing>
          <wp:inline distT="0" distB="0" distL="0" distR="0" wp14:anchorId="0CD2662D" wp14:editId="7EA67302">
            <wp:extent cx="5756275" cy="1442720"/>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756275" cy="1442720"/>
                    </a:xfrm>
                    <a:prstGeom prst="rect">
                      <a:avLst/>
                    </a:prstGeom>
                    <a:ln/>
                  </pic:spPr>
                </pic:pic>
              </a:graphicData>
            </a:graphic>
          </wp:inline>
        </w:drawing>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noProof/>
          <w:sz w:val="24"/>
          <w:szCs w:val="24"/>
          <w:lang w:eastAsia="es-MX"/>
        </w:rPr>
        <w:drawing>
          <wp:inline distT="0" distB="0" distL="0" distR="0" wp14:anchorId="52970970" wp14:editId="0751F551">
            <wp:extent cx="5756275" cy="1466850"/>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b="12200"/>
                    <a:stretch>
                      <a:fillRect/>
                    </a:stretch>
                  </pic:blipFill>
                  <pic:spPr>
                    <a:xfrm>
                      <a:off x="0" y="0"/>
                      <a:ext cx="5756275" cy="1466850"/>
                    </a:xfrm>
                    <a:prstGeom prst="rect">
                      <a:avLst/>
                    </a:prstGeom>
                    <a:ln/>
                  </pic:spPr>
                </pic:pic>
              </a:graphicData>
            </a:graphic>
          </wp:inline>
        </w:drawing>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No obstante, como se dijo, una de las obligaciones de transparencia establecidas por la Ley en la materia, en su artículo 92, es la de poner a disposición del público la </w:t>
      </w:r>
      <w:r w:rsidRPr="003C3066">
        <w:rPr>
          <w:rFonts w:ascii="Palatino Linotype" w:eastAsia="Palatino Linotype" w:hAnsi="Palatino Linotype" w:cs="Palatino Linotype"/>
          <w:b/>
          <w:sz w:val="24"/>
          <w:szCs w:val="24"/>
          <w:u w:val="single"/>
          <w:lang w:eastAsia="es-MX"/>
        </w:rPr>
        <w:t>información relacionada con los procedimientos de licitación de cualquier naturaleza</w:t>
      </w:r>
      <w:r w:rsidRPr="003C3066">
        <w:rPr>
          <w:rFonts w:ascii="Palatino Linotype" w:eastAsia="Palatino Linotype" w:hAnsi="Palatino Linotype" w:cs="Palatino Linotype"/>
          <w:sz w:val="24"/>
          <w:szCs w:val="24"/>
          <w:lang w:eastAsia="es-MX"/>
        </w:rPr>
        <w:t xml:space="preserve">, </w:t>
      </w:r>
      <w:r w:rsidRPr="003C3066">
        <w:rPr>
          <w:rFonts w:ascii="Palatino Linotype" w:eastAsia="Palatino Linotype" w:hAnsi="Palatino Linotype" w:cs="Palatino Linotype"/>
          <w:b/>
          <w:sz w:val="24"/>
          <w:szCs w:val="24"/>
          <w:u w:val="single"/>
          <w:lang w:eastAsia="es-MX"/>
        </w:rPr>
        <w:t>invitación restringida y adjudicación directa</w:t>
      </w:r>
      <w:r w:rsidRPr="003C3066">
        <w:rPr>
          <w:rFonts w:ascii="Palatino Linotype" w:eastAsia="Palatino Linotype" w:hAnsi="Palatino Linotype" w:cs="Palatino Linotype"/>
          <w:b/>
          <w:sz w:val="24"/>
          <w:szCs w:val="24"/>
          <w:lang w:eastAsia="es-MX"/>
        </w:rPr>
        <w:t>,</w:t>
      </w:r>
      <w:r w:rsidRPr="003C3066">
        <w:rPr>
          <w:rFonts w:ascii="Palatino Linotype" w:eastAsia="Palatino Linotype" w:hAnsi="Palatino Linotype" w:cs="Palatino Linotype"/>
          <w:sz w:val="24"/>
          <w:szCs w:val="24"/>
          <w:lang w:eastAsia="es-MX"/>
        </w:rPr>
        <w:t xml:space="preserve"> de tal manera que, lo relativo a las obras que ha realizado el Ayuntamiento y su costo, se puede obtener en los contratos respectivos.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Ahora bien, hay que mencionar que el Solicitante también requirió conocer </w:t>
      </w:r>
      <w:r w:rsidRPr="003C3066">
        <w:rPr>
          <w:rFonts w:ascii="Palatino Linotype" w:eastAsia="Palatino Linotype" w:hAnsi="Palatino Linotype" w:cs="Palatino Linotype"/>
          <w:b/>
          <w:sz w:val="24"/>
          <w:szCs w:val="24"/>
          <w:u w:val="single"/>
          <w:lang w:eastAsia="es-MX"/>
        </w:rPr>
        <w:t>¿cómo fue el proceso de licitación para la realización de las obras?</w:t>
      </w:r>
      <w:r w:rsidRPr="003C3066">
        <w:rPr>
          <w:rFonts w:ascii="Palatino Linotype" w:eastAsia="Palatino Linotype" w:hAnsi="Palatino Linotype" w:cs="Palatino Linotype"/>
          <w:sz w:val="24"/>
          <w:szCs w:val="24"/>
          <w:lang w:eastAsia="es-MX"/>
        </w:rPr>
        <w:t xml:space="preserve">, por lo que, si bien, esto puede entenderse como una consulta, también lo es que, el SUJETO OBLIGADO debe dar una expresión documental a dicha interrogante, tal como lo precisa el Criterio 16/17 emitido por el Instituto Nacional de Transparencia, Acceso a la Información y Protección de Datos Personales, que a la literalidad refiere: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szCs w:val="24"/>
          <w:lang w:eastAsia="es-MX"/>
        </w:rPr>
      </w:pPr>
      <w:r w:rsidRPr="003C3066">
        <w:rPr>
          <w:rFonts w:ascii="Times New Roman" w:eastAsia="Times New Roman" w:hAnsi="Times New Roman" w:cs="Times New Roman"/>
          <w:sz w:val="24"/>
          <w:szCs w:val="24"/>
          <w:lang w:eastAsia="es-MX"/>
        </w:rPr>
        <w:t> </w:t>
      </w:r>
      <w:r w:rsidRPr="003C3066">
        <w:rPr>
          <w:rFonts w:ascii="Times New Roman" w:eastAsia="Times New Roman" w:hAnsi="Times New Roman" w:cs="Times New Roman"/>
          <w:szCs w:val="24"/>
          <w:lang w:eastAsia="es-MX"/>
        </w:rPr>
        <w:t>“</w:t>
      </w:r>
      <w:r w:rsidRPr="003C3066">
        <w:rPr>
          <w:rFonts w:ascii="Palatino Linotype" w:eastAsia="Palatino Linotype" w:hAnsi="Palatino Linotype" w:cs="Palatino Linotype"/>
          <w:b/>
          <w:i/>
          <w:szCs w:val="24"/>
          <w:lang w:eastAsia="es-MX"/>
        </w:rPr>
        <w:t xml:space="preserve">Expresión documental. </w:t>
      </w:r>
      <w:r w:rsidRPr="003C3066">
        <w:rPr>
          <w:rFonts w:ascii="Palatino Linotype" w:eastAsia="Palatino Linotype" w:hAnsi="Palatino Linotype" w:cs="Palatino Linotype"/>
          <w:i/>
          <w:szCs w:val="24"/>
          <w:lang w:eastAsia="es-MX"/>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3C3066" w:rsidRPr="003C3066" w:rsidRDefault="003C3066" w:rsidP="003C3066">
      <w:pPr>
        <w:pBdr>
          <w:top w:val="nil"/>
          <w:left w:val="nil"/>
          <w:bottom w:val="nil"/>
          <w:right w:val="nil"/>
          <w:between w:val="nil"/>
        </w:pBdr>
        <w:spacing w:after="0" w:line="276" w:lineRule="auto"/>
        <w:ind w:left="851" w:right="902"/>
        <w:jc w:val="both"/>
        <w:rPr>
          <w:rFonts w:ascii="Times New Roman" w:eastAsia="Times New Roman" w:hAnsi="Times New Roman" w:cs="Times New Roman"/>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Aunado a lo anterior, de conformidad con el artículo 13 de la Ley de Transparencia y Acceso a la Información Pública del Estado de México y Municipios, este Instituto deberá suplir cualquier deficiencia que garantice el ejercicio del derecho de acceso a la información, de tal manera que, se colige que </w:t>
      </w:r>
      <w:r w:rsidRPr="003C3066">
        <w:rPr>
          <w:rFonts w:ascii="Palatino Linotype" w:eastAsia="Palatino Linotype" w:hAnsi="Palatino Linotype" w:cs="Palatino Linotype"/>
          <w:b/>
          <w:sz w:val="24"/>
          <w:szCs w:val="24"/>
          <w:u w:val="single"/>
          <w:lang w:eastAsia="es-MX"/>
        </w:rPr>
        <w:t>la pretensión del ahora Recurrente es obtener los documentos que den cuenta de los procedimientos de licitación respecto de las obras públicas realizadas en el municipio, del uno de enero al veintisiete de marzo de dos mil veintidós.</w:t>
      </w: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Es por lo anterior, que este Organismo Garante, determina que el SUJETO OBLIGADO deberá proporcionar la información relativa a </w:t>
      </w:r>
      <w:r w:rsidRPr="003C3066">
        <w:rPr>
          <w:rFonts w:ascii="Palatino Linotype" w:eastAsia="Palatino Linotype" w:hAnsi="Palatino Linotype" w:cs="Palatino Linotype"/>
          <w:b/>
          <w:sz w:val="24"/>
          <w:szCs w:val="24"/>
          <w:lang w:eastAsia="es-MX"/>
        </w:rPr>
        <w:t xml:space="preserve">los documentos que den cuenta de las obras realizadas en el municipio, el costo de las mismas, además de entregar aquellos que den cuenta de cuál fue el proceso de licitación de estas, del periodo concerniente del uno de enero al veintisiete de marzo de dos mil veintidós. </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5"/>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Del Parque Vehicular. </w:t>
      </w:r>
    </w:p>
    <w:p w:rsidR="003C3066" w:rsidRPr="003C3066" w:rsidRDefault="003C3066" w:rsidP="003C306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relación con esto, es de mencionar que el Particular solicitó obtener información </w:t>
      </w:r>
      <w:r w:rsidRPr="003C3066">
        <w:rPr>
          <w:rFonts w:ascii="Palatino Linotype" w:eastAsia="Palatino Linotype" w:hAnsi="Palatino Linotype" w:cs="Palatino Linotype"/>
          <w:b/>
          <w:sz w:val="24"/>
          <w:szCs w:val="24"/>
          <w:u w:val="single"/>
          <w:lang w:eastAsia="es-MX"/>
        </w:rPr>
        <w:t>relativa a los vehículos que fueron adquiridos, el uso de estos y los costos que generan</w:t>
      </w:r>
      <w:r w:rsidRPr="003C3066">
        <w:rPr>
          <w:rFonts w:ascii="Palatino Linotype" w:eastAsia="Palatino Linotype" w:hAnsi="Palatino Linotype" w:cs="Palatino Linotype"/>
          <w:sz w:val="24"/>
          <w:szCs w:val="24"/>
          <w:lang w:eastAsia="es-MX"/>
        </w:rPr>
        <w:t xml:space="preserve">, por lo que, como se ha referido anteriormente de conformidad con la Ley de Contratación Pública del Estado de México y Municipios, las adquisiciones, arrendamientos y servicios se adjudicarán a través de licitaciones públicas, mediante convocatorias públicas, sin embargo, los ayuntamientos podrán adjudicar adquisiciones, arrendamientos y servicios, mediante excepciones al procedimiento de licitación como lo es la invitación restringida y la adjudicación directa, esto de acuerdo con los artículo 26 y 27 de la Ley citada.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sentido, como lo establece el artículo 92 de la Ley de Transparencia y Acceso a la Información Pública del estado de México y Municipios, la información sobre los procesos y resultados de adjudicación, invitación y licitación deberá ser puesta a disposición del público de manera actualizada y permanente, por ser una obligación de transparencia, como a continuación se observa: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92.</w:t>
      </w:r>
      <w:r w:rsidRPr="003C3066">
        <w:rPr>
          <w:rFonts w:ascii="Palatino Linotype" w:eastAsia="Palatino Linotype" w:hAnsi="Palatino Linotype" w:cs="Palatino Linotype"/>
          <w:i/>
          <w:szCs w:val="24"/>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3C3066" w:rsidRPr="003C3066" w:rsidRDefault="003C3066" w:rsidP="003C3066">
      <w:pPr>
        <w:spacing w:after="0" w:line="276" w:lineRule="auto"/>
        <w:ind w:left="567" w:right="49"/>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49"/>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a) De licitaciones públicas o procedimientos de invitación restringida:</w:t>
      </w:r>
    </w:p>
    <w:p w:rsidR="003C3066" w:rsidRPr="003C3066" w:rsidRDefault="003C3066" w:rsidP="003C3066">
      <w:pPr>
        <w:spacing w:after="0" w:line="276" w:lineRule="auto"/>
        <w:ind w:left="567" w:right="49"/>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49"/>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7) El contrato y, en su caso, sus anexos;</w:t>
      </w:r>
    </w:p>
    <w:p w:rsidR="003C3066" w:rsidRPr="003C3066" w:rsidRDefault="003C3066" w:rsidP="003C3066">
      <w:pPr>
        <w:spacing w:after="0" w:line="276" w:lineRule="auto"/>
        <w:ind w:left="567" w:right="49"/>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lo anterior, se colige que la información solicitada relativa a conocer los vehículos que fueron adquiridos, se puede encontrar inmersa en los documentos que integran los expedientes de los procedimientos respectivos, específicamente en los contratos y sus anexos.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Ahora bien, en relación con el uso que se les da a estos, el SUJETO OBLIGADO, deberá dar una expresión documental a este requerimiento, de conformidad con el Criterio 16/17 emitido por el Instituto Nacional de Transparencia, Acceso a la Información y Protección de Datos Personales.</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b/>
          <w:sz w:val="24"/>
          <w:szCs w:val="24"/>
          <w:u w:val="single"/>
          <w:lang w:eastAsia="es-MX"/>
        </w:rPr>
      </w:pPr>
      <w:r w:rsidRPr="003C3066">
        <w:rPr>
          <w:rFonts w:ascii="Palatino Linotype" w:eastAsia="Palatino Linotype" w:hAnsi="Palatino Linotype" w:cs="Palatino Linotype"/>
          <w:sz w:val="24"/>
          <w:szCs w:val="24"/>
          <w:lang w:eastAsia="es-MX"/>
        </w:rPr>
        <w:t xml:space="preserve">Por otro lado, también es de recordar que el Solicitante requirió obtener el documento donde conste el costo que generan, por lo que, en aplicación al artículo 13 de la Ley de Transparencia y Acceso a la Información Pública del Estado de México y Municipios, se colige que la pretensión del ahora Recurrente es obtener </w:t>
      </w:r>
      <w:r w:rsidRPr="003C3066">
        <w:rPr>
          <w:rFonts w:ascii="Palatino Linotype" w:eastAsia="Palatino Linotype" w:hAnsi="Palatino Linotype" w:cs="Palatino Linotype"/>
          <w:b/>
          <w:sz w:val="24"/>
          <w:szCs w:val="24"/>
          <w:u w:val="single"/>
          <w:lang w:eastAsia="es-MX"/>
        </w:rPr>
        <w:t xml:space="preserve">el documento que dé cuenta del costo que genera y el uso que se les atribuye a los vehículos del Ayuntamiento.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lo que, es menester traer a colación las definiciones relacionadas con “registro contable” y “registro presupuestario” las cuales de conformidad con el “Glosario de Términos Administrativos” emitido por el Instituto Nacional de la Administración Pública, A.C” y el “Glosario de Términos para el Proceso de Planeación, Programación, </w:t>
      </w:r>
      <w:proofErr w:type="spellStart"/>
      <w:r w:rsidRPr="003C3066">
        <w:rPr>
          <w:rFonts w:ascii="Palatino Linotype" w:eastAsia="Palatino Linotype" w:hAnsi="Palatino Linotype" w:cs="Palatino Linotype"/>
          <w:sz w:val="24"/>
          <w:szCs w:val="24"/>
          <w:lang w:eastAsia="es-MX"/>
        </w:rPr>
        <w:t>Presupuestación</w:t>
      </w:r>
      <w:proofErr w:type="spellEnd"/>
      <w:r w:rsidRPr="003C3066">
        <w:rPr>
          <w:rFonts w:ascii="Palatino Linotype" w:eastAsia="Palatino Linotype" w:hAnsi="Palatino Linotype" w:cs="Palatino Linotype"/>
          <w:sz w:val="24"/>
          <w:szCs w:val="24"/>
          <w:lang w:eastAsia="es-MX"/>
        </w:rPr>
        <w:t xml:space="preserve"> y Evaluación en la Administración Pública”, se establece lo siguiente: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left="567" w:right="843"/>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Registro Contable:</w:t>
      </w:r>
      <w:r w:rsidRPr="003C3066">
        <w:rPr>
          <w:rFonts w:ascii="Palatino Linotype" w:eastAsia="Palatino Linotype" w:hAnsi="Palatino Linotype" w:cs="Palatino Linotype"/>
          <w:sz w:val="24"/>
          <w:szCs w:val="24"/>
          <w:lang w:eastAsia="es-MX"/>
        </w:rPr>
        <w:t xml:space="preserve"> Asiento que se realiza en los libros de contabilidad de las actividades relacionadas con el ingreso y egresos de un ente económico. </w:t>
      </w:r>
    </w:p>
    <w:p w:rsidR="003C3066" w:rsidRPr="003C3066" w:rsidRDefault="003C3066" w:rsidP="003C3066">
      <w:pPr>
        <w:spacing w:after="0" w:line="360" w:lineRule="auto"/>
        <w:ind w:left="567" w:right="843"/>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left="567" w:right="843"/>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Registro Presupuestario:</w:t>
      </w:r>
      <w:r w:rsidRPr="003C3066">
        <w:rPr>
          <w:rFonts w:ascii="Palatino Linotype" w:eastAsia="Palatino Linotype" w:hAnsi="Palatino Linotype" w:cs="Palatino Linotype"/>
          <w:sz w:val="24"/>
          <w:szCs w:val="24"/>
          <w:lang w:eastAsia="es-MX"/>
        </w:rPr>
        <w:t xml:space="preserve"> Asiento contable de las erogaciones realizadas por las dependencias y entidades con relación a la asignación, modificación y ejercicio de recursos presupuestarios.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Del mismo modo, vale la pena señalar que, de conformidad con el artículo décimo primero de los Lineamientos de Control Financiero y Administrativo para las Entidades Fiscalizables Municipales del Estado de México, los servidores públicos municipales tendrán las siguientes obligaciones:</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spacing w:after="0" w:line="276" w:lineRule="auto"/>
        <w:ind w:left="567" w:right="843"/>
        <w:jc w:val="center"/>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lang w:eastAsia="es-MX"/>
        </w:rPr>
        <w:t>CAPÍTULO V</w:t>
      </w:r>
    </w:p>
    <w:p w:rsidR="003C3066" w:rsidRPr="003C3066" w:rsidRDefault="003C3066" w:rsidP="003C3066">
      <w:pPr>
        <w:spacing w:after="0" w:line="276" w:lineRule="auto"/>
        <w:ind w:left="567" w:right="843"/>
        <w:jc w:val="center"/>
        <w:rPr>
          <w:rFonts w:ascii="Palatino Linotype" w:eastAsia="Palatino Linotype" w:hAnsi="Palatino Linotype" w:cs="Palatino Linotype"/>
          <w:b/>
          <w:i/>
          <w:szCs w:val="24"/>
          <w:lang w:eastAsia="es-MX"/>
        </w:rPr>
      </w:pPr>
      <w:r w:rsidRPr="003C3066">
        <w:rPr>
          <w:rFonts w:ascii="Palatino Linotype" w:eastAsia="Palatino Linotype" w:hAnsi="Palatino Linotype" w:cs="Palatino Linotype"/>
          <w:b/>
          <w:i/>
          <w:szCs w:val="24"/>
          <w:lang w:eastAsia="es-MX"/>
        </w:rPr>
        <w:t>DE LAS OBLIGACIONES</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DÉCIMO PRIMERO</w:t>
      </w:r>
      <w:r w:rsidRPr="003C3066">
        <w:rPr>
          <w:rFonts w:ascii="Palatino Linotype" w:eastAsia="Palatino Linotype" w:hAnsi="Palatino Linotype" w:cs="Palatino Linotype"/>
          <w:i/>
          <w:szCs w:val="24"/>
          <w:lang w:eastAsia="es-MX"/>
        </w:rPr>
        <w:t xml:space="preserve">: Los servidores públicos municipales, tendrán en el ámbito de su competencia, respecto de los presentes Lineamientos, las obligaciones siguientes: </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 </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IV. </w:t>
      </w:r>
      <w:r w:rsidRPr="003C3066">
        <w:rPr>
          <w:rFonts w:ascii="Palatino Linotype" w:eastAsia="Palatino Linotype" w:hAnsi="Palatino Linotype" w:cs="Palatino Linotype"/>
          <w:b/>
          <w:i/>
          <w:szCs w:val="24"/>
          <w:u w:val="single"/>
          <w:lang w:eastAsia="es-MX"/>
        </w:rPr>
        <w:t>El tesorero deberá verificar que todas las pólizas de registro contable y presupuestal</w:t>
      </w:r>
      <w:r w:rsidRPr="003C3066">
        <w:rPr>
          <w:rFonts w:ascii="Palatino Linotype" w:eastAsia="Palatino Linotype" w:hAnsi="Palatino Linotype" w:cs="Palatino Linotype"/>
          <w:i/>
          <w:szCs w:val="24"/>
          <w:lang w:eastAsia="es-MX"/>
        </w:rPr>
        <w:t xml:space="preserve">, se encuentren firmadas por quién las elaboró, revisó y autorizó, </w:t>
      </w:r>
      <w:r w:rsidRPr="003C3066">
        <w:rPr>
          <w:rFonts w:ascii="Palatino Linotype" w:eastAsia="Palatino Linotype" w:hAnsi="Palatino Linotype" w:cs="Palatino Linotype"/>
          <w:b/>
          <w:i/>
          <w:szCs w:val="24"/>
          <w:u w:val="single"/>
          <w:lang w:eastAsia="es-MX"/>
        </w:rPr>
        <w:t>las cuales deberán estar soportadas con la documentación original, justificativa, comprobatoria, suficiente, competente, pertinente y relevante, las que deberán permanecer en custodia y conservación de la tesorería,</w:t>
      </w:r>
      <w:r w:rsidRPr="003C3066">
        <w:rPr>
          <w:rFonts w:ascii="Palatino Linotype" w:eastAsia="Palatino Linotype" w:hAnsi="Palatino Linotype" w:cs="Palatino Linotype"/>
          <w:i/>
          <w:szCs w:val="24"/>
          <w:lang w:eastAsia="es-MX"/>
        </w:rPr>
        <w:t xml:space="preserve">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V. El tesorero deberá integrar a la póliza de egresos, fotocopia del cheque original, para su debido cotejo.</w:t>
      </w:r>
    </w:p>
    <w:p w:rsidR="003C3066" w:rsidRPr="003C3066" w:rsidRDefault="003C3066" w:rsidP="003C3066">
      <w:pPr>
        <w:spacing w:after="0" w:line="276" w:lineRule="auto"/>
        <w:ind w:left="567" w:right="843"/>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 … </w:t>
      </w:r>
    </w:p>
    <w:p w:rsidR="003C3066" w:rsidRPr="003C3066" w:rsidRDefault="003C3066" w:rsidP="003C3066">
      <w:pPr>
        <w:spacing w:after="0" w:line="360" w:lineRule="auto"/>
        <w:ind w:left="567" w:right="843"/>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ello, se advierte que los costos generados por el uso y mantenimiento de los vehículos se encuentran soportados con la documentación original, justificativa, comprobatoria que deberá permanecer en custodia y conservación de la tesorería municipal, por lo que,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toda vez que no tuvo a bien proporcionar dicha documentación, tendrá que entregarla al Particular.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Asimismo, de conformidad con el Bando Municipal de Chalco, la Dirección de Administración, tendrá a su cargo: </w:t>
      </w:r>
    </w:p>
    <w:p w:rsidR="003C3066" w:rsidRPr="003C3066" w:rsidRDefault="003C3066" w:rsidP="003C3066">
      <w:pPr>
        <w:spacing w:after="0" w:line="360" w:lineRule="auto"/>
        <w:ind w:right="49"/>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ARTÍCULO 35. El Gobierno de Chalco a través de la Dirección de Administración, en apego a las normas aplicables, </w:t>
      </w:r>
      <w:r w:rsidRPr="003C3066">
        <w:rPr>
          <w:rFonts w:ascii="Palatino Linotype" w:eastAsia="Palatino Linotype" w:hAnsi="Palatino Linotype" w:cs="Palatino Linotype"/>
          <w:b/>
          <w:i/>
          <w:szCs w:val="24"/>
          <w:u w:val="single"/>
          <w:lang w:eastAsia="es-MX"/>
        </w:rPr>
        <w:t>será la responsable de administrar de manera oportuna, eficaz y eficiente los recursos materiales, parque vehicular y</w:t>
      </w:r>
      <w:r w:rsidRPr="003C3066">
        <w:rPr>
          <w:rFonts w:ascii="Palatino Linotype" w:eastAsia="Palatino Linotype" w:hAnsi="Palatino Linotype" w:cs="Palatino Linotype"/>
          <w:i/>
          <w:szCs w:val="24"/>
          <w:lang w:eastAsia="es-MX"/>
        </w:rPr>
        <w:t xml:space="preserve"> de servicios generales, en conjunto con la gestión y capacitación de los recursos humanos para el cumplimiento de los objetivos y metas establecidas en el Plan de Desarrollo Municipal, en un marco de transparencia y de rendición de cuentas.</w:t>
      </w:r>
    </w:p>
    <w:p w:rsidR="003C3066" w:rsidRPr="003C3066" w:rsidRDefault="003C3066" w:rsidP="003C3066">
      <w:pPr>
        <w:spacing w:after="0" w:line="276" w:lineRule="auto"/>
        <w:ind w:left="567" w:right="560"/>
        <w:jc w:val="both"/>
        <w:rPr>
          <w:rFonts w:ascii="Times New Roman" w:eastAsia="Times New Roman" w:hAnsi="Times New Roman" w:cs="Times New Roman"/>
          <w:szCs w:val="24"/>
          <w:lang w:eastAsia="es-MX"/>
        </w:rPr>
      </w:pPr>
    </w:p>
    <w:p w:rsidR="003C3066" w:rsidRPr="003C3066" w:rsidRDefault="003C3066" w:rsidP="003C3066">
      <w:pPr>
        <w:spacing w:after="0" w:line="360" w:lineRule="auto"/>
        <w:ind w:right="560"/>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360" w:lineRule="auto"/>
        <w:ind w:right="-7"/>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lo antes dicho,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deberá turnar la solicitud de información a las áreas competentes, de manera enunciativa más no limitativa a la Dirección de Administración, con la finalidad de que localice los documentos que den cuenta a lo requerido, y sean proporcionados al Particular, de ser el caso en su versión pública. </w:t>
      </w:r>
    </w:p>
    <w:p w:rsidR="003C3066" w:rsidRPr="003C3066" w:rsidRDefault="003C3066" w:rsidP="003C3066">
      <w:pPr>
        <w:spacing w:after="0" w:line="360" w:lineRule="auto"/>
        <w:ind w:left="567" w:right="560"/>
        <w:jc w:val="both"/>
        <w:rPr>
          <w:rFonts w:ascii="Palatino Linotype" w:eastAsia="Palatino Linotype" w:hAnsi="Palatino Linotype" w:cs="Palatino Linotype"/>
          <w:i/>
          <w:sz w:val="24"/>
          <w:szCs w:val="24"/>
          <w:lang w:eastAsia="es-MX"/>
        </w:rPr>
      </w:pPr>
    </w:p>
    <w:p w:rsidR="003C3066" w:rsidRPr="003C3066" w:rsidRDefault="003C3066" w:rsidP="003C3066">
      <w:pPr>
        <w:numPr>
          <w:ilvl w:val="0"/>
          <w:numId w:val="13"/>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Comisión de Planeación y Desarrollo Municipal</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relación con este punto, es de recordar que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w:t>
      </w:r>
      <w:r w:rsidRPr="003C3066">
        <w:rPr>
          <w:rFonts w:ascii="Palatino Linotype" w:eastAsia="Palatino Linotype" w:hAnsi="Palatino Linotype" w:cs="Palatino Linotype"/>
          <w:b/>
          <w:sz w:val="24"/>
          <w:szCs w:val="24"/>
          <w:u w:val="single"/>
          <w:lang w:eastAsia="es-MX"/>
        </w:rPr>
        <w:t>solicitó obtener la fecha de instalación de la Comisión de Planeación para el Desarrollo Municipal</w:t>
      </w:r>
      <w:r w:rsidRPr="003C3066">
        <w:rPr>
          <w:rFonts w:ascii="Palatino Linotype" w:eastAsia="Palatino Linotype" w:hAnsi="Palatino Linotype" w:cs="Palatino Linotype"/>
          <w:sz w:val="24"/>
          <w:szCs w:val="24"/>
          <w:lang w:eastAsia="es-MX"/>
        </w:rPr>
        <w:t>, por lo que, es importante traer a colación los artículos 61 y 62 del Bando Municipal de Chalco, los cuales establecen que:</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ARTÍCULO 61.- Los Consejos, Comités, Comisiones, e Institutos Municipales son Órganos colaboradores del Ayuntamiento, con las facultades y obligaciones que les señala la Ley Orgánica y sus Reglamentos respectivos.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ARTÍCULO 62.- Son Consejos, Comités, Comisiones e Institutos Municipales, además de los que sean aprobados por el Ayuntamiento, a propuesta del Ejecutivo Municipal, los siguientes:</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XXI. Comité de Planeación para el Desarrollo Municipal;</w:t>
      </w:r>
    </w:p>
    <w:p w:rsidR="003C3066" w:rsidRPr="003C3066" w:rsidRDefault="003C3066" w:rsidP="003C3066">
      <w:pPr>
        <w:spacing w:after="0" w:line="276" w:lineRule="auto"/>
        <w:ind w:left="567" w:right="560"/>
        <w:jc w:val="both"/>
        <w:rPr>
          <w:rFonts w:ascii="Times New Roman" w:eastAsia="Times New Roman" w:hAnsi="Times New Roman" w:cs="Times New Roman"/>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lo antes señalado se advierte que si bien, no se trata de una Comisión, </w:t>
      </w:r>
      <w:r w:rsidRPr="003C3066">
        <w:rPr>
          <w:rFonts w:ascii="Palatino Linotype" w:eastAsia="Palatino Linotype" w:hAnsi="Palatino Linotype" w:cs="Palatino Linotype"/>
          <w:b/>
          <w:sz w:val="24"/>
          <w:szCs w:val="24"/>
          <w:lang w:eastAsia="es-MX"/>
        </w:rPr>
        <w:t>el SUJETO OBLIGADO</w:t>
      </w:r>
      <w:r w:rsidRPr="003C3066">
        <w:rPr>
          <w:rFonts w:ascii="Palatino Linotype" w:eastAsia="Palatino Linotype" w:hAnsi="Palatino Linotype" w:cs="Palatino Linotype"/>
          <w:sz w:val="24"/>
          <w:szCs w:val="24"/>
          <w:lang w:eastAsia="es-MX"/>
        </w:rPr>
        <w:t xml:space="preserve"> debió hacer del conocimiento de la particular que se trataba de un Comité de Planeación para el Desarrollo Municipal, en este sentido, de acuerdo con Bando Municipal referido, señala lo siguiente: </w:t>
      </w:r>
    </w:p>
    <w:p w:rsidR="003C3066" w:rsidRPr="003C3066" w:rsidRDefault="003C3066" w:rsidP="003C3066">
      <w:pPr>
        <w:spacing w:after="0" w:line="276" w:lineRule="auto"/>
        <w:ind w:right="49"/>
        <w:jc w:val="both"/>
        <w:rPr>
          <w:rFonts w:ascii="Times New Roman" w:eastAsia="Times New Roman" w:hAnsi="Times New Roman" w:cs="Times New Roman"/>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 xml:space="preserve">ARTÍCULO 55.- Para el óptimo desempeño de las funciones de la Administración Pública Municipal, el Gobierno de Chalco cuenta con la </w:t>
      </w:r>
      <w:r w:rsidRPr="003C3066">
        <w:rPr>
          <w:rFonts w:ascii="Palatino Linotype" w:eastAsia="Palatino Linotype" w:hAnsi="Palatino Linotype" w:cs="Palatino Linotype"/>
          <w:b/>
          <w:i/>
          <w:lang w:eastAsia="es-MX"/>
        </w:rPr>
        <w:t>Dirección de Innovación Gubernamental,</w:t>
      </w:r>
      <w:r w:rsidRPr="003C3066">
        <w:rPr>
          <w:rFonts w:ascii="Palatino Linotype" w:eastAsia="Palatino Linotype" w:hAnsi="Palatino Linotype" w:cs="Palatino Linotype"/>
          <w:i/>
          <w:lang w:eastAsia="es-MX"/>
        </w:rPr>
        <w:t xml:space="preserve"> encargada de llevar a cabo los procesos de planeación, programación, seguimiento y evaluación de las dependencias administrativas; de acuerdo con lo establecido en el marco del Sistema de Evaluación de la Gestión Municipal (SEGEMUN) y en alineación a los Objetivos para el Desarrollo Sostenible. </w:t>
      </w:r>
    </w:p>
    <w:p w:rsidR="003C3066" w:rsidRPr="003C3066" w:rsidRDefault="003C3066" w:rsidP="003C3066">
      <w:pPr>
        <w:spacing w:after="0" w:line="276" w:lineRule="auto"/>
        <w:ind w:left="567" w:right="560"/>
        <w:jc w:val="both"/>
        <w:rPr>
          <w:rFonts w:ascii="Palatino Linotype" w:eastAsia="Palatino Linotype" w:hAnsi="Palatino Linotype" w:cs="Palatino Linotype"/>
          <w:i/>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lang w:eastAsia="es-MX"/>
        </w:rPr>
      </w:pPr>
      <w:r w:rsidRPr="003C3066">
        <w:rPr>
          <w:rFonts w:ascii="Palatino Linotype" w:eastAsia="Palatino Linotype" w:hAnsi="Palatino Linotype" w:cs="Palatino Linotype"/>
          <w:i/>
          <w:lang w:eastAsia="es-MX"/>
        </w:rPr>
        <w:t>Así también</w:t>
      </w:r>
      <w:r w:rsidRPr="003C3066">
        <w:rPr>
          <w:rFonts w:ascii="Palatino Linotype" w:eastAsia="Palatino Linotype" w:hAnsi="Palatino Linotype" w:cs="Palatino Linotype"/>
          <w:b/>
          <w:i/>
          <w:u w:val="single"/>
          <w:lang w:eastAsia="es-MX"/>
        </w:rPr>
        <w:t>, es competente para actualizar e instrumentar el Plan de Desarrollo Municipal y promover la participación de los diferentes sectores a través del Comité de Planeación para el Desarrollo Municipal</w:t>
      </w:r>
      <w:r w:rsidRPr="003C3066">
        <w:rPr>
          <w:rFonts w:ascii="Palatino Linotype" w:eastAsia="Palatino Linotype" w:hAnsi="Palatino Linotype" w:cs="Palatino Linotype"/>
          <w:i/>
          <w:lang w:eastAsia="es-MX"/>
        </w:rPr>
        <w:t xml:space="preserve">, en el marco del Sistema de Planeación Democrática para el Desarrollo del Estado de México y Municipios.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En este sentido, el Comité de Planeación para el Desarrollo Municipal, es la encargada de emitir opinión favorable para el cambio de uso de suelo, de densidad y aquellas facultades establecidas en el artículo 5.57 del Código Administrativo del Estado de México; la cual será integrada por el Presidente Municipal, el Titular de la Dirección y Vocales, como lo mencionan los artículos 12.180 y 12.185 del citado código, como se observa a continuación:</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758"/>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12.180.-</w:t>
      </w:r>
      <w:r w:rsidRPr="003C3066">
        <w:rPr>
          <w:rFonts w:ascii="Palatino Linotype" w:eastAsia="Palatino Linotype" w:hAnsi="Palatino Linotype" w:cs="Palatino Linotype"/>
          <w:i/>
          <w:szCs w:val="24"/>
          <w:lang w:eastAsia="es-MX"/>
        </w:rPr>
        <w:t xml:space="preserve"> La Comisión de Planeación para el Desarrollo Municipal, es la encargada de emitir opinión favorable para el cambio de uso del suelo, de densidad, del coeficiente de ocupación, del coeficiente de utilización y de altura de edificaciones de un lote o predio, de conformidad con lo dispuesto en el artículo 5.57 del Código Administrativo del Estado de México.</w:t>
      </w:r>
    </w:p>
    <w:p w:rsidR="003C3066" w:rsidRPr="003C3066" w:rsidRDefault="003C3066" w:rsidP="003C3066">
      <w:pPr>
        <w:spacing w:after="0" w:line="276" w:lineRule="auto"/>
        <w:ind w:left="567" w:right="560"/>
        <w:jc w:val="center"/>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12.185.-</w:t>
      </w:r>
      <w:r w:rsidRPr="003C3066">
        <w:rPr>
          <w:rFonts w:ascii="Palatino Linotype" w:eastAsia="Palatino Linotype" w:hAnsi="Palatino Linotype" w:cs="Palatino Linotype"/>
          <w:i/>
          <w:szCs w:val="24"/>
          <w:lang w:eastAsia="es-MX"/>
        </w:rPr>
        <w:t xml:space="preserve"> La Comisión estará integrada por: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I. Un Presidente, quién será el Presidente Municipal;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u w:val="single"/>
          <w:lang w:eastAsia="es-MX"/>
        </w:rPr>
        <w:t>II. Un Secretario, quién será el titular de la Dirección</w:t>
      </w:r>
      <w:r w:rsidRPr="003C3066">
        <w:rPr>
          <w:rFonts w:ascii="Palatino Linotype" w:eastAsia="Palatino Linotype" w:hAnsi="Palatino Linotype" w:cs="Palatino Linotype"/>
          <w:i/>
          <w:szCs w:val="24"/>
          <w:lang w:eastAsia="es-MX"/>
        </w:rPr>
        <w:t xml:space="preserve">; </w:t>
      </w:r>
    </w:p>
    <w:p w:rsidR="003C3066" w:rsidRPr="003C3066" w:rsidRDefault="003C3066" w:rsidP="003C3066">
      <w:pPr>
        <w:spacing w:after="0" w:line="276" w:lineRule="auto"/>
        <w:ind w:left="567" w:right="560"/>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III. Vocales</w:t>
      </w:r>
    </w:p>
    <w:p w:rsidR="003C3066" w:rsidRPr="003C3066" w:rsidRDefault="003C3066" w:rsidP="003C3066">
      <w:pPr>
        <w:spacing w:after="0" w:line="276" w:lineRule="auto"/>
        <w:ind w:left="567" w:right="560"/>
        <w:jc w:val="center"/>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center"/>
        <w:rPr>
          <w:rFonts w:ascii="Palatino Linotype" w:eastAsia="Palatino Linotype" w:hAnsi="Palatino Linotype" w:cs="Palatino Linotype"/>
          <w:i/>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ese sentido, se advierte que el Ayuntamiento en efecto se integra por un cuerpo colegiado denominado Comisión de Planeación Municipal y Desarrollo Municipal, por lo que, debió haber emitido un acta de instalación a efecto del desarrollo de sus funciones.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De tal manera que, se advierte que de manera enunciativa más no limitativa el documento donde consta la información que requiere obtener la solicitante, se encuentra inmersa en el acta de instalación de dicha Comisión, por lo cual,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deberá turnar a todas las áreas competentes el requerimiento de la Solicitante, entre ellas </w:t>
      </w:r>
      <w:r w:rsidRPr="003C3066">
        <w:rPr>
          <w:rFonts w:ascii="Palatino Linotype" w:eastAsia="Palatino Linotype" w:hAnsi="Palatino Linotype" w:cs="Palatino Linotype"/>
          <w:b/>
          <w:sz w:val="24"/>
          <w:szCs w:val="24"/>
          <w:lang w:eastAsia="es-MX"/>
        </w:rPr>
        <w:t>Dirección de Innovación Gubernamental</w:t>
      </w:r>
      <w:r w:rsidRPr="003C3066">
        <w:rPr>
          <w:rFonts w:ascii="Palatino Linotype" w:eastAsia="Palatino Linotype" w:hAnsi="Palatino Linotype" w:cs="Palatino Linotype"/>
          <w:sz w:val="24"/>
          <w:szCs w:val="24"/>
          <w:lang w:eastAsia="es-MX"/>
        </w:rPr>
        <w:t xml:space="preserve">, con la finalidad de que estas derivado de una búsqueda exhaustiva y razonable proporcionen lo solicitado.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todo lo dicho, este Organismo Garante refiere que los agravios hechos valer por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devienen </w:t>
      </w:r>
      <w:r w:rsidRPr="003C3066">
        <w:rPr>
          <w:rFonts w:ascii="Palatino Linotype" w:eastAsia="Palatino Linotype" w:hAnsi="Palatino Linotype" w:cs="Palatino Linotype"/>
          <w:b/>
          <w:sz w:val="24"/>
          <w:szCs w:val="24"/>
          <w:lang w:eastAsia="es-MX"/>
        </w:rPr>
        <w:t xml:space="preserve">FUNDADOS </w:t>
      </w:r>
      <w:r w:rsidRPr="003C3066">
        <w:rPr>
          <w:rFonts w:ascii="Palatino Linotype" w:eastAsia="Palatino Linotype" w:hAnsi="Palatino Linotype" w:cs="Palatino Linotype"/>
          <w:sz w:val="24"/>
          <w:szCs w:val="24"/>
          <w:lang w:eastAsia="es-MX"/>
        </w:rPr>
        <w:t xml:space="preserve">y, en consecuencia, se </w:t>
      </w:r>
      <w:r w:rsidRPr="003C3066">
        <w:rPr>
          <w:rFonts w:ascii="Palatino Linotype" w:eastAsia="Palatino Linotype" w:hAnsi="Palatino Linotype" w:cs="Palatino Linotype"/>
          <w:b/>
          <w:sz w:val="24"/>
          <w:szCs w:val="24"/>
          <w:lang w:eastAsia="es-MX"/>
        </w:rPr>
        <w:t xml:space="preserve">MODIFICA </w:t>
      </w:r>
      <w:r w:rsidRPr="003C3066">
        <w:rPr>
          <w:rFonts w:ascii="Palatino Linotype" w:eastAsia="Palatino Linotype" w:hAnsi="Palatino Linotype" w:cs="Palatino Linotype"/>
          <w:sz w:val="24"/>
          <w:szCs w:val="24"/>
          <w:lang w:eastAsia="es-MX"/>
        </w:rPr>
        <w:t xml:space="preserve">la respuesta del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y se le </w:t>
      </w:r>
      <w:r w:rsidRPr="003C3066">
        <w:rPr>
          <w:rFonts w:ascii="Palatino Linotype" w:eastAsia="Palatino Linotype" w:hAnsi="Palatino Linotype" w:cs="Palatino Linotype"/>
          <w:b/>
          <w:sz w:val="24"/>
          <w:szCs w:val="24"/>
          <w:lang w:eastAsia="es-MX"/>
        </w:rPr>
        <w:t>ORDENA</w:t>
      </w:r>
      <w:r w:rsidRPr="003C3066">
        <w:rPr>
          <w:rFonts w:ascii="Palatino Linotype" w:eastAsia="Palatino Linotype" w:hAnsi="Palatino Linotype" w:cs="Palatino Linotype"/>
          <w:sz w:val="24"/>
          <w:szCs w:val="24"/>
          <w:lang w:eastAsia="es-MX"/>
        </w:rPr>
        <w:t xml:space="preserve"> haga entrega, vía Sistema de Acceso a la Información Mexiquense, de ser el caso en versión pública, </w:t>
      </w:r>
      <w:r w:rsidRPr="003C3066">
        <w:rPr>
          <w:rFonts w:ascii="Palatino Linotype" w:eastAsia="Palatino Linotype" w:hAnsi="Palatino Linotype" w:cs="Palatino Linotype"/>
          <w:b/>
          <w:sz w:val="24"/>
          <w:szCs w:val="24"/>
          <w:u w:val="single"/>
          <w:lang w:eastAsia="es-MX"/>
        </w:rPr>
        <w:t>los documentos que den cuenta de lo siguiente:</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Nombre, título profesional y universidad, así como número de cédula profesional de los miembros del Ayuntamiento de la actual administración pública municipal. </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Nombre, título profesional y universidad, así como el número de cédula profesional del Secretario del Ayuntamiento, Tesorero Municipal y  Contralor Municipal, en funciones a la fecha de la solicitud.</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Nombre, título profesional y universidad, así como el número de cédula profesional del titular de la Dirección de Obras Públicas, Dirección de Desarrollo Económico, Dirección de Desarrollo Urbano, Dirección de Ecología, Dirección de Bienestar, Dirección Jurídica, Dirección de Administración, Dirección de Cultura, Dirección de Educación, Dirección de Gobierno, Dirección de Seguridad Pública,  Tránsito y Bomberos, Dirección de Servicios Públicos, Dirección de Innovación Gubernamental, Dirección de Comercio y las demás que haya determinado crear el ayuntamiento, en funciones a la fecha de la solicitud. </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Padrón de beneficiarios de los programas sociales, así como los formatos de los estudios socioeconómicos aplicados, </w:t>
      </w:r>
      <w:r w:rsidRPr="003C3066">
        <w:rPr>
          <w:rFonts w:ascii="Palatino Linotype" w:eastAsia="Palatino Linotype" w:hAnsi="Palatino Linotype" w:cs="Palatino Linotype"/>
          <w:b/>
          <w:sz w:val="24"/>
          <w:szCs w:val="24"/>
          <w:u w:val="single"/>
          <w:lang w:eastAsia="es-MX"/>
        </w:rPr>
        <w:t>del veintisiete de marzo de dos mil veintiuno al veintisiete de marzo de dos mil veintidós</w:t>
      </w:r>
      <w:r w:rsidRPr="003C3066">
        <w:rPr>
          <w:rFonts w:ascii="Palatino Linotype" w:eastAsia="Palatino Linotype" w:hAnsi="Palatino Linotype" w:cs="Palatino Linotype"/>
          <w:sz w:val="24"/>
          <w:szCs w:val="24"/>
          <w:lang w:eastAsia="es-MX"/>
        </w:rPr>
        <w:t>.</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Bienes inmuebles adquiridos por el Ayuntamiento, costo, actas emitidas para tales efectos y contratos de estos, del uno de enero de dos mil veintiuno al veintisiete de marzo de dos mil veintidós. </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Bienes dados de baja y motivo, del uno de enero al veintisiete de marzo de dos mil veintidós. </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Bienes Inmuebles que se encuentran rentados al veintisiete de marzo de dos mil veintidós por el Ayuntamiento y costo mensual, acompañado de su contrato.</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Obras públicas realizadas y su costo, así como los documentos que den cuenta del proceso de licitación llevado a cabo para la realización de estas, del uno de enero al veintisiete de marzo de dos mil veintidós. </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Vehículos adquiridos, uso y costo, del uno de enero al veintisiete de marzo de dos mil veintidós. </w:t>
      </w:r>
    </w:p>
    <w:p w:rsidR="003C3066" w:rsidRPr="003C3066" w:rsidRDefault="003C3066" w:rsidP="003C3066">
      <w:pPr>
        <w:numPr>
          <w:ilvl w:val="0"/>
          <w:numId w:val="17"/>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Fecha de instalación de la Comité de Planeación y Desarrollo Municipal de la presente administración pública municipal.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En el supuesto de que la información ordenada en los incisos a) y b) respecto al número de cédula profesional; c), d), e), f), g), h), i), y j), no obre en los archivos del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deberá hacerlo del conocimiento de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en términos del segundo párrafo del artículo 19 de la Ley en la materia, para tener por colmado el requerimiento de información.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lang w:eastAsia="es-MX"/>
        </w:rPr>
        <w:t xml:space="preserve">Finalmente, en atención a los motivos de inconformidad aducidos por la </w:t>
      </w:r>
      <w:r w:rsidRPr="003C3066">
        <w:rPr>
          <w:rFonts w:ascii="Palatino Linotype" w:eastAsia="Palatino Linotype" w:hAnsi="Palatino Linotype" w:cs="Palatino Linotype"/>
          <w:b/>
          <w:sz w:val="24"/>
          <w:lang w:eastAsia="es-MX"/>
        </w:rPr>
        <w:t>RECURRENTE</w:t>
      </w:r>
      <w:r w:rsidRPr="003C3066">
        <w:rPr>
          <w:rFonts w:ascii="Palatino Linotype" w:eastAsia="Palatino Linotype" w:hAnsi="Palatino Linotype" w:cs="Palatino Linotype"/>
          <w:sz w:val="24"/>
          <w:lang w:eastAsia="es-MX"/>
        </w:rPr>
        <w:t xml:space="preserve"> en atención a</w:t>
      </w:r>
      <w:r w:rsidRPr="003C3066">
        <w:rPr>
          <w:rFonts w:ascii="Palatino Linotype" w:eastAsia="Palatino Linotype" w:hAnsi="Palatino Linotype" w:cs="Palatino Linotype"/>
          <w:sz w:val="24"/>
          <w:szCs w:val="24"/>
          <w:lang w:eastAsia="es-MX"/>
        </w:rPr>
        <w:t>:</w:t>
      </w:r>
      <w:r w:rsidRPr="003C3066">
        <w:rPr>
          <w:rFonts w:ascii="Palatino Linotype" w:eastAsia="Palatino Linotype" w:hAnsi="Palatino Linotype" w:cs="Palatino Linotype"/>
          <w:b/>
          <w:i/>
          <w:sz w:val="24"/>
          <w:szCs w:val="24"/>
          <w:lang w:eastAsia="es-MX"/>
        </w:rPr>
        <w:t xml:space="preserve"> “…Además de contestar fuera de la fecha límite establecida por la ley.” (</w:t>
      </w:r>
      <w:r w:rsidRPr="003C3066">
        <w:rPr>
          <w:rFonts w:ascii="Palatino Linotype" w:eastAsia="Palatino Linotype" w:hAnsi="Palatino Linotype" w:cs="Palatino Linotype"/>
          <w:i/>
          <w:sz w:val="24"/>
          <w:szCs w:val="24"/>
          <w:lang w:eastAsia="es-MX"/>
        </w:rPr>
        <w:t xml:space="preserve">Sic),  </w:t>
      </w:r>
      <w:r w:rsidRPr="003C3066">
        <w:rPr>
          <w:rFonts w:ascii="Palatino Linotype" w:eastAsia="Palatino Linotype" w:hAnsi="Palatino Linotype" w:cs="Palatino Linotype"/>
          <w:sz w:val="24"/>
          <w:szCs w:val="24"/>
          <w:lang w:eastAsia="es-MX"/>
        </w:rPr>
        <w:t xml:space="preserve">se exhorta al </w:t>
      </w:r>
      <w:r w:rsidRPr="003C3066">
        <w:rPr>
          <w:rFonts w:ascii="Palatino Linotype" w:eastAsia="Palatino Linotype" w:hAnsi="Palatino Linotype" w:cs="Palatino Linotype"/>
          <w:b/>
          <w:sz w:val="24"/>
          <w:szCs w:val="24"/>
          <w:lang w:eastAsia="es-MX"/>
        </w:rPr>
        <w:t xml:space="preserve">SUJETO OBLIGADO </w:t>
      </w:r>
      <w:r w:rsidRPr="003C3066">
        <w:rPr>
          <w:rFonts w:ascii="Palatino Linotype" w:eastAsia="Palatino Linotype" w:hAnsi="Palatino Linotype" w:cs="Palatino Linotype"/>
          <w:sz w:val="24"/>
          <w:szCs w:val="24"/>
          <w:lang w:eastAsia="es-MX"/>
        </w:rPr>
        <w:t>a fin de que en próximas ocasiones atienda la solicitud en los plazos que establece el artículo 163 de la Ley en la Materia vigente en la entidad.</w:t>
      </w:r>
    </w:p>
    <w:p w:rsidR="003C3066" w:rsidRPr="003C3066" w:rsidRDefault="003C3066" w:rsidP="003C3066">
      <w:pPr>
        <w:spacing w:after="0" w:line="360" w:lineRule="auto"/>
        <w:ind w:right="49"/>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Quinto. De la versión pública.</w:t>
      </w:r>
      <w:r w:rsidRPr="003C3066">
        <w:rPr>
          <w:rFonts w:ascii="Palatino Linotype" w:eastAsia="Palatino Linotype" w:hAnsi="Palatino Linotype" w:cs="Palatino Linotype"/>
          <w:sz w:val="24"/>
          <w:szCs w:val="24"/>
          <w:lang w:eastAsia="es-MX"/>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sz w:val="24"/>
          <w:szCs w:val="24"/>
          <w:lang w:eastAsia="es-MX"/>
        </w:rPr>
        <w:t xml:space="preserve"> </w:t>
      </w:r>
      <w:r w:rsidRPr="003C3066">
        <w:rPr>
          <w:rFonts w:ascii="Palatino Linotype" w:eastAsia="Palatino Linotype" w:hAnsi="Palatino Linotype" w:cs="Palatino Linotype"/>
          <w:b/>
          <w:i/>
          <w:szCs w:val="24"/>
          <w:lang w:eastAsia="es-MX"/>
        </w:rPr>
        <w:t>Artículo 143.</w:t>
      </w:r>
      <w:r w:rsidRPr="003C3066">
        <w:rPr>
          <w:rFonts w:ascii="Palatino Linotype" w:eastAsia="Palatino Linotype" w:hAnsi="Palatino Linotype" w:cs="Palatino Linotype"/>
          <w:i/>
          <w:szCs w:val="24"/>
          <w:lang w:eastAsia="es-MX"/>
        </w:rPr>
        <w:t xml:space="preserve"> Para los efectos de esta Ley se considera información confidencial, la clasificada como tal, de manera permanente, por su naturaleza, cuando:</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I.</w:t>
      </w:r>
      <w:r w:rsidRPr="003C3066">
        <w:rPr>
          <w:rFonts w:ascii="Palatino Linotype" w:eastAsia="Palatino Linotype" w:hAnsi="Palatino Linotype" w:cs="Palatino Linotype"/>
          <w:i/>
          <w:szCs w:val="24"/>
          <w:lang w:eastAsia="es-MX"/>
        </w:rPr>
        <w:tab/>
        <w:t xml:space="preserve">Se refiera a la información privada y los datos personales concernientes a una persona física o </w:t>
      </w:r>
      <w:proofErr w:type="gramStart"/>
      <w:r w:rsidRPr="003C3066">
        <w:rPr>
          <w:rFonts w:ascii="Palatino Linotype" w:eastAsia="Palatino Linotype" w:hAnsi="Palatino Linotype" w:cs="Palatino Linotype"/>
          <w:i/>
          <w:szCs w:val="24"/>
          <w:lang w:eastAsia="es-MX"/>
        </w:rPr>
        <w:t>jurídico</w:t>
      </w:r>
      <w:proofErr w:type="gramEnd"/>
      <w:r w:rsidRPr="003C3066">
        <w:rPr>
          <w:rFonts w:ascii="Palatino Linotype" w:eastAsia="Palatino Linotype" w:hAnsi="Palatino Linotype" w:cs="Palatino Linotype"/>
          <w:i/>
          <w:szCs w:val="24"/>
          <w:lang w:eastAsia="es-MX"/>
        </w:rPr>
        <w:t xml:space="preserve"> colectiva identificada o identificable…</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49.</w:t>
      </w:r>
      <w:r w:rsidRPr="003C3066">
        <w:rPr>
          <w:rFonts w:ascii="Palatino Linotype" w:eastAsia="Palatino Linotype" w:hAnsi="Palatino Linotype" w:cs="Palatino Linotype"/>
          <w:i/>
          <w:szCs w:val="24"/>
          <w:lang w:eastAsia="es-MX"/>
        </w:rPr>
        <w:t xml:space="preserve"> Los Comités de Transparencia tendrán las siguientes atribuciones:</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VIII. Aprobar, modificar o revocar la clasificación de la información</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53.</w:t>
      </w:r>
      <w:r w:rsidRPr="003C3066">
        <w:rPr>
          <w:rFonts w:ascii="Palatino Linotype" w:eastAsia="Palatino Linotype" w:hAnsi="Palatino Linotype" w:cs="Palatino Linotype"/>
          <w:i/>
          <w:szCs w:val="24"/>
          <w:lang w:eastAsia="es-MX"/>
        </w:rPr>
        <w:t xml:space="preserve"> Las Unidades de Transparencia tendrán las siguientes funciones:</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 xml:space="preserve">X. Presentar ante el Comité, el proyecto de clasificación de información…” </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b/>
          <w:i/>
          <w:szCs w:val="24"/>
          <w:lang w:eastAsia="es-MX"/>
        </w:rPr>
        <w:t>Artículo 59.</w:t>
      </w:r>
      <w:r w:rsidRPr="003C3066">
        <w:rPr>
          <w:rFonts w:ascii="Palatino Linotype" w:eastAsia="Palatino Linotype" w:hAnsi="Palatino Linotype" w:cs="Palatino Linotype"/>
          <w:i/>
          <w:szCs w:val="24"/>
          <w:lang w:eastAsia="es-MX"/>
        </w:rPr>
        <w:t xml:space="preserve"> Los servidores públicos habilitados tendrán las funciones siguientes:</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V. Integrar y presentar al responsable de la Unidad de Transparencia la propuesta de clasificación de información, la cual tendrá los fundamentos y argumentos en que se basa dicha propuesta</w:t>
      </w:r>
    </w:p>
    <w:p w:rsidR="003C3066" w:rsidRPr="003C3066" w:rsidRDefault="003C3066" w:rsidP="003C3066">
      <w:pPr>
        <w:spacing w:after="0" w:line="276" w:lineRule="auto"/>
        <w:ind w:left="567" w:right="616"/>
        <w:jc w:val="both"/>
        <w:rPr>
          <w:rFonts w:ascii="Palatino Linotype" w:eastAsia="Palatino Linotype" w:hAnsi="Palatino Linotype" w:cs="Palatino Linotype"/>
          <w:i/>
          <w:szCs w:val="24"/>
          <w:lang w:eastAsia="es-MX"/>
        </w:rPr>
      </w:pPr>
      <w:r w:rsidRPr="003C3066">
        <w:rPr>
          <w:rFonts w:ascii="Palatino Linotype" w:eastAsia="Palatino Linotype" w:hAnsi="Palatino Linotype" w:cs="Palatino Linotype"/>
          <w:i/>
          <w:szCs w:val="24"/>
          <w:lang w:eastAsia="es-MX"/>
        </w:rPr>
        <w:t>…</w:t>
      </w:r>
    </w:p>
    <w:p w:rsidR="003C3066" w:rsidRPr="003C3066" w:rsidRDefault="003C3066" w:rsidP="003C3066">
      <w:pPr>
        <w:spacing w:after="0" w:line="276" w:lineRule="auto"/>
        <w:ind w:left="567" w:right="560"/>
        <w:jc w:val="both"/>
        <w:rPr>
          <w:rFonts w:ascii="Palatino Linotype" w:eastAsia="Palatino Linotype" w:hAnsi="Palatino Linotype" w:cs="Palatino Linotype"/>
          <w:i/>
          <w:sz w:val="24"/>
          <w:szCs w:val="24"/>
          <w:lang w:eastAsia="es-MX"/>
        </w:rPr>
      </w:pPr>
      <w:r w:rsidRPr="003C3066">
        <w:rPr>
          <w:rFonts w:ascii="Palatino Linotype" w:eastAsia="Palatino Linotype" w:hAnsi="Palatino Linotype" w:cs="Palatino Linotype"/>
          <w:i/>
          <w:sz w:val="24"/>
          <w:szCs w:val="24"/>
          <w:lang w:eastAsia="es-MX"/>
        </w:rPr>
        <w:t xml:space="preserv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left="567" w:right="560"/>
        <w:jc w:val="both"/>
        <w:rPr>
          <w:rFonts w:ascii="Palatino Linotype" w:eastAsia="Palatino Linotype" w:hAnsi="Palatino Linotype" w:cs="Palatino Linotype"/>
          <w:i/>
          <w:sz w:val="24"/>
          <w:szCs w:val="24"/>
          <w:lang w:eastAsia="es-MX"/>
        </w:rPr>
      </w:pPr>
      <w:r w:rsidRPr="003C3066">
        <w:rPr>
          <w:rFonts w:ascii="Palatino Linotype" w:eastAsia="Palatino Linotype" w:hAnsi="Palatino Linotype" w:cs="Palatino Linotype"/>
          <w:b/>
          <w:i/>
          <w:szCs w:val="24"/>
          <w:lang w:eastAsia="es-MX"/>
        </w:rPr>
        <w:t>Artículo 149.</w:t>
      </w:r>
      <w:r w:rsidRPr="003C3066">
        <w:rPr>
          <w:rFonts w:ascii="Palatino Linotype" w:eastAsia="Palatino Linotype" w:hAnsi="Palatino Linotype" w:cs="Palatino Linotype"/>
          <w:i/>
          <w:szCs w:val="24"/>
          <w:lang w:eastAsia="es-MX"/>
        </w:rPr>
        <w:t xml:space="preserve"> El acuerdo que clasifique la información como confidencial deberá contener un razonamiento lógico en el que demuestre que la información se encuentra en alguna o algunas de las hipótesis previstas en la presente Ley</w:t>
      </w:r>
      <w:r w:rsidRPr="003C3066">
        <w:rPr>
          <w:rFonts w:ascii="Palatino Linotype" w:eastAsia="Palatino Linotype" w:hAnsi="Palatino Linotype" w:cs="Palatino Linotype"/>
          <w:i/>
          <w:sz w:val="24"/>
          <w:szCs w:val="24"/>
          <w:lang w:eastAsia="es-MX"/>
        </w:rPr>
        <w:t>.</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Asimismo, deberá observar los numerales Quincuagésimo tercero y Quincuagésimo quinto de los Lineamientos Generales en Materia de Clasificación y Desclasificación de la Información </w:t>
      </w:r>
      <w:proofErr w:type="spellStart"/>
      <w:r w:rsidRPr="003C3066">
        <w:rPr>
          <w:rFonts w:ascii="Palatino Linotype" w:eastAsia="Palatino Linotype" w:hAnsi="Palatino Linotype" w:cs="Palatino Linotype"/>
          <w:sz w:val="24"/>
          <w:szCs w:val="24"/>
          <w:lang w:eastAsia="es-MX"/>
        </w:rPr>
        <w:t>supraindicados</w:t>
      </w:r>
      <w:proofErr w:type="spellEnd"/>
      <w:r w:rsidRPr="003C3066">
        <w:rPr>
          <w:rFonts w:ascii="Palatino Linotype" w:eastAsia="Palatino Linotype" w:hAnsi="Palatino Linotype" w:cs="Palatino Linotype"/>
          <w:sz w:val="24"/>
          <w:szCs w:val="24"/>
          <w:lang w:eastAsia="es-MX"/>
        </w:rPr>
        <w:t xml:space="preserve">, que establecen los formatos para la clasificación parcial y total de los documentos, conforme a lo siguiente: </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tbl>
      <w:tblPr>
        <w:tblW w:w="9049"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3C3066" w:rsidRPr="003C3066" w:rsidTr="00F2058D">
        <w:tc>
          <w:tcPr>
            <w:tcW w:w="4234" w:type="dxa"/>
            <w:gridSpan w:val="2"/>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Total</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Concepto</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Dónde</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Concepto</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Dónde</w:t>
            </w:r>
          </w:p>
        </w:tc>
      </w:tr>
      <w:tr w:rsidR="003C3066" w:rsidRPr="003C3066" w:rsidTr="00F2058D">
        <w:tc>
          <w:tcPr>
            <w:tcW w:w="9049" w:type="dxa"/>
            <w:gridSpan w:val="4"/>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Sello oficial o logotipo del sujeto obligado</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anotará la fecha en la que el Comité de Transparencia confirmó la clasificación del documento, en su caso.</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Área</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Área</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señalará el nombre del área de la cual es el titular quien clasifica.</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indicarán, en su caso, las partes o páginas del documento que se clasifican como reservadas. Si el documento fuera reservado en su totalidad, se </w:t>
            </w:r>
            <w:proofErr w:type="gramStart"/>
            <w:r w:rsidRPr="003C3066">
              <w:rPr>
                <w:rFonts w:ascii="Palatino Linotype" w:eastAsia="Palatino Linotype" w:hAnsi="Palatino Linotype" w:cs="Palatino Linotype"/>
                <w:sz w:val="18"/>
                <w:szCs w:val="18"/>
                <w:lang w:eastAsia="es-MX"/>
              </w:rPr>
              <w:t>anotarán</w:t>
            </w:r>
            <w:proofErr w:type="gramEnd"/>
            <w:r w:rsidRPr="003C3066">
              <w:rPr>
                <w:rFonts w:ascii="Palatino Linotype" w:eastAsia="Palatino Linotype" w:hAnsi="Palatino Linotype" w:cs="Palatino Linotype"/>
                <w:sz w:val="18"/>
                <w:szCs w:val="18"/>
                <w:lang w:eastAsia="es-MX"/>
              </w:rPr>
              <w:t>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Reservado</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Leyenda de información RESERVADA.</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Fundamento legal</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Periodo de reserva</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anotará el número de años o meses por los que se mantendrá el documento o las partes del mismo como reservado. Si el expediente no es reservado, sino confidencial, deberá tacharse este apartado.</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Fundamento legal</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señalará el nombre del o de los ordenamientos jurídicos, el o los artículos, fracción(es), párrafo(s) con base en los cuales se sustenta la reserva.</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Confidencial</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En caso de haber solicitado la ampliación del periodo de reserva originalmente establecido, se deberá anotar el número de años o meses por los que se amplía la reserva.</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Fundamento legal</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Confidencial</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Leyenda de información CONFIDENCIAL.</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Fundamento legal</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señalará el nombre del o de los ordenamientos jurídicos, el o los artículos, fracción(es), párrafo(s) con base en los cuales se sustente la confidencialidad.</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Rúbrica autógrafa de quien clasifica.</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Se anotará la fecha en que se desclasifica.</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 </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 </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En caso que una vez desclasificado el expediente, </w:t>
            </w:r>
            <w:proofErr w:type="spellStart"/>
            <w:r w:rsidRPr="003C3066">
              <w:rPr>
                <w:rFonts w:ascii="Palatino Linotype" w:eastAsia="Palatino Linotype" w:hAnsi="Palatino Linotype" w:cs="Palatino Linotype"/>
                <w:sz w:val="18"/>
                <w:szCs w:val="18"/>
                <w:lang w:eastAsia="es-MX"/>
              </w:rPr>
              <w:t>subsistanpartes</w:t>
            </w:r>
            <w:proofErr w:type="spellEnd"/>
            <w:r w:rsidRPr="003C3066">
              <w:rPr>
                <w:rFonts w:ascii="Palatino Linotype" w:eastAsia="Palatino Linotype" w:hAnsi="Palatino Linotype" w:cs="Palatino Linotype"/>
                <w:sz w:val="18"/>
                <w:szCs w:val="18"/>
                <w:lang w:eastAsia="es-MX"/>
              </w:rPr>
              <w:t> o secciones del mismo reservadas o confidenciales, se señalará este hecho.</w:t>
            </w:r>
          </w:p>
        </w:tc>
      </w:tr>
      <w:tr w:rsidR="003C3066" w:rsidRPr="003C3066" w:rsidTr="00F2058D">
        <w:tc>
          <w:tcPr>
            <w:tcW w:w="1386"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 </w:t>
            </w:r>
          </w:p>
        </w:tc>
        <w:tc>
          <w:tcPr>
            <w:tcW w:w="2848"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 </w:t>
            </w:r>
          </w:p>
        </w:tc>
        <w:tc>
          <w:tcPr>
            <w:tcW w:w="1501"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b/>
                <w:sz w:val="18"/>
                <w:szCs w:val="18"/>
                <w:lang w:eastAsia="es-MX"/>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rsidR="003C3066" w:rsidRPr="003C3066" w:rsidRDefault="003C3066" w:rsidP="003C3066">
            <w:pPr>
              <w:spacing w:after="0" w:line="360" w:lineRule="auto"/>
              <w:jc w:val="both"/>
              <w:rPr>
                <w:rFonts w:ascii="Palatino Linotype" w:eastAsia="Palatino Linotype" w:hAnsi="Palatino Linotype" w:cs="Palatino Linotype"/>
                <w:sz w:val="18"/>
                <w:szCs w:val="18"/>
                <w:lang w:eastAsia="es-MX"/>
              </w:rPr>
            </w:pPr>
            <w:r w:rsidRPr="003C3066">
              <w:rPr>
                <w:rFonts w:ascii="Palatino Linotype" w:eastAsia="Palatino Linotype" w:hAnsi="Palatino Linotype" w:cs="Palatino Linotype"/>
                <w:sz w:val="18"/>
                <w:szCs w:val="18"/>
                <w:lang w:eastAsia="es-MX"/>
              </w:rPr>
              <w:t>Rúbrica autógrafa de quien desclasifica.</w:t>
            </w:r>
          </w:p>
        </w:tc>
      </w:tr>
    </w:tbl>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Es así como, en mérito de lo expuesto en líneas anteriores, resultan fundadas las razones o motivos de inconformidad hechos valer por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dentro del recurso de revisión </w:t>
      </w:r>
      <w:r w:rsidRPr="003C3066">
        <w:rPr>
          <w:rFonts w:ascii="Palatino Linotype" w:eastAsia="Palatino Linotype" w:hAnsi="Palatino Linotype" w:cs="Palatino Linotype"/>
          <w:b/>
          <w:sz w:val="24"/>
          <w:szCs w:val="24"/>
          <w:lang w:eastAsia="es-MX"/>
        </w:rPr>
        <w:t>08754/INFOEM/IP/RR/2022</w:t>
      </w:r>
      <w:r w:rsidRPr="003C3066">
        <w:rPr>
          <w:rFonts w:ascii="Palatino Linotype" w:eastAsia="Palatino Linotype" w:hAnsi="Palatino Linotype" w:cs="Palatino Linotype"/>
          <w:sz w:val="24"/>
          <w:szCs w:val="24"/>
          <w:lang w:eastAsia="es-MX"/>
        </w:rPr>
        <w:t xml:space="preserve">; por ello, y con fundamento en la fracción III del numeral 186 de la Ley de Transparencia y Acceso a la Información Pública del Estado de México y Municipios, se </w:t>
      </w:r>
      <w:r w:rsidRPr="003C3066">
        <w:rPr>
          <w:rFonts w:ascii="Palatino Linotype" w:eastAsia="Palatino Linotype" w:hAnsi="Palatino Linotype" w:cs="Palatino Linotype"/>
          <w:b/>
          <w:sz w:val="24"/>
          <w:szCs w:val="24"/>
          <w:lang w:eastAsia="es-MX"/>
        </w:rPr>
        <w:t xml:space="preserve">MODIFICA </w:t>
      </w:r>
      <w:r w:rsidRPr="003C3066">
        <w:rPr>
          <w:rFonts w:ascii="Palatino Linotype" w:eastAsia="Palatino Linotype" w:hAnsi="Palatino Linotype" w:cs="Palatino Linotype"/>
          <w:sz w:val="24"/>
          <w:szCs w:val="24"/>
          <w:lang w:eastAsia="es-MX"/>
        </w:rPr>
        <w:t xml:space="preserve">la respuesta a la solicitud de información número </w:t>
      </w:r>
      <w:r w:rsidRPr="003C3066">
        <w:rPr>
          <w:rFonts w:ascii="Palatino Linotype" w:eastAsia="Palatino Linotype" w:hAnsi="Palatino Linotype" w:cs="Palatino Linotype"/>
          <w:b/>
          <w:sz w:val="24"/>
          <w:szCs w:val="24"/>
          <w:lang w:eastAsia="es-MX"/>
        </w:rPr>
        <w:t>00273/CHALCO/IP/2022.</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3C3066" w:rsidRPr="003C3066" w:rsidRDefault="003C3066" w:rsidP="003C3066">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lang w:eastAsia="es-MX"/>
        </w:rPr>
      </w:pPr>
      <w:r w:rsidRPr="003C3066">
        <w:rPr>
          <w:rFonts w:ascii="Palatino Linotype" w:eastAsia="Palatino Linotype" w:hAnsi="Palatino Linotype" w:cs="Palatino Linotype"/>
          <w:b/>
          <w:sz w:val="24"/>
          <w:szCs w:val="24"/>
          <w:lang w:eastAsia="es-MX"/>
        </w:rPr>
        <w:t>R E S U E L V E</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Primero. </w:t>
      </w:r>
      <w:r w:rsidRPr="003C3066">
        <w:rPr>
          <w:rFonts w:ascii="Palatino Linotype" w:eastAsia="Palatino Linotype" w:hAnsi="Palatino Linotype" w:cs="Palatino Linotype"/>
          <w:sz w:val="24"/>
          <w:szCs w:val="24"/>
          <w:lang w:eastAsia="es-MX"/>
        </w:rPr>
        <w:t xml:space="preserve">Resultan </w:t>
      </w:r>
      <w:r w:rsidRPr="003C3066">
        <w:rPr>
          <w:rFonts w:ascii="Palatino Linotype" w:eastAsia="Palatino Linotype" w:hAnsi="Palatino Linotype" w:cs="Palatino Linotype"/>
          <w:b/>
          <w:sz w:val="24"/>
          <w:szCs w:val="24"/>
          <w:lang w:eastAsia="es-MX"/>
        </w:rPr>
        <w:t>fundados</w:t>
      </w:r>
      <w:r w:rsidRPr="003C3066">
        <w:rPr>
          <w:rFonts w:ascii="Palatino Linotype" w:eastAsia="Palatino Linotype" w:hAnsi="Palatino Linotype" w:cs="Palatino Linotype"/>
          <w:sz w:val="24"/>
          <w:szCs w:val="24"/>
          <w:lang w:eastAsia="es-MX"/>
        </w:rPr>
        <w:t xml:space="preserve"> los motivos de inconformidad hechos valer por la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en el Recurso de Revisión </w:t>
      </w:r>
      <w:r w:rsidRPr="003C3066">
        <w:rPr>
          <w:rFonts w:ascii="Palatino Linotype" w:eastAsia="Palatino Linotype" w:hAnsi="Palatino Linotype" w:cs="Palatino Linotype"/>
          <w:b/>
          <w:sz w:val="24"/>
          <w:szCs w:val="24"/>
          <w:lang w:eastAsia="es-MX"/>
        </w:rPr>
        <w:t xml:space="preserve">8754/INFOEM/IP/RR/2022, </w:t>
      </w:r>
      <w:r w:rsidRPr="003C3066">
        <w:rPr>
          <w:rFonts w:ascii="Palatino Linotype" w:eastAsia="Palatino Linotype" w:hAnsi="Palatino Linotype" w:cs="Palatino Linotype"/>
          <w:sz w:val="24"/>
          <w:szCs w:val="24"/>
          <w:lang w:eastAsia="es-MX"/>
        </w:rPr>
        <w:t xml:space="preserve">por lo que, en términos del considerando </w:t>
      </w:r>
      <w:r w:rsidRPr="003C3066">
        <w:rPr>
          <w:rFonts w:ascii="Palatino Linotype" w:eastAsia="Palatino Linotype" w:hAnsi="Palatino Linotype" w:cs="Palatino Linotype"/>
          <w:b/>
          <w:sz w:val="24"/>
          <w:szCs w:val="24"/>
          <w:lang w:eastAsia="es-MX"/>
        </w:rPr>
        <w:t xml:space="preserve">Cuarto </w:t>
      </w:r>
      <w:r w:rsidRPr="003C3066">
        <w:rPr>
          <w:rFonts w:ascii="Palatino Linotype" w:eastAsia="Palatino Linotype" w:hAnsi="Palatino Linotype" w:cs="Palatino Linotype"/>
          <w:sz w:val="24"/>
          <w:szCs w:val="24"/>
          <w:lang w:eastAsia="es-MX"/>
        </w:rPr>
        <w:t xml:space="preserve">de esta resolución, se </w:t>
      </w:r>
      <w:r w:rsidRPr="003C3066">
        <w:rPr>
          <w:rFonts w:ascii="Palatino Linotype" w:eastAsia="Palatino Linotype" w:hAnsi="Palatino Linotype" w:cs="Palatino Linotype"/>
          <w:b/>
          <w:sz w:val="24"/>
          <w:szCs w:val="24"/>
          <w:lang w:eastAsia="es-MX"/>
        </w:rPr>
        <w:t xml:space="preserve">MODIFICA </w:t>
      </w:r>
      <w:r w:rsidRPr="003C3066">
        <w:rPr>
          <w:rFonts w:ascii="Palatino Linotype" w:eastAsia="Palatino Linotype" w:hAnsi="Palatino Linotype" w:cs="Palatino Linotype"/>
          <w:sz w:val="24"/>
          <w:szCs w:val="24"/>
          <w:lang w:eastAsia="es-MX"/>
        </w:rPr>
        <w:t xml:space="preserve">la respuesta emitida por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 xml:space="preserve">Segundo. </w:t>
      </w:r>
      <w:r w:rsidRPr="003C3066">
        <w:rPr>
          <w:rFonts w:ascii="Palatino Linotype" w:eastAsia="Palatino Linotype" w:hAnsi="Palatino Linotype" w:cs="Palatino Linotype"/>
          <w:sz w:val="24"/>
          <w:szCs w:val="24"/>
          <w:lang w:eastAsia="es-MX"/>
        </w:rPr>
        <w:t>Se</w:t>
      </w:r>
      <w:r w:rsidRPr="003C3066">
        <w:rPr>
          <w:rFonts w:ascii="Palatino Linotype" w:eastAsia="Palatino Linotype" w:hAnsi="Palatino Linotype" w:cs="Palatino Linotype"/>
          <w:b/>
          <w:sz w:val="24"/>
          <w:szCs w:val="24"/>
          <w:lang w:eastAsia="es-MX"/>
        </w:rPr>
        <w:t xml:space="preserve"> ORDENA </w:t>
      </w:r>
      <w:r w:rsidRPr="003C3066">
        <w:rPr>
          <w:rFonts w:ascii="Palatino Linotype" w:eastAsia="Palatino Linotype" w:hAnsi="Palatino Linotype" w:cs="Palatino Linotype"/>
          <w:sz w:val="24"/>
          <w:szCs w:val="24"/>
          <w:lang w:eastAsia="es-MX"/>
        </w:rPr>
        <w:t xml:space="preserve">al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a que,</w:t>
      </w:r>
      <w:r w:rsidRPr="003C3066">
        <w:rPr>
          <w:rFonts w:ascii="Palatino Linotype" w:eastAsia="Palatino Linotype" w:hAnsi="Palatino Linotype" w:cs="Palatino Linotype"/>
          <w:b/>
          <w:sz w:val="24"/>
          <w:szCs w:val="24"/>
          <w:lang w:eastAsia="es-MX"/>
        </w:rPr>
        <w:t xml:space="preserve"> </w:t>
      </w:r>
      <w:r w:rsidRPr="003C3066">
        <w:rPr>
          <w:rFonts w:ascii="Palatino Linotype" w:eastAsia="Palatino Linotype" w:hAnsi="Palatino Linotype" w:cs="Palatino Linotype"/>
          <w:sz w:val="24"/>
          <w:szCs w:val="24"/>
          <w:lang w:eastAsia="es-MX"/>
        </w:rPr>
        <w:t>en términos del Considerando Cuarto y Quinto, haga entrega vía SAIMEX, de ser el caso en versión pública</w:t>
      </w:r>
      <w:bookmarkStart w:id="3" w:name="_heading=h.3znysh7" w:colFirst="0" w:colLast="0"/>
      <w:bookmarkEnd w:id="3"/>
      <w:r w:rsidRPr="003C3066">
        <w:rPr>
          <w:rFonts w:ascii="Palatino Linotype" w:eastAsia="Palatino Linotype" w:hAnsi="Palatino Linotype" w:cs="Palatino Linotype"/>
          <w:sz w:val="24"/>
          <w:szCs w:val="24"/>
          <w:lang w:eastAsia="es-MX"/>
        </w:rPr>
        <w:t xml:space="preserve">, </w:t>
      </w:r>
      <w:r w:rsidRPr="003C3066">
        <w:rPr>
          <w:rFonts w:ascii="Palatino Linotype" w:eastAsia="Palatino Linotype" w:hAnsi="Palatino Linotype" w:cs="Palatino Linotype"/>
          <w:b/>
          <w:sz w:val="24"/>
          <w:szCs w:val="24"/>
          <w:u w:val="single"/>
          <w:lang w:eastAsia="es-MX"/>
        </w:rPr>
        <w:t>los documentos que den cuenta de la siguiente información</w:t>
      </w:r>
      <w:r w:rsidRPr="003C3066">
        <w:rPr>
          <w:rFonts w:ascii="Palatino Linotype" w:eastAsia="Palatino Linotype" w:hAnsi="Palatino Linotype" w:cs="Palatino Linotype"/>
          <w:sz w:val="24"/>
          <w:szCs w:val="24"/>
          <w:lang w:eastAsia="es-MX"/>
        </w:rPr>
        <w:t>:</w:t>
      </w:r>
    </w:p>
    <w:p w:rsidR="003C3066" w:rsidRPr="003C3066" w:rsidRDefault="003C3066" w:rsidP="003C3066">
      <w:pPr>
        <w:spacing w:after="0" w:line="360" w:lineRule="auto"/>
        <w:ind w:right="49"/>
        <w:jc w:val="both"/>
        <w:rPr>
          <w:rFonts w:ascii="Palatino Linotype" w:eastAsia="Palatino Linotype" w:hAnsi="Palatino Linotype" w:cs="Palatino Linotype"/>
          <w:sz w:val="24"/>
          <w:szCs w:val="24"/>
          <w:lang w:eastAsia="es-MX"/>
        </w:rPr>
      </w:pP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Nombre, título profesional y universidad, así como número de cédula profesional de los miembros del Ayuntamiento de la actual administración pública municipal. </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Nombre, título profesional y universidad, así como el número de cédula profesional del Secretario del Ayuntamiento, Tesorero Municipal,  y Contralor Municipal, en funciones a la fecha de la solicitud.</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Nombre, título profesional y universidad, así como el número de cédula profesional del titular de la Dirección de Obras Públicas, Dirección de Desarrollo Económico, Dirección de Desarrollo Urbano, Dirección de Ecología, Dirección de Bienestar, Dirección Jurídica, Dirección de Administración, Dirección de Cultura, Dirección de Educación, Dirección de Gobierno, Dirección de Seguridad Pública,  Tránsito y Bomberos, Dirección de Servicios Públicos, Dirección de Innovación Gubernamental, Dirección de Comercio y las demás que haya determinado crear el ayuntamiento, en funciones a la fecha de la solicitud.</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Padrón de beneficiarios de los programas sociales, así como los formatos de los estudios socioeconómicos aplicados, del veintisiete de marzo de dos mil veintiuno al veintisiete de marzo de dos mil veintidós. </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Bienes inmuebles adquiridos por el Ayuntamiento, costo, actas emitidas para tales efectos y contratos de estos, del uno de enero de dos mil veintiuno al veintisiete de marzo de dos mil veintidós. </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Bienes dados de baja y motivo, del uno de enero al veintisiete de marzo de dos mil veintidós. </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Bienes Inmuebles que se encuentran rentados al veintisiete de marzo de dos mil veintidós por el Ayuntamiento y costo mensual, acompañado de su contrato.</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Obras públicas realizadas y su costo, así como los documentos que den cuenta del proceso de licitación llevado a cabo para la realización de estas, del uno de enero al veintisiete de marzo de dos mil veintidós. </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Vehículos adquiridos, uso y costo del uno de enero al veintisiete de marzo de dos mil veintidós; y</w:t>
      </w:r>
    </w:p>
    <w:p w:rsidR="003C3066" w:rsidRPr="003C3066" w:rsidRDefault="003C3066" w:rsidP="003C3066">
      <w:pPr>
        <w:numPr>
          <w:ilvl w:val="0"/>
          <w:numId w:val="16"/>
        </w:numPr>
        <w:pBdr>
          <w:top w:val="nil"/>
          <w:left w:val="nil"/>
          <w:bottom w:val="nil"/>
          <w:right w:val="nil"/>
          <w:between w:val="nil"/>
        </w:pBdr>
        <w:tabs>
          <w:tab w:val="left" w:pos="993"/>
        </w:tabs>
        <w:spacing w:after="0" w:line="360" w:lineRule="auto"/>
        <w:ind w:left="567" w:right="49" w:hanging="11"/>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Fecha de instalación de la Comisión de Planeación y Desarrollo Municipal de la presente administración pública municipal. </w:t>
      </w:r>
    </w:p>
    <w:p w:rsidR="003C3066" w:rsidRPr="003C3066" w:rsidRDefault="003C3066" w:rsidP="003C3066">
      <w:pPr>
        <w:pBdr>
          <w:top w:val="nil"/>
          <w:left w:val="nil"/>
          <w:bottom w:val="nil"/>
          <w:right w:val="nil"/>
          <w:between w:val="nil"/>
        </w:pBdr>
        <w:tabs>
          <w:tab w:val="left" w:pos="993"/>
        </w:tabs>
        <w:spacing w:after="0" w:line="360" w:lineRule="auto"/>
        <w:ind w:left="567"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276" w:lineRule="auto"/>
        <w:ind w:right="49"/>
        <w:jc w:val="both"/>
        <w:rPr>
          <w:rFonts w:ascii="Palatino Linotype" w:eastAsia="Palatino Linotype" w:hAnsi="Palatino Linotype" w:cs="Palatino Linotype"/>
          <w:i/>
          <w:sz w:val="24"/>
          <w:szCs w:val="24"/>
          <w:lang w:eastAsia="es-MX"/>
        </w:rPr>
      </w:pPr>
      <w:r w:rsidRPr="003C3066">
        <w:rPr>
          <w:rFonts w:ascii="Palatino Linotype" w:eastAsia="Palatino Linotype" w:hAnsi="Palatino Linotype" w:cs="Palatino Linotype"/>
          <w:i/>
          <w:sz w:val="24"/>
          <w:szCs w:val="24"/>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3C3066" w:rsidRPr="003C3066" w:rsidRDefault="003C3066" w:rsidP="003C3066">
      <w:pPr>
        <w:spacing w:after="0" w:line="276" w:lineRule="auto"/>
        <w:ind w:right="49"/>
        <w:jc w:val="both"/>
        <w:rPr>
          <w:rFonts w:ascii="Palatino Linotype" w:eastAsia="Palatino Linotype" w:hAnsi="Palatino Linotype" w:cs="Palatino Linotype"/>
          <w:i/>
          <w:sz w:val="24"/>
          <w:szCs w:val="24"/>
          <w:lang w:eastAsia="es-MX"/>
        </w:rPr>
      </w:pPr>
    </w:p>
    <w:p w:rsidR="003C3066" w:rsidRPr="003C3066" w:rsidRDefault="003C3066" w:rsidP="003C3066">
      <w:pPr>
        <w:spacing w:after="0" w:line="276" w:lineRule="auto"/>
        <w:ind w:right="49"/>
        <w:jc w:val="both"/>
        <w:rPr>
          <w:rFonts w:ascii="Palatino Linotype" w:eastAsia="Palatino Linotype" w:hAnsi="Palatino Linotype" w:cs="Palatino Linotype"/>
          <w:i/>
          <w:sz w:val="24"/>
          <w:szCs w:val="24"/>
          <w:lang w:eastAsia="es-MX"/>
        </w:rPr>
      </w:pPr>
      <w:r w:rsidRPr="003C3066">
        <w:rPr>
          <w:rFonts w:ascii="Palatino Linotype" w:eastAsia="Palatino Linotype" w:hAnsi="Palatino Linotype" w:cs="Palatino Linotype"/>
          <w:i/>
          <w:sz w:val="24"/>
          <w:szCs w:val="24"/>
          <w:lang w:eastAsia="es-MX"/>
        </w:rPr>
        <w:t xml:space="preserve">En el supuesto de que la información ordenada en los incisos a); b) respecto al número de cédula profesional; c), d), e), f), g), h), i), y j) no obre en los archivos del Sujeto Obligado, deberá hacerlo del conocimiento de la Recurrente en términos del segundo párrafo del artículo 19 de la Ley en la materia, para tener por colmado el requerimiento de información. </w:t>
      </w:r>
    </w:p>
    <w:p w:rsidR="003C3066" w:rsidRPr="003C3066" w:rsidRDefault="003C3066" w:rsidP="003C3066">
      <w:pPr>
        <w:pBdr>
          <w:top w:val="nil"/>
          <w:left w:val="nil"/>
          <w:bottom w:val="nil"/>
          <w:right w:val="nil"/>
          <w:between w:val="nil"/>
        </w:pBdr>
        <w:tabs>
          <w:tab w:val="left" w:pos="993"/>
        </w:tabs>
        <w:spacing w:after="0" w:line="360" w:lineRule="auto"/>
        <w:ind w:left="567" w:right="49"/>
        <w:jc w:val="both"/>
        <w:rPr>
          <w:rFonts w:ascii="Palatino Linotype" w:eastAsia="Palatino Linotype" w:hAnsi="Palatino Linotype" w:cs="Palatino Linotype"/>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Tercero. Notifíquese vía SAIMEX,</w:t>
      </w:r>
      <w:r w:rsidRPr="003C3066">
        <w:rPr>
          <w:rFonts w:ascii="Palatino Linotype" w:eastAsia="Palatino Linotype" w:hAnsi="Palatino Linotype" w:cs="Palatino Linotype"/>
          <w:b/>
          <w:i/>
          <w:sz w:val="24"/>
          <w:szCs w:val="24"/>
          <w:lang w:eastAsia="es-MX"/>
        </w:rPr>
        <w:t xml:space="preserve"> </w:t>
      </w:r>
      <w:r w:rsidRPr="003C3066">
        <w:rPr>
          <w:rFonts w:ascii="Palatino Linotype" w:eastAsia="Palatino Linotype" w:hAnsi="Palatino Linotype" w:cs="Palatino Linotype"/>
          <w:sz w:val="24"/>
          <w:szCs w:val="24"/>
          <w:lang w:eastAsia="es-MX"/>
        </w:rPr>
        <w:t xml:space="preserve">al Titular de la Unidad de Transparencia del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Cuarto. Notifíquese, vía SAIMEX</w:t>
      </w:r>
      <w:r w:rsidRPr="003C3066">
        <w:rPr>
          <w:rFonts w:ascii="Palatino Linotype" w:eastAsia="Palatino Linotype" w:hAnsi="Palatino Linotype" w:cs="Palatino Linotype"/>
          <w:sz w:val="24"/>
          <w:szCs w:val="24"/>
          <w:lang w:eastAsia="es-MX"/>
        </w:rPr>
        <w:t xml:space="preserve">, a la parte </w:t>
      </w:r>
      <w:r w:rsidRPr="003C3066">
        <w:rPr>
          <w:rFonts w:ascii="Palatino Linotype" w:eastAsia="Palatino Linotype" w:hAnsi="Palatino Linotype" w:cs="Palatino Linotype"/>
          <w:b/>
          <w:sz w:val="24"/>
          <w:szCs w:val="24"/>
          <w:lang w:eastAsia="es-MX"/>
        </w:rPr>
        <w:t>RECURRENTE</w:t>
      </w:r>
      <w:r w:rsidRPr="003C3066">
        <w:rPr>
          <w:rFonts w:ascii="Palatino Linotype" w:eastAsia="Palatino Linotype" w:hAnsi="Palatino Linotype" w:cs="Palatino Linotype"/>
          <w:sz w:val="24"/>
          <w:szCs w:val="24"/>
          <w:lang w:eastAsia="es-MX"/>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3C3066" w:rsidRPr="003C3066" w:rsidRDefault="003C3066" w:rsidP="003C3066">
      <w:pPr>
        <w:spacing w:after="0" w:line="360" w:lineRule="auto"/>
        <w:jc w:val="both"/>
        <w:rPr>
          <w:rFonts w:ascii="Palatino Linotype" w:eastAsia="Palatino Linotype" w:hAnsi="Palatino Linotype" w:cs="Palatino Linotype"/>
          <w:b/>
          <w:sz w:val="24"/>
          <w:szCs w:val="24"/>
          <w:lang w:eastAsia="es-MX"/>
        </w:rPr>
      </w:pP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b/>
          <w:sz w:val="24"/>
          <w:szCs w:val="24"/>
          <w:lang w:eastAsia="es-MX"/>
        </w:rPr>
        <w:t>Quinto.</w:t>
      </w:r>
      <w:r w:rsidRPr="003C3066">
        <w:rPr>
          <w:rFonts w:ascii="Palatino Linotype" w:eastAsia="Palatino Linotype" w:hAnsi="Palatino Linotype" w:cs="Palatino Linotype"/>
          <w:sz w:val="24"/>
          <w:szCs w:val="24"/>
          <w:lang w:eastAsia="es-MX"/>
        </w:rPr>
        <w:t xml:space="preserve"> De conformidad con el artículo 198 de la Ley de Transparencia y Acceso a la Información Pública del Estado de México y Municipios, de considerarlo procedente, el </w:t>
      </w:r>
      <w:r w:rsidRPr="003C3066">
        <w:rPr>
          <w:rFonts w:ascii="Palatino Linotype" w:eastAsia="Palatino Linotype" w:hAnsi="Palatino Linotype" w:cs="Palatino Linotype"/>
          <w:b/>
          <w:sz w:val="24"/>
          <w:szCs w:val="24"/>
          <w:lang w:eastAsia="es-MX"/>
        </w:rPr>
        <w:t>SUJETO OBLIGADO</w:t>
      </w:r>
      <w:r w:rsidRPr="003C3066">
        <w:rPr>
          <w:rFonts w:ascii="Palatino Linotype" w:eastAsia="Palatino Linotype" w:hAnsi="Palatino Linotype" w:cs="Palatino Linotype"/>
          <w:sz w:val="24"/>
          <w:szCs w:val="24"/>
          <w:lang w:eastAsia="es-MX"/>
        </w:rPr>
        <w:t xml:space="preserve"> de manera fundada y motivada, podrá solicitar una ampliación de plazo para el cumplimiento de la presente resolución.</w:t>
      </w:r>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bookmarkStart w:id="4" w:name="_heading=h.1fob9te" w:colFirst="0" w:colLast="0"/>
      <w:bookmarkEnd w:id="4"/>
    </w:p>
    <w:p w:rsidR="003C3066" w:rsidRPr="003C3066" w:rsidRDefault="003C3066" w:rsidP="003C3066">
      <w:pPr>
        <w:spacing w:after="0" w:line="360" w:lineRule="auto"/>
        <w:jc w:val="both"/>
        <w:rPr>
          <w:rFonts w:ascii="Palatino Linotype" w:eastAsia="Palatino Linotype" w:hAnsi="Palatino Linotype" w:cs="Palatino Linotype"/>
          <w:sz w:val="24"/>
          <w:szCs w:val="24"/>
          <w:lang w:eastAsia="es-MX"/>
        </w:rPr>
      </w:pPr>
      <w:r w:rsidRPr="003C3066">
        <w:rPr>
          <w:rFonts w:ascii="Palatino Linotype" w:eastAsia="Palatino Linotype" w:hAnsi="Palatino Linotype" w:cs="Palatino Linotype"/>
          <w:sz w:val="24"/>
          <w:szCs w:val="24"/>
          <w:lang w:eastAsia="es-MX"/>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DE NOVIEMBRE DEL DOS MIL VEINTIDÓS, ANTE EL SECRETARIO TÉCNICO DEL PLENO ALEXIS TAPIA RAMÍREZ.           </w:t>
      </w:r>
    </w:p>
    <w:p w:rsidR="00194265" w:rsidRDefault="00194265"/>
    <w:p w:rsidR="003C3066" w:rsidRDefault="003C3066"/>
    <w:p w:rsidR="003C3066" w:rsidRDefault="003C3066"/>
    <w:p w:rsidR="003C3066" w:rsidRDefault="003C3066"/>
    <w:sectPr w:rsidR="003C3066">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58D" w:rsidRDefault="00F2058D" w:rsidP="003C3066">
      <w:pPr>
        <w:spacing w:after="0" w:line="240" w:lineRule="auto"/>
      </w:pPr>
      <w:r>
        <w:separator/>
      </w:r>
    </w:p>
  </w:endnote>
  <w:endnote w:type="continuationSeparator" w:id="0">
    <w:p w:rsidR="00F2058D" w:rsidRDefault="00F2058D" w:rsidP="003C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58D" w:rsidRPr="003C3066" w:rsidRDefault="00F2058D">
    <w:pPr>
      <w:tabs>
        <w:tab w:val="center" w:pos="4550"/>
        <w:tab w:val="left" w:pos="5818"/>
      </w:tabs>
      <w:ind w:right="260"/>
      <w:jc w:val="right"/>
      <w:rPr>
        <w:rFonts w:ascii="Arial" w:hAnsi="Arial" w:cs="Arial"/>
        <w:color w:val="171717" w:themeColor="background2" w:themeShade="1A"/>
        <w:sz w:val="14"/>
        <w:szCs w:val="24"/>
      </w:rPr>
    </w:pPr>
    <w:r w:rsidRPr="003C3066">
      <w:rPr>
        <w:rFonts w:ascii="Arial" w:hAnsi="Arial" w:cs="Arial"/>
        <w:color w:val="171717" w:themeColor="background2" w:themeShade="1A"/>
        <w:spacing w:val="60"/>
        <w:sz w:val="14"/>
        <w:szCs w:val="24"/>
        <w:lang w:val="es-ES"/>
      </w:rPr>
      <w:t>Página</w:t>
    </w:r>
    <w:r w:rsidRPr="003C3066">
      <w:rPr>
        <w:rFonts w:ascii="Arial" w:hAnsi="Arial" w:cs="Arial"/>
        <w:color w:val="171717" w:themeColor="background2" w:themeShade="1A"/>
        <w:sz w:val="14"/>
        <w:szCs w:val="24"/>
        <w:lang w:val="es-ES"/>
      </w:rPr>
      <w:t xml:space="preserve"> </w:t>
    </w:r>
    <w:r w:rsidRPr="003C3066">
      <w:rPr>
        <w:rFonts w:ascii="Arial" w:hAnsi="Arial" w:cs="Arial"/>
        <w:color w:val="171717" w:themeColor="background2" w:themeShade="1A"/>
        <w:sz w:val="14"/>
        <w:szCs w:val="24"/>
      </w:rPr>
      <w:fldChar w:fldCharType="begin"/>
    </w:r>
    <w:r w:rsidRPr="003C3066">
      <w:rPr>
        <w:rFonts w:ascii="Arial" w:hAnsi="Arial" w:cs="Arial"/>
        <w:color w:val="171717" w:themeColor="background2" w:themeShade="1A"/>
        <w:sz w:val="14"/>
        <w:szCs w:val="24"/>
      </w:rPr>
      <w:instrText>PAGE   \* MERGEFORMAT</w:instrText>
    </w:r>
    <w:r w:rsidRPr="003C3066">
      <w:rPr>
        <w:rFonts w:ascii="Arial" w:hAnsi="Arial" w:cs="Arial"/>
        <w:color w:val="171717" w:themeColor="background2" w:themeShade="1A"/>
        <w:sz w:val="14"/>
        <w:szCs w:val="24"/>
      </w:rPr>
      <w:fldChar w:fldCharType="separate"/>
    </w:r>
    <w:r w:rsidR="0090020C" w:rsidRPr="0090020C">
      <w:rPr>
        <w:rFonts w:ascii="Arial" w:hAnsi="Arial" w:cs="Arial"/>
        <w:noProof/>
        <w:color w:val="171717" w:themeColor="background2" w:themeShade="1A"/>
        <w:sz w:val="14"/>
        <w:szCs w:val="24"/>
        <w:lang w:val="es-ES"/>
      </w:rPr>
      <w:t>21</w:t>
    </w:r>
    <w:r w:rsidRPr="003C3066">
      <w:rPr>
        <w:rFonts w:ascii="Arial" w:hAnsi="Arial" w:cs="Arial"/>
        <w:color w:val="171717" w:themeColor="background2" w:themeShade="1A"/>
        <w:sz w:val="14"/>
        <w:szCs w:val="24"/>
      </w:rPr>
      <w:fldChar w:fldCharType="end"/>
    </w:r>
    <w:r w:rsidRPr="003C3066">
      <w:rPr>
        <w:rFonts w:ascii="Arial" w:hAnsi="Arial" w:cs="Arial"/>
        <w:color w:val="171717" w:themeColor="background2" w:themeShade="1A"/>
        <w:sz w:val="14"/>
        <w:szCs w:val="24"/>
        <w:lang w:val="es-ES"/>
      </w:rPr>
      <w:t xml:space="preserve"> | </w:t>
    </w:r>
    <w:r w:rsidRPr="003C3066">
      <w:rPr>
        <w:rFonts w:ascii="Arial" w:hAnsi="Arial" w:cs="Arial"/>
        <w:color w:val="171717" w:themeColor="background2" w:themeShade="1A"/>
        <w:sz w:val="14"/>
        <w:szCs w:val="24"/>
      </w:rPr>
      <w:fldChar w:fldCharType="begin"/>
    </w:r>
    <w:r w:rsidRPr="003C3066">
      <w:rPr>
        <w:rFonts w:ascii="Arial" w:hAnsi="Arial" w:cs="Arial"/>
        <w:color w:val="171717" w:themeColor="background2" w:themeShade="1A"/>
        <w:sz w:val="14"/>
        <w:szCs w:val="24"/>
      </w:rPr>
      <w:instrText>NUMPAGES  \* Arabic  \* MERGEFORMAT</w:instrText>
    </w:r>
    <w:r w:rsidRPr="003C3066">
      <w:rPr>
        <w:rFonts w:ascii="Arial" w:hAnsi="Arial" w:cs="Arial"/>
        <w:color w:val="171717" w:themeColor="background2" w:themeShade="1A"/>
        <w:sz w:val="14"/>
        <w:szCs w:val="24"/>
      </w:rPr>
      <w:fldChar w:fldCharType="separate"/>
    </w:r>
    <w:r w:rsidR="0090020C" w:rsidRPr="0090020C">
      <w:rPr>
        <w:rFonts w:ascii="Arial" w:hAnsi="Arial" w:cs="Arial"/>
        <w:noProof/>
        <w:color w:val="171717" w:themeColor="background2" w:themeShade="1A"/>
        <w:sz w:val="14"/>
        <w:szCs w:val="24"/>
        <w:lang w:val="es-ES"/>
      </w:rPr>
      <w:t>79</w:t>
    </w:r>
    <w:r w:rsidRPr="003C3066">
      <w:rPr>
        <w:rFonts w:ascii="Arial" w:hAnsi="Arial" w:cs="Arial"/>
        <w:color w:val="171717" w:themeColor="background2" w:themeShade="1A"/>
        <w:sz w:val="14"/>
        <w:szCs w:val="24"/>
      </w:rPr>
      <w:fldChar w:fldCharType="end"/>
    </w:r>
  </w:p>
  <w:p w:rsidR="00F2058D" w:rsidRDefault="00F205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58D" w:rsidRDefault="00F2058D" w:rsidP="003C3066">
      <w:pPr>
        <w:spacing w:after="0" w:line="240" w:lineRule="auto"/>
      </w:pPr>
      <w:r>
        <w:separator/>
      </w:r>
    </w:p>
  </w:footnote>
  <w:footnote w:type="continuationSeparator" w:id="0">
    <w:p w:rsidR="00F2058D" w:rsidRDefault="00F2058D" w:rsidP="003C3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119" w:type="dxa"/>
      <w:tblLayout w:type="fixed"/>
      <w:tblLook w:val="0400" w:firstRow="0" w:lastRow="0" w:firstColumn="0" w:lastColumn="0" w:noHBand="0" w:noVBand="1"/>
    </w:tblPr>
    <w:tblGrid>
      <w:gridCol w:w="2551"/>
      <w:gridCol w:w="3119"/>
    </w:tblGrid>
    <w:tr w:rsidR="00F2058D" w:rsidRPr="003C3066" w:rsidTr="00F2058D">
      <w:tc>
        <w:tcPr>
          <w:tcW w:w="2551" w:type="dxa"/>
          <w:vAlign w:val="center"/>
        </w:tcPr>
        <w:p w:rsidR="00F2058D" w:rsidRPr="003C3066" w:rsidRDefault="00F2058D" w:rsidP="003C3066">
          <w:pPr>
            <w:spacing w:after="0" w:line="240" w:lineRule="auto"/>
            <w:rPr>
              <w:rFonts w:ascii="Palatino Linotype" w:eastAsia="Palatino Linotype" w:hAnsi="Palatino Linotype" w:cs="Palatino Linotype"/>
              <w:b/>
              <w:lang w:eastAsia="es-MX"/>
            </w:rPr>
          </w:pPr>
          <w:r w:rsidRPr="003C3066">
            <w:rPr>
              <w:rFonts w:ascii="Palatino Linotype" w:eastAsia="Palatino Linotype" w:hAnsi="Palatino Linotype" w:cs="Palatino Linotype"/>
              <w:b/>
              <w:lang w:eastAsia="es-MX"/>
            </w:rPr>
            <w:t>Recurso de Revisión:</w:t>
          </w:r>
        </w:p>
      </w:tc>
      <w:tc>
        <w:tcPr>
          <w:tcW w:w="3119" w:type="dxa"/>
          <w:vAlign w:val="center"/>
        </w:tcPr>
        <w:p w:rsidR="00F2058D" w:rsidRPr="003C3066" w:rsidRDefault="00F2058D" w:rsidP="003C3066">
          <w:pPr>
            <w:spacing w:after="0" w:line="240" w:lineRule="auto"/>
            <w:jc w:val="both"/>
            <w:rPr>
              <w:rFonts w:ascii="Palatino Linotype" w:eastAsia="Palatino Linotype" w:hAnsi="Palatino Linotype" w:cs="Palatino Linotype"/>
              <w:b/>
              <w:lang w:eastAsia="es-MX"/>
            </w:rPr>
          </w:pPr>
          <w:r w:rsidRPr="003C3066">
            <w:rPr>
              <w:rFonts w:ascii="Palatino Linotype" w:eastAsia="Palatino Linotype" w:hAnsi="Palatino Linotype" w:cs="Palatino Linotype"/>
              <w:b/>
              <w:lang w:eastAsia="es-MX"/>
            </w:rPr>
            <w:t xml:space="preserve">08754/INFOEM/IP/RR/2022. </w:t>
          </w:r>
        </w:p>
      </w:tc>
    </w:tr>
    <w:tr w:rsidR="00F2058D" w:rsidRPr="003C3066" w:rsidTr="00F2058D">
      <w:tc>
        <w:tcPr>
          <w:tcW w:w="2551" w:type="dxa"/>
          <w:vAlign w:val="center"/>
        </w:tcPr>
        <w:p w:rsidR="00F2058D" w:rsidRPr="003C3066" w:rsidRDefault="00F2058D" w:rsidP="003C3066">
          <w:pPr>
            <w:spacing w:after="0" w:line="240" w:lineRule="auto"/>
            <w:ind w:left="35" w:hanging="35"/>
            <w:rPr>
              <w:rFonts w:ascii="Palatino Linotype" w:eastAsia="Palatino Linotype" w:hAnsi="Palatino Linotype" w:cs="Palatino Linotype"/>
              <w:b/>
              <w:lang w:eastAsia="es-MX"/>
            </w:rPr>
          </w:pPr>
          <w:r w:rsidRPr="003C3066">
            <w:rPr>
              <w:rFonts w:ascii="Palatino Linotype" w:eastAsia="Palatino Linotype" w:hAnsi="Palatino Linotype" w:cs="Palatino Linotype"/>
              <w:b/>
              <w:lang w:eastAsia="es-MX"/>
            </w:rPr>
            <w:t>Recurrente:</w:t>
          </w:r>
        </w:p>
      </w:tc>
      <w:tc>
        <w:tcPr>
          <w:tcW w:w="3119" w:type="dxa"/>
          <w:vAlign w:val="center"/>
        </w:tcPr>
        <w:p w:rsidR="00F2058D" w:rsidRPr="003C3066" w:rsidRDefault="00F2058D" w:rsidP="003C3066">
          <w:pPr>
            <w:spacing w:after="0" w:line="240" w:lineRule="auto"/>
            <w:jc w:val="both"/>
            <w:rPr>
              <w:rFonts w:ascii="Palatino Linotype" w:eastAsia="Palatino Linotype" w:hAnsi="Palatino Linotype" w:cs="Palatino Linotype"/>
              <w:b/>
              <w:lang w:eastAsia="es-MX"/>
            </w:rPr>
          </w:pPr>
        </w:p>
      </w:tc>
    </w:tr>
    <w:tr w:rsidR="00F2058D" w:rsidRPr="003C3066" w:rsidTr="00F2058D">
      <w:trPr>
        <w:trHeight w:val="228"/>
      </w:trPr>
      <w:tc>
        <w:tcPr>
          <w:tcW w:w="2551" w:type="dxa"/>
          <w:vAlign w:val="center"/>
        </w:tcPr>
        <w:p w:rsidR="00F2058D" w:rsidRPr="003C3066" w:rsidRDefault="00F2058D" w:rsidP="003C3066">
          <w:pPr>
            <w:spacing w:after="0" w:line="240" w:lineRule="auto"/>
            <w:rPr>
              <w:rFonts w:ascii="Palatino Linotype" w:eastAsia="Palatino Linotype" w:hAnsi="Palatino Linotype" w:cs="Palatino Linotype"/>
              <w:b/>
              <w:lang w:eastAsia="es-MX"/>
            </w:rPr>
          </w:pPr>
          <w:r w:rsidRPr="003C3066">
            <w:rPr>
              <w:rFonts w:ascii="Palatino Linotype" w:eastAsia="Palatino Linotype" w:hAnsi="Palatino Linotype" w:cs="Palatino Linotype"/>
              <w:b/>
              <w:lang w:eastAsia="es-MX"/>
            </w:rPr>
            <w:t>Sujeto obligado:</w:t>
          </w:r>
        </w:p>
      </w:tc>
      <w:tc>
        <w:tcPr>
          <w:tcW w:w="3119" w:type="dxa"/>
          <w:vAlign w:val="center"/>
        </w:tcPr>
        <w:p w:rsidR="00F2058D" w:rsidRPr="003C3066" w:rsidRDefault="00F2058D" w:rsidP="003C3066">
          <w:pPr>
            <w:spacing w:after="0" w:line="240" w:lineRule="auto"/>
            <w:jc w:val="both"/>
            <w:rPr>
              <w:rFonts w:ascii="Palatino Linotype" w:eastAsia="Palatino Linotype" w:hAnsi="Palatino Linotype" w:cs="Palatino Linotype"/>
              <w:b/>
              <w:lang w:eastAsia="es-MX"/>
            </w:rPr>
          </w:pPr>
          <w:r w:rsidRPr="003C3066">
            <w:rPr>
              <w:rFonts w:ascii="Palatino Linotype" w:eastAsia="Palatino Linotype" w:hAnsi="Palatino Linotype" w:cs="Palatino Linotype"/>
              <w:b/>
              <w:lang w:eastAsia="es-MX"/>
            </w:rPr>
            <w:t>Ayuntamiento de Chalco</w:t>
          </w:r>
        </w:p>
      </w:tc>
    </w:tr>
    <w:tr w:rsidR="00F2058D" w:rsidRPr="003C3066" w:rsidTr="00F2058D">
      <w:tc>
        <w:tcPr>
          <w:tcW w:w="2551" w:type="dxa"/>
          <w:vAlign w:val="center"/>
        </w:tcPr>
        <w:p w:rsidR="00F2058D" w:rsidRPr="003C3066" w:rsidRDefault="00F2058D" w:rsidP="003C3066">
          <w:pPr>
            <w:spacing w:after="0" w:line="240" w:lineRule="auto"/>
            <w:rPr>
              <w:rFonts w:ascii="Palatino Linotype" w:eastAsia="Palatino Linotype" w:hAnsi="Palatino Linotype" w:cs="Palatino Linotype"/>
              <w:b/>
              <w:lang w:eastAsia="es-MX"/>
            </w:rPr>
          </w:pPr>
          <w:r w:rsidRPr="003C3066">
            <w:rPr>
              <w:rFonts w:ascii="Palatino Linotype" w:eastAsia="Palatino Linotype" w:hAnsi="Palatino Linotype" w:cs="Palatino Linotype"/>
              <w:b/>
              <w:lang w:eastAsia="es-MX"/>
            </w:rPr>
            <w:t>Comisionada ponente:</w:t>
          </w:r>
        </w:p>
      </w:tc>
      <w:tc>
        <w:tcPr>
          <w:tcW w:w="3119" w:type="dxa"/>
          <w:vAlign w:val="center"/>
        </w:tcPr>
        <w:p w:rsidR="00F2058D" w:rsidRPr="003C3066" w:rsidRDefault="00F2058D" w:rsidP="003C3066">
          <w:pPr>
            <w:spacing w:after="0" w:line="240" w:lineRule="auto"/>
            <w:ind w:right="-533"/>
            <w:jc w:val="both"/>
            <w:rPr>
              <w:rFonts w:ascii="Palatino Linotype" w:eastAsia="Palatino Linotype" w:hAnsi="Palatino Linotype" w:cs="Palatino Linotype"/>
              <w:b/>
              <w:lang w:eastAsia="es-MX"/>
            </w:rPr>
          </w:pPr>
          <w:r w:rsidRPr="003C3066">
            <w:rPr>
              <w:rFonts w:ascii="Palatino Linotype" w:eastAsia="Palatino Linotype" w:hAnsi="Palatino Linotype" w:cs="Palatino Linotype"/>
              <w:b/>
              <w:lang w:eastAsia="es-MX"/>
            </w:rPr>
            <w:t>Guadalupe Ramírez Peña.</w:t>
          </w:r>
        </w:p>
      </w:tc>
    </w:tr>
  </w:tbl>
  <w:p w:rsidR="00F2058D" w:rsidRDefault="00F2058D">
    <w:pPr>
      <w:pStyle w:val="Encabezado"/>
    </w:pPr>
    <w:r>
      <w:rPr>
        <w:noProof/>
        <w:lang w:val="es-MX" w:eastAsia="es-MX"/>
      </w:rPr>
      <w:drawing>
        <wp:anchor distT="0" distB="0" distL="0" distR="0" simplePos="0" relativeHeight="251659264" behindDoc="1" locked="0" layoutInCell="1" hidden="0" allowOverlap="1" wp14:anchorId="33220651" wp14:editId="3B592CC4">
          <wp:simplePos x="0" y="0"/>
          <wp:positionH relativeFrom="page">
            <wp:align>right</wp:align>
          </wp:positionH>
          <wp:positionV relativeFrom="paragraph">
            <wp:posOffset>-1201612</wp:posOffset>
          </wp:positionV>
          <wp:extent cx="7809876" cy="10165823"/>
          <wp:effectExtent l="0" t="0" r="635" b="6985"/>
          <wp:wrapNone/>
          <wp:docPr id="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20EA7"/>
    <w:multiLevelType w:val="hybridMultilevel"/>
    <w:tmpl w:val="884C67C6"/>
    <w:lvl w:ilvl="0" w:tplc="279E2494">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D7A42D9"/>
    <w:multiLevelType w:val="multilevel"/>
    <w:tmpl w:val="91063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331BA4"/>
    <w:multiLevelType w:val="multilevel"/>
    <w:tmpl w:val="4394D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FE6C9F"/>
    <w:multiLevelType w:val="multilevel"/>
    <w:tmpl w:val="DFD800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522333C"/>
    <w:multiLevelType w:val="multilevel"/>
    <w:tmpl w:val="930800A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37F60C75"/>
    <w:multiLevelType w:val="multilevel"/>
    <w:tmpl w:val="46081B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A162B4C"/>
    <w:multiLevelType w:val="hybridMultilevel"/>
    <w:tmpl w:val="97F4E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C890714"/>
    <w:multiLevelType w:val="multilevel"/>
    <w:tmpl w:val="69C8BB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05C5CCA"/>
    <w:multiLevelType w:val="multilevel"/>
    <w:tmpl w:val="FB907D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A2375A3"/>
    <w:multiLevelType w:val="hybridMultilevel"/>
    <w:tmpl w:val="94BEB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30947C8"/>
    <w:multiLevelType w:val="multilevel"/>
    <w:tmpl w:val="206EA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98509F8"/>
    <w:multiLevelType w:val="multilevel"/>
    <w:tmpl w:val="5A061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9215453"/>
    <w:multiLevelType w:val="multilevel"/>
    <w:tmpl w:val="5470D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62A07EA"/>
    <w:multiLevelType w:val="multilevel"/>
    <w:tmpl w:val="A0845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6E87494"/>
    <w:multiLevelType w:val="multilevel"/>
    <w:tmpl w:val="5010F492"/>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7791599C"/>
    <w:multiLevelType w:val="multilevel"/>
    <w:tmpl w:val="0D8E7E6E"/>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6">
    <w:nsid w:val="77D338BD"/>
    <w:multiLevelType w:val="hybridMultilevel"/>
    <w:tmpl w:val="D9CCF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3"/>
  </w:num>
  <w:num w:numId="4">
    <w:abstractNumId w:val="7"/>
  </w:num>
  <w:num w:numId="5">
    <w:abstractNumId w:val="15"/>
  </w:num>
  <w:num w:numId="6">
    <w:abstractNumId w:val="12"/>
  </w:num>
  <w:num w:numId="7">
    <w:abstractNumId w:val="3"/>
  </w:num>
  <w:num w:numId="8">
    <w:abstractNumId w:val="16"/>
  </w:num>
  <w:num w:numId="9">
    <w:abstractNumId w:val="0"/>
  </w:num>
  <w:num w:numId="10">
    <w:abstractNumId w:val="6"/>
  </w:num>
  <w:num w:numId="11">
    <w:abstractNumId w:val="9"/>
  </w:num>
  <w:num w:numId="12">
    <w:abstractNumId w:val="10"/>
  </w:num>
  <w:num w:numId="13">
    <w:abstractNumId w:val="11"/>
  </w:num>
  <w:num w:numId="14">
    <w:abstractNumId w:val="1"/>
  </w:num>
  <w:num w:numId="15">
    <w:abstractNumId w:val="2"/>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066"/>
    <w:rsid w:val="00194265"/>
    <w:rsid w:val="002D0A04"/>
    <w:rsid w:val="003C3066"/>
    <w:rsid w:val="007457B9"/>
    <w:rsid w:val="0090020C"/>
    <w:rsid w:val="0090623F"/>
    <w:rsid w:val="00E44011"/>
    <w:rsid w:val="00F179E3"/>
    <w:rsid w:val="00F2058D"/>
    <w:rsid w:val="00F82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4911A5-D9A4-4BC6-A289-4BD07AECA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3C3066"/>
    <w:pPr>
      <w:keepNext/>
      <w:keepLines/>
      <w:spacing w:before="480" w:after="120" w:line="240" w:lineRule="auto"/>
      <w:outlineLvl w:val="0"/>
    </w:pPr>
    <w:rPr>
      <w:rFonts w:ascii="Times New Roman" w:eastAsia="Times New Roman" w:hAnsi="Times New Roman" w:cs="Times New Roman"/>
      <w:b/>
      <w:sz w:val="48"/>
      <w:szCs w:val="48"/>
      <w:lang w:val="es-ES" w:eastAsia="es-ES"/>
    </w:rPr>
  </w:style>
  <w:style w:type="paragraph" w:styleId="Ttulo2">
    <w:name w:val="heading 2"/>
    <w:basedOn w:val="Normal"/>
    <w:next w:val="Normal"/>
    <w:link w:val="Ttulo2Car"/>
    <w:rsid w:val="003C3066"/>
    <w:pPr>
      <w:keepNext/>
      <w:keepLines/>
      <w:spacing w:before="360" w:after="80" w:line="240" w:lineRule="auto"/>
      <w:outlineLvl w:val="1"/>
    </w:pPr>
    <w:rPr>
      <w:rFonts w:ascii="Times New Roman" w:eastAsia="Times New Roman" w:hAnsi="Times New Roman" w:cs="Times New Roman"/>
      <w:b/>
      <w:sz w:val="36"/>
      <w:szCs w:val="36"/>
      <w:lang w:val="es-ES" w:eastAsia="es-ES"/>
    </w:rPr>
  </w:style>
  <w:style w:type="paragraph" w:styleId="Ttulo3">
    <w:name w:val="heading 3"/>
    <w:basedOn w:val="Normal"/>
    <w:link w:val="Ttulo3Car"/>
    <w:uiPriority w:val="9"/>
    <w:qFormat/>
    <w:rsid w:val="003C306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rsid w:val="003C3066"/>
    <w:pPr>
      <w:keepNext/>
      <w:keepLines/>
      <w:spacing w:before="240" w:after="40" w:line="240" w:lineRule="auto"/>
      <w:outlineLvl w:val="3"/>
    </w:pPr>
    <w:rPr>
      <w:rFonts w:ascii="Times New Roman" w:eastAsia="Times New Roman" w:hAnsi="Times New Roman" w:cs="Times New Roman"/>
      <w:b/>
      <w:sz w:val="24"/>
      <w:szCs w:val="24"/>
      <w:lang w:val="es-ES" w:eastAsia="es-ES"/>
    </w:rPr>
  </w:style>
  <w:style w:type="paragraph" w:styleId="Ttulo5">
    <w:name w:val="heading 5"/>
    <w:basedOn w:val="Normal"/>
    <w:next w:val="Normal"/>
    <w:link w:val="Ttulo5Car"/>
    <w:rsid w:val="003C3066"/>
    <w:pPr>
      <w:keepNext/>
      <w:keepLines/>
      <w:spacing w:before="220" w:after="40" w:line="240" w:lineRule="auto"/>
      <w:outlineLvl w:val="4"/>
    </w:pPr>
    <w:rPr>
      <w:rFonts w:ascii="Times New Roman" w:eastAsia="Times New Roman" w:hAnsi="Times New Roman" w:cs="Times New Roman"/>
      <w:b/>
      <w:lang w:val="es-ES" w:eastAsia="es-ES"/>
    </w:rPr>
  </w:style>
  <w:style w:type="paragraph" w:styleId="Ttulo6">
    <w:name w:val="heading 6"/>
    <w:basedOn w:val="Normal"/>
    <w:next w:val="Normal"/>
    <w:link w:val="Ttulo6Car"/>
    <w:rsid w:val="003C3066"/>
    <w:pPr>
      <w:keepNext/>
      <w:keepLines/>
      <w:spacing w:before="200" w:after="40" w:line="240" w:lineRule="auto"/>
      <w:outlineLvl w:val="5"/>
    </w:pPr>
    <w:rPr>
      <w:rFonts w:ascii="Times New Roman" w:eastAsia="Times New Roman" w:hAnsi="Times New Roman"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C3066"/>
    <w:rPr>
      <w:rFonts w:ascii="Times New Roman" w:eastAsia="Times New Roman" w:hAnsi="Times New Roman" w:cs="Times New Roman"/>
      <w:b/>
      <w:sz w:val="48"/>
      <w:szCs w:val="48"/>
      <w:lang w:val="es-ES" w:eastAsia="es-ES"/>
    </w:rPr>
  </w:style>
  <w:style w:type="character" w:customStyle="1" w:styleId="Ttulo2Car">
    <w:name w:val="Título 2 Car"/>
    <w:basedOn w:val="Fuentedeprrafopredeter"/>
    <w:link w:val="Ttulo2"/>
    <w:rsid w:val="003C3066"/>
    <w:rPr>
      <w:rFonts w:ascii="Times New Roman" w:eastAsia="Times New Roman" w:hAnsi="Times New Roman" w:cs="Times New Roman"/>
      <w:b/>
      <w:sz w:val="36"/>
      <w:szCs w:val="36"/>
      <w:lang w:val="es-ES" w:eastAsia="es-ES"/>
    </w:rPr>
  </w:style>
  <w:style w:type="character" w:customStyle="1" w:styleId="Ttulo3Car">
    <w:name w:val="Título 3 Car"/>
    <w:basedOn w:val="Fuentedeprrafopredeter"/>
    <w:link w:val="Ttulo3"/>
    <w:uiPriority w:val="9"/>
    <w:rsid w:val="003C306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rsid w:val="003C3066"/>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3C3066"/>
    <w:rPr>
      <w:rFonts w:ascii="Times New Roman" w:eastAsia="Times New Roman" w:hAnsi="Times New Roman" w:cs="Times New Roman"/>
      <w:b/>
      <w:lang w:val="es-ES" w:eastAsia="es-ES"/>
    </w:rPr>
  </w:style>
  <w:style w:type="character" w:customStyle="1" w:styleId="Ttulo6Car">
    <w:name w:val="Título 6 Car"/>
    <w:basedOn w:val="Fuentedeprrafopredeter"/>
    <w:link w:val="Ttulo6"/>
    <w:rsid w:val="003C3066"/>
    <w:rPr>
      <w:rFonts w:ascii="Times New Roman" w:eastAsia="Times New Roman" w:hAnsi="Times New Roman" w:cs="Times New Roman"/>
      <w:b/>
      <w:sz w:val="20"/>
      <w:szCs w:val="20"/>
      <w:lang w:val="es-ES" w:eastAsia="es-ES"/>
    </w:rPr>
  </w:style>
  <w:style w:type="numbering" w:customStyle="1" w:styleId="Sinlista1">
    <w:name w:val="Sin lista1"/>
    <w:next w:val="Sinlista"/>
    <w:uiPriority w:val="99"/>
    <w:semiHidden/>
    <w:unhideWhenUsed/>
    <w:rsid w:val="003C3066"/>
  </w:style>
  <w:style w:type="table" w:customStyle="1" w:styleId="TableNormal">
    <w:name w:val="Table Normal"/>
    <w:rsid w:val="003C3066"/>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Puesto">
    <w:name w:val="Title"/>
    <w:basedOn w:val="Normal"/>
    <w:next w:val="Normal"/>
    <w:link w:val="PuestoCar"/>
    <w:rsid w:val="003C3066"/>
    <w:pPr>
      <w:keepNext/>
      <w:keepLines/>
      <w:spacing w:before="480" w:after="120" w:line="240" w:lineRule="auto"/>
    </w:pPr>
    <w:rPr>
      <w:rFonts w:ascii="Times New Roman" w:eastAsia="Times New Roman" w:hAnsi="Times New Roman" w:cs="Times New Roman"/>
      <w:b/>
      <w:sz w:val="72"/>
      <w:szCs w:val="72"/>
      <w:lang w:val="es-ES" w:eastAsia="es-ES"/>
    </w:rPr>
  </w:style>
  <w:style w:type="character" w:customStyle="1" w:styleId="PuestoCar">
    <w:name w:val="Puesto Car"/>
    <w:basedOn w:val="Fuentedeprrafopredeter"/>
    <w:link w:val="Puesto"/>
    <w:rsid w:val="003C3066"/>
    <w:rPr>
      <w:rFonts w:ascii="Times New Roman" w:eastAsia="Times New Roman" w:hAnsi="Times New Roman" w:cs="Times New Roman"/>
      <w:b/>
      <w:sz w:val="72"/>
      <w:szCs w:val="72"/>
      <w:lang w:val="es-ES" w:eastAsia="es-ES"/>
    </w:rPr>
  </w:style>
  <w:style w:type="paragraph" w:styleId="Encabezado">
    <w:name w:val="header"/>
    <w:basedOn w:val="Normal"/>
    <w:link w:val="EncabezadoCar"/>
    <w:uiPriority w:val="99"/>
    <w:unhideWhenUsed/>
    <w:rsid w:val="003C3066"/>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C3066"/>
    <w:rPr>
      <w:rFonts w:eastAsiaTheme="minorEastAsia"/>
      <w:sz w:val="24"/>
      <w:szCs w:val="24"/>
      <w:lang w:val="es-ES_tradnl" w:eastAsia="es-ES"/>
    </w:rPr>
  </w:style>
  <w:style w:type="paragraph" w:styleId="Piedepgina">
    <w:name w:val="footer"/>
    <w:basedOn w:val="Normal"/>
    <w:link w:val="PiedepginaCar"/>
    <w:uiPriority w:val="99"/>
    <w:unhideWhenUsed/>
    <w:rsid w:val="003C3066"/>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C3066"/>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C3066"/>
    <w:rPr>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C3066"/>
    <w:pPr>
      <w:spacing w:after="0" w:line="240" w:lineRule="auto"/>
      <w:ind w:left="708"/>
    </w:pPr>
    <w:rPr>
      <w:lang w:val="es-ES"/>
    </w:rPr>
  </w:style>
  <w:style w:type="table" w:styleId="Tablaconcuadrcula">
    <w:name w:val="Table Grid"/>
    <w:basedOn w:val="Tablanormal"/>
    <w:uiPriority w:val="59"/>
    <w:rsid w:val="003C3066"/>
    <w:pPr>
      <w:spacing w:after="0" w:line="240" w:lineRule="auto"/>
    </w:pPr>
    <w:rPr>
      <w:rFonts w:ascii="Times New Roman" w:eastAsiaTheme="minorEastAsia" w:hAnsi="Times New Roman"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3C3066"/>
  </w:style>
  <w:style w:type="character" w:customStyle="1" w:styleId="apple-converted-space">
    <w:name w:val="apple-converted-space"/>
    <w:basedOn w:val="Fuentedeprrafopredeter"/>
    <w:rsid w:val="003C3066"/>
  </w:style>
  <w:style w:type="paragraph" w:customStyle="1" w:styleId="paragraph">
    <w:name w:val="paragraph"/>
    <w:basedOn w:val="Normal"/>
    <w:rsid w:val="003C30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C306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C306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C306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C3066"/>
    <w:rPr>
      <w:vertAlign w:val="superscript"/>
    </w:rPr>
  </w:style>
  <w:style w:type="character" w:styleId="Hipervnculo">
    <w:name w:val="Hyperlink"/>
    <w:basedOn w:val="Fuentedeprrafopredeter"/>
    <w:uiPriority w:val="99"/>
    <w:unhideWhenUsed/>
    <w:rsid w:val="003C3066"/>
    <w:rPr>
      <w:color w:val="0563C1" w:themeColor="hyperlink"/>
      <w:u w:val="single"/>
    </w:rPr>
  </w:style>
  <w:style w:type="paragraph" w:styleId="NormalWeb">
    <w:name w:val="Normal (Web)"/>
    <w:basedOn w:val="Normal"/>
    <w:uiPriority w:val="99"/>
    <w:unhideWhenUsed/>
    <w:rsid w:val="003C30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tulorubro">
    <w:name w:val="titulorubro"/>
    <w:basedOn w:val="Fuentedeprrafopredeter"/>
    <w:rsid w:val="003C3066"/>
  </w:style>
  <w:style w:type="paragraph" w:styleId="Textoindependiente">
    <w:name w:val="Body Text"/>
    <w:basedOn w:val="Normal"/>
    <w:link w:val="TextoindependienteCar"/>
    <w:uiPriority w:val="1"/>
    <w:qFormat/>
    <w:rsid w:val="003C3066"/>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1"/>
    <w:rsid w:val="003C3066"/>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3C3066"/>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3C3066"/>
    <w:rPr>
      <w:rFonts w:ascii="Segoe UI" w:eastAsia="Times New Roman" w:hAnsi="Segoe UI" w:cs="Segoe UI"/>
      <w:sz w:val="18"/>
      <w:szCs w:val="18"/>
      <w:lang w:val="es-ES" w:eastAsia="es-ES"/>
    </w:rPr>
  </w:style>
  <w:style w:type="paragraph" w:customStyle="1" w:styleId="Pa1">
    <w:name w:val="Pa1"/>
    <w:basedOn w:val="Normal"/>
    <w:next w:val="Normal"/>
    <w:uiPriority w:val="99"/>
    <w:rsid w:val="003C3066"/>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3C3066"/>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3C3066"/>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3C3066"/>
    <w:pPr>
      <w:spacing w:after="0" w:line="240" w:lineRule="auto"/>
    </w:pPr>
    <w:rPr>
      <w:rFonts w:ascii="Times New Roman" w:eastAsia="Times New Roman" w:hAnsi="Times New Roman" w:cs="Times New Roman"/>
      <w:sz w:val="24"/>
      <w:szCs w:val="24"/>
      <w:lang w:eastAsia="es-MX"/>
    </w:rPr>
  </w:style>
  <w:style w:type="character" w:customStyle="1" w:styleId="SinespaciadoCar">
    <w:name w:val="Sin espaciado Car"/>
    <w:aliases w:val="Francesa Car,INAI Car"/>
    <w:link w:val="Sinespaciado"/>
    <w:uiPriority w:val="1"/>
    <w:locked/>
    <w:rsid w:val="003C3066"/>
    <w:rPr>
      <w:rFonts w:ascii="Times New Roman" w:eastAsia="Times New Roman" w:hAnsi="Times New Roman" w:cs="Times New Roman"/>
      <w:sz w:val="24"/>
      <w:szCs w:val="24"/>
      <w:lang w:eastAsia="es-MX"/>
    </w:rPr>
  </w:style>
  <w:style w:type="table" w:styleId="Tabladelista1clara-nfasis1">
    <w:name w:val="List Table 1 Light Accent 1"/>
    <w:basedOn w:val="Tablanormal"/>
    <w:uiPriority w:val="46"/>
    <w:rsid w:val="003C3066"/>
    <w:pPr>
      <w:spacing w:after="0" w:line="240" w:lineRule="auto"/>
    </w:pPr>
    <w:rPr>
      <w:rFonts w:ascii="Times New Roman" w:eastAsiaTheme="minorEastAsia" w:hAnsi="Times New Roman" w:cs="Times New Roman"/>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link w:val="SubttuloCar"/>
    <w:rsid w:val="003C3066"/>
    <w:pPr>
      <w:keepNext/>
      <w:keepLines/>
      <w:spacing w:before="360" w:after="80" w:line="240" w:lineRule="auto"/>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3C3066"/>
    <w:rPr>
      <w:rFonts w:ascii="Georgia" w:eastAsia="Georgia" w:hAnsi="Georgia" w:cs="Georgia"/>
      <w:i/>
      <w:color w:val="666666"/>
      <w:sz w:val="48"/>
      <w:szCs w:val="48"/>
      <w:lang w:eastAsia="es-MX"/>
    </w:rPr>
  </w:style>
  <w:style w:type="character" w:styleId="Hipervnculovisitado">
    <w:name w:val="FollowedHyperlink"/>
    <w:basedOn w:val="Fuentedeprrafopredeter"/>
    <w:uiPriority w:val="99"/>
    <w:semiHidden/>
    <w:unhideWhenUsed/>
    <w:rsid w:val="003C3066"/>
    <w:rPr>
      <w:color w:val="954F72" w:themeColor="followedHyperlink"/>
      <w:u w:val="single"/>
    </w:rPr>
  </w:style>
  <w:style w:type="paragraph" w:customStyle="1" w:styleId="Default">
    <w:name w:val="Default"/>
    <w:rsid w:val="003C3066"/>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basedOn w:val="Fuentedeprrafopredeter"/>
    <w:uiPriority w:val="22"/>
    <w:qFormat/>
    <w:rsid w:val="003C3066"/>
    <w:rPr>
      <w:b/>
      <w:bCs/>
    </w:rPr>
  </w:style>
  <w:style w:type="character" w:customStyle="1" w:styleId="apple-tab-span">
    <w:name w:val="apple-tab-span"/>
    <w:basedOn w:val="Fuentedeprrafopredeter"/>
    <w:rsid w:val="003C3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l.gobernacion.gob.mx/Glosario/definicionpop.php?ID=31" TargetMode="External"/><Relationship Id="rId20" Type="http://schemas.openxmlformats.org/officeDocument/2006/relationships/hyperlink" Target="https://legislacion.edomex.gob.mx/sites/legislacion.edomex.gob.mx/files/files/vigentes/jul11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17242</Words>
  <Characters>94834</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Infoem-User</dc:creator>
  <cp:keywords/>
  <dc:description/>
  <cp:lastModifiedBy>USUARIO</cp:lastModifiedBy>
  <cp:revision>4</cp:revision>
  <cp:lastPrinted>2022-11-10T20:04:00Z</cp:lastPrinted>
  <dcterms:created xsi:type="dcterms:W3CDTF">2022-11-29T20:11:00Z</dcterms:created>
  <dcterms:modified xsi:type="dcterms:W3CDTF">2022-11-29T20:11:00Z</dcterms:modified>
</cp:coreProperties>
</file>