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4E4" w:rsidRPr="0005458D" w:rsidRDefault="0056136D">
      <w:pPr>
        <w:spacing w:before="240" w:after="240" w:line="360" w:lineRule="auto"/>
        <w:ind w:right="49"/>
        <w:jc w:val="both"/>
        <w:rPr>
          <w:rFonts w:ascii="Palatino Linotype" w:eastAsia="Palatino Linotype" w:hAnsi="Palatino Linotype" w:cs="Palatino Linotype"/>
          <w:b/>
        </w:rPr>
      </w:pPr>
      <w:bookmarkStart w:id="0" w:name="_GoBack"/>
      <w:bookmarkEnd w:id="0"/>
      <w:r w:rsidRPr="0005458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05458D">
        <w:rPr>
          <w:rFonts w:ascii="Palatino Linotype" w:eastAsia="Palatino Linotype" w:hAnsi="Palatino Linotype" w:cs="Palatino Linotype"/>
          <w:b/>
        </w:rPr>
        <w:t>veintiocho de septiembre de dos mil veintidós</w:t>
      </w:r>
      <w:r w:rsidRPr="0005458D">
        <w:rPr>
          <w:rFonts w:ascii="Palatino Linotype" w:eastAsia="Palatino Linotype" w:hAnsi="Palatino Linotype" w:cs="Palatino Linotype"/>
        </w:rPr>
        <w:t>.</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Visto</w:t>
      </w:r>
      <w:r w:rsidRPr="0005458D">
        <w:rPr>
          <w:rFonts w:ascii="Palatino Linotype" w:eastAsia="Palatino Linotype" w:hAnsi="Palatino Linotype" w:cs="Palatino Linotype"/>
        </w:rPr>
        <w:t xml:space="preserve"> el expediente relativo al recurso de revisión </w:t>
      </w:r>
      <w:r w:rsidRPr="0005458D">
        <w:rPr>
          <w:rFonts w:ascii="Palatino Linotype" w:eastAsia="Palatino Linotype" w:hAnsi="Palatino Linotype" w:cs="Palatino Linotype"/>
          <w:b/>
          <w:sz w:val="22"/>
          <w:szCs w:val="22"/>
        </w:rPr>
        <w:t>07904/INFOEM/IP/RR/202</w:t>
      </w:r>
      <w:r w:rsidRPr="0005458D">
        <w:rPr>
          <w:rFonts w:ascii="Palatino Linotype" w:eastAsia="Palatino Linotype" w:hAnsi="Palatino Linotype" w:cs="Palatino Linotype"/>
          <w:b/>
          <w:sz w:val="20"/>
          <w:szCs w:val="20"/>
        </w:rPr>
        <w:t>2</w:t>
      </w:r>
      <w:r w:rsidRPr="0005458D">
        <w:rPr>
          <w:rFonts w:ascii="Palatino Linotype" w:eastAsia="Palatino Linotype" w:hAnsi="Palatino Linotype" w:cs="Palatino Linotype"/>
          <w:b/>
          <w:sz w:val="22"/>
          <w:szCs w:val="22"/>
        </w:rPr>
        <w:t xml:space="preserve">, </w:t>
      </w:r>
      <w:r w:rsidRPr="0005458D">
        <w:rPr>
          <w:rFonts w:ascii="Palatino Linotype" w:eastAsia="Palatino Linotype" w:hAnsi="Palatino Linotype" w:cs="Palatino Linotype"/>
        </w:rPr>
        <w:t>interpuesto por</w:t>
      </w:r>
      <w:r w:rsidRPr="0005458D">
        <w:rPr>
          <w:rFonts w:ascii="Palatino Linotype" w:eastAsia="Palatino Linotype" w:hAnsi="Palatino Linotype" w:cs="Palatino Linotype"/>
          <w:b/>
        </w:rPr>
        <w:t xml:space="preserve"> un particular de manera anónima, </w:t>
      </w:r>
      <w:r w:rsidRPr="0005458D">
        <w:rPr>
          <w:rFonts w:ascii="Palatino Linotype" w:eastAsia="Palatino Linotype" w:hAnsi="Palatino Linotype" w:cs="Palatino Linotype"/>
        </w:rPr>
        <w:t xml:space="preserve">a quien en lo sucesivo se le denominará </w:t>
      </w:r>
      <w:r w:rsidRPr="0005458D">
        <w:rPr>
          <w:rFonts w:ascii="Palatino Linotype" w:eastAsia="Palatino Linotype" w:hAnsi="Palatino Linotype" w:cs="Palatino Linotype"/>
          <w:b/>
        </w:rPr>
        <w:t>la parte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Recurrente</w:t>
      </w:r>
      <w:r w:rsidRPr="0005458D">
        <w:rPr>
          <w:rFonts w:ascii="Palatino Linotype" w:eastAsia="Palatino Linotype" w:hAnsi="Palatino Linotype" w:cs="Palatino Linotype"/>
          <w:b/>
          <w:i/>
        </w:rPr>
        <w:t xml:space="preserve"> </w:t>
      </w:r>
      <w:r w:rsidRPr="0005458D">
        <w:rPr>
          <w:rFonts w:ascii="Palatino Linotype" w:eastAsia="Palatino Linotype" w:hAnsi="Palatino Linotype" w:cs="Palatino Linotype"/>
        </w:rPr>
        <w:t>en contra de la falta de respuesta a la solicitud de información con número de folio</w:t>
      </w:r>
      <w:r w:rsidRPr="0005458D">
        <w:rPr>
          <w:rFonts w:ascii="Palatino Linotype" w:eastAsia="Palatino Linotype" w:hAnsi="Palatino Linotype" w:cs="Palatino Linotype"/>
          <w:b/>
          <w:sz w:val="22"/>
          <w:szCs w:val="22"/>
        </w:rPr>
        <w:t xml:space="preserve"> 00159/TEOLOYU/IP/2022</w:t>
      </w:r>
      <w:r w:rsidRPr="0005458D">
        <w:rPr>
          <w:rFonts w:ascii="Palatino Linotype" w:eastAsia="Palatino Linotype" w:hAnsi="Palatino Linotype" w:cs="Palatino Linotype"/>
        </w:rPr>
        <w:t xml:space="preserve">, del </w:t>
      </w:r>
      <w:r w:rsidRPr="0005458D">
        <w:rPr>
          <w:rFonts w:ascii="Palatino Linotype" w:eastAsia="Palatino Linotype" w:hAnsi="Palatino Linotype" w:cs="Palatino Linotype"/>
          <w:b/>
        </w:rPr>
        <w:t>Ayuntamiento de Teoloyucan</w:t>
      </w:r>
      <w:r w:rsidRPr="0005458D">
        <w:rPr>
          <w:rFonts w:ascii="Palatino Linotype" w:eastAsia="Palatino Linotype" w:hAnsi="Palatino Linotype" w:cs="Palatino Linotype"/>
        </w:rPr>
        <w:t xml:space="preserve">, en lo sucesivo 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se procede a dictar la presente resolución, con base en lo siguiente.</w:t>
      </w:r>
    </w:p>
    <w:p w:rsidR="000554E4" w:rsidRPr="0005458D" w:rsidRDefault="0056136D">
      <w:pPr>
        <w:keepNext/>
        <w:keepLines/>
        <w:spacing w:before="40"/>
        <w:jc w:val="center"/>
        <w:rPr>
          <w:rFonts w:ascii="Palatino Linotype" w:eastAsia="Palatino Linotype" w:hAnsi="Palatino Linotype" w:cs="Palatino Linotype"/>
          <w:b/>
        </w:rPr>
      </w:pPr>
      <w:r w:rsidRPr="0005458D">
        <w:rPr>
          <w:rFonts w:ascii="Palatino Linotype" w:eastAsia="Palatino Linotype" w:hAnsi="Palatino Linotype" w:cs="Palatino Linotype"/>
          <w:b/>
        </w:rPr>
        <w:t>I. A N T E C E D E N T E S:</w:t>
      </w:r>
    </w:p>
    <w:p w:rsidR="000554E4" w:rsidRPr="0005458D" w:rsidRDefault="000554E4">
      <w:pPr>
        <w:keepNext/>
        <w:keepLines/>
        <w:spacing w:before="40"/>
        <w:jc w:val="center"/>
        <w:rPr>
          <w:rFonts w:ascii="Palatino Linotype" w:eastAsia="Palatino Linotype" w:hAnsi="Palatino Linotype" w:cs="Palatino Linotype"/>
          <w:b/>
        </w:rPr>
      </w:pP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1. Solicitud de acceso a la información.</w:t>
      </w:r>
      <w:r w:rsidRPr="0005458D">
        <w:rPr>
          <w:rFonts w:ascii="Palatino Linotype" w:eastAsia="Palatino Linotype" w:hAnsi="Palatino Linotype" w:cs="Palatino Linotype"/>
          <w:b/>
          <w:sz w:val="28"/>
          <w:szCs w:val="28"/>
        </w:rPr>
        <w:t xml:space="preserve"> </w:t>
      </w:r>
      <w:r w:rsidRPr="0005458D">
        <w:rPr>
          <w:rFonts w:ascii="Palatino Linotype" w:eastAsia="Palatino Linotype" w:hAnsi="Palatino Linotype" w:cs="Palatino Linotype"/>
        </w:rPr>
        <w:t xml:space="preserve">El </w:t>
      </w:r>
      <w:r w:rsidRPr="0005458D">
        <w:rPr>
          <w:rFonts w:ascii="Palatino Linotype" w:eastAsia="Palatino Linotype" w:hAnsi="Palatino Linotype" w:cs="Palatino Linotype"/>
          <w:b/>
        </w:rPr>
        <w:t>dieciocho de abril</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de dos mil veintidós</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la parte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Recurrente</w:t>
      </w:r>
      <w:r w:rsidRPr="0005458D">
        <w:rPr>
          <w:rFonts w:ascii="Palatino Linotype" w:eastAsia="Palatino Linotype" w:hAnsi="Palatino Linotype" w:cs="Palatino Linotype"/>
        </w:rPr>
        <w:t xml:space="preserve"> formuló su solicitud de acceso a la información </w:t>
      </w:r>
      <w:proofErr w:type="gramStart"/>
      <w:r w:rsidRPr="0005458D">
        <w:rPr>
          <w:rFonts w:ascii="Palatino Linotype" w:eastAsia="Palatino Linotype" w:hAnsi="Palatino Linotype" w:cs="Palatino Linotype"/>
        </w:rPr>
        <w:t>pública</w:t>
      </w:r>
      <w:proofErr w:type="gramEnd"/>
      <w:r w:rsidRPr="0005458D">
        <w:rPr>
          <w:rFonts w:ascii="Palatino Linotype" w:eastAsia="Palatino Linotype" w:hAnsi="Palatino Linotype" w:cs="Palatino Linotype"/>
        </w:rPr>
        <w:t xml:space="preserve"> ante 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a través del Sistema de Acceso a la Información Mexiquense, en adelante </w:t>
      </w:r>
      <w:r w:rsidRPr="0005458D">
        <w:rPr>
          <w:rFonts w:ascii="Palatino Linotype" w:eastAsia="Palatino Linotype" w:hAnsi="Palatino Linotype" w:cs="Palatino Linotype"/>
          <w:b/>
        </w:rPr>
        <w:t>SAIMEX,</w:t>
      </w:r>
      <w:r w:rsidRPr="0005458D">
        <w:rPr>
          <w:rFonts w:ascii="Palatino Linotype" w:eastAsia="Palatino Linotype" w:hAnsi="Palatino Linotype" w:cs="Palatino Linotype"/>
        </w:rPr>
        <w:t xml:space="preserve"> requiriendo lo siguiente:</w:t>
      </w:r>
    </w:p>
    <w:p w:rsidR="000554E4" w:rsidRPr="0005458D" w:rsidRDefault="0056136D">
      <w:pPr>
        <w:spacing w:before="240" w:after="240"/>
        <w:ind w:left="567" w:right="90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“solicito el </w:t>
      </w:r>
      <w:r w:rsidRPr="0005458D">
        <w:rPr>
          <w:rFonts w:ascii="Palatino Linotype" w:eastAsia="Palatino Linotype" w:hAnsi="Palatino Linotype" w:cs="Palatino Linotype"/>
          <w:b/>
          <w:i/>
          <w:sz w:val="22"/>
          <w:szCs w:val="22"/>
        </w:rPr>
        <w:t>inventario de bienes inmuebles</w:t>
      </w:r>
      <w:r w:rsidRPr="0005458D">
        <w:rPr>
          <w:rFonts w:ascii="Palatino Linotype" w:eastAsia="Palatino Linotype" w:hAnsi="Palatino Linotype" w:cs="Palatino Linotype"/>
          <w:i/>
          <w:sz w:val="22"/>
          <w:szCs w:val="22"/>
        </w:rPr>
        <w:t xml:space="preserve">” (Sic) </w:t>
      </w:r>
    </w:p>
    <w:p w:rsidR="000554E4" w:rsidRPr="0005458D" w:rsidRDefault="0056136D">
      <w:pPr>
        <w:spacing w:before="240" w:after="240"/>
        <w:ind w:right="900"/>
        <w:jc w:val="both"/>
        <w:rPr>
          <w:rFonts w:ascii="Palatino Linotype" w:eastAsia="Palatino Linotype" w:hAnsi="Palatino Linotype" w:cs="Palatino Linotype"/>
          <w:i/>
        </w:rPr>
      </w:pPr>
      <w:r w:rsidRPr="0005458D">
        <w:rPr>
          <w:rFonts w:ascii="Palatino Linotype" w:eastAsia="Palatino Linotype" w:hAnsi="Palatino Linotype" w:cs="Palatino Linotype"/>
          <w:b/>
        </w:rPr>
        <w:t>Modalidad de entrega de la información:</w:t>
      </w:r>
      <w:r w:rsidRPr="0005458D">
        <w:rPr>
          <w:rFonts w:ascii="Palatino Linotype" w:eastAsia="Palatino Linotype" w:hAnsi="Palatino Linotype" w:cs="Palatino Linotype"/>
        </w:rPr>
        <w:t xml:space="preserve"> A través del </w:t>
      </w:r>
      <w:r w:rsidRPr="0005458D">
        <w:rPr>
          <w:rFonts w:ascii="Palatino Linotype" w:eastAsia="Palatino Linotype" w:hAnsi="Palatino Linotype" w:cs="Palatino Linotype"/>
          <w:b/>
        </w:rPr>
        <w:t>SAIMEX.</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2. Respuesta.</w:t>
      </w:r>
      <w:r w:rsidRPr="0005458D">
        <w:rPr>
          <w:rFonts w:ascii="Palatino Linotype" w:eastAsia="Palatino Linotype" w:hAnsi="Palatino Linotype" w:cs="Palatino Linotype"/>
          <w:b/>
          <w:sz w:val="22"/>
          <w:szCs w:val="22"/>
        </w:rPr>
        <w:t xml:space="preserve"> </w:t>
      </w:r>
      <w:r w:rsidRPr="0005458D">
        <w:rPr>
          <w:rFonts w:ascii="Palatino Linotype" w:eastAsia="Palatino Linotype" w:hAnsi="Palatino Linotype" w:cs="Palatino Linotype"/>
        </w:rPr>
        <w:t xml:space="preserve">Con base en el detalle de seguimiento que obra en el </w:t>
      </w:r>
      <w:r w:rsidRPr="0005458D">
        <w:rPr>
          <w:rFonts w:ascii="Palatino Linotype" w:eastAsia="Palatino Linotype" w:hAnsi="Palatino Linotype" w:cs="Palatino Linotype"/>
          <w:b/>
        </w:rPr>
        <w:t xml:space="preserve">SAIMEX, </w:t>
      </w:r>
      <w:r w:rsidRPr="0005458D">
        <w:rPr>
          <w:rFonts w:ascii="Palatino Linotype" w:eastAsia="Palatino Linotype" w:hAnsi="Palatino Linotype" w:cs="Palatino Linotype"/>
        </w:rPr>
        <w:t xml:space="preserve">se advierte que el </w:t>
      </w:r>
      <w:r w:rsidRPr="0005458D">
        <w:rPr>
          <w:rFonts w:ascii="Palatino Linotype" w:eastAsia="Palatino Linotype" w:hAnsi="Palatino Linotype" w:cs="Palatino Linotype"/>
          <w:b/>
        </w:rPr>
        <w:t xml:space="preserve">Sujeto Obligado </w:t>
      </w:r>
      <w:r w:rsidRPr="0005458D">
        <w:rPr>
          <w:rFonts w:ascii="Palatino Linotype" w:eastAsia="Palatino Linotype" w:hAnsi="Palatino Linotype" w:cs="Palatino Linotype"/>
        </w:rPr>
        <w:t>omitió dar contestación a la solicitud de acceso a la información pública.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lastRenderedPageBreak/>
        <w:t>3. Interposición de Recurso de revisión.</w:t>
      </w:r>
      <w:r w:rsidRPr="0005458D">
        <w:rPr>
          <w:rFonts w:ascii="Palatino Linotype" w:eastAsia="Palatino Linotype" w:hAnsi="Palatino Linotype" w:cs="Palatino Linotype"/>
          <w:b/>
          <w:sz w:val="22"/>
          <w:szCs w:val="22"/>
        </w:rPr>
        <w:t xml:space="preserve"> </w:t>
      </w:r>
      <w:r w:rsidRPr="0005458D">
        <w:rPr>
          <w:rFonts w:ascii="Palatino Linotype" w:eastAsia="Palatino Linotype" w:hAnsi="Palatino Linotype" w:cs="Palatino Linotype"/>
        </w:rPr>
        <w:t xml:space="preserve">El recurso de revisión se interpuso a través del SAIMEX, el </w:t>
      </w:r>
      <w:r w:rsidRPr="0005458D">
        <w:rPr>
          <w:rFonts w:ascii="Palatino Linotype" w:eastAsia="Palatino Linotype" w:hAnsi="Palatino Linotype" w:cs="Palatino Linotype"/>
          <w:b/>
        </w:rPr>
        <w:t>dieciséis de mayo del año dos mil veintidós</w:t>
      </w:r>
      <w:r w:rsidRPr="0005458D">
        <w:rPr>
          <w:rFonts w:ascii="Palatino Linotype" w:eastAsia="Palatino Linotype" w:hAnsi="Palatino Linotype" w:cs="Palatino Linotype"/>
        </w:rPr>
        <w:t>, por parte de la persona solicitante de información, expresando lo siguiente:</w:t>
      </w:r>
    </w:p>
    <w:p w:rsidR="000554E4" w:rsidRPr="0005458D" w:rsidRDefault="0056136D">
      <w:pPr>
        <w:spacing w:before="240" w:after="240" w:line="360" w:lineRule="auto"/>
        <w:ind w:left="567"/>
        <w:rPr>
          <w:rFonts w:ascii="Palatino Linotype" w:eastAsia="Palatino Linotype" w:hAnsi="Palatino Linotype" w:cs="Palatino Linotype"/>
          <w:b/>
        </w:rPr>
      </w:pPr>
      <w:r w:rsidRPr="0005458D">
        <w:rPr>
          <w:rFonts w:ascii="Palatino Linotype" w:eastAsia="Palatino Linotype" w:hAnsi="Palatino Linotype" w:cs="Palatino Linotype"/>
          <w:b/>
        </w:rPr>
        <w:t>a) Acto impugnado.</w:t>
      </w:r>
    </w:p>
    <w:p w:rsidR="000554E4" w:rsidRPr="0005458D" w:rsidRDefault="0056136D">
      <w:pPr>
        <w:spacing w:before="240" w:after="240"/>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i/>
          <w:sz w:val="22"/>
          <w:szCs w:val="22"/>
        </w:rPr>
        <w:t>“no da respuesta” (Sic)</w:t>
      </w:r>
    </w:p>
    <w:p w:rsidR="000554E4" w:rsidRPr="0005458D" w:rsidRDefault="0056136D">
      <w:pPr>
        <w:spacing w:before="240" w:after="240" w:line="360" w:lineRule="auto"/>
        <w:ind w:left="567"/>
        <w:jc w:val="both"/>
        <w:rPr>
          <w:rFonts w:ascii="Palatino Linotype" w:eastAsia="Palatino Linotype" w:hAnsi="Palatino Linotype" w:cs="Palatino Linotype"/>
          <w:b/>
        </w:rPr>
      </w:pPr>
      <w:r w:rsidRPr="0005458D">
        <w:rPr>
          <w:rFonts w:ascii="Palatino Linotype" w:eastAsia="Palatino Linotype" w:hAnsi="Palatino Linotype" w:cs="Palatino Linotype"/>
          <w:b/>
        </w:rPr>
        <w:t>b) Razones o Motivos de inconformidad.</w:t>
      </w:r>
    </w:p>
    <w:p w:rsidR="000554E4" w:rsidRPr="0005458D" w:rsidRDefault="0056136D">
      <w:pPr>
        <w:spacing w:before="240" w:after="240"/>
        <w:ind w:left="567" w:right="709"/>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“no da respuesta” (Sic) </w:t>
      </w:r>
    </w:p>
    <w:p w:rsidR="000554E4" w:rsidRPr="0005458D" w:rsidRDefault="0056136D">
      <w:pPr>
        <w:spacing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b/>
        </w:rPr>
        <w:t xml:space="preserve">4. Turno. </w:t>
      </w:r>
      <w:r w:rsidRPr="0005458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fue turnado por el sistema electrónico del Instituto de Transparencia, Acceso a la Información Pública y Protección de Datos Personales del Estado de México y Municipios a la </w:t>
      </w:r>
      <w:r w:rsidRPr="0005458D">
        <w:rPr>
          <w:rFonts w:ascii="Palatino Linotype" w:eastAsia="Palatino Linotype" w:hAnsi="Palatino Linotype" w:cs="Palatino Linotype"/>
          <w:b/>
        </w:rPr>
        <w:t>Comisionada Guadalupe Ramírez Peña</w:t>
      </w:r>
      <w:r w:rsidRPr="0005458D">
        <w:rPr>
          <w:rFonts w:ascii="Palatino Linotype" w:eastAsia="Palatino Linotype" w:hAnsi="Palatino Linotype" w:cs="Palatino Linotype"/>
        </w:rPr>
        <w:t>.</w:t>
      </w:r>
      <w:r w:rsidRPr="0005458D">
        <w:rPr>
          <w:rFonts w:ascii="Palatino Linotype" w:eastAsia="Palatino Linotype" w:hAnsi="Palatino Linotype" w:cs="Palatino Linotype"/>
          <w:b/>
        </w:rPr>
        <w:t xml:space="preserve"> </w:t>
      </w:r>
    </w:p>
    <w:p w:rsidR="000554E4" w:rsidRPr="0005458D" w:rsidRDefault="0056136D">
      <w:pPr>
        <w:spacing w:before="240" w:after="240" w:line="360" w:lineRule="auto"/>
        <w:jc w:val="both"/>
      </w:pPr>
      <w:r w:rsidRPr="0005458D">
        <w:rPr>
          <w:rFonts w:ascii="Palatino Linotype" w:eastAsia="Palatino Linotype" w:hAnsi="Palatino Linotype" w:cs="Palatino Linotype"/>
          <w:b/>
        </w:rPr>
        <w:t>5. Admisión.</w:t>
      </w:r>
      <w:r w:rsidRPr="0005458D">
        <w:rPr>
          <w:rFonts w:ascii="Palatino Linotype" w:eastAsia="Palatino Linotype" w:hAnsi="Palatino Linotype" w:cs="Palatino Linotype"/>
          <w:b/>
          <w:sz w:val="28"/>
          <w:szCs w:val="28"/>
        </w:rPr>
        <w:t xml:space="preserve"> </w:t>
      </w:r>
      <w:r w:rsidRPr="0005458D">
        <w:rPr>
          <w:rFonts w:ascii="Palatino Linotype" w:eastAsia="Palatino Linotype" w:hAnsi="Palatino Linotype" w:cs="Palatino Linotype"/>
        </w:rPr>
        <w:t xml:space="preserve">Mediante auto de fecha </w:t>
      </w:r>
      <w:r w:rsidRPr="0005458D">
        <w:rPr>
          <w:rFonts w:ascii="Palatino Linotype" w:eastAsia="Palatino Linotype" w:hAnsi="Palatino Linotype" w:cs="Palatino Linotype"/>
          <w:b/>
        </w:rPr>
        <w:t>diecinueve de mayo de dos mil veintidós</w:t>
      </w:r>
      <w:r w:rsidRPr="0005458D">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6. Manifestaciones.</w:t>
      </w:r>
      <w:r w:rsidRPr="0005458D">
        <w:rPr>
          <w:sz w:val="22"/>
          <w:szCs w:val="22"/>
        </w:rPr>
        <w:t xml:space="preserve"> </w:t>
      </w:r>
      <w:r w:rsidRPr="0005458D">
        <w:rPr>
          <w:rFonts w:ascii="Palatino Linotype" w:eastAsia="Palatino Linotype" w:hAnsi="Palatino Linotype" w:cs="Palatino Linotype"/>
        </w:rPr>
        <w:t>De las constancias del expediente electrónico del</w:t>
      </w:r>
      <w:r w:rsidRPr="0005458D">
        <w:rPr>
          <w:rFonts w:ascii="Palatino Linotype" w:eastAsia="Palatino Linotype" w:hAnsi="Palatino Linotype" w:cs="Palatino Linotype"/>
          <w:b/>
        </w:rPr>
        <w:t xml:space="preserve"> SAIMEX</w:t>
      </w:r>
      <w:r w:rsidRPr="0005458D">
        <w:rPr>
          <w:rFonts w:ascii="Palatino Linotype" w:eastAsia="Palatino Linotype" w:hAnsi="Palatino Linotype" w:cs="Palatino Linotype"/>
        </w:rPr>
        <w:t xml:space="preserve">, se observa que el </w:t>
      </w:r>
      <w:r w:rsidRPr="0005458D">
        <w:rPr>
          <w:rFonts w:ascii="Palatino Linotype" w:eastAsia="Palatino Linotype" w:hAnsi="Palatino Linotype" w:cs="Palatino Linotype"/>
          <w:b/>
        </w:rPr>
        <w:t>veintisiete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de mayo de dos mil veintidós</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 xml:space="preserve">el Sujeto Obligado </w:t>
      </w:r>
      <w:r w:rsidRPr="0005458D">
        <w:rPr>
          <w:rFonts w:ascii="Palatino Linotype" w:eastAsia="Palatino Linotype" w:hAnsi="Palatino Linotype" w:cs="Palatino Linotype"/>
        </w:rPr>
        <w:t>remitió los siguientes archivos electrónicos:</w:t>
      </w:r>
    </w:p>
    <w:p w:rsidR="000554E4" w:rsidRPr="0005458D" w:rsidRDefault="0056136D">
      <w:pPr>
        <w:spacing w:before="240" w:after="240" w:line="360" w:lineRule="auto"/>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lastRenderedPageBreak/>
        <w:t>“Informe Justificado RR 7904 sol.159.pdf”:</w:t>
      </w:r>
      <w:r w:rsidRPr="0005458D">
        <w:rPr>
          <w:rFonts w:ascii="Palatino Linotype" w:eastAsia="Palatino Linotype" w:hAnsi="Palatino Linotype" w:cs="Palatino Linotype"/>
          <w:sz w:val="22"/>
          <w:szCs w:val="22"/>
        </w:rPr>
        <w:t xml:space="preserve"> Documento de dos fojas en el que se aprecia el informe justificado rendido por la Titular de la Unidad de Transparencia.</w:t>
      </w:r>
    </w:p>
    <w:p w:rsidR="000554E4" w:rsidRPr="0005458D" w:rsidRDefault="0056136D">
      <w:pPr>
        <w:spacing w:before="240" w:after="240" w:line="276" w:lineRule="auto"/>
        <w:ind w:right="709"/>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ab/>
      </w:r>
      <w:r w:rsidRPr="0005458D">
        <w:rPr>
          <w:rFonts w:ascii="Palatino Linotype" w:eastAsia="Palatino Linotype" w:hAnsi="Palatino Linotype" w:cs="Palatino Linotype"/>
          <w:b/>
          <w:i/>
          <w:noProof/>
          <w:sz w:val="22"/>
          <w:szCs w:val="22"/>
          <w:lang w:val="es-MX" w:eastAsia="es-MX"/>
        </w:rPr>
        <w:drawing>
          <wp:inline distT="0" distB="0" distL="0" distR="0">
            <wp:extent cx="4063071" cy="4260582"/>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63071" cy="4260582"/>
                    </a:xfrm>
                    <a:prstGeom prst="rect">
                      <a:avLst/>
                    </a:prstGeom>
                    <a:ln/>
                  </pic:spPr>
                </pic:pic>
              </a:graphicData>
            </a:graphic>
          </wp:inline>
        </w:drawing>
      </w:r>
    </w:p>
    <w:p w:rsidR="000554E4" w:rsidRPr="0005458D" w:rsidRDefault="0056136D">
      <w:pPr>
        <w:spacing w:before="240" w:after="240" w:line="360" w:lineRule="auto"/>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t>“OFICIO SA-SAHS-033-05-2022 (1).</w:t>
      </w:r>
      <w:proofErr w:type="spellStart"/>
      <w:r w:rsidRPr="0005458D">
        <w:rPr>
          <w:rFonts w:ascii="Palatino Linotype" w:eastAsia="Palatino Linotype" w:hAnsi="Palatino Linotype" w:cs="Palatino Linotype"/>
          <w:b/>
          <w:i/>
          <w:sz w:val="22"/>
          <w:szCs w:val="22"/>
        </w:rPr>
        <w:t>pdf</w:t>
      </w:r>
      <w:proofErr w:type="spellEnd"/>
      <w:r w:rsidRPr="0005458D">
        <w:rPr>
          <w:rFonts w:ascii="Palatino Linotype" w:eastAsia="Palatino Linotype" w:hAnsi="Palatino Linotype" w:cs="Palatino Linotype"/>
          <w:b/>
          <w:i/>
          <w:sz w:val="22"/>
          <w:szCs w:val="22"/>
        </w:rPr>
        <w:t xml:space="preserve">”: </w:t>
      </w:r>
      <w:r w:rsidRPr="0005458D">
        <w:rPr>
          <w:rFonts w:ascii="Palatino Linotype" w:eastAsia="Palatino Linotype" w:hAnsi="Palatino Linotype" w:cs="Palatino Linotype"/>
          <w:sz w:val="22"/>
          <w:szCs w:val="22"/>
        </w:rPr>
        <w:t>Oficio SA/SAHS/033-05/2022, suscrito por el Secretario del Ayuntamiento, mediante el cual otorga respuesta a una solicitud de información diversa a la que se impugna.</w:t>
      </w:r>
    </w:p>
    <w:p w:rsidR="000554E4" w:rsidRPr="0005458D" w:rsidRDefault="0056136D">
      <w:pPr>
        <w:spacing w:before="240" w:after="240" w:line="276" w:lineRule="auto"/>
        <w:ind w:left="567" w:right="709"/>
        <w:jc w:val="center"/>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noProof/>
          <w:sz w:val="22"/>
          <w:szCs w:val="22"/>
          <w:lang w:val="es-MX" w:eastAsia="es-MX"/>
        </w:rPr>
        <w:lastRenderedPageBreak/>
        <w:drawing>
          <wp:inline distT="0" distB="0" distL="0" distR="0">
            <wp:extent cx="5167510" cy="627604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67510" cy="6276040"/>
                    </a:xfrm>
                    <a:prstGeom prst="rect">
                      <a:avLst/>
                    </a:prstGeom>
                    <a:ln/>
                  </pic:spPr>
                </pic:pic>
              </a:graphicData>
            </a:graphic>
          </wp:inline>
        </w:drawing>
      </w:r>
    </w:p>
    <w:p w:rsidR="000554E4" w:rsidRPr="0005458D" w:rsidRDefault="0056136D">
      <w:pPr>
        <w:spacing w:before="240" w:after="240" w:line="360" w:lineRule="auto"/>
        <w:ind w:left="567" w:right="709"/>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 xml:space="preserve">“BIENES INMUEBLES 2022.xlsx”: </w:t>
      </w:r>
      <w:r w:rsidRPr="0005458D">
        <w:rPr>
          <w:rFonts w:ascii="Palatino Linotype" w:eastAsia="Palatino Linotype" w:hAnsi="Palatino Linotype" w:cs="Palatino Linotype"/>
          <w:sz w:val="22"/>
          <w:szCs w:val="22"/>
        </w:rPr>
        <w:t xml:space="preserve">Inventario de bienes inmuebles, elaborado el trece de abril de dos mil veintidós, </w:t>
      </w:r>
      <w:r w:rsidRPr="0005458D">
        <w:rPr>
          <w:rFonts w:ascii="Palatino Linotype" w:eastAsia="Palatino Linotype" w:hAnsi="Palatino Linotype" w:cs="Palatino Linotype"/>
          <w:b/>
          <w:sz w:val="22"/>
          <w:szCs w:val="22"/>
        </w:rPr>
        <w:t xml:space="preserve">es de precisar que este archivo no se puso a la vista de la parte Recurrente, en razón de que </w:t>
      </w:r>
      <w:r w:rsidRPr="0005458D">
        <w:rPr>
          <w:rFonts w:ascii="Palatino Linotype" w:eastAsia="Palatino Linotype" w:hAnsi="Palatino Linotype" w:cs="Palatino Linotype"/>
          <w:b/>
          <w:sz w:val="22"/>
          <w:szCs w:val="22"/>
          <w:u w:val="single"/>
        </w:rPr>
        <w:t xml:space="preserve">se </w:t>
      </w:r>
      <w:r w:rsidRPr="0005458D">
        <w:rPr>
          <w:rFonts w:ascii="Palatino Linotype" w:eastAsia="Palatino Linotype" w:hAnsi="Palatino Linotype" w:cs="Palatino Linotype"/>
          <w:b/>
          <w:sz w:val="22"/>
          <w:szCs w:val="22"/>
          <w:u w:val="single"/>
        </w:rPr>
        <w:lastRenderedPageBreak/>
        <w:t>dejaron visibles los nombres de los particulares en el apartado de colindancias.</w:t>
      </w:r>
      <w:r w:rsidRPr="0005458D">
        <w:rPr>
          <w:rFonts w:ascii="Palatino Linotype" w:eastAsia="Palatino Linotype" w:hAnsi="Palatino Linotype" w:cs="Palatino Linotype"/>
          <w:b/>
          <w:sz w:val="22"/>
          <w:szCs w:val="22"/>
        </w:rPr>
        <w:t xml:space="preserve"> </w:t>
      </w:r>
      <w:r w:rsidRPr="0005458D">
        <w:rPr>
          <w:rFonts w:ascii="Palatino Linotype" w:eastAsia="Palatino Linotype" w:hAnsi="Palatino Linotype" w:cs="Palatino Linotype"/>
          <w:b/>
          <w:i/>
          <w:sz w:val="22"/>
          <w:szCs w:val="22"/>
        </w:rPr>
        <w:tab/>
        <w:t xml:space="preserve"> </w:t>
      </w:r>
      <w:r w:rsidRPr="0005458D">
        <w:rPr>
          <w:rFonts w:ascii="Palatino Linotype" w:eastAsia="Palatino Linotype" w:hAnsi="Palatino Linotype" w:cs="Palatino Linotype"/>
          <w:b/>
          <w:i/>
          <w:sz w:val="22"/>
          <w:szCs w:val="22"/>
        </w:rPr>
        <w:tab/>
      </w:r>
    </w:p>
    <w:p w:rsidR="000554E4" w:rsidRPr="0005458D" w:rsidRDefault="0056136D">
      <w:pPr>
        <w:spacing w:before="240" w:after="240" w:line="360" w:lineRule="auto"/>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t xml:space="preserve">“OFICIO SASAHS031-052022.pdf”: </w:t>
      </w:r>
      <w:r w:rsidRPr="0005458D">
        <w:rPr>
          <w:rFonts w:ascii="Palatino Linotype" w:eastAsia="Palatino Linotype" w:hAnsi="Palatino Linotype" w:cs="Palatino Linotype"/>
          <w:sz w:val="22"/>
          <w:szCs w:val="22"/>
        </w:rPr>
        <w:t xml:space="preserve">Oficio SA/SAHS/031-05/2022, suscrito por el Secretario del Ayuntamiento, mediante el cual manifiesta que se entrega la información de manera digital. </w:t>
      </w:r>
    </w:p>
    <w:p w:rsidR="000554E4" w:rsidRPr="0005458D" w:rsidRDefault="0056136D">
      <w:pPr>
        <w:spacing w:before="240" w:after="240" w:line="276" w:lineRule="auto"/>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tab/>
      </w:r>
      <w:r w:rsidRPr="0005458D">
        <w:rPr>
          <w:rFonts w:ascii="Palatino Linotype" w:eastAsia="Palatino Linotype" w:hAnsi="Palatino Linotype" w:cs="Palatino Linotype"/>
          <w:b/>
          <w:i/>
          <w:noProof/>
          <w:sz w:val="22"/>
          <w:szCs w:val="22"/>
          <w:lang w:val="es-MX" w:eastAsia="es-MX"/>
        </w:rPr>
        <w:drawing>
          <wp:inline distT="0" distB="0" distL="0" distR="0">
            <wp:extent cx="5637240" cy="5318824"/>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37240" cy="5318824"/>
                    </a:xfrm>
                    <a:prstGeom prst="rect">
                      <a:avLst/>
                    </a:prstGeom>
                    <a:ln/>
                  </pic:spPr>
                </pic:pic>
              </a:graphicData>
            </a:graphic>
          </wp:inline>
        </w:drawing>
      </w:r>
    </w:p>
    <w:p w:rsidR="000554E4" w:rsidRPr="0005458D" w:rsidRDefault="0056136D">
      <w:pPr>
        <w:spacing w:before="240" w:after="240" w:line="360" w:lineRule="auto"/>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lastRenderedPageBreak/>
        <w:t xml:space="preserve">“Informe Justificado RR 7904 sol.159.pdf”: </w:t>
      </w:r>
      <w:r w:rsidRPr="0005458D">
        <w:rPr>
          <w:rFonts w:ascii="Palatino Linotype" w:eastAsia="Palatino Linotype" w:hAnsi="Palatino Linotype" w:cs="Palatino Linotype"/>
          <w:sz w:val="22"/>
          <w:szCs w:val="22"/>
        </w:rPr>
        <w:t>Documento de dos fojas en el que se aprecia el informe justificado rendido por la Titular de la Unidad de Transparencia.</w:t>
      </w:r>
    </w:p>
    <w:p w:rsidR="000554E4" w:rsidRPr="0005458D" w:rsidRDefault="0056136D">
      <w:pPr>
        <w:spacing w:before="240" w:after="240" w:line="276" w:lineRule="auto"/>
        <w:ind w:right="709"/>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ab/>
      </w:r>
      <w:r w:rsidRPr="0005458D">
        <w:rPr>
          <w:rFonts w:ascii="Palatino Linotype" w:eastAsia="Palatino Linotype" w:hAnsi="Palatino Linotype" w:cs="Palatino Linotype"/>
          <w:b/>
          <w:i/>
          <w:noProof/>
          <w:sz w:val="22"/>
          <w:szCs w:val="22"/>
          <w:lang w:val="es-MX" w:eastAsia="es-MX"/>
        </w:rPr>
        <w:drawing>
          <wp:inline distT="0" distB="0" distL="0" distR="0">
            <wp:extent cx="4063071" cy="4260582"/>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63071" cy="4260582"/>
                    </a:xfrm>
                    <a:prstGeom prst="rect">
                      <a:avLst/>
                    </a:prstGeom>
                    <a:ln/>
                  </pic:spPr>
                </pic:pic>
              </a:graphicData>
            </a:graphic>
          </wp:inline>
        </w:drawing>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Es de precisar que parte de esta información, se puso a disposición de la parte Recurrente, mediante acuerdo emitido por la Comisionada Ponente el </w:t>
      </w:r>
      <w:r w:rsidRPr="0005458D">
        <w:rPr>
          <w:rFonts w:ascii="Palatino Linotype" w:eastAsia="Palatino Linotype" w:hAnsi="Palatino Linotype" w:cs="Palatino Linotype"/>
          <w:b/>
        </w:rPr>
        <w:t>veintiuno de septiembre de dos mil veintidós</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 xml:space="preserve">con excepción del soporte documental denominado </w:t>
      </w:r>
      <w:r w:rsidRPr="0005458D">
        <w:rPr>
          <w:rFonts w:ascii="Palatino Linotype" w:eastAsia="Palatino Linotype" w:hAnsi="Palatino Linotype" w:cs="Palatino Linotype"/>
          <w:b/>
          <w:i/>
        </w:rPr>
        <w:t>“BIENES INMUEBLES 2022.xlsx”</w:t>
      </w:r>
      <w:r w:rsidRPr="0005458D">
        <w:rPr>
          <w:rFonts w:ascii="Palatino Linotype" w:eastAsia="Palatino Linotype" w:hAnsi="Palatino Linotype" w:cs="Palatino Linotype"/>
        </w:rPr>
        <w:t xml:space="preserve">, por las razones antes expuestas.  </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noProof/>
          <w:lang w:val="es-MX" w:eastAsia="es-MX"/>
        </w:rPr>
        <w:lastRenderedPageBreak/>
        <w:drawing>
          <wp:inline distT="0" distB="0" distL="0" distR="0">
            <wp:extent cx="5418807" cy="2380135"/>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18807" cy="2380135"/>
                    </a:xfrm>
                    <a:prstGeom prst="rect">
                      <a:avLst/>
                    </a:prstGeom>
                    <a:ln/>
                  </pic:spPr>
                </pic:pic>
              </a:graphicData>
            </a:graphic>
          </wp:inline>
        </w:drawing>
      </w:r>
    </w:p>
    <w:p w:rsidR="000554E4" w:rsidRPr="0005458D" w:rsidRDefault="0056136D">
      <w:pPr>
        <w:spacing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b/>
        </w:rPr>
        <w:t>7.- Ampliación del plazo para emitir resolución.</w:t>
      </w:r>
      <w:r w:rsidRPr="0005458D">
        <w:rPr>
          <w:rFonts w:ascii="Palatino Linotype" w:eastAsia="Palatino Linotype" w:hAnsi="Palatino Linotype" w:cs="Palatino Linotype"/>
        </w:rPr>
        <w:t xml:space="preserve"> El </w:t>
      </w:r>
      <w:r w:rsidRPr="0005458D">
        <w:rPr>
          <w:rFonts w:ascii="Palatino Linotype" w:eastAsia="Palatino Linotype" w:hAnsi="Palatino Linotype" w:cs="Palatino Linotype"/>
          <w:b/>
        </w:rPr>
        <w:t>veintiuno de septiembre de dos mil veintidós</w:t>
      </w:r>
      <w:r w:rsidRPr="0005458D">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05458D">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strike/>
        </w:rPr>
      </w:pPr>
      <w:r w:rsidRPr="0005458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numPr>
          <w:ilvl w:val="0"/>
          <w:numId w:val="3"/>
        </w:numPr>
        <w:spacing w:line="360" w:lineRule="auto"/>
        <w:ind w:left="567"/>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0554E4" w:rsidRPr="0005458D" w:rsidRDefault="000554E4">
      <w:pPr>
        <w:spacing w:line="360" w:lineRule="auto"/>
        <w:ind w:left="567"/>
        <w:jc w:val="both"/>
        <w:rPr>
          <w:rFonts w:ascii="Palatino Linotype" w:eastAsia="Palatino Linotype" w:hAnsi="Palatino Linotype" w:cs="Palatino Linotype"/>
        </w:rPr>
      </w:pPr>
    </w:p>
    <w:p w:rsidR="000554E4" w:rsidRPr="0005458D" w:rsidRDefault="0056136D">
      <w:pPr>
        <w:numPr>
          <w:ilvl w:val="0"/>
          <w:numId w:val="3"/>
        </w:numPr>
        <w:spacing w:line="360" w:lineRule="auto"/>
        <w:ind w:left="567" w:hanging="283"/>
        <w:jc w:val="both"/>
        <w:rPr>
          <w:rFonts w:ascii="Palatino Linotype" w:eastAsia="Palatino Linotype" w:hAnsi="Palatino Linotype" w:cs="Palatino Linotype"/>
        </w:rPr>
      </w:pPr>
      <w:r w:rsidRPr="0005458D">
        <w:rPr>
          <w:rFonts w:ascii="Palatino Linotype" w:eastAsia="Palatino Linotype" w:hAnsi="Palatino Linotype" w:cs="Palatino Linotype"/>
        </w:rPr>
        <w:t>Actividad Procesal del interesado. Acciones u omisiones del interesado.</w:t>
      </w:r>
    </w:p>
    <w:p w:rsidR="000554E4" w:rsidRPr="0005458D" w:rsidRDefault="000554E4">
      <w:pPr>
        <w:spacing w:line="360" w:lineRule="auto"/>
        <w:ind w:left="567" w:hanging="283"/>
        <w:jc w:val="both"/>
        <w:rPr>
          <w:rFonts w:ascii="Palatino Linotype" w:eastAsia="Palatino Linotype" w:hAnsi="Palatino Linotype" w:cs="Palatino Linotype"/>
        </w:rPr>
      </w:pPr>
    </w:p>
    <w:p w:rsidR="000554E4" w:rsidRPr="0005458D" w:rsidRDefault="0056136D">
      <w:pPr>
        <w:numPr>
          <w:ilvl w:val="0"/>
          <w:numId w:val="3"/>
        </w:numPr>
        <w:spacing w:line="360" w:lineRule="auto"/>
        <w:ind w:left="567" w:hanging="283"/>
        <w:jc w:val="both"/>
        <w:rPr>
          <w:rFonts w:ascii="Palatino Linotype" w:eastAsia="Palatino Linotype" w:hAnsi="Palatino Linotype" w:cs="Palatino Linotype"/>
        </w:rPr>
      </w:pPr>
      <w:r w:rsidRPr="0005458D">
        <w:rPr>
          <w:rFonts w:ascii="Palatino Linotype" w:eastAsia="Palatino Linotype" w:hAnsi="Palatino Linotype" w:cs="Palatino Linotype"/>
        </w:rPr>
        <w:t>Conducta de la Autoridad: Las Acciones u omisiones realizadas en el procedimiento. Así como si la autoridad actuó con la debida diligencia.</w:t>
      </w:r>
    </w:p>
    <w:p w:rsidR="000554E4" w:rsidRPr="0005458D" w:rsidRDefault="000554E4">
      <w:pPr>
        <w:spacing w:line="360" w:lineRule="auto"/>
        <w:ind w:left="567" w:hanging="283"/>
        <w:rPr>
          <w:rFonts w:ascii="Palatino Linotype" w:eastAsia="Palatino Linotype" w:hAnsi="Palatino Linotype" w:cs="Palatino Linotype"/>
        </w:rPr>
      </w:pPr>
    </w:p>
    <w:p w:rsidR="000554E4" w:rsidRPr="0005458D" w:rsidRDefault="0056136D">
      <w:pPr>
        <w:spacing w:line="360" w:lineRule="auto"/>
        <w:ind w:left="567" w:hanging="283"/>
        <w:jc w:val="both"/>
        <w:rPr>
          <w:rFonts w:ascii="Palatino Linotype" w:eastAsia="Palatino Linotype" w:hAnsi="Palatino Linotype" w:cs="Palatino Linotype"/>
        </w:rPr>
      </w:pPr>
      <w:r w:rsidRPr="0005458D">
        <w:rPr>
          <w:rFonts w:ascii="Palatino Linotype" w:eastAsia="Palatino Linotype" w:hAnsi="Palatino Linotype" w:cs="Palatino Linotype"/>
        </w:rPr>
        <w:t>d) La afectación generada en la situación jurídica de la persona involucrada en el proceso: Violación a sus derechos humanos.</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rPr>
        <w:t>Argumento que encuentra sustento en la jurisprudencia P</w:t>
      </w:r>
      <w:proofErr w:type="gramStart"/>
      <w:r w:rsidRPr="0005458D">
        <w:rPr>
          <w:rFonts w:ascii="Palatino Linotype" w:eastAsia="Palatino Linotype" w:hAnsi="Palatino Linotype" w:cs="Palatino Linotype"/>
        </w:rPr>
        <w:t>./</w:t>
      </w:r>
      <w:proofErr w:type="gramEnd"/>
      <w:r w:rsidRPr="0005458D">
        <w:rPr>
          <w:rFonts w:ascii="Palatino Linotype" w:eastAsia="Palatino Linotype" w:hAnsi="Palatino Linotype" w:cs="Palatino Linotype"/>
        </w:rPr>
        <w:t xml:space="preserve">J. 32/92 emitida por el Pleno de la Suprema Corte de Justicia de la Nación de rubro </w:t>
      </w:r>
      <w:r w:rsidRPr="0005458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5458D">
        <w:rPr>
          <w:rFonts w:ascii="Palatino Linotype" w:eastAsia="Palatino Linotype" w:hAnsi="Palatino Linotype" w:cs="Palatino Linotype"/>
        </w:rPr>
        <w:t>, visible en la Gaceta del Seminario Judicial de la Federación con el registro digital 205635.</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05458D">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i/>
        </w:rPr>
        <w:t>“PLAZO RAZONABLE PARA RESOLVER. DIMENSIÓN Y EFECTOS DE ESTE CONCEPTO CUANDO SE ADUCE EXCESIVA CARGA DE TRABAJO.”</w:t>
      </w:r>
      <w:r w:rsidRPr="0005458D">
        <w:rPr>
          <w:rFonts w:ascii="Palatino Linotype" w:eastAsia="Palatino Linotype" w:hAnsi="Palatino Linotype" w:cs="Palatino Linotype"/>
        </w:rPr>
        <w:t xml:space="preserve"> consultable en el Seminario Judicial de la Federación y su gaceta, con el registro digital 2002351.</w:t>
      </w:r>
    </w:p>
    <w:p w:rsidR="000554E4" w:rsidRPr="0005458D" w:rsidRDefault="000554E4">
      <w:pPr>
        <w:spacing w:line="360" w:lineRule="auto"/>
        <w:jc w:val="both"/>
        <w:rPr>
          <w:rFonts w:ascii="Palatino Linotype" w:eastAsia="Palatino Linotype" w:hAnsi="Palatino Linotype" w:cs="Palatino Linotype"/>
          <w:b/>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i/>
        </w:rPr>
        <w:t>“PLAZO RAZONABLE PARA RESOLVER. CONCEPTO Y ELEMENTOS QUE LO INTEGRAN A LA LUZ DEL DERECHO INTERNACIONAL DE LOS DERECHOS HUMANOS.”</w:t>
      </w:r>
      <w:r w:rsidRPr="0005458D">
        <w:rPr>
          <w:rFonts w:ascii="Palatino Linotype" w:eastAsia="Palatino Linotype" w:hAnsi="Palatino Linotype" w:cs="Palatino Linotype"/>
        </w:rPr>
        <w:t>, visible en el Seminario Judicial de la Federación y su gaceta, con el registro digital 2002350.</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8</w:t>
      </w:r>
      <w:r w:rsidRPr="0005458D">
        <w:rPr>
          <w:rFonts w:ascii="Palatino Linotype" w:eastAsia="Palatino Linotype" w:hAnsi="Palatino Linotype" w:cs="Palatino Linotype"/>
          <w:b/>
        </w:rPr>
        <w:t xml:space="preserve">. Cierre de Instrucción. </w:t>
      </w:r>
      <w:r w:rsidRPr="0005458D">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Pr="0005458D">
        <w:rPr>
          <w:rFonts w:ascii="Palatino Linotype" w:eastAsia="Palatino Linotype" w:hAnsi="Palatino Linotype" w:cs="Palatino Linotype"/>
          <w:b/>
        </w:rPr>
        <w:t>veintisiete de septiembre de dos mil veintidós</w:t>
      </w:r>
      <w:r w:rsidRPr="0005458D">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0554E4" w:rsidRPr="0005458D" w:rsidRDefault="0056136D">
      <w:pPr>
        <w:keepNext/>
        <w:keepLines/>
        <w:spacing w:before="40"/>
        <w:jc w:val="center"/>
        <w:rPr>
          <w:rFonts w:ascii="Palatino Linotype" w:eastAsia="Palatino Linotype" w:hAnsi="Palatino Linotype" w:cs="Palatino Linotype"/>
          <w:b/>
        </w:rPr>
      </w:pPr>
      <w:r w:rsidRPr="0005458D">
        <w:rPr>
          <w:rFonts w:ascii="Palatino Linotype" w:eastAsia="Palatino Linotype" w:hAnsi="Palatino Linotype" w:cs="Palatino Linotype"/>
          <w:b/>
        </w:rPr>
        <w:t>II. C O N S I D E R A N D O S:</w:t>
      </w:r>
    </w:p>
    <w:p w:rsidR="000554E4" w:rsidRPr="0005458D" w:rsidRDefault="0056136D">
      <w:pPr>
        <w:spacing w:before="240" w:after="240"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b/>
        </w:rPr>
        <w:t xml:space="preserve">Primero. Competencia. </w:t>
      </w:r>
      <w:r w:rsidRPr="0005458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w:t>
      </w:r>
      <w:r w:rsidRPr="0005458D">
        <w:rPr>
          <w:rFonts w:ascii="Palatino Linotype" w:eastAsia="Palatino Linotype" w:hAnsi="Palatino Linotype" w:cs="Palatino Linotype"/>
        </w:rPr>
        <w:lastRenderedPageBreak/>
        <w:t>y 11 del Reglamento Interior del Instituto de Transparencia, Acceso a la Información Pública y Protección de Datos Personales del Estado de México y Municipios.</w:t>
      </w:r>
    </w:p>
    <w:p w:rsidR="000554E4" w:rsidRPr="0005458D" w:rsidRDefault="0056136D">
      <w:pPr>
        <w:widowControl w:val="0"/>
        <w:spacing w:before="120" w:after="12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Segundo. Oportunidad y Procedibilidad del Recurso de Revisión.</w:t>
      </w:r>
      <w:r w:rsidRPr="0005458D">
        <w:rPr>
          <w:rFonts w:ascii="Palatino Linotype" w:eastAsia="Palatino Linotype" w:hAnsi="Palatino Linotype" w:cs="Palatino Linotype"/>
          <w:b/>
          <w:sz w:val="22"/>
          <w:szCs w:val="22"/>
        </w:rPr>
        <w:t xml:space="preserve"> </w:t>
      </w:r>
      <w:r w:rsidRPr="0005458D">
        <w:rPr>
          <w:rFonts w:ascii="Palatino Linotype" w:eastAsia="Palatino Linotype" w:hAnsi="Palatino Linotype" w:cs="Palatino Linotype"/>
        </w:rPr>
        <w:t>Previo al estudio del fondo del asunto, se procede a analizar los requisitos de oportunidad y procedibilidad que debe reunir el recurso de revisión, previstos en los artículos 178 y 180 de la Ley de Transparencia y Acceso a la Información Pública del Estado de México y Municipios.</w:t>
      </w:r>
    </w:p>
    <w:p w:rsidR="000554E4" w:rsidRPr="0005458D" w:rsidRDefault="0056136D">
      <w:pPr>
        <w:widowControl w:val="0"/>
        <w:spacing w:before="120" w:after="12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Primeramente, es de precisar que la Ley de Transparencia y Acceso a la Información Pública del Estado de México y Municipios, describe el mecanismo de procedencia de los recursos de revisión, en ese sentido en su artículo 163 prevé lo siguiente:</w:t>
      </w:r>
    </w:p>
    <w:p w:rsidR="000554E4" w:rsidRPr="0005458D" w:rsidRDefault="0056136D">
      <w:pPr>
        <w:spacing w:before="120" w:after="24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“Artículo 163.</w:t>
      </w:r>
      <w:r w:rsidRPr="0005458D">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554E4" w:rsidRPr="0005458D" w:rsidRDefault="0056136D">
      <w:pPr>
        <w:spacing w:before="120" w:after="24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554E4" w:rsidRPr="0005458D" w:rsidRDefault="0056136D">
      <w:pPr>
        <w:widowControl w:val="0"/>
        <w:spacing w:before="120" w:after="12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Del precepto legal inserto se advierte que el plazo que le asiste a los sujetos obligados para notificar la respuesta a una solicitud de información pública es de quince días hábiles posteriores a la presentación de ésta.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rsidR="000554E4" w:rsidRPr="0005458D" w:rsidRDefault="0056136D">
      <w:pPr>
        <w:spacing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“Artículo 166. </w:t>
      </w:r>
      <w:r w:rsidRPr="0005458D">
        <w:rPr>
          <w:rFonts w:ascii="Palatino Linotype" w:eastAsia="Palatino Linotype" w:hAnsi="Palatino Linotype" w:cs="Palatino Linotype"/>
          <w:i/>
          <w:sz w:val="22"/>
          <w:szCs w:val="22"/>
        </w:rPr>
        <w:t>La obligación de acceso a la información pública se tendrá por cumplida cuando el solicitante tenga a su disposición la información requerida, o cuando realice la consulta de la misma en el lugar en el que ésta se localice.</w:t>
      </w:r>
    </w:p>
    <w:p w:rsidR="000554E4" w:rsidRPr="0005458D" w:rsidRDefault="0056136D">
      <w:pPr>
        <w:spacing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after="120"/>
        <w:ind w:left="851" w:right="902"/>
        <w:jc w:val="both"/>
        <w:rPr>
          <w:rFonts w:ascii="Palatino Linotype" w:eastAsia="Palatino Linotype" w:hAnsi="Palatino Linotype" w:cs="Palatino Linotype"/>
          <w:i/>
          <w:sz w:val="28"/>
          <w:szCs w:val="28"/>
        </w:rPr>
      </w:pPr>
      <w:r w:rsidRPr="0005458D">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rsidR="000554E4" w:rsidRPr="0005458D" w:rsidRDefault="0056136D">
      <w:pPr>
        <w:spacing w:after="120"/>
        <w:ind w:left="567" w:right="709"/>
        <w:jc w:val="both"/>
        <w:rPr>
          <w:rFonts w:ascii="Palatino Linotype" w:eastAsia="Palatino Linotype" w:hAnsi="Palatino Linotype" w:cs="Palatino Linotype"/>
          <w:sz w:val="22"/>
          <w:szCs w:val="22"/>
        </w:rPr>
      </w:pPr>
      <w:r w:rsidRPr="0005458D">
        <w:rPr>
          <w:rFonts w:ascii="Palatino Linotype" w:eastAsia="Palatino Linotype" w:hAnsi="Palatino Linotype" w:cs="Palatino Linotype"/>
          <w:b/>
          <w:i/>
          <w:sz w:val="22"/>
          <w:szCs w:val="22"/>
        </w:rPr>
        <w:t>“CRITERIO 0001-15 NEGATIVA FICTA. PLAZO PARA INTERPONER EL RECURSO DE REVISIÓN TRATÁNDOSE DE</w:t>
      </w:r>
      <w:r w:rsidRPr="0005458D">
        <w:rPr>
          <w:rFonts w:ascii="Palatino Linotype" w:eastAsia="Palatino Linotype" w:hAnsi="Palatino Linotype" w:cs="Palatino Linotype"/>
          <w:i/>
          <w:sz w:val="22"/>
          <w:szCs w:val="22"/>
        </w:rPr>
        <w:t xml:space="preserve">. El artículo 48, párrafo tercero </w:t>
      </w:r>
      <w:r w:rsidRPr="0005458D">
        <w:rPr>
          <w:rFonts w:ascii="Palatino Linotype" w:eastAsia="Palatino Linotype" w:hAnsi="Palatino Linotype" w:cs="Palatino Linotype"/>
          <w:i/>
          <w:sz w:val="22"/>
          <w:szCs w:val="22"/>
        </w:rPr>
        <w:lastRenderedPageBreak/>
        <w:t>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554E4" w:rsidRPr="0005458D" w:rsidRDefault="0056136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Ahora bien, por cuanto hace a la procedibilidad del recurso de revisión, es de suma importancia señalar que </w:t>
      </w:r>
      <w:r w:rsidRPr="0005458D">
        <w:rPr>
          <w:rFonts w:ascii="Palatino Linotype" w:eastAsia="Palatino Linotype" w:hAnsi="Palatino Linotype" w:cs="Palatino Linotype"/>
          <w:b/>
        </w:rPr>
        <w:t>la parte Recurrente</w:t>
      </w:r>
      <w:r w:rsidRPr="0005458D">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554E4" w:rsidRPr="0005458D" w:rsidRDefault="0056136D">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0554E4" w:rsidRPr="0005458D" w:rsidRDefault="0056136D">
      <w:pPr>
        <w:spacing w:before="240" w:after="240" w:line="360" w:lineRule="auto"/>
        <w:jc w:val="both"/>
        <w:rPr>
          <w:rFonts w:ascii="Quattrocento Sans" w:eastAsia="Quattrocento Sans" w:hAnsi="Quattrocento Sans" w:cs="Quattrocento Sans"/>
        </w:rPr>
      </w:pPr>
      <w:r w:rsidRPr="0005458D">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w:t>
      </w:r>
      <w:r w:rsidRPr="0005458D">
        <w:rPr>
          <w:rFonts w:ascii="Palatino Linotype" w:eastAsia="Palatino Linotype" w:hAnsi="Palatino Linotype" w:cs="Palatino Linotype"/>
        </w:rPr>
        <w:lastRenderedPageBreak/>
        <w:t>resulta conforme a derecho entrar al estudio de fondo y resolver el presente medio de impugnación, al actualizarse lo dispuesto en los artículos 176 y 179 fracción VII del ordenamiento legal citado, que establecen los supuestos en que puede interponerse el recurso de revisión:</w:t>
      </w:r>
    </w:p>
    <w:p w:rsidR="000554E4" w:rsidRPr="0005458D" w:rsidRDefault="0056136D">
      <w:pPr>
        <w:spacing w:before="240" w:after="240"/>
        <w:ind w:left="567"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“Artículo 176. </w:t>
      </w:r>
      <w:r w:rsidRPr="0005458D">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0554E4" w:rsidRPr="0005458D" w:rsidRDefault="0056136D">
      <w:pPr>
        <w:spacing w:before="240" w:after="240"/>
        <w:ind w:left="567"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Artículo 179</w:t>
      </w:r>
      <w:r w:rsidRPr="0005458D">
        <w:rPr>
          <w:rFonts w:ascii="Palatino Linotype" w:eastAsia="Palatino Linotype" w:hAnsi="Palatino Linotype" w:cs="Palatino Linotype"/>
          <w:b/>
          <w:sz w:val="22"/>
          <w:szCs w:val="22"/>
        </w:rPr>
        <w:t>.-</w:t>
      </w:r>
      <w:r w:rsidRPr="0005458D">
        <w:rPr>
          <w:rFonts w:ascii="Bookman Old Style" w:eastAsia="Bookman Old Style" w:hAnsi="Bookman Old Style" w:cs="Bookman Old Style"/>
          <w:sz w:val="20"/>
          <w:szCs w:val="20"/>
        </w:rPr>
        <w:t xml:space="preserve"> </w:t>
      </w:r>
      <w:r w:rsidRPr="0005458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0554E4" w:rsidRPr="0005458D" w:rsidRDefault="0056136D">
      <w:pPr>
        <w:spacing w:before="240" w:after="240"/>
        <w:ind w:left="567"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w:t>
      </w:r>
      <w:r w:rsidRPr="0005458D">
        <w:rPr>
          <w:rFonts w:ascii="Palatino Linotype" w:eastAsia="Palatino Linotype" w:hAnsi="Palatino Linotype" w:cs="Palatino Linotype"/>
          <w:i/>
          <w:sz w:val="22"/>
          <w:szCs w:val="22"/>
        </w:rPr>
        <w:t>]</w:t>
      </w:r>
    </w:p>
    <w:p w:rsidR="000554E4" w:rsidRPr="0005458D" w:rsidRDefault="0056136D">
      <w:pPr>
        <w:spacing w:before="240" w:after="240" w:line="276" w:lineRule="auto"/>
        <w:ind w:left="567" w:right="90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 VII. La falta de respuesta a una solicitud de acceso a la información</w:t>
      </w:r>
      <w:r w:rsidRPr="0005458D">
        <w:rPr>
          <w:rFonts w:ascii="Palatino Linotype" w:eastAsia="Palatino Linotype" w:hAnsi="Palatino Linotype" w:cs="Palatino Linotype"/>
          <w:i/>
          <w:sz w:val="22"/>
          <w:szCs w:val="22"/>
        </w:rPr>
        <w:t>…”</w:t>
      </w:r>
    </w:p>
    <w:p w:rsidR="000554E4" w:rsidRPr="0005458D" w:rsidRDefault="0056136D">
      <w:pPr>
        <w:spacing w:before="240" w:after="240" w:line="360" w:lineRule="auto"/>
        <w:ind w:right="90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            (Sic) (Énfasis añadido)</w:t>
      </w:r>
    </w:p>
    <w:p w:rsidR="000554E4" w:rsidRPr="0005458D" w:rsidRDefault="0056136D">
      <w:pPr>
        <w:spacing w:before="280" w:after="280" w:line="360" w:lineRule="auto"/>
        <w:jc w:val="both"/>
        <w:rPr>
          <w:rFonts w:ascii="Palatino Linotype" w:eastAsia="Palatino Linotype" w:hAnsi="Palatino Linotype" w:cs="Palatino Linotype"/>
        </w:rPr>
      </w:pPr>
      <w:bookmarkStart w:id="1" w:name="_heading=h.gjdgxs" w:colFirst="0" w:colLast="0"/>
      <w:bookmarkEnd w:id="1"/>
      <w:r w:rsidRPr="0005458D">
        <w:rPr>
          <w:rFonts w:ascii="Palatino Linotype" w:eastAsia="Palatino Linotype" w:hAnsi="Palatino Linotype" w:cs="Palatino Linotype"/>
          <w:b/>
        </w:rPr>
        <w:t xml:space="preserve">Tercero. Materia de la revisión. </w:t>
      </w:r>
      <w:r w:rsidRPr="0005458D">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05458D">
        <w:rPr>
          <w:rFonts w:ascii="Palatino Linotype" w:eastAsia="Palatino Linotype" w:hAnsi="Palatino Linotype" w:cs="Palatino Linotype"/>
          <w:b/>
        </w:rPr>
        <w:t xml:space="preserve">verificar si el pronunciamiento vertido por el Sujeto Obligado en informe justificado, es adecuado y suficiente para satisfacer el derecho de acceso a la información pública </w:t>
      </w:r>
      <w:r w:rsidRPr="0005458D">
        <w:rPr>
          <w:rFonts w:ascii="Palatino Linotype" w:eastAsia="Palatino Linotype" w:hAnsi="Palatino Linotype" w:cs="Palatino Linotype"/>
        </w:rPr>
        <w:t xml:space="preserve">de </w:t>
      </w:r>
      <w:r w:rsidRPr="0005458D">
        <w:rPr>
          <w:rFonts w:ascii="Palatino Linotype" w:eastAsia="Palatino Linotype" w:hAnsi="Palatino Linotype" w:cs="Palatino Linotype"/>
          <w:b/>
        </w:rPr>
        <w:t>la parte Recurrente</w:t>
      </w:r>
      <w:r w:rsidRPr="0005458D">
        <w:rPr>
          <w:rFonts w:ascii="Palatino Linotype" w:eastAsia="Palatino Linotype" w:hAnsi="Palatino Linotype" w:cs="Palatino Linotype"/>
        </w:rPr>
        <w:t>, o en su defecto, en caso de ser procedente, ordenar la entrega de información oportuna.</w:t>
      </w:r>
    </w:p>
    <w:p w:rsidR="000554E4" w:rsidRPr="0005458D" w:rsidRDefault="0056136D">
      <w:pPr>
        <w:spacing w:before="240" w:after="240"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b/>
        </w:rPr>
        <w:t xml:space="preserve">Cuarto. Estudio del asunto. </w:t>
      </w:r>
      <w:r w:rsidRPr="0005458D">
        <w:rPr>
          <w:rFonts w:ascii="Palatino Linotype" w:eastAsia="Palatino Linotype" w:hAnsi="Palatino Linotype" w:cs="Palatino Linotype"/>
        </w:rPr>
        <w:t xml:space="preserve">Antes de entrar al análisis de los pronunciamientos del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w:t>
      </w:r>
      <w:r w:rsidRPr="0005458D">
        <w:rPr>
          <w:rFonts w:ascii="Palatino Linotype" w:eastAsia="Palatino Linotype" w:hAnsi="Palatino Linotype" w:cs="Palatino Linotype"/>
        </w:rPr>
        <w:lastRenderedPageBreak/>
        <w:t>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554E4" w:rsidRPr="0005458D" w:rsidRDefault="0056136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5458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0554E4" w:rsidRPr="0005458D" w:rsidRDefault="0056136D">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0554E4" w:rsidRPr="0005458D" w:rsidRDefault="0056136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5458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0554E4" w:rsidRPr="0005458D" w:rsidRDefault="0056136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240" w:after="240" w:line="276" w:lineRule="auto"/>
        <w:ind w:left="851" w:right="90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“Artículo 6o.</w:t>
      </w:r>
    </w:p>
    <w:p w:rsidR="000554E4" w:rsidRPr="0005458D" w:rsidRDefault="0056136D">
      <w:pPr>
        <w:spacing w:before="240" w:after="240" w:line="276" w:lineRule="auto"/>
        <w:ind w:left="851" w:right="90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A. Para el ejercicio del derecho de acceso a la información, la Federación y </w:t>
      </w:r>
      <w:r w:rsidRPr="0005458D">
        <w:rPr>
          <w:rFonts w:ascii="Palatino Linotype" w:eastAsia="Palatino Linotype" w:hAnsi="Palatino Linotype" w:cs="Palatino Linotype"/>
          <w:b/>
          <w:i/>
          <w:sz w:val="22"/>
          <w:szCs w:val="22"/>
          <w:u w:val="single"/>
        </w:rPr>
        <w:t>las entidades federativas</w:t>
      </w:r>
      <w:r w:rsidRPr="0005458D">
        <w:rPr>
          <w:rFonts w:ascii="Palatino Linotype" w:eastAsia="Palatino Linotype" w:hAnsi="Palatino Linotype" w:cs="Palatino Linotype"/>
          <w:b/>
          <w:i/>
          <w:sz w:val="22"/>
          <w:szCs w:val="22"/>
        </w:rPr>
        <w:t>,</w:t>
      </w:r>
      <w:r w:rsidRPr="0005458D">
        <w:rPr>
          <w:rFonts w:ascii="Palatino Linotype" w:eastAsia="Palatino Linotype" w:hAnsi="Palatino Linotype" w:cs="Palatino Linotype"/>
          <w:i/>
          <w:sz w:val="22"/>
          <w:szCs w:val="22"/>
        </w:rPr>
        <w:t xml:space="preserve"> en el ámbito de sus respectivas competencias, se regirán por los siguientes principios y bases:</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lastRenderedPageBreak/>
        <w:t> </w:t>
      </w:r>
      <w:r w:rsidRPr="0005458D">
        <w:rPr>
          <w:rFonts w:ascii="Palatino Linotype" w:eastAsia="Palatino Linotype" w:hAnsi="Palatino Linotype" w:cs="Palatino Linotype"/>
          <w:b/>
          <w:i/>
          <w:sz w:val="22"/>
          <w:szCs w:val="22"/>
        </w:rPr>
        <w:t xml:space="preserve">I. </w:t>
      </w:r>
      <w:r w:rsidRPr="0005458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5458D">
        <w:rPr>
          <w:rFonts w:ascii="Palatino Linotype" w:eastAsia="Palatino Linotype" w:hAnsi="Palatino Linotype" w:cs="Palatino Linotype"/>
          <w:i/>
          <w:sz w:val="22"/>
          <w:szCs w:val="22"/>
        </w:rPr>
        <w:t xml:space="preserve"> Ejecutivo, Legislativo </w:t>
      </w:r>
      <w:r w:rsidRPr="0005458D">
        <w:rPr>
          <w:rFonts w:ascii="Palatino Linotype" w:eastAsia="Palatino Linotype" w:hAnsi="Palatino Linotype" w:cs="Palatino Linotype"/>
          <w:b/>
          <w:i/>
          <w:sz w:val="22"/>
          <w:szCs w:val="22"/>
          <w:u w:val="single"/>
        </w:rPr>
        <w:t>y Judicial</w:t>
      </w:r>
      <w:r w:rsidRPr="0005458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5458D">
        <w:rPr>
          <w:rFonts w:ascii="Palatino Linotype" w:eastAsia="Palatino Linotype" w:hAnsi="Palatino Linotype" w:cs="Palatino Linotype"/>
          <w:b/>
          <w:i/>
          <w:sz w:val="22"/>
          <w:szCs w:val="22"/>
        </w:rPr>
        <w:t>es pública y sólo podrá ser reservada temporalmente por razones de interés público y seguridad nacional,</w:t>
      </w:r>
      <w:r w:rsidRPr="0005458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554E4" w:rsidRPr="0005458D" w:rsidRDefault="0056136D">
      <w:pPr>
        <w:spacing w:before="240" w:after="240" w:line="276" w:lineRule="auto"/>
        <w:ind w:left="851" w:right="851"/>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i/>
          <w:sz w:val="22"/>
          <w:szCs w:val="22"/>
        </w:rPr>
        <w:t> </w:t>
      </w:r>
      <w:r w:rsidRPr="0005458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w:t>
      </w:r>
      <w:r w:rsidRPr="0005458D">
        <w:rPr>
          <w:rFonts w:ascii="Palatino Linotype" w:eastAsia="Palatino Linotype" w:hAnsi="Palatino Linotype" w:cs="Palatino Linotype"/>
          <w:b/>
          <w:i/>
          <w:sz w:val="22"/>
          <w:szCs w:val="22"/>
        </w:rPr>
        <w:t xml:space="preserve">III. </w:t>
      </w:r>
      <w:r w:rsidRPr="0005458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5458D">
        <w:rPr>
          <w:rFonts w:ascii="Palatino Linotype" w:eastAsia="Palatino Linotype" w:hAnsi="Palatino Linotype" w:cs="Palatino Linotype"/>
          <w:i/>
          <w:sz w:val="22"/>
          <w:szCs w:val="22"/>
        </w:rPr>
        <w:t xml:space="preserve"> a sus datos personales o a la rectificación de éstos.</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w:t>
      </w:r>
      <w:r w:rsidRPr="0005458D">
        <w:rPr>
          <w:rFonts w:ascii="Palatino Linotype" w:eastAsia="Palatino Linotype" w:hAnsi="Palatino Linotype" w:cs="Palatino Linotype"/>
          <w:b/>
          <w:i/>
          <w:sz w:val="22"/>
          <w:szCs w:val="22"/>
        </w:rPr>
        <w:t xml:space="preserve">IV. </w:t>
      </w:r>
      <w:r w:rsidRPr="0005458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V. </w:t>
      </w:r>
      <w:r w:rsidRPr="0005458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w:t>
      </w:r>
      <w:r w:rsidRPr="0005458D">
        <w:rPr>
          <w:rFonts w:ascii="Palatino Linotype" w:eastAsia="Palatino Linotype" w:hAnsi="Palatino Linotype" w:cs="Palatino Linotype"/>
          <w:b/>
          <w:i/>
          <w:sz w:val="22"/>
          <w:szCs w:val="22"/>
        </w:rPr>
        <w:t xml:space="preserve">VI. </w:t>
      </w:r>
      <w:r w:rsidRPr="0005458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0554E4" w:rsidRPr="0005458D" w:rsidRDefault="0056136D">
      <w:pPr>
        <w:spacing w:before="240" w:after="240" w:line="276" w:lineRule="auto"/>
        <w:ind w:left="851" w:right="851"/>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lastRenderedPageBreak/>
        <w:t> </w:t>
      </w:r>
      <w:r w:rsidRPr="0005458D">
        <w:rPr>
          <w:rFonts w:ascii="Palatino Linotype" w:eastAsia="Palatino Linotype" w:hAnsi="Palatino Linotype" w:cs="Palatino Linotype"/>
          <w:b/>
          <w:i/>
          <w:sz w:val="22"/>
          <w:szCs w:val="22"/>
        </w:rPr>
        <w:t xml:space="preserve">VII. </w:t>
      </w:r>
      <w:r w:rsidRPr="0005458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554E4" w:rsidRPr="0005458D" w:rsidRDefault="0056136D">
      <w:pPr>
        <w:spacing w:before="240" w:after="240" w:line="276" w:lineRule="auto"/>
        <w:ind w:left="709" w:right="76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r w:rsidRPr="0005458D">
        <w:rPr>
          <w:rFonts w:ascii="Palatino Linotype" w:eastAsia="Palatino Linotype" w:hAnsi="Palatino Linotype" w:cs="Palatino Linotype"/>
          <w:b/>
          <w:i/>
          <w:sz w:val="22"/>
          <w:szCs w:val="22"/>
        </w:rPr>
        <w:t>Artículo 4</w:t>
      </w:r>
      <w:r w:rsidRPr="0005458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554E4" w:rsidRPr="0005458D" w:rsidRDefault="0056136D">
      <w:pPr>
        <w:spacing w:before="240" w:after="240" w:line="276" w:lineRule="auto"/>
        <w:ind w:left="709" w:right="760"/>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554E4" w:rsidRPr="0005458D" w:rsidRDefault="0056136D">
      <w:pPr>
        <w:spacing w:before="240" w:after="240" w:line="276" w:lineRule="auto"/>
        <w:ind w:left="709" w:right="760"/>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554E4" w:rsidRPr="0005458D" w:rsidRDefault="0056136D">
      <w:pPr>
        <w:spacing w:before="240" w:after="240" w:line="276" w:lineRule="auto"/>
        <w:ind w:left="567" w:right="758"/>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r w:rsidRPr="0005458D">
        <w:rPr>
          <w:rFonts w:ascii="Palatino Linotype" w:eastAsia="Palatino Linotype" w:hAnsi="Palatino Linotype" w:cs="Palatino Linotype"/>
          <w:b/>
          <w:i/>
          <w:sz w:val="22"/>
          <w:szCs w:val="22"/>
        </w:rPr>
        <w:t>Artículo 12</w:t>
      </w:r>
      <w:r w:rsidRPr="0005458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0554E4" w:rsidRPr="0005458D" w:rsidRDefault="0056136D">
      <w:pPr>
        <w:spacing w:before="240" w:after="240" w:line="276" w:lineRule="auto"/>
        <w:ind w:left="567" w:right="758"/>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5458D">
        <w:rPr>
          <w:rFonts w:ascii="Palatino Linotype" w:eastAsia="Palatino Linotype" w:hAnsi="Palatino Linotype" w:cs="Palatino Linotype"/>
          <w:i/>
        </w:rPr>
        <w:t>ad hoc</w:t>
      </w:r>
      <w:r w:rsidRPr="0005458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0554E4" w:rsidRPr="0005458D" w:rsidRDefault="0056136D">
      <w:pPr>
        <w:spacing w:before="240" w:after="240" w:line="276" w:lineRule="auto"/>
        <w:ind w:left="567" w:right="567"/>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03/17</w:t>
      </w:r>
    </w:p>
    <w:p w:rsidR="000554E4" w:rsidRPr="0005458D" w:rsidRDefault="0056136D">
      <w:pPr>
        <w:spacing w:before="240" w:after="240" w:line="276" w:lineRule="auto"/>
        <w:ind w:left="567" w:right="567"/>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r w:rsidRPr="0005458D">
        <w:rPr>
          <w:rFonts w:ascii="Palatino Linotype" w:eastAsia="Palatino Linotype" w:hAnsi="Palatino Linotype" w:cs="Palatino Linotype"/>
          <w:b/>
          <w:i/>
          <w:sz w:val="22"/>
          <w:szCs w:val="22"/>
        </w:rPr>
        <w:t xml:space="preserve">Artículo 3. </w:t>
      </w:r>
      <w:r w:rsidRPr="0005458D">
        <w:rPr>
          <w:rFonts w:ascii="Palatino Linotype" w:eastAsia="Palatino Linotype" w:hAnsi="Palatino Linotype" w:cs="Palatino Linotype"/>
          <w:i/>
          <w:sz w:val="22"/>
          <w:szCs w:val="22"/>
        </w:rPr>
        <w:t>Para los efectos de la presente Ley se entenderá por:</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XI. Documento:</w:t>
      </w:r>
      <w:r w:rsidRPr="0005458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5458D">
        <w:rPr>
          <w:rFonts w:ascii="Palatino Linotype" w:eastAsia="Palatino Linotype" w:hAnsi="Palatino Linotype" w:cs="Palatino Linotype"/>
          <w:b/>
          <w:i/>
          <w:sz w:val="22"/>
          <w:szCs w:val="22"/>
        </w:rPr>
        <w:t>…</w:t>
      </w:r>
      <w:r w:rsidRPr="0005458D">
        <w:rPr>
          <w:rFonts w:ascii="Palatino Linotype" w:eastAsia="Palatino Linotype" w:hAnsi="Palatino Linotype" w:cs="Palatino Linotype"/>
          <w:i/>
          <w:sz w:val="22"/>
          <w:szCs w:val="22"/>
        </w:rPr>
        <w:t>” (Sic)</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554E4" w:rsidRPr="0005458D" w:rsidRDefault="0056136D">
      <w:pPr>
        <w:spacing w:before="240" w:after="240" w:line="276" w:lineRule="auto"/>
        <w:ind w:left="567" w:right="567"/>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sz w:val="22"/>
          <w:szCs w:val="22"/>
        </w:rPr>
        <w:t>“</w:t>
      </w:r>
      <w:r w:rsidRPr="0005458D">
        <w:rPr>
          <w:rFonts w:ascii="Palatino Linotype" w:eastAsia="Palatino Linotype" w:hAnsi="Palatino Linotype" w:cs="Palatino Linotype"/>
          <w:b/>
          <w:i/>
          <w:sz w:val="22"/>
          <w:szCs w:val="22"/>
        </w:rPr>
        <w:t>CRITERIO 0002-11</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05458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554E4" w:rsidRPr="0005458D" w:rsidRDefault="0056136D">
      <w:pP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554E4" w:rsidRPr="0005458D" w:rsidRDefault="0056136D">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0554E4" w:rsidRPr="0005458D" w:rsidRDefault="0056136D">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0554E4" w:rsidRPr="0005458D" w:rsidRDefault="0056136D">
      <w:pPr>
        <w:spacing w:before="240" w:after="240" w:line="276" w:lineRule="auto"/>
        <w:ind w:left="567" w:right="567" w:hanging="284"/>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3) </w:t>
      </w:r>
      <w:r w:rsidRPr="0005458D">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De ahí que 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05458D">
        <w:rPr>
          <w:rFonts w:ascii="Palatino Linotype" w:eastAsia="Palatino Linotype" w:hAnsi="Palatino Linotype" w:cs="Palatino Linotype"/>
          <w:vertAlign w:val="superscript"/>
        </w:rPr>
        <w:footnoteReference w:id="1"/>
      </w:r>
      <w:r w:rsidRPr="0005458D">
        <w:rPr>
          <w:rFonts w:ascii="Palatino Linotype" w:eastAsia="Palatino Linotype" w:hAnsi="Palatino Linotype" w:cs="Palatino Linotype"/>
        </w:rPr>
        <w:t xml:space="preserve">, así como de interés público, es decir, aquella que resulta relevante o beneficiosa para la sociedad y no </w:t>
      </w:r>
      <w:r w:rsidRPr="0005458D">
        <w:rPr>
          <w:rFonts w:ascii="Palatino Linotype" w:eastAsia="Palatino Linotype" w:hAnsi="Palatino Linotype" w:cs="Palatino Linotype"/>
        </w:rPr>
        <w:lastRenderedPageBreak/>
        <w:t>simplemente de interés individual, y cuya divulgación resulta útil para que el público comprenda las actividades que llevan a cabo los Sujetos Obligados</w:t>
      </w:r>
      <w:r w:rsidRPr="0005458D">
        <w:rPr>
          <w:rFonts w:ascii="Palatino Linotype" w:eastAsia="Palatino Linotype" w:hAnsi="Palatino Linotype" w:cs="Palatino Linotype"/>
          <w:vertAlign w:val="superscript"/>
        </w:rPr>
        <w:footnoteReference w:id="2"/>
      </w:r>
      <w:r w:rsidRPr="0005458D">
        <w:rPr>
          <w:rFonts w:ascii="Palatino Linotype" w:eastAsia="Palatino Linotype" w:hAnsi="Palatino Linotype" w:cs="Palatino Linotype"/>
        </w:rPr>
        <w:t>.</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Ahora bien, para profundizar en el estudio del presente asunto, es conveniente recordar que la parte solicitante requirió al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le proporcionara lo siguiente:</w:t>
      </w:r>
    </w:p>
    <w:p w:rsidR="000554E4" w:rsidRPr="0005458D" w:rsidRDefault="0056136D">
      <w:pPr>
        <w:numPr>
          <w:ilvl w:val="0"/>
          <w:numId w:val="1"/>
        </w:numPr>
        <w:pBdr>
          <w:top w:val="nil"/>
          <w:left w:val="nil"/>
          <w:bottom w:val="nil"/>
          <w:right w:val="nil"/>
          <w:between w:val="nil"/>
        </w:pBdr>
        <w:spacing w:before="240" w:after="240" w:line="360" w:lineRule="auto"/>
        <w:ind w:left="567" w:hanging="283"/>
        <w:jc w:val="both"/>
        <w:rPr>
          <w:rFonts w:ascii="Palatino Linotype" w:eastAsia="Palatino Linotype" w:hAnsi="Palatino Linotype" w:cs="Palatino Linotype"/>
          <w:b/>
          <w:sz w:val="22"/>
          <w:szCs w:val="22"/>
        </w:rPr>
      </w:pPr>
      <w:r w:rsidRPr="0005458D">
        <w:rPr>
          <w:rFonts w:ascii="Palatino Linotype" w:eastAsia="Palatino Linotype" w:hAnsi="Palatino Linotype" w:cs="Palatino Linotype"/>
          <w:b/>
          <w:sz w:val="22"/>
          <w:szCs w:val="22"/>
        </w:rPr>
        <w:t>El inventario de bienes inmuebles</w:t>
      </w:r>
    </w:p>
    <w:p w:rsidR="000554E4" w:rsidRPr="0005458D" w:rsidRDefault="0056136D">
      <w:pPr>
        <w:spacing w:before="240" w:after="240" w:line="360" w:lineRule="auto"/>
        <w:ind w:left="284"/>
        <w:jc w:val="both"/>
        <w:rPr>
          <w:rFonts w:ascii="Palatino Linotype" w:eastAsia="Palatino Linotype" w:hAnsi="Palatino Linotype" w:cs="Palatino Linotype"/>
          <w:b/>
        </w:rPr>
      </w:pPr>
      <w:r w:rsidRPr="0005458D">
        <w:rPr>
          <w:rFonts w:ascii="Palatino Linotype" w:eastAsia="Palatino Linotype" w:hAnsi="Palatino Linotype" w:cs="Palatino Linotype"/>
        </w:rPr>
        <w:t xml:space="preserve">Tomando en cuenta la materia de la solicitud, conviene partir de lo establecido en los Lineamientos para la integración y entrega del Informe Trimestral Municipal 2022, se establece lo siguiente sobre el inventario de bienes inmuebles: </w:t>
      </w:r>
      <w:r w:rsidRPr="0005458D">
        <w:rPr>
          <w:noProof/>
          <w:lang w:val="es-MX" w:eastAsia="es-MX"/>
        </w:rPr>
        <w:drawing>
          <wp:anchor distT="0" distB="0" distL="114300" distR="114300" simplePos="0" relativeHeight="251658240" behindDoc="0" locked="0" layoutInCell="1" hidden="0" allowOverlap="1">
            <wp:simplePos x="0" y="0"/>
            <wp:positionH relativeFrom="column">
              <wp:posOffset>100967</wp:posOffset>
            </wp:positionH>
            <wp:positionV relativeFrom="paragraph">
              <wp:posOffset>762635</wp:posOffset>
            </wp:positionV>
            <wp:extent cx="4942294" cy="3114675"/>
            <wp:effectExtent l="0" t="0" r="0" b="0"/>
            <wp:wrapTopAndBottom distT="0" dist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942294" cy="3114675"/>
                    </a:xfrm>
                    <a:prstGeom prst="rect">
                      <a:avLst/>
                    </a:prstGeom>
                    <a:ln/>
                  </pic:spPr>
                </pic:pic>
              </a:graphicData>
            </a:graphic>
          </wp:anchor>
        </w:drawing>
      </w:r>
    </w:p>
    <w:p w:rsidR="000554E4" w:rsidRPr="0005458D" w:rsidRDefault="0056136D">
      <w:pPr>
        <w:spacing w:before="240" w:after="240" w:line="360" w:lineRule="auto"/>
        <w:ind w:right="49"/>
        <w:jc w:val="center"/>
        <w:rPr>
          <w:rFonts w:ascii="Palatino Linotype" w:eastAsia="Palatino Linotype" w:hAnsi="Palatino Linotype" w:cs="Palatino Linotype"/>
        </w:rPr>
      </w:pPr>
      <w:r w:rsidRPr="0005458D">
        <w:rPr>
          <w:rFonts w:ascii="Palatino Linotype" w:eastAsia="Palatino Linotype" w:hAnsi="Palatino Linotype" w:cs="Palatino Linotype"/>
          <w:noProof/>
          <w:lang w:val="es-MX" w:eastAsia="es-MX"/>
        </w:rPr>
        <w:lastRenderedPageBreak/>
        <w:drawing>
          <wp:inline distT="0" distB="0" distL="0" distR="0">
            <wp:extent cx="5061312" cy="4955501"/>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61312" cy="4955501"/>
                    </a:xfrm>
                    <a:prstGeom prst="rect">
                      <a:avLst/>
                    </a:prstGeom>
                    <a:ln/>
                  </pic:spPr>
                </pic:pic>
              </a:graphicData>
            </a:graphic>
          </wp:inline>
        </w:drawing>
      </w:r>
    </w:p>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noProof/>
          <w:lang w:val="es-MX" w:eastAsia="es-MX"/>
        </w:rPr>
        <w:lastRenderedPageBreak/>
        <w:drawing>
          <wp:inline distT="0" distB="0" distL="0" distR="0">
            <wp:extent cx="5486400" cy="468630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2574"/>
                    <a:stretch>
                      <a:fillRect/>
                    </a:stretch>
                  </pic:blipFill>
                  <pic:spPr>
                    <a:xfrm>
                      <a:off x="0" y="0"/>
                      <a:ext cx="5486400" cy="4686300"/>
                    </a:xfrm>
                    <a:prstGeom prst="rect">
                      <a:avLst/>
                    </a:prstGeom>
                    <a:ln/>
                  </pic:spPr>
                </pic:pic>
              </a:graphicData>
            </a:graphic>
          </wp:inline>
        </w:drawing>
      </w:r>
    </w:p>
    <w:p w:rsidR="000554E4" w:rsidRPr="0005458D" w:rsidRDefault="0056136D">
      <w:pPr>
        <w:pBdr>
          <w:top w:val="nil"/>
          <w:left w:val="nil"/>
          <w:bottom w:val="nil"/>
          <w:right w:val="nil"/>
          <w:between w:val="nil"/>
        </w:pBd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Como se logra advertir, los documentos solicitados por el Particular forman parte integral del informe trimestral que entregó el </w:t>
      </w:r>
      <w:r w:rsidRPr="0005458D">
        <w:rPr>
          <w:rFonts w:ascii="Palatino Linotype" w:eastAsia="Palatino Linotype" w:hAnsi="Palatino Linotype" w:cs="Palatino Linotype"/>
          <w:b/>
        </w:rPr>
        <w:t>Ayuntamiento de Teoloyucan</w:t>
      </w:r>
      <w:r w:rsidRPr="0005458D">
        <w:rPr>
          <w:rFonts w:ascii="Palatino Linotype" w:eastAsia="Palatino Linotype" w:hAnsi="Palatino Linotype" w:cs="Palatino Linotype"/>
        </w:rPr>
        <w:t xml:space="preserve"> al Órgano Superior de Fiscalización, </w:t>
      </w:r>
      <w:r w:rsidRPr="0005458D">
        <w:rPr>
          <w:rFonts w:ascii="Palatino Linotype" w:eastAsia="Palatino Linotype" w:hAnsi="Palatino Linotype" w:cs="Palatino Linotype"/>
          <w:b/>
          <w:u w:val="single"/>
        </w:rPr>
        <w:t>los cuales fueron proporcionados tanto en formato “</w:t>
      </w:r>
      <w:proofErr w:type="spellStart"/>
      <w:r w:rsidRPr="0005458D">
        <w:rPr>
          <w:rFonts w:ascii="Palatino Linotype" w:eastAsia="Palatino Linotype" w:hAnsi="Palatino Linotype" w:cs="Palatino Linotype"/>
          <w:b/>
          <w:u w:val="single"/>
        </w:rPr>
        <w:t>pdf</w:t>
      </w:r>
      <w:proofErr w:type="spellEnd"/>
      <w:r w:rsidRPr="0005458D">
        <w:rPr>
          <w:rFonts w:ascii="Palatino Linotype" w:eastAsia="Palatino Linotype" w:hAnsi="Palatino Linotype" w:cs="Palatino Linotype"/>
          <w:b/>
          <w:u w:val="single"/>
        </w:rPr>
        <w:t>” como en formato “</w:t>
      </w:r>
      <w:proofErr w:type="spellStart"/>
      <w:r w:rsidRPr="0005458D">
        <w:rPr>
          <w:rFonts w:ascii="Palatino Linotype" w:eastAsia="Palatino Linotype" w:hAnsi="Palatino Linotype" w:cs="Palatino Linotype"/>
          <w:b/>
          <w:u w:val="single"/>
        </w:rPr>
        <w:t>xls</w:t>
      </w:r>
      <w:proofErr w:type="spellEnd"/>
      <w:r w:rsidRPr="0005458D">
        <w:rPr>
          <w:rFonts w:ascii="Palatino Linotype" w:eastAsia="Palatino Linotype" w:hAnsi="Palatino Linotype" w:cs="Palatino Linotype"/>
          <w:b/>
          <w:u w:val="single"/>
        </w:rPr>
        <w:t>”</w:t>
      </w:r>
      <w:r w:rsidRPr="0005458D">
        <w:rPr>
          <w:rFonts w:ascii="Palatino Linotype" w:eastAsia="Palatino Linotype" w:hAnsi="Palatino Linotype" w:cs="Palatino Linotype"/>
        </w:rPr>
        <w:t xml:space="preserve">, por lo que, se advierte que en efecto 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cuenta con las facultades, competencias y funciones para generar, administrar y poseer la información solicitada. </w:t>
      </w:r>
    </w:p>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 xml:space="preserve">Asimismo, los Lineamientos para el Registro y Control del Inventario y la Conciliación y Desincorporación de Bienes Muebles e Inmuebles para las Entidades Fiscalizables Municipales del Estado de México, prevén lo siguiente: </w:t>
      </w:r>
    </w:p>
    <w:p w:rsidR="000554E4" w:rsidRPr="0005458D" w:rsidRDefault="0056136D">
      <w:pPr>
        <w:spacing w:before="240" w:after="240" w:line="276" w:lineRule="auto"/>
        <w:ind w:left="567" w:right="709"/>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“VIGÉSIMO SÉPTIMO: </w:t>
      </w:r>
      <w:r w:rsidRPr="0005458D">
        <w:rPr>
          <w:rFonts w:ascii="Palatino Linotype" w:eastAsia="Palatino Linotype" w:hAnsi="Palatino Linotype" w:cs="Palatino Linotype"/>
          <w:b/>
          <w:i/>
          <w:sz w:val="22"/>
          <w:szCs w:val="22"/>
        </w:rPr>
        <w:t>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w:t>
      </w:r>
      <w:r w:rsidRPr="0005458D">
        <w:rPr>
          <w:rFonts w:ascii="Palatino Linotype" w:eastAsia="Palatino Linotype" w:hAnsi="Palatino Linotype" w:cs="Palatino Linotype"/>
          <w:i/>
          <w:sz w:val="22"/>
          <w:szCs w:val="22"/>
        </w:rPr>
        <w:t>” (Sic) (Énfasis añadido)</w:t>
      </w:r>
    </w:p>
    <w:p w:rsidR="000554E4" w:rsidRPr="0005458D" w:rsidRDefault="0056136D">
      <w:pPr>
        <w:spacing w:before="240" w:after="240" w:line="360" w:lineRule="auto"/>
        <w:ind w:right="49"/>
        <w:jc w:val="both"/>
        <w:rPr>
          <w:rFonts w:ascii="Palatino Linotype" w:eastAsia="Palatino Linotype" w:hAnsi="Palatino Linotype" w:cs="Palatino Linotype"/>
          <w:b/>
        </w:rPr>
      </w:pPr>
      <w:r w:rsidRPr="0005458D">
        <w:rPr>
          <w:rFonts w:ascii="Palatino Linotype" w:eastAsia="Palatino Linotype" w:hAnsi="Palatino Linotype" w:cs="Palatino Linotype"/>
        </w:rPr>
        <w:t xml:space="preserve">Precisado lo anterior, conviene mencionar  que si bien 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fue omiso en emitir respuesta, lo cual derivó en la interposición del recurso de revisión que nos ocupa, también lo es que una vez admitido el presente medio de impugnación, el Ayuntamiento de Teoloyucan, en un acto posterior rindió su informe justificado, en el cual remitió diversos archivos, mismos que se describieron de manera puntual en líneas anteriores y que se pusieron a la vista de </w:t>
      </w:r>
      <w:r w:rsidRPr="0005458D">
        <w:rPr>
          <w:rFonts w:ascii="Palatino Linotype" w:eastAsia="Palatino Linotype" w:hAnsi="Palatino Linotype" w:cs="Palatino Linotype"/>
          <w:b/>
        </w:rPr>
        <w:t>la parte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 xml:space="preserve">Recurrente, </w:t>
      </w:r>
      <w:r w:rsidRPr="0005458D">
        <w:rPr>
          <w:rFonts w:ascii="Palatino Linotype" w:eastAsia="Palatino Linotype" w:hAnsi="Palatino Linotype" w:cs="Palatino Linotype"/>
        </w:rPr>
        <w:t xml:space="preserve">con excepción del soporte documental </w:t>
      </w:r>
      <w:r w:rsidRPr="0005458D">
        <w:rPr>
          <w:rFonts w:ascii="Palatino Linotype" w:eastAsia="Palatino Linotype" w:hAnsi="Palatino Linotype" w:cs="Palatino Linotype"/>
          <w:b/>
          <w:i/>
        </w:rPr>
        <w:t xml:space="preserve">“BIENES INMUEBLES 2022.xlsx”, </w:t>
      </w:r>
      <w:r w:rsidRPr="0005458D">
        <w:rPr>
          <w:rFonts w:ascii="Palatino Linotype" w:eastAsia="Palatino Linotype" w:hAnsi="Palatino Linotype" w:cs="Palatino Linotype"/>
        </w:rPr>
        <w:t xml:space="preserve">el cual si bien es cierto, contiene la información solicitada, esto es el inventario de bienes inmuebles con fecha de elaboración al trece de abril de dos mil veintidós, no menos cierto es que </w:t>
      </w:r>
      <w:r w:rsidRPr="0005458D">
        <w:rPr>
          <w:rFonts w:ascii="Palatino Linotype" w:eastAsia="Palatino Linotype" w:hAnsi="Palatino Linotype" w:cs="Palatino Linotype"/>
          <w:b/>
        </w:rPr>
        <w:t xml:space="preserve">no se puso a la vista del particular, en virtud de que se dejaron visibles datos personales, tales como nombres de particulares. </w:t>
      </w:r>
    </w:p>
    <w:p w:rsidR="000554E4" w:rsidRPr="0005458D" w:rsidRDefault="0056136D">
      <w:pPr>
        <w:spacing w:line="360" w:lineRule="auto"/>
        <w:jc w:val="both"/>
        <w:rPr>
          <w:rFonts w:ascii="Palatino Linotype" w:eastAsia="Palatino Linotype" w:hAnsi="Palatino Linotype" w:cs="Palatino Linotype"/>
          <w:b/>
        </w:rPr>
      </w:pPr>
      <w:r w:rsidRPr="0005458D">
        <w:rPr>
          <w:rFonts w:ascii="Palatino Linotype" w:eastAsia="Palatino Linotype" w:hAnsi="Palatino Linotype" w:cs="Palatino Linotype"/>
        </w:rPr>
        <w:t xml:space="preserve">Al respecto, se considera que si bien es cierto, el nombre de particulares obra en un documento generado por una institución pública como lo es el Ayuntamiento de Teoloyucan, resulta importante señalar que no menos cierto es que </w:t>
      </w:r>
      <w:r w:rsidRPr="0005458D">
        <w:rPr>
          <w:rFonts w:ascii="Palatino Linotype" w:eastAsia="Palatino Linotype" w:hAnsi="Palatino Linotype" w:cs="Palatino Linotype"/>
          <w:b/>
        </w:rPr>
        <w:t xml:space="preserve">el nombre </w:t>
      </w:r>
      <w:r w:rsidRPr="0005458D">
        <w:rPr>
          <w:rFonts w:ascii="Palatino Linotype" w:eastAsia="Palatino Linotype" w:hAnsi="Palatino Linotype" w:cs="Palatino Linotype"/>
          <w:b/>
        </w:rPr>
        <w:lastRenderedPageBreak/>
        <w:t>se integra con el sustantivo propio y el primer apellido de los padres</w:t>
      </w:r>
      <w:r w:rsidRPr="0005458D">
        <w:rPr>
          <w:rFonts w:ascii="Palatino Linotype" w:eastAsia="Palatino Linotype" w:hAnsi="Palatino Linotype" w:cs="Palatino Linotype"/>
        </w:rPr>
        <w:t xml:space="preserve">, en el orden que, de común acuerdo determinen; asimismo es la manifestación principal del derecho subjetivo a la personalidad y atributo de esta en términos del artículo 2.3 del Código Civil del Estado de México, de tal suerte, el nombre </w:t>
      </w:r>
      <w:r w:rsidRPr="0005458D">
        <w:rPr>
          <w:rFonts w:ascii="Palatino Linotype" w:eastAsia="Palatino Linotype" w:hAnsi="Palatino Linotype" w:cs="Palatino Linotype"/>
          <w:i/>
        </w:rPr>
        <w:t>per se</w:t>
      </w:r>
      <w:r w:rsidRPr="0005458D">
        <w:rPr>
          <w:rFonts w:ascii="Palatino Linotype" w:eastAsia="Palatino Linotype" w:hAnsi="Palatino Linotype" w:cs="Palatino Linotype"/>
        </w:rPr>
        <w:t xml:space="preserve"> es un elemento que hace a una persona física identificada o identificable, por lo que, </w:t>
      </w:r>
      <w:r w:rsidRPr="0005458D">
        <w:rPr>
          <w:rFonts w:ascii="Palatino Linotype" w:eastAsia="Palatino Linotype" w:hAnsi="Palatino Linotype" w:cs="Palatino Linotype"/>
          <w:b/>
        </w:rPr>
        <w:t>se considera un dato personal.</w:t>
      </w:r>
    </w:p>
    <w:p w:rsidR="000554E4" w:rsidRPr="0005458D" w:rsidRDefault="000554E4">
      <w:pPr>
        <w:spacing w:line="360" w:lineRule="auto"/>
        <w:jc w:val="both"/>
        <w:rPr>
          <w:rFonts w:ascii="Palatino Linotype" w:eastAsia="Palatino Linotype" w:hAnsi="Palatino Linotype" w:cs="Palatino Linotype"/>
          <w:b/>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 </w:t>
      </w:r>
    </w:p>
    <w:p w:rsidR="000554E4" w:rsidRPr="0005458D" w:rsidRDefault="000554E4">
      <w:pPr>
        <w:spacing w:line="360" w:lineRule="auto"/>
        <w:jc w:val="both"/>
        <w:rPr>
          <w:rFonts w:ascii="Palatino Linotype" w:eastAsia="Palatino Linotype" w:hAnsi="Palatino Linotype" w:cs="Palatino Linotype"/>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Así pues, el nombre de Particulares debe protegerse en las versiones públicas y eliminarse, pues se trata de un dato personal confidencial, en consecuencia, esta información no guarda relación con documentos que daban transparentarse pues a diferencia del derecho de acceso a la información en donde aplica el principio de máxima publicidad, pues tratándose de datos personales aplica en sentido contrario pues estos se rigen por el principio de finalidad establecido en el artículo 22 de la Ley de Protección de Datos Personales en Posesión de Sujetos Obligados del Estado de México y Municipios, por tal motivo, el simple hecho de entregar el nombre de una persona como colindancia con un inmueble público, no sólo lo hace identificado e identificable a él, sino también a su patrimonio, por lo que constituye su dato personal y no procede la entrega como información pública.</w:t>
      </w: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En atención a ello, deberá remitirse dicho soporte documental en una correcta versión pública, esto es, testando los datos  personales referidos con antelación, toda vez que con su divulgación pudiera afectarse indudablemente la esfera privada de los particulares, además de una posible vulneración a su patrimonio, por lo tanto, deberá clasificarse el nombre de los particulares que obra en el apartado de las colindancias y dicha situación deberá asentarse en el acuerdo de clasificación emitido por el Comité de Transparencia, mismo que se hará del conocimiento del particular al momento de dar cumplimiento a la presente resolución, esto en términos del considerando quinto.</w:t>
      </w:r>
    </w:p>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rPr>
        <w:t>Por todos los argumentos de hecho y derecho vertidos en la presente resolución y de las constancias que obran agregadas, resulta procedente ordenar la entrega de</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 xml:space="preserve">la información requerida, misma que fue proporcionada mediante informe justificado, en una correcta versión pública. </w:t>
      </w:r>
    </w:p>
    <w:p w:rsidR="000554E4" w:rsidRPr="0005458D" w:rsidRDefault="0056136D">
      <w:pPr>
        <w:spacing w:before="240" w:after="240" w:line="360" w:lineRule="auto"/>
        <w:ind w:right="49" w:firstLine="1"/>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Por ende, los motivos de inconformidad plateados por la </w:t>
      </w:r>
      <w:r w:rsidRPr="0005458D">
        <w:rPr>
          <w:rFonts w:ascii="Palatino Linotype" w:eastAsia="Palatino Linotype" w:hAnsi="Palatino Linotype" w:cs="Palatino Linotype"/>
          <w:b/>
        </w:rPr>
        <w:t xml:space="preserve">Recurrente </w:t>
      </w:r>
      <w:r w:rsidRPr="0005458D">
        <w:rPr>
          <w:rFonts w:ascii="Palatino Linotype" w:eastAsia="Palatino Linotype" w:hAnsi="Palatino Linotype" w:cs="Palatino Linotype"/>
        </w:rPr>
        <w:t xml:space="preserve">devienen fundados, ante la omisión del </w:t>
      </w:r>
      <w:r w:rsidRPr="0005458D">
        <w:rPr>
          <w:rFonts w:ascii="Palatino Linotype" w:eastAsia="Palatino Linotype" w:hAnsi="Palatino Linotype" w:cs="Palatino Linotype"/>
          <w:b/>
        </w:rPr>
        <w:t xml:space="preserve">Sujeto Obligado  </w:t>
      </w:r>
      <w:r w:rsidRPr="0005458D">
        <w:rPr>
          <w:rFonts w:ascii="Palatino Linotype" w:eastAsia="Palatino Linotype" w:hAnsi="Palatino Linotype" w:cs="Palatino Linotype"/>
        </w:rPr>
        <w:t xml:space="preserve">para atender la solicitud de información, resulta procedente ordenar al Titular del Órgano de Control y Vigilancia de este Instituto, dé vista a la Contraloría Interna del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con fundamento en</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 xml:space="preserve">los 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lo que redunda en falta de cumplimiento a los artículos 6 de la Constitución Federal y 5 de la Constitución Local, actualizándose lo previsto en el diverso 222 </w:t>
      </w:r>
      <w:r w:rsidRPr="0005458D">
        <w:rPr>
          <w:rFonts w:ascii="Palatino Linotype" w:eastAsia="Palatino Linotype" w:hAnsi="Palatino Linotype" w:cs="Palatino Linotype"/>
        </w:rPr>
        <w:lastRenderedPageBreak/>
        <w:t xml:space="preserve">fracción II de la Ley de Transparencia y Acceso a la Información Pública del Estado de México y Municipios, resultando conforme a derecho, ordenar al </w:t>
      </w:r>
      <w:r w:rsidRPr="0005458D">
        <w:rPr>
          <w:rFonts w:ascii="Palatino Linotype" w:eastAsia="Palatino Linotype" w:hAnsi="Palatino Linotype" w:cs="Palatino Linotype"/>
          <w:b/>
        </w:rPr>
        <w:t>Ayuntamiento de Teoloyucan</w:t>
      </w:r>
      <w:r w:rsidRPr="0005458D">
        <w:rPr>
          <w:rFonts w:ascii="Palatino Linotype" w:eastAsia="Palatino Linotype" w:hAnsi="Palatino Linotype" w:cs="Palatino Linotype"/>
        </w:rPr>
        <w:t>, atender la solicitud de acceso a la información del particular.</w:t>
      </w:r>
    </w:p>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b/>
        </w:rPr>
        <w:t xml:space="preserve">Quinto. Versión Pública. </w:t>
      </w:r>
      <w:r w:rsidRPr="0005458D">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554E4" w:rsidRPr="0005458D" w:rsidRDefault="0056136D">
      <w:pPr>
        <w:spacing w:before="240" w:after="240" w:line="360" w:lineRule="auto"/>
        <w:ind w:right="50"/>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05458D">
        <w:rPr>
          <w:rFonts w:ascii="Palatino Linotype" w:eastAsia="Palatino Linotype" w:hAnsi="Palatino Linotype" w:cs="Palatino Linotype"/>
        </w:rPr>
        <w:t>fracción</w:t>
      </w:r>
      <w:proofErr w:type="gramEnd"/>
      <w:r w:rsidRPr="0005458D">
        <w:rPr>
          <w:rFonts w:ascii="Palatino Linotype" w:eastAsia="Palatino Linotype" w:hAnsi="Palatino Linotype" w:cs="Palatino Linotype"/>
        </w:rPr>
        <w:t xml:space="preserve"> I de la Ley de Transparencia y Acceso a la Información Pública del Estado de México y Municipios que establecen:</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r w:rsidRPr="0005458D">
        <w:rPr>
          <w:rFonts w:ascii="Palatino Linotype" w:eastAsia="Palatino Linotype" w:hAnsi="Palatino Linotype" w:cs="Palatino Linotype"/>
          <w:b/>
          <w:i/>
          <w:sz w:val="22"/>
          <w:szCs w:val="22"/>
        </w:rPr>
        <w:t>Artículo 3</w:t>
      </w:r>
      <w:r w:rsidRPr="0005458D">
        <w:rPr>
          <w:rFonts w:ascii="Palatino Linotype" w:eastAsia="Palatino Linotype" w:hAnsi="Palatino Linotype" w:cs="Palatino Linotype"/>
          <w:i/>
          <w:sz w:val="22"/>
          <w:szCs w:val="22"/>
        </w:rPr>
        <w:t>. Para los efectos de la presente Ley se entenderá por:</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IX. Datos personales:</w:t>
      </w:r>
      <w:r w:rsidRPr="0005458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XX. Información clasificada</w:t>
      </w:r>
      <w:r w:rsidRPr="0005458D">
        <w:rPr>
          <w:rFonts w:ascii="Palatino Linotype" w:eastAsia="Palatino Linotype" w:hAnsi="Palatino Linotype" w:cs="Palatino Linotype"/>
          <w:i/>
          <w:sz w:val="22"/>
          <w:szCs w:val="22"/>
        </w:rPr>
        <w:t>: Aquella considerada por la presente Ley como reservada o confidencial;</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lastRenderedPageBreak/>
        <w:t>XXI. Información confidencial:</w:t>
      </w:r>
      <w:r w:rsidRPr="0005458D">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XLV. Versión pública:</w:t>
      </w:r>
      <w:r w:rsidRPr="0005458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Artículo 91. </w:t>
      </w:r>
      <w:r w:rsidRPr="0005458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 xml:space="preserve">Artículo 132. </w:t>
      </w:r>
      <w:r w:rsidRPr="0005458D">
        <w:rPr>
          <w:rFonts w:ascii="Palatino Linotype" w:eastAsia="Palatino Linotype" w:hAnsi="Palatino Linotype" w:cs="Palatino Linotype"/>
          <w:i/>
          <w:sz w:val="22"/>
          <w:szCs w:val="22"/>
        </w:rPr>
        <w:t>La clasificación de la información se llevará a cabo en el momento en que:</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w:t>
      </w:r>
      <w:r w:rsidRPr="0005458D">
        <w:rPr>
          <w:rFonts w:ascii="Palatino Linotype" w:eastAsia="Palatino Linotype" w:hAnsi="Palatino Linotype" w:cs="Palatino Linotype"/>
          <w:i/>
          <w:sz w:val="22"/>
          <w:szCs w:val="22"/>
        </w:rPr>
        <w:t>. Se reciba una solicitud de acceso a la información;</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w:t>
      </w:r>
      <w:r w:rsidRPr="0005458D">
        <w:rPr>
          <w:rFonts w:ascii="Palatino Linotype" w:eastAsia="Palatino Linotype" w:hAnsi="Palatino Linotype" w:cs="Palatino Linotype"/>
          <w:i/>
          <w:sz w:val="22"/>
          <w:szCs w:val="22"/>
        </w:rPr>
        <w:t>. Se determine mediante resolución de autoridad competente; o</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III</w:t>
      </w:r>
      <w:r w:rsidRPr="0005458D">
        <w:rPr>
          <w:rFonts w:ascii="Palatino Linotype" w:eastAsia="Palatino Linotype" w:hAnsi="Palatino Linotype" w:cs="Palatino Linotype"/>
          <w:i/>
          <w:sz w:val="22"/>
          <w:szCs w:val="22"/>
        </w:rPr>
        <w:t>. Se generen versiones públicas para dar cumplimiento a las obligaciones de transparencia previstas en esta Ley.</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Artículo 143</w:t>
      </w:r>
      <w:r w:rsidRPr="0005458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w:t>
      </w:r>
      <w:r w:rsidRPr="0005458D">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05458D">
        <w:rPr>
          <w:rFonts w:ascii="Palatino Linotype" w:eastAsia="Palatino Linotype" w:hAnsi="Palatino Linotype" w:cs="Palatino Linotype"/>
          <w:i/>
          <w:sz w:val="22"/>
          <w:szCs w:val="22"/>
        </w:rPr>
        <w:t>jurídico</w:t>
      </w:r>
      <w:proofErr w:type="gramEnd"/>
      <w:r w:rsidRPr="0005458D">
        <w:rPr>
          <w:rFonts w:ascii="Palatino Linotype" w:eastAsia="Palatino Linotype" w:hAnsi="Palatino Linotype" w:cs="Palatino Linotype"/>
          <w:i/>
          <w:sz w:val="22"/>
          <w:szCs w:val="22"/>
        </w:rPr>
        <w:t xml:space="preserve"> colectiva identificada o identificable;</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w:t>
      </w:r>
      <w:r w:rsidRPr="0005458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III</w:t>
      </w:r>
      <w:r w:rsidRPr="0005458D">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w:t>
      </w:r>
      <w:r w:rsidRPr="0005458D">
        <w:rPr>
          <w:rFonts w:ascii="Palatino Linotype" w:eastAsia="Palatino Linotype" w:hAnsi="Palatino Linotype" w:cs="Palatino Linotype"/>
          <w:b/>
          <w:i/>
          <w:sz w:val="22"/>
          <w:szCs w:val="22"/>
        </w:rPr>
        <w:t>Quincuagésimo sexto</w:t>
      </w:r>
      <w:r w:rsidRPr="0005458D">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Quincuagésimo séptimo</w:t>
      </w:r>
      <w:r w:rsidRPr="0005458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w:t>
      </w:r>
      <w:r w:rsidRPr="0005458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w:t>
      </w:r>
      <w:r w:rsidRPr="0005458D">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0554E4" w:rsidRPr="0005458D" w:rsidRDefault="0056136D">
      <w:pPr>
        <w:spacing w:before="120" w:after="120"/>
        <w:ind w:left="993"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t>III.</w:t>
      </w:r>
      <w:r w:rsidRPr="0005458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0554E4" w:rsidRPr="0005458D" w:rsidRDefault="0056136D">
      <w:pPr>
        <w:spacing w:before="120" w:after="120"/>
        <w:ind w:left="851" w:right="902"/>
        <w:jc w:val="both"/>
        <w:rPr>
          <w:rFonts w:ascii="Palatino Linotype" w:eastAsia="Palatino Linotype" w:hAnsi="Palatino Linotype" w:cs="Palatino Linotype"/>
          <w:i/>
          <w:sz w:val="22"/>
          <w:szCs w:val="22"/>
        </w:rPr>
      </w:pPr>
      <w:r w:rsidRPr="0005458D">
        <w:rPr>
          <w:rFonts w:ascii="Palatino Linotype" w:eastAsia="Palatino Linotype" w:hAnsi="Palatino Linotype" w:cs="Palatino Linotype"/>
          <w:b/>
          <w:i/>
          <w:sz w:val="22"/>
          <w:szCs w:val="22"/>
        </w:rPr>
        <w:lastRenderedPageBreak/>
        <w:t>Quincuagésimo octavo</w:t>
      </w:r>
      <w:r w:rsidRPr="0005458D">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05458D" w:rsidRPr="0005458D">
        <w:tc>
          <w:tcPr>
            <w:tcW w:w="4253" w:type="dxa"/>
            <w:gridSpan w:val="2"/>
            <w:tcBorders>
              <w:top w:val="nil"/>
              <w:left w:val="nil"/>
              <w:right w:val="nil"/>
            </w:tcBorders>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Total</w:t>
            </w:r>
          </w:p>
        </w:tc>
      </w:tr>
      <w:tr w:rsidR="0005458D" w:rsidRPr="0005458D">
        <w:tc>
          <w:tcPr>
            <w:tcW w:w="1134" w:type="dxa"/>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Concepto</w:t>
            </w:r>
          </w:p>
        </w:tc>
        <w:tc>
          <w:tcPr>
            <w:tcW w:w="3119" w:type="dxa"/>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Dónde</w:t>
            </w:r>
          </w:p>
        </w:tc>
        <w:tc>
          <w:tcPr>
            <w:tcW w:w="1129" w:type="dxa"/>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Concepto</w:t>
            </w:r>
          </w:p>
        </w:tc>
        <w:tc>
          <w:tcPr>
            <w:tcW w:w="3446" w:type="dxa"/>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Dónde</w:t>
            </w:r>
          </w:p>
        </w:tc>
      </w:tr>
      <w:tr w:rsidR="0005458D" w:rsidRPr="0005458D">
        <w:tc>
          <w:tcPr>
            <w:tcW w:w="8828" w:type="dxa"/>
            <w:gridSpan w:val="4"/>
          </w:tcPr>
          <w:p w:rsidR="000554E4" w:rsidRPr="0005458D" w:rsidRDefault="0056136D">
            <w:pPr>
              <w:jc w:val="center"/>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Sello oficial o logotipo del sujeto obligado</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Fecha de clasificación</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Fecha de clasificación</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Área</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área del cual es titular quien clasifica.</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Área</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área de la cual es el titular quien clasifica.</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Información reservada</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5458D">
              <w:rPr>
                <w:rFonts w:ascii="Palatino Linotype" w:eastAsia="Palatino Linotype" w:hAnsi="Palatino Linotype" w:cs="Palatino Linotype"/>
                <w:sz w:val="12"/>
                <w:szCs w:val="12"/>
              </w:rPr>
              <w:t>anotarán</w:t>
            </w:r>
            <w:proofErr w:type="gramEnd"/>
            <w:r w:rsidRPr="0005458D">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Reservado</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Leyenda de información RESERVADA.</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Fundamento legal</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Periodo de reserva</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Ampliación del periodo de reserva</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Fundamento legal</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Confidencial</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lo conforman. Si el </w:t>
            </w:r>
            <w:r w:rsidRPr="0005458D">
              <w:rPr>
                <w:rFonts w:ascii="Palatino Linotype" w:eastAsia="Palatino Linotype" w:hAnsi="Palatino Linotype" w:cs="Palatino Linotype"/>
                <w:sz w:val="12"/>
                <w:szCs w:val="12"/>
              </w:rPr>
              <w:lastRenderedPageBreak/>
              <w:t>documento no contiene información confidencial, se tachará este apartado.</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lastRenderedPageBreak/>
              <w:t>Ampliación del periodo de reserva</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Fundamento legal</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Confidencial</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Leyenda de información CONFIDENCIAL.</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Rúbrica del titular del área</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Rúbrica autógrafa de quien clasifica.</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Fundamento legal</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Fecha de desclasificación</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anotará la fecha en que se desclasifica el documento.</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Rúbrica del titular del área</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Rúbrica autógrafa de quien clasifica.</w:t>
            </w:r>
          </w:p>
        </w:tc>
      </w:tr>
      <w:tr w:rsidR="0005458D" w:rsidRPr="0005458D">
        <w:tc>
          <w:tcPr>
            <w:tcW w:w="1134"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Rúbrica y cargo del servidor público</w:t>
            </w:r>
          </w:p>
        </w:tc>
        <w:tc>
          <w:tcPr>
            <w:tcW w:w="3119"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Rúbrica autógrafa de quien desclasifica.</w:t>
            </w: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Fecha de desclasificación</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Se anotará la fecha en que se desclasifica.</w:t>
            </w:r>
          </w:p>
        </w:tc>
      </w:tr>
      <w:tr w:rsidR="0005458D" w:rsidRPr="0005458D">
        <w:tc>
          <w:tcPr>
            <w:tcW w:w="1134" w:type="dxa"/>
          </w:tcPr>
          <w:p w:rsidR="000554E4" w:rsidRPr="0005458D" w:rsidRDefault="000554E4">
            <w:pPr>
              <w:jc w:val="both"/>
              <w:rPr>
                <w:rFonts w:ascii="Palatino Linotype" w:eastAsia="Palatino Linotype" w:hAnsi="Palatino Linotype" w:cs="Palatino Linotype"/>
                <w:b/>
                <w:sz w:val="12"/>
                <w:szCs w:val="12"/>
              </w:rPr>
            </w:pPr>
          </w:p>
        </w:tc>
        <w:tc>
          <w:tcPr>
            <w:tcW w:w="3119" w:type="dxa"/>
          </w:tcPr>
          <w:p w:rsidR="000554E4" w:rsidRPr="0005458D" w:rsidRDefault="000554E4">
            <w:pPr>
              <w:jc w:val="both"/>
              <w:rPr>
                <w:rFonts w:ascii="Palatino Linotype" w:eastAsia="Palatino Linotype" w:hAnsi="Palatino Linotype" w:cs="Palatino Linotype"/>
                <w:sz w:val="12"/>
                <w:szCs w:val="12"/>
              </w:rPr>
            </w:pP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Partes o secciones reservadas o confidenciales</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 xml:space="preserve">En caso que una vez desclasificado el expediente, </w:t>
            </w:r>
            <w:proofErr w:type="spellStart"/>
            <w:r w:rsidRPr="0005458D">
              <w:rPr>
                <w:rFonts w:ascii="Palatino Linotype" w:eastAsia="Palatino Linotype" w:hAnsi="Palatino Linotype" w:cs="Palatino Linotype"/>
                <w:sz w:val="12"/>
                <w:szCs w:val="12"/>
              </w:rPr>
              <w:t>subsistanpartes</w:t>
            </w:r>
            <w:proofErr w:type="spellEnd"/>
            <w:r w:rsidRPr="0005458D">
              <w:rPr>
                <w:rFonts w:ascii="Palatino Linotype" w:eastAsia="Palatino Linotype" w:hAnsi="Palatino Linotype" w:cs="Palatino Linotype"/>
                <w:sz w:val="12"/>
                <w:szCs w:val="12"/>
              </w:rPr>
              <w:t xml:space="preserve"> o secciones del mismo reservadas o confidenciales, se señalará este hecho.</w:t>
            </w:r>
          </w:p>
        </w:tc>
      </w:tr>
      <w:tr w:rsidR="0005458D" w:rsidRPr="0005458D">
        <w:tc>
          <w:tcPr>
            <w:tcW w:w="1134" w:type="dxa"/>
          </w:tcPr>
          <w:p w:rsidR="000554E4" w:rsidRPr="0005458D" w:rsidRDefault="000554E4">
            <w:pPr>
              <w:jc w:val="both"/>
              <w:rPr>
                <w:rFonts w:ascii="Palatino Linotype" w:eastAsia="Palatino Linotype" w:hAnsi="Palatino Linotype" w:cs="Palatino Linotype"/>
                <w:b/>
                <w:sz w:val="12"/>
                <w:szCs w:val="12"/>
              </w:rPr>
            </w:pPr>
          </w:p>
        </w:tc>
        <w:tc>
          <w:tcPr>
            <w:tcW w:w="3119" w:type="dxa"/>
          </w:tcPr>
          <w:p w:rsidR="000554E4" w:rsidRPr="0005458D" w:rsidRDefault="000554E4">
            <w:pPr>
              <w:jc w:val="both"/>
              <w:rPr>
                <w:rFonts w:ascii="Palatino Linotype" w:eastAsia="Palatino Linotype" w:hAnsi="Palatino Linotype" w:cs="Palatino Linotype"/>
                <w:sz w:val="12"/>
                <w:szCs w:val="12"/>
              </w:rPr>
            </w:pPr>
          </w:p>
        </w:tc>
        <w:tc>
          <w:tcPr>
            <w:tcW w:w="1129" w:type="dxa"/>
          </w:tcPr>
          <w:p w:rsidR="000554E4" w:rsidRPr="0005458D" w:rsidRDefault="0056136D">
            <w:pPr>
              <w:jc w:val="both"/>
              <w:rPr>
                <w:rFonts w:ascii="Palatino Linotype" w:eastAsia="Palatino Linotype" w:hAnsi="Palatino Linotype" w:cs="Palatino Linotype"/>
                <w:b/>
                <w:sz w:val="12"/>
                <w:szCs w:val="12"/>
              </w:rPr>
            </w:pPr>
            <w:r w:rsidRPr="0005458D">
              <w:rPr>
                <w:rFonts w:ascii="Palatino Linotype" w:eastAsia="Palatino Linotype" w:hAnsi="Palatino Linotype" w:cs="Palatino Linotype"/>
                <w:b/>
                <w:sz w:val="12"/>
                <w:szCs w:val="12"/>
              </w:rPr>
              <w:t>Rúbrica y cargo del servidor público</w:t>
            </w:r>
          </w:p>
        </w:tc>
        <w:tc>
          <w:tcPr>
            <w:tcW w:w="3446" w:type="dxa"/>
          </w:tcPr>
          <w:p w:rsidR="000554E4" w:rsidRPr="0005458D" w:rsidRDefault="0056136D">
            <w:pPr>
              <w:jc w:val="both"/>
              <w:rPr>
                <w:rFonts w:ascii="Palatino Linotype" w:eastAsia="Palatino Linotype" w:hAnsi="Palatino Linotype" w:cs="Palatino Linotype"/>
                <w:sz w:val="12"/>
                <w:szCs w:val="12"/>
              </w:rPr>
            </w:pPr>
            <w:r w:rsidRPr="0005458D">
              <w:rPr>
                <w:rFonts w:ascii="Palatino Linotype" w:eastAsia="Palatino Linotype" w:hAnsi="Palatino Linotype" w:cs="Palatino Linotype"/>
                <w:sz w:val="12"/>
                <w:szCs w:val="12"/>
              </w:rPr>
              <w:t>Rúbrica autógrafa de quien desclasifica.</w:t>
            </w:r>
          </w:p>
        </w:tc>
      </w:tr>
    </w:tbl>
    <w:p w:rsidR="000554E4" w:rsidRPr="0005458D" w:rsidRDefault="0056136D">
      <w:pPr>
        <w:spacing w:before="240" w:after="240" w:line="360" w:lineRule="auto"/>
        <w:ind w:right="49"/>
        <w:jc w:val="both"/>
        <w:rPr>
          <w:rFonts w:ascii="Palatino Linotype" w:eastAsia="Palatino Linotype" w:hAnsi="Palatino Linotype" w:cs="Palatino Linotype"/>
        </w:rPr>
      </w:pPr>
      <w:r w:rsidRPr="0005458D">
        <w:rPr>
          <w:rFonts w:ascii="Palatino Linotype" w:eastAsia="Palatino Linotype" w:hAnsi="Palatino Linotype" w:cs="Palatino Linotype"/>
        </w:rPr>
        <w:t xml:space="preserve">Por lo expuesto, con fundamento en el artículo 186 </w:t>
      </w:r>
      <w:proofErr w:type="gramStart"/>
      <w:r w:rsidRPr="0005458D">
        <w:rPr>
          <w:rFonts w:ascii="Palatino Linotype" w:eastAsia="Palatino Linotype" w:hAnsi="Palatino Linotype" w:cs="Palatino Linotype"/>
        </w:rPr>
        <w:t>fracción</w:t>
      </w:r>
      <w:proofErr w:type="gramEnd"/>
      <w:r w:rsidRPr="0005458D">
        <w:rPr>
          <w:rFonts w:ascii="Palatino Linotype" w:eastAsia="Palatino Linotype" w:hAnsi="Palatino Linotype" w:cs="Palatino Linotype"/>
        </w:rPr>
        <w:t xml:space="preserve"> III de la Ley de Transparencia y Acceso a la Información Pública del Estado de México y Municipios, este Órgano Garante considera procedente</w:t>
      </w:r>
      <w:r w:rsidRPr="0005458D">
        <w:rPr>
          <w:rFonts w:ascii="Palatino Linotype" w:eastAsia="Palatino Linotype" w:hAnsi="Palatino Linotype" w:cs="Palatino Linotype"/>
          <w:b/>
        </w:rPr>
        <w:t xml:space="preserve"> ordenar </w:t>
      </w:r>
      <w:r w:rsidRPr="0005458D">
        <w:rPr>
          <w:rFonts w:ascii="Palatino Linotype" w:eastAsia="Palatino Linotype" w:hAnsi="Palatino Linotype" w:cs="Palatino Linotype"/>
        </w:rPr>
        <w:t>la entrega de la información, en versión pública.</w:t>
      </w:r>
    </w:p>
    <w:p w:rsidR="000554E4" w:rsidRPr="0005458D" w:rsidRDefault="0056136D">
      <w:pPr>
        <w:shd w:val="clear" w:color="auto" w:fill="FFFFFF"/>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fracciones IV y V; 2, fracción II; 29, 36 fracciones I y II; 176, 178, 179, fracción I, 181, 185 de la Ley de Transparencia y Acceso a la Información Pública del Estado de México y Municipios, este Pleno:</w:t>
      </w:r>
    </w:p>
    <w:p w:rsidR="000554E4" w:rsidRPr="0005458D" w:rsidRDefault="0056136D">
      <w:pPr>
        <w:spacing w:before="240" w:after="240" w:line="360" w:lineRule="auto"/>
        <w:jc w:val="center"/>
        <w:rPr>
          <w:rFonts w:ascii="Palatino Linotype" w:eastAsia="Palatino Linotype" w:hAnsi="Palatino Linotype" w:cs="Palatino Linotype"/>
          <w:b/>
        </w:rPr>
      </w:pPr>
      <w:r w:rsidRPr="0005458D">
        <w:rPr>
          <w:rFonts w:ascii="Palatino Linotype" w:eastAsia="Palatino Linotype" w:hAnsi="Palatino Linotype" w:cs="Palatino Linotype"/>
          <w:b/>
        </w:rPr>
        <w:t>R E S U E L V E</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Primero</w:t>
      </w:r>
      <w:r w:rsidRPr="0005458D">
        <w:rPr>
          <w:rFonts w:ascii="Palatino Linotype" w:eastAsia="Palatino Linotype" w:hAnsi="Palatino Linotype" w:cs="Palatino Linotype"/>
        </w:rPr>
        <w:t xml:space="preserve">. Resultan </w:t>
      </w:r>
      <w:r w:rsidRPr="0005458D">
        <w:rPr>
          <w:rFonts w:ascii="Palatino Linotype" w:eastAsia="Palatino Linotype" w:hAnsi="Palatino Linotype" w:cs="Palatino Linotype"/>
          <w:b/>
        </w:rPr>
        <w:t xml:space="preserve">fundados </w:t>
      </w:r>
      <w:r w:rsidRPr="0005458D">
        <w:rPr>
          <w:rFonts w:ascii="Palatino Linotype" w:eastAsia="Palatino Linotype" w:hAnsi="Palatino Linotype" w:cs="Palatino Linotype"/>
        </w:rPr>
        <w:t xml:space="preserve">los motivos de inconformidad hechos valer por </w:t>
      </w:r>
      <w:r w:rsidRPr="0005458D">
        <w:rPr>
          <w:rFonts w:ascii="Palatino Linotype" w:eastAsia="Palatino Linotype" w:hAnsi="Palatino Linotype" w:cs="Palatino Linotype"/>
          <w:b/>
        </w:rPr>
        <w:t>la parte Recurrente</w:t>
      </w:r>
      <w:r w:rsidRPr="0005458D">
        <w:rPr>
          <w:rFonts w:ascii="Palatino Linotype" w:eastAsia="Palatino Linotype" w:hAnsi="Palatino Linotype" w:cs="Palatino Linotype"/>
        </w:rPr>
        <w:t xml:space="preserve"> en el Recurso de Revisión </w:t>
      </w:r>
      <w:r w:rsidRPr="0005458D">
        <w:rPr>
          <w:rFonts w:ascii="Palatino Linotype" w:eastAsia="Palatino Linotype" w:hAnsi="Palatino Linotype" w:cs="Palatino Linotype"/>
          <w:b/>
        </w:rPr>
        <w:t>07904/INFOEM/IP/RR/2022</w:t>
      </w:r>
      <w:r w:rsidRPr="0005458D">
        <w:rPr>
          <w:rFonts w:ascii="Palatino Linotype" w:eastAsia="Palatino Linotype" w:hAnsi="Palatino Linotype" w:cs="Palatino Linotype"/>
        </w:rPr>
        <w:t xml:space="preserve">, en términos del </w:t>
      </w:r>
      <w:r w:rsidRPr="0005458D">
        <w:rPr>
          <w:rFonts w:ascii="Palatino Linotype" w:eastAsia="Palatino Linotype" w:hAnsi="Palatino Linotype" w:cs="Palatino Linotype"/>
          <w:b/>
        </w:rPr>
        <w:t>Considerando</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Cuarto</w:t>
      </w:r>
      <w:r w:rsidRPr="0005458D">
        <w:rPr>
          <w:rFonts w:ascii="Palatino Linotype" w:eastAsia="Palatino Linotype" w:hAnsi="Palatino Linotype" w:cs="Palatino Linotype"/>
        </w:rPr>
        <w:t>.</w:t>
      </w:r>
    </w:p>
    <w:p w:rsidR="000554E4" w:rsidRPr="0005458D" w:rsidRDefault="0056136D">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05458D">
        <w:rPr>
          <w:rFonts w:ascii="Palatino Linotype" w:eastAsia="Palatino Linotype" w:hAnsi="Palatino Linotype" w:cs="Palatino Linotype"/>
          <w:b/>
        </w:rPr>
        <w:t>Segundo</w:t>
      </w:r>
      <w:r w:rsidRPr="0005458D">
        <w:rPr>
          <w:rFonts w:ascii="Palatino Linotype" w:eastAsia="Palatino Linotype" w:hAnsi="Palatino Linotype" w:cs="Palatino Linotype"/>
          <w:b/>
          <w:sz w:val="28"/>
          <w:szCs w:val="28"/>
        </w:rPr>
        <w:t>.</w:t>
      </w:r>
      <w:r w:rsidRPr="0005458D">
        <w:rPr>
          <w:rFonts w:ascii="Palatino Linotype" w:eastAsia="Palatino Linotype" w:hAnsi="Palatino Linotype" w:cs="Palatino Linotype"/>
          <w:sz w:val="28"/>
          <w:szCs w:val="28"/>
        </w:rPr>
        <w:t xml:space="preserve"> </w:t>
      </w:r>
      <w:r w:rsidRPr="0005458D">
        <w:rPr>
          <w:rFonts w:ascii="Palatino Linotype" w:eastAsia="Palatino Linotype" w:hAnsi="Palatino Linotype" w:cs="Palatino Linotype"/>
        </w:rPr>
        <w:t>Se</w:t>
      </w:r>
      <w:r w:rsidRPr="0005458D">
        <w:rPr>
          <w:rFonts w:ascii="Palatino Linotype" w:eastAsia="Palatino Linotype" w:hAnsi="Palatino Linotype" w:cs="Palatino Linotype"/>
          <w:b/>
        </w:rPr>
        <w:t xml:space="preserve"> ORDENA </w:t>
      </w:r>
      <w:r w:rsidRPr="0005458D">
        <w:rPr>
          <w:rFonts w:ascii="Palatino Linotype" w:eastAsia="Palatino Linotype" w:hAnsi="Palatino Linotype" w:cs="Palatino Linotype"/>
        </w:rPr>
        <w:t>al</w:t>
      </w:r>
      <w:r w:rsidRPr="0005458D">
        <w:rPr>
          <w:rFonts w:ascii="Palatino Linotype" w:eastAsia="Palatino Linotype" w:hAnsi="Palatino Linotype" w:cs="Palatino Linotype"/>
          <w:b/>
        </w:rPr>
        <w:t xml:space="preserve"> Sujeto Obligado</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Ayuntamiento de Teoloyucan</w:t>
      </w:r>
      <w:r w:rsidRPr="0005458D">
        <w:rPr>
          <w:rFonts w:ascii="Palatino Linotype" w:eastAsia="Palatino Linotype" w:hAnsi="Palatino Linotype" w:cs="Palatino Linotype"/>
        </w:rPr>
        <w:t>, atienda la solicitud de información número</w:t>
      </w:r>
      <w:r w:rsidRPr="0005458D">
        <w:t xml:space="preserve"> </w:t>
      </w:r>
      <w:r w:rsidRPr="0005458D">
        <w:rPr>
          <w:rFonts w:ascii="Palatino Linotype" w:eastAsia="Palatino Linotype" w:hAnsi="Palatino Linotype" w:cs="Palatino Linotype"/>
          <w:b/>
        </w:rPr>
        <w:t>00159/TEOLOYU/IP/2022</w:t>
      </w:r>
      <w:r w:rsidRPr="0005458D">
        <w:rPr>
          <w:rFonts w:ascii="Palatino Linotype" w:eastAsia="Palatino Linotype" w:hAnsi="Palatino Linotype" w:cs="Palatino Linotype"/>
        </w:rPr>
        <w:t xml:space="preserve">, en términos </w:t>
      </w:r>
      <w:r w:rsidRPr="0005458D">
        <w:rPr>
          <w:rFonts w:ascii="Palatino Linotype" w:eastAsia="Palatino Linotype" w:hAnsi="Palatino Linotype" w:cs="Palatino Linotype"/>
        </w:rPr>
        <w:lastRenderedPageBreak/>
        <w:t xml:space="preserve">de los Considerandos </w:t>
      </w:r>
      <w:r w:rsidRPr="0005458D">
        <w:rPr>
          <w:rFonts w:ascii="Palatino Linotype" w:eastAsia="Palatino Linotype" w:hAnsi="Palatino Linotype" w:cs="Palatino Linotype"/>
          <w:b/>
        </w:rPr>
        <w:t>Cuarto y Quinto</w:t>
      </w:r>
      <w:r w:rsidRPr="0005458D">
        <w:rPr>
          <w:rFonts w:ascii="Palatino Linotype" w:eastAsia="Palatino Linotype" w:hAnsi="Palatino Linotype" w:cs="Palatino Linotype"/>
        </w:rPr>
        <w:t xml:space="preserve"> de esta resolución, y haga entrega vía </w:t>
      </w:r>
      <w:r w:rsidRPr="0005458D">
        <w:rPr>
          <w:rFonts w:ascii="Palatino Linotype" w:eastAsia="Palatino Linotype" w:hAnsi="Palatino Linotype" w:cs="Palatino Linotype"/>
          <w:b/>
        </w:rPr>
        <w:t>SAIMEX</w:t>
      </w:r>
      <w:r w:rsidRPr="0005458D">
        <w:rPr>
          <w:rFonts w:ascii="Palatino Linotype" w:eastAsia="Palatino Linotype" w:hAnsi="Palatino Linotype" w:cs="Palatino Linotype"/>
        </w:rPr>
        <w:t xml:space="preserve">, en </w:t>
      </w:r>
      <w:r w:rsidRPr="0005458D">
        <w:rPr>
          <w:rFonts w:ascii="Palatino Linotype" w:eastAsia="Palatino Linotype" w:hAnsi="Palatino Linotype" w:cs="Palatino Linotype"/>
          <w:b/>
        </w:rPr>
        <w:t>versión pública</w:t>
      </w:r>
      <w:r w:rsidRPr="0005458D">
        <w:rPr>
          <w:rFonts w:ascii="Palatino Linotype" w:eastAsia="Palatino Linotype" w:hAnsi="Palatino Linotype" w:cs="Palatino Linotype"/>
        </w:rPr>
        <w:t>,</w:t>
      </w:r>
      <w:r w:rsidRPr="0005458D">
        <w:rPr>
          <w:rFonts w:ascii="Palatino Linotype" w:eastAsia="Palatino Linotype" w:hAnsi="Palatino Linotype" w:cs="Palatino Linotype"/>
          <w:b/>
        </w:rPr>
        <w:t xml:space="preserve"> de lo siguiente</w:t>
      </w:r>
      <w:r w:rsidRPr="0005458D">
        <w:rPr>
          <w:rFonts w:ascii="Palatino Linotype" w:eastAsia="Palatino Linotype" w:hAnsi="Palatino Linotype" w:cs="Palatino Linotype"/>
        </w:rPr>
        <w:t>:</w:t>
      </w:r>
    </w:p>
    <w:p w:rsidR="000554E4" w:rsidRPr="0005458D" w:rsidRDefault="0056136D">
      <w:pPr>
        <w:numPr>
          <w:ilvl w:val="0"/>
          <w:numId w:val="2"/>
        </w:numPr>
        <w:pBdr>
          <w:top w:val="nil"/>
          <w:left w:val="nil"/>
          <w:bottom w:val="nil"/>
          <w:right w:val="nil"/>
          <w:between w:val="nil"/>
        </w:pBdr>
        <w:ind w:left="567" w:right="709" w:firstLine="0"/>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b/>
          <w:i/>
          <w:sz w:val="22"/>
          <w:szCs w:val="22"/>
        </w:rPr>
        <w:t xml:space="preserve">El inventario de bienes inmuebles, remitido en informe justificado. </w:t>
      </w:r>
    </w:p>
    <w:p w:rsidR="000554E4" w:rsidRPr="0005458D" w:rsidRDefault="000554E4">
      <w:pPr>
        <w:pBdr>
          <w:top w:val="nil"/>
          <w:left w:val="nil"/>
          <w:bottom w:val="nil"/>
          <w:right w:val="nil"/>
          <w:between w:val="nil"/>
        </w:pBdr>
        <w:ind w:left="567" w:right="709"/>
        <w:jc w:val="both"/>
        <w:rPr>
          <w:rFonts w:ascii="Palatino Linotype" w:eastAsia="Palatino Linotype" w:hAnsi="Palatino Linotype" w:cs="Palatino Linotype"/>
          <w:b/>
          <w:i/>
        </w:rPr>
      </w:pPr>
    </w:p>
    <w:p w:rsidR="000554E4" w:rsidRPr="0005458D" w:rsidRDefault="0056136D">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05458D">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5458D">
        <w:rPr>
          <w:rFonts w:ascii="Palatino Linotype" w:eastAsia="Palatino Linotype" w:hAnsi="Palatino Linotype" w:cs="Palatino Linotype"/>
          <w:b/>
          <w:i/>
          <w:sz w:val="22"/>
          <w:szCs w:val="22"/>
        </w:rPr>
        <w:t>Recurrente</w:t>
      </w:r>
      <w:r w:rsidRPr="0005458D">
        <w:rPr>
          <w:rFonts w:ascii="Palatino Linotype" w:eastAsia="Palatino Linotype" w:hAnsi="Palatino Linotype" w:cs="Palatino Linotype"/>
          <w:i/>
          <w:sz w:val="22"/>
          <w:szCs w:val="22"/>
        </w:rPr>
        <w:t>.</w:t>
      </w:r>
    </w:p>
    <w:p w:rsidR="000554E4" w:rsidRPr="0005458D" w:rsidRDefault="0056136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 xml:space="preserve">Tercero. Notifíquese vía SAIMEX </w:t>
      </w:r>
      <w:r w:rsidRPr="0005458D">
        <w:rPr>
          <w:rFonts w:ascii="Palatino Linotype" w:eastAsia="Palatino Linotype" w:hAnsi="Palatino Linotype" w:cs="Palatino Linotype"/>
        </w:rPr>
        <w:t>al Titular de la Unidad de Transparencia del</w:t>
      </w:r>
      <w:r w:rsidRPr="0005458D">
        <w:rPr>
          <w:rFonts w:ascii="Palatino Linotype" w:eastAsia="Palatino Linotype" w:hAnsi="Palatino Linotype" w:cs="Palatino Linotype"/>
          <w:b/>
        </w:rPr>
        <w:t xml:space="preserve"> Sujeto Obligado</w:t>
      </w:r>
      <w:r w:rsidRPr="0005458D">
        <w:rPr>
          <w:rFonts w:ascii="Palatino Linotype" w:eastAsia="Palatino Linotype" w:hAnsi="Palatino Linotype" w:cs="Palatino Linotyp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554E4" w:rsidRPr="0005458D" w:rsidRDefault="0056136D">
      <w:pPr>
        <w:spacing w:before="240" w:after="240"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 xml:space="preserve">Cuarto. Notifíquese </w:t>
      </w:r>
      <w:r w:rsidRPr="0005458D">
        <w:rPr>
          <w:rFonts w:ascii="Palatino Linotype" w:eastAsia="Palatino Linotype" w:hAnsi="Palatino Linotype" w:cs="Palatino Linotype"/>
        </w:rPr>
        <w:t xml:space="preserve">a </w:t>
      </w:r>
      <w:r w:rsidRPr="0005458D">
        <w:rPr>
          <w:rFonts w:ascii="Palatino Linotype" w:eastAsia="Palatino Linotype" w:hAnsi="Palatino Linotype" w:cs="Palatino Linotype"/>
          <w:b/>
        </w:rPr>
        <w:t>la parte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Recurrente</w:t>
      </w:r>
      <w:r w:rsidRPr="0005458D">
        <w:rPr>
          <w:rFonts w:ascii="Palatino Linotype" w:eastAsia="Palatino Linotype" w:hAnsi="Palatino Linotype" w:cs="Palatino Linotype"/>
        </w:rPr>
        <w:t xml:space="preserve"> vía SAIMEX</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554E4" w:rsidRPr="0005458D" w:rsidRDefault="0056136D">
      <w:pPr>
        <w:spacing w:before="240" w:after="240" w:line="360" w:lineRule="auto"/>
        <w:ind w:right="49"/>
        <w:jc w:val="both"/>
        <w:rPr>
          <w:rFonts w:ascii="Palatino Linotype" w:eastAsia="Palatino Linotype" w:hAnsi="Palatino Linotype" w:cs="Palatino Linotype"/>
          <w:b/>
        </w:rPr>
      </w:pPr>
      <w:r w:rsidRPr="0005458D">
        <w:rPr>
          <w:rFonts w:ascii="Palatino Linotype" w:eastAsia="Palatino Linotype" w:hAnsi="Palatino Linotype" w:cs="Palatino Linotype"/>
          <w:b/>
        </w:rPr>
        <w:t>Quinto. Notifíquese,</w:t>
      </w:r>
      <w:r w:rsidRPr="0005458D">
        <w:rPr>
          <w:rFonts w:ascii="Palatino Linotype" w:eastAsia="Palatino Linotype" w:hAnsi="Palatino Linotype" w:cs="Palatino Linotype"/>
        </w:rPr>
        <w:t xml:space="preserve"> vía SAIMEX</w:t>
      </w:r>
      <w:r w:rsidRPr="0005458D">
        <w:rPr>
          <w:rFonts w:ascii="Palatino Linotype" w:eastAsia="Palatino Linotype" w:hAnsi="Palatino Linotype" w:cs="Palatino Linotype"/>
          <w:b/>
        </w:rPr>
        <w:t xml:space="preserve">, </w:t>
      </w:r>
      <w:r w:rsidRPr="0005458D">
        <w:rPr>
          <w:rFonts w:ascii="Palatino Linotype" w:eastAsia="Palatino Linotype" w:hAnsi="Palatino Linotype" w:cs="Palatino Linotype"/>
        </w:rPr>
        <w:t xml:space="preserve">a </w:t>
      </w:r>
      <w:r w:rsidRPr="0005458D">
        <w:rPr>
          <w:rFonts w:ascii="Palatino Linotype" w:eastAsia="Palatino Linotype" w:hAnsi="Palatino Linotype" w:cs="Palatino Linotype"/>
          <w:b/>
        </w:rPr>
        <w:t>la parte</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Recurrente</w:t>
      </w:r>
      <w:r w:rsidRPr="0005458D">
        <w:rPr>
          <w:rFonts w:ascii="Palatino Linotype" w:eastAsia="Palatino Linotype" w:hAnsi="Palatino Linotype" w:cs="Palatino Linotype"/>
        </w:rPr>
        <w:t xml:space="preserve"> que la respuesta que dé </w:t>
      </w:r>
      <w:r w:rsidRPr="0005458D">
        <w:rPr>
          <w:rFonts w:ascii="Palatino Linotype" w:eastAsia="Palatino Linotype" w:hAnsi="Palatino Linotype" w:cs="Palatino Linotype"/>
          <w:b/>
        </w:rPr>
        <w:t>el Sujeto Obligado</w:t>
      </w:r>
      <w:r w:rsidRPr="0005458D">
        <w:rPr>
          <w:rFonts w:ascii="Palatino Linotype" w:eastAsia="Palatino Linotype" w:hAnsi="Palatino Linotype" w:cs="Palatino Linotype"/>
        </w:rPr>
        <w:t xml:space="preserve"> derivada de la presente resolución es susceptibles de ser impugnada nuevamente, mediante recurso de revisión, ante el Instituto, en </w:t>
      </w:r>
      <w:r w:rsidRPr="0005458D">
        <w:rPr>
          <w:rFonts w:ascii="Palatino Linotype" w:eastAsia="Palatino Linotype" w:hAnsi="Palatino Linotype" w:cs="Palatino Linotype"/>
        </w:rPr>
        <w:lastRenderedPageBreak/>
        <w:t>términos del artículo 179, último párrafo de la Ley de Transparencia y Acceso a la Información Pública del Estado de México y Municipios.</w:t>
      </w:r>
    </w:p>
    <w:p w:rsidR="000554E4" w:rsidRPr="0005458D" w:rsidRDefault="0056136D">
      <w:pPr>
        <w:widowControl w:val="0"/>
        <w:tabs>
          <w:tab w:val="left" w:pos="1701"/>
        </w:tabs>
        <w:spacing w:before="240" w:line="360" w:lineRule="auto"/>
        <w:ind w:right="51"/>
        <w:jc w:val="both"/>
        <w:rPr>
          <w:rFonts w:ascii="Palatino Linotype" w:eastAsia="Palatino Linotype" w:hAnsi="Palatino Linotype" w:cs="Palatino Linotype"/>
        </w:rPr>
      </w:pPr>
      <w:r w:rsidRPr="0005458D">
        <w:rPr>
          <w:rFonts w:ascii="Palatino Linotype" w:eastAsia="Palatino Linotype" w:hAnsi="Palatino Linotype" w:cs="Palatino Linotype"/>
          <w:b/>
        </w:rPr>
        <w:t xml:space="preserve">Sexto. </w:t>
      </w:r>
      <w:r w:rsidRPr="0005458D">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sidRPr="0005458D">
        <w:rPr>
          <w:rFonts w:ascii="Palatino Linotype" w:eastAsia="Palatino Linotype" w:hAnsi="Palatino Linotype" w:cs="Palatino Linotype"/>
          <w:b/>
        </w:rPr>
        <w:t>Sujeto Obligado</w:t>
      </w:r>
      <w:r w:rsidRPr="0005458D">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05458D" w:rsidRDefault="0005458D">
      <w:pPr>
        <w:spacing w:line="360" w:lineRule="auto"/>
        <w:jc w:val="both"/>
        <w:rPr>
          <w:rFonts w:ascii="Palatino Linotype" w:eastAsia="Palatino Linotype" w:hAnsi="Palatino Linotype" w:cs="Palatino Linotype"/>
          <w:b/>
        </w:rPr>
      </w:pPr>
    </w:p>
    <w:p w:rsidR="000554E4" w:rsidRPr="0005458D" w:rsidRDefault="0056136D">
      <w:pPr>
        <w:spacing w:line="360" w:lineRule="auto"/>
        <w:jc w:val="both"/>
        <w:rPr>
          <w:rFonts w:ascii="Palatino Linotype" w:eastAsia="Palatino Linotype" w:hAnsi="Palatino Linotype" w:cs="Palatino Linotype"/>
        </w:rPr>
      </w:pPr>
      <w:r w:rsidRPr="0005458D">
        <w:rPr>
          <w:rFonts w:ascii="Palatino Linotype" w:eastAsia="Palatino Linotype" w:hAnsi="Palatino Linotype" w:cs="Palatino Linotype"/>
          <w:b/>
        </w:rPr>
        <w:t>Séptimo. Gírese</w:t>
      </w:r>
      <w:r w:rsidRPr="0005458D">
        <w:rPr>
          <w:rFonts w:ascii="Palatino Linotype" w:eastAsia="Palatino Linotype" w:hAnsi="Palatino Linotype" w:cs="Palatino Linotype"/>
        </w:rPr>
        <w:t xml:space="preserve"> oficio al </w:t>
      </w:r>
      <w:r w:rsidRPr="0005458D">
        <w:rPr>
          <w:rFonts w:ascii="Palatino Linotype" w:eastAsia="Palatino Linotype" w:hAnsi="Palatino Linotype" w:cs="Palatino Linotype"/>
          <w:b/>
        </w:rPr>
        <w:t>Contralor Interno y Órgano de Control y Vigilancia de este Instituto</w:t>
      </w:r>
      <w:r w:rsidRPr="0005458D">
        <w:rPr>
          <w:rFonts w:ascii="Palatino Linotype" w:eastAsia="Palatino Linotype" w:hAnsi="Palatino Linotype" w:cs="Palatino Linotype"/>
        </w:rPr>
        <w:t xml:space="preserve">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05458D">
        <w:rPr>
          <w:rFonts w:ascii="Palatino Linotype" w:eastAsia="Palatino Linotype" w:hAnsi="Palatino Linotype" w:cs="Palatino Linotype"/>
          <w:b/>
        </w:rPr>
        <w:t>Considerando</w:t>
      </w:r>
      <w:r w:rsidRPr="0005458D">
        <w:rPr>
          <w:rFonts w:ascii="Palatino Linotype" w:eastAsia="Palatino Linotype" w:hAnsi="Palatino Linotype" w:cs="Palatino Linotype"/>
        </w:rPr>
        <w:t xml:space="preserve"> </w:t>
      </w:r>
      <w:r w:rsidRPr="0005458D">
        <w:rPr>
          <w:rFonts w:ascii="Palatino Linotype" w:eastAsia="Palatino Linotype" w:hAnsi="Palatino Linotype" w:cs="Palatino Linotype"/>
          <w:b/>
        </w:rPr>
        <w:t>Cuarto</w:t>
      </w:r>
      <w:r w:rsidRPr="0005458D">
        <w:rPr>
          <w:rFonts w:ascii="Palatino Linotype" w:eastAsia="Palatino Linotype" w:hAnsi="Palatino Linotype" w:cs="Palatino Linotype"/>
        </w:rPr>
        <w:t xml:space="preserve"> de la presente resolución. </w:t>
      </w:r>
    </w:p>
    <w:p w:rsidR="000554E4" w:rsidRPr="0005458D" w:rsidRDefault="0056136D">
      <w:pPr>
        <w:spacing w:line="360" w:lineRule="auto"/>
        <w:ind w:right="49"/>
        <w:jc w:val="both"/>
        <w:rPr>
          <w:rFonts w:ascii="Palatino Linotype" w:eastAsia="Palatino Linotype" w:hAnsi="Palatino Linotype" w:cs="Palatino Linotype"/>
        </w:rPr>
        <w:sectPr w:rsidR="000554E4" w:rsidRPr="0005458D">
          <w:headerReference w:type="default" r:id="rId15"/>
          <w:footerReference w:type="default" r:id="rId16"/>
          <w:headerReference w:type="first" r:id="rId17"/>
          <w:footerReference w:type="first" r:id="rId18"/>
          <w:pgSz w:w="12240" w:h="15840"/>
          <w:pgMar w:top="1985" w:right="1892" w:bottom="1701" w:left="1701" w:header="709" w:footer="709" w:gutter="0"/>
          <w:pgNumType w:start="1"/>
          <w:cols w:space="720"/>
          <w:titlePg/>
        </w:sectPr>
      </w:pPr>
      <w:r w:rsidRPr="0005458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DE SEPTIEMBRE DE DOS MIL VEINTIDÓS, ANTE EL SECRETARIO TÉCNICO DEL PLENO ALEXIS TAPIA RAMÍREZ.</w:t>
      </w:r>
    </w:p>
    <w:p w:rsidR="000554E4" w:rsidRPr="0005458D" w:rsidRDefault="000554E4">
      <w:pPr>
        <w:spacing w:before="240" w:after="240" w:line="360" w:lineRule="auto"/>
        <w:jc w:val="both"/>
        <w:rPr>
          <w:rFonts w:ascii="Palatino Linotype" w:eastAsia="Palatino Linotype" w:hAnsi="Palatino Linotype" w:cs="Palatino Linotype"/>
        </w:rPr>
      </w:pPr>
    </w:p>
    <w:p w:rsidR="000554E4" w:rsidRPr="0005458D" w:rsidRDefault="000554E4">
      <w:pPr>
        <w:spacing w:before="240" w:after="240" w:line="360" w:lineRule="auto"/>
        <w:jc w:val="both"/>
        <w:rPr>
          <w:rFonts w:ascii="Palatino Linotype" w:eastAsia="Palatino Linotype" w:hAnsi="Palatino Linotype" w:cs="Palatino Linotype"/>
        </w:rPr>
      </w:pPr>
    </w:p>
    <w:sectPr w:rsidR="000554E4" w:rsidRPr="0005458D">
      <w:headerReference w:type="first" r:id="rId19"/>
      <w:pgSz w:w="12240" w:h="15840"/>
      <w:pgMar w:top="1985" w:right="1892"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011" w:rsidRDefault="00950011">
      <w:r>
        <w:separator/>
      </w:r>
    </w:p>
  </w:endnote>
  <w:endnote w:type="continuationSeparator" w:id="0">
    <w:p w:rsidR="00950011" w:rsidRDefault="0095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E4" w:rsidRDefault="0056136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30BF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30BFF">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0554E4" w:rsidRDefault="000554E4">
    <w:pPr>
      <w:pBdr>
        <w:top w:val="nil"/>
        <w:left w:val="nil"/>
        <w:bottom w:val="nil"/>
        <w:right w:val="nil"/>
        <w:between w:val="nil"/>
      </w:pBdr>
      <w:tabs>
        <w:tab w:val="center" w:pos="4252"/>
        <w:tab w:val="right" w:pos="8504"/>
      </w:tabs>
      <w:rPr>
        <w:color w:val="000000"/>
      </w:rPr>
    </w:pPr>
  </w:p>
  <w:p w:rsidR="000554E4" w:rsidRDefault="000554E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E4" w:rsidRDefault="0056136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30BF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30BFF">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0554E4" w:rsidRDefault="000554E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011" w:rsidRDefault="00950011">
      <w:r>
        <w:separator/>
      </w:r>
    </w:p>
  </w:footnote>
  <w:footnote w:type="continuationSeparator" w:id="0">
    <w:p w:rsidR="00950011" w:rsidRDefault="00950011">
      <w:r>
        <w:continuationSeparator/>
      </w:r>
    </w:p>
  </w:footnote>
  <w:footnote w:id="1">
    <w:p w:rsidR="000554E4" w:rsidRDefault="0056136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0554E4" w:rsidRDefault="0056136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E4" w:rsidRDefault="0056136D">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-450214</wp:posOffset>
          </wp:positionV>
          <wp:extent cx="7635163" cy="9944100"/>
          <wp:effectExtent l="0" t="0" r="0" b="0"/>
          <wp:wrapNone/>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4"/>
      <w:tblW w:w="5528" w:type="dxa"/>
      <w:tblInd w:w="3261" w:type="dxa"/>
      <w:tblLayout w:type="fixed"/>
      <w:tblLook w:val="0400" w:firstRow="0" w:lastRow="0" w:firstColumn="0" w:lastColumn="0" w:noHBand="0" w:noVBand="1"/>
    </w:tblPr>
    <w:tblGrid>
      <w:gridCol w:w="2552"/>
      <w:gridCol w:w="2976"/>
    </w:tblGrid>
    <w:tr w:rsidR="000554E4">
      <w:tc>
        <w:tcPr>
          <w:tcW w:w="2552"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0554E4" w:rsidRDefault="0056136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07904/INFOEM/IP/RR/2022</w:t>
          </w:r>
        </w:p>
      </w:tc>
    </w:tr>
    <w:tr w:rsidR="000554E4">
      <w:trPr>
        <w:trHeight w:val="228"/>
      </w:trPr>
      <w:tc>
        <w:tcPr>
          <w:tcW w:w="2552"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0554E4" w:rsidRDefault="0056136D">
          <w:pPr>
            <w:ind w:right="-398"/>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Teoloyucan</w:t>
          </w:r>
        </w:p>
      </w:tc>
    </w:tr>
    <w:tr w:rsidR="000554E4">
      <w:tc>
        <w:tcPr>
          <w:tcW w:w="2552"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0554E4" w:rsidRDefault="0056136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0554E4" w:rsidRDefault="0056136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E4" w:rsidRDefault="0056136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-955674</wp:posOffset>
          </wp:positionH>
          <wp:positionV relativeFrom="paragraph">
            <wp:posOffset>-361949</wp:posOffset>
          </wp:positionV>
          <wp:extent cx="7635600" cy="9943200"/>
          <wp:effectExtent l="0" t="0" r="0" b="0"/>
          <wp:wrapNone/>
          <wp:docPr id="3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38" w:type="dxa"/>
      <w:tblInd w:w="3119" w:type="dxa"/>
      <w:tblLayout w:type="fixed"/>
      <w:tblLook w:val="0400" w:firstRow="0" w:lastRow="0" w:firstColumn="0" w:lastColumn="0" w:noHBand="0" w:noVBand="1"/>
    </w:tblPr>
    <w:tblGrid>
      <w:gridCol w:w="2551"/>
      <w:gridCol w:w="3687"/>
    </w:tblGrid>
    <w:tr w:rsidR="000554E4">
      <w:tc>
        <w:tcPr>
          <w:tcW w:w="2551"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0554E4" w:rsidRDefault="0056136D">
          <w:pPr>
            <w:ind w:right="7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07904/INFOEM/IP/RR/2022 </w:t>
          </w:r>
        </w:p>
      </w:tc>
    </w:tr>
    <w:tr w:rsidR="000554E4">
      <w:tc>
        <w:tcPr>
          <w:tcW w:w="2551" w:type="dxa"/>
          <w:vAlign w:val="center"/>
        </w:tcPr>
        <w:p w:rsidR="000554E4" w:rsidRDefault="0056136D">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rsidR="000554E4" w:rsidRDefault="000554E4">
          <w:pPr>
            <w:ind w:right="460"/>
            <w:jc w:val="both"/>
            <w:rPr>
              <w:rFonts w:ascii="Palatino Linotype" w:eastAsia="Palatino Linotype" w:hAnsi="Palatino Linotype" w:cs="Palatino Linotype"/>
              <w:b/>
              <w:sz w:val="21"/>
              <w:szCs w:val="21"/>
            </w:rPr>
          </w:pPr>
        </w:p>
      </w:tc>
    </w:tr>
    <w:tr w:rsidR="000554E4">
      <w:trPr>
        <w:trHeight w:val="228"/>
      </w:trPr>
      <w:tc>
        <w:tcPr>
          <w:tcW w:w="2551"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0554E4" w:rsidRDefault="0056136D">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Teoloyucan</w:t>
          </w:r>
        </w:p>
      </w:tc>
    </w:tr>
    <w:tr w:rsidR="000554E4">
      <w:tc>
        <w:tcPr>
          <w:tcW w:w="2551" w:type="dxa"/>
          <w:vAlign w:val="center"/>
        </w:tcPr>
        <w:p w:rsidR="000554E4" w:rsidRDefault="0056136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0554E4" w:rsidRDefault="0056136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0554E4" w:rsidRDefault="000554E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E4" w:rsidRDefault="0056136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0554E4" w:rsidRDefault="000554E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96539"/>
    <w:multiLevelType w:val="multilevel"/>
    <w:tmpl w:val="FDAC5A6C"/>
    <w:lvl w:ilvl="0">
      <w:start w:val="1"/>
      <w:numFmt w:val="bullet"/>
      <w:lvlText w:val="-"/>
      <w:lvlJc w:val="left"/>
      <w:pPr>
        <w:ind w:left="927" w:hanging="360"/>
      </w:pPr>
      <w:rPr>
        <w:rFonts w:ascii="Palatino Linotype" w:eastAsia="Palatino Linotype" w:hAnsi="Palatino Linotype" w:cs="Palatino Linotype"/>
        <w:color w:val="00000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3C7B73BD"/>
    <w:multiLevelType w:val="multilevel"/>
    <w:tmpl w:val="EDC8B26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67A698E"/>
    <w:multiLevelType w:val="multilevel"/>
    <w:tmpl w:val="82AC7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475BB2"/>
    <w:multiLevelType w:val="multilevel"/>
    <w:tmpl w:val="0A084EB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E4"/>
    <w:rsid w:val="0005458D"/>
    <w:rsid w:val="000554E4"/>
    <w:rsid w:val="0056136D"/>
    <w:rsid w:val="006D42AF"/>
    <w:rsid w:val="00730BFF"/>
    <w:rsid w:val="00950011"/>
    <w:rsid w:val="00AF2E31"/>
    <w:rsid w:val="00D95C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7DFDB-9A21-47F7-A4FB-C553F344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0C"/>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rPr>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2">
    <w:name w:val="Tabla de lista 1 clara - Énfasis 12"/>
    <w:basedOn w:val="Tablanormal"/>
    <w:next w:val="Tabladelista1clara-nfasis1"/>
    <w:uiPriority w:val="46"/>
    <w:rsid w:val="00F35AA6"/>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3KknAIqr7V0D1q28Z2ACGAwqkg==">AMUW2mU9jFx2MBg0hQ0ZIA0jhB1jrcUaGjoq2uP7E7rAOvfIftUcK+hJieO8qUENTp2L3CXkAi6KMPJlqZwGFm6xF5qsGbQQLXLhzgqEvcKa7yUVvJf5ujkXfxZUf40H5xnOCkS4zGQ2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7809</Words>
  <Characters>42950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USUARIO</cp:lastModifiedBy>
  <cp:revision>2</cp:revision>
  <dcterms:created xsi:type="dcterms:W3CDTF">2022-10-05T15:23:00Z</dcterms:created>
  <dcterms:modified xsi:type="dcterms:W3CDTF">2022-10-05T15:23:00Z</dcterms:modified>
</cp:coreProperties>
</file>