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4BDB2" w14:textId="77777777" w:rsidR="00CD0BB1" w:rsidRDefault="00CB0D56">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58AE1A5F" w14:textId="22693199"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w:t>
      </w:r>
      <w:bookmarkStart w:id="1" w:name="_GoBack"/>
      <w:bookmarkEnd w:id="1"/>
      <w:r>
        <w:rPr>
          <w:rFonts w:ascii="Palatino Linotype" w:eastAsia="Palatino Linotype" w:hAnsi="Palatino Linotype" w:cs="Palatino Linotype"/>
        </w:rPr>
        <w:t xml:space="preserve"> expediente formado con motivo del recurso de revisión </w:t>
      </w:r>
      <w:r>
        <w:rPr>
          <w:rFonts w:ascii="Palatino Linotype" w:eastAsia="Palatino Linotype" w:hAnsi="Palatino Linotype" w:cs="Palatino Linotype"/>
          <w:b/>
        </w:rPr>
        <w:t>07784/INFOEM/IP/RR/2022</w:t>
      </w:r>
      <w:r>
        <w:rPr>
          <w:rFonts w:ascii="Palatino Linotype" w:eastAsia="Palatino Linotype" w:hAnsi="Palatino Linotype" w:cs="Palatino Linotype"/>
        </w:rPr>
        <w:t>, interpuesto por una persona usuaria del Sistema de Acceso a la Información (SAIMEX) que no proporcionó nombre o pseudónimo para ser identificado y</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Organismo Público Descentralizado para la Prestación de </w:t>
      </w:r>
      <w:r w:rsidR="00794BD3">
        <w:rPr>
          <w:rFonts w:ascii="Palatino Linotype" w:eastAsia="Palatino Linotype" w:hAnsi="Palatino Linotype" w:cs="Palatino Linotype"/>
          <w:b/>
        </w:rPr>
        <w:t>l</w:t>
      </w:r>
      <w:r>
        <w:rPr>
          <w:rFonts w:ascii="Palatino Linotype" w:eastAsia="Palatino Linotype" w:hAnsi="Palatino Linotype" w:cs="Palatino Linotype"/>
          <w:b/>
        </w:rPr>
        <w:t xml:space="preserve">os Servicios de Agua Potable Alcantarillado y Saneamiento del Municipio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2A369E02" w14:textId="77777777" w:rsidR="00CD0BB1" w:rsidRDefault="00CB0D56">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Pr>
          <w:rFonts w:ascii="Palatino Linotype" w:eastAsia="Palatino Linotype" w:hAnsi="Palatino Linotype" w:cs="Palatino Linotype"/>
          <w:b/>
        </w:rPr>
        <w:t>I. A N T E C E D E N T E S</w:t>
      </w:r>
    </w:p>
    <w:p w14:paraId="0C5870FF"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diecinueve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01179/OASMETEPEC/IP/2022, </w:t>
      </w:r>
      <w:r>
        <w:rPr>
          <w:rFonts w:ascii="Palatino Linotype" w:eastAsia="Palatino Linotype" w:hAnsi="Palatino Linotype" w:cs="Palatino Linotype"/>
        </w:rPr>
        <w:t xml:space="preserve">mediante la cual requirió la información siguiente: </w:t>
      </w:r>
    </w:p>
    <w:p w14:paraId="37F397F1" w14:textId="77777777" w:rsidR="00CD0BB1" w:rsidRDefault="00CB0D56">
      <w:pPr>
        <w:spacing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Pr>
          <w:rFonts w:ascii="Palatino Linotype" w:eastAsia="Palatino Linotype" w:hAnsi="Palatino Linotype" w:cs="Palatino Linotype"/>
          <w:i/>
          <w:sz w:val="22"/>
          <w:szCs w:val="22"/>
        </w:rPr>
        <w:lastRenderedPageBreak/>
        <w:t>“Se solicita conocer el monto de todos los egresos del organismo con fecha de 25 de Marzo de 2022 así como el documento probatorio de todos los conceptos de cada gasto realizado y la factura correspondiente” (Sic)</w:t>
      </w:r>
    </w:p>
    <w:p w14:paraId="1718BFF6" w14:textId="77777777" w:rsidR="00CD0BB1" w:rsidRDefault="00CD0BB1">
      <w:pPr>
        <w:spacing w:line="276" w:lineRule="auto"/>
        <w:ind w:left="851" w:right="616"/>
        <w:jc w:val="both"/>
        <w:rPr>
          <w:rFonts w:ascii="Palatino Linotype" w:eastAsia="Palatino Linotype" w:hAnsi="Palatino Linotype" w:cs="Palatino Linotype"/>
          <w:b/>
          <w:i/>
          <w:sz w:val="22"/>
          <w:szCs w:val="22"/>
        </w:rPr>
      </w:pPr>
    </w:p>
    <w:p w14:paraId="2B88F7D1"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4097D049" w14:textId="77777777" w:rsidR="00CD0BB1" w:rsidRDefault="00CB0D56">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once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1B1E65AD" w14:textId="77777777" w:rsidR="00CD0BB1" w:rsidRDefault="00CD0BB1">
      <w:pPr>
        <w:spacing w:line="360" w:lineRule="auto"/>
        <w:ind w:left="851" w:right="616"/>
        <w:jc w:val="both"/>
        <w:rPr>
          <w:rFonts w:ascii="Palatino Linotype" w:eastAsia="Palatino Linotype" w:hAnsi="Palatino Linotype" w:cs="Palatino Linotype"/>
          <w:i/>
          <w:sz w:val="22"/>
          <w:szCs w:val="22"/>
        </w:rPr>
      </w:pPr>
    </w:p>
    <w:p w14:paraId="782F5990" w14:textId="77777777" w:rsidR="00CD0BB1" w:rsidRDefault="00CB0D56">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respuesta a su solicitud</w:t>
      </w:r>
      <w:r>
        <w:rPr>
          <w:rFonts w:ascii="Palatino Linotype" w:eastAsia="Palatino Linotype" w:hAnsi="Palatino Linotype" w:cs="Palatino Linotype"/>
          <w:b/>
          <w:i/>
          <w:sz w:val="22"/>
          <w:szCs w:val="22"/>
        </w:rPr>
        <w:t>.” (</w:t>
      </w:r>
      <w:r>
        <w:rPr>
          <w:rFonts w:ascii="Palatino Linotype" w:eastAsia="Palatino Linotype" w:hAnsi="Palatino Linotype" w:cs="Palatino Linotype"/>
          <w:i/>
          <w:sz w:val="22"/>
          <w:szCs w:val="22"/>
        </w:rPr>
        <w:t>Sic)</w:t>
      </w:r>
    </w:p>
    <w:p w14:paraId="4B8BE099" w14:textId="77777777" w:rsidR="00CD0BB1" w:rsidRDefault="00CD0BB1">
      <w:pPr>
        <w:ind w:left="851" w:right="900"/>
        <w:jc w:val="both"/>
        <w:rPr>
          <w:rFonts w:ascii="Palatino Linotype" w:eastAsia="Palatino Linotype" w:hAnsi="Palatino Linotype" w:cs="Palatino Linotype"/>
          <w:i/>
          <w:sz w:val="22"/>
          <w:szCs w:val="22"/>
        </w:rPr>
      </w:pPr>
    </w:p>
    <w:p w14:paraId="50342E04" w14:textId="77777777" w:rsidR="00CD0BB1" w:rsidRDefault="00CB0D56">
      <w:pPr>
        <w:spacing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los archivos electrónicos descritos en el siguiente orden: </w:t>
      </w:r>
    </w:p>
    <w:p w14:paraId="7CD62086" w14:textId="77777777" w:rsidR="00CD0BB1" w:rsidRDefault="00CB0D56">
      <w:pPr>
        <w:numPr>
          <w:ilvl w:val="0"/>
          <w:numId w:val="1"/>
        </w:numPr>
        <w:pBdr>
          <w:top w:val="nil"/>
          <w:left w:val="nil"/>
          <w:bottom w:val="nil"/>
          <w:right w:val="nil"/>
          <w:between w:val="nil"/>
        </w:pBdr>
        <w:spacing w:line="360" w:lineRule="auto"/>
        <w:ind w:left="1134" w:right="900"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“1179.pdf”: </w:t>
      </w:r>
      <w:r>
        <w:rPr>
          <w:rFonts w:ascii="Palatino Linotype" w:eastAsia="Palatino Linotype" w:hAnsi="Palatino Linotype" w:cs="Palatino Linotype"/>
          <w:color w:val="000000"/>
        </w:rPr>
        <w:t xml:space="preserve">Contiene el memorándum No. OPDAPAS/SF/263/2022 del veintidós de abril de dos mil veintidós, suscrito y signado por el Subdirector de Finanzas por medio del cual, en su parte medular informó: </w:t>
      </w:r>
      <w:r>
        <w:rPr>
          <w:rFonts w:ascii="Palatino Linotype" w:eastAsia="Palatino Linotype" w:hAnsi="Palatino Linotype" w:cs="Palatino Linotype"/>
          <w:i/>
          <w:color w:val="000000"/>
        </w:rPr>
        <w:t xml:space="preserve">“de acuerdo a la información proporcionada por el Departamento de Contabilidad a través del memorándum OPDAPAS/DC/016/2022, se informa que los egresos realizados por este Organismo el día 25 de marzo de 2022, es la cantidad de $ 406,116.00 (Cuatrocientos seis mil ciento dieciséis pesos </w:t>
      </w:r>
      <w:r>
        <w:rPr>
          <w:rFonts w:ascii="Palatino Linotype" w:eastAsia="Palatino Linotype" w:hAnsi="Palatino Linotype" w:cs="Palatino Linotype"/>
          <w:i/>
          <w:color w:val="000000"/>
        </w:rPr>
        <w:lastRenderedPageBreak/>
        <w:t xml:space="preserve">00/100 M.N). </w:t>
      </w:r>
      <w:r>
        <w:rPr>
          <w:rFonts w:ascii="Palatino Linotype" w:eastAsia="Palatino Linotype" w:hAnsi="Palatino Linotype" w:cs="Palatino Linotype"/>
          <w:color w:val="000000"/>
        </w:rPr>
        <w:t xml:space="preserve">Memorandum al que adjuntó la factura con número de folio 234 por la cantidad de 406,116.00. </w:t>
      </w:r>
    </w:p>
    <w:p w14:paraId="3DAAA30D" w14:textId="77777777" w:rsidR="00CD0BB1" w:rsidRDefault="00CD0BB1">
      <w:pPr>
        <w:pBdr>
          <w:top w:val="nil"/>
          <w:left w:val="nil"/>
          <w:bottom w:val="nil"/>
          <w:right w:val="nil"/>
          <w:between w:val="nil"/>
        </w:pBdr>
        <w:spacing w:line="360" w:lineRule="auto"/>
        <w:ind w:left="1571" w:right="900"/>
        <w:jc w:val="both"/>
        <w:rPr>
          <w:rFonts w:ascii="Palatino Linotype" w:eastAsia="Palatino Linotype" w:hAnsi="Palatino Linotype" w:cs="Palatino Linotype"/>
          <w:b/>
          <w:i/>
          <w:color w:val="000000"/>
        </w:rPr>
      </w:pPr>
    </w:p>
    <w:p w14:paraId="563DF2A0" w14:textId="77777777" w:rsidR="00CD0BB1" w:rsidRDefault="00CB0D56">
      <w:pPr>
        <w:numPr>
          <w:ilvl w:val="0"/>
          <w:numId w:val="1"/>
        </w:numPr>
        <w:pBdr>
          <w:top w:val="nil"/>
          <w:left w:val="nil"/>
          <w:bottom w:val="nil"/>
          <w:right w:val="nil"/>
          <w:between w:val="nil"/>
        </w:pBdr>
        <w:spacing w:line="360" w:lineRule="auto"/>
        <w:ind w:left="1134" w:right="616"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“respuesta 1179.pdf”: </w:t>
      </w:r>
      <w:r>
        <w:rPr>
          <w:rFonts w:ascii="Palatino Linotype" w:eastAsia="Palatino Linotype" w:hAnsi="Palatino Linotype" w:cs="Palatino Linotype"/>
          <w:color w:val="000000"/>
        </w:rPr>
        <w:t xml:space="preserve">Se trata del oficio OPDAPAS/UT/831/2022 del nueve de mayo de dos mil veintidós, suscrito y signado por la Titular de la Unidad de Transparencia por medio del cual remitió el memorándum número OPDAPAS/SF/263/2022. </w:t>
      </w:r>
    </w:p>
    <w:p w14:paraId="2191DA37" w14:textId="77777777" w:rsidR="00CD0BB1" w:rsidRDefault="00CB0D5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once de mayo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736D2DA5" w14:textId="77777777" w:rsidR="00CD0BB1" w:rsidRDefault="00CB0D56">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3E7CFF96" w14:textId="77777777" w:rsidR="00CD0BB1" w:rsidRDefault="00CD0BB1">
      <w:pPr>
        <w:spacing w:line="360" w:lineRule="auto"/>
        <w:ind w:left="851" w:right="900"/>
        <w:jc w:val="both"/>
        <w:rPr>
          <w:rFonts w:ascii="Palatino Linotype" w:eastAsia="Palatino Linotype" w:hAnsi="Palatino Linotype" w:cs="Palatino Linotype"/>
          <w:i/>
          <w:sz w:val="2"/>
          <w:szCs w:val="2"/>
        </w:rPr>
      </w:pPr>
    </w:p>
    <w:p w14:paraId="5C660604" w14:textId="77777777" w:rsidR="00CD0BB1" w:rsidRDefault="00CB0D56">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14:paraId="5101B034" w14:textId="77777777" w:rsidR="00CD0BB1" w:rsidRDefault="00CD0BB1">
      <w:pPr>
        <w:spacing w:line="360" w:lineRule="auto"/>
        <w:ind w:right="616"/>
        <w:jc w:val="both"/>
        <w:rPr>
          <w:rFonts w:ascii="Palatino Linotype" w:eastAsia="Palatino Linotype" w:hAnsi="Palatino Linotype" w:cs="Palatino Linotype"/>
          <w:b/>
        </w:rPr>
      </w:pPr>
    </w:p>
    <w:p w14:paraId="48D1922F" w14:textId="77777777" w:rsidR="00CD0BB1" w:rsidRDefault="00CB0D56">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2AE1E001" w14:textId="77777777" w:rsidR="00CD0BB1" w:rsidRDefault="00CB0D56">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w:t>
      </w:r>
      <w:r>
        <w:rPr>
          <w:rFonts w:ascii="Palatino Linotype" w:eastAsia="Palatino Linotype" w:hAnsi="Palatino Linotype" w:cs="Palatino Linotype"/>
          <w:i/>
          <w:sz w:val="22"/>
          <w:szCs w:val="22"/>
        </w:rPr>
        <w:lastRenderedPageBreak/>
        <w:t xml:space="preserve">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w:t>
      </w:r>
      <w:r>
        <w:rPr>
          <w:rFonts w:ascii="Palatino Linotype" w:eastAsia="Palatino Linotype" w:hAnsi="Palatino Linotype" w:cs="Palatino Linotype"/>
          <w:i/>
          <w:sz w:val="22"/>
          <w:szCs w:val="22"/>
        </w:rPr>
        <w:lastRenderedPageBreak/>
        <w:t xml:space="preserve">177 de la ley en </w:t>
      </w:r>
      <w:r w:rsidRPr="00843332">
        <w:rPr>
          <w:rFonts w:ascii="Palatino Linotype" w:eastAsia="Palatino Linotype" w:hAnsi="Palatino Linotype" w:cs="Palatino Linotype"/>
          <w:i/>
          <w:sz w:val="22"/>
          <w:szCs w:val="22"/>
        </w:rPr>
        <w:t>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 (Sic)</w:t>
      </w:r>
    </w:p>
    <w:p w14:paraId="365B526B" w14:textId="77777777" w:rsidR="00CD0BB1" w:rsidRDefault="00CD0BB1">
      <w:pPr>
        <w:spacing w:line="360" w:lineRule="auto"/>
        <w:jc w:val="both"/>
        <w:rPr>
          <w:rFonts w:ascii="Palatino Linotype" w:eastAsia="Palatino Linotype" w:hAnsi="Palatino Linotype" w:cs="Palatino Linotype"/>
          <w:sz w:val="2"/>
          <w:szCs w:val="2"/>
        </w:rPr>
      </w:pPr>
    </w:p>
    <w:p w14:paraId="6875945B" w14:textId="77777777" w:rsidR="00CD0BB1" w:rsidRDefault="00CD0BB1">
      <w:pPr>
        <w:spacing w:line="360" w:lineRule="auto"/>
        <w:jc w:val="both"/>
        <w:rPr>
          <w:rFonts w:ascii="Palatino Linotype" w:eastAsia="Palatino Linotype" w:hAnsi="Palatino Linotype" w:cs="Palatino Linotype"/>
          <w:sz w:val="2"/>
          <w:szCs w:val="2"/>
        </w:rPr>
      </w:pPr>
    </w:p>
    <w:p w14:paraId="01C95DD3"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2521174F" w14:textId="77777777" w:rsidR="00CD0BB1" w:rsidRDefault="00CB0D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dieciséis de mayo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0187F943" w14:textId="77777777" w:rsidR="00CD0BB1" w:rsidRDefault="00CB0D5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rindió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realizó manifes</w:t>
      </w:r>
      <w:r w:rsidR="00843332">
        <w:rPr>
          <w:rFonts w:ascii="Palatino Linotype" w:eastAsia="Palatino Linotype" w:hAnsi="Palatino Linotype" w:cs="Palatino Linotype"/>
        </w:rPr>
        <w:t xml:space="preserve">taciones, no realizó alegatos, </w:t>
      </w:r>
      <w:r>
        <w:rPr>
          <w:rFonts w:ascii="Palatino Linotype" w:eastAsia="Palatino Linotype" w:hAnsi="Palatino Linotype" w:cs="Palatino Linotype"/>
        </w:rPr>
        <w:t xml:space="preserve">ni ofreció algún medio de prueba. </w:t>
      </w:r>
    </w:p>
    <w:p w14:paraId="5872355D" w14:textId="77777777" w:rsidR="00CD0BB1" w:rsidRDefault="00CB0D5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6F47459F" wp14:editId="1C46D6E1">
            <wp:extent cx="5612130" cy="1573530"/>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573530"/>
                    </a:xfrm>
                    <a:prstGeom prst="rect">
                      <a:avLst/>
                    </a:prstGeom>
                    <a:ln/>
                  </pic:spPr>
                </pic:pic>
              </a:graphicData>
            </a:graphic>
          </wp:inline>
        </w:drawing>
      </w:r>
    </w:p>
    <w:p w14:paraId="30760934" w14:textId="77777777" w:rsidR="00CD0BB1" w:rsidRDefault="00CB0D5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tres de agosto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B4BDBB8" w14:textId="77777777" w:rsidR="00CD0BB1" w:rsidRDefault="00CB0D5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tres de agosto de dos mil veintidós</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6838F4CA"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6C13C624" w14:textId="77777777" w:rsidR="00CD0BB1" w:rsidRDefault="00CD0BB1">
      <w:pPr>
        <w:spacing w:line="360" w:lineRule="auto"/>
        <w:jc w:val="both"/>
        <w:rPr>
          <w:rFonts w:ascii="Palatino Linotype" w:eastAsia="Palatino Linotype" w:hAnsi="Palatino Linotype" w:cs="Palatino Linotype"/>
        </w:rPr>
      </w:pPr>
    </w:p>
    <w:p w14:paraId="4DA54E56"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9BB0B70" w14:textId="77777777" w:rsidR="00CD0BB1" w:rsidRDefault="00CD0BB1">
      <w:pPr>
        <w:spacing w:line="360" w:lineRule="auto"/>
        <w:jc w:val="both"/>
        <w:rPr>
          <w:rFonts w:ascii="Palatino Linotype" w:eastAsia="Palatino Linotype" w:hAnsi="Palatino Linotype" w:cs="Palatino Linotype"/>
        </w:rPr>
      </w:pPr>
    </w:p>
    <w:p w14:paraId="77B2AB7D"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69D884" w14:textId="77777777" w:rsidR="00CD0BB1" w:rsidRDefault="00CD0BB1">
      <w:pPr>
        <w:spacing w:line="360" w:lineRule="auto"/>
        <w:jc w:val="both"/>
        <w:rPr>
          <w:rFonts w:ascii="Palatino Linotype" w:eastAsia="Palatino Linotype" w:hAnsi="Palatino Linotype" w:cs="Palatino Linotype"/>
        </w:rPr>
      </w:pPr>
    </w:p>
    <w:p w14:paraId="23A40E68"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C96613" w14:textId="77777777" w:rsidR="00CD0BB1" w:rsidRDefault="00CD0BB1">
      <w:pPr>
        <w:spacing w:line="360" w:lineRule="auto"/>
        <w:jc w:val="both"/>
        <w:rPr>
          <w:rFonts w:ascii="Palatino Linotype" w:eastAsia="Palatino Linotype" w:hAnsi="Palatino Linotype" w:cs="Palatino Linotype"/>
        </w:rPr>
      </w:pPr>
    </w:p>
    <w:p w14:paraId="345DCCE1" w14:textId="77777777" w:rsidR="00CD0BB1" w:rsidRDefault="00CB0D5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D89B5BF" w14:textId="77777777" w:rsidR="00CD0BB1" w:rsidRDefault="00CD0BB1">
      <w:pPr>
        <w:spacing w:line="360" w:lineRule="auto"/>
        <w:jc w:val="both"/>
        <w:rPr>
          <w:rFonts w:ascii="Palatino Linotype" w:eastAsia="Palatino Linotype" w:hAnsi="Palatino Linotype" w:cs="Palatino Linotype"/>
        </w:rPr>
      </w:pPr>
    </w:p>
    <w:p w14:paraId="770E2A57" w14:textId="77777777" w:rsidR="00CD0BB1" w:rsidRDefault="00CB0D56">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57B3028" w14:textId="77777777" w:rsidR="00CD0BB1" w:rsidRDefault="00CD0BB1">
      <w:pPr>
        <w:spacing w:line="360" w:lineRule="auto"/>
        <w:ind w:left="927"/>
        <w:jc w:val="both"/>
        <w:rPr>
          <w:rFonts w:ascii="Palatino Linotype" w:eastAsia="Palatino Linotype" w:hAnsi="Palatino Linotype" w:cs="Palatino Linotype"/>
        </w:rPr>
      </w:pPr>
    </w:p>
    <w:p w14:paraId="11F365BF" w14:textId="77777777" w:rsidR="00CD0BB1" w:rsidRDefault="00CB0D56">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41930390" w14:textId="77777777" w:rsidR="00CD0BB1" w:rsidRDefault="00CD0BB1">
      <w:pPr>
        <w:spacing w:line="360" w:lineRule="auto"/>
        <w:jc w:val="both"/>
        <w:rPr>
          <w:rFonts w:ascii="Palatino Linotype" w:eastAsia="Palatino Linotype" w:hAnsi="Palatino Linotype" w:cs="Palatino Linotype"/>
        </w:rPr>
      </w:pPr>
    </w:p>
    <w:p w14:paraId="3FFC877A" w14:textId="77777777" w:rsidR="00CD0BB1" w:rsidRDefault="00CB0D56">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55E616D4" w14:textId="77777777" w:rsidR="00CD0BB1" w:rsidRDefault="00CD0BB1">
      <w:pPr>
        <w:spacing w:line="360" w:lineRule="auto"/>
        <w:ind w:left="708"/>
        <w:rPr>
          <w:rFonts w:ascii="Palatino Linotype" w:eastAsia="Palatino Linotype" w:hAnsi="Palatino Linotype" w:cs="Palatino Linotype"/>
        </w:rPr>
      </w:pPr>
    </w:p>
    <w:p w14:paraId="7706B61A" w14:textId="77777777" w:rsidR="00CD0BB1" w:rsidRDefault="00CB0D5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578503A6" w14:textId="77777777" w:rsidR="00CD0BB1" w:rsidRDefault="00CD0BB1">
      <w:pPr>
        <w:spacing w:line="360" w:lineRule="auto"/>
        <w:jc w:val="both"/>
        <w:rPr>
          <w:rFonts w:ascii="Palatino Linotype" w:eastAsia="Palatino Linotype" w:hAnsi="Palatino Linotype" w:cs="Palatino Linotype"/>
        </w:rPr>
      </w:pPr>
    </w:p>
    <w:p w14:paraId="24E9C90E"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rPr>
        <w:lastRenderedPageBreak/>
        <w:t>relación con la actuación del funcionario, como ha acontecido en el caso que nos ocupa.</w:t>
      </w:r>
    </w:p>
    <w:p w14:paraId="37D2D815" w14:textId="77777777" w:rsidR="00CD0BB1" w:rsidRDefault="00CD0BB1">
      <w:pPr>
        <w:spacing w:line="360" w:lineRule="auto"/>
        <w:jc w:val="both"/>
        <w:rPr>
          <w:rFonts w:ascii="Palatino Linotype" w:eastAsia="Palatino Linotype" w:hAnsi="Palatino Linotype" w:cs="Palatino Linotype"/>
        </w:rPr>
      </w:pPr>
    </w:p>
    <w:p w14:paraId="2EB867BC" w14:textId="77777777" w:rsidR="00CD0BB1" w:rsidRDefault="00CB0D5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370636C" w14:textId="77777777" w:rsidR="00CD0BB1" w:rsidRDefault="00CD0BB1">
      <w:pPr>
        <w:spacing w:line="360" w:lineRule="auto"/>
        <w:jc w:val="both"/>
        <w:rPr>
          <w:rFonts w:ascii="Palatino Linotype" w:eastAsia="Palatino Linotype" w:hAnsi="Palatino Linotype" w:cs="Palatino Linotype"/>
        </w:rPr>
      </w:pPr>
    </w:p>
    <w:p w14:paraId="39A3150E"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6B8670"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811540C" w14:textId="77777777" w:rsidR="00CD0BB1" w:rsidRDefault="00CD0BB1">
      <w:pPr>
        <w:spacing w:line="360" w:lineRule="auto"/>
        <w:jc w:val="both"/>
        <w:rPr>
          <w:rFonts w:ascii="Palatino Linotype" w:eastAsia="Palatino Linotype" w:hAnsi="Palatino Linotype" w:cs="Palatino Linotype"/>
        </w:rPr>
      </w:pPr>
    </w:p>
    <w:p w14:paraId="4BD236A3"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5A86E2CE" w14:textId="77777777" w:rsidR="00CD0BB1" w:rsidRDefault="00CD0BB1">
      <w:pPr>
        <w:spacing w:line="360" w:lineRule="auto"/>
        <w:jc w:val="both"/>
        <w:rPr>
          <w:rFonts w:ascii="Palatino Linotype" w:eastAsia="Palatino Linotype" w:hAnsi="Palatino Linotype" w:cs="Palatino Linotype"/>
          <w:b/>
        </w:rPr>
      </w:pPr>
    </w:p>
    <w:p w14:paraId="03B7DFA4"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400B5225" w14:textId="77777777" w:rsidR="00CD0BB1" w:rsidRDefault="00CD0BB1">
      <w:pPr>
        <w:spacing w:line="360" w:lineRule="auto"/>
        <w:jc w:val="both"/>
        <w:rPr>
          <w:rFonts w:ascii="Palatino Linotype" w:eastAsia="Palatino Linotype" w:hAnsi="Palatino Linotype" w:cs="Palatino Linotype"/>
        </w:rPr>
      </w:pPr>
    </w:p>
    <w:p w14:paraId="0D5B3ECB"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084B410" w14:textId="77777777" w:rsidR="00CD0BB1" w:rsidRDefault="00CB0D56">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7DFC73C5" w14:textId="77777777" w:rsidR="00CD0BB1" w:rsidRDefault="00CD0BB1">
      <w:pPr>
        <w:widowControl w:val="0"/>
        <w:spacing w:before="240" w:after="240" w:line="360" w:lineRule="auto"/>
        <w:jc w:val="both"/>
        <w:rPr>
          <w:rFonts w:ascii="Palatino Linotype" w:eastAsia="Palatino Linotype" w:hAnsi="Palatino Linotype" w:cs="Palatino Linotype"/>
          <w:b/>
        </w:rPr>
      </w:pPr>
    </w:p>
    <w:p w14:paraId="58F241FB" w14:textId="77777777" w:rsidR="00CD0BB1" w:rsidRDefault="00CB0D56">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14:paraId="60DA1179"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8DD4040" w14:textId="77777777" w:rsidR="00CD0BB1" w:rsidRDefault="00CB0D56">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F6A34D" w14:textId="77777777" w:rsidR="00CD0BB1" w:rsidRDefault="00CB0D5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respondió a la solicitud de información el </w:t>
      </w:r>
      <w:r>
        <w:rPr>
          <w:rFonts w:ascii="Palatino Linotype" w:eastAsia="Palatino Linotype" w:hAnsi="Palatino Linotype" w:cs="Palatino Linotype"/>
          <w:b/>
        </w:rPr>
        <w:t xml:space="preserve">once de mayo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once de mayo de dos mil veintidós</w:t>
      </w:r>
      <w:r>
        <w:rPr>
          <w:rFonts w:ascii="Palatino Linotype" w:eastAsia="Palatino Linotype" w:hAnsi="Palatino Linotype" w:cs="Palatino Linotype"/>
        </w:rPr>
        <w:t>, esto es, el mismo día hábil posterior en que tuvo conocimiento de la respuesta impugnada.</w:t>
      </w:r>
    </w:p>
    <w:p w14:paraId="72E3A8D2"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2D0770D"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27403D1" w14:textId="77777777" w:rsidR="00CD0BB1" w:rsidRDefault="00CB0D5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w:t>
      </w:r>
    </w:p>
    <w:p w14:paraId="27C33774" w14:textId="77777777" w:rsidR="00CD0BB1" w:rsidRDefault="00CB0D5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7331E68"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223746" w14:textId="77777777" w:rsidR="00CD0BB1" w:rsidRDefault="00CB0D56">
      <w:pPr>
        <w:spacing w:before="240" w:after="240" w:line="276" w:lineRule="auto"/>
        <w:ind w:left="566"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EAF5ACF" w14:textId="77777777" w:rsidR="00CD0BB1" w:rsidRDefault="00CB0D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583BA3FE"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XIII del ordenamiento legal citado, que a la letra dice: </w:t>
      </w:r>
    </w:p>
    <w:p w14:paraId="030F3D97" w14:textId="77777777" w:rsidR="00CD0BB1" w:rsidRDefault="00CB0D56">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ABA760F" w14:textId="77777777" w:rsidR="00CD0BB1" w:rsidRDefault="00CB0D5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5E502419" w14:textId="77777777" w:rsidR="00CD0BB1" w:rsidRDefault="00CB0D5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XIII. </w:t>
      </w:r>
      <w:r>
        <w:rPr>
          <w:rFonts w:ascii="Palatino Linotype" w:eastAsia="Palatino Linotype" w:hAnsi="Palatino Linotype" w:cs="Palatino Linotype"/>
          <w:i/>
          <w:sz w:val="22"/>
          <w:szCs w:val="22"/>
        </w:rPr>
        <w:t xml:space="preserve">La falta, deficiencia o insuficiencia de la fundamentación y/o motivación de la respuesta; y, </w:t>
      </w:r>
    </w:p>
    <w:p w14:paraId="4385AD39" w14:textId="77777777" w:rsidR="00CD0BB1" w:rsidRDefault="00CB0D5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7A532AE3" w14:textId="77777777" w:rsidR="00CD0BB1" w:rsidRDefault="00CB0D5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63A135BB"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Estudio del asunto. E</w:t>
      </w:r>
      <w:r>
        <w:rPr>
          <w:rFonts w:ascii="Palatino Linotype" w:eastAsia="Palatino Linotype" w:hAnsi="Palatino Linotype" w:cs="Palatino Linotype"/>
        </w:rPr>
        <w:t xml:space="preserv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w:t>
      </w:r>
      <w:r>
        <w:rPr>
          <w:rFonts w:ascii="Palatino Linotype" w:eastAsia="Palatino Linotype" w:hAnsi="Palatino Linotype" w:cs="Palatino Linotype"/>
        </w:rPr>
        <w:lastRenderedPageBreak/>
        <w:t>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A973D19"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70FACB7"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61D102" w14:textId="77777777" w:rsidR="00CD0BB1" w:rsidRDefault="00CD0BB1">
      <w:pPr>
        <w:ind w:left="851" w:right="899"/>
        <w:jc w:val="both"/>
        <w:rPr>
          <w:rFonts w:ascii="Palatino Linotype" w:eastAsia="Palatino Linotype" w:hAnsi="Palatino Linotype" w:cs="Palatino Linotype"/>
          <w:i/>
        </w:rPr>
      </w:pPr>
    </w:p>
    <w:p w14:paraId="369BFC1D" w14:textId="77777777" w:rsidR="00CD0BB1" w:rsidRDefault="00CB0D5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1923BBD4" w14:textId="77777777" w:rsidR="00CD0BB1" w:rsidRDefault="00CB0D5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AE97EF3" w14:textId="77777777" w:rsidR="00CD0BB1" w:rsidRDefault="00CB0D5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AB7D5F8" w14:textId="77777777" w:rsidR="00CD0BB1" w:rsidRDefault="00CD0BB1">
      <w:pPr>
        <w:ind w:left="851" w:right="899"/>
        <w:jc w:val="both"/>
        <w:rPr>
          <w:rFonts w:ascii="Palatino Linotype" w:eastAsia="Palatino Linotype" w:hAnsi="Palatino Linotype" w:cs="Palatino Linotype"/>
          <w:sz w:val="22"/>
          <w:szCs w:val="22"/>
        </w:rPr>
      </w:pPr>
    </w:p>
    <w:p w14:paraId="39984C95"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BEC087" w14:textId="77777777" w:rsidR="00CD0BB1" w:rsidRDefault="00CD0BB1">
      <w:pPr>
        <w:ind w:left="851" w:right="899"/>
        <w:jc w:val="both"/>
        <w:rPr>
          <w:rFonts w:ascii="Palatino Linotype" w:eastAsia="Palatino Linotype" w:hAnsi="Palatino Linotype" w:cs="Palatino Linotype"/>
        </w:rPr>
      </w:pPr>
    </w:p>
    <w:p w14:paraId="0AECD110" w14:textId="77777777" w:rsidR="00CD0BB1" w:rsidRDefault="00CB0D56">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3A1D1A5F" w14:textId="77777777" w:rsidR="00CD0BB1" w:rsidRDefault="00CB0D5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8973E6" w14:textId="77777777" w:rsidR="00CD0BB1" w:rsidRDefault="00CB0D5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92FF9AC" w14:textId="77777777" w:rsidR="00CD0BB1" w:rsidRDefault="00CB0D5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08A2163" w14:textId="77777777" w:rsidR="00CD0BB1" w:rsidRDefault="00CB0D56">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0E2FAE02" w14:textId="77777777" w:rsidR="00CD0BB1" w:rsidRDefault="00CB0D56">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6332A70" w14:textId="77777777" w:rsidR="00CD0BB1" w:rsidRDefault="00CB0D56">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EFEEDF"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26AB8EDF" w14:textId="77777777" w:rsidR="00CD0BB1" w:rsidRDefault="00CB0D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Precisado lo anterior se tiene del análisis de la solicitud de información, motivo del recurso de revisión que ahora se resuelve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r>
        <w:t>:</w:t>
      </w:r>
    </w:p>
    <w:p w14:paraId="1E94BAC9" w14:textId="77777777" w:rsidR="00CD0BB1" w:rsidRDefault="00CB0D56">
      <w:pPr>
        <w:tabs>
          <w:tab w:val="left" w:pos="7513"/>
        </w:tabs>
        <w:spacing w:line="360" w:lineRule="auto"/>
        <w:ind w:left="567"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Monto de todos los egresos del Organismo el 25 de marzo de 2022; así como el documento probatorio de todos los conceptos de cada gasto realizado y la factura correspondiente. </w:t>
      </w:r>
    </w:p>
    <w:p w14:paraId="4ACE6638" w14:textId="77777777" w:rsidR="00CD0BB1" w:rsidRDefault="00CD0BB1">
      <w:pPr>
        <w:tabs>
          <w:tab w:val="left" w:pos="7513"/>
        </w:tabs>
        <w:spacing w:line="360" w:lineRule="auto"/>
        <w:ind w:right="49"/>
        <w:jc w:val="both"/>
        <w:rPr>
          <w:rFonts w:ascii="Palatino Linotype" w:eastAsia="Palatino Linotype" w:hAnsi="Palatino Linotype" w:cs="Palatino Linotype"/>
          <w:color w:val="000000"/>
        </w:rPr>
      </w:pPr>
    </w:p>
    <w:p w14:paraId="6B344AD5" w14:textId="77777777" w:rsidR="00CD0BB1" w:rsidRDefault="00CB0D56">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que los egresos realizados por el Organismo el 25 de marzo de 2022, es la cantidad de $406,116.00 (Cuatrocientos seis mil ciento dieciséis pesos 11/100 M.N.); asimismo, remitió la factura con número de folio 234, por la cantidad referida por el Subdirector de Finanzas y en la que se advierte el concepto del gasto. </w:t>
      </w:r>
    </w:p>
    <w:p w14:paraId="5027BB13" w14:textId="77777777" w:rsidR="00CD0BB1" w:rsidRDefault="00CB0D56">
      <w:pPr>
        <w:spacing w:before="240" w:after="240" w:line="360" w:lineRule="auto"/>
        <w:jc w:val="both"/>
      </w:pPr>
      <w:r>
        <w:rPr>
          <w:rFonts w:ascii="Palatino Linotype" w:eastAsia="Palatino Linotype" w:hAnsi="Palatino Linotype" w:cs="Palatino Linotype"/>
          <w:color w:val="000000"/>
        </w:rPr>
        <w:t>Ante ello es necesario traer a colación lo establecido por el artículo 162 de la Ley de Transparencia y Acceso a la Información Pública del Estado de México y Municipios, que literalmente refiere:</w:t>
      </w:r>
    </w:p>
    <w:p w14:paraId="1F409EBF" w14:textId="77777777" w:rsidR="00CD0BB1" w:rsidRDefault="00CB0D56">
      <w:pPr>
        <w:spacing w:before="240" w:after="24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162</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Las unidades de transparencia deberán garantizar que las solicitudes se turnen a todas las Áreas competentes que cuenten con la información o deban tenerla de acuerdo a sus facultades, competencias y </w:t>
      </w:r>
      <w:r>
        <w:rPr>
          <w:rFonts w:ascii="Palatino Linotype" w:eastAsia="Palatino Linotype" w:hAnsi="Palatino Linotype" w:cs="Palatino Linotype"/>
          <w:b/>
          <w:i/>
          <w:color w:val="000000"/>
          <w:sz w:val="22"/>
          <w:szCs w:val="22"/>
        </w:rPr>
        <w:lastRenderedPageBreak/>
        <w:t>funciones</w:t>
      </w:r>
      <w:r>
        <w:rPr>
          <w:rFonts w:ascii="Palatino Linotype" w:eastAsia="Palatino Linotype" w:hAnsi="Palatino Linotype" w:cs="Palatino Linotype"/>
          <w:i/>
          <w:color w:val="000000"/>
          <w:sz w:val="22"/>
          <w:szCs w:val="22"/>
        </w:rPr>
        <w:t>, con el objeto de que realicen una búsqueda exhaustiva y razonable de la información solicitada.”</w:t>
      </w:r>
    </w:p>
    <w:p w14:paraId="0D16CCDF" w14:textId="77777777" w:rsidR="00CD0BB1" w:rsidRDefault="00CB0D56">
      <w:pPr>
        <w:spacing w:before="240" w:after="240" w:line="360" w:lineRule="auto"/>
        <w:jc w:val="both"/>
      </w:pPr>
      <w:r>
        <w:rPr>
          <w:rFonts w:ascii="Palatino Linotype" w:eastAsia="Palatino Linotype" w:hAnsi="Palatino Linotype" w:cs="Palatino Linotype"/>
          <w:color w:val="000000"/>
        </w:rPr>
        <w:t>Del dispositivo normativo citado se desprende que con el fin de garantizar la atención al derecho de acceso a la información pública, es necesario que los Sujetos Obligados turnen la solicitud de información a todas sus áreas competentes que cuenten con la información  o que deban tenerla en razón de sus competencias, facultades y funciones. </w:t>
      </w:r>
    </w:p>
    <w:p w14:paraId="3EBE456D" w14:textId="77777777" w:rsidR="00CD0BB1" w:rsidRDefault="00CB0D56">
      <w:pPr>
        <w:spacing w:before="240" w:after="240" w:line="360" w:lineRule="auto"/>
        <w:jc w:val="both"/>
      </w:pPr>
      <w:r>
        <w:rPr>
          <w:rFonts w:ascii="Palatino Linotype" w:eastAsia="Palatino Linotype" w:hAnsi="Palatino Linotype" w:cs="Palatino Linotype"/>
          <w:color w:val="000000"/>
        </w:rPr>
        <w:t>Al respecto cabe hacer mención que de conformidad a los artículos 50 y 51 de la Ley de Transparencia vigente en la Entidad, los Sujetos Obligados cuentan con un área responsable para la atención de las solicitudes de información denominada Unidad de Transparencia siendo parte de sus atribuciones tramitar internamente las solicitudes de información con efectividad para dar atención a las mismas, de ahí que en el artículo 53, fracción II de la misma Ley en consulta se indique claramente que son funciones recibir, tramitar y dar respuesta a las solicitudes de acceso a la información.</w:t>
      </w:r>
    </w:p>
    <w:p w14:paraId="247A4C34" w14:textId="77777777" w:rsidR="00CD0BB1" w:rsidRDefault="00CB0D5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esta lógica,  se advierte que el pronunciamiento al requerimiento de la solicitud de información fue expuesto por el área  que tiene competencia pues según el expediente electrónico generado en el SAIMEX y las constancias remitidas en repuesta, se puede advertir que la Unidad de Transparencia  turnó la solicitud a la Subdirección de </w:t>
      </w:r>
      <w:r w:rsidR="00843332">
        <w:rPr>
          <w:rFonts w:ascii="Palatino Linotype" w:eastAsia="Palatino Linotype" w:hAnsi="Palatino Linotype" w:cs="Palatino Linotype"/>
          <w:color w:val="000000"/>
        </w:rPr>
        <w:t>Fianzas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quien le remitió la información </w:t>
      </w:r>
      <w:r>
        <w:rPr>
          <w:rFonts w:ascii="Palatino Linotype" w:eastAsia="Palatino Linotype" w:hAnsi="Palatino Linotype" w:cs="Palatino Linotype"/>
        </w:rPr>
        <w:t xml:space="preserve">que corresponde con lo solicitado y de la cual se puede advertir </w:t>
      </w:r>
      <w:r>
        <w:rPr>
          <w:rFonts w:ascii="Palatino Linotype" w:eastAsia="Palatino Linotype" w:hAnsi="Palatino Linotype" w:cs="Palatino Linotype"/>
          <w:color w:val="000000"/>
        </w:rPr>
        <w:t xml:space="preserve"> el monto de los egresos del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 xml:space="preserve">OBLIGADO </w:t>
      </w:r>
      <w:r>
        <w:rPr>
          <w:rFonts w:ascii="Palatino Linotype" w:eastAsia="Palatino Linotype" w:hAnsi="Palatino Linotype" w:cs="Palatino Linotype"/>
          <w:color w:val="000000"/>
        </w:rPr>
        <w:t xml:space="preserve">con fecha 25 de marzo de 2022, así como, la factura que constituye el documento probatorio  y en la que se advierte el concepto del gasto realizado, tal como se aprecia en las imágenes que se insertan a continuación. </w:t>
      </w:r>
    </w:p>
    <w:p w14:paraId="02CA260F" w14:textId="77777777" w:rsidR="00CD0BB1" w:rsidRDefault="00CB0D56">
      <w:pPr>
        <w:spacing w:before="240" w:after="240" w:line="360" w:lineRule="auto"/>
        <w:jc w:val="both"/>
      </w:pPr>
      <w:r>
        <w:rPr>
          <w:rFonts w:ascii="Palatino Linotype" w:eastAsia="Palatino Linotype" w:hAnsi="Palatino Linotype" w:cs="Palatino Linotype"/>
          <w:noProof/>
          <w:lang w:val="es-MX"/>
        </w:rPr>
        <w:drawing>
          <wp:inline distT="0" distB="0" distL="0" distR="0" wp14:anchorId="64AE41CA" wp14:editId="0C1ECA3D">
            <wp:extent cx="5565909" cy="4695525"/>
            <wp:effectExtent l="12700" t="12700" r="12700" b="1270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65909" cy="4695525"/>
                    </a:xfrm>
                    <a:prstGeom prst="rect">
                      <a:avLst/>
                    </a:prstGeom>
                    <a:ln w="12700">
                      <a:solidFill>
                        <a:srgbClr val="000000"/>
                      </a:solidFill>
                      <a:prstDash val="solid"/>
                    </a:ln>
                  </pic:spPr>
                </pic:pic>
              </a:graphicData>
            </a:graphic>
          </wp:inline>
        </w:drawing>
      </w:r>
      <w:r>
        <w:rPr>
          <w:rFonts w:ascii="Palatino Linotype" w:eastAsia="Palatino Linotype" w:hAnsi="Palatino Linotype" w:cs="Palatino Linotype"/>
        </w:rPr>
        <w:t xml:space="preserve"> </w:t>
      </w:r>
    </w:p>
    <w:p w14:paraId="2022C5A6" w14:textId="77777777" w:rsidR="00CD0BB1" w:rsidRDefault="00CB0D5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14:anchorId="14413033" wp14:editId="23E2C42F">
            <wp:extent cx="5612130" cy="6803390"/>
            <wp:effectExtent l="12700" t="12700" r="12700" b="127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6803390"/>
                    </a:xfrm>
                    <a:prstGeom prst="rect">
                      <a:avLst/>
                    </a:prstGeom>
                    <a:ln w="12700">
                      <a:solidFill>
                        <a:srgbClr val="000000"/>
                      </a:solidFill>
                      <a:prstDash val="solid"/>
                    </a:ln>
                  </pic:spPr>
                </pic:pic>
              </a:graphicData>
            </a:graphic>
          </wp:inline>
        </w:drawing>
      </w:r>
    </w:p>
    <w:p w14:paraId="71052D9F" w14:textId="77777777" w:rsidR="00CD0BB1" w:rsidRDefault="00CB0D56">
      <w:pPr>
        <w:spacing w:line="360" w:lineRule="auto"/>
        <w:jc w:val="both"/>
      </w:pPr>
      <w:r>
        <w:rPr>
          <w:rFonts w:ascii="Palatino Linotype" w:eastAsia="Palatino Linotype" w:hAnsi="Palatino Linotype" w:cs="Palatino Linotype"/>
          <w:color w:val="000000"/>
        </w:rPr>
        <w:lastRenderedPageBreak/>
        <w:t xml:space="preserve">Adicionalmente, toda vez que existió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este Organismo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6EB42611" w14:textId="77777777" w:rsidR="00CD0BB1" w:rsidRDefault="00CD0BB1"/>
    <w:p w14:paraId="10255D61" w14:textId="77777777" w:rsidR="00CD0BB1" w:rsidRDefault="00CB0D56">
      <w:pPr>
        <w:ind w:left="567" w:right="567"/>
        <w:jc w:val="both"/>
        <w:rPr>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47C07D1" w14:textId="77777777" w:rsidR="00CD0BB1" w:rsidRDefault="00CD0BB1"/>
    <w:p w14:paraId="25448B88" w14:textId="77777777" w:rsidR="00CD0BB1" w:rsidRDefault="00CD0BB1">
      <w:pPr>
        <w:spacing w:line="360" w:lineRule="auto"/>
        <w:jc w:val="both"/>
        <w:rPr>
          <w:rFonts w:ascii="Palatino Linotype" w:eastAsia="Palatino Linotype" w:hAnsi="Palatino Linotype" w:cs="Palatino Linotype"/>
        </w:rPr>
      </w:pPr>
    </w:p>
    <w:p w14:paraId="51A9B97F" w14:textId="77777777" w:rsidR="00CD0BB1" w:rsidRDefault="00CB0D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w:t>
      </w:r>
      <w:r>
        <w:rPr>
          <w:rFonts w:ascii="Palatino Linotype" w:eastAsia="Palatino Linotype" w:hAnsi="Palatino Linotype" w:cs="Palatino Linotype"/>
        </w:rPr>
        <w:lastRenderedPageBreak/>
        <w:t>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773E15D9" w14:textId="77777777" w:rsidR="00CD0BB1" w:rsidRDefault="00CD0BB1">
      <w:pPr>
        <w:spacing w:line="360" w:lineRule="auto"/>
        <w:jc w:val="both"/>
        <w:rPr>
          <w:rFonts w:ascii="Palatino Linotype" w:eastAsia="Palatino Linotype" w:hAnsi="Palatino Linotype" w:cs="Palatino Linotype"/>
        </w:rPr>
      </w:pPr>
    </w:p>
    <w:p w14:paraId="23D9286F" w14:textId="77777777" w:rsidR="00CD0BB1" w:rsidRDefault="00CB0D56">
      <w:pPr>
        <w:widowControl w:val="0"/>
        <w:tabs>
          <w:tab w:val="left" w:pos="1701"/>
          <w:tab w:val="left" w:pos="1843"/>
        </w:tabs>
        <w:spacing w:line="360" w:lineRule="auto"/>
        <w:jc w:val="both"/>
        <w:rPr>
          <w:rFonts w:ascii="Palatino Linotype" w:eastAsia="Palatino Linotype" w:hAnsi="Palatino Linotype" w:cs="Palatino Linotype"/>
        </w:rPr>
      </w:pPr>
      <w:bookmarkStart w:id="5" w:name="_heading=h.30j0zll" w:colFirst="0" w:colLast="0"/>
      <w:bookmarkEnd w:id="5"/>
      <w:r>
        <w:rPr>
          <w:rFonts w:ascii="Palatino Linotype" w:eastAsia="Palatino Linotype" w:hAnsi="Palatino Linotype" w:cs="Palatino Linotype"/>
        </w:rPr>
        <w:t xml:space="preserve">Por lo tanto, en razón de que los requerimientos formulados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fueron atendidos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este Organismo Garante determina infundados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los motivos o razones de inconformidad esgrimidos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 lo procedente es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la solicitud de información</w:t>
      </w:r>
    </w:p>
    <w:p w14:paraId="5CF0F4E0"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2EF2B50" w14:textId="77777777" w:rsidR="00CD0BB1" w:rsidRDefault="00CD0BB1">
      <w:pPr>
        <w:spacing w:before="240" w:after="240" w:line="360" w:lineRule="auto"/>
        <w:jc w:val="both"/>
        <w:rPr>
          <w:rFonts w:ascii="Palatino Linotype" w:eastAsia="Palatino Linotype" w:hAnsi="Palatino Linotype" w:cs="Palatino Linotype"/>
        </w:rPr>
      </w:pPr>
    </w:p>
    <w:p w14:paraId="4C5D7228" w14:textId="77777777" w:rsidR="00CD0BB1" w:rsidRDefault="00CB0D56">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37F1370F" w14:textId="77777777" w:rsidR="00CD0BB1" w:rsidRDefault="00CB0D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infundados </w:t>
      </w:r>
      <w:r>
        <w:rPr>
          <w:rFonts w:ascii="Palatino Linotype" w:eastAsia="Palatino Linotype" w:hAnsi="Palatino Linotype" w:cs="Palatino Linotype"/>
        </w:rPr>
        <w:t xml:space="preserve">los motivos de inconformidad aducidos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w:t>
      </w:r>
      <w:r>
        <w:rPr>
          <w:rFonts w:ascii="Palatino Linotype" w:eastAsia="Palatino Linotype" w:hAnsi="Palatino Linotype" w:cs="Palatino Linotype"/>
          <w:b/>
        </w:rPr>
        <w:t xml:space="preserve"> 07784/INFOEM/IP/RR/2022 </w:t>
      </w:r>
      <w:r>
        <w:rPr>
          <w:rFonts w:ascii="Palatino Linotype" w:eastAsia="Palatino Linotype" w:hAnsi="Palatino Linotype" w:cs="Palatino Linotype"/>
        </w:rPr>
        <w:t xml:space="preserve">por lo que, en términos de los argumentos señalados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la respuesta emitida por el</w:t>
      </w:r>
      <w:r>
        <w:rPr>
          <w:rFonts w:ascii="Palatino Linotype" w:eastAsia="Palatino Linotype" w:hAnsi="Palatino Linotype" w:cs="Palatino Linotype"/>
          <w:b/>
        </w:rPr>
        <w:t xml:space="preserve"> SUJETO OBLIGADO.</w:t>
      </w:r>
    </w:p>
    <w:p w14:paraId="3BD9FBB6" w14:textId="77777777" w:rsidR="00CD0BB1" w:rsidRDefault="00CB0D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Pr>
          <w:rFonts w:ascii="Palatino Linotype" w:eastAsia="Palatino Linotype" w:hAnsi="Palatino Linotype" w:cs="Palatino Linotype"/>
          <w:b/>
          <w:sz w:val="19"/>
          <w:szCs w:val="19"/>
          <w:highlight w:val="white"/>
        </w:rPr>
        <w:t xml:space="preserve"> </w:t>
      </w:r>
      <w:r>
        <w:rPr>
          <w:rFonts w:ascii="Palatino Linotype" w:eastAsia="Palatino Linotype" w:hAnsi="Palatino Linotype" w:cs="Palatino Linotype"/>
          <w:b/>
        </w:rPr>
        <w:t>Notifíquese al Titular de la Unidad de Transparencia, vía Sistema de Acceso a la Información Mexiquense (SAIMEX),</w:t>
      </w:r>
      <w:r>
        <w:rPr>
          <w:rFonts w:ascii="Palatino Linotype" w:eastAsia="Palatino Linotype" w:hAnsi="Palatino Linotype" w:cs="Palatino Linotype"/>
        </w:rPr>
        <w:t xml:space="preserve"> para su conocimiento.</w:t>
      </w:r>
    </w:p>
    <w:p w14:paraId="349A56F9" w14:textId="77777777" w:rsidR="00CD0BB1" w:rsidRDefault="00CB0D56">
      <w:pPr>
        <w:spacing w:before="240" w:after="240" w:line="360" w:lineRule="auto"/>
        <w:jc w:val="both"/>
        <w:rPr>
          <w:rFonts w:ascii="Palatino Linotype" w:eastAsia="Palatino Linotype" w:hAnsi="Palatino Linotype" w:cs="Palatino Linotype"/>
          <w:b/>
          <w:color w:val="FF0000"/>
          <w:highlight w:val="yellow"/>
        </w:rPr>
      </w:pPr>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Notifíquese al RECURRENTE vía Sistema de Acceso a la Información Mexiquense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w:t>
      </w:r>
    </w:p>
    <w:p w14:paraId="200770D7" w14:textId="77777777" w:rsidR="00CD0BB1" w:rsidRDefault="00CB0D56">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w:t>
      </w:r>
      <w:r>
        <w:rPr>
          <w:rFonts w:ascii="Palatino Linotype" w:eastAsia="Palatino Linotype" w:hAnsi="Palatino Linotype" w:cs="Palatino Linotype"/>
        </w:rPr>
        <w:lastRenderedPageBreak/>
        <w:t>CELEBRADA EL DIECISIETE DE AGOSTO DE DOS MIL VEINTIDÓS, ANTE EL SECRETARIO TÉCNICO DEL PLENO, ALEXIS TAPIA RAMÍREZ.</w:t>
      </w:r>
    </w:p>
    <w:p w14:paraId="5880AE89" w14:textId="7E5A5F3B" w:rsidR="00CD0BB1" w:rsidRDefault="00794BD3">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59264" behindDoc="0" locked="0" layoutInCell="1" allowOverlap="1" wp14:anchorId="6C0444FB" wp14:editId="0C360397">
                <wp:simplePos x="0" y="0"/>
                <wp:positionH relativeFrom="column">
                  <wp:posOffset>243840</wp:posOffset>
                </wp:positionH>
                <wp:positionV relativeFrom="paragraph">
                  <wp:posOffset>144779</wp:posOffset>
                </wp:positionV>
                <wp:extent cx="5257800" cy="55911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57800" cy="559117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23CB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11.4pt" to="433.2pt,4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" strokecolor="black [3213]"/>
            </w:pict>
          </mc:Fallback>
        </mc:AlternateContent>
      </w:r>
    </w:p>
    <w:p w14:paraId="5BB4B414" w14:textId="77777777" w:rsidR="00CD0BB1" w:rsidRDefault="00CD0BB1">
      <w:pPr>
        <w:spacing w:before="240" w:after="240"/>
        <w:jc w:val="both"/>
        <w:rPr>
          <w:rFonts w:ascii="Palatino Linotype" w:eastAsia="Palatino Linotype" w:hAnsi="Palatino Linotype" w:cs="Palatino Linotype"/>
          <w:sz w:val="20"/>
          <w:szCs w:val="20"/>
        </w:rPr>
      </w:pPr>
    </w:p>
    <w:p w14:paraId="3E6D5C33" w14:textId="77777777" w:rsidR="00CD0BB1" w:rsidRDefault="00CD0BB1">
      <w:pPr>
        <w:spacing w:before="240" w:after="240"/>
        <w:jc w:val="both"/>
        <w:rPr>
          <w:rFonts w:ascii="Palatino Linotype" w:eastAsia="Palatino Linotype" w:hAnsi="Palatino Linotype" w:cs="Palatino Linotype"/>
          <w:sz w:val="20"/>
          <w:szCs w:val="20"/>
        </w:rPr>
      </w:pPr>
    </w:p>
    <w:p w14:paraId="0476F0D0" w14:textId="77777777" w:rsidR="00CD0BB1" w:rsidRDefault="00CD0BB1">
      <w:pPr>
        <w:spacing w:before="240" w:after="240"/>
        <w:jc w:val="both"/>
        <w:rPr>
          <w:rFonts w:ascii="Palatino Linotype" w:eastAsia="Palatino Linotype" w:hAnsi="Palatino Linotype" w:cs="Palatino Linotype"/>
          <w:sz w:val="20"/>
          <w:szCs w:val="20"/>
        </w:rPr>
      </w:pPr>
    </w:p>
    <w:p w14:paraId="62011EB2" w14:textId="77777777" w:rsidR="00CD0BB1" w:rsidRDefault="00CD0BB1">
      <w:pPr>
        <w:spacing w:before="240" w:after="240"/>
        <w:jc w:val="both"/>
        <w:rPr>
          <w:rFonts w:ascii="Palatino Linotype" w:eastAsia="Palatino Linotype" w:hAnsi="Palatino Linotype" w:cs="Palatino Linotype"/>
          <w:sz w:val="20"/>
          <w:szCs w:val="20"/>
        </w:rPr>
      </w:pPr>
    </w:p>
    <w:p w14:paraId="60038946" w14:textId="77777777" w:rsidR="00CD0BB1" w:rsidRDefault="00CD0BB1">
      <w:pPr>
        <w:spacing w:before="240" w:after="240"/>
        <w:jc w:val="both"/>
        <w:rPr>
          <w:rFonts w:ascii="Palatino Linotype" w:eastAsia="Palatino Linotype" w:hAnsi="Palatino Linotype" w:cs="Palatino Linotype"/>
          <w:sz w:val="20"/>
          <w:szCs w:val="20"/>
        </w:rPr>
      </w:pPr>
    </w:p>
    <w:p w14:paraId="02B630E1" w14:textId="77777777" w:rsidR="00CD0BB1" w:rsidRDefault="00CD0BB1">
      <w:pPr>
        <w:spacing w:before="240" w:after="240"/>
        <w:jc w:val="both"/>
        <w:rPr>
          <w:rFonts w:ascii="Palatino Linotype" w:eastAsia="Palatino Linotype" w:hAnsi="Palatino Linotype" w:cs="Palatino Linotype"/>
          <w:sz w:val="20"/>
          <w:szCs w:val="20"/>
        </w:rPr>
      </w:pPr>
    </w:p>
    <w:p w14:paraId="227DD12D" w14:textId="77777777" w:rsidR="00CD0BB1" w:rsidRDefault="00CD0BB1">
      <w:pPr>
        <w:spacing w:before="240" w:after="240"/>
        <w:jc w:val="both"/>
        <w:rPr>
          <w:rFonts w:ascii="Palatino Linotype" w:eastAsia="Palatino Linotype" w:hAnsi="Palatino Linotype" w:cs="Palatino Linotype"/>
          <w:sz w:val="20"/>
          <w:szCs w:val="20"/>
        </w:rPr>
      </w:pPr>
    </w:p>
    <w:p w14:paraId="4FCE6FFC" w14:textId="77777777" w:rsidR="00CD0BB1" w:rsidRDefault="00CD0BB1">
      <w:pPr>
        <w:spacing w:before="240" w:after="240"/>
        <w:jc w:val="both"/>
        <w:rPr>
          <w:rFonts w:ascii="Palatino Linotype" w:eastAsia="Palatino Linotype" w:hAnsi="Palatino Linotype" w:cs="Palatino Linotype"/>
          <w:sz w:val="20"/>
          <w:szCs w:val="20"/>
        </w:rPr>
      </w:pPr>
    </w:p>
    <w:p w14:paraId="3DAAEFB6" w14:textId="77777777" w:rsidR="00CD0BB1" w:rsidRDefault="00CD0BB1">
      <w:pPr>
        <w:spacing w:before="240" w:after="240"/>
        <w:jc w:val="both"/>
        <w:rPr>
          <w:rFonts w:ascii="Palatino Linotype" w:eastAsia="Palatino Linotype" w:hAnsi="Palatino Linotype" w:cs="Palatino Linotype"/>
          <w:sz w:val="20"/>
          <w:szCs w:val="20"/>
        </w:rPr>
      </w:pPr>
    </w:p>
    <w:p w14:paraId="61BAF8CD" w14:textId="77777777" w:rsidR="00CD0BB1" w:rsidRDefault="00CD0BB1">
      <w:pPr>
        <w:spacing w:before="240" w:after="240"/>
        <w:jc w:val="both"/>
        <w:rPr>
          <w:rFonts w:ascii="Palatino Linotype" w:eastAsia="Palatino Linotype" w:hAnsi="Palatino Linotype" w:cs="Palatino Linotype"/>
          <w:sz w:val="20"/>
          <w:szCs w:val="20"/>
        </w:rPr>
      </w:pPr>
    </w:p>
    <w:p w14:paraId="5CE7A896" w14:textId="77777777" w:rsidR="00CD0BB1" w:rsidRDefault="00CD0BB1">
      <w:pPr>
        <w:spacing w:before="240" w:after="240"/>
        <w:jc w:val="both"/>
        <w:rPr>
          <w:rFonts w:ascii="Palatino Linotype" w:eastAsia="Palatino Linotype" w:hAnsi="Palatino Linotype" w:cs="Palatino Linotype"/>
          <w:sz w:val="20"/>
          <w:szCs w:val="20"/>
        </w:rPr>
      </w:pPr>
    </w:p>
    <w:p w14:paraId="3E3B73B6" w14:textId="77777777" w:rsidR="00CD0BB1" w:rsidRDefault="00CD0BB1">
      <w:pPr>
        <w:spacing w:before="240" w:after="240"/>
        <w:jc w:val="both"/>
        <w:rPr>
          <w:rFonts w:ascii="Palatino Linotype" w:eastAsia="Palatino Linotype" w:hAnsi="Palatino Linotype" w:cs="Palatino Linotype"/>
          <w:sz w:val="20"/>
          <w:szCs w:val="20"/>
        </w:rPr>
      </w:pPr>
    </w:p>
    <w:p w14:paraId="09D2D234" w14:textId="77777777" w:rsidR="00CD0BB1" w:rsidRDefault="00CD0BB1">
      <w:pPr>
        <w:spacing w:before="240" w:after="240"/>
        <w:jc w:val="both"/>
        <w:rPr>
          <w:rFonts w:ascii="Palatino Linotype" w:eastAsia="Palatino Linotype" w:hAnsi="Palatino Linotype" w:cs="Palatino Linotype"/>
          <w:sz w:val="20"/>
          <w:szCs w:val="20"/>
        </w:rPr>
      </w:pPr>
    </w:p>
    <w:p w14:paraId="77D6DA7F" w14:textId="77777777" w:rsidR="00CD0BB1" w:rsidRDefault="00CD0BB1">
      <w:pPr>
        <w:spacing w:before="240" w:after="240"/>
        <w:jc w:val="both"/>
        <w:rPr>
          <w:rFonts w:ascii="Palatino Linotype" w:eastAsia="Palatino Linotype" w:hAnsi="Palatino Linotype" w:cs="Palatino Linotype"/>
          <w:sz w:val="20"/>
          <w:szCs w:val="20"/>
        </w:rPr>
      </w:pPr>
    </w:p>
    <w:p w14:paraId="08893087" w14:textId="77777777" w:rsidR="00CD0BB1" w:rsidRDefault="00CD0BB1">
      <w:pPr>
        <w:spacing w:before="240" w:after="240"/>
        <w:jc w:val="both"/>
        <w:rPr>
          <w:rFonts w:ascii="Palatino Linotype" w:eastAsia="Palatino Linotype" w:hAnsi="Palatino Linotype" w:cs="Palatino Linotype"/>
          <w:sz w:val="20"/>
          <w:szCs w:val="20"/>
        </w:rPr>
      </w:pPr>
    </w:p>
    <w:p w14:paraId="12175E39" w14:textId="77777777" w:rsidR="00CD0BB1" w:rsidRDefault="00CD0BB1">
      <w:pPr>
        <w:spacing w:before="240" w:after="240"/>
        <w:jc w:val="both"/>
        <w:rPr>
          <w:rFonts w:ascii="Palatino Linotype" w:eastAsia="Palatino Linotype" w:hAnsi="Palatino Linotype" w:cs="Palatino Linotype"/>
          <w:sz w:val="20"/>
          <w:szCs w:val="20"/>
        </w:rPr>
      </w:pPr>
    </w:p>
    <w:p w14:paraId="25866682" w14:textId="77777777" w:rsidR="00CD0BB1" w:rsidRDefault="00CD0BB1">
      <w:pPr>
        <w:spacing w:before="240" w:after="240"/>
        <w:jc w:val="both"/>
        <w:rPr>
          <w:rFonts w:ascii="Palatino Linotype" w:eastAsia="Palatino Linotype" w:hAnsi="Palatino Linotype" w:cs="Palatino Linotype"/>
          <w:sz w:val="20"/>
          <w:szCs w:val="20"/>
        </w:rPr>
      </w:pPr>
    </w:p>
    <w:p w14:paraId="30174CBD" w14:textId="77777777" w:rsidR="00CD0BB1" w:rsidRDefault="00CD0BB1">
      <w:pPr>
        <w:spacing w:before="240" w:after="240"/>
        <w:jc w:val="both"/>
        <w:rPr>
          <w:rFonts w:ascii="Palatino Linotype" w:eastAsia="Palatino Linotype" w:hAnsi="Palatino Linotype" w:cs="Palatino Linotype"/>
          <w:sz w:val="20"/>
          <w:szCs w:val="20"/>
        </w:rPr>
      </w:pPr>
    </w:p>
    <w:p w14:paraId="08E7BB64" w14:textId="77777777" w:rsidR="00CD0BB1" w:rsidRDefault="00CD0BB1">
      <w:pPr>
        <w:spacing w:before="240" w:after="240"/>
        <w:jc w:val="both"/>
        <w:rPr>
          <w:rFonts w:ascii="Palatino Linotype" w:eastAsia="Palatino Linotype" w:hAnsi="Palatino Linotype" w:cs="Palatino Linotype"/>
          <w:sz w:val="20"/>
          <w:szCs w:val="20"/>
        </w:rPr>
      </w:pPr>
    </w:p>
    <w:p w14:paraId="3D0C9ECE" w14:textId="77777777" w:rsidR="00CD0BB1" w:rsidRDefault="00CD0BB1">
      <w:pPr>
        <w:spacing w:before="240" w:after="240"/>
        <w:jc w:val="both"/>
        <w:rPr>
          <w:rFonts w:ascii="Palatino Linotype" w:eastAsia="Palatino Linotype" w:hAnsi="Palatino Linotype" w:cs="Palatino Linotype"/>
          <w:sz w:val="20"/>
          <w:szCs w:val="20"/>
        </w:rPr>
      </w:pPr>
    </w:p>
    <w:p w14:paraId="28351682" w14:textId="77777777" w:rsidR="00CD0BB1" w:rsidRDefault="00CD0BB1">
      <w:pPr>
        <w:spacing w:before="240" w:after="240"/>
        <w:jc w:val="both"/>
        <w:rPr>
          <w:rFonts w:ascii="Palatino Linotype" w:eastAsia="Palatino Linotype" w:hAnsi="Palatino Linotype" w:cs="Palatino Linotype"/>
          <w:sz w:val="20"/>
          <w:szCs w:val="20"/>
        </w:rPr>
      </w:pPr>
    </w:p>
    <w:p w14:paraId="17AD529E" w14:textId="77777777" w:rsidR="00CD0BB1" w:rsidRDefault="00CD0BB1">
      <w:pPr>
        <w:spacing w:before="240" w:after="240"/>
        <w:jc w:val="both"/>
        <w:rPr>
          <w:rFonts w:ascii="Palatino Linotype" w:eastAsia="Palatino Linotype" w:hAnsi="Palatino Linotype" w:cs="Palatino Linotype"/>
          <w:sz w:val="20"/>
          <w:szCs w:val="20"/>
        </w:rPr>
      </w:pPr>
    </w:p>
    <w:sectPr w:rsidR="00CD0BB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BABA" w14:textId="77777777" w:rsidR="007311A8" w:rsidRDefault="007311A8">
      <w:r>
        <w:separator/>
      </w:r>
    </w:p>
  </w:endnote>
  <w:endnote w:type="continuationSeparator" w:id="0">
    <w:p w14:paraId="7CD4CAB0" w14:textId="77777777" w:rsidR="007311A8" w:rsidRDefault="0073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811F" w14:textId="77777777" w:rsidR="00CD0BB1" w:rsidRDefault="00CB0D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36C9">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36C9">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8E57FB1" w14:textId="77777777" w:rsidR="00CD0BB1" w:rsidRDefault="00CD0BB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F939" w14:textId="77777777" w:rsidR="00CD0BB1" w:rsidRDefault="00CB0D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394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3944">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196AC492" w14:textId="77777777" w:rsidR="00CD0BB1" w:rsidRDefault="00CD0BB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F980C" w14:textId="77777777" w:rsidR="007311A8" w:rsidRDefault="007311A8">
      <w:r>
        <w:separator/>
      </w:r>
    </w:p>
  </w:footnote>
  <w:footnote w:type="continuationSeparator" w:id="0">
    <w:p w14:paraId="67F7A4EF" w14:textId="77777777" w:rsidR="007311A8" w:rsidRDefault="0073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82933" w14:textId="77777777" w:rsidR="00CD0BB1" w:rsidRDefault="00CB0D56">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979ADC" wp14:editId="741CAB1B">
          <wp:simplePos x="0" y="0"/>
          <wp:positionH relativeFrom="column">
            <wp:posOffset>-1080128</wp:posOffset>
          </wp:positionH>
          <wp:positionV relativeFrom="paragraph">
            <wp:posOffset>-396395</wp:posOffset>
          </wp:positionV>
          <wp:extent cx="7809865" cy="10165715"/>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CD0BB1" w14:paraId="6610BA1D" w14:textId="77777777">
      <w:tc>
        <w:tcPr>
          <w:tcW w:w="2489" w:type="dxa"/>
          <w:shd w:val="clear" w:color="auto" w:fill="auto"/>
        </w:tcPr>
        <w:p w14:paraId="0781422D" w14:textId="77777777" w:rsidR="00CD0BB1" w:rsidRDefault="00CB0D5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04D4781E" w14:textId="77777777" w:rsidR="00CD0BB1" w:rsidRDefault="00CB0D56">
          <w:pPr>
            <w:ind w:right="175"/>
            <w:jc w:val="both"/>
            <w:rPr>
              <w:rFonts w:ascii="Palatino Linotype" w:eastAsia="Palatino Linotype" w:hAnsi="Palatino Linotype" w:cs="Palatino Linotype"/>
              <w:b/>
            </w:rPr>
          </w:pPr>
          <w:r>
            <w:rPr>
              <w:rFonts w:ascii="Palatino Linotype" w:eastAsia="Palatino Linotype" w:hAnsi="Palatino Linotype" w:cs="Palatino Linotype"/>
              <w:b/>
            </w:rPr>
            <w:t>07784/INFOEM/IP/RR/2022</w:t>
          </w:r>
        </w:p>
      </w:tc>
    </w:tr>
    <w:tr w:rsidR="00CD0BB1" w14:paraId="740C3379" w14:textId="77777777">
      <w:trPr>
        <w:trHeight w:val="228"/>
      </w:trPr>
      <w:tc>
        <w:tcPr>
          <w:tcW w:w="2489" w:type="dxa"/>
          <w:shd w:val="clear" w:color="auto" w:fill="auto"/>
          <w:vAlign w:val="center"/>
        </w:tcPr>
        <w:p w14:paraId="2AC0D29D" w14:textId="77777777" w:rsidR="00CD0BB1" w:rsidRDefault="00CB0D5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425C8FFA" w14:textId="77777777" w:rsidR="00CD0BB1" w:rsidRDefault="00CB0D5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Metepec</w:t>
          </w:r>
        </w:p>
      </w:tc>
    </w:tr>
    <w:tr w:rsidR="00CD0BB1" w14:paraId="1733A9D9" w14:textId="77777777">
      <w:trPr>
        <w:trHeight w:val="311"/>
      </w:trPr>
      <w:tc>
        <w:tcPr>
          <w:tcW w:w="2489" w:type="dxa"/>
          <w:shd w:val="clear" w:color="auto" w:fill="auto"/>
          <w:vAlign w:val="center"/>
        </w:tcPr>
        <w:p w14:paraId="131F9801" w14:textId="77777777" w:rsidR="00CD0BB1" w:rsidRDefault="00CB0D56">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3E171955" w14:textId="77777777" w:rsidR="00CD0BB1" w:rsidRDefault="00CB0D56">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407A6C0" w14:textId="77777777" w:rsidR="00CD0BB1" w:rsidRDefault="00CB0D5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B4918" w14:textId="77777777" w:rsidR="00CD0BB1" w:rsidRDefault="00CB0D5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ADD2C10" wp14:editId="61F02206">
          <wp:simplePos x="0" y="0"/>
          <wp:positionH relativeFrom="column">
            <wp:posOffset>-966828</wp:posOffset>
          </wp:positionH>
          <wp:positionV relativeFrom="paragraph">
            <wp:posOffset>-360044</wp:posOffset>
          </wp:positionV>
          <wp:extent cx="7809865" cy="10165715"/>
          <wp:effectExtent l="0" t="0" r="0" b="0"/>
          <wp:wrapNone/>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95" w:type="dxa"/>
      <w:tblInd w:w="3261" w:type="dxa"/>
      <w:tblLayout w:type="fixed"/>
      <w:tblLook w:val="0400" w:firstRow="0" w:lastRow="0" w:firstColumn="0" w:lastColumn="0" w:noHBand="0" w:noVBand="1"/>
    </w:tblPr>
    <w:tblGrid>
      <w:gridCol w:w="2551"/>
      <w:gridCol w:w="3544"/>
    </w:tblGrid>
    <w:tr w:rsidR="00CD0BB1" w14:paraId="6001245F" w14:textId="77777777">
      <w:tc>
        <w:tcPr>
          <w:tcW w:w="2551" w:type="dxa"/>
          <w:shd w:val="clear" w:color="auto" w:fill="auto"/>
          <w:vAlign w:val="center"/>
        </w:tcPr>
        <w:p w14:paraId="0F2FFC35" w14:textId="77777777" w:rsidR="00CD0BB1" w:rsidRDefault="00CB0D5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3EEB329A" w14:textId="77777777" w:rsidR="00CD0BB1" w:rsidRDefault="00CB0D56">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07784/INFOEM/IP/RR/2022</w:t>
          </w:r>
        </w:p>
      </w:tc>
    </w:tr>
    <w:tr w:rsidR="00CD0BB1" w14:paraId="41875C97" w14:textId="77777777">
      <w:trPr>
        <w:trHeight w:val="130"/>
      </w:trPr>
      <w:tc>
        <w:tcPr>
          <w:tcW w:w="2551" w:type="dxa"/>
          <w:shd w:val="clear" w:color="auto" w:fill="auto"/>
          <w:vAlign w:val="center"/>
        </w:tcPr>
        <w:p w14:paraId="26DD35F7" w14:textId="77777777" w:rsidR="00CD0BB1" w:rsidRDefault="00CB0D5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0F6C1C53" w14:textId="77777777" w:rsidR="00CD0BB1" w:rsidRDefault="00CD0BB1">
          <w:pPr>
            <w:jc w:val="both"/>
            <w:rPr>
              <w:rFonts w:ascii="Palatino Linotype" w:eastAsia="Palatino Linotype" w:hAnsi="Palatino Linotype" w:cs="Palatino Linotype"/>
              <w:b/>
            </w:rPr>
          </w:pPr>
        </w:p>
      </w:tc>
    </w:tr>
    <w:tr w:rsidR="00CD0BB1" w14:paraId="3C4CC4D3" w14:textId="77777777">
      <w:trPr>
        <w:trHeight w:val="228"/>
      </w:trPr>
      <w:tc>
        <w:tcPr>
          <w:tcW w:w="2551" w:type="dxa"/>
          <w:shd w:val="clear" w:color="auto" w:fill="auto"/>
          <w:vAlign w:val="center"/>
        </w:tcPr>
        <w:p w14:paraId="00F7EECA" w14:textId="77777777" w:rsidR="00CD0BB1" w:rsidRDefault="00CB0D5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42907E5E" w14:textId="77777777" w:rsidR="00CD0BB1" w:rsidRDefault="00CB0D5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Metepec</w:t>
          </w:r>
        </w:p>
      </w:tc>
    </w:tr>
    <w:tr w:rsidR="00CD0BB1" w14:paraId="427CC2F6" w14:textId="77777777">
      <w:tc>
        <w:tcPr>
          <w:tcW w:w="2551" w:type="dxa"/>
          <w:shd w:val="clear" w:color="auto" w:fill="auto"/>
          <w:vAlign w:val="center"/>
        </w:tcPr>
        <w:p w14:paraId="6827AE70" w14:textId="77777777" w:rsidR="00CD0BB1" w:rsidRDefault="00CB0D5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555BEC15" w14:textId="77777777" w:rsidR="00CD0BB1" w:rsidRDefault="00CB0D56">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7502F55" w14:textId="77777777" w:rsidR="00CD0BB1" w:rsidRDefault="00CD0BB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808D4"/>
    <w:multiLevelType w:val="multilevel"/>
    <w:tmpl w:val="D03C439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48C31C09"/>
    <w:multiLevelType w:val="multilevel"/>
    <w:tmpl w:val="79D8AED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5036E7"/>
    <w:multiLevelType w:val="multilevel"/>
    <w:tmpl w:val="16CE562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B1"/>
    <w:rsid w:val="000C36C9"/>
    <w:rsid w:val="00171179"/>
    <w:rsid w:val="00183944"/>
    <w:rsid w:val="001E21E6"/>
    <w:rsid w:val="00521B38"/>
    <w:rsid w:val="005E0AE5"/>
    <w:rsid w:val="007311A8"/>
    <w:rsid w:val="00794BD3"/>
    <w:rsid w:val="00843332"/>
    <w:rsid w:val="009E6DF0"/>
    <w:rsid w:val="00CB0D56"/>
    <w:rsid w:val="00CD0BB1"/>
    <w:rsid w:val="00E54C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3764"/>
  <w15:docId w15:val="{E98150FC-85EE-45D1-864E-541934FA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2">
    <w:basedOn w:val="TableNormal2"/>
    <w:rPr>
      <w:sz w:val="22"/>
      <w:szCs w:val="22"/>
    </w:rPr>
    <w:tblPr>
      <w:tblStyleRowBandSize w:val="1"/>
      <w:tblStyleColBandSize w:val="1"/>
      <w:tblCellMar>
        <w:left w:w="115" w:type="dxa"/>
        <w:right w:w="115" w:type="dxa"/>
      </w:tblCellMar>
    </w:tblPr>
  </w:style>
  <w:style w:type="table" w:customStyle="1" w:styleId="a3">
    <w:basedOn w:val="TableNormal2"/>
    <w:rPr>
      <w:sz w:val="22"/>
      <w:szCs w:val="22"/>
    </w:rPr>
    <w:tblPr>
      <w:tblStyleRowBandSize w:val="1"/>
      <w:tblStyleColBandSize w:val="1"/>
      <w:tblCellMar>
        <w:left w:w="115"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PIZuTc0iMe7xDbSWqb6d43teA==">AMUW2mWGGV2emZlfUIdNxSziAaN0FU3/gtNrihLMWCVeZEd1hIXfVvKz2Fmo9ZkgxsspK6vqOWNLX202jvjbKBRtMVVXt9bC9tEOe7pUDPJ7MzXQKU+Mb2GRrHuD9z4H0Dt3fMq9yzXlrGN2vb9ZxdBWencozNZI1W24bBCxWe79+CkxquzK1S0=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4974</Words>
  <Characters>27361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2022-08-19T15:35:00Z</cp:lastPrinted>
  <dcterms:created xsi:type="dcterms:W3CDTF">2022-09-05T21:34:00Z</dcterms:created>
  <dcterms:modified xsi:type="dcterms:W3CDTF">2022-09-05T21:34:00Z</dcterms:modified>
</cp:coreProperties>
</file>