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nueve de marzo del dos mil veintidós.</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00189/INFOEM/IP/RR/2022;</w:t>
      </w:r>
      <w:r>
        <w:rPr>
          <w:rFonts w:ascii="Palatino Linotype" w:eastAsia="Palatino Linotype" w:hAnsi="Palatino Linotype" w:cs="Palatino Linotype"/>
        </w:rPr>
        <w:t xml:space="preserve"> interpuesto por</w:t>
      </w:r>
      <w:r>
        <w:rPr>
          <w:rFonts w:ascii="Palatino Linotype" w:eastAsia="Palatino Linotype" w:hAnsi="Palatino Linotype" w:cs="Palatino Linotype"/>
          <w:b/>
        </w:rPr>
        <w:t xml:space="preserve"> XXXXX</w:t>
      </w:r>
      <w:r>
        <w:rPr>
          <w:rFonts w:ascii="Palatino Linotype" w:eastAsia="Palatino Linotype" w:hAnsi="Palatino Linotype" w:cs="Palatino Linotype"/>
        </w:rPr>
        <w:t xml:space="preserve">, en lo sucesivo se le denominara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 xml:space="preserve">00948/NAUCALPA/IP/2021,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Ay</w:t>
      </w:r>
      <w:r>
        <w:rPr>
          <w:rFonts w:ascii="Palatino Linotype" w:eastAsia="Palatino Linotype" w:hAnsi="Palatino Linotype" w:cs="Palatino Linotype"/>
          <w:b/>
        </w:rPr>
        <w:t>untamiento de Naucalpan de Juárez</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567C36" w:rsidRDefault="00EC61E9">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567C36" w:rsidRDefault="00EC61E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Con fecha veinte de diciembre de dos mil veintiu</w:t>
      </w:r>
      <w:r>
        <w:rPr>
          <w:rFonts w:ascii="Palatino Linotype" w:eastAsia="Palatino Linotype" w:hAnsi="Palatino Linotype" w:cs="Palatino Linotype"/>
        </w:rPr>
        <w:t xml:space="preserve">no,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567C36" w:rsidRDefault="00EC61E9">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Cuántos policías municipales fueron removidos, suspen</w:t>
      </w:r>
      <w:r>
        <w:rPr>
          <w:rFonts w:ascii="Palatino Linotype" w:eastAsia="Palatino Linotype" w:hAnsi="Palatino Linotype" w:cs="Palatino Linotype"/>
          <w:i/>
          <w:sz w:val="22"/>
          <w:szCs w:val="22"/>
        </w:rPr>
        <w:t>didos o dados de baja por la Comisión de Honor y Justicia en 2018, 2019, 2020 y 2021. Desglosar por mes y año. Desglosar por Motivo. Indicar cuántos casos están relacionados con la comisión de un delito. Indicar delito.” (Sic)</w:t>
      </w:r>
    </w:p>
    <w:p w:rsidR="00567C36" w:rsidRDefault="00EC61E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Modalidad elegida para la ent</w:t>
      </w:r>
      <w:r>
        <w:rPr>
          <w:rFonts w:ascii="Palatino Linotype" w:eastAsia="Palatino Linotype" w:hAnsi="Palatino Linotype" w:cs="Palatino Linotype"/>
          <w:b/>
        </w:rPr>
        <w:t xml:space="preserve">rega de la información: </w:t>
      </w:r>
      <w:r>
        <w:rPr>
          <w:rFonts w:ascii="Palatino Linotype" w:eastAsia="Palatino Linotype" w:hAnsi="Palatino Linotype" w:cs="Palatino Linotype"/>
        </w:rPr>
        <w:t>a través del SAIMEX.</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doce de enero de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567C36" w:rsidRDefault="00EC61E9">
      <w:pPr>
        <w:spacing w:before="240" w:after="240"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En respuesta a la solic</w:t>
      </w:r>
      <w:r>
        <w:rPr>
          <w:rFonts w:ascii="Palatino Linotype" w:eastAsia="Palatino Linotype" w:hAnsi="Palatino Linotype" w:cs="Palatino Linotype"/>
          <w:i/>
          <w:color w:val="000000"/>
          <w:sz w:val="22"/>
          <w:szCs w:val="22"/>
        </w:rPr>
        <w:t>itud recibida, nos permitimos hacer de su conocimiento que con fundamento en el artículo 53, Fracciones: II, V y VI de la Ley de Transparencia y Acceso a la Información Pública del Estado de México y Municipios, le contestamos que:</w:t>
      </w:r>
    </w:p>
    <w:p w:rsidR="00567C36" w:rsidRDefault="00EC61E9">
      <w:pPr>
        <w:spacing w:before="240" w:after="240"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Respuesta otorgada por la Dirección de Seguridad Ciudadana y </w:t>
      </w:r>
      <w:proofErr w:type="spellStart"/>
      <w:r>
        <w:rPr>
          <w:rFonts w:ascii="Palatino Linotype" w:eastAsia="Palatino Linotype" w:hAnsi="Palatino Linotype" w:cs="Palatino Linotype"/>
          <w:i/>
          <w:color w:val="000000"/>
          <w:sz w:val="22"/>
          <w:szCs w:val="22"/>
        </w:rPr>
        <w:t>Transito</w:t>
      </w:r>
      <w:proofErr w:type="spellEnd"/>
      <w:r>
        <w:rPr>
          <w:rFonts w:ascii="Palatino Linotype" w:eastAsia="Palatino Linotype" w:hAnsi="Palatino Linotype" w:cs="Palatino Linotype"/>
          <w:i/>
          <w:color w:val="000000"/>
          <w:sz w:val="22"/>
          <w:szCs w:val="22"/>
        </w:rPr>
        <w:t xml:space="preserve"> Municipal en términos de los artículo 6 de la Constitución Política de los Estados Unidos Mexicanos; 5 de la Constitución Política del Estado Libre y Soberano de México; 1, 2 fracciones </w:t>
      </w:r>
      <w:r>
        <w:rPr>
          <w:rFonts w:ascii="Palatino Linotype" w:eastAsia="Palatino Linotype" w:hAnsi="Palatino Linotype" w:cs="Palatino Linotype"/>
          <w:i/>
          <w:color w:val="000000"/>
          <w:sz w:val="22"/>
          <w:szCs w:val="22"/>
        </w:rPr>
        <w:t>II, V, y VIII, 3, 4, 11, 41 y 46 de la Ley de Transparencia y Acceso a la Información Pública del Estado de México; Finalmente, se le comunica que, en caso de inconformidad a la respuesta dada a su solicitud, con fundamento en lo dispuesto por los artículo</w:t>
      </w:r>
      <w:r>
        <w:rPr>
          <w:rFonts w:ascii="Palatino Linotype" w:eastAsia="Palatino Linotype" w:hAnsi="Palatino Linotype" w:cs="Palatino Linotype"/>
          <w:i/>
          <w:color w:val="000000"/>
          <w:sz w:val="22"/>
          <w:szCs w:val="22"/>
        </w:rPr>
        <w:t xml:space="preserve">s 176, 177 y 178 de la LTAIPEMYM, se le informa que, podrá interponer Recurso de Revisión, para lo cual dispone de un plazo de quince días hábiles contados a partir de la fecha de la presente notificación a su solicitud de acceso a información </w:t>
      </w:r>
    </w:p>
    <w:p w:rsidR="00567C36" w:rsidRDefault="00EC61E9">
      <w:pPr>
        <w:spacing w:before="240" w:after="240"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567C36" w:rsidRDefault="00EC61E9">
      <w:pPr>
        <w:spacing w:before="240" w:after="240"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 JONATHAN CHÁVEZ NAVA” (Sic)</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 Sujeto Obligado adjuntó a su respuesta los archivos electrónicos: “</w:t>
      </w:r>
      <w:hyperlink r:id="rId8">
        <w:r>
          <w:rPr>
            <w:rFonts w:ascii="Palatino Linotype" w:eastAsia="Palatino Linotype" w:hAnsi="Palatino Linotype" w:cs="Palatino Linotype"/>
          </w:rPr>
          <w:t>DGSCYTM-SA-087-2022-1.jpg</w:t>
        </w:r>
      </w:hyperlink>
      <w:r>
        <w:rPr>
          <w:rFonts w:ascii="Palatino Linotype" w:eastAsia="Palatino Linotype" w:hAnsi="Palatino Linotype" w:cs="Palatino Linotype"/>
        </w:rPr>
        <w:t>”  y “</w:t>
      </w:r>
      <w:hyperlink r:id="rId9">
        <w:r>
          <w:rPr>
            <w:rFonts w:ascii="Palatino Linotype" w:eastAsia="Palatino Linotype" w:hAnsi="Palatino Linotype" w:cs="Palatino Linotype"/>
          </w:rPr>
          <w:t>DGSCYTM-SA-087-2022-2.jpg</w:t>
        </w:r>
      </w:hyperlink>
      <w:r>
        <w:rPr>
          <w:rFonts w:ascii="Palatino Linotype" w:eastAsia="Palatino Linotype" w:hAnsi="Palatino Linotype" w:cs="Palatino Linotype"/>
        </w:rPr>
        <w:t>”, los cuales serán detallados y analizados más adelante en el apartado correspondiente.</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el solicitante con la respuesta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diecinueve de enero de dos mil veintidós, a través del cual expresó lo siguiente:</w:t>
      </w:r>
    </w:p>
    <w:p w:rsidR="00567C36" w:rsidRDefault="00EC61E9">
      <w:pPr>
        <w:spacing w:before="240" w:after="240" w:line="360" w:lineRule="auto"/>
        <w:rPr>
          <w:rFonts w:ascii="Palatino Linotype" w:eastAsia="Palatino Linotype" w:hAnsi="Palatino Linotype" w:cs="Palatino Linotype"/>
          <w:b/>
        </w:rPr>
      </w:pPr>
      <w:r>
        <w:rPr>
          <w:rFonts w:ascii="Palatino Linotype" w:eastAsia="Palatino Linotype" w:hAnsi="Palatino Linotype" w:cs="Palatino Linotype"/>
          <w:b/>
        </w:rPr>
        <w:lastRenderedPageBreak/>
        <w:t>a) Acto impugnado.</w:t>
      </w:r>
    </w:p>
    <w:p w:rsidR="00567C36" w:rsidRDefault="00EC61E9">
      <w:pPr>
        <w:spacing w:before="240" w:after="24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“Información incompleta” (Sic)</w:t>
      </w:r>
    </w:p>
    <w:p w:rsidR="00567C36" w:rsidRDefault="00EC61E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567C36" w:rsidRDefault="00EC61E9">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“El Sujeto</w:t>
      </w:r>
      <w:r>
        <w:rPr>
          <w:rFonts w:ascii="Palatino Linotype" w:eastAsia="Palatino Linotype" w:hAnsi="Palatino Linotype" w:cs="Palatino Linotype"/>
          <w:i/>
          <w:color w:val="000000"/>
          <w:u w:val="single"/>
        </w:rPr>
        <w:t xml:space="preserve"> </w:t>
      </w:r>
      <w:r>
        <w:rPr>
          <w:rFonts w:ascii="Palatino Linotype" w:eastAsia="Palatino Linotype" w:hAnsi="Palatino Linotype" w:cs="Palatino Linotype"/>
          <w:b/>
          <w:i/>
          <w:color w:val="000000"/>
          <w:u w:val="single"/>
        </w:rPr>
        <w:t>omite informar motivo de las separaciones del cargo.</w:t>
      </w:r>
      <w:r>
        <w:rPr>
          <w:rFonts w:ascii="Palatino Linotype" w:eastAsia="Palatino Linotype" w:hAnsi="Palatino Linotype" w:cs="Palatino Linotype"/>
          <w:i/>
          <w:color w:val="000000"/>
          <w:u w:val="single"/>
        </w:rPr>
        <w:t xml:space="preserve"> </w:t>
      </w:r>
      <w:r>
        <w:rPr>
          <w:rFonts w:ascii="Palatino Linotype" w:eastAsia="Palatino Linotype" w:hAnsi="Palatino Linotype" w:cs="Palatino Linotype"/>
          <w:i/>
          <w:color w:val="000000"/>
        </w:rPr>
        <w:t>Información de interés público ya que se refiere al funcionamiento del área encargada de la seguridad pública.” (Sic)</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recurso de revisión número </w:t>
      </w:r>
      <w:r>
        <w:rPr>
          <w:rFonts w:ascii="Palatino Linotype" w:eastAsia="Palatino Linotype" w:hAnsi="Palatino Linotype" w:cs="Palatino Linotype"/>
          <w:b/>
        </w:rPr>
        <w:t xml:space="preserve">00189/INFOEM/IP/RR/2022 </w:t>
      </w:r>
      <w:r>
        <w:rPr>
          <w:rFonts w:ascii="Palatino Linotype" w:eastAsia="Palatino Linotype" w:hAnsi="Palatino Linotype" w:cs="Palatino Linotype"/>
        </w:rPr>
        <w:t>fue</w:t>
      </w:r>
      <w:r>
        <w:rPr>
          <w:rFonts w:ascii="Palatino Linotype" w:eastAsia="Palatino Linotype" w:hAnsi="Palatino Linotype" w:cs="Palatino Linotype"/>
          <w:b/>
        </w:rPr>
        <w:t xml:space="preserve"> </w:t>
      </w:r>
      <w:r>
        <w:rPr>
          <w:rFonts w:ascii="Palatino Linotype" w:eastAsia="Palatino Linotype" w:hAnsi="Palatino Linotype" w:cs="Palatino Linotype"/>
        </w:rPr>
        <w:t>turnado por el sistema electrónico del Institut</w:t>
      </w:r>
      <w:r>
        <w:rPr>
          <w:rFonts w:ascii="Palatino Linotype" w:eastAsia="Palatino Linotype" w:hAnsi="Palatino Linotype" w:cs="Palatino Linotype"/>
        </w:rPr>
        <w:t xml:space="preserve">o de Transparencia, Acceso a la Información Pública y Protección de Datos Personales del Estado de México y Municipios, a la Comisionada Ponente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w:t>
      </w:r>
      <w:r>
        <w:rPr>
          <w:rFonts w:ascii="Palatino Linotype" w:eastAsia="Palatino Linotype" w:hAnsi="Palatino Linotype" w:cs="Palatino Linotype"/>
        </w:rPr>
        <w:t xml:space="preserve"> Instituto.</w:t>
      </w:r>
    </w:p>
    <w:p w:rsidR="00567C36" w:rsidRDefault="00EC61E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En fecha veinticuatro de enero de dos mil veintidós, la Comisionada ponente, admitió a trámite el recurso de revisión que ahora se resuelve, dando un plazo máximo de siete días hábiles para que las partes ma</w:t>
      </w:r>
      <w:r>
        <w:rPr>
          <w:rFonts w:ascii="Palatino Linotype" w:eastAsia="Palatino Linotype" w:hAnsi="Palatino Linotype" w:cs="Palatino Linotype"/>
        </w:rPr>
        <w:t xml:space="preserve">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rsidR="00567C36" w:rsidRDefault="00EC61E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las constancias que integran el expediente en que se actúa se advierte que el </w:t>
      </w:r>
      <w:r>
        <w:rPr>
          <w:rFonts w:ascii="Palatino Linotype" w:eastAsia="Palatino Linotype" w:hAnsi="Palatino Linotype" w:cs="Palatino Linotype"/>
          <w:b/>
        </w:rPr>
        <w:t>RECUR</w:t>
      </w:r>
      <w:r>
        <w:rPr>
          <w:rFonts w:ascii="Palatino Linotype" w:eastAsia="Palatino Linotype" w:hAnsi="Palatino Linotype" w:cs="Palatino Linotype"/>
          <w:b/>
        </w:rPr>
        <w:t>RENTE</w:t>
      </w:r>
      <w:r>
        <w:rPr>
          <w:rFonts w:ascii="Palatino Linotype" w:eastAsia="Palatino Linotype" w:hAnsi="Palatino Linotype" w:cs="Palatino Linotype"/>
        </w:rPr>
        <w:t xml:space="preserve"> fue omiso en ofrecer pruebas y alegatos.</w:t>
      </w:r>
    </w:p>
    <w:p w:rsidR="00567C36" w:rsidRDefault="00EC61E9">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tres de febrero del año dos mil veintidós, remitió el archivo electrónico siguiente: “</w:t>
      </w:r>
      <w:hyperlink r:id="rId10">
        <w:r>
          <w:rPr>
            <w:rFonts w:ascii="Palatino Linotype" w:eastAsia="Palatino Linotype" w:hAnsi="Palatino Linotype" w:cs="Palatino Linotype"/>
          </w:rPr>
          <w:t>DGSCYTM-SA-256-2022 (2).</w:t>
        </w:r>
        <w:proofErr w:type="spellStart"/>
        <w:r>
          <w:rPr>
            <w:rFonts w:ascii="Palatino Linotype" w:eastAsia="Palatino Linotype" w:hAnsi="Palatino Linotype" w:cs="Palatino Linotype"/>
          </w:rPr>
          <w:t>pdf</w:t>
        </w:r>
        <w:proofErr w:type="spellEnd"/>
      </w:hyperlink>
      <w:r>
        <w:rPr>
          <w:rFonts w:ascii="Palatino Linotype" w:eastAsia="Palatino Linotype" w:hAnsi="Palatino Linotype" w:cs="Palatino Linotype"/>
        </w:rPr>
        <w:t>”, el cual se determinó poner a la vista del recurrente en fecha veinticinco de febrero del año en curso, en términos de la fracción III del artículo 185 de la Ley de Transparencia y Acceso a la Información Pública del Es</w:t>
      </w:r>
      <w:r>
        <w:rPr>
          <w:rFonts w:ascii="Palatino Linotype" w:eastAsia="Palatino Linotype" w:hAnsi="Palatino Linotype" w:cs="Palatino Linotype"/>
        </w:rPr>
        <w:t>tado de México y Municipios; para que en el término de tres días manifestara lo que a su derecho convenga respecto de la modificación a la falta de respuesta; sin que el recurrente hiciera manifestación alguna.</w:t>
      </w:r>
    </w:p>
    <w:p w:rsidR="00567C36" w:rsidRDefault="00567C36">
      <w:pPr>
        <w:spacing w:line="360" w:lineRule="auto"/>
        <w:jc w:val="both"/>
        <w:rPr>
          <w:rFonts w:ascii="Palatino Linotype" w:eastAsia="Palatino Linotype" w:hAnsi="Palatino Linotype" w:cs="Palatino Linotype"/>
        </w:rPr>
      </w:pPr>
    </w:p>
    <w:p w:rsidR="00567C36" w:rsidRDefault="00EC61E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En fecha cuatro de</w:t>
      </w:r>
      <w:r>
        <w:rPr>
          <w:rFonts w:ascii="Palatino Linotype" w:eastAsia="Palatino Linotype" w:hAnsi="Palatino Linotype" w:cs="Palatino Linotype"/>
        </w:rPr>
        <w:t xml:space="preserve"> marzo del año dos mil veintidós, la Comisionada ponente determinó el cierre de instrucción en términos de la fracción VI del artículo 185 de la Ley de Transparencia y Acceso a la Información Pública del Estado de México y Municipios.</w:t>
      </w:r>
    </w:p>
    <w:p w:rsidR="00567C36" w:rsidRDefault="00567C36">
      <w:pPr>
        <w:spacing w:line="360" w:lineRule="auto"/>
        <w:jc w:val="both"/>
        <w:rPr>
          <w:rFonts w:ascii="Palatino Linotype" w:eastAsia="Palatino Linotype" w:hAnsi="Palatino Linotype" w:cs="Palatino Linotype"/>
        </w:rPr>
      </w:pPr>
    </w:p>
    <w:p w:rsidR="00567C36" w:rsidRDefault="00EC61E9">
      <w:pPr>
        <w:numPr>
          <w:ilvl w:val="0"/>
          <w:numId w:val="3"/>
        </w:numPr>
        <w:pBdr>
          <w:top w:val="nil"/>
          <w:left w:val="nil"/>
          <w:bottom w:val="nil"/>
          <w:right w:val="nil"/>
          <w:between w:val="nil"/>
        </w:pBdr>
        <w:spacing w:after="240" w:line="360" w:lineRule="auto"/>
        <w:ind w:left="720"/>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C O N S I D E R A N </w:t>
      </w:r>
      <w:r>
        <w:rPr>
          <w:rFonts w:ascii="Palatino Linotype" w:eastAsia="Palatino Linotype" w:hAnsi="Palatino Linotype" w:cs="Palatino Linotype"/>
          <w:b/>
          <w:color w:val="000000"/>
        </w:rPr>
        <w:t>D O:</w:t>
      </w:r>
    </w:p>
    <w:p w:rsidR="00567C36" w:rsidRDefault="00EC61E9">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el presente recurso de revisión interpuesto por la parte rec</w:t>
      </w:r>
      <w:r>
        <w:rPr>
          <w:rFonts w:ascii="Palatino Linotype" w:eastAsia="Palatino Linotype" w:hAnsi="Palatino Linotype" w:cs="Palatino Linotype"/>
          <w:highlight w:val="white"/>
        </w:rPr>
        <w:t>urrente, conforme a lo dispuesto en los artículos 6, apartado A de la Constitución Política de los Estados Unidos Mexicanos; 5, párrafos trigésimo, trigésimo primero y trigésimo segundo, fracciones IV y V de la Constitución Política del Estado Libre y Sobe</w:t>
      </w:r>
      <w:r>
        <w:rPr>
          <w:rFonts w:ascii="Palatino Linotype" w:eastAsia="Palatino Linotype" w:hAnsi="Palatino Linotype" w:cs="Palatino Linotype"/>
          <w:highlight w:val="white"/>
        </w:rPr>
        <w:t xml:space="preserve">rano de México; 1, 2, fracción II; 13,  29, 36, fracciones I y II; 176, 178, 179, 181 párrafo tercero y 185 de la Ley Transparencia y Acceso a la </w:t>
      </w:r>
      <w:r>
        <w:rPr>
          <w:rFonts w:ascii="Palatino Linotype" w:eastAsia="Palatino Linotype" w:hAnsi="Palatino Linotype" w:cs="Palatino Linotype"/>
          <w:highlight w:val="white"/>
        </w:rPr>
        <w:lastRenderedPageBreak/>
        <w:t xml:space="preserve">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w:t>
      </w:r>
      <w:r>
        <w:rPr>
          <w:rFonts w:ascii="Palatino Linotype" w:eastAsia="Palatino Linotype" w:hAnsi="Palatino Linotype" w:cs="Palatino Linotype"/>
          <w:highlight w:val="white"/>
        </w:rPr>
        <w:t xml:space="preserve"> Instituto de Transparencia, Acceso a la Información Pública y Protección de Datos Personales del Estado de México y Municipios.</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w:t>
      </w:r>
      <w:r>
        <w:rPr>
          <w:rFonts w:ascii="Palatino Linotype" w:eastAsia="Palatino Linotype" w:hAnsi="Palatino Linotype" w:cs="Palatino Linotype"/>
        </w:rPr>
        <w:t xml:space="preserve">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w:t>
      </w:r>
      <w:r>
        <w:rPr>
          <w:rFonts w:ascii="Palatino Linotype" w:eastAsia="Palatino Linotype" w:hAnsi="Palatino Linotype" w:cs="Palatino Linotype"/>
        </w:rPr>
        <w:t xml:space="preserve">ha doce de enero del año dos mil veintidós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diecinueve de enero del mismo año, esto es al quinto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sin contabilizar los días sábado y dom</w:t>
      </w:r>
      <w:r>
        <w:rPr>
          <w:rFonts w:ascii="Palatino Linotype" w:eastAsia="Palatino Linotype" w:hAnsi="Palatino Linotype" w:cs="Palatino Linotype"/>
        </w:rPr>
        <w:t>ingo por corresponder a días inhábiles, evidenciándose que la interposición del recurso se encuentra dentro de los márgenes temporales previstos en el citado precepto legal.</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por cuanto hace a la procedibilidad de los recursos de revisión, es de sum</w:t>
      </w:r>
      <w:r>
        <w:rPr>
          <w:rFonts w:ascii="Palatino Linotype" w:eastAsia="Palatino Linotype" w:hAnsi="Palatino Linotype" w:cs="Palatino Linotype"/>
        </w:rPr>
        <w:t>a importancia señalar que la parte recurrente se identifica c</w:t>
      </w:r>
      <w:bookmarkStart w:id="0" w:name="_GoBack"/>
      <w:bookmarkEnd w:id="0"/>
      <w:r>
        <w:rPr>
          <w:rFonts w:ascii="Palatino Linotype" w:eastAsia="Palatino Linotype" w:hAnsi="Palatino Linotype" w:cs="Palatino Linotype"/>
        </w:rPr>
        <w:t>omo "</w:t>
      </w:r>
      <w:r>
        <w:rPr>
          <w:rFonts w:ascii="Palatino Linotype" w:eastAsia="Palatino Linotype" w:hAnsi="Palatino Linotype" w:cs="Palatino Linotype"/>
          <w:b/>
        </w:rPr>
        <w:t xml:space="preserve"> XXXXX</w:t>
      </w:r>
      <w:r>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w:t>
      </w:r>
      <w:r>
        <w:rPr>
          <w:rFonts w:ascii="Palatino Linotype" w:eastAsia="Palatino Linotype" w:hAnsi="Palatino Linotype" w:cs="Palatino Linotype"/>
        </w:rPr>
        <w:t>como concluida, conforme a lo previsto en el artículo 155, penúltimo párrafo de la Ley de Transparencia y Acceso a la Información Pública del Estado de México y Municipios que establece lo siguiente:</w:t>
      </w:r>
    </w:p>
    <w:p w:rsidR="00567C36" w:rsidRDefault="00EC61E9">
      <w:pPr>
        <w:spacing w:before="240" w:after="240" w:line="276" w:lineRule="auto"/>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Robusteciendo lo anterior se encu</w:t>
      </w:r>
      <w:r>
        <w:rPr>
          <w:rFonts w:ascii="Palatino Linotype" w:eastAsia="Palatino Linotype" w:hAnsi="Palatino Linotype" w:cs="Palatino Linotype"/>
        </w:rPr>
        <w:t>entra lo dispuesto en el artículo 6, Apartado A, fracciones III de la Constitución Política de los Estados Unidos Mexicanos que establece:</w:t>
      </w:r>
    </w:p>
    <w:p w:rsidR="00567C36" w:rsidRDefault="00EC61E9">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p>
    <w:p w:rsidR="00567C36" w:rsidRDefault="00EC61E9">
      <w:pPr>
        <w:spacing w:before="240" w:after="240" w:line="276" w:lineRule="auto"/>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La manifestación de las ideas no será objeto de ninguna inquisición judicial o administrativa, sino</w:t>
      </w:r>
      <w:r>
        <w:rPr>
          <w:rFonts w:ascii="Palatino Linotype" w:eastAsia="Palatino Linotype" w:hAnsi="Palatino Linotype" w:cs="Palatino Linotype"/>
          <w:i/>
          <w:sz w:val="22"/>
          <w:szCs w:val="22"/>
        </w:rPr>
        <w:t xml:space="preserve"> en el caso de que ataque a la moral, la vida privada o los derechos de terceros, provoque algún delito, o perturbe el orden público; el derecho de réplica será ejercido en los términos dispuestos por la ley. El derecho a la información será garantizado po</w:t>
      </w:r>
      <w:r>
        <w:rPr>
          <w:rFonts w:ascii="Palatino Linotype" w:eastAsia="Palatino Linotype" w:hAnsi="Palatino Linotype" w:cs="Palatino Linotype"/>
          <w:i/>
          <w:sz w:val="22"/>
          <w:szCs w:val="22"/>
        </w:rPr>
        <w:t>r el Estado.</w:t>
      </w:r>
    </w:p>
    <w:p w:rsidR="00567C36" w:rsidRDefault="00EC61E9">
      <w:pPr>
        <w:spacing w:before="240" w:after="240" w:line="276" w:lineRule="auto"/>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rsidR="00567C36" w:rsidRDefault="00EC61E9">
      <w:pPr>
        <w:spacing w:before="240" w:after="240" w:line="276" w:lineRule="auto"/>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Para el ejercicio del derecho de acceso a la información, la Federación, los Estados y el Distrito Federal, en el ámbito de sus respectivas competencias, se reg</w:t>
      </w:r>
      <w:r>
        <w:rPr>
          <w:rFonts w:ascii="Palatino Linotype" w:eastAsia="Palatino Linotype" w:hAnsi="Palatino Linotype" w:cs="Palatino Linotype"/>
          <w:i/>
          <w:sz w:val="22"/>
          <w:szCs w:val="22"/>
        </w:rPr>
        <w:t>irán por los siguientes principios y bases:</w:t>
      </w:r>
    </w:p>
    <w:p w:rsidR="00567C36" w:rsidRDefault="00EC61E9">
      <w:pPr>
        <w:spacing w:before="240" w:after="240" w:line="276" w:lineRule="auto"/>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como el artícul</w:t>
      </w:r>
      <w:r>
        <w:rPr>
          <w:rFonts w:ascii="Palatino Linotype" w:eastAsia="Palatino Linotype" w:hAnsi="Palatino Linotype" w:cs="Palatino Linotype"/>
        </w:rPr>
        <w:t>o 5 fracción III, párrafo vigésimo segundo, vigésimo tercero y vigésimo cuarto, de la Constitución Política del Estado Libre y Soberano de México, que determina lo siguiente:</w:t>
      </w:r>
    </w:p>
    <w:p w:rsidR="00567C36" w:rsidRDefault="00EC61E9">
      <w:pPr>
        <w:spacing w:before="240" w:after="240" w:line="276" w:lineRule="auto"/>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En el Estado de México todas las personas gozarán de los derechos h</w:t>
      </w:r>
      <w:r>
        <w:rPr>
          <w:rFonts w:ascii="Palatino Linotype" w:eastAsia="Palatino Linotype" w:hAnsi="Palatino Linotype" w:cs="Palatino Linotype"/>
          <w:i/>
          <w:sz w:val="22"/>
          <w:szCs w:val="22"/>
        </w:rPr>
        <w:t>umanos reconocidos en la Constitución Política de los Estados Unidos Mexicanos, en los tratados internacionales en los que el Estado mexicano sea parte, en esta Constitución y en las leyes que de ésta emanen, por lo que gozarán de las garantías para su pro</w:t>
      </w:r>
      <w:r>
        <w:rPr>
          <w:rFonts w:ascii="Palatino Linotype" w:eastAsia="Palatino Linotype" w:hAnsi="Palatino Linotype" w:cs="Palatino Linotype"/>
          <w:i/>
          <w:sz w:val="22"/>
          <w:szCs w:val="22"/>
        </w:rPr>
        <w:t xml:space="preserve">tección, las cuales </w:t>
      </w:r>
      <w:r>
        <w:rPr>
          <w:rFonts w:ascii="Palatino Linotype" w:eastAsia="Palatino Linotype" w:hAnsi="Palatino Linotype" w:cs="Palatino Linotype"/>
          <w:i/>
          <w:sz w:val="22"/>
          <w:szCs w:val="22"/>
        </w:rPr>
        <w:lastRenderedPageBreak/>
        <w:t>no podrán restringirse ni suspenderse salvo en los casos y bajo las condiciones que la Constitución Política de los Estados Unidos Mexicanos establece”.(Sic)</w:t>
      </w:r>
    </w:p>
    <w:p w:rsidR="00567C36" w:rsidRDefault="00EC61E9">
      <w:pPr>
        <w:spacing w:before="240" w:after="240" w:line="276" w:lineRule="auto"/>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67C36" w:rsidRDefault="00EC61E9">
      <w:pPr>
        <w:spacing w:before="240" w:after="240" w:line="276" w:lineRule="auto"/>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Toda persona en el Estado de México, tiene derecho al libre acceso a la </w:t>
      </w:r>
      <w:r>
        <w:rPr>
          <w:rFonts w:ascii="Palatino Linotype" w:eastAsia="Palatino Linotype" w:hAnsi="Palatino Linotype" w:cs="Palatino Linotype"/>
          <w:i/>
          <w:sz w:val="22"/>
          <w:szCs w:val="22"/>
        </w:rPr>
        <w:t>información plural y oportuna, así como a buscar recibir y difundir información e ideas de toda índole por cualquier medio de expresión.</w:t>
      </w:r>
    </w:p>
    <w:p w:rsidR="00567C36" w:rsidRDefault="00EC61E9">
      <w:pPr>
        <w:spacing w:before="240" w:after="240" w:line="276" w:lineRule="auto"/>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67C36" w:rsidRDefault="00EC61E9">
      <w:pPr>
        <w:spacing w:before="240" w:after="240" w:line="276" w:lineRule="auto"/>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derecho a la información será garantizado por el Estado. La ley establecerá las previsiones que permitan asegu</w:t>
      </w:r>
      <w:r>
        <w:rPr>
          <w:rFonts w:ascii="Palatino Linotype" w:eastAsia="Palatino Linotype" w:hAnsi="Palatino Linotype" w:cs="Palatino Linotype"/>
          <w:i/>
          <w:sz w:val="22"/>
          <w:szCs w:val="22"/>
        </w:rPr>
        <w:t>rar la protección, el respeto y la difusión de este derecho.</w:t>
      </w:r>
    </w:p>
    <w:p w:rsidR="00567C36" w:rsidRDefault="00EC61E9">
      <w:pPr>
        <w:spacing w:before="240" w:after="240" w:line="276" w:lineRule="auto"/>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w:t>
      </w:r>
      <w:r>
        <w:rPr>
          <w:rFonts w:ascii="Palatino Linotype" w:eastAsia="Palatino Linotype" w:hAnsi="Palatino Linotype" w:cs="Palatino Linotype"/>
          <w:i/>
          <w:sz w:val="22"/>
          <w:szCs w:val="22"/>
        </w:rPr>
        <w:t>cciones, en términos de las disposiciones aplicables, la información será oportuna, clara, veraz y de fácil acceso. Este derecho se regirá por los principios y bases siguientes:</w:t>
      </w:r>
    </w:p>
    <w:p w:rsidR="00567C36" w:rsidRDefault="00EC61E9">
      <w:pPr>
        <w:spacing w:before="240" w:after="240" w:line="276" w:lineRule="auto"/>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w:t>
      </w:r>
      <w:r>
        <w:rPr>
          <w:rFonts w:ascii="Palatino Linotype" w:eastAsia="Palatino Linotype" w:hAnsi="Palatino Linotype" w:cs="Palatino Linotype"/>
          <w:i/>
          <w:sz w:val="22"/>
          <w:szCs w:val="22"/>
        </w:rPr>
        <w:t>tilización, tendrá acceso gratuito a la información pública, a sus datos personales o a la rectificación de éstos;</w:t>
      </w:r>
    </w:p>
    <w:p w:rsidR="00567C36" w:rsidRDefault="00EC61E9">
      <w:pPr>
        <w:spacing w:before="240" w:after="240" w:line="276" w:lineRule="auto"/>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67C36" w:rsidRDefault="00EC61E9">
      <w:pPr>
        <w:spacing w:before="240" w:after="240" w:line="276" w:lineRule="auto"/>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El Estado contará con un organismo autónomo, especializado, imparcial, colegiado, con personalidad jurídica y patrimonio propio, </w:t>
      </w:r>
      <w:r>
        <w:rPr>
          <w:rFonts w:ascii="Palatino Linotype" w:eastAsia="Palatino Linotype" w:hAnsi="Palatino Linotype" w:cs="Palatino Linotype"/>
          <w:i/>
          <w:sz w:val="22"/>
          <w:szCs w:val="22"/>
        </w:rPr>
        <w:t>con plena autonomía técnica y de gestión, con capacidad para decidir sobre el ejercicio de su presupuesto y determinar su organización interna, responsable de garantizar el cumplimiento del derecho de transparencia, acceso a la información pública y a la p</w:t>
      </w:r>
      <w:r>
        <w:rPr>
          <w:rFonts w:ascii="Palatino Linotype" w:eastAsia="Palatino Linotype" w:hAnsi="Palatino Linotype" w:cs="Palatino Linotype"/>
          <w:i/>
          <w:sz w:val="22"/>
          <w:szCs w:val="22"/>
        </w:rPr>
        <w:t>rotección de datos personales en posesión de los sujetos obligados en los términos que establezca la ley.” (...)</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del contenido del artículo 1 de la Constitución Política de los Estados Unidos mexicanos, se destaca lo siguiente:</w:t>
      </w:r>
    </w:p>
    <w:p w:rsidR="00567C36" w:rsidRDefault="00EC61E9">
      <w:pPr>
        <w:spacing w:before="240" w:after="240" w:line="276" w:lineRule="auto"/>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w:t>
      </w:r>
      <w:r>
        <w:rPr>
          <w:rFonts w:ascii="Palatino Linotype" w:eastAsia="Palatino Linotype" w:hAnsi="Palatino Linotype" w:cs="Palatino Linotype"/>
          <w:i/>
          <w:sz w:val="22"/>
          <w:szCs w:val="22"/>
        </w:rPr>
        <w:t xml:space="preserve"> podrá restringirse ni suspenderse, salvo en los casos y bajo las condiciones que esta Constitución establece.</w:t>
      </w:r>
    </w:p>
    <w:p w:rsidR="00567C36" w:rsidRDefault="00EC61E9">
      <w:pPr>
        <w:spacing w:before="240" w:after="240" w:line="276" w:lineRule="auto"/>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w:t>
      </w:r>
      <w:r>
        <w:rPr>
          <w:rFonts w:ascii="Palatino Linotype" w:eastAsia="Palatino Linotype" w:hAnsi="Palatino Linotype" w:cs="Palatino Linotype"/>
          <w:i/>
          <w:sz w:val="22"/>
          <w:szCs w:val="22"/>
        </w:rPr>
        <w:t>a favoreciendo en todo tiempo a las personas la protección más amplia.</w:t>
      </w:r>
    </w:p>
    <w:p w:rsidR="00567C36" w:rsidRDefault="00EC61E9">
      <w:pPr>
        <w:spacing w:before="240" w:after="240" w:line="276" w:lineRule="auto"/>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w:t>
      </w:r>
      <w:r>
        <w:rPr>
          <w:rFonts w:ascii="Palatino Linotype" w:eastAsia="Palatino Linotype" w:hAnsi="Palatino Linotype" w:cs="Palatino Linotype"/>
          <w:i/>
          <w:sz w:val="22"/>
          <w:szCs w:val="22"/>
        </w:rPr>
        <w:t>ersalidad, interdependencia, indivisibilidad y progresividad. En consecuencia, el Estado deberá prevenir, investigar, sancionar y reparar las violaciones a los derechos humanos, en los términos que establezca la ley."(Sic)</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el derecho humano de</w:t>
      </w:r>
      <w:r>
        <w:rPr>
          <w:rFonts w:ascii="Palatino Linotype" w:eastAsia="Palatino Linotype" w:hAnsi="Palatino Linotype" w:cs="Palatino Linotype"/>
        </w:rPr>
        <w:t xml:space="preserv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rPr>
        <w:t>derecho fundamental exime a quien lo ejerce</w:t>
      </w:r>
      <w:r>
        <w:rPr>
          <w:rFonts w:ascii="Palatino Linotype" w:eastAsia="Palatino Linotype" w:hAnsi="Palatino Linotype" w:cs="Palatino Linotype"/>
        </w:rPr>
        <w:t xml:space="preserve">, de acreditar </w:t>
      </w:r>
      <w:r>
        <w:rPr>
          <w:rFonts w:ascii="Palatino Linotype" w:eastAsia="Palatino Linotype" w:hAnsi="Palatino Linotype" w:cs="Palatino Linotype"/>
        </w:rPr>
        <w:t>su legitimación en la causa o su interés en el asunto, lo que permite la posibilidad de que, incluso, la solicitud de acceso a la información pueda ser anónima o no contener un nombre que identifique al solicitante o que permita tener certeza sobre su iden</w:t>
      </w:r>
      <w:r>
        <w:rPr>
          <w:rFonts w:ascii="Palatino Linotype" w:eastAsia="Palatino Linotype" w:hAnsi="Palatino Linotype" w:cs="Palatino Linotype"/>
        </w:rPr>
        <w:t>tidad.</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w:t>
      </w:r>
      <w:r>
        <w:rPr>
          <w:rFonts w:ascii="Palatino Linotype" w:eastAsia="Palatino Linotype" w:hAnsi="Palatino Linotype" w:cs="Palatino Linotype"/>
        </w:rPr>
        <w:t xml:space="preserve"> una mayor referencia:</w:t>
      </w:r>
    </w:p>
    <w:p w:rsidR="00567C36" w:rsidRDefault="00EC61E9">
      <w:pPr>
        <w:spacing w:before="240" w:after="240" w:line="276"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“Acceso a información gubernamental. No debe condicionarse a que el solicitante acredite su personalidad, demuestre interés alguno o justifique su utilización. De conformidad con lo dispuesto en los artículos 6o., apartado A, fracción III de la Constitució</w:t>
      </w:r>
      <w:r>
        <w:rPr>
          <w:rFonts w:ascii="Palatino Linotype" w:eastAsia="Palatino Linotype" w:hAnsi="Palatino Linotype" w:cs="Palatino Linotype"/>
          <w:i/>
        </w:rPr>
        <w:t>n Política de los Estados Unidos Mexicanos, y 1º, 2º, 4º y 40 de la Ley Federal de Transparencia y Acceso a la Información Pública Gubernamental, la respuesta a una solicitud de acceso a información y entrega de la misma, no debe estar condicionada a que e</w:t>
      </w:r>
      <w:r>
        <w:rPr>
          <w:rFonts w:ascii="Palatino Linotype" w:eastAsia="Palatino Linotype" w:hAnsi="Palatino Linotype" w:cs="Palatino Linotype"/>
          <w:i/>
        </w:rPr>
        <w:t>l particular acredite su personalidad, demuestre interés alguno o justifique su utilización, en virtud de que los sujetos obligados no deben requerir al solicitante mayores requisitos que los establecidos en la Ley. En este sentido, las dependencias y enti</w:t>
      </w:r>
      <w:r>
        <w:rPr>
          <w:rFonts w:ascii="Palatino Linotype" w:eastAsia="Palatino Linotype" w:hAnsi="Palatino Linotype" w:cs="Palatino Linotype"/>
          <w:i/>
        </w:rPr>
        <w:t>dades, sólo deberán asegurarse de que, en su caso, se haya cubierto el pago de reproducción y envío de la información, mediante la exhibición del recibo correspondiente.”(Sic)</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dado lo expuesto y fundado con anterioridad, se estima que el r</w:t>
      </w:r>
      <w:r>
        <w:rPr>
          <w:rFonts w:ascii="Palatino Linotype" w:eastAsia="Palatino Linotype" w:hAnsi="Palatino Linotype" w:cs="Palatino Linotype"/>
        </w:rPr>
        <w:t>equisito relativo al nombre del recurrente no constituye un presupuesto indispensable de procedibilidad del Recurso de Revisión, en términos de los artículos 25 de la Convención Americana de Derechos Humanos, 1, párrafos segundo y tercero, 6 apartado A fra</w:t>
      </w:r>
      <w:r>
        <w:rPr>
          <w:rFonts w:ascii="Palatino Linotype" w:eastAsia="Palatino Linotype" w:hAnsi="Palatino Linotype" w:cs="Palatino Linotype"/>
        </w:rPr>
        <w:t>cción III de la Constitución Política de los Estados Unidos Mexicanos y 5 párrafo vigésimo segundo de la Constitución Política del Estado Libre y Soberano de México, debido a que el acceso a la información pública es un derecho humano que no requiere legit</w:t>
      </w:r>
      <w:r>
        <w:rPr>
          <w:rFonts w:ascii="Palatino Linotype" w:eastAsia="Palatino Linotype" w:hAnsi="Palatino Linotype" w:cs="Palatino Linotype"/>
        </w:rPr>
        <w:t>imación en la causa, si no que únicamente basta con que se encuentre legitimado en el procedimiento de Recurso de Revisión, circunstancia que se acredita en las constancias electrónicas de los expedientes en revisión, de las que se desprende que la parte r</w:t>
      </w:r>
      <w:r>
        <w:rPr>
          <w:rFonts w:ascii="Palatino Linotype" w:eastAsia="Palatino Linotype" w:hAnsi="Palatino Linotype" w:cs="Palatino Linotype"/>
        </w:rPr>
        <w:t>ecurrente, es la misma que realizó la solicitud de acceso a la información pública que ahora se impugna.</w:t>
      </w:r>
    </w:p>
    <w:p w:rsidR="00567C36" w:rsidRDefault="00EC61E9">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también, por cuanto hace a la procedibilidad del recurso de revisión, una vez realizado el análisis del formato de interposición del mismo, se conc</w:t>
      </w:r>
      <w:r>
        <w:rPr>
          <w:rFonts w:ascii="Palatino Linotype" w:eastAsia="Palatino Linotype" w:hAnsi="Palatino Linotype" w:cs="Palatino Linotype"/>
        </w:rPr>
        <w:t xml:space="preserve">luye la acreditación plena de los elementos formales precisados por el artículo 180 de la Ley de Transparencia y Acceso a la Información Pública del Estado de México y Municipios, en atención a que fue presentado mediante formato visible en el SAIMEX. </w:t>
      </w:r>
    </w:p>
    <w:p w:rsidR="00567C36" w:rsidRDefault="00EC61E9">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del recurso, según lo ad</w:t>
      </w:r>
      <w:r>
        <w:rPr>
          <w:rFonts w:ascii="Palatino Linotype" w:eastAsia="Palatino Linotype" w:hAnsi="Palatino Linotype" w:cs="Palatino Linotype"/>
        </w:rPr>
        <w:t xml:space="preserve">ucido por el recurrente en sus razones o motivos de inconformidad, de acuerdo al artículo 179, fracción V de </w:t>
      </w:r>
      <w:r>
        <w:rPr>
          <w:rFonts w:ascii="Palatino Linotype" w:eastAsia="Palatino Linotype" w:hAnsi="Palatino Linotype" w:cs="Palatino Linotype"/>
          <w:color w:val="000000"/>
        </w:rPr>
        <w:t>la Ley de Transparencia y Acceso a la Información Pública del Estado de Méx</w:t>
      </w:r>
      <w:r>
        <w:rPr>
          <w:rFonts w:ascii="Palatino Linotype" w:eastAsia="Palatino Linotype" w:hAnsi="Palatino Linotype" w:cs="Palatino Linotype"/>
          <w:color w:val="000000"/>
        </w:rPr>
        <w:t>ico y Municipios; que a la letra dice:</w:t>
      </w:r>
    </w:p>
    <w:p w:rsidR="00567C36" w:rsidRDefault="00EC61E9">
      <w:pPr>
        <w:pBdr>
          <w:top w:val="nil"/>
          <w:left w:val="nil"/>
          <w:bottom w:val="nil"/>
          <w:right w:val="nil"/>
          <w:between w:val="nil"/>
        </w:pBdr>
        <w:spacing w:before="240"/>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567C36" w:rsidRDefault="00EC61E9">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p>
    <w:p w:rsidR="00567C36" w:rsidRDefault="00EC61E9">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La entrega de información incompleta;”…(Sic)</w:t>
      </w:r>
    </w:p>
    <w:p w:rsidR="00567C36" w:rsidRDefault="00567C36">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p>
    <w:p w:rsidR="00567C36" w:rsidRDefault="00EC61E9">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Con base en las constancias que obran en el expediente que se actúa, este Instituto tiene la convicción de que la presente resolución tiene como objetivo central determinar si l</w:t>
      </w:r>
      <w:r>
        <w:rPr>
          <w:rFonts w:ascii="Palatino Linotype" w:eastAsia="Palatino Linotype" w:hAnsi="Palatino Linotype" w:cs="Palatino Linotype"/>
          <w:color w:val="000000"/>
        </w:rPr>
        <w:t xml:space="preserve">a respuesta como el informe justificado proporcionados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son correctos y suficientes para tener por atendida la solicitud de acceso a la información.</w:t>
      </w:r>
    </w:p>
    <w:p w:rsidR="00567C36" w:rsidRDefault="00EC61E9">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color w:val="000000"/>
        </w:rPr>
        <w:t>Del análisis de la solicitud de información púb</w:t>
      </w:r>
      <w:r>
        <w:rPr>
          <w:rFonts w:ascii="Palatino Linotype" w:eastAsia="Palatino Linotype" w:hAnsi="Palatino Linotype" w:cs="Palatino Linotype"/>
          <w:color w:val="000000"/>
        </w:rPr>
        <w:t>lica que motivó el recurso de revisión que ahora se resuelve, se advierte que el particular requirió al Ayuntamiento de Naucalpan de Juárez, lo siguiente:</w:t>
      </w:r>
    </w:p>
    <w:p w:rsidR="00567C36" w:rsidRDefault="00EC61E9">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los Policías Municipales:</w:t>
      </w:r>
    </w:p>
    <w:p w:rsidR="00567C36" w:rsidRDefault="00EC61E9">
      <w:pPr>
        <w:numPr>
          <w:ilvl w:val="0"/>
          <w:numId w:val="1"/>
        </w:num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Cuántos removidos, suspendidos o dados de baja por la Comisión de Honor y Justicia en 2018, 2019, 2020 y 2021.</w:t>
      </w:r>
    </w:p>
    <w:p w:rsidR="00567C36" w:rsidRDefault="00EC61E9">
      <w:pPr>
        <w:numPr>
          <w:ilvl w:val="1"/>
          <w:numId w:val="1"/>
        </w:num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desglosar por mes y año.</w:t>
      </w:r>
    </w:p>
    <w:p w:rsidR="00567C36" w:rsidRDefault="00EC61E9">
      <w:pPr>
        <w:numPr>
          <w:ilvl w:val="1"/>
          <w:numId w:val="1"/>
        </w:num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b/>
          <w:color w:val="000000"/>
          <w:u w:val="single"/>
        </w:rPr>
        <w:t>desglosar motivo</w:t>
      </w:r>
    </w:p>
    <w:p w:rsidR="00567C36" w:rsidRDefault="00EC61E9">
      <w:pPr>
        <w:numPr>
          <w:ilvl w:val="1"/>
          <w:numId w:val="1"/>
        </w:num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Indicar cuántos casos están relacionados con la comisión de un delito. Indicar delito</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través de dos archivos que contienen lo siguiente: </w:t>
      </w:r>
    </w:p>
    <w:p w:rsidR="00567C36" w:rsidRDefault="00EC61E9">
      <w:pPr>
        <w:spacing w:before="240" w:after="240"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612130" cy="6711950"/>
            <wp:effectExtent l="0" t="0" r="0" b="0"/>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612130" cy="6711950"/>
                    </a:xfrm>
                    <a:prstGeom prst="rect">
                      <a:avLst/>
                    </a:prstGeom>
                    <a:ln/>
                  </pic:spPr>
                </pic:pic>
              </a:graphicData>
            </a:graphic>
          </wp:inline>
        </w:drawing>
      </w:r>
    </w:p>
    <w:p w:rsidR="00567C36" w:rsidRDefault="00EC61E9">
      <w:pPr>
        <w:spacing w:before="240" w:after="240"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612130" cy="7353300"/>
            <wp:effectExtent l="0" t="0" r="0" b="0"/>
            <wp:docPr id="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612130" cy="7353300"/>
                    </a:xfrm>
                    <a:prstGeom prst="rect">
                      <a:avLst/>
                    </a:prstGeom>
                    <a:ln/>
                  </pic:spPr>
                </pic:pic>
              </a:graphicData>
            </a:graphic>
          </wp:inline>
        </w:drawing>
      </w:r>
    </w:p>
    <w:p w:rsidR="00567C36" w:rsidRDefault="00EC61E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Derivado de dicha respuesta la solicitante se inconformó, en lo medular porque la información es incompleta, toda vez que </w:t>
      </w:r>
      <w:r>
        <w:rPr>
          <w:rFonts w:ascii="Palatino Linotype" w:eastAsia="Palatino Linotype" w:hAnsi="Palatino Linotype" w:cs="Palatino Linotype"/>
          <w:b/>
        </w:rPr>
        <w:t xml:space="preserve">se omitió informar el </w:t>
      </w:r>
      <w:r>
        <w:rPr>
          <w:rFonts w:ascii="Palatino Linotype" w:eastAsia="Palatino Linotype" w:hAnsi="Palatino Linotype" w:cs="Palatino Linotype"/>
          <w:b/>
        </w:rPr>
        <w:t xml:space="preserve">motivo de las separaciones del cargo. </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rindió su informe justificado a través del archivo electrónico, siguiente:</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3">
        <w:r>
          <w:rPr>
            <w:rFonts w:ascii="Palatino Linotype" w:eastAsia="Palatino Linotype" w:hAnsi="Palatino Linotype" w:cs="Palatino Linotype"/>
          </w:rPr>
          <w:t>DGSCYTM-SA-256-2022 (2).</w:t>
        </w:r>
        <w:proofErr w:type="spellStart"/>
        <w:r>
          <w:rPr>
            <w:rFonts w:ascii="Palatino Linotype" w:eastAsia="Palatino Linotype" w:hAnsi="Palatino Linotype" w:cs="Palatino Linotype"/>
          </w:rPr>
          <w:t>pdf</w:t>
        </w:r>
        <w:proofErr w:type="spellEnd"/>
      </w:hyperlink>
      <w:r>
        <w:rPr>
          <w:rFonts w:ascii="Palatino Linotype" w:eastAsia="Palatino Linotype" w:hAnsi="Palatino Linotype" w:cs="Palatino Linotype"/>
        </w:rPr>
        <w:t xml:space="preserve">”, el cual contiene el número de oficio DGSCYTM/SA/256/2022, a través del cual la Subdirección de Administración de la Dirección General de Seguridad Ciudadana y Tránsito Municipal del Ayuntamiento de Naucalpan de </w:t>
      </w:r>
      <w:r>
        <w:rPr>
          <w:rFonts w:ascii="Palatino Linotype" w:eastAsia="Palatino Linotype" w:hAnsi="Palatino Linotype" w:cs="Palatino Linotype"/>
        </w:rPr>
        <w:t>Juárez, informó que de una revisión exhaustiva en los archivos con los que cuenta el Departamento de Recursos Humanos dependiente de dicha Subdirección, se desprende lo siguiente:</w:t>
      </w:r>
    </w:p>
    <w:p w:rsidR="00567C36" w:rsidRDefault="00EC61E9">
      <w:pPr>
        <w:spacing w:before="240" w:after="240" w:line="360" w:lineRule="auto"/>
        <w:jc w:val="both"/>
        <w:rPr>
          <w:rFonts w:ascii="Palatino Linotype" w:eastAsia="Palatino Linotype" w:hAnsi="Palatino Linotype" w:cs="Palatino Linotype"/>
        </w:rPr>
      </w:pPr>
      <w:r>
        <w:rPr>
          <w:noProof/>
          <w:lang w:val="es-MX" w:eastAsia="es-MX"/>
        </w:rPr>
        <w:drawing>
          <wp:inline distT="0" distB="0" distL="0" distR="0">
            <wp:extent cx="5524500" cy="3225800"/>
            <wp:effectExtent l="0" t="0" r="0" b="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39941" t="45665" r="25435" b="20538"/>
                    <a:stretch>
                      <a:fillRect/>
                    </a:stretch>
                  </pic:blipFill>
                  <pic:spPr>
                    <a:xfrm>
                      <a:off x="0" y="0"/>
                      <a:ext cx="5524500" cy="3225800"/>
                    </a:xfrm>
                    <a:prstGeom prst="rect">
                      <a:avLst/>
                    </a:prstGeom>
                    <a:ln/>
                  </pic:spPr>
                </pic:pic>
              </a:graphicData>
            </a:graphic>
          </wp:inline>
        </w:drawing>
      </w:r>
    </w:p>
    <w:p w:rsidR="00567C36" w:rsidRDefault="00EC61E9">
      <w:pPr>
        <w:spacing w:before="240" w:after="240"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429250" cy="31242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39715" t="14484" r="25095" b="15911"/>
                    <a:stretch>
                      <a:fillRect/>
                    </a:stretch>
                  </pic:blipFill>
                  <pic:spPr>
                    <a:xfrm>
                      <a:off x="0" y="0"/>
                      <a:ext cx="5429250" cy="3124200"/>
                    </a:xfrm>
                    <a:prstGeom prst="rect">
                      <a:avLst/>
                    </a:prstGeom>
                    <a:ln/>
                  </pic:spPr>
                </pic:pic>
              </a:graphicData>
            </a:graphic>
          </wp:inline>
        </w:drawing>
      </w:r>
    </w:p>
    <w:p w:rsidR="00567C36" w:rsidRDefault="00EC61E9">
      <w:pPr>
        <w:spacing w:before="240" w:after="240" w:line="360" w:lineRule="auto"/>
        <w:jc w:val="both"/>
        <w:rPr>
          <w:rFonts w:ascii="Palatino Linotype" w:eastAsia="Palatino Linotype" w:hAnsi="Palatino Linotype" w:cs="Palatino Linotype"/>
        </w:rPr>
      </w:pPr>
      <w:r>
        <w:rPr>
          <w:noProof/>
          <w:lang w:val="es-MX" w:eastAsia="es-MX"/>
        </w:rPr>
        <w:drawing>
          <wp:inline distT="0" distB="0" distL="0" distR="0">
            <wp:extent cx="5486400" cy="4006850"/>
            <wp:effectExtent l="0" t="0" r="0" b="0"/>
            <wp:docPr id="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43449" t="20117" r="25435" b="9272"/>
                    <a:stretch>
                      <a:fillRect/>
                    </a:stretch>
                  </pic:blipFill>
                  <pic:spPr>
                    <a:xfrm>
                      <a:off x="0" y="0"/>
                      <a:ext cx="5486400" cy="4006850"/>
                    </a:xfrm>
                    <a:prstGeom prst="rect">
                      <a:avLst/>
                    </a:prstGeom>
                    <a:ln/>
                  </pic:spPr>
                </pic:pic>
              </a:graphicData>
            </a:graphic>
          </wp:inline>
        </w:drawing>
      </w:r>
    </w:p>
    <w:p w:rsidR="00567C36" w:rsidRDefault="00EC61E9">
      <w:pPr>
        <w:spacing w:before="240" w:after="240"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435600" cy="984250"/>
            <wp:effectExtent l="0" t="0" r="0" b="0"/>
            <wp:docPr id="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40394" t="38623" r="24757" b="51117"/>
                    <a:stretch>
                      <a:fillRect/>
                    </a:stretch>
                  </pic:blipFill>
                  <pic:spPr>
                    <a:xfrm>
                      <a:off x="0" y="0"/>
                      <a:ext cx="5435600" cy="984250"/>
                    </a:xfrm>
                    <a:prstGeom prst="rect">
                      <a:avLst/>
                    </a:prstGeom>
                    <a:ln/>
                  </pic:spPr>
                </pic:pic>
              </a:graphicData>
            </a:graphic>
          </wp:inline>
        </w:drawing>
      </w:r>
    </w:p>
    <w:p w:rsidR="00567C36" w:rsidRDefault="00EC61E9">
      <w:pPr>
        <w:spacing w:before="240" w:after="240"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rPr>
        <w:t>Agregando, que se proporciona la información que obra en los archivos de la mencionada Subdirección, respecto de las resoluciones emitidas por la Comisión de Honor  y Justicia por procedimientos instaurados en contra de elementos adscritos a la Dirección G</w:t>
      </w:r>
      <w:r>
        <w:rPr>
          <w:rFonts w:ascii="Palatino Linotype" w:eastAsia="Palatino Linotype" w:hAnsi="Palatino Linotype" w:cs="Palatino Linotype"/>
        </w:rPr>
        <w:t xml:space="preserve">eneral de Seguridad Ciudadana y Tránsito Municipal del Ayuntamiento de Naucalpan de Juárez, por lo que de acuerdo al fundamento legal que señala en el mismo, </w:t>
      </w:r>
      <w:r>
        <w:rPr>
          <w:rFonts w:ascii="Palatino Linotype" w:eastAsia="Palatino Linotype" w:hAnsi="Palatino Linotype" w:cs="Palatino Linotype"/>
          <w:b/>
          <w:u w:val="single"/>
        </w:rPr>
        <w:t>se le hace del conocimiento que el área encargada orgánicamente de generar, manejar, procesar y en</w:t>
      </w:r>
      <w:r>
        <w:rPr>
          <w:rFonts w:ascii="Palatino Linotype" w:eastAsia="Palatino Linotype" w:hAnsi="Palatino Linotype" w:cs="Palatino Linotype"/>
          <w:b/>
          <w:u w:val="single"/>
        </w:rPr>
        <w:t xml:space="preserve"> su caso conservar la información solicitada es la Comisión de Honor y Justicia del Ayuntamiento de Naucalpan de Juárez.</w:t>
      </w:r>
    </w:p>
    <w:p w:rsidR="00567C36" w:rsidRDefault="00EC61E9">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rPr>
        <w:t xml:space="preserve">En tal contexto, del análisis de las constancias que integran el expediente en que se actúa, así como de la materia sobre la que versa </w:t>
      </w:r>
      <w:r>
        <w:rPr>
          <w:rFonts w:ascii="Palatino Linotype" w:eastAsia="Palatino Linotype" w:hAnsi="Palatino Linotype" w:cs="Palatino Linotype"/>
        </w:rPr>
        <w:t xml:space="preserve">la solicitud de acceso a la información pública, se advierte que los motivos de inconformidad acontecen fundados para modificar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Ante todo, se debe re</w:t>
      </w:r>
      <w:r>
        <w:rPr>
          <w:rFonts w:ascii="Palatino Linotype" w:eastAsia="Palatino Linotype" w:hAnsi="Palatino Linotype" w:cs="Palatino Linotype"/>
        </w:rPr>
        <w:t xml:space="preserve">saltar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niega contar con la información solicitada por el recurrente, sino por el contrario, se presume que dicha información la posee o administra al proporcionar un listado de policías, por lo que el estudio de la naturaleza jurí</w:t>
      </w:r>
      <w:r>
        <w:rPr>
          <w:rFonts w:ascii="Palatino Linotype" w:eastAsia="Palatino Linotype" w:hAnsi="Palatino Linotype" w:cs="Palatino Linotype"/>
        </w:rPr>
        <w:t>dica de la información solicitada, en el caso concreto, se obvia.</w:t>
      </w:r>
    </w:p>
    <w:p w:rsidR="00567C36" w:rsidRDefault="00EC61E9">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Lo anterior es así, ya que el estudio enunciado tiene por objeto determinar si el Sujeto Obligado genera, posee o administra la información solicitada</w:t>
      </w:r>
      <w:r>
        <w:rPr>
          <w:rFonts w:ascii="Palatino Linotype" w:eastAsia="Palatino Linotype" w:hAnsi="Palatino Linotype" w:cs="Palatino Linotype"/>
          <w:color w:val="000000"/>
        </w:rPr>
        <w:t>;</w:t>
      </w:r>
      <w:r>
        <w:rPr>
          <w:rFonts w:ascii="Palatino Linotype" w:eastAsia="Palatino Linotype" w:hAnsi="Palatino Linotype" w:cs="Palatino Linotype"/>
        </w:rPr>
        <w:t xml:space="preserve"> sin embargo, en aquellos casos en que </w:t>
      </w:r>
      <w:r>
        <w:rPr>
          <w:rFonts w:ascii="Palatino Linotype" w:eastAsia="Palatino Linotype" w:hAnsi="Palatino Linotype" w:cs="Palatino Linotype"/>
        </w:rPr>
        <w:t xml:space="preserve">éste la asume, ello efectivamente está en su poder; por consiguiente, sería ocioso y a nada práctico nos conduciría su estudio, ya que se insiste, la información pública solicitada fue asumida por el </w:t>
      </w:r>
      <w:r>
        <w:rPr>
          <w:rFonts w:ascii="Palatino Linotype" w:eastAsia="Palatino Linotype" w:hAnsi="Palatino Linotype" w:cs="Palatino Linotype"/>
          <w:b/>
        </w:rPr>
        <w:t>SUJETO OBLIGADO.</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es conveniente analizar si </w:t>
      </w:r>
      <w:r>
        <w:rPr>
          <w:rFonts w:ascii="Palatino Linotype" w:eastAsia="Palatino Linotype" w:hAnsi="Palatino Linotype" w:cs="Palatino Linotype"/>
        </w:rPr>
        <w:t>la respuesta del SUJETO OBLIGADO cumple con los requisitos y procedimientos del derecho de acceso a la información pública, en atención a que en la Ley de Transparencia y Acceso a la Información Pública del Estado de México y Municipios en su artículo 4, q</w:t>
      </w:r>
      <w:r>
        <w:rPr>
          <w:rFonts w:ascii="Palatino Linotype" w:eastAsia="Palatino Linotype" w:hAnsi="Palatino Linotype" w:cs="Palatino Linotype"/>
        </w:rPr>
        <w:t>ue dice que toda la información generada, obtenida, adquirida, transformada, administrada o en posesión de los sujetos obligados es pública y accesible de manera permanente a cualquier persona, privilegiando el principio de máxima publicidad, como así lo e</w:t>
      </w:r>
      <w:r>
        <w:rPr>
          <w:rFonts w:ascii="Palatino Linotype" w:eastAsia="Palatino Linotype" w:hAnsi="Palatino Linotype" w:cs="Palatino Linotype"/>
        </w:rPr>
        <w:t>stablece dicha determinación, que a continuación se trascribe para un mejor entendimiento:</w:t>
      </w:r>
    </w:p>
    <w:p w:rsidR="00567C36" w:rsidRDefault="00EC61E9">
      <w:pPr>
        <w:spacing w:before="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w:t>
      </w:r>
      <w:r>
        <w:rPr>
          <w:rFonts w:ascii="Palatino Linotype" w:eastAsia="Palatino Linotype" w:hAnsi="Palatino Linotype" w:cs="Palatino Linotype"/>
          <w:i/>
          <w:sz w:val="22"/>
          <w:szCs w:val="22"/>
        </w:rPr>
        <w:t xml:space="preserve">información pública, sin necesidad de acreditar personalidad ni interés jurídico. </w:t>
      </w:r>
    </w:p>
    <w:p w:rsidR="00567C36" w:rsidRDefault="00EC61E9">
      <w:pPr>
        <w:spacing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w:t>
      </w:r>
      <w:r>
        <w:rPr>
          <w:rFonts w:ascii="Palatino Linotype" w:eastAsia="Palatino Linotype" w:hAnsi="Palatino Linotype" w:cs="Palatino Linotype"/>
          <w:b/>
          <w:i/>
          <w:sz w:val="22"/>
          <w:szCs w:val="22"/>
        </w:rPr>
        <w:t>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w:t>
      </w:r>
      <w:r>
        <w:rPr>
          <w:rFonts w:ascii="Palatino Linotype" w:eastAsia="Palatino Linotype" w:hAnsi="Palatino Linotype" w:cs="Palatino Linotype"/>
          <w:i/>
          <w:sz w:val="22"/>
          <w:szCs w:val="22"/>
        </w:rPr>
        <w:t xml:space="preserve"> información. Solo podrá ser clasificada excepcionalmente Ley de Transparencia y Acceso a la Información Pública del Estado de México y Municipios 29 como reservada temporalmente por razones de interés público, en los términos de las causas legítimas y est</w:t>
      </w:r>
      <w:r>
        <w:rPr>
          <w:rFonts w:ascii="Palatino Linotype" w:eastAsia="Palatino Linotype" w:hAnsi="Palatino Linotype" w:cs="Palatino Linotype"/>
          <w:i/>
          <w:sz w:val="22"/>
          <w:szCs w:val="22"/>
        </w:rPr>
        <w:t>rictamente necesarias previstas por esta Ley.</w:t>
      </w:r>
    </w:p>
    <w:p w:rsidR="00567C36" w:rsidRDefault="00EC61E9">
      <w:pPr>
        <w:spacing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w:t>
      </w:r>
      <w:r>
        <w:rPr>
          <w:rFonts w:ascii="Palatino Linotype" w:eastAsia="Palatino Linotype" w:hAnsi="Palatino Linotype" w:cs="Palatino Linotype"/>
          <w:b/>
          <w:i/>
          <w:sz w:val="22"/>
          <w:szCs w:val="22"/>
        </w:rPr>
        <w:t>citantes</w:t>
      </w:r>
      <w:r>
        <w:rPr>
          <w:rFonts w:ascii="Palatino Linotype" w:eastAsia="Palatino Linotype" w:hAnsi="Palatino Linotype" w:cs="Palatino Linotype"/>
          <w:i/>
          <w:sz w:val="22"/>
          <w:szCs w:val="22"/>
        </w:rPr>
        <w:t>.”(Sic)</w:t>
      </w:r>
    </w:p>
    <w:p w:rsidR="00567C36" w:rsidRDefault="00567C36">
      <w:pPr>
        <w:spacing w:line="360" w:lineRule="auto"/>
        <w:jc w:val="both"/>
        <w:rPr>
          <w:rFonts w:ascii="Palatino Linotype" w:eastAsia="Palatino Linotype" w:hAnsi="Palatino Linotype" w:cs="Palatino Linotype"/>
        </w:rPr>
      </w:pPr>
    </w:p>
    <w:p w:rsidR="00567C36" w:rsidRDefault="00EC61E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w:t>
      </w:r>
      <w:r>
        <w:rPr>
          <w:rFonts w:ascii="Palatino Linotype" w:eastAsia="Palatino Linotype" w:hAnsi="Palatino Linotype" w:cs="Palatino Linotype"/>
        </w:rPr>
        <w:t xml:space="preserve"> que se encuentra y no hacer un procesamiento de la misma, ni presentarla conforme al interés del solicitante; como así lo establece el artículo 12 de la Ley de Transparencia y Acceso a la Información Pública del Estado de México y Municipios, que a la let</w:t>
      </w:r>
      <w:r>
        <w:rPr>
          <w:rFonts w:ascii="Palatino Linotype" w:eastAsia="Palatino Linotype" w:hAnsi="Palatino Linotype" w:cs="Palatino Linotype"/>
        </w:rPr>
        <w:t>ra dice:</w:t>
      </w:r>
    </w:p>
    <w:p w:rsidR="00567C36" w:rsidRDefault="00567C36">
      <w:pPr>
        <w:spacing w:line="276" w:lineRule="auto"/>
        <w:jc w:val="both"/>
        <w:rPr>
          <w:rFonts w:ascii="Palatino Linotype" w:eastAsia="Palatino Linotype" w:hAnsi="Palatino Linotype" w:cs="Palatino Linotype"/>
        </w:rPr>
      </w:pPr>
    </w:p>
    <w:p w:rsidR="00567C36" w:rsidRDefault="00EC61E9">
      <w:pPr>
        <w:spacing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567C36" w:rsidRDefault="00567C36">
      <w:pPr>
        <w:spacing w:line="276" w:lineRule="auto"/>
        <w:ind w:left="567" w:right="758"/>
        <w:jc w:val="both"/>
        <w:rPr>
          <w:rFonts w:ascii="Palatino Linotype" w:eastAsia="Palatino Linotype" w:hAnsi="Palatino Linotype" w:cs="Palatino Linotype"/>
          <w:i/>
          <w:sz w:val="22"/>
          <w:szCs w:val="22"/>
        </w:rPr>
      </w:pPr>
    </w:p>
    <w:p w:rsidR="00567C36" w:rsidRDefault="00EC61E9">
      <w:pPr>
        <w:spacing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w:t>
      </w:r>
      <w:r>
        <w:rPr>
          <w:rFonts w:ascii="Palatino Linotype" w:eastAsia="Palatino Linotype" w:hAnsi="Palatino Linotype" w:cs="Palatino Linotype"/>
          <w:b/>
          <w:i/>
          <w:sz w:val="22"/>
          <w:szCs w:val="22"/>
        </w:rPr>
        <w:t>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w:t>
      </w:r>
      <w:r>
        <w:rPr>
          <w:rFonts w:ascii="Palatino Linotype" w:eastAsia="Palatino Linotype" w:hAnsi="Palatino Linotype" w:cs="Palatino Linotype"/>
          <w:b/>
          <w:i/>
          <w:sz w:val="22"/>
          <w:szCs w:val="22"/>
        </w:rPr>
        <w:t>o estarán obligados a generarla, resumirla, efectuar cálculos o practicar investigaciones.” (Sic)</w:t>
      </w:r>
    </w:p>
    <w:p w:rsidR="00567C36" w:rsidRDefault="00567C36">
      <w:pPr>
        <w:spacing w:line="276" w:lineRule="auto"/>
        <w:ind w:right="-93"/>
        <w:jc w:val="both"/>
        <w:rPr>
          <w:rFonts w:ascii="Palatino Linotype" w:eastAsia="Palatino Linotype" w:hAnsi="Palatino Linotype" w:cs="Palatino Linotype"/>
          <w:color w:val="000000"/>
        </w:rPr>
      </w:pPr>
    </w:p>
    <w:p w:rsidR="00567C36" w:rsidRDefault="00EC61E9">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todo sujeto obligado que genere, recopile, administre, procese, archive, posea o conserven, son responsables de la misma teniendo a su vez la obligación de proporcionar la información que se les requiera sin necesidad de resumirla, efectuar p</w:t>
      </w:r>
      <w:r>
        <w:rPr>
          <w:rFonts w:ascii="Palatino Linotype" w:eastAsia="Palatino Linotype" w:hAnsi="Palatino Linotype" w:cs="Palatino Linotype"/>
          <w:color w:val="000000"/>
        </w:rPr>
        <w:t xml:space="preserve">rocedimientos para obtenerla, calcular y practicar investigaciones; en otras palabras, que los Sujetos Obligados sólo se concretaran a proporcionar la información </w:t>
      </w:r>
      <w:r>
        <w:rPr>
          <w:rFonts w:ascii="Palatino Linotype" w:eastAsia="Palatino Linotype" w:hAnsi="Palatino Linotype" w:cs="Palatino Linotype"/>
          <w:color w:val="000000"/>
        </w:rPr>
        <w:lastRenderedPageBreak/>
        <w:t>solicitada que tengan en su poder en el estado que se encuentran, sin necesidad de concretars</w:t>
      </w:r>
      <w:r>
        <w:rPr>
          <w:rFonts w:ascii="Palatino Linotype" w:eastAsia="Palatino Linotype" w:hAnsi="Palatino Linotype" w:cs="Palatino Linotype"/>
          <w:color w:val="000000"/>
        </w:rPr>
        <w:t>e al interés o términos específicos del solicitante.</w:t>
      </w:r>
    </w:p>
    <w:p w:rsidR="00567C36" w:rsidRDefault="00567C36">
      <w:pPr>
        <w:spacing w:line="360" w:lineRule="auto"/>
        <w:ind w:right="-93"/>
        <w:jc w:val="both"/>
        <w:rPr>
          <w:rFonts w:ascii="Palatino Linotype" w:eastAsia="Palatino Linotype" w:hAnsi="Palatino Linotype" w:cs="Palatino Linotype"/>
          <w:color w:val="000000"/>
        </w:rPr>
      </w:pPr>
    </w:p>
    <w:p w:rsidR="00567C36" w:rsidRDefault="00EC61E9">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567C36" w:rsidRDefault="00567C36">
      <w:pPr>
        <w:spacing w:after="240" w:line="360" w:lineRule="auto"/>
        <w:ind w:left="851" w:right="901"/>
        <w:jc w:val="both"/>
        <w:rPr>
          <w:rFonts w:ascii="Palatino Linotype" w:eastAsia="Palatino Linotype" w:hAnsi="Palatino Linotype" w:cs="Palatino Linotype"/>
          <w:i/>
          <w:color w:val="000000"/>
          <w:sz w:val="22"/>
          <w:szCs w:val="22"/>
        </w:rPr>
      </w:pPr>
    </w:p>
    <w:p w:rsidR="00567C36" w:rsidRDefault="00EC61E9">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w:t>
      </w:r>
      <w:r>
        <w:rPr>
          <w:rFonts w:ascii="Palatino Linotype" w:eastAsia="Palatino Linotype" w:hAnsi="Palatino Linotype" w:cs="Palatino Linotype"/>
          <w:b/>
          <w:i/>
          <w:color w:val="000000"/>
          <w:sz w:val="22"/>
          <w:szCs w:val="22"/>
        </w:rPr>
        <w:t>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w:t>
      </w:r>
      <w:r>
        <w:rPr>
          <w:rFonts w:ascii="Palatino Linotype" w:eastAsia="Palatino Linotype" w:hAnsi="Palatino Linotype" w:cs="Palatino Linotype"/>
          <w:i/>
          <w:color w:val="000000"/>
          <w:sz w:val="22"/>
          <w:szCs w:val="22"/>
        </w:rPr>
        <w:t>a, señalan que los sujetos obligados deberán otorgar acceso a los documentos que se encuentren en sus archivos o que estén obligados a documentar, de acuerdo con sus facultades, competencias o funciones, conforme a las características físicas de la informa</w:t>
      </w:r>
      <w:r>
        <w:rPr>
          <w:rFonts w:ascii="Palatino Linotype" w:eastAsia="Palatino Linotype" w:hAnsi="Palatino Linotype" w:cs="Palatino Linotype"/>
          <w:i/>
          <w:color w:val="000000"/>
          <w:sz w:val="22"/>
          <w:szCs w:val="22"/>
        </w:rPr>
        <w:t>ción o del lugar donde se encuentre. Por lo anterior, los sujetos obligados deben garantizar el derecho de acceso a la información del particular, proporcionando la información con la que cuentan en el formato en que la misma obre en sus archivos; sin nece</w:t>
      </w:r>
      <w:r>
        <w:rPr>
          <w:rFonts w:ascii="Palatino Linotype" w:eastAsia="Palatino Linotype" w:hAnsi="Palatino Linotype" w:cs="Palatino Linotype"/>
          <w:i/>
          <w:color w:val="000000"/>
          <w:sz w:val="22"/>
          <w:szCs w:val="22"/>
        </w:rPr>
        <w:t>sidad de elaborar documentos ad hoc para atender las solicitudes de información.</w:t>
      </w:r>
    </w:p>
    <w:p w:rsidR="00567C36" w:rsidRDefault="00EC61E9">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567C36" w:rsidRDefault="00EC61E9">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567C36" w:rsidRDefault="00EC61E9">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w:t>
      </w:r>
      <w:r>
        <w:rPr>
          <w:rFonts w:ascii="Palatino Linotype" w:eastAsia="Palatino Linotype" w:hAnsi="Palatino Linotype" w:cs="Palatino Linotype"/>
          <w:i/>
          <w:color w:val="000000"/>
          <w:sz w:val="22"/>
          <w:szCs w:val="22"/>
        </w:rPr>
        <w:t xml:space="preserve">A 0310/16. Instituto Nacional de Transparencia, Acceso a la Información y Protección de Datos Personales. 10 de agosto de 2016. Por unanimidad. Comisionada Ponente. Areli Cano Guadiana. </w:t>
      </w:r>
    </w:p>
    <w:p w:rsidR="00567C36" w:rsidRDefault="00EC61E9">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w:t>
      </w:r>
      <w:r>
        <w:rPr>
          <w:rFonts w:ascii="Palatino Linotype" w:eastAsia="Palatino Linotype" w:hAnsi="Palatino Linotype" w:cs="Palatino Linotype"/>
          <w:i/>
          <w:color w:val="000000"/>
          <w:sz w:val="22"/>
          <w:szCs w:val="22"/>
        </w:rPr>
        <w:t>e de 2016. Por unanimidad. Comisionada Ponente. Ximena Puente de la Mora.”(Sic)</w:t>
      </w:r>
    </w:p>
    <w:p w:rsidR="00567C36" w:rsidRDefault="00EC61E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w:t>
      </w:r>
      <w:r>
        <w:rPr>
          <w:rFonts w:ascii="Palatino Linotype" w:eastAsia="Palatino Linotype" w:hAnsi="Palatino Linotype" w:cs="Palatino Linotype"/>
          <w:color w:val="000000"/>
        </w:rPr>
        <w:t>ren o posean en el ejercicio de sus atribuciones; por consiguiente, la información pública se encuentra a disposición de cualquier persona, lo que implica que es deber de los Sujetos Obligados, garantizar el Derecho de Acceso a la Información Pública.</w:t>
      </w:r>
    </w:p>
    <w:p w:rsidR="00567C36" w:rsidRDefault="00EC61E9">
      <w:pPr>
        <w:spacing w:before="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w:t>
      </w:r>
      <w:r>
        <w:rPr>
          <w:rFonts w:ascii="Palatino Linotype" w:eastAsia="Palatino Linotype" w:hAnsi="Palatino Linotype" w:cs="Palatino Linotype"/>
        </w:rPr>
        <w:t>pre y cuando no se trate de información reservada o clasificada, que difundirla pondría en riesgo la seguridad jurídica y física del titular de la información, debiendo tener audacia los Sujetos Obligados para cuidar esta información a través del acuerdo c</w:t>
      </w:r>
      <w:r>
        <w:rPr>
          <w:rFonts w:ascii="Palatino Linotype" w:eastAsia="Palatino Linotype" w:hAnsi="Palatino Linotype" w:cs="Palatino Linotype"/>
        </w:rPr>
        <w:t>lasificatorio del comité de transparencia y la versión pública que emita el servidor público habilitado de cada Sujeto Obligado; como así se establece en la Ley de Transparencia y Acceso a la Información Pública del Estado de México y Municipios.</w:t>
      </w:r>
    </w:p>
    <w:p w:rsidR="00567C36" w:rsidRDefault="00567C36">
      <w:pPr>
        <w:spacing w:line="360" w:lineRule="auto"/>
        <w:ind w:right="49"/>
        <w:jc w:val="both"/>
        <w:rPr>
          <w:rFonts w:ascii="Palatino Linotype" w:eastAsia="Palatino Linotype" w:hAnsi="Palatino Linotype" w:cs="Palatino Linotype"/>
        </w:rPr>
      </w:pPr>
    </w:p>
    <w:p w:rsidR="00567C36" w:rsidRDefault="00EC61E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w:t>
      </w:r>
      <w:r>
        <w:rPr>
          <w:rFonts w:ascii="Palatino Linotype" w:eastAsia="Palatino Linotype" w:hAnsi="Palatino Linotype" w:cs="Palatino Linotype"/>
        </w:rPr>
        <w:t>usión, el derecho de acceso a la información pública, consiste en que la información solicitada conste en un documento en cualquiera de sus formas, a saber: expedientes, reportes, estudios, actas, resoluciones, oficios, correspondencia, acuerdos, directiva</w:t>
      </w:r>
      <w:r>
        <w:rPr>
          <w:rFonts w:ascii="Palatino Linotype" w:eastAsia="Palatino Linotype" w:hAnsi="Palatino Linotype" w:cs="Palatino Linotype"/>
        </w:rPr>
        <w:t>s, directrices, circulares, contratos, convenios, instructivos, notas, memorandos, estadísticas o bien, cualquier otro registro que documente el ejercicio de las facultades, funciones y competencias de los Sujetos Obligados; los que, podrán estar en cualqu</w:t>
      </w:r>
      <w:r>
        <w:rPr>
          <w:rFonts w:ascii="Palatino Linotype" w:eastAsia="Palatino Linotype" w:hAnsi="Palatino Linotype" w:cs="Palatino Linotype"/>
        </w:rPr>
        <w:t xml:space="preserve">ier medio, sea escrito, impreso, sonoro, visual, electrónico, informático u holográfico de conformidad con el artículo 3, fracción XI de la Ley de la materia, el cual señala lo siguiente: </w:t>
      </w:r>
    </w:p>
    <w:p w:rsidR="00567C36" w:rsidRDefault="00EC61E9">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567C36" w:rsidRDefault="00EC61E9">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67C36" w:rsidRDefault="00EC61E9">
      <w:pPr>
        <w:spacing w:before="240" w:after="240" w:line="276" w:lineRule="auto"/>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w:t>
      </w:r>
      <w:r>
        <w:rPr>
          <w:rFonts w:ascii="Palatino Linotype" w:eastAsia="Palatino Linotype" w:hAnsi="Palatino Linotype" w:cs="Palatino Linotype"/>
          <w:i/>
          <w:color w:val="000000"/>
          <w:sz w:val="22"/>
          <w:szCs w:val="22"/>
        </w:rPr>
        <w:t>as de los sujetos obligados, sus servidores públicos e integrantes, sin importar su fuente o fecha de elaboración. Los documentos podrán estar en cualquier medio, sea escrito, impreso, sonoro, visual, electrónico, informático u holográfico…” (Sic)</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w:t>
      </w:r>
      <w:r>
        <w:rPr>
          <w:rFonts w:ascii="Palatino Linotype" w:eastAsia="Palatino Linotype" w:hAnsi="Palatino Linotype" w:cs="Palatino Linotype"/>
        </w:rPr>
        <w:t>plicable, el Criterio de interpretación en el orden administrativo número 0002-11, emitido por Acuerdo del Pleno del Instituto de Transparencia y Acceso a la Información Pública del Estado de México y Municipios; publicado en el Periódico Oficial del Gobie</w:t>
      </w:r>
      <w:r>
        <w:rPr>
          <w:rFonts w:ascii="Palatino Linotype" w:eastAsia="Palatino Linotype" w:hAnsi="Palatino Linotype" w:cs="Palatino Linotype"/>
        </w:rPr>
        <w:t>rno del Estado Libre y Soberano de México “Gaceta del Gobierno”, el diecinueve de octubre de dos mil once, cuyo rubro y texto refieren lo siguiente:</w:t>
      </w:r>
    </w:p>
    <w:p w:rsidR="00567C36" w:rsidRDefault="00EC61E9">
      <w:pPr>
        <w:spacing w:before="240" w:after="240"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567C36" w:rsidRDefault="00EC61E9">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w:t>
      </w:r>
      <w:r>
        <w:rPr>
          <w:rFonts w:ascii="Palatino Linotype" w:eastAsia="Palatino Linotype" w:hAnsi="Palatino Linotype" w:cs="Palatino Linotype"/>
          <w:b/>
          <w:i/>
          <w:sz w:val="22"/>
          <w:szCs w:val="22"/>
        </w:rPr>
        <w:t xml:space="preserve">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w:t>
      </w:r>
      <w:r>
        <w:rPr>
          <w:rFonts w:ascii="Palatino Linotype" w:eastAsia="Palatino Linotype" w:hAnsi="Palatino Linotype" w:cs="Palatino Linotype"/>
          <w:i/>
          <w:sz w:val="22"/>
          <w:szCs w:val="22"/>
        </w:rPr>
        <w:t>mentos públicos, administrados, generados o en posesión de los órganos u organismos públicos, en virtud del ejercicio de sus funciones de derecho público, sin importar su fuente, soporte o fecha de elaboración.</w:t>
      </w:r>
    </w:p>
    <w:p w:rsidR="00567C36" w:rsidRDefault="00EC61E9">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w:t>
      </w:r>
      <w:r>
        <w:rPr>
          <w:rFonts w:ascii="Palatino Linotype" w:eastAsia="Palatino Linotype" w:hAnsi="Palatino Linotype" w:cs="Palatino Linotype"/>
          <w:i/>
          <w:sz w:val="22"/>
          <w:szCs w:val="22"/>
        </w:rPr>
        <w:t xml:space="preserve"> refiere a que se cumplan cualquiera de los siguientes tres supuestos:</w:t>
      </w:r>
    </w:p>
    <w:p w:rsidR="00567C36" w:rsidRDefault="00EC61E9">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567C36" w:rsidRDefault="00EC61E9">
      <w:pPr>
        <w:spacing w:before="240" w:after="240"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2) Que se trate de in</w:t>
      </w:r>
      <w:r>
        <w:rPr>
          <w:rFonts w:ascii="Palatino Linotype" w:eastAsia="Palatino Linotype" w:hAnsi="Palatino Linotype" w:cs="Palatino Linotype"/>
          <w:b/>
          <w:i/>
          <w:sz w:val="22"/>
          <w:szCs w:val="22"/>
        </w:rPr>
        <w:t>formación registrada en cualquier soporte documental, que en ejercicio de las atribuciones conferidas, sea administrada por los Sujetos Obligados, y</w:t>
      </w:r>
    </w:p>
    <w:p w:rsidR="00567C36" w:rsidRDefault="00EC61E9">
      <w:pPr>
        <w:spacing w:before="240" w:after="240"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w:t>
      </w:r>
      <w:r>
        <w:rPr>
          <w:rFonts w:ascii="Palatino Linotype" w:eastAsia="Palatino Linotype" w:hAnsi="Palatino Linotype" w:cs="Palatino Linotype"/>
          <w:b/>
          <w:i/>
          <w:sz w:val="22"/>
          <w:szCs w:val="22"/>
        </w:rPr>
        <w:t>ones conferidas, se encuentre en posesión de los Sujetos Obligados.” (Sic)</w:t>
      </w:r>
    </w:p>
    <w:p w:rsidR="00567C36" w:rsidRDefault="00EC61E9">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cumple parcialmente con lo establecido por los artículos 4, 12, 24 primer párrafo y 162 de la Ley de Transparencia y Acceso a la Información Pública del Estado de México y Municipios, de conformidad con los puntos siguiente:</w:t>
      </w:r>
    </w:p>
    <w:p w:rsidR="00567C36" w:rsidRDefault="00EC61E9">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Antes del estudio de fondo, s</w:t>
      </w:r>
      <w:r>
        <w:rPr>
          <w:rFonts w:ascii="Palatino Linotype" w:eastAsia="Palatino Linotype" w:hAnsi="Palatino Linotype" w:cs="Palatino Linotype"/>
        </w:rPr>
        <w:t xml:space="preserve">e debe precisar que del análisis a los motivos de inconformidad se advierte que el </w:t>
      </w:r>
      <w:r>
        <w:rPr>
          <w:rFonts w:ascii="Palatino Linotype" w:eastAsia="Palatino Linotype" w:hAnsi="Palatino Linotype" w:cs="Palatino Linotype"/>
          <w:b/>
        </w:rPr>
        <w:t>RECURRENTE</w:t>
      </w:r>
      <w:r>
        <w:rPr>
          <w:rFonts w:ascii="Palatino Linotype" w:eastAsia="Palatino Linotype" w:hAnsi="Palatino Linotype" w:cs="Palatino Linotype"/>
        </w:rPr>
        <w:t>, está conforme con la información proporcionada en respuesta, no así por el motivo de las separaciones del cargo, por consiguiente, cuando el solicitante no expre</w:t>
      </w:r>
      <w:r>
        <w:rPr>
          <w:rFonts w:ascii="Palatino Linotype" w:eastAsia="Palatino Linotype" w:hAnsi="Palatino Linotype" w:cs="Palatino Linotype"/>
        </w:rPr>
        <w:t>sa razón o motivo de inconformidad en contra de todos los rubros de la respuesta que pudieran ser un agravio a su derecho, los mismos deben estimarse atendidos. Sirve de apoyo a lo anterior, por analogía, la Tesis Jurisprudencial Número 3ª./J.7/91, publica</w:t>
      </w:r>
      <w:r>
        <w:rPr>
          <w:rFonts w:ascii="Palatino Linotype" w:eastAsia="Palatino Linotype" w:hAnsi="Palatino Linotype" w:cs="Palatino Linotype"/>
        </w:rPr>
        <w:t>da en el Semanario Judicial de la Federación y su Gaceta bajo el número de registro 174,177, que establece lo siguiente:</w:t>
      </w:r>
    </w:p>
    <w:p w:rsidR="00567C36" w:rsidRDefault="00EC61E9">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REVISIÓN EN AMPARO. LOS RESOLUTIVOS NO COMBATIDOS DEBEN DECLARARSE FIRMES</w:t>
      </w:r>
      <w:r>
        <w:rPr>
          <w:rFonts w:ascii="Palatino Linotype" w:eastAsia="Palatino Linotype" w:hAnsi="Palatino Linotype" w:cs="Palatino Linotype"/>
          <w:i/>
          <w:sz w:val="22"/>
          <w:szCs w:val="22"/>
        </w:rPr>
        <w:t xml:space="preserve">. Cuando algún resolutivo de la sentencia impugnada afecta a </w:t>
      </w:r>
      <w:r>
        <w:rPr>
          <w:rFonts w:ascii="Palatino Linotype" w:eastAsia="Palatino Linotype" w:hAnsi="Palatino Linotype" w:cs="Palatino Linotype"/>
          <w:i/>
          <w:sz w:val="22"/>
          <w:szCs w:val="22"/>
        </w:rPr>
        <w:t>la recurrente, y ésta no expresa agravio en contra de las consideraciones que le sirven de base, dicho resolutivo debe declararse firme. Esto es, en el caso referido, no obstante que la materia de la revisión comprende a todos los resolutivos que afectan a</w:t>
      </w:r>
      <w:r>
        <w:rPr>
          <w:rFonts w:ascii="Palatino Linotype" w:eastAsia="Palatino Linotype" w:hAnsi="Palatino Linotype" w:cs="Palatino Linotype"/>
          <w:i/>
          <w:sz w:val="22"/>
          <w:szCs w:val="22"/>
        </w:rPr>
        <w:t xml:space="preserve"> la recurrente, deben declararse firmes aquéllos en contra de los cuales no se formuló agravio y dicha declaración de firmeza debe reflejarse en la parte considerativa y en los resolutivos debe confirmarse la sentencia recurrida en la parte correspondiente</w:t>
      </w:r>
      <w:r>
        <w:rPr>
          <w:rFonts w:ascii="Palatino Linotype" w:eastAsia="Palatino Linotype" w:hAnsi="Palatino Linotype" w:cs="Palatino Linotype"/>
          <w:i/>
          <w:sz w:val="22"/>
          <w:szCs w:val="22"/>
        </w:rPr>
        <w:t>.”(Sic)</w:t>
      </w:r>
    </w:p>
    <w:p w:rsidR="00567C36" w:rsidRDefault="00567C36">
      <w:pPr>
        <w:pBdr>
          <w:top w:val="nil"/>
          <w:left w:val="nil"/>
          <w:bottom w:val="nil"/>
          <w:right w:val="nil"/>
          <w:between w:val="nil"/>
        </w:pBdr>
        <w:spacing w:before="240" w:after="240" w:line="360" w:lineRule="auto"/>
        <w:rPr>
          <w:color w:val="000000"/>
        </w:rPr>
      </w:pP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la parte de la solicitud sobre la que no se expresó inconformidad, debe declararse consentida por el hoy Recurrente, ya que no pueden producirse efectos jurídicos tendentes a revocar, confirmar o modificar la parte de la respuesta con rel</w:t>
      </w:r>
      <w:r>
        <w:rPr>
          <w:rFonts w:ascii="Palatino Linotype" w:eastAsia="Palatino Linotype" w:hAnsi="Palatino Linotype" w:cs="Palatino Linotype"/>
        </w:rPr>
        <w:t>ación a la parte de la solicitud que no fue motivo de inconformidad ya que se infiere un consentimiento de la recurrente ante la falta de impugnación eficaz.</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por analogía, la tesis jurisprudencial número VI.3o.C. J/60, publ</w:t>
      </w:r>
      <w:r>
        <w:rPr>
          <w:rFonts w:ascii="Palatino Linotype" w:eastAsia="Palatino Linotype" w:hAnsi="Palatino Linotype" w:cs="Palatino Linotype"/>
        </w:rPr>
        <w:t>icada en el Semanario Judicial de la Federación y su Gaceta bajo el número de registro 176,608 que a la letra dice:</w:t>
      </w:r>
    </w:p>
    <w:p w:rsidR="00567C36" w:rsidRDefault="00EC61E9">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ACTOS CONSENTIDOS. SON LOS QUE NO SE IMPUGNAN MEDIANTE EL RECURSO IDÓNEO</w:t>
      </w:r>
      <w:r>
        <w:rPr>
          <w:rFonts w:ascii="Palatino Linotype" w:eastAsia="Palatino Linotype" w:hAnsi="Palatino Linotype" w:cs="Palatino Linotype"/>
          <w:i/>
          <w:sz w:val="22"/>
          <w:szCs w:val="22"/>
        </w:rPr>
        <w:t>. Debe reputarse como consentido el acto que no se impugnó por el m</w:t>
      </w:r>
      <w:r>
        <w:rPr>
          <w:rFonts w:ascii="Palatino Linotype" w:eastAsia="Palatino Linotype" w:hAnsi="Palatino Linotype" w:cs="Palatino Linotype"/>
          <w:i/>
          <w:sz w:val="22"/>
          <w:szCs w:val="22"/>
        </w:rPr>
        <w:t>edio establecido por la ley, ya que, si se hizo uso de otro no previsto por ella o si se hace una simple manifestación de inconformidad, tales actuaciones no producen efectos jurídicos tendientes a revocar, confirmar o modificar el acto reclamado en amparo</w:t>
      </w:r>
      <w:r>
        <w:rPr>
          <w:rFonts w:ascii="Palatino Linotype" w:eastAsia="Palatino Linotype" w:hAnsi="Palatino Linotype" w:cs="Palatino Linotype"/>
          <w:i/>
          <w:sz w:val="22"/>
          <w:szCs w:val="22"/>
        </w:rPr>
        <w:t>, lo que significa consentimiento del mismo por falta de impugnación eficaz.”</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si bien en es cierto que el </w:t>
      </w:r>
      <w:r>
        <w:rPr>
          <w:rFonts w:ascii="Palatino Linotype" w:eastAsia="Palatino Linotype" w:hAnsi="Palatino Linotype" w:cs="Palatino Linotype"/>
          <w:b/>
        </w:rPr>
        <w:t>SUJETO OBLIGADO</w:t>
      </w:r>
      <w:r>
        <w:rPr>
          <w:rFonts w:ascii="Palatino Linotype" w:eastAsia="Palatino Linotype" w:hAnsi="Palatino Linotype" w:cs="Palatino Linotype"/>
        </w:rPr>
        <w:t>, en respuesta remite un listado de los policías municipales fueron removidos, suspendidos o dados de baja por la Comisión de Honor y Justicia, en el que se observa el número total de policías, por mes y año, y tipo de movimiento, efectivamente como lo señ</w:t>
      </w:r>
      <w:r>
        <w:rPr>
          <w:rFonts w:ascii="Palatino Linotype" w:eastAsia="Palatino Linotype" w:hAnsi="Palatino Linotype" w:cs="Palatino Linotype"/>
        </w:rPr>
        <w:t xml:space="preserve">aló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se observa el motivo de la separación del cargo; no obstante,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informe justificado proporcionó de nueva cuenta el listado que remitió en respuesta con la diferencia que se puede aprecia en algunos de </w:t>
      </w:r>
      <w:r>
        <w:rPr>
          <w:rFonts w:ascii="Palatino Linotype" w:eastAsia="Palatino Linotype" w:hAnsi="Palatino Linotype" w:cs="Palatino Linotype"/>
        </w:rPr>
        <w:t>ellos el motivo, como se observa en las siguientes imágenes:</w:t>
      </w:r>
      <w:r>
        <w:rPr>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50801</wp:posOffset>
                </wp:positionH>
                <wp:positionV relativeFrom="paragraph">
                  <wp:posOffset>2463800</wp:posOffset>
                </wp:positionV>
                <wp:extent cx="5489575" cy="904875"/>
                <wp:effectExtent l="0" t="0" r="0" b="0"/>
                <wp:wrapNone/>
                <wp:docPr id="48" name=""/>
                <wp:cNvGraphicFramePr/>
                <a:graphic xmlns:a="http://schemas.openxmlformats.org/drawingml/2006/main">
                  <a:graphicData uri="http://schemas.microsoft.com/office/word/2010/wordprocessingShape">
                    <wps:wsp>
                      <wps:cNvCnPr/>
                      <wps:spPr>
                        <a:xfrm>
                          <a:off x="2605975" y="3332325"/>
                          <a:ext cx="5480050" cy="89535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50801</wp:posOffset>
                </wp:positionH>
                <wp:positionV relativeFrom="paragraph">
                  <wp:posOffset>2463800</wp:posOffset>
                </wp:positionV>
                <wp:extent cx="5489575" cy="904875"/>
                <wp:effectExtent b="0" l="0" r="0" t="0"/>
                <wp:wrapNone/>
                <wp:docPr id="48"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5489575" cy="904875"/>
                        </a:xfrm>
                        <a:prstGeom prst="rect"/>
                        <a:ln/>
                      </pic:spPr>
                    </pic:pic>
                  </a:graphicData>
                </a:graphic>
              </wp:anchor>
            </w:drawing>
          </mc:Fallback>
        </mc:AlternateContent>
      </w:r>
    </w:p>
    <w:p w:rsidR="00567C36" w:rsidRDefault="00EC61E9">
      <w:pPr>
        <w:spacing w:before="240" w:after="240"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524500" cy="3124200"/>
            <wp:effectExtent l="0" t="0" r="0" b="0"/>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39941" t="45665" r="25435" b="20538"/>
                    <a:stretch>
                      <a:fillRect/>
                    </a:stretch>
                  </pic:blipFill>
                  <pic:spPr>
                    <a:xfrm>
                      <a:off x="0" y="0"/>
                      <a:ext cx="5524500" cy="3124200"/>
                    </a:xfrm>
                    <a:prstGeom prst="rect">
                      <a:avLst/>
                    </a:prstGeom>
                    <a:ln/>
                  </pic:spPr>
                </pic:pic>
              </a:graphicData>
            </a:graphic>
          </wp:inline>
        </w:drawing>
      </w:r>
    </w:p>
    <w:p w:rsidR="00567C36" w:rsidRDefault="00EC61E9">
      <w:pPr>
        <w:spacing w:before="240" w:after="240" w:line="360" w:lineRule="auto"/>
        <w:jc w:val="both"/>
        <w:rPr>
          <w:rFonts w:ascii="Palatino Linotype" w:eastAsia="Palatino Linotype" w:hAnsi="Palatino Linotype" w:cs="Palatino Linotype"/>
        </w:rPr>
      </w:pPr>
      <w:r>
        <w:rPr>
          <w:noProof/>
          <w:lang w:val="es-MX" w:eastAsia="es-MX"/>
        </w:rPr>
        <w:drawing>
          <wp:inline distT="0" distB="0" distL="0" distR="0">
            <wp:extent cx="5429250" cy="3848100"/>
            <wp:effectExtent l="0" t="0" r="0" b="0"/>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39715" t="14484" r="25095" b="15911"/>
                    <a:stretch>
                      <a:fillRect/>
                    </a:stretch>
                  </pic:blipFill>
                  <pic:spPr>
                    <a:xfrm>
                      <a:off x="0" y="0"/>
                      <a:ext cx="5429250" cy="3848100"/>
                    </a:xfrm>
                    <a:prstGeom prst="rect">
                      <a:avLst/>
                    </a:prstGeom>
                    <a:ln/>
                  </pic:spPr>
                </pic:pic>
              </a:graphicData>
            </a:graphic>
          </wp:inline>
        </w:drawing>
      </w:r>
    </w:p>
    <w:p w:rsidR="00567C36" w:rsidRDefault="00EC61E9">
      <w:pPr>
        <w:spacing w:before="240" w:after="240"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486400" cy="4006850"/>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43449" t="20117" r="25435" b="9272"/>
                    <a:stretch>
                      <a:fillRect/>
                    </a:stretch>
                  </pic:blipFill>
                  <pic:spPr>
                    <a:xfrm>
                      <a:off x="0" y="0"/>
                      <a:ext cx="5486400" cy="4006850"/>
                    </a:xfrm>
                    <a:prstGeom prst="rect">
                      <a:avLst/>
                    </a:prstGeom>
                    <a:ln/>
                  </pic:spPr>
                </pic:pic>
              </a:graphicData>
            </a:graphic>
          </wp:inline>
        </w:drawing>
      </w:r>
    </w:p>
    <w:p w:rsidR="00567C36" w:rsidRDefault="00EC61E9">
      <w:pPr>
        <w:spacing w:before="240" w:after="240" w:line="360" w:lineRule="auto"/>
        <w:jc w:val="both"/>
        <w:rPr>
          <w:rFonts w:ascii="Palatino Linotype" w:eastAsia="Palatino Linotype" w:hAnsi="Palatino Linotype" w:cs="Palatino Linotype"/>
        </w:rPr>
      </w:pPr>
      <w:r>
        <w:rPr>
          <w:noProof/>
          <w:lang w:val="es-MX" w:eastAsia="es-MX"/>
        </w:rPr>
        <w:drawing>
          <wp:inline distT="0" distB="0" distL="0" distR="0">
            <wp:extent cx="5435600" cy="984250"/>
            <wp:effectExtent l="0" t="0" r="0" b="0"/>
            <wp:docPr id="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40394" t="38623" r="24757" b="51117"/>
                    <a:stretch>
                      <a:fillRect/>
                    </a:stretch>
                  </pic:blipFill>
                  <pic:spPr>
                    <a:xfrm>
                      <a:off x="0" y="0"/>
                      <a:ext cx="5435600" cy="984250"/>
                    </a:xfrm>
                    <a:prstGeom prst="rect">
                      <a:avLst/>
                    </a:prstGeom>
                    <a:ln/>
                  </pic:spPr>
                </pic:pic>
              </a:graphicData>
            </a:graphic>
          </wp:inline>
        </w:drawing>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que daría por colmando el derecho de acceso a la información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sin embargo, se aprecia que en los registros del año 2018, los 10 registros del mes de enero del año 2020 </w:t>
      </w:r>
      <w:r>
        <w:rPr>
          <w:rFonts w:ascii="Palatino Linotype" w:eastAsia="Palatino Linotype" w:hAnsi="Palatino Linotype" w:cs="Palatino Linotype"/>
        </w:rPr>
        <w:t xml:space="preserve">y el mes de julio del año 2020, la Subdirección de Administración de la Dirección General de Seguridad Ciudadana y Tránsito Municipal del Ayuntamiento de Naucalpan de Juárez, con la información proporcionada por su Departamento de Recursos Humanos, señaló </w:t>
      </w:r>
      <w:r>
        <w:rPr>
          <w:rFonts w:ascii="Palatino Linotype" w:eastAsia="Palatino Linotype" w:hAnsi="Palatino Linotype" w:cs="Palatino Linotype"/>
        </w:rPr>
        <w:t xml:space="preserve">sin información </w:t>
      </w:r>
      <w:r>
        <w:rPr>
          <w:rFonts w:ascii="Palatino Linotype" w:eastAsia="Palatino Linotype" w:hAnsi="Palatino Linotype" w:cs="Palatino Linotype"/>
        </w:rPr>
        <w:lastRenderedPageBreak/>
        <w:t xml:space="preserve">en razón de que no se encontró documento que acredite el motivo; por consiguiente, para efecto de garantizar el derecho de acceso a la información pública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determina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haga de nuevo una búsqueda exhaus</w:t>
      </w:r>
      <w:r>
        <w:rPr>
          <w:rFonts w:ascii="Palatino Linotype" w:eastAsia="Palatino Linotype" w:hAnsi="Palatino Linotype" w:cs="Palatino Linotype"/>
        </w:rPr>
        <w:t>tiva y razonables de la información faltante, toda vez, como así lo señaló puntualmente la Subdirección de Administración de la Dirección General de Seguridad Ciudadana y Tránsito Municipal del Ayuntamiento de Naucalpan de Juárez, que el área encargada org</w:t>
      </w:r>
      <w:r>
        <w:rPr>
          <w:rFonts w:ascii="Palatino Linotype" w:eastAsia="Palatino Linotype" w:hAnsi="Palatino Linotype" w:cs="Palatino Linotype"/>
        </w:rPr>
        <w:t xml:space="preserve">ánicamente de generar, manejar, procesar y en su caso conservar la información solicitada es la Comisión de Honor y Justicia del Ayuntamiento de Naucalpan de Juárez, con lo que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incumplió con lo señalado por artículo 162 </w:t>
      </w:r>
      <w:r>
        <w:rPr>
          <w:rFonts w:ascii="Palatino Linotype" w:eastAsia="Palatino Linotype" w:hAnsi="Palatino Linotype" w:cs="Palatino Linotype"/>
        </w:rPr>
        <w:t>de la Ley de la Materia, que señala:</w:t>
      </w:r>
    </w:p>
    <w:p w:rsidR="00567C36" w:rsidRDefault="00EC61E9">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162. </w:t>
      </w:r>
      <w:r>
        <w:rPr>
          <w:rFonts w:ascii="Palatino Linotype" w:eastAsia="Palatino Linotype" w:hAnsi="Palatino Linotype" w:cs="Palatino Linotype"/>
          <w:i/>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w:t>
      </w:r>
      <w:r>
        <w:rPr>
          <w:rFonts w:ascii="Palatino Linotype" w:eastAsia="Palatino Linotype" w:hAnsi="Palatino Linotype" w:cs="Palatino Linotype"/>
          <w:i/>
          <w:sz w:val="22"/>
          <w:szCs w:val="22"/>
        </w:rPr>
        <w:t>haustiva y razonable de la información solicitada.” (Sic)</w:t>
      </w:r>
    </w:p>
    <w:p w:rsidR="00567C36" w:rsidRDefault="00EC61E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cual, consiste que las unidades de transparencia deberán turnar las solicitudes de acceso a la información a las áreas correspondientes para que estas a su vez, manifestarán lo conducente; situac</w:t>
      </w:r>
      <w:r>
        <w:rPr>
          <w:rFonts w:ascii="Palatino Linotype" w:eastAsia="Palatino Linotype" w:hAnsi="Palatino Linotype" w:cs="Palatino Linotype"/>
          <w:color w:val="000000"/>
        </w:rPr>
        <w:t>ión que no se materializó, puesto que el Titular de la Unidad de Transparencia fue omiso en realizar tal acción.</w:t>
      </w:r>
    </w:p>
    <w:p w:rsidR="00567C36" w:rsidRDefault="00EC61E9">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búsqueda exhaustiva y razonable de la información con su debida comprobación, es una herramienta que permite brindar mayor certeza a los par</w:t>
      </w:r>
      <w:r>
        <w:rPr>
          <w:rFonts w:ascii="Palatino Linotype" w:eastAsia="Palatino Linotype" w:hAnsi="Palatino Linotype" w:cs="Palatino Linotype"/>
          <w:color w:val="000000"/>
        </w:rPr>
        <w:t xml:space="preserve">ticulares sobre las acciones que realizan los sujetos obligados para atender las solicitudes de información. Asimismo, con dicha herramienta se refleja el grado de compromiso que tienen como autoridades para el debido cumplimiento y tutela del derecho </w:t>
      </w:r>
      <w:r>
        <w:rPr>
          <w:rFonts w:ascii="Palatino Linotype" w:eastAsia="Palatino Linotype" w:hAnsi="Palatino Linotype" w:cs="Palatino Linotype"/>
          <w:color w:val="000000"/>
        </w:rPr>
        <w:lastRenderedPageBreak/>
        <w:t>cons</w:t>
      </w:r>
      <w:r>
        <w:rPr>
          <w:rFonts w:ascii="Palatino Linotype" w:eastAsia="Palatino Linotype" w:hAnsi="Palatino Linotype" w:cs="Palatino Linotype"/>
          <w:color w:val="000000"/>
        </w:rPr>
        <w:t xml:space="preserve">titucional y convencionalmente reconocido que es el derecho de acceso a la información. </w:t>
      </w:r>
    </w:p>
    <w:p w:rsidR="00567C36" w:rsidRDefault="00567C3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67C36" w:rsidRDefault="00EC61E9">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falta de turno de las Unidades de Transparencia a las diferentes áreas que integran la estructura orgánica de los Sujetos Obligados, podrían causar una afectación o restricción al derecho ejercido por los particulares; tal y como sucedió en el presente </w:t>
      </w:r>
      <w:r>
        <w:rPr>
          <w:rFonts w:ascii="Palatino Linotype" w:eastAsia="Palatino Linotype" w:hAnsi="Palatino Linotype" w:cs="Palatino Linotype"/>
          <w:color w:val="000000"/>
        </w:rPr>
        <w:t xml:space="preserve">asunto en particular; por ello, es necesario puntualizar que de acuerdo al artículo 74 del Bando Municipal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para el año 2021, que señala:</w:t>
      </w:r>
    </w:p>
    <w:p w:rsidR="00567C36" w:rsidRDefault="00EC61E9">
      <w:pPr>
        <w:spacing w:before="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74. En el Municipio, compete al Ayuntamiento el ejercicio de la seguridad pública por co</w:t>
      </w:r>
      <w:r>
        <w:rPr>
          <w:rFonts w:ascii="Palatino Linotype" w:eastAsia="Palatino Linotype" w:hAnsi="Palatino Linotype" w:cs="Palatino Linotype"/>
          <w:i/>
          <w:sz w:val="22"/>
          <w:szCs w:val="22"/>
        </w:rPr>
        <w:t xml:space="preserve">nducto de las autoridades siguientes: </w:t>
      </w:r>
    </w:p>
    <w:p w:rsidR="00567C36" w:rsidRDefault="00EC61E9">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El Ayuntamiento; </w:t>
      </w:r>
    </w:p>
    <w:p w:rsidR="00567C36" w:rsidRDefault="00EC61E9">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La Presidenta Municipal; </w:t>
      </w:r>
    </w:p>
    <w:p w:rsidR="00567C36" w:rsidRDefault="00EC61E9">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El Director General de Seguridad Ciudadana y Tránsito Municipal, y </w:t>
      </w:r>
    </w:p>
    <w:p w:rsidR="00567C36" w:rsidRDefault="00EC61E9">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Los miembros del Cuerpo de Seguridad Ciudadana Municipal en ejercicio de su función. </w:t>
      </w:r>
    </w:p>
    <w:p w:rsidR="00567C36" w:rsidRDefault="00EC61E9">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w:t>
      </w:r>
      <w:r>
        <w:rPr>
          <w:rFonts w:ascii="Palatino Linotype" w:eastAsia="Palatino Linotype" w:hAnsi="Palatino Linotype" w:cs="Palatino Linotype"/>
          <w:i/>
          <w:sz w:val="22"/>
          <w:szCs w:val="22"/>
        </w:rPr>
        <w:t>Presidenta Municipal ejercerá el mando de los miembros del Cuerpo de Seguridad Ciudadana y del Cuerpo de Tránsito, en términos de la Ley de Seguridad del Estado de México, la Ley Orgánica, los reglamentos y las demás disposiciones jurídicas aplicables. Las</w:t>
      </w:r>
      <w:r>
        <w:rPr>
          <w:rFonts w:ascii="Palatino Linotype" w:eastAsia="Palatino Linotype" w:hAnsi="Palatino Linotype" w:cs="Palatino Linotype"/>
          <w:i/>
          <w:sz w:val="22"/>
          <w:szCs w:val="22"/>
        </w:rPr>
        <w:t xml:space="preserve"> atribuciones, funciones y obligaciones de las autoridades municipales de seguridad pública son las establecidas en la Ley General del Sistema Nacional de Seguridad Pública, la Ley de Seguridad del Estado de México, en la Ley de Responsabilidades Administr</w:t>
      </w:r>
      <w:r>
        <w:rPr>
          <w:rFonts w:ascii="Palatino Linotype" w:eastAsia="Palatino Linotype" w:hAnsi="Palatino Linotype" w:cs="Palatino Linotype"/>
          <w:i/>
          <w:sz w:val="22"/>
          <w:szCs w:val="22"/>
        </w:rPr>
        <w:t xml:space="preserve">ativas del Estado de México y Municipios; en los reglamentos que expida el Ayuntamiento y en las demás disposiciones administrativas aplicables. </w:t>
      </w:r>
    </w:p>
    <w:p w:rsidR="00567C36" w:rsidRDefault="00EC61E9">
      <w:pPr>
        <w:spacing w:after="240" w:line="276" w:lineRule="auto"/>
        <w:ind w:left="567" w:right="567"/>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La Dirección General de Seguridad Ciudadana y Tránsito Municipal, en concordancia con lo que para tal efecto d</w:t>
      </w:r>
      <w:r>
        <w:rPr>
          <w:rFonts w:ascii="Palatino Linotype" w:eastAsia="Palatino Linotype" w:hAnsi="Palatino Linotype" w:cs="Palatino Linotype"/>
          <w:i/>
          <w:sz w:val="22"/>
          <w:szCs w:val="22"/>
        </w:rPr>
        <w:t xml:space="preserve">ispone la Constitución Política de los Estados Unidos Mexicanos, la Ley de Seguridad del Estado de México y demás normatividad aplicable, </w:t>
      </w:r>
      <w:r>
        <w:rPr>
          <w:rFonts w:ascii="Palatino Linotype" w:eastAsia="Palatino Linotype" w:hAnsi="Palatino Linotype" w:cs="Palatino Linotype"/>
          <w:b/>
          <w:i/>
          <w:sz w:val="22"/>
          <w:szCs w:val="22"/>
          <w:u w:val="single"/>
        </w:rPr>
        <w:t xml:space="preserve">contará con una Comisión de Honor y Justicia, que velará por la honorabilidad y la reputación de sus elementos, misma </w:t>
      </w:r>
      <w:r>
        <w:rPr>
          <w:rFonts w:ascii="Palatino Linotype" w:eastAsia="Palatino Linotype" w:hAnsi="Palatino Linotype" w:cs="Palatino Linotype"/>
          <w:b/>
          <w:i/>
          <w:sz w:val="22"/>
          <w:szCs w:val="22"/>
          <w:u w:val="single"/>
        </w:rPr>
        <w:t xml:space="preserve">que combatirá con energía las </w:t>
      </w:r>
      <w:r>
        <w:rPr>
          <w:rFonts w:ascii="Palatino Linotype" w:eastAsia="Palatino Linotype" w:hAnsi="Palatino Linotype" w:cs="Palatino Linotype"/>
          <w:b/>
          <w:i/>
          <w:sz w:val="22"/>
          <w:szCs w:val="22"/>
          <w:u w:val="single"/>
        </w:rPr>
        <w:lastRenderedPageBreak/>
        <w:t>conductas lesivas para la comunidad y para la propia corporación, contando con los recursos necesarios para el desempeño de sus funciones en términos de la Ley de Seguridad Pública del Estado de México y reglamentación aplicab</w:t>
      </w:r>
      <w:r>
        <w:rPr>
          <w:rFonts w:ascii="Palatino Linotype" w:eastAsia="Palatino Linotype" w:hAnsi="Palatino Linotype" w:cs="Palatino Linotype"/>
          <w:b/>
          <w:i/>
          <w:sz w:val="22"/>
          <w:szCs w:val="22"/>
          <w:u w:val="single"/>
        </w:rPr>
        <w:t>le</w:t>
      </w:r>
    </w:p>
    <w:p w:rsidR="00567C36" w:rsidRDefault="00EC61E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advierte, que el Ayuntamiento de Naucalpan de Juárez, efectivamente cuenta con una Comisión de Honor y Justicia, quien deberá conocer de los asuntos de los procedimientos en los que se resuelva la suspensión temporal, separación, remoción, baja, cese o </w:t>
      </w:r>
      <w:r>
        <w:rPr>
          <w:rFonts w:ascii="Palatino Linotype" w:eastAsia="Palatino Linotype" w:hAnsi="Palatino Linotype" w:cs="Palatino Linotype"/>
          <w:color w:val="000000"/>
        </w:rPr>
        <w:t>cualquier otra forma de terminación del servicio de los elementos policiales, lo anterior de acuerdo a lo señalado por el artículo 274 del Reglamento del Servicio Profesional de Carrera Policial de la Administración Municipal de Naucalpan de Juárez, México</w:t>
      </w:r>
      <w:r>
        <w:rPr>
          <w:rFonts w:ascii="Palatino Linotype" w:eastAsia="Palatino Linotype" w:hAnsi="Palatino Linotype" w:cs="Palatino Linotype"/>
          <w:color w:val="000000"/>
        </w:rPr>
        <w:t xml:space="preserve"> 2019-2021, que señala lo siguiente:</w:t>
      </w:r>
    </w:p>
    <w:p w:rsidR="00567C36" w:rsidRDefault="00EC61E9">
      <w:pPr>
        <w:spacing w:before="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274.- La Comisión de Honor y Justicia, es un órgano colegiado que </w:t>
      </w:r>
      <w:r>
        <w:rPr>
          <w:rFonts w:ascii="Palatino Linotype" w:eastAsia="Palatino Linotype" w:hAnsi="Palatino Linotype" w:cs="Palatino Linotype"/>
          <w:i/>
          <w:sz w:val="22"/>
          <w:szCs w:val="22"/>
          <w:u w:val="single"/>
        </w:rPr>
        <w:t>tendrá como atribución llevar a cabo, en el ámbito de su competencia, los procedimientos en los que se resuelva la suspensión temporal, separación, remoción, baja, cese o cualquier otra forma de terminación del servicio de los elementos policiales de confo</w:t>
      </w:r>
      <w:r>
        <w:rPr>
          <w:rFonts w:ascii="Palatino Linotype" w:eastAsia="Palatino Linotype" w:hAnsi="Palatino Linotype" w:cs="Palatino Linotype"/>
          <w:i/>
          <w:sz w:val="22"/>
          <w:szCs w:val="22"/>
          <w:u w:val="single"/>
        </w:rPr>
        <w:t>rmidad con lo establecido en el artículo 123, apartado B, fracción XIII de la Constitución Federal y la Ley General, cuando incumplan</w:t>
      </w:r>
      <w:r>
        <w:rPr>
          <w:rFonts w:ascii="Palatino Linotype" w:eastAsia="Palatino Linotype" w:hAnsi="Palatino Linotype" w:cs="Palatino Linotype"/>
          <w:i/>
          <w:sz w:val="22"/>
          <w:szCs w:val="22"/>
        </w:rPr>
        <w:t xml:space="preserve">: </w:t>
      </w:r>
    </w:p>
    <w:p w:rsidR="00567C36" w:rsidRDefault="00EC61E9">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Con los requisitos de permanencia que se establecen en la Ley General, la Ley de Seguridad del Estado de México y dem</w:t>
      </w:r>
      <w:r>
        <w:rPr>
          <w:rFonts w:ascii="Palatino Linotype" w:eastAsia="Palatino Linotype" w:hAnsi="Palatino Linotype" w:cs="Palatino Linotype"/>
          <w:i/>
          <w:sz w:val="22"/>
          <w:szCs w:val="22"/>
        </w:rPr>
        <w:t xml:space="preserve">ás disposiciones legales aplicables; </w:t>
      </w:r>
    </w:p>
    <w:p w:rsidR="00567C36" w:rsidRDefault="00EC61E9">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Con las obligaciones establecidas en la Ley General, la Ley de Seguridad del Estado de México y los ordenamientos jurídicos internos que rigen su actuar; y </w:t>
      </w:r>
    </w:p>
    <w:p w:rsidR="00567C36" w:rsidRDefault="00EC61E9">
      <w:pPr>
        <w:spacing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Con el régimen disciplinario establecido en la Ley d</w:t>
      </w:r>
      <w:r>
        <w:rPr>
          <w:rFonts w:ascii="Palatino Linotype" w:eastAsia="Palatino Linotype" w:hAnsi="Palatino Linotype" w:cs="Palatino Linotype"/>
          <w:i/>
          <w:sz w:val="22"/>
          <w:szCs w:val="22"/>
        </w:rPr>
        <w:t>e Seguridad del Estado de México. La Comisión de Honor y Justicia implementará una base de datos en la que se registrarán las sanciones impuestas a los integrantes de las Instituciones Policiales.” (Sic)</w:t>
      </w:r>
    </w:p>
    <w:p w:rsidR="00567C36" w:rsidRDefault="00EC61E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Razones por las cuales lo procedente es ordena previ</w:t>
      </w:r>
      <w:r>
        <w:rPr>
          <w:rFonts w:ascii="Palatino Linotype" w:eastAsia="Palatino Linotype" w:hAnsi="Palatino Linotype" w:cs="Palatino Linotype"/>
          <w:color w:val="000000"/>
        </w:rPr>
        <w:t>a búsqueda exhaustiva y razonable, el documento o documentos en donde conste el motivo de la separación del cargo de todos los registros del año 2018, los 10 registros del mes de enero del año 2020 y del registro del mes de julio del año 2020, señalados en</w:t>
      </w:r>
      <w:r>
        <w:rPr>
          <w:rFonts w:ascii="Palatino Linotype" w:eastAsia="Palatino Linotype" w:hAnsi="Palatino Linotype" w:cs="Palatino Linotype"/>
          <w:color w:val="000000"/>
        </w:rPr>
        <w:t xml:space="preserve"> informe justificado </w:t>
      </w:r>
      <w:r>
        <w:rPr>
          <w:rFonts w:ascii="Palatino Linotype" w:eastAsia="Palatino Linotype" w:hAnsi="Palatino Linotype" w:cs="Palatino Linotype"/>
          <w:color w:val="000000"/>
        </w:rPr>
        <w:lastRenderedPageBreak/>
        <w:t>y de ser procedente en versión pública de acuerdo a lo señalado por el considerando quinto del presente fallo.</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Para la entrega de la información, en razón de que el derecho de acceso a la información pública no</w:t>
      </w:r>
      <w:r>
        <w:rPr>
          <w:rFonts w:ascii="Palatino Linotype" w:eastAsia="Palatino Linotype" w:hAnsi="Palatino Linotype" w:cs="Palatino Linotype"/>
        </w:rPr>
        <w:t xml:space="preserve"> es absoluto, sino que encuentra como excepciones que la información sobre la cual se peticiona el acceso, sea o contenga datos que deban ser clasificados en los términos que la misma Ley de la Materia señala, el Sujeto Obligado tendrá que hacer la elabora</w:t>
      </w:r>
      <w:r>
        <w:rPr>
          <w:rFonts w:ascii="Palatino Linotype" w:eastAsia="Palatino Linotype" w:hAnsi="Palatino Linotype" w:cs="Palatino Linotype"/>
        </w:rPr>
        <w:t>ción de una versión pública de los documentos que vaya entregar para dar cumplimiento a esta resolución, a fin de satisfacer el derecho de acceso a la información pública de la recurrente sin menoscabar el derecho a la protección de los datos personales de</w:t>
      </w:r>
      <w:r>
        <w:rPr>
          <w:rFonts w:ascii="Palatino Linotype" w:eastAsia="Palatino Linotype" w:hAnsi="Palatino Linotype" w:cs="Palatino Linotype"/>
        </w:rPr>
        <w:t xml:space="preserve"> terceros.</w:t>
      </w:r>
    </w:p>
    <w:p w:rsidR="00567C36" w:rsidRDefault="00EC61E9">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567C36" w:rsidRDefault="00EC61E9">
      <w:pPr>
        <w:spacing w:before="240" w:after="240" w:line="276" w:lineRule="auto"/>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567C36" w:rsidRDefault="00EC61E9">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567C36" w:rsidRDefault="00EC61E9">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w:t>
      </w:r>
      <w:r>
        <w:rPr>
          <w:rFonts w:ascii="Palatino Linotype" w:eastAsia="Palatino Linotype" w:hAnsi="Palatino Linotype" w:cs="Palatino Linotype"/>
          <w:b/>
          <w:i/>
          <w:sz w:val="22"/>
          <w:szCs w:val="22"/>
        </w:rPr>
        <w:t>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567C36" w:rsidRDefault="00EC61E9">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567C36" w:rsidRDefault="00EC61E9">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567C36" w:rsidRDefault="00EC61E9">
      <w:pPr>
        <w:spacing w:before="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w:t>
      </w:r>
      <w:r>
        <w:rPr>
          <w:rFonts w:ascii="Palatino Linotype" w:eastAsia="Palatino Linotype" w:hAnsi="Palatino Linotype" w:cs="Palatino Linotype"/>
          <w:i/>
          <w:sz w:val="22"/>
          <w:szCs w:val="22"/>
        </w:rPr>
        <w:t>siciones aplicables. En el caso de los derechos de acceso, rectificación, cancelación u oposición; los principios, procedimientos, medidas de seguridad en el tratamiento y demás disposiciones en materia de datos personales, se deberá estar a lo dispuesto e</w:t>
      </w:r>
      <w:r>
        <w:rPr>
          <w:rFonts w:ascii="Palatino Linotype" w:eastAsia="Palatino Linotype" w:hAnsi="Palatino Linotype" w:cs="Palatino Linotype"/>
          <w:i/>
          <w:sz w:val="22"/>
          <w:szCs w:val="22"/>
        </w:rPr>
        <w:t>n las leyes de la materia.”</w:t>
      </w:r>
    </w:p>
    <w:p w:rsidR="00567C36" w:rsidRDefault="00567C36">
      <w:pPr>
        <w:spacing w:line="276" w:lineRule="auto"/>
        <w:ind w:left="993" w:right="1041"/>
        <w:jc w:val="both"/>
        <w:rPr>
          <w:rFonts w:ascii="Palatino Linotype" w:eastAsia="Palatino Linotype" w:hAnsi="Palatino Linotype" w:cs="Palatino Linotype"/>
          <w:i/>
          <w:sz w:val="22"/>
          <w:szCs w:val="22"/>
        </w:rPr>
      </w:pPr>
    </w:p>
    <w:p w:rsidR="00567C36" w:rsidRDefault="00EC61E9">
      <w:pPr>
        <w:spacing w:line="276" w:lineRule="auto"/>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w:t>
      </w:r>
      <w:r>
        <w:rPr>
          <w:rFonts w:ascii="Palatino Linotype" w:eastAsia="Palatino Linotype" w:hAnsi="Palatino Linotype" w:cs="Palatino Linotype"/>
          <w:i/>
          <w:sz w:val="22"/>
          <w:szCs w:val="22"/>
        </w:rPr>
        <w:t xml:space="preserve"> pública en la que se testen las partes o secciones clasificadas, indicando su contenido de manera genérica y fundando y motivando su clasificación.”</w:t>
      </w:r>
    </w:p>
    <w:p w:rsidR="00567C36" w:rsidRDefault="00567C36">
      <w:pPr>
        <w:spacing w:line="276" w:lineRule="auto"/>
        <w:ind w:left="993" w:right="1041"/>
        <w:jc w:val="both"/>
        <w:rPr>
          <w:rFonts w:ascii="Palatino Linotype" w:eastAsia="Palatino Linotype" w:hAnsi="Palatino Linotype" w:cs="Palatino Linotype"/>
          <w:b/>
          <w:i/>
          <w:sz w:val="22"/>
          <w:szCs w:val="22"/>
        </w:rPr>
      </w:pPr>
    </w:p>
    <w:p w:rsidR="00567C36" w:rsidRDefault="00EC61E9">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w:t>
      </w:r>
      <w:r>
        <w:rPr>
          <w:rFonts w:ascii="Palatino Linotype" w:eastAsia="Palatino Linotype" w:hAnsi="Palatino Linotype" w:cs="Palatino Linotype"/>
          <w:i/>
          <w:sz w:val="22"/>
          <w:szCs w:val="22"/>
        </w:rPr>
        <w:t>l, de manera permanente, por su naturaleza, cuando:</w:t>
      </w:r>
    </w:p>
    <w:p w:rsidR="00567C36" w:rsidRDefault="00EC61E9">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567C36" w:rsidRDefault="00EC61E9">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w:t>
      </w:r>
      <w:r>
        <w:rPr>
          <w:rFonts w:ascii="Palatino Linotype" w:eastAsia="Palatino Linotype" w:hAnsi="Palatino Linotype" w:cs="Palatino Linotype"/>
          <w:i/>
          <w:sz w:val="22"/>
          <w:szCs w:val="22"/>
        </w:rPr>
        <w:t>cial, fiscal, bursátil y postal, cuya titularidad corresponda a particulares, sujetos de derecho internacional o a sujetos obligados cuando no involucren el ejercicio de recursos públicos; y</w:t>
      </w:r>
    </w:p>
    <w:p w:rsidR="00567C36" w:rsidRDefault="00EC61E9">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w:t>
      </w:r>
      <w:r>
        <w:rPr>
          <w:rFonts w:ascii="Palatino Linotype" w:eastAsia="Palatino Linotype" w:hAnsi="Palatino Linotype" w:cs="Palatino Linotype"/>
          <w:i/>
          <w:sz w:val="22"/>
          <w:szCs w:val="22"/>
        </w:rPr>
        <w:t>e conformidad con lo dispuesto por las leyes o los tratados internacionales.” (Sic)</w:t>
      </w:r>
    </w:p>
    <w:p w:rsidR="00567C36" w:rsidRDefault="00567C36">
      <w:pPr>
        <w:spacing w:line="276" w:lineRule="auto"/>
        <w:ind w:left="993" w:right="1041"/>
        <w:jc w:val="both"/>
        <w:rPr>
          <w:rFonts w:ascii="Palatino Linotype" w:eastAsia="Palatino Linotype" w:hAnsi="Palatino Linotype" w:cs="Palatino Linotype"/>
          <w:i/>
          <w:sz w:val="22"/>
          <w:szCs w:val="22"/>
        </w:rPr>
      </w:pPr>
    </w:p>
    <w:p w:rsidR="00567C36" w:rsidRDefault="00EC61E9">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w:t>
      </w:r>
      <w:r>
        <w:rPr>
          <w:rFonts w:ascii="Palatino Linotype" w:eastAsia="Palatino Linotype" w:hAnsi="Palatino Linotype" w:cs="Palatino Linotype"/>
        </w:rPr>
        <w:lastRenderedPageBreak/>
        <w:t>interés públic</w:t>
      </w:r>
      <w:r>
        <w:rPr>
          <w:rFonts w:ascii="Palatino Linotype" w:eastAsia="Palatino Linotype" w:hAnsi="Palatino Linotype" w:cs="Palatino Linotype"/>
        </w:rPr>
        <w:t>o como información que debe ser clasificada, se hará la entrega del mismo, testando las secciones o datos que deban ser clasificados; por ende el Sujeto Obligado deberá proceder a testar los datos personales que se encuentren contenidos en los documentos a</w:t>
      </w:r>
      <w:r>
        <w:rPr>
          <w:rFonts w:ascii="Palatino Linotype" w:eastAsia="Palatino Linotype" w:hAnsi="Palatino Linotype" w:cs="Palatino Linotype"/>
        </w:rPr>
        <w:t xml:space="preserve"> entregar por parte del Sujeto Obligado para satisfacer el derecho de acceso a la información pública de la recurrente, esto es, los datos concernientes a una persona identificada o identificable, o aquellos datos que tengan el carácter de sensibles, es de</w:t>
      </w:r>
      <w:r>
        <w:rPr>
          <w:rFonts w:ascii="Palatino Linotype" w:eastAsia="Palatino Linotype" w:hAnsi="Palatino Linotype" w:cs="Palatino Linotype"/>
        </w:rPr>
        <w:t>cir los que afectan la esfera más íntima de su titular o cuya utilización indebida pueda dar origen a discriminación o conlleven un riesgo grave para aquel de acuerdo a lo que señala la fracción XII del artículo 4 de la Ley de Protección de Datos Personale</w:t>
      </w:r>
      <w:r>
        <w:rPr>
          <w:rFonts w:ascii="Palatino Linotype" w:eastAsia="Palatino Linotype" w:hAnsi="Palatino Linotype" w:cs="Palatino Linotype"/>
        </w:rPr>
        <w:t>s en Posesión de Sujetos Obligados del Estado de México.</w:t>
      </w:r>
    </w:p>
    <w:p w:rsidR="00567C36" w:rsidRDefault="00567C36">
      <w:pPr>
        <w:spacing w:line="360" w:lineRule="auto"/>
        <w:ind w:right="51"/>
        <w:jc w:val="both"/>
        <w:rPr>
          <w:rFonts w:ascii="Palatino Linotype" w:eastAsia="Palatino Linotype" w:hAnsi="Palatino Linotype" w:cs="Palatino Linotype"/>
        </w:rPr>
      </w:pPr>
    </w:p>
    <w:p w:rsidR="00567C36" w:rsidRDefault="00EC61E9">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w:t>
      </w:r>
      <w:r>
        <w:rPr>
          <w:rFonts w:ascii="Palatino Linotype" w:eastAsia="Palatino Linotype" w:hAnsi="Palatino Linotype" w:cs="Palatino Linotype"/>
        </w:rPr>
        <w:t>igados no deberán hacer entrega de los mismos a personas ajenas a su titular.</w:t>
      </w:r>
    </w:p>
    <w:p w:rsidR="00567C36" w:rsidRDefault="00567C36">
      <w:pPr>
        <w:spacing w:line="360" w:lineRule="auto"/>
        <w:ind w:right="50"/>
        <w:jc w:val="both"/>
        <w:rPr>
          <w:rFonts w:ascii="Palatino Linotype" w:eastAsia="Palatino Linotype" w:hAnsi="Palatino Linotype" w:cs="Palatino Linotype"/>
        </w:rPr>
      </w:pPr>
    </w:p>
    <w:p w:rsidR="00567C36" w:rsidRDefault="00EC61E9">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w:t>
      </w:r>
      <w:r>
        <w:rPr>
          <w:rFonts w:ascii="Palatino Linotype" w:eastAsia="Palatino Linotype" w:hAnsi="Palatino Linotype" w:cs="Palatino Linotype"/>
        </w:rPr>
        <w:t>Servidor Público Habilitado o el Responsable de la Unidad de Transparencia del Sujeto Obligado, sino que ello deberá realizarse en términos de lo que disponen los artículos 49 fracción VIII, 53, fracción X y 59, fracción V, de la Ley en consulta, cuyo sent</w:t>
      </w:r>
      <w:r>
        <w:rPr>
          <w:rFonts w:ascii="Palatino Linotype" w:eastAsia="Palatino Linotype" w:hAnsi="Palatino Linotype" w:cs="Palatino Linotype"/>
        </w:rPr>
        <w:t>ido literal es el siguiente:</w:t>
      </w:r>
    </w:p>
    <w:p w:rsidR="00567C36" w:rsidRDefault="00567C36">
      <w:pPr>
        <w:spacing w:line="360" w:lineRule="auto"/>
        <w:ind w:right="51"/>
        <w:jc w:val="both"/>
        <w:rPr>
          <w:rFonts w:ascii="Palatino Linotype" w:eastAsia="Palatino Linotype" w:hAnsi="Palatino Linotype" w:cs="Palatino Linotype"/>
        </w:rPr>
      </w:pPr>
    </w:p>
    <w:p w:rsidR="00567C36" w:rsidRDefault="00EC61E9">
      <w:pPr>
        <w:spacing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567C36" w:rsidRDefault="00EC61E9">
      <w:pPr>
        <w:spacing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567C36" w:rsidRDefault="00EC61E9">
      <w:pPr>
        <w:spacing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567C36" w:rsidRDefault="00EC61E9">
      <w:pPr>
        <w:spacing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567C36" w:rsidRDefault="00EC61E9">
      <w:pPr>
        <w:spacing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567C36" w:rsidRDefault="00EC61E9">
      <w:pPr>
        <w:spacing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Integrar y presentar al responsable de la Unidad de Transparencia la propuesta de </w:t>
      </w:r>
      <w:r>
        <w:rPr>
          <w:rFonts w:ascii="Palatino Linotype" w:eastAsia="Palatino Linotype" w:hAnsi="Palatino Linotype" w:cs="Palatino Linotype"/>
          <w:b/>
          <w:i/>
          <w:sz w:val="22"/>
          <w:szCs w:val="22"/>
        </w:rPr>
        <w:t>clasificación de información</w:t>
      </w:r>
      <w:r>
        <w:rPr>
          <w:rFonts w:ascii="Palatino Linotype" w:eastAsia="Palatino Linotype" w:hAnsi="Palatino Linotype" w:cs="Palatino Linotype"/>
          <w:i/>
          <w:sz w:val="22"/>
          <w:szCs w:val="22"/>
        </w:rPr>
        <w:t>, la cual tendrá los fundamentos y argumentos en que se basa dicha propuesta…”</w:t>
      </w:r>
    </w:p>
    <w:p w:rsidR="00567C36" w:rsidRDefault="00567C36">
      <w:pPr>
        <w:spacing w:line="360" w:lineRule="auto"/>
        <w:ind w:left="992" w:right="1043"/>
        <w:jc w:val="both"/>
        <w:rPr>
          <w:rFonts w:ascii="Palatino Linotype" w:eastAsia="Palatino Linotype" w:hAnsi="Palatino Linotype" w:cs="Palatino Linotype"/>
          <w:i/>
          <w:sz w:val="22"/>
          <w:szCs w:val="22"/>
        </w:rPr>
      </w:pPr>
    </w:p>
    <w:p w:rsidR="00567C36" w:rsidRDefault="00EC61E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w:t>
      </w:r>
      <w:r>
        <w:rPr>
          <w:rFonts w:ascii="Palatino Linotype" w:eastAsia="Palatino Linotype" w:hAnsi="Palatino Linotype" w:cs="Palatino Linotype"/>
        </w:rPr>
        <w:t xml:space="preserve">blicos Habilitados, de las Unidades de Transparencia y del Comité de Transparencia del Sujeto Obligado, teniendo el deber los primeros de ellos de presentar ante la Unidad de Transparencia la propuesta de la clasificación de la información, para que luego </w:t>
      </w:r>
      <w:r>
        <w:rPr>
          <w:rFonts w:ascii="Palatino Linotype" w:eastAsia="Palatino Linotype" w:hAnsi="Palatino Linotype" w:cs="Palatino Linotype"/>
        </w:rPr>
        <w:t>ésta presente ante al Comité de Transparencia de así resultar procedente el proyecto de clasificación de la información y finalmente sea éste último quien apruebe, modifique o revoque la clasificación de la información solicitada.</w:t>
      </w:r>
    </w:p>
    <w:p w:rsidR="00567C36" w:rsidRDefault="00567C36">
      <w:pPr>
        <w:spacing w:line="360" w:lineRule="auto"/>
        <w:jc w:val="both"/>
        <w:rPr>
          <w:rFonts w:ascii="Palatino Linotype" w:eastAsia="Palatino Linotype" w:hAnsi="Palatino Linotype" w:cs="Palatino Linotype"/>
        </w:rPr>
      </w:pPr>
    </w:p>
    <w:p w:rsidR="00567C36" w:rsidRDefault="00EC61E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w:t>
      </w:r>
      <w:r>
        <w:rPr>
          <w:rFonts w:ascii="Palatino Linotype" w:eastAsia="Palatino Linotype" w:hAnsi="Palatino Linotype" w:cs="Palatino Linotype"/>
        </w:rPr>
        <w:t>n el caso de información de carácter confidencial, se debe atender a lo que señala el artículo 149 de la Ley de Transparencia Local vigente, que se lee como sigue:</w:t>
      </w:r>
    </w:p>
    <w:p w:rsidR="00567C36" w:rsidRDefault="00567C36">
      <w:pPr>
        <w:spacing w:line="360" w:lineRule="auto"/>
        <w:jc w:val="both"/>
        <w:rPr>
          <w:rFonts w:ascii="Palatino Linotype" w:eastAsia="Palatino Linotype" w:hAnsi="Palatino Linotype" w:cs="Palatino Linotype"/>
        </w:rPr>
      </w:pPr>
    </w:p>
    <w:p w:rsidR="00567C36" w:rsidRDefault="00EC61E9">
      <w:pPr>
        <w:spacing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567C36" w:rsidRDefault="00EC61E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w:t>
      </w:r>
      <w:r>
        <w:rPr>
          <w:rFonts w:ascii="Palatino Linotype" w:eastAsia="Palatino Linotype" w:hAnsi="Palatino Linotype" w:cs="Palatino Linotype"/>
        </w:rPr>
        <w:t>o que contenga un razonamiento lógico con el que se demuestre que la información que se testa de las versiones públicas que se sirva elaborar, encuadra en alguna de las hipótesis que contempla la Ley de la Materia en su artículo 143; ya que de lo contrario</w:t>
      </w:r>
      <w:r>
        <w:rPr>
          <w:rFonts w:ascii="Palatino Linotype" w:eastAsia="Palatino Linotype" w:hAnsi="Palatino Linotype" w:cs="Palatino Linotype"/>
        </w:rPr>
        <w:t>, se crearía la incertidumbre jurídica en relación a si lo entregado es formalmente una versión pública, o un documento ilegible, incompleto o tachado; en otras palabras si no se exponen de manera puntual las razones de la versión pública de la documentaci</w:t>
      </w:r>
      <w:r>
        <w:rPr>
          <w:rFonts w:ascii="Palatino Linotype" w:eastAsia="Palatino Linotype" w:hAnsi="Palatino Linotype" w:cs="Palatino Linotype"/>
        </w:rPr>
        <w:t>ón entregada se estaría violentando el derecho de acceso a la información de la parte solicitante.</w:t>
      </w:r>
    </w:p>
    <w:p w:rsidR="00567C36" w:rsidRDefault="00EC61E9">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w:t>
      </w:r>
      <w:r>
        <w:rPr>
          <w:rFonts w:ascii="Palatino Linotype" w:eastAsia="Palatino Linotype" w:hAnsi="Palatino Linotype" w:cs="Palatino Linotype"/>
        </w:rPr>
        <w:t xml:space="preserve">io que el Comité de Transparencia del Sujeto Obligado emita el Acuerdo de Clasificación correspondiente debidamente fundado y motivado, que sustente la versión pública, el cual deberá cumplir cabalmente con las formalidades previstas en el artículo 137 de </w:t>
      </w:r>
      <w:r>
        <w:rPr>
          <w:rFonts w:ascii="Palatino Linotype" w:eastAsia="Palatino Linotype" w:hAnsi="Palatino Linotype" w:cs="Palatino Linotype"/>
        </w:rPr>
        <w:t xml:space="preserve">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w:t>
      </w:r>
      <w:r>
        <w:rPr>
          <w:rFonts w:ascii="Palatino Linotype" w:eastAsia="Palatino Linotype" w:hAnsi="Palatino Linotype" w:cs="Palatino Linotype"/>
          <w:b/>
        </w:rPr>
        <w:t xml:space="preserve"> ELABORACIÓN DE VERSIONES PÚBLICAS</w:t>
      </w:r>
      <w:r>
        <w:rPr>
          <w:rFonts w:ascii="Palatino Linotype" w:eastAsia="Palatino Linotype" w:hAnsi="Palatino Linotype" w:cs="Palatino Linotype"/>
        </w:rPr>
        <w:t xml:space="preserve">, publicados en el Diario Oficial de la Federación en fecha quince de abril del año dos mil dieciséis, mediante Acuerdo </w:t>
      </w:r>
      <w:r>
        <w:rPr>
          <w:rFonts w:ascii="Palatino Linotype" w:eastAsia="Palatino Linotype" w:hAnsi="Palatino Linotype" w:cs="Palatino Linotype"/>
        </w:rPr>
        <w:lastRenderedPageBreak/>
        <w:t>del Consejo Nacional del Sistema Nacional de Transparencia, Acceso a la Información Pública y Protecci</w:t>
      </w:r>
      <w:r>
        <w:rPr>
          <w:rFonts w:ascii="Palatino Linotype" w:eastAsia="Palatino Linotype" w:hAnsi="Palatino Linotype" w:cs="Palatino Linotype"/>
        </w:rPr>
        <w:t>ón de Datos Personales, que literalmente expresan:</w:t>
      </w:r>
    </w:p>
    <w:p w:rsidR="00567C36" w:rsidRDefault="00567C36">
      <w:pPr>
        <w:spacing w:line="360" w:lineRule="auto"/>
        <w:ind w:left="709" w:right="709"/>
        <w:jc w:val="both"/>
        <w:rPr>
          <w:rFonts w:ascii="Palatino Linotype" w:eastAsia="Palatino Linotype" w:hAnsi="Palatino Linotype" w:cs="Palatino Linotype"/>
          <w:b/>
          <w:i/>
          <w:sz w:val="22"/>
          <w:szCs w:val="22"/>
        </w:rPr>
      </w:pPr>
    </w:p>
    <w:p w:rsidR="00567C36" w:rsidRDefault="00EC61E9">
      <w:pPr>
        <w:spacing w:line="276" w:lineRule="auto"/>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w:t>
      </w:r>
      <w:r>
        <w:rPr>
          <w:rFonts w:ascii="Palatino Linotype" w:eastAsia="Palatino Linotype" w:hAnsi="Palatino Linotype" w:cs="Palatino Linotype"/>
          <w:i/>
          <w:sz w:val="22"/>
          <w:szCs w:val="22"/>
        </w:rPr>
        <w:t xml:space="preserve"> se entenderá por:</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w:t>
      </w:r>
      <w:r>
        <w:rPr>
          <w:rFonts w:ascii="Palatino Linotype" w:eastAsia="Palatino Linotype" w:hAnsi="Palatino Linotype" w:cs="Palatino Linotype"/>
          <w:i/>
          <w:sz w:val="22"/>
          <w:szCs w:val="22"/>
        </w:rPr>
        <w:t>puesto por el Título Sexto de la Ley General, en relación con las disposiciones contenidas en los presentes lineamientos, así como en aquellas disposiciones legales aplicables a la materia en el ámbito de sus respectivas competencias, en tanto estas última</w:t>
      </w:r>
      <w:r>
        <w:rPr>
          <w:rFonts w:ascii="Palatino Linotype" w:eastAsia="Palatino Linotype" w:hAnsi="Palatino Linotype" w:cs="Palatino Linotype"/>
          <w:i/>
          <w:sz w:val="22"/>
          <w:szCs w:val="22"/>
        </w:rPr>
        <w:t>s no contravengan lo dispuesto en la Ley General.</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w:t>
      </w:r>
      <w:r>
        <w:rPr>
          <w:rFonts w:ascii="Palatino Linotype" w:eastAsia="Palatino Linotype" w:hAnsi="Palatino Linotype" w:cs="Palatino Linotype"/>
          <w:i/>
          <w:sz w:val="22"/>
          <w:szCs w:val="22"/>
        </w:rPr>
        <w:t>justificar toda negativa de acceso a la información, por actualizarse cualquiera de los supuestos de clasificación previstos en la Ley General, la Ley Federal y leyes estatales, corresponderá a los sujetos obligados, por lo que deberán fundar y motivar deb</w:t>
      </w:r>
      <w:r>
        <w:rPr>
          <w:rFonts w:ascii="Palatino Linotype" w:eastAsia="Palatino Linotype" w:hAnsi="Palatino Linotype" w:cs="Palatino Linotype"/>
          <w:i/>
          <w:sz w:val="22"/>
          <w:szCs w:val="22"/>
        </w:rPr>
        <w:t>idamente la clasificación de la información ante una solicitud de acceso o al momento en que generen versiones públicas para dar cumplimiento a las obligaciones de transparencia, observando lo dispuesto en la Ley General y las demás disposiciones aplicable</w:t>
      </w:r>
      <w:r>
        <w:rPr>
          <w:rFonts w:ascii="Palatino Linotype" w:eastAsia="Palatino Linotype" w:hAnsi="Palatino Linotype" w:cs="Palatino Linotype"/>
          <w:i/>
          <w:sz w:val="22"/>
          <w:szCs w:val="22"/>
        </w:rPr>
        <w:t>s en la materia.</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w:t>
      </w:r>
      <w:r>
        <w:rPr>
          <w:rFonts w:ascii="Palatino Linotype" w:eastAsia="Palatino Linotype" w:hAnsi="Palatino Linotype" w:cs="Palatino Linotype"/>
          <w:i/>
          <w:sz w:val="22"/>
          <w:szCs w:val="22"/>
        </w:rPr>
        <w:t>s archivos.</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w:t>
      </w:r>
      <w:r>
        <w:rPr>
          <w:rFonts w:ascii="Palatino Linotype" w:eastAsia="Palatino Linotype" w:hAnsi="Palatino Linotype" w:cs="Palatino Linotype"/>
          <w:i/>
          <w:sz w:val="22"/>
          <w:szCs w:val="22"/>
        </w:rPr>
        <w:t xml:space="preserve"> Se recib</w:t>
      </w:r>
      <w:r>
        <w:rPr>
          <w:rFonts w:ascii="Palatino Linotype" w:eastAsia="Palatino Linotype" w:hAnsi="Palatino Linotype" w:cs="Palatino Linotype"/>
          <w:i/>
          <w:sz w:val="22"/>
          <w:szCs w:val="22"/>
        </w:rPr>
        <w:t>a una solicitud de acceso a la información;</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w:t>
      </w:r>
      <w:r>
        <w:rPr>
          <w:rFonts w:ascii="Palatino Linotype" w:eastAsia="Palatino Linotype" w:hAnsi="Palatino Linotype" w:cs="Palatino Linotype"/>
          <w:i/>
          <w:sz w:val="22"/>
          <w:szCs w:val="22"/>
        </w:rPr>
        <w:t>spondientes de las entidades federativas.</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w:t>
      </w:r>
      <w:r>
        <w:rPr>
          <w:rFonts w:ascii="Palatino Linotype" w:eastAsia="Palatino Linotype" w:hAnsi="Palatino Linotype" w:cs="Palatino Linotype"/>
          <w:i/>
          <w:sz w:val="22"/>
          <w:szCs w:val="22"/>
        </w:rPr>
        <w:t>var la clasificación se deberán señalar las razones o circunstancias especiales que lo llevaron a concluir que el caso particular se ajusta al supuesto previsto por la norma legal invocada como fundamento.</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w:t>
      </w:r>
      <w:r>
        <w:rPr>
          <w:rFonts w:ascii="Palatino Linotype" w:eastAsia="Palatino Linotype" w:hAnsi="Palatino Linotype" w:cs="Palatino Linotype"/>
          <w:i/>
          <w:sz w:val="22"/>
          <w:szCs w:val="22"/>
        </w:rPr>
        <w:t>otivación de la clasificación también deberá comprender las circunstancias que justifican el establecimiento de determinado plazo de reserva.</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w:t>
      </w:r>
      <w:r>
        <w:rPr>
          <w:rFonts w:ascii="Palatino Linotype" w:eastAsia="Palatino Linotype" w:hAnsi="Palatino Linotype" w:cs="Palatino Linotype"/>
          <w:i/>
          <w:sz w:val="22"/>
          <w:szCs w:val="22"/>
        </w:rPr>
        <w:t>rmanente por tener valor histórico, ésta conservará tal carácter de conformidad con la normativa aplicable en materia de archivos.</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w:t>
      </w:r>
      <w:r>
        <w:rPr>
          <w:rFonts w:ascii="Palatino Linotype" w:eastAsia="Palatino Linotype" w:hAnsi="Palatino Linotype" w:cs="Palatino Linotype"/>
          <w:i/>
          <w:sz w:val="22"/>
          <w:szCs w:val="22"/>
        </w:rPr>
        <w:t xml:space="preserve"> de clasificación como reservados.</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w:t>
      </w:r>
      <w:r>
        <w:rPr>
          <w:rFonts w:ascii="Palatino Linotype" w:eastAsia="Palatino Linotype" w:hAnsi="Palatino Linotype" w:cs="Palatino Linotype"/>
          <w:i/>
          <w:sz w:val="22"/>
          <w:szCs w:val="22"/>
        </w:rPr>
        <w:t>partes o secciones que se testen, siguiendo los procedimientos establecidos en el Capítulo IX de los presentes lineamientos.</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w:t>
      </w:r>
      <w:r>
        <w:rPr>
          <w:rFonts w:ascii="Palatino Linotype" w:eastAsia="Palatino Linotype" w:hAnsi="Palatino Linotype" w:cs="Palatino Linotype"/>
          <w:i/>
          <w:sz w:val="22"/>
          <w:szCs w:val="22"/>
        </w:rPr>
        <w:t>buciones, tenga acceso a los documentos clasificados. Asimismo, deberán asegurarse de que dicho personal cuente con los conocimientos técnicos y legales que le permitan manejar adecuadamente la información clasificada, en los términos de los Lineamientos p</w:t>
      </w:r>
      <w:r>
        <w:rPr>
          <w:rFonts w:ascii="Palatino Linotype" w:eastAsia="Palatino Linotype" w:hAnsi="Palatino Linotype" w:cs="Palatino Linotype"/>
          <w:i/>
          <w:sz w:val="22"/>
          <w:szCs w:val="22"/>
        </w:rPr>
        <w:t>ara la Organización y Conservación de Archivos.</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ausencia de los titulares de las áreas, la información será clasificada o desclasificada por la persona que lo supla, en términos de la normativa que rija la actuación del sujeto obligado.</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rPr>
        <w:t>En el intercambio de información entre sujetos obligados para el ejercicio de sus atribuciones, los documentos que se encuentren clasificados deberán llevar la leyenda correspondiente de conformidad con lo dispuesto en el Capítulo VIII de los presentes lin</w:t>
      </w:r>
      <w:r>
        <w:rPr>
          <w:rFonts w:ascii="Palatino Linotype" w:eastAsia="Palatino Linotype" w:hAnsi="Palatino Linotype" w:cs="Palatino Linotype"/>
          <w:i/>
          <w:sz w:val="22"/>
          <w:szCs w:val="22"/>
        </w:rPr>
        <w:t>eamientos.</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67C36" w:rsidRDefault="00EC61E9">
      <w:pPr>
        <w:spacing w:line="276" w:lineRule="auto"/>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567C36" w:rsidRDefault="00EC61E9">
      <w:pPr>
        <w:spacing w:line="276" w:lineRule="auto"/>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w:t>
      </w:r>
      <w:r>
        <w:rPr>
          <w:rFonts w:ascii="Palatino Linotype" w:eastAsia="Palatino Linotype" w:hAnsi="Palatino Linotype" w:cs="Palatino Linotype"/>
          <w:i/>
          <w:sz w:val="22"/>
          <w:szCs w:val="22"/>
        </w:rPr>
        <w:t>ntes, sin perjuicio de que establezcan los propios.</w:t>
      </w:r>
    </w:p>
    <w:p w:rsidR="00567C36" w:rsidRDefault="00EC61E9">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67C36" w:rsidRDefault="00EC61E9">
      <w:pPr>
        <w:spacing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1"/>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567C36">
        <w:trPr>
          <w:jc w:val="center"/>
        </w:trPr>
        <w:tc>
          <w:tcPr>
            <w:tcW w:w="1129" w:type="dxa"/>
            <w:tcBorders>
              <w:top w:val="nil"/>
              <w:left w:val="nil"/>
              <w:bottom w:val="single" w:sz="4" w:space="0" w:color="000000"/>
              <w:right w:val="single" w:sz="4" w:space="0" w:color="000000"/>
            </w:tcBorders>
          </w:tcPr>
          <w:p w:rsidR="00567C36" w:rsidRDefault="00567C36">
            <w:pPr>
              <w:spacing w:before="240" w:after="240" w:line="276" w:lineRule="auto"/>
              <w:jc w:val="both"/>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Concepto</w:t>
            </w:r>
          </w:p>
        </w:tc>
        <w:tc>
          <w:tcPr>
            <w:tcW w:w="4531"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Dónde:</w:t>
            </w:r>
          </w:p>
        </w:tc>
      </w:tr>
      <w:tr w:rsidR="00567C36">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567C36" w:rsidRDefault="00EC61E9">
            <w:pPr>
              <w:spacing w:before="240" w:after="240" w:line="276" w:lineRule="auto"/>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la fecha en la que el Comité de Transparencia confirmó la clasificación del documento, en su caso.</w:t>
            </w:r>
          </w:p>
        </w:tc>
      </w:tr>
      <w:tr w:rsidR="00567C36">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567C36" w:rsidRDefault="00567C36">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Área</w:t>
            </w:r>
          </w:p>
        </w:tc>
        <w:tc>
          <w:tcPr>
            <w:tcW w:w="4531"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área del cual es titular quien clasifica.</w:t>
            </w:r>
          </w:p>
        </w:tc>
      </w:tr>
      <w:tr w:rsidR="00567C36">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567C36" w:rsidRDefault="00567C36">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 indicarán, en su caso, las partes o páginas del documento que se clasifican como reservadas. Si el documento fuera reservado en su totalidad, se </w:t>
            </w:r>
            <w:proofErr w:type="gramStart"/>
            <w:r>
              <w:rPr>
                <w:rFonts w:ascii="Palatino Linotype" w:eastAsia="Palatino Linotype" w:hAnsi="Palatino Linotype" w:cs="Palatino Linotype"/>
                <w:i/>
                <w:sz w:val="22"/>
                <w:szCs w:val="22"/>
              </w:rPr>
              <w:t>anotarán</w:t>
            </w:r>
            <w:proofErr w:type="gramEnd"/>
            <w:r>
              <w:rPr>
                <w:rFonts w:ascii="Palatino Linotype" w:eastAsia="Palatino Linotype" w:hAnsi="Palatino Linotype" w:cs="Palatino Linotype"/>
                <w:i/>
                <w:sz w:val="22"/>
                <w:szCs w:val="22"/>
              </w:rPr>
              <w:t xml:space="preserve"> todas las páginas que lo conforman. Si </w:t>
            </w:r>
            <w:r>
              <w:rPr>
                <w:rFonts w:ascii="Palatino Linotype" w:eastAsia="Palatino Linotype" w:hAnsi="Palatino Linotype" w:cs="Palatino Linotype"/>
                <w:i/>
                <w:sz w:val="22"/>
                <w:szCs w:val="22"/>
              </w:rPr>
              <w:lastRenderedPageBreak/>
              <w:t>el documento no contiene información reservada, se tachará e</w:t>
            </w:r>
            <w:r>
              <w:rPr>
                <w:rFonts w:ascii="Palatino Linotype" w:eastAsia="Palatino Linotype" w:hAnsi="Palatino Linotype" w:cs="Palatino Linotype"/>
                <w:i/>
                <w:sz w:val="22"/>
                <w:szCs w:val="22"/>
              </w:rPr>
              <w:t>ste apartado.</w:t>
            </w:r>
          </w:p>
        </w:tc>
      </w:tr>
      <w:tr w:rsidR="00567C36">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567C36" w:rsidRDefault="00567C36">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el número de años o meses por los que se mantendrá el documento o las partes del mismo como reservado.</w:t>
            </w:r>
          </w:p>
        </w:tc>
      </w:tr>
      <w:tr w:rsidR="00567C36">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567C36" w:rsidRDefault="00567C36">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ordenamiento, el o los artículos, fracción(es), párrafo(s) con base en los cuales se sustente la reserva.</w:t>
            </w:r>
          </w:p>
        </w:tc>
      </w:tr>
      <w:tr w:rsidR="00567C36">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567C36" w:rsidRDefault="00567C36">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haber solicitado la ampliación del periodo de reserva originalmente estableci</w:t>
            </w:r>
            <w:r>
              <w:rPr>
                <w:rFonts w:ascii="Palatino Linotype" w:eastAsia="Palatino Linotype" w:hAnsi="Palatino Linotype" w:cs="Palatino Linotype"/>
                <w:i/>
                <w:sz w:val="22"/>
                <w:szCs w:val="22"/>
              </w:rPr>
              <w:t>do, se deberá anotar el número de años o meses por los que se amplía la reserva.</w:t>
            </w:r>
          </w:p>
        </w:tc>
      </w:tr>
      <w:tr w:rsidR="00567C36">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567C36" w:rsidRDefault="00567C36">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Confidencial</w:t>
            </w:r>
          </w:p>
        </w:tc>
        <w:tc>
          <w:tcPr>
            <w:tcW w:w="4531"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indicarán, en su caso, las partes o páginas del documento que se clasifica como confidencial. Si el documento fuera confidencial en su totalidad, se anotarán todas las páginas que lo conforman. Si el documento no contiene información confidencial, se ta</w:t>
            </w:r>
            <w:r>
              <w:rPr>
                <w:rFonts w:ascii="Palatino Linotype" w:eastAsia="Palatino Linotype" w:hAnsi="Palatino Linotype" w:cs="Palatino Linotype"/>
                <w:i/>
                <w:sz w:val="22"/>
                <w:szCs w:val="22"/>
              </w:rPr>
              <w:t>chará este apartado.</w:t>
            </w:r>
          </w:p>
        </w:tc>
      </w:tr>
      <w:tr w:rsidR="00567C36">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567C36" w:rsidRDefault="00567C36">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ordenamiento, el o los artículos, fracción(es), párrafo(s) con base en los cuales se sustente la confidencialidad.</w:t>
            </w:r>
          </w:p>
        </w:tc>
      </w:tr>
      <w:tr w:rsidR="00567C36">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567C36" w:rsidRDefault="00567C36">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autógrafa de quien clasifica.</w:t>
            </w:r>
          </w:p>
        </w:tc>
      </w:tr>
      <w:tr w:rsidR="00567C36">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567C36" w:rsidRDefault="00567C36">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la fecha en que se desclasifica el documento.</w:t>
            </w:r>
          </w:p>
        </w:tc>
      </w:tr>
      <w:tr w:rsidR="00567C36">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567C36" w:rsidRDefault="00567C36">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567C36" w:rsidRDefault="00EC61E9">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567C36" w:rsidRDefault="00EC61E9">
            <w:pPr>
              <w:spacing w:before="240" w:after="240" w:line="276" w:lineRule="auto"/>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autógrafa de quien desclasifica.</w:t>
            </w:r>
          </w:p>
        </w:tc>
      </w:tr>
    </w:tbl>
    <w:p w:rsidR="00567C36" w:rsidRDefault="00567C36">
      <w:pPr>
        <w:spacing w:before="240" w:line="276" w:lineRule="auto"/>
        <w:ind w:right="51"/>
        <w:jc w:val="both"/>
        <w:rPr>
          <w:rFonts w:ascii="Palatino Linotype" w:eastAsia="Palatino Linotype" w:hAnsi="Palatino Linotype" w:cs="Palatino Linotype"/>
          <w:sz w:val="22"/>
          <w:szCs w:val="22"/>
        </w:rPr>
      </w:pPr>
    </w:p>
    <w:p w:rsidR="00567C36" w:rsidRDefault="00EC61E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567C36" w:rsidRDefault="00567C36">
      <w:pPr>
        <w:spacing w:line="360" w:lineRule="auto"/>
        <w:jc w:val="both"/>
        <w:rPr>
          <w:rFonts w:ascii="Palatino Linotype" w:eastAsia="Palatino Linotype" w:hAnsi="Palatino Linotype" w:cs="Palatino Linotype"/>
        </w:rPr>
      </w:pPr>
    </w:p>
    <w:p w:rsidR="00567C36" w:rsidRDefault="00EC61E9">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w:t>
      </w:r>
      <w:r>
        <w:rPr>
          <w:rFonts w:ascii="Palatino Linotype" w:eastAsia="Palatino Linotype" w:hAnsi="Palatino Linotype" w:cs="Palatino Linotype"/>
        </w:rPr>
        <w:t xml:space="preserve">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w:t>
      </w:r>
      <w:r>
        <w:rPr>
          <w:rFonts w:ascii="Palatino Linotype" w:eastAsia="Palatino Linotype" w:hAnsi="Palatino Linotype" w:cs="Palatino Linotype"/>
        </w:rPr>
        <w:t xml:space="preserve">entregado no es legal ni formalmente una versión pública, sino más bien una documentación ilegible, incompleta o tachada; pues no señalar las razones por las que no se aprecian determinados datos -ya sea porque se testan o suprimen- deja al solicitante en </w:t>
      </w:r>
      <w:r>
        <w:rPr>
          <w:rFonts w:ascii="Palatino Linotype" w:eastAsia="Palatino Linotype" w:hAnsi="Palatino Linotype" w:cs="Palatino Linotype"/>
        </w:rPr>
        <w:t>estado de incertidumbre, al no conocer o comprender porque no aparecen en la documentación respectiva, es decir, si no se exponen de manera puntual las razones de ello se estaría violentando desde un inicio el derecho de acceso a la información del solicit</w:t>
      </w:r>
      <w:r>
        <w:rPr>
          <w:rFonts w:ascii="Palatino Linotype" w:eastAsia="Palatino Linotype" w:hAnsi="Palatino Linotype" w:cs="Palatino Linotype"/>
        </w:rPr>
        <w:t xml:space="preserve">ante, por lo que el acuerdo respectivo, deberá hacerse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567C36" w:rsidRDefault="00567C36">
      <w:pPr>
        <w:spacing w:line="360" w:lineRule="auto"/>
        <w:jc w:val="both"/>
        <w:rPr>
          <w:rFonts w:ascii="Palatino Linotype" w:eastAsia="Palatino Linotype" w:hAnsi="Palatino Linotype" w:cs="Palatino Linotype"/>
        </w:rPr>
      </w:pPr>
    </w:p>
    <w:p w:rsidR="00567C36" w:rsidRDefault="00EC61E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este modo, como ha sido señalado en la presente resolución, en armonía entre los principios constitucionales de máxima publicidad y de protección de datos personale</w:t>
      </w:r>
      <w:r>
        <w:rPr>
          <w:rFonts w:ascii="Palatino Linotype" w:eastAsia="Palatino Linotype" w:hAnsi="Palatino Linotype" w:cs="Palatino Linotype"/>
        </w:rPr>
        <w:t>s, la Ley de Transparencia y Acceso a la Información Pública del Estado de México y Municipios permite la elaboración de versiones públicas en las que se suprima aquella información relacionada con la vida privada.</w:t>
      </w:r>
    </w:p>
    <w:p w:rsidR="00567C36" w:rsidRDefault="00567C36">
      <w:pPr>
        <w:spacing w:after="240" w:line="360" w:lineRule="auto"/>
        <w:jc w:val="both"/>
        <w:rPr>
          <w:rFonts w:ascii="Palatino Linotype" w:eastAsia="Palatino Linotype" w:hAnsi="Palatino Linotype" w:cs="Palatino Linotype"/>
        </w:rPr>
      </w:pPr>
    </w:p>
    <w:p w:rsidR="00567C36" w:rsidRDefault="00EC61E9">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w:t>
      </w:r>
      <w:r>
        <w:rPr>
          <w:rFonts w:ascii="Palatino Linotype" w:eastAsia="Palatino Linotype" w:hAnsi="Palatino Linotype" w:cs="Palatino Linotype"/>
        </w:rPr>
        <w:t>os artículos 5 párrafos trigésimo, trigésimo primero y trigésimo segundo de la Constitución Política del Estado Libre y Soberano de México; 2, fracción II; 29, 36 fracciones I y II; 176, 178, 181, 185 y 186 fracción II de la Ley de Transparencia y Acceso a</w:t>
      </w:r>
      <w:r>
        <w:rPr>
          <w:rFonts w:ascii="Palatino Linotype" w:eastAsia="Palatino Linotype" w:hAnsi="Palatino Linotype" w:cs="Palatino Linotype"/>
        </w:rPr>
        <w:t xml:space="preserve"> la Información Pública del Estado de México y Municipios, este Pleno:</w:t>
      </w:r>
    </w:p>
    <w:p w:rsidR="00567C36" w:rsidRDefault="00EC61E9">
      <w:pPr>
        <w:numPr>
          <w:ilvl w:val="0"/>
          <w:numId w:val="3"/>
        </w:numPr>
        <w:pBdr>
          <w:top w:val="nil"/>
          <w:left w:val="nil"/>
          <w:bottom w:val="nil"/>
          <w:right w:val="nil"/>
          <w:between w:val="nil"/>
        </w:pBdr>
        <w:spacing w:after="240" w:line="360" w:lineRule="auto"/>
        <w:ind w:left="720"/>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00189/INFOEM/IP/RR/2022,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567C36" w:rsidRDefault="00EC61E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en términos de los Considerandos Cuarto y Quinto de la presente resolución, haga entre</w:t>
      </w:r>
      <w:r>
        <w:rPr>
          <w:rFonts w:ascii="Palatino Linotype" w:eastAsia="Palatino Linotype" w:hAnsi="Palatino Linotype" w:cs="Palatino Linotype"/>
        </w:rPr>
        <w:t>ga vía SAIMEX y en versión pública de ser procedente, del documento o documentos en donde conste lo siguiente:</w:t>
      </w:r>
    </w:p>
    <w:p w:rsidR="00567C36" w:rsidRDefault="00EC61E9">
      <w:pPr>
        <w:numPr>
          <w:ilvl w:val="0"/>
          <w:numId w:val="2"/>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El motivo de la separación del cargo de los registros del año 2018, de los 10 registros del mes de enero del año 2020 y del registro del mes de j</w:t>
      </w:r>
      <w:r>
        <w:rPr>
          <w:rFonts w:ascii="Palatino Linotype" w:eastAsia="Palatino Linotype" w:hAnsi="Palatino Linotype" w:cs="Palatino Linotype"/>
          <w:color w:val="000000"/>
        </w:rPr>
        <w:t>ulio del año 2020, señalados en informe justificado.</w:t>
      </w:r>
    </w:p>
    <w:p w:rsidR="00567C36" w:rsidRDefault="00EC61E9">
      <w:pPr>
        <w:spacing w:before="240"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i/>
        </w:rPr>
        <w:t>De ser procedente, debiendo emitir el Acuerdo del Comité de Transparencia de conformidad a la Ley de Transparencia y Acceso a la Información Pública del Estado de México y Municipios, en el que funde y m</w:t>
      </w:r>
      <w:r>
        <w:rPr>
          <w:rFonts w:ascii="Palatino Linotype" w:eastAsia="Palatino Linotype" w:hAnsi="Palatino Linotype" w:cs="Palatino Linotype"/>
          <w:i/>
        </w:rPr>
        <w:t>otive las razones sobre los datos que se supriman o eliminen de los soportes documentales objeto de las versiones públicas que se formulen y se pongan a disposición del recurrente, mismo que igualmente hará de su conocimiento.</w:t>
      </w:r>
    </w:p>
    <w:p w:rsidR="00567C36" w:rsidRDefault="00567C36">
      <w:pPr>
        <w:spacing w:line="360" w:lineRule="auto"/>
        <w:jc w:val="both"/>
        <w:rPr>
          <w:rFonts w:ascii="Palatino Linotype" w:eastAsia="Palatino Linotype" w:hAnsi="Palatino Linotype" w:cs="Palatino Linotype"/>
          <w:b/>
        </w:rPr>
      </w:pPr>
    </w:p>
    <w:p w:rsidR="00567C36" w:rsidRDefault="00EC61E9">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w:t>
      </w:r>
      <w:r>
        <w:rPr>
          <w:rFonts w:ascii="Palatino Linotype" w:eastAsia="Palatino Linotype" w:hAnsi="Palatino Linotype" w:cs="Palatino Linotype"/>
          <w:b/>
          <w:highlight w:val="white"/>
        </w:rPr>
        <w:t>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w:t>
      </w:r>
      <w:r>
        <w:rPr>
          <w:rFonts w:ascii="Palatino Linotype" w:eastAsia="Palatino Linotype" w:hAnsi="Palatino Linotype" w:cs="Palatino Linotype"/>
          <w:highlight w:val="white"/>
        </w:rPr>
        <w:t>iles, debiendo informar a este Instituto en un plazo de tres días hábiles siguientes sobre el cumplimiento dado.</w:t>
      </w:r>
    </w:p>
    <w:p w:rsidR="00567C36" w:rsidRDefault="00567C36">
      <w:pPr>
        <w:spacing w:line="360" w:lineRule="auto"/>
        <w:jc w:val="both"/>
        <w:rPr>
          <w:rFonts w:ascii="Palatino Linotype" w:eastAsia="Palatino Linotype" w:hAnsi="Palatino Linotype" w:cs="Palatino Linotype"/>
          <w:highlight w:val="white"/>
        </w:rPr>
      </w:pPr>
    </w:p>
    <w:p w:rsidR="00567C36" w:rsidRDefault="00EC61E9">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w:t>
      </w:r>
      <w:r>
        <w:rPr>
          <w:rFonts w:ascii="Palatino Linotype" w:eastAsia="Palatino Linotype" w:hAnsi="Palatino Linotype" w:cs="Palatino Linotype"/>
        </w:rPr>
        <w:t>rminos de las leyes aplicables.</w:t>
      </w:r>
    </w:p>
    <w:p w:rsidR="00567C36" w:rsidRDefault="00EC61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w:t>
      </w:r>
      <w:r>
        <w:rPr>
          <w:rFonts w:ascii="Palatino Linotype" w:eastAsia="Palatino Linotype" w:hAnsi="Palatino Linotype" w:cs="Palatino Linotype"/>
        </w:rPr>
        <w:lastRenderedPageBreak/>
        <w:t xml:space="preserve">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w:t>
      </w:r>
      <w:r>
        <w:rPr>
          <w:rFonts w:ascii="Palatino Linotype" w:eastAsia="Palatino Linotype" w:hAnsi="Palatino Linotype" w:cs="Palatino Linotype"/>
        </w:rPr>
        <w:t>licitar una ampliación de plazo para el cumplimiento de la presente resolución.</w:t>
      </w:r>
    </w:p>
    <w:p w:rsidR="00567C36" w:rsidRDefault="00EC61E9">
      <w:pPr>
        <w:spacing w:before="240" w:after="240" w:line="360" w:lineRule="auto"/>
        <w:jc w:val="both"/>
        <w:rPr>
          <w:rFonts w:ascii="Palatino Linotype" w:eastAsia="Palatino Linotype" w:hAnsi="Palatino Linotype" w:cs="Palatino Linotype"/>
        </w:rPr>
        <w:sectPr w:rsidR="00567C36">
          <w:headerReference w:type="default" r:id="rId19"/>
          <w:footerReference w:type="default" r:id="rId20"/>
          <w:headerReference w:type="first" r:id="rId21"/>
          <w:footerReference w:type="first" r:id="rId22"/>
          <w:pgSz w:w="12240" w:h="15840"/>
          <w:pgMar w:top="2041" w:right="1701" w:bottom="1701" w:left="1701" w:header="709" w:footer="709" w:gutter="0"/>
          <w:pgNumType w:start="1"/>
          <w:cols w:space="720"/>
          <w:titlePg/>
        </w:sectPr>
      </w:pPr>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w:t>
      </w:r>
      <w:r>
        <w:rPr>
          <w:rFonts w:ascii="Palatino Linotype" w:eastAsia="Palatino Linotype" w:hAnsi="Palatino Linotype" w:cs="Palatino Linotype"/>
          <w:color w:val="222222"/>
          <w:highlight w:val="white"/>
        </w:rPr>
        <w:t>ARTÍNEZ VILCHIS, MARÍA DEL ROSARIO MEJÍA AYALA, SHARON CRISTINA MORALES MARTÍNEZ, LUIS GUSTAVO PARRA NORIEGA Y GUADALUPE RAMÍREZ PEÑA; EN LA NOVENA SESIÓN ORDINARIA CELEBRADA EL NEUVE</w:t>
      </w:r>
      <w:r>
        <w:rPr>
          <w:rFonts w:ascii="Palatino Linotype" w:eastAsia="Palatino Linotype" w:hAnsi="Palatino Linotype" w:cs="Palatino Linotype"/>
        </w:rPr>
        <w:t xml:space="preserve"> DE MARZO DEL DOS MIL VEINTIDÓS, ANTE EL SECRETARIO TÉCNICO DEL PLENO ALE</w:t>
      </w:r>
      <w:r>
        <w:rPr>
          <w:rFonts w:ascii="Palatino Linotype" w:eastAsia="Palatino Linotype" w:hAnsi="Palatino Linotype" w:cs="Palatino Linotype"/>
        </w:rPr>
        <w:t xml:space="preserve">XIS TAPIA RAMÍREZ.    </w:t>
      </w:r>
    </w:p>
    <w:p w:rsidR="00567C36" w:rsidRDefault="00567C36">
      <w:pPr>
        <w:spacing w:before="240" w:after="240" w:line="360" w:lineRule="auto"/>
        <w:jc w:val="both"/>
        <w:rPr>
          <w:rFonts w:ascii="Palatino Linotype" w:eastAsia="Palatino Linotype" w:hAnsi="Palatino Linotype" w:cs="Palatino Linotype"/>
        </w:rPr>
      </w:pPr>
    </w:p>
    <w:p w:rsidR="00567C36" w:rsidRDefault="00567C36">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p>
    <w:p w:rsidR="00567C36" w:rsidRDefault="00567C36">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p>
    <w:p w:rsidR="00567C36" w:rsidRDefault="00567C36">
      <w:pPr>
        <w:spacing w:before="240" w:after="240" w:line="360" w:lineRule="auto"/>
        <w:jc w:val="both"/>
        <w:rPr>
          <w:rFonts w:ascii="Palatino Linotype" w:eastAsia="Palatino Linotype" w:hAnsi="Palatino Linotype" w:cs="Palatino Linotype"/>
        </w:rPr>
      </w:pPr>
    </w:p>
    <w:p w:rsidR="00567C36" w:rsidRDefault="00567C36">
      <w:pPr>
        <w:spacing w:before="240" w:after="240" w:line="360" w:lineRule="auto"/>
        <w:jc w:val="both"/>
        <w:rPr>
          <w:rFonts w:ascii="Palatino Linotype" w:eastAsia="Palatino Linotype" w:hAnsi="Palatino Linotype" w:cs="Palatino Linotype"/>
        </w:rPr>
      </w:pPr>
    </w:p>
    <w:p w:rsidR="00567C36" w:rsidRDefault="00567C36">
      <w:pPr>
        <w:spacing w:before="240" w:after="240" w:line="360" w:lineRule="auto"/>
        <w:jc w:val="both"/>
        <w:rPr>
          <w:rFonts w:ascii="Palatino Linotype" w:eastAsia="Palatino Linotype" w:hAnsi="Palatino Linotype" w:cs="Palatino Linotype"/>
        </w:rPr>
      </w:pPr>
    </w:p>
    <w:p w:rsidR="00567C36" w:rsidRDefault="00567C36">
      <w:pPr>
        <w:spacing w:before="240" w:after="240" w:line="360" w:lineRule="auto"/>
        <w:jc w:val="both"/>
        <w:rPr>
          <w:rFonts w:ascii="Palatino Linotype" w:eastAsia="Palatino Linotype" w:hAnsi="Palatino Linotype" w:cs="Palatino Linotype"/>
        </w:rPr>
      </w:pPr>
    </w:p>
    <w:p w:rsidR="00567C36" w:rsidRDefault="00567C36">
      <w:pPr>
        <w:spacing w:before="240" w:after="240" w:line="360" w:lineRule="auto"/>
        <w:jc w:val="both"/>
        <w:rPr>
          <w:rFonts w:ascii="Palatino Linotype" w:eastAsia="Palatino Linotype" w:hAnsi="Palatino Linotype" w:cs="Palatino Linotype"/>
        </w:rPr>
      </w:pPr>
    </w:p>
    <w:p w:rsidR="00567C36" w:rsidRDefault="00567C36">
      <w:pPr>
        <w:spacing w:before="240" w:after="240" w:line="360" w:lineRule="auto"/>
        <w:jc w:val="both"/>
        <w:rPr>
          <w:rFonts w:ascii="Palatino Linotype" w:eastAsia="Palatino Linotype" w:hAnsi="Palatino Linotype" w:cs="Palatino Linotype"/>
        </w:rPr>
      </w:pPr>
    </w:p>
    <w:p w:rsidR="00567C36" w:rsidRDefault="00567C36">
      <w:pPr>
        <w:spacing w:before="240" w:after="240" w:line="360" w:lineRule="auto"/>
        <w:jc w:val="both"/>
        <w:rPr>
          <w:rFonts w:ascii="Palatino Linotype" w:eastAsia="Palatino Linotype" w:hAnsi="Palatino Linotype" w:cs="Palatino Linotype"/>
        </w:rPr>
      </w:pPr>
    </w:p>
    <w:p w:rsidR="00567C36" w:rsidRDefault="00567C36">
      <w:pPr>
        <w:spacing w:before="240" w:after="240" w:line="360" w:lineRule="auto"/>
        <w:jc w:val="both"/>
        <w:rPr>
          <w:rFonts w:ascii="Palatino Linotype" w:eastAsia="Palatino Linotype" w:hAnsi="Palatino Linotype" w:cs="Palatino Linotype"/>
          <w:sz w:val="20"/>
          <w:szCs w:val="20"/>
        </w:rPr>
      </w:pPr>
    </w:p>
    <w:sectPr w:rsidR="00567C36">
      <w:headerReference w:type="default" r:id="rId23"/>
      <w:footerReference w:type="default" r:id="rId24"/>
      <w:headerReference w:type="first" r:id="rId25"/>
      <w:footerReference w:type="first" r:id="rId26"/>
      <w:pgSz w:w="12240" w:h="15840"/>
      <w:pgMar w:top="1417" w:right="1701" w:bottom="1276"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C61E9">
      <w:r>
        <w:separator/>
      </w:r>
    </w:p>
  </w:endnote>
  <w:endnote w:type="continuationSeparator" w:id="0">
    <w:p w:rsidR="00000000" w:rsidRDefault="00EC6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altName w:val="Trebuchet MS"/>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C36" w:rsidRDefault="00EC61E9">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22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42</w:t>
    </w:r>
    <w:r>
      <w:rPr>
        <w:rFonts w:ascii="Arial" w:eastAsia="Arial" w:hAnsi="Arial" w:cs="Arial"/>
        <w:b/>
        <w:color w:val="000000"/>
        <w:sz w:val="20"/>
        <w:szCs w:val="20"/>
      </w:rPr>
      <w:fldChar w:fldCharType="end"/>
    </w:r>
  </w:p>
  <w:p w:rsidR="00567C36" w:rsidRDefault="00567C36">
    <w:pPr>
      <w:pBdr>
        <w:top w:val="nil"/>
        <w:left w:val="nil"/>
        <w:bottom w:val="nil"/>
        <w:right w:val="nil"/>
        <w:between w:val="nil"/>
      </w:pBdr>
      <w:tabs>
        <w:tab w:val="center" w:pos="4419"/>
        <w:tab w:val="right" w:pos="8838"/>
      </w:tabs>
      <w:rPr>
        <w:color w:val="000000"/>
      </w:rPr>
    </w:pPr>
  </w:p>
  <w:p w:rsidR="00567C36" w:rsidRDefault="00567C36">
    <w:pPr>
      <w:pBdr>
        <w:top w:val="nil"/>
        <w:left w:val="nil"/>
        <w:bottom w:val="nil"/>
        <w:right w:val="nil"/>
        <w:between w:val="nil"/>
      </w:pBdr>
      <w:tabs>
        <w:tab w:val="center" w:pos="4419"/>
        <w:tab w:val="right" w:pos="8838"/>
      </w:tabs>
      <w:ind w:firstLine="708"/>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C36" w:rsidRDefault="00EC61E9">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42</w:t>
    </w:r>
    <w:r>
      <w:rPr>
        <w:rFonts w:ascii="Arial" w:eastAsia="Arial" w:hAnsi="Arial" w:cs="Arial"/>
        <w:b/>
        <w:color w:val="000000"/>
        <w:sz w:val="20"/>
        <w:szCs w:val="20"/>
      </w:rPr>
      <w:fldChar w:fldCharType="end"/>
    </w:r>
  </w:p>
  <w:p w:rsidR="00567C36" w:rsidRDefault="00567C36">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C36" w:rsidRDefault="00EC61E9">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end"/>
    </w:r>
  </w:p>
  <w:p w:rsidR="00567C36" w:rsidRDefault="00567C36">
    <w:pPr>
      <w:pBdr>
        <w:top w:val="nil"/>
        <w:left w:val="nil"/>
        <w:bottom w:val="nil"/>
        <w:right w:val="nil"/>
        <w:between w:val="nil"/>
      </w:pBdr>
      <w:tabs>
        <w:tab w:val="center" w:pos="4419"/>
        <w:tab w:val="right" w:pos="8838"/>
      </w:tabs>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C36" w:rsidRDefault="00EC61E9">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rsidR="00567C36" w:rsidRDefault="00567C3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C61E9">
      <w:r>
        <w:separator/>
      </w:r>
    </w:p>
  </w:footnote>
  <w:footnote w:type="continuationSeparator" w:id="0">
    <w:p w:rsidR="00000000" w:rsidRDefault="00EC6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C36" w:rsidRDefault="00567C36">
    <w:pPr>
      <w:widowControl w:val="0"/>
      <w:pBdr>
        <w:top w:val="nil"/>
        <w:left w:val="nil"/>
        <w:bottom w:val="nil"/>
        <w:right w:val="nil"/>
        <w:between w:val="nil"/>
      </w:pBdr>
      <w:spacing w:line="276" w:lineRule="auto"/>
      <w:rPr>
        <w:color w:val="000000"/>
      </w:rPr>
    </w:pPr>
  </w:p>
  <w:tbl>
    <w:tblPr>
      <w:tblStyle w:val="a3"/>
      <w:tblW w:w="5528" w:type="dxa"/>
      <w:tblInd w:w="3261" w:type="dxa"/>
      <w:tblLayout w:type="fixed"/>
      <w:tblLook w:val="0400" w:firstRow="0" w:lastRow="0" w:firstColumn="0" w:lastColumn="0" w:noHBand="0" w:noVBand="1"/>
    </w:tblPr>
    <w:tblGrid>
      <w:gridCol w:w="2551"/>
      <w:gridCol w:w="2977"/>
    </w:tblGrid>
    <w:tr w:rsidR="00567C36">
      <w:tc>
        <w:tcPr>
          <w:tcW w:w="2551" w:type="dxa"/>
          <w:vAlign w:val="center"/>
        </w:tcPr>
        <w:p w:rsidR="00567C36" w:rsidRDefault="00EC61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567C36" w:rsidRDefault="00EC61E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00189/INFOEM/IP/RR/2022</w:t>
          </w:r>
        </w:p>
      </w:tc>
    </w:tr>
    <w:tr w:rsidR="00567C36">
      <w:trPr>
        <w:trHeight w:val="228"/>
      </w:trPr>
      <w:tc>
        <w:tcPr>
          <w:tcW w:w="2551" w:type="dxa"/>
          <w:vAlign w:val="center"/>
        </w:tcPr>
        <w:p w:rsidR="00567C36" w:rsidRDefault="00EC61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567C36" w:rsidRDefault="00EC61E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Naucalpan de Juárez.</w:t>
          </w:r>
        </w:p>
      </w:tc>
    </w:tr>
    <w:tr w:rsidR="00567C36">
      <w:tc>
        <w:tcPr>
          <w:tcW w:w="2551" w:type="dxa"/>
          <w:vAlign w:val="center"/>
        </w:tcPr>
        <w:p w:rsidR="00567C36" w:rsidRDefault="00EC61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567C36" w:rsidRDefault="00EC61E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67C36" w:rsidRDefault="00EC61E9">
    <w:pPr>
      <w:pBdr>
        <w:top w:val="nil"/>
        <w:left w:val="nil"/>
        <w:bottom w:val="nil"/>
        <w:right w:val="nil"/>
        <w:between w:val="nil"/>
      </w:pBdr>
      <w:tabs>
        <w:tab w:val="center" w:pos="4419"/>
        <w:tab w:val="right" w:pos="8838"/>
        <w:tab w:val="left" w:pos="2326"/>
      </w:tabs>
      <w:rPr>
        <w:color w:val="000000"/>
      </w:rPr>
    </w:pPr>
    <w:r>
      <w:rPr>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-695770</wp:posOffset>
          </wp:positionH>
          <wp:positionV relativeFrom="paragraph">
            <wp:posOffset>-1200945</wp:posOffset>
          </wp:positionV>
          <wp:extent cx="7809876" cy="10165823"/>
          <wp:effectExtent l="0" t="0" r="0" b="0"/>
          <wp:wrapNone/>
          <wp:docPr id="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C36" w:rsidRDefault="00EC61E9">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-846160</wp:posOffset>
          </wp:positionH>
          <wp:positionV relativeFrom="paragraph">
            <wp:posOffset>-171231</wp:posOffset>
          </wp:positionV>
          <wp:extent cx="7809876" cy="10165823"/>
          <wp:effectExtent l="0" t="0" r="0" b="0"/>
          <wp:wrapNone/>
          <wp:docPr id="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2"/>
      <w:tblW w:w="5670" w:type="dxa"/>
      <w:tblInd w:w="3119" w:type="dxa"/>
      <w:tblLayout w:type="fixed"/>
      <w:tblLook w:val="0400" w:firstRow="0" w:lastRow="0" w:firstColumn="0" w:lastColumn="0" w:noHBand="0" w:noVBand="1"/>
    </w:tblPr>
    <w:tblGrid>
      <w:gridCol w:w="2551"/>
      <w:gridCol w:w="3119"/>
    </w:tblGrid>
    <w:tr w:rsidR="00567C36">
      <w:tc>
        <w:tcPr>
          <w:tcW w:w="2551" w:type="dxa"/>
          <w:vAlign w:val="center"/>
        </w:tcPr>
        <w:p w:rsidR="00567C36" w:rsidRDefault="00EC61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567C36" w:rsidRDefault="00EC61E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00189/INFOEM/IP/RR/2022. </w:t>
          </w:r>
        </w:p>
      </w:tc>
    </w:tr>
    <w:tr w:rsidR="00567C36">
      <w:tc>
        <w:tcPr>
          <w:tcW w:w="2551" w:type="dxa"/>
          <w:vAlign w:val="center"/>
        </w:tcPr>
        <w:p w:rsidR="00567C36" w:rsidRDefault="00EC61E9">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567C36" w:rsidRDefault="00EC61E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w:t>
          </w:r>
          <w:proofErr w:type="spellStart"/>
          <w:r>
            <w:rPr>
              <w:rFonts w:ascii="Palatino Linotype" w:eastAsia="Palatino Linotype" w:hAnsi="Palatino Linotype" w:cs="Palatino Linotype"/>
              <w:b/>
              <w:sz w:val="22"/>
              <w:szCs w:val="22"/>
            </w:rPr>
            <w:t>XXXXX</w:t>
          </w:r>
          <w:proofErr w:type="spellEnd"/>
          <w:r>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w:t>
          </w:r>
          <w:proofErr w:type="spellEnd"/>
        </w:p>
      </w:tc>
    </w:tr>
    <w:tr w:rsidR="00567C36">
      <w:trPr>
        <w:trHeight w:val="228"/>
      </w:trPr>
      <w:tc>
        <w:tcPr>
          <w:tcW w:w="2551" w:type="dxa"/>
          <w:vAlign w:val="center"/>
        </w:tcPr>
        <w:p w:rsidR="00567C36" w:rsidRDefault="00EC61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567C36" w:rsidRDefault="00EC61E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Naucalpan</w:t>
          </w:r>
        </w:p>
        <w:p w:rsidR="00567C36" w:rsidRDefault="00EC61E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De Juárez.</w:t>
          </w:r>
        </w:p>
      </w:tc>
    </w:tr>
    <w:tr w:rsidR="00567C36">
      <w:tc>
        <w:tcPr>
          <w:tcW w:w="2551" w:type="dxa"/>
          <w:vAlign w:val="center"/>
        </w:tcPr>
        <w:p w:rsidR="00567C36" w:rsidRDefault="00EC61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567C36" w:rsidRDefault="00EC61E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67C36" w:rsidRDefault="00567C36">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C36" w:rsidRDefault="00EC61E9">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60288" behindDoc="1" locked="0" layoutInCell="1" hidden="0" allowOverlap="1">
          <wp:simplePos x="0" y="0"/>
          <wp:positionH relativeFrom="column">
            <wp:posOffset>-714373</wp:posOffset>
          </wp:positionH>
          <wp:positionV relativeFrom="paragraph">
            <wp:posOffset>-267333</wp:posOffset>
          </wp:positionV>
          <wp:extent cx="7635600" cy="9943200"/>
          <wp:effectExtent l="0" t="0" r="0" b="0"/>
          <wp:wrapNone/>
          <wp:docPr id="4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5"/>
      <w:tblW w:w="5670" w:type="dxa"/>
      <w:tblInd w:w="3119" w:type="dxa"/>
      <w:tblLayout w:type="fixed"/>
      <w:tblLook w:val="0400" w:firstRow="0" w:lastRow="0" w:firstColumn="0" w:lastColumn="0" w:noHBand="0" w:noVBand="1"/>
    </w:tblPr>
    <w:tblGrid>
      <w:gridCol w:w="2551"/>
      <w:gridCol w:w="3119"/>
    </w:tblGrid>
    <w:tr w:rsidR="00567C36">
      <w:tc>
        <w:tcPr>
          <w:tcW w:w="0" w:type="auto"/>
          <w:vAlign w:val="center"/>
        </w:tcPr>
        <w:p w:rsidR="00567C36" w:rsidRDefault="00EC61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0" w:type="auto"/>
          <w:vAlign w:val="center"/>
        </w:tcPr>
        <w:p w:rsidR="00567C36" w:rsidRDefault="00EC61E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00189/INFOEM/IP/RR/2022.</w:t>
          </w:r>
        </w:p>
      </w:tc>
    </w:tr>
    <w:tr w:rsidR="00567C36">
      <w:trPr>
        <w:trHeight w:val="228"/>
      </w:trPr>
      <w:tc>
        <w:tcPr>
          <w:tcW w:w="0" w:type="auto"/>
          <w:vAlign w:val="center"/>
        </w:tcPr>
        <w:p w:rsidR="00567C36" w:rsidRDefault="00EC61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0" w:type="auto"/>
          <w:vAlign w:val="center"/>
        </w:tcPr>
        <w:p w:rsidR="00567C36" w:rsidRDefault="00EC61E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Naucalpan de Juárez.</w:t>
          </w:r>
        </w:p>
      </w:tc>
    </w:tr>
    <w:tr w:rsidR="00567C36">
      <w:tc>
        <w:tcPr>
          <w:tcW w:w="0" w:type="auto"/>
          <w:vAlign w:val="center"/>
        </w:tcPr>
        <w:p w:rsidR="00567C36" w:rsidRDefault="00EC61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0" w:type="auto"/>
          <w:vAlign w:val="center"/>
        </w:tcPr>
        <w:p w:rsidR="00567C36" w:rsidRDefault="00EC61E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67C36" w:rsidRDefault="00567C36">
    <w:pPr>
      <w:pBdr>
        <w:top w:val="nil"/>
        <w:left w:val="nil"/>
        <w:bottom w:val="nil"/>
        <w:right w:val="nil"/>
        <w:between w:val="nil"/>
      </w:pBdr>
      <w:tabs>
        <w:tab w:val="center" w:pos="4419"/>
        <w:tab w:val="right" w:pos="8838"/>
      </w:tabs>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C36" w:rsidRDefault="00EC61E9">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61312" behindDoc="1" locked="0" layoutInCell="1" hidden="0" allowOverlap="1">
          <wp:simplePos x="0" y="0"/>
          <wp:positionH relativeFrom="column">
            <wp:posOffset>-638173</wp:posOffset>
          </wp:positionH>
          <wp:positionV relativeFrom="paragraph">
            <wp:posOffset>-172083</wp:posOffset>
          </wp:positionV>
          <wp:extent cx="7635600" cy="9943200"/>
          <wp:effectExtent l="0" t="0" r="0" b="0"/>
          <wp:wrapNone/>
          <wp:docPr id="5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4"/>
      <w:tblW w:w="5670" w:type="dxa"/>
      <w:tblInd w:w="3119" w:type="dxa"/>
      <w:tblLayout w:type="fixed"/>
      <w:tblLook w:val="0400" w:firstRow="0" w:lastRow="0" w:firstColumn="0" w:lastColumn="0" w:noHBand="0" w:noVBand="1"/>
    </w:tblPr>
    <w:tblGrid>
      <w:gridCol w:w="2551"/>
      <w:gridCol w:w="3119"/>
    </w:tblGrid>
    <w:tr w:rsidR="00567C36">
      <w:tc>
        <w:tcPr>
          <w:tcW w:w="2551" w:type="dxa"/>
          <w:vAlign w:val="center"/>
        </w:tcPr>
        <w:p w:rsidR="00567C36" w:rsidRDefault="00EC61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567C36" w:rsidRDefault="00EC61E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00189/INFOEM/IP/RR/2022.</w:t>
          </w:r>
        </w:p>
      </w:tc>
    </w:tr>
    <w:tr w:rsidR="00567C36">
      <w:tc>
        <w:tcPr>
          <w:tcW w:w="2551" w:type="dxa"/>
          <w:vAlign w:val="center"/>
        </w:tcPr>
        <w:p w:rsidR="00567C36" w:rsidRDefault="00EC61E9">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567C36" w:rsidRDefault="00EC61E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MVM</w:t>
          </w:r>
        </w:p>
      </w:tc>
    </w:tr>
    <w:tr w:rsidR="00567C36">
      <w:trPr>
        <w:trHeight w:val="228"/>
      </w:trPr>
      <w:tc>
        <w:tcPr>
          <w:tcW w:w="2551" w:type="dxa"/>
          <w:vAlign w:val="center"/>
        </w:tcPr>
        <w:p w:rsidR="00567C36" w:rsidRDefault="00EC61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567C36" w:rsidRDefault="00EC61E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Naucalpan de Juárez.</w:t>
          </w:r>
        </w:p>
      </w:tc>
    </w:tr>
    <w:tr w:rsidR="00567C36">
      <w:tc>
        <w:tcPr>
          <w:tcW w:w="2551" w:type="dxa"/>
          <w:vAlign w:val="center"/>
        </w:tcPr>
        <w:p w:rsidR="00567C36" w:rsidRDefault="00EC61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567C36" w:rsidRDefault="00EC61E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67C36" w:rsidRDefault="00567C3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FE7CF2"/>
    <w:multiLevelType w:val="multilevel"/>
    <w:tmpl w:val="6598E65C"/>
    <w:lvl w:ilvl="0">
      <w:start w:val="1"/>
      <w:numFmt w:val="decimal"/>
      <w:lvlText w:val="%1."/>
      <w:lvlJc w:val="left"/>
      <w:pPr>
        <w:ind w:left="720" w:hanging="360"/>
      </w:pPr>
    </w:lvl>
    <w:lvl w:ilvl="1">
      <w:start w:val="1"/>
      <w:numFmt w:val="decimal"/>
      <w:lvlText w:val="%1.%2."/>
      <w:lvlJc w:val="left"/>
      <w:pPr>
        <w:ind w:left="1140" w:hanging="42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 w15:restartNumberingAfterBreak="0">
    <w:nsid w:val="50093F52"/>
    <w:multiLevelType w:val="multilevel"/>
    <w:tmpl w:val="DD20A5D0"/>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C6F74DB"/>
    <w:multiLevelType w:val="multilevel"/>
    <w:tmpl w:val="9C76C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C36"/>
    <w:rsid w:val="00567C36"/>
    <w:rsid w:val="00EC61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B3178C-A8A6-47AB-9DA7-93D31D08F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link w:val="Ttulo1Car"/>
    <w:uiPriority w:val="9"/>
    <w:qFormat/>
    <w:rsid w:val="00815308"/>
    <w:pPr>
      <w:spacing w:before="100" w:beforeAutospacing="1" w:after="100" w:afterAutospacing="1"/>
      <w:outlineLvl w:val="0"/>
    </w:pPr>
    <w:rPr>
      <w:b/>
      <w:bCs/>
      <w:kern w:val="36"/>
      <w:sz w:val="48"/>
      <w:szCs w:val="48"/>
      <w:lang w:val="es-MX" w:eastAsia="es-MX"/>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1E35F1"/>
  </w:style>
  <w:style w:type="character" w:customStyle="1" w:styleId="SinespaciadoCar">
    <w:name w:val="Sin espaciado Car"/>
    <w:aliases w:val="Francesa Car,INAI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14A6D"/>
    <w:rPr>
      <w:vertAlign w:val="superscript"/>
    </w:rPr>
  </w:style>
  <w:style w:type="paragraph" w:customStyle="1" w:styleId="Default">
    <w:name w:val="Default"/>
    <w:rsid w:val="00A13C6C"/>
    <w:pPr>
      <w:autoSpaceDE w:val="0"/>
      <w:autoSpaceDN w:val="0"/>
      <w:adjustRightInd w:val="0"/>
    </w:pPr>
    <w:rPr>
      <w:rFonts w:ascii="Arial" w:hAnsi="Arial" w:cs="Arial"/>
      <w:color w:val="000000"/>
    </w:rPr>
  </w:style>
  <w:style w:type="character" w:styleId="Hipervnculovisitado">
    <w:name w:val="FollowedHyperlink"/>
    <w:basedOn w:val="Fuentedeprrafopredeter"/>
    <w:uiPriority w:val="99"/>
    <w:semiHidden/>
    <w:unhideWhenUsed/>
    <w:rsid w:val="002B22DF"/>
    <w:rPr>
      <w:color w:val="954F72" w:themeColor="followedHyperlink"/>
      <w:u w:val="single"/>
    </w:rPr>
  </w:style>
  <w:style w:type="paragraph" w:customStyle="1" w:styleId="j">
    <w:name w:val="j"/>
    <w:basedOn w:val="Normal"/>
    <w:rsid w:val="00300B23"/>
    <w:pPr>
      <w:spacing w:before="100" w:beforeAutospacing="1" w:after="100" w:afterAutospacing="1"/>
    </w:pPr>
    <w:rPr>
      <w:lang w:val="es-MX" w:eastAsia="es-MX"/>
    </w:rPr>
  </w:style>
  <w:style w:type="character" w:customStyle="1" w:styleId="h">
    <w:name w:val="h"/>
    <w:basedOn w:val="Fuentedeprrafopredeter"/>
    <w:rsid w:val="00300B23"/>
  </w:style>
  <w:style w:type="character" w:customStyle="1" w:styleId="nacep">
    <w:name w:val="n_acep"/>
    <w:basedOn w:val="Fuentedeprrafopredeter"/>
    <w:rsid w:val="00300B23"/>
  </w:style>
  <w:style w:type="character" w:customStyle="1" w:styleId="A8">
    <w:name w:val="A8"/>
    <w:uiPriority w:val="99"/>
    <w:rsid w:val="00180F38"/>
    <w:rPr>
      <w:rFonts w:cs="Raleway"/>
      <w:color w:val="211D1E"/>
      <w:sz w:val="28"/>
      <w:szCs w:val="28"/>
    </w:rPr>
  </w:style>
  <w:style w:type="character" w:customStyle="1" w:styleId="Ttulo1Car">
    <w:name w:val="Título 1 Car"/>
    <w:basedOn w:val="Fuentedeprrafopredeter"/>
    <w:link w:val="Ttulo1"/>
    <w:uiPriority w:val="9"/>
    <w:rsid w:val="00815308"/>
    <w:rPr>
      <w:rFonts w:ascii="Times New Roman" w:eastAsia="Times New Roman" w:hAnsi="Times New Roman" w:cs="Times New Roman"/>
      <w:b/>
      <w:bCs/>
      <w:kern w:val="36"/>
      <w:sz w:val="48"/>
      <w:szCs w:val="48"/>
      <w:lang w:eastAsia="es-MX"/>
    </w:rPr>
  </w:style>
  <w:style w:type="character" w:customStyle="1" w:styleId="apple-style-span">
    <w:name w:val="apple-style-span"/>
    <w:rsid w:val="00F44283"/>
  </w:style>
  <w:style w:type="character" w:customStyle="1" w:styleId="UnresolvedMention">
    <w:name w:val="Unresolved Mention"/>
    <w:basedOn w:val="Fuentedeprrafopredeter"/>
    <w:uiPriority w:val="99"/>
    <w:semiHidden/>
    <w:unhideWhenUsed/>
    <w:rsid w:val="00316E8D"/>
    <w:rPr>
      <w:color w:val="605E5C"/>
      <w:shd w:val="clear" w:color="auto" w:fill="E1DFDD"/>
    </w:rPr>
  </w:style>
  <w:style w:type="paragraph" w:styleId="NormalWeb">
    <w:name w:val="Normal (Web)"/>
    <w:basedOn w:val="Normal"/>
    <w:uiPriority w:val="99"/>
    <w:unhideWhenUsed/>
    <w:rsid w:val="00AB41B0"/>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03359.page" TargetMode="External"/><Relationship Id="rId13" Type="http://schemas.openxmlformats.org/officeDocument/2006/relationships/hyperlink" Target="https://www.saimex.org.mx/saimex/solicitud/downloadAttach/1321358.page" TargetMode="External"/><Relationship Id="rId18" Type="http://schemas.openxmlformats.org/officeDocument/2006/relationships/image" Target="media/image60.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yperlink" Target="https://www.saimex.org.mx/saimex/solicitud/downloadAttach/1321358.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1303360.page" TargetMode="Externa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Xwq0OMM2BEiH/5XheieBTJIvqw==">AMUW2mUzStQGeC9mECmfgD1SLcne7A//BsXJK9N4+wsO8k8WSkYe0+VWnrCc51b3x73BgLzhd0B7PCVtUpdP93FDXP2Xczdmy+5G6SPj7pzMKh682nrj8HD2nmIKaYhc97Rj8r4lY3yH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9040</Words>
  <Characters>49724</Characters>
  <Application>Microsoft Office Word</Application>
  <DocSecurity>0</DocSecurity>
  <Lines>414</Lines>
  <Paragraphs>117</Paragraphs>
  <ScaleCrop>false</ScaleCrop>
  <Company>HP Inc.</Company>
  <LinksUpToDate>false</LinksUpToDate>
  <CharactersWithSpaces>58647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Jhancarlo</cp:lastModifiedBy>
  <cp:revision>2</cp:revision>
  <dcterms:created xsi:type="dcterms:W3CDTF">2022-03-02T23:25:00Z</dcterms:created>
  <dcterms:modified xsi:type="dcterms:W3CDTF">2022-04-04T22:30:00Z</dcterms:modified>
</cp:coreProperties>
</file>