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25F11" w14:textId="77777777" w:rsidR="000E67E8" w:rsidRDefault="00025DA0">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dieciocho de mayo del dos mil veintidós.</w:t>
      </w:r>
    </w:p>
    <w:p w14:paraId="13660710" w14:textId="0BDD3454" w:rsidR="000E67E8" w:rsidRDefault="00025DA0">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05324/INFOEM/IP/RR/2022</w:t>
      </w:r>
      <w:r>
        <w:rPr>
          <w:rFonts w:ascii="Palatino Linotype" w:eastAsia="Palatino Linotype" w:hAnsi="Palatino Linotype" w:cs="Palatino Linotype"/>
        </w:rPr>
        <w:t xml:space="preserve">, interpuesto por </w:t>
      </w:r>
      <w:r w:rsidR="00FD0849">
        <w:rPr>
          <w:rFonts w:ascii="Palatino Linotype" w:eastAsia="Palatino Linotype" w:hAnsi="Palatino Linotype" w:cs="Palatino Linotype"/>
          <w:b/>
          <w:sz w:val="22"/>
          <w:szCs w:val="22"/>
        </w:rPr>
        <w:t>XXXXX XXXXXX XXXXXXX</w:t>
      </w:r>
      <w:r w:rsidR="00FD0849">
        <w:rPr>
          <w:rFonts w:ascii="Palatino Linotype" w:eastAsia="Palatino Linotype" w:hAnsi="Palatino Linotype" w:cs="Palatino Linotype"/>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xml:space="preserve"> 00017/TMASCALA/IP/2022,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Temascalapa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4C29BC44" w14:textId="77777777" w:rsidR="000E67E8" w:rsidRDefault="00025DA0">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Pr>
          <w:rFonts w:ascii="Palatino Linotype" w:eastAsia="Palatino Linotype" w:hAnsi="Palatino Linotype" w:cs="Palatino Linotype"/>
          <w:b/>
        </w:rPr>
        <w:t xml:space="preserve">A N T E C E </w:t>
      </w:r>
      <w:bookmarkStart w:id="2" w:name="_GoBack"/>
      <w:bookmarkEnd w:id="2"/>
      <w:r>
        <w:rPr>
          <w:rFonts w:ascii="Palatino Linotype" w:eastAsia="Palatino Linotype" w:hAnsi="Palatino Linotype" w:cs="Palatino Linotype"/>
          <w:b/>
        </w:rPr>
        <w:t>D E N T E S:</w:t>
      </w:r>
    </w:p>
    <w:p w14:paraId="7828532B"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catorce 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3E0B89FD" w14:textId="77777777" w:rsidR="000E67E8" w:rsidRDefault="00025DA0">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 (Sic)</w:t>
      </w:r>
    </w:p>
    <w:p w14:paraId="5BB98201"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76BD4B0F"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el </w:t>
      </w:r>
      <w:r>
        <w:rPr>
          <w:rFonts w:ascii="Palatino Linotype" w:eastAsia="Palatino Linotype" w:hAnsi="Palatino Linotype" w:cs="Palatino Linotype"/>
          <w:b/>
        </w:rPr>
        <w:t>Recurrente.</w:t>
      </w:r>
    </w:p>
    <w:p w14:paraId="56F57177"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primero de abril de dos mil veintidós</w:t>
      </w:r>
      <w:r>
        <w:rPr>
          <w:rFonts w:ascii="Palatino Linotype" w:eastAsia="Palatino Linotype" w:hAnsi="Palatino Linotype" w:cs="Palatino Linotype"/>
        </w:rPr>
        <w:t>, expresando lo siguiente:</w:t>
      </w:r>
    </w:p>
    <w:p w14:paraId="210EB52E" w14:textId="77777777" w:rsidR="000E67E8" w:rsidRDefault="00025DA0">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4C495C1C" w14:textId="77777777" w:rsidR="000E67E8" w:rsidRDefault="00025DA0">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he obtenido respuesta a la solicitud de información.” (Sic)</w:t>
      </w:r>
    </w:p>
    <w:p w14:paraId="355F7311" w14:textId="77777777" w:rsidR="000E67E8" w:rsidRDefault="00025DA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29CE254D" w14:textId="77777777" w:rsidR="000E67E8" w:rsidRDefault="00025DA0">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he obtenido respuesta a la solicitud de información” (Sic)</w:t>
      </w:r>
    </w:p>
    <w:p w14:paraId="6479B172" w14:textId="77777777"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05324/INFOEM/IP/RR/2022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2B993E47"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seis de abril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30F6F7CB"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0D8D03F6" w14:textId="77777777" w:rsidR="000E67E8" w:rsidRDefault="00025DA0">
      <w:pPr>
        <w:spacing w:before="240" w:after="240" w:line="360" w:lineRule="auto"/>
        <w:jc w:val="both"/>
        <w:rPr>
          <w:rFonts w:ascii="Palatino Linotype" w:eastAsia="Palatino Linotype" w:hAnsi="Palatino Linotype" w:cs="Palatino Linotype"/>
        </w:rPr>
      </w:pPr>
      <w:r>
        <w:rPr>
          <w:noProof/>
          <w:lang w:eastAsia="es-MX"/>
        </w:rPr>
        <w:lastRenderedPageBreak/>
        <w:drawing>
          <wp:inline distT="0" distB="0" distL="0" distR="0" wp14:anchorId="1BE0C6C6" wp14:editId="193664DC">
            <wp:extent cx="5390694" cy="214555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4582" t="21726" r="50949" b="53832"/>
                    <a:stretch>
                      <a:fillRect/>
                    </a:stretch>
                  </pic:blipFill>
                  <pic:spPr>
                    <a:xfrm>
                      <a:off x="0" y="0"/>
                      <a:ext cx="5390694" cy="2145550"/>
                    </a:xfrm>
                    <a:prstGeom prst="rect">
                      <a:avLst/>
                    </a:prstGeom>
                    <a:ln/>
                  </pic:spPr>
                </pic:pic>
              </a:graphicData>
            </a:graphic>
          </wp:inline>
        </w:drawing>
      </w:r>
    </w:p>
    <w:p w14:paraId="75DDA657"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veintiocho de abril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53435DBA"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A6F87CE" w14:textId="77777777" w:rsidR="000E67E8" w:rsidRDefault="00025DA0">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14:paraId="03B9BE82"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rPr>
        <w:lastRenderedPageBreak/>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7CE3E72"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E3E5E41"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9B297FE"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237D9D7A"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250F1F9F"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03CE97B"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al solicitante le asiste el derecho para presentar el recurso de revisión.</w:t>
      </w:r>
    </w:p>
    <w:p w14:paraId="4BD601E7"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C13DC2C" w14:textId="77777777" w:rsidR="000E67E8" w:rsidRDefault="00025DA0">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50F27B58"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0172C673"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B33D756"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Pr>
          <w:rFonts w:ascii="Palatino Linotype" w:eastAsia="Palatino Linotype" w:hAnsi="Palatino Linotype" w:cs="Palatino Linotype"/>
        </w:rPr>
        <w:lastRenderedPageBreak/>
        <w:t>de defensa del particular en contra de la incertidumbre jurídica y que tiende a realizar ese Estado de Derecho en el que, el particular, tiene siempre una vía de defensa en contra de los actos autoritarios que le perjudican.</w:t>
      </w:r>
    </w:p>
    <w:p w14:paraId="7ED8C280"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5CAAA00C" w14:textId="77777777" w:rsidR="000E67E8" w:rsidRDefault="00025DA0">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8CAD20A" w14:textId="77777777" w:rsidR="000E67E8" w:rsidRDefault="00025DA0">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w:t>
      </w:r>
      <w:r>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37E88FC4" w14:textId="77777777" w:rsidR="000E67E8" w:rsidRDefault="000E67E8">
      <w:pPr>
        <w:ind w:left="851" w:right="851"/>
        <w:jc w:val="both"/>
        <w:rPr>
          <w:rFonts w:ascii="Palatino Linotype" w:eastAsia="Palatino Linotype" w:hAnsi="Palatino Linotype" w:cs="Palatino Linotype"/>
          <w:i/>
        </w:rPr>
      </w:pPr>
    </w:p>
    <w:p w14:paraId="6FE02CA4"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suma importancia mencionar que si bien parte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1D72A3" w14:textId="77777777" w:rsidR="000E67E8" w:rsidRDefault="00025DA0">
      <w:pPr>
        <w:spacing w:before="240" w:after="240"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2C38FC9"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Pr>
          <w:rFonts w:ascii="Palatino Linotype" w:eastAsia="Palatino Linotype" w:hAnsi="Palatino Linotype" w:cs="Palatino Linotype"/>
        </w:rPr>
        <w:lastRenderedPageBreak/>
        <w:t>el nombre de la parte Recurrente, por lo que, en el presente caso, al haber sido presentado el recurso de revisión vía SAIMEX, dicho requisito resulta innecesario.</w:t>
      </w:r>
    </w:p>
    <w:p w14:paraId="136FF12E" w14:textId="77777777" w:rsidR="000E67E8" w:rsidRDefault="00025DA0">
      <w:pPr>
        <w:spacing w:before="240" w:after="240"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48843F69" w14:textId="77777777" w:rsidR="000E67E8" w:rsidRDefault="00025DA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48186D9" w14:textId="77777777" w:rsidR="000E67E8" w:rsidRDefault="00025DA0">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81EF54B"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66B51C81"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4D136E09"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7D711BB1" w14:textId="77777777" w:rsidR="000E67E8" w:rsidRDefault="00025DA0">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77405FFD"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xml:space="preserve"> 00017/TMASCALA/IP/2022,</w:t>
      </w:r>
      <w:r>
        <w:rPr>
          <w:rFonts w:ascii="Palatino Linotype" w:eastAsia="Palatino Linotype" w:hAnsi="Palatino Linotype" w:cs="Palatino Linotype"/>
        </w:rPr>
        <w:t xml:space="preserve"> dentro del plazo legal previsto para ello.</w:t>
      </w:r>
    </w:p>
    <w:p w14:paraId="7BAF7580"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el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153BB4CD" w14:textId="77777777" w:rsidR="000E67E8" w:rsidRDefault="00025DA0">
      <w:pPr>
        <w:numPr>
          <w:ilvl w:val="0"/>
          <w:numId w:val="2"/>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p>
    <w:p w14:paraId="2E93D558" w14:textId="77777777" w:rsidR="000E67E8" w:rsidRDefault="000E67E8">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i/>
          <w:color w:val="000000"/>
          <w:sz w:val="22"/>
          <w:szCs w:val="22"/>
        </w:rPr>
      </w:pPr>
    </w:p>
    <w:p w14:paraId="786C65A2" w14:textId="77777777" w:rsidR="000E67E8" w:rsidRDefault="00025DA0">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18401CB" w14:textId="77777777" w:rsidR="000E67E8" w:rsidRDefault="000E67E8">
      <w:pPr>
        <w:tabs>
          <w:tab w:val="left" w:pos="709"/>
        </w:tabs>
        <w:ind w:left="851" w:right="850"/>
        <w:jc w:val="both"/>
        <w:rPr>
          <w:rFonts w:ascii="Palatino Linotype" w:eastAsia="Palatino Linotype" w:hAnsi="Palatino Linotype" w:cs="Palatino Linotype"/>
        </w:rPr>
      </w:pPr>
    </w:p>
    <w:p w14:paraId="7045B205" w14:textId="77777777" w:rsidR="000E67E8" w:rsidRDefault="00025DA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CCB4B99" w14:textId="77777777" w:rsidR="000E67E8" w:rsidRDefault="00025DA0">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E200811" w14:textId="77777777" w:rsidR="000E67E8" w:rsidRDefault="00025DA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DE26C10" w14:textId="77777777" w:rsidR="000E67E8" w:rsidRDefault="00025DA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2586D44" w14:textId="77777777" w:rsidR="000E67E8" w:rsidRDefault="000E67E8">
      <w:pPr>
        <w:tabs>
          <w:tab w:val="left" w:pos="709"/>
        </w:tabs>
        <w:ind w:left="851" w:right="851"/>
        <w:jc w:val="both"/>
        <w:rPr>
          <w:rFonts w:ascii="Palatino Linotype" w:eastAsia="Palatino Linotype" w:hAnsi="Palatino Linotype" w:cs="Palatino Linotype"/>
          <w:i/>
          <w:sz w:val="22"/>
          <w:szCs w:val="22"/>
        </w:rPr>
      </w:pPr>
    </w:p>
    <w:p w14:paraId="5564A02B"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106182FE"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7EAF6EF"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C0FEC30"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9E4E492"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21ADE7"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01929DE" w14:textId="77777777" w:rsidR="000E67E8" w:rsidRDefault="00025DA0">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40681745"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45181F0"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5F2C627"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DA8AAA5"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AA76C1C" w14:textId="77777777" w:rsidR="000E67E8" w:rsidRDefault="000E67E8">
      <w:pPr>
        <w:ind w:left="1134" w:right="851"/>
        <w:jc w:val="both"/>
        <w:rPr>
          <w:rFonts w:ascii="Palatino Linotype" w:eastAsia="Palatino Linotype" w:hAnsi="Palatino Linotype" w:cs="Palatino Linotype"/>
          <w:i/>
          <w:sz w:val="22"/>
          <w:szCs w:val="22"/>
        </w:rPr>
      </w:pPr>
    </w:p>
    <w:p w14:paraId="13EB44DE"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3BDB232"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F69EED2"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DFBD324"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0DFF8A6"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B52D9C9" w14:textId="77777777" w:rsidR="000E67E8" w:rsidRDefault="00025DA0">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479D9EC" w14:textId="77777777" w:rsidR="000E67E8" w:rsidRDefault="00025DA0">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31AA0DC6" w14:textId="77777777" w:rsidR="000E67E8" w:rsidRDefault="00025DA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63DF3301" w14:textId="77777777" w:rsidR="000E67E8" w:rsidRDefault="000E67E8">
      <w:pPr>
        <w:ind w:left="851" w:right="902"/>
        <w:jc w:val="both"/>
        <w:rPr>
          <w:rFonts w:ascii="Palatino Linotype" w:eastAsia="Palatino Linotype" w:hAnsi="Palatino Linotype" w:cs="Palatino Linotype"/>
          <w:i/>
          <w:sz w:val="22"/>
          <w:szCs w:val="22"/>
        </w:rPr>
      </w:pPr>
    </w:p>
    <w:p w14:paraId="04B4918C" w14:textId="77777777" w:rsidR="000E67E8" w:rsidRDefault="00025DA0">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1E4055B8"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25252D9E"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1E53BB9A" w14:textId="77777777" w:rsidR="000E67E8" w:rsidRDefault="00025DA0">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0D50B513"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6C3F613B"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568211A3"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56EB8822"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24D26C1A"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3789DC91"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3EDF6637"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1B612705"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7922B8E3"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441BE702"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w:t>
      </w:r>
      <w:r>
        <w:rPr>
          <w:rFonts w:ascii="Palatino Linotype" w:eastAsia="Palatino Linotype" w:hAnsi="Palatino Linotype" w:cs="Palatino Linotype"/>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7D7A0C04" w14:textId="77777777" w:rsidR="000E67E8" w:rsidRDefault="00025DA0">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w:t>
      </w:r>
      <w:r>
        <w:rPr>
          <w:rFonts w:ascii="Palatino Linotype" w:eastAsia="Palatino Linotype" w:hAnsi="Palatino Linotype" w:cs="Palatino Linotype"/>
          <w:b/>
        </w:rPr>
        <w:t>Unidad de Transparencia</w:t>
      </w:r>
      <w:r>
        <w:rPr>
          <w:rFonts w:ascii="Palatino Linotype" w:eastAsia="Palatino Linotype" w:hAnsi="Palatino Linotype" w:cs="Palatino Linotype"/>
        </w:rPr>
        <w:t xml:space="preserve">; asimismo, deben designar a un responsable para atender dicha Unidad, quien </w:t>
      </w:r>
      <w:r>
        <w:rPr>
          <w:rFonts w:ascii="Palatino Linotype" w:eastAsia="Palatino Linotype" w:hAnsi="Palatino Linotype" w:cs="Palatino Linotype"/>
          <w:b/>
        </w:rPr>
        <w:t xml:space="preserve">fungirá como enlace entre éstos y los solicitantes. </w:t>
      </w:r>
    </w:p>
    <w:p w14:paraId="4E2C02EB" w14:textId="77777777" w:rsidR="000E67E8" w:rsidRDefault="00025DA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978C8D1" w14:textId="77777777" w:rsidR="000E67E8" w:rsidRDefault="00025DA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BCAC6D"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w:t>
      </w:r>
      <w:r>
        <w:rPr>
          <w:rFonts w:ascii="Palatino Linotype" w:eastAsia="Palatino Linotype" w:hAnsi="Palatino Linotype" w:cs="Palatino Linotype"/>
        </w:rPr>
        <w:lastRenderedPageBreak/>
        <w:t>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62FBBC5" w14:textId="77777777" w:rsidR="000E67E8" w:rsidRDefault="00025DA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0435D3F"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35CE3D9" w14:textId="77777777" w:rsidR="000E67E8" w:rsidRDefault="00025DA0">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0D9DCAE3" w14:textId="77777777" w:rsidR="000E67E8" w:rsidRDefault="00025DA0">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w:t>
      </w:r>
      <w:r>
        <w:rPr>
          <w:rFonts w:ascii="Palatino Linotype" w:eastAsia="Palatino Linotype" w:hAnsi="Palatino Linotype" w:cs="Palatino Linotype"/>
          <w:i/>
          <w:sz w:val="22"/>
          <w:szCs w:val="22"/>
        </w:rPr>
        <w:lastRenderedPageBreak/>
        <w:t>mediante la emisión de una resolución que deberá notificarse al solicitante, antes de su vencimiento. No podrán invocarse como causales de ampliación del plazo motivos que supongan negligencia o descuido del sujeto obligado en el desahogo de la solicitud.”</w:t>
      </w:r>
    </w:p>
    <w:p w14:paraId="797D1A2A"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4F61A3D6"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14:paraId="6FD715D7"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296DD5CA" w14:textId="77777777" w:rsidR="000E67E8" w:rsidRDefault="00025DA0">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5AF6372" w14:textId="77777777" w:rsidR="000E67E8" w:rsidRDefault="00025DA0">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4870E0A"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2C3278C4"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74FB698"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81CB252"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3FF1CA1B"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39E3513D"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0B06C6C"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6B3C4E36"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03916BCD" w14:textId="77777777" w:rsidR="000E67E8" w:rsidRDefault="00025DA0">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CE14673" w14:textId="77777777" w:rsidR="000E67E8" w:rsidRDefault="00025DA0">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6958A5B5"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8D9FB61"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D8D7DEC"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28249DBA"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FC3BDFE"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35C6F73"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C2C4EC3"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AD693B0"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4ECA2BA"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52B809B"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0F17548"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A2CFCC3"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AE981C2"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7B23BCCD" w14:textId="77777777" w:rsidR="000E67E8" w:rsidRDefault="00025DA0">
      <w:pPr>
        <w:spacing w:before="120" w:after="120" w:line="276" w:lineRule="auto"/>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50EEFB2"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90E56CE" w14:textId="77777777" w:rsidR="000E67E8" w:rsidRDefault="00025DA0">
      <w:pPr>
        <w:numPr>
          <w:ilvl w:val="0"/>
          <w:numId w:val="4"/>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46250031" w14:textId="77777777" w:rsidR="000E67E8" w:rsidRDefault="00025DA0">
      <w:pPr>
        <w:numPr>
          <w:ilvl w:val="0"/>
          <w:numId w:val="4"/>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14852C19" w14:textId="77777777" w:rsidR="000E67E8" w:rsidRDefault="00025DA0">
      <w:pPr>
        <w:numPr>
          <w:ilvl w:val="0"/>
          <w:numId w:val="4"/>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53F97BD2" w14:textId="77777777" w:rsidR="000E67E8" w:rsidRDefault="00025DA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w:t>
      </w:r>
      <w:r>
        <w:rPr>
          <w:rFonts w:ascii="Palatino Linotype" w:eastAsia="Palatino Linotype" w:hAnsi="Palatino Linotype" w:cs="Palatino Linotype"/>
        </w:rPr>
        <w:lastRenderedPageBreak/>
        <w:t>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250FFEBB"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71AC24CC"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w:t>
      </w:r>
      <w:r>
        <w:rPr>
          <w:rFonts w:ascii="Palatino Linotype" w:eastAsia="Palatino Linotype" w:hAnsi="Palatino Linotype" w:cs="Palatino Linotype"/>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0C9048" w14:textId="77777777" w:rsidR="000E67E8" w:rsidRDefault="00025DA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10802D5"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4B6175C7" w14:textId="77777777" w:rsidR="000E67E8" w:rsidRDefault="00025DA0">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74F0294F" w14:textId="77777777" w:rsidR="000E67E8" w:rsidRDefault="00025DA0">
      <w:pPr>
        <w:numPr>
          <w:ilvl w:val="0"/>
          <w:numId w:val="1"/>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3C6DA99F" w14:textId="77777777" w:rsidR="000E67E8" w:rsidRDefault="00025DA0">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610FE38" w14:textId="77777777" w:rsidR="000E67E8" w:rsidRDefault="00025DA0">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64F592CB"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3C0D5787"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Pr>
          <w:rFonts w:ascii="Palatino Linotype" w:eastAsia="Palatino Linotype" w:hAnsi="Palatino Linotype" w:cs="Palatino Linotype"/>
        </w:rPr>
        <w:lastRenderedPageBreak/>
        <w:t>de Circuito, Libro 5, de fecha abril de 2014, pág. 1523, Registro, 2,006,299. I.1o.A.E.3 K (10a.), que literalmente señala:</w:t>
      </w:r>
    </w:p>
    <w:p w14:paraId="66E3B174" w14:textId="77777777" w:rsidR="000E67E8" w:rsidRDefault="00025DA0">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481BA00F" w14:textId="77777777" w:rsidR="000E67E8" w:rsidRDefault="00025DA0">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6D82F05" w14:textId="77777777" w:rsidR="000E67E8" w:rsidRDefault="00025DA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E90CF47"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w:t>
      </w:r>
      <w:r>
        <w:rPr>
          <w:rFonts w:ascii="Palatino Linotype" w:eastAsia="Palatino Linotype" w:hAnsi="Palatino Linotype" w:cs="Palatino Linotype"/>
        </w:rPr>
        <w:lastRenderedPageBreak/>
        <w:t xml:space="preserve">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646C7EF4" w14:textId="77777777" w:rsidR="000E67E8" w:rsidRDefault="00025DA0">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14F3E45" w14:textId="77777777" w:rsidR="000E67E8" w:rsidRDefault="00025DA0">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814988F" w14:textId="77777777" w:rsidR="000E67E8" w:rsidRDefault="00025DA0">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592D8854" w14:textId="77777777" w:rsidR="000E67E8" w:rsidRDefault="00025DA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42D3EB50" w14:textId="77777777" w:rsidR="000E67E8" w:rsidRDefault="00025DA0">
      <w:pPr>
        <w:spacing w:before="240" w:after="240" w:line="360" w:lineRule="auto"/>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solicitud de acceso a la información pública </w:t>
      </w:r>
      <w:r>
        <w:rPr>
          <w:rFonts w:ascii="Palatino Linotype" w:eastAsia="Palatino Linotype" w:hAnsi="Palatino Linotype" w:cs="Palatino Linotype"/>
          <w:b/>
        </w:rPr>
        <w:t xml:space="preserve">00017/TMASCALA/IP/2022,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05324/INFOEM/IP/RR/2022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w:t>
      </w:r>
      <w:r>
        <w:rPr>
          <w:rFonts w:ascii="Palatino Linotype" w:eastAsia="Palatino Linotype" w:hAnsi="Palatino Linotype" w:cs="Palatino Linotype"/>
          <w:b/>
        </w:rPr>
        <w:lastRenderedPageBreak/>
        <w:t>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56F72C03" w14:textId="77777777" w:rsidR="000E67E8" w:rsidRDefault="00025DA0">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6041A9"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EC3D0AD" w14:textId="77777777"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9296659" w14:textId="77777777"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w:t>
      </w:r>
      <w:r>
        <w:rPr>
          <w:rFonts w:ascii="Palatino Linotype" w:eastAsia="Palatino Linotype" w:hAnsi="Palatino Linotype" w:cs="Palatino Linotype"/>
        </w:rPr>
        <w:lastRenderedPageBreak/>
        <w:t>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04483496" w14:textId="77777777"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61160035" w14:textId="77777777" w:rsidR="000E67E8" w:rsidRDefault="00025DA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DE MAYO DE DOS MIL VEINTIDÓS, ANTE EL SECRETARIO TÉCNICO DEL PLENO ALEXIS TAPIA RAMÍREZ.</w:t>
      </w:r>
    </w:p>
    <w:p w14:paraId="2412E76B" w14:textId="77777777" w:rsidR="000E67E8" w:rsidRDefault="000E67E8">
      <w:pPr>
        <w:spacing w:line="360" w:lineRule="auto"/>
        <w:ind w:right="49"/>
        <w:jc w:val="both"/>
        <w:rPr>
          <w:rFonts w:ascii="Palatino Linotype" w:eastAsia="Palatino Linotype" w:hAnsi="Palatino Linotype" w:cs="Palatino Linotype"/>
        </w:rPr>
        <w:sectPr w:rsidR="000E67E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0444B882" w14:textId="77777777" w:rsidR="000E67E8" w:rsidRDefault="000E67E8">
      <w:pPr>
        <w:tabs>
          <w:tab w:val="left" w:pos="709"/>
        </w:tabs>
        <w:spacing w:before="240" w:after="240" w:line="360" w:lineRule="auto"/>
        <w:jc w:val="both"/>
        <w:rPr>
          <w:rFonts w:ascii="Palatino Linotype" w:eastAsia="Palatino Linotype" w:hAnsi="Palatino Linotype" w:cs="Palatino Linotype"/>
        </w:rPr>
      </w:pPr>
    </w:p>
    <w:p w14:paraId="5B671563" w14:textId="77777777" w:rsidR="000E67E8" w:rsidRDefault="000E67E8"/>
    <w:p w14:paraId="1CAC5FB8" w14:textId="77777777" w:rsidR="000E67E8" w:rsidRDefault="000E67E8"/>
    <w:sectPr w:rsidR="000E67E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00AD3" w14:textId="77777777" w:rsidR="00876D9B" w:rsidRDefault="00876D9B">
      <w:r>
        <w:separator/>
      </w:r>
    </w:p>
  </w:endnote>
  <w:endnote w:type="continuationSeparator" w:id="0">
    <w:p w14:paraId="4A697E97" w14:textId="77777777" w:rsidR="00876D9B" w:rsidRDefault="0087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D56AB" w14:textId="77777777" w:rsidR="000E67E8" w:rsidRDefault="00025D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0849">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0849">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61328B00" w14:textId="77777777" w:rsidR="000E67E8" w:rsidRDefault="000E67E8">
    <w:pPr>
      <w:pBdr>
        <w:top w:val="nil"/>
        <w:left w:val="nil"/>
        <w:bottom w:val="nil"/>
        <w:right w:val="nil"/>
        <w:between w:val="nil"/>
      </w:pBdr>
      <w:tabs>
        <w:tab w:val="center" w:pos="4252"/>
        <w:tab w:val="right" w:pos="8504"/>
      </w:tabs>
      <w:rPr>
        <w:color w:val="000000"/>
      </w:rPr>
    </w:pPr>
  </w:p>
  <w:p w14:paraId="6B0B77A2" w14:textId="77777777" w:rsidR="000E67E8" w:rsidRDefault="000E67E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CAC5" w14:textId="77777777" w:rsidR="000E67E8" w:rsidRDefault="00025D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0849">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0849">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7ABC096" w14:textId="77777777" w:rsidR="000E67E8" w:rsidRDefault="000E67E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F8BFC" w14:textId="77777777" w:rsidR="00876D9B" w:rsidRDefault="00876D9B">
      <w:r>
        <w:separator/>
      </w:r>
    </w:p>
  </w:footnote>
  <w:footnote w:type="continuationSeparator" w:id="0">
    <w:p w14:paraId="7B618AFC" w14:textId="77777777" w:rsidR="00876D9B" w:rsidRDefault="00876D9B">
      <w:r>
        <w:continuationSeparator/>
      </w:r>
    </w:p>
  </w:footnote>
  <w:footnote w:id="1">
    <w:p w14:paraId="09368381"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B5FA0C4"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EA73BD1"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0AEBF1B"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AE64426"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ED161BD"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19F53EB"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8634A6B"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42AC1DD"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CE143" w14:textId="77777777" w:rsidR="000E67E8" w:rsidRDefault="00025DA0">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09E129B5" wp14:editId="1E09B4C9">
          <wp:simplePos x="0" y="0"/>
          <wp:positionH relativeFrom="column">
            <wp:posOffset>-990598</wp:posOffset>
          </wp:positionH>
          <wp:positionV relativeFrom="paragraph">
            <wp:posOffset>-412747</wp:posOffset>
          </wp:positionV>
          <wp:extent cx="7635163" cy="994410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4"/>
      <w:tblW w:w="5528" w:type="dxa"/>
      <w:tblInd w:w="3261" w:type="dxa"/>
      <w:tblLayout w:type="fixed"/>
      <w:tblLook w:val="0400" w:firstRow="0" w:lastRow="0" w:firstColumn="0" w:lastColumn="0" w:noHBand="0" w:noVBand="1"/>
    </w:tblPr>
    <w:tblGrid>
      <w:gridCol w:w="2552"/>
      <w:gridCol w:w="2976"/>
    </w:tblGrid>
    <w:tr w:rsidR="000E67E8" w14:paraId="172F1F3C" w14:textId="77777777">
      <w:tc>
        <w:tcPr>
          <w:tcW w:w="2552" w:type="dxa"/>
          <w:vAlign w:val="center"/>
        </w:tcPr>
        <w:p w14:paraId="7AEA9569"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1472E7B1" w14:textId="77777777" w:rsidR="000E67E8" w:rsidRDefault="00025DA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05324/INFOEM/IP/RR/2022 </w:t>
          </w:r>
        </w:p>
      </w:tc>
    </w:tr>
    <w:tr w:rsidR="000E67E8" w14:paraId="4ECA3C7B" w14:textId="77777777">
      <w:trPr>
        <w:trHeight w:val="228"/>
      </w:trPr>
      <w:tc>
        <w:tcPr>
          <w:tcW w:w="2552" w:type="dxa"/>
          <w:vAlign w:val="center"/>
        </w:tcPr>
        <w:p w14:paraId="05CE018A"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4B1DBC36" w14:textId="77777777" w:rsidR="000E67E8" w:rsidRDefault="00025DA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Temascalapa</w:t>
          </w:r>
        </w:p>
      </w:tc>
    </w:tr>
    <w:tr w:rsidR="000E67E8" w14:paraId="58B2C440" w14:textId="77777777">
      <w:tc>
        <w:tcPr>
          <w:tcW w:w="2552" w:type="dxa"/>
          <w:vAlign w:val="center"/>
        </w:tcPr>
        <w:p w14:paraId="3F7F24DB"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0BB5CE29" w14:textId="77777777" w:rsidR="000E67E8" w:rsidRDefault="00025D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1F9E6B" w14:textId="77777777" w:rsidR="000E67E8" w:rsidRDefault="00025DA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909D2" w14:textId="77777777" w:rsidR="000E67E8" w:rsidRDefault="00025DA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eastAsia="es-MX"/>
      </w:rPr>
      <w:drawing>
        <wp:anchor distT="0" distB="0" distL="0" distR="0" simplePos="0" relativeHeight="251659264" behindDoc="1" locked="0" layoutInCell="1" hidden="0" allowOverlap="1" wp14:anchorId="7569470D" wp14:editId="62D7BB3A">
          <wp:simplePos x="0" y="0"/>
          <wp:positionH relativeFrom="column">
            <wp:posOffset>-1022348</wp:posOffset>
          </wp:positionH>
          <wp:positionV relativeFrom="paragraph">
            <wp:posOffset>-371473</wp:posOffset>
          </wp:positionV>
          <wp:extent cx="7635240" cy="9942830"/>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3"/>
      <w:tblW w:w="6238" w:type="dxa"/>
      <w:tblInd w:w="3119" w:type="dxa"/>
      <w:tblLayout w:type="fixed"/>
      <w:tblLook w:val="0400" w:firstRow="0" w:lastRow="0" w:firstColumn="0" w:lastColumn="0" w:noHBand="0" w:noVBand="1"/>
    </w:tblPr>
    <w:tblGrid>
      <w:gridCol w:w="2551"/>
      <w:gridCol w:w="3687"/>
    </w:tblGrid>
    <w:tr w:rsidR="000E67E8" w14:paraId="04B6D2CD" w14:textId="77777777">
      <w:tc>
        <w:tcPr>
          <w:tcW w:w="2551" w:type="dxa"/>
          <w:vAlign w:val="center"/>
        </w:tcPr>
        <w:p w14:paraId="638A9301"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63685C6" w14:textId="77777777" w:rsidR="000E67E8" w:rsidRDefault="00025DA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05324/INFOEM/IP/RR/2022</w:t>
          </w:r>
        </w:p>
      </w:tc>
    </w:tr>
    <w:tr w:rsidR="000E67E8" w14:paraId="571BBAB3" w14:textId="77777777">
      <w:tc>
        <w:tcPr>
          <w:tcW w:w="2551" w:type="dxa"/>
          <w:vAlign w:val="center"/>
        </w:tcPr>
        <w:p w14:paraId="74C1BC17" w14:textId="77777777" w:rsidR="000E67E8" w:rsidRDefault="00025DA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759B258" w14:textId="51E0F991" w:rsidR="000E67E8" w:rsidRDefault="00FD084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XXXXXXX</w:t>
          </w:r>
        </w:p>
      </w:tc>
    </w:tr>
    <w:tr w:rsidR="000E67E8" w14:paraId="453B494C" w14:textId="77777777">
      <w:trPr>
        <w:trHeight w:val="228"/>
      </w:trPr>
      <w:tc>
        <w:tcPr>
          <w:tcW w:w="2551" w:type="dxa"/>
          <w:vAlign w:val="center"/>
        </w:tcPr>
        <w:p w14:paraId="5DD651F9"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2139B59" w14:textId="77777777" w:rsidR="000E67E8" w:rsidRDefault="00025DA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Temascalapa</w:t>
          </w:r>
        </w:p>
      </w:tc>
    </w:tr>
    <w:tr w:rsidR="000E67E8" w14:paraId="4D124DF8" w14:textId="77777777">
      <w:tc>
        <w:tcPr>
          <w:tcW w:w="2551" w:type="dxa"/>
          <w:vAlign w:val="center"/>
        </w:tcPr>
        <w:p w14:paraId="0E77C9A6"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247F920A" w14:textId="77777777" w:rsidR="000E67E8" w:rsidRDefault="00025D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45EFBF" w14:textId="77777777" w:rsidR="000E67E8" w:rsidRDefault="000E67E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AA2BC" w14:textId="77777777" w:rsidR="000E67E8" w:rsidRDefault="00025DA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011D066" w14:textId="77777777" w:rsidR="000E67E8" w:rsidRDefault="000E67E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81993"/>
    <w:multiLevelType w:val="multilevel"/>
    <w:tmpl w:val="C128D4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7B1296"/>
    <w:multiLevelType w:val="multilevel"/>
    <w:tmpl w:val="86308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970BC2"/>
    <w:multiLevelType w:val="multilevel"/>
    <w:tmpl w:val="9A203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023D2C"/>
    <w:multiLevelType w:val="multilevel"/>
    <w:tmpl w:val="282A1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E8"/>
    <w:rsid w:val="00025DA0"/>
    <w:rsid w:val="000E67E8"/>
    <w:rsid w:val="00534466"/>
    <w:rsid w:val="007E68E2"/>
    <w:rsid w:val="00876D9B"/>
    <w:rsid w:val="00D9576A"/>
    <w:rsid w:val="00F42BA5"/>
    <w:rsid w:val="00FD08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5B74"/>
  <w15:docId w15:val="{7987E57B-A1E8-43F9-BC46-714DB5DC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lSH7EbmJ4TmRfM0ZxPjoQWEKOw==">AMUW2mUojdGUYkm9CY52rZ7+L4+AWJYY9ZhkUP+9/Dd3hzdpcgf84JiVEdgyDK6wvSMVt/VQyTaZnNEkYkVUH0WL0H0ng/pWMQRjuraCaeAEv0bbeKXEyRoUvepPE0jEnq6shI732DSBDEnWnHmPh+HREmr0WXkjmywCbc9QvyQunhel6OiKVz0rnM3bgQPQ1TpQy9pP4msA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6800</Words>
  <Characters>37405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Cuenta Microsoft</cp:lastModifiedBy>
  <cp:revision>5</cp:revision>
  <cp:lastPrinted>2022-05-22T05:39:00Z</cp:lastPrinted>
  <dcterms:created xsi:type="dcterms:W3CDTF">2022-05-13T01:46:00Z</dcterms:created>
  <dcterms:modified xsi:type="dcterms:W3CDTF">2022-06-06T17:04:00Z</dcterms:modified>
</cp:coreProperties>
</file>