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A3D62"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177F0">
        <w:rPr>
          <w:rFonts w:ascii="Palatino Linotype" w:eastAsia="Palatino Linotype" w:hAnsi="Palatino Linotype" w:cs="Palatino Linotype"/>
        </w:rPr>
        <w:t>cuatro</w:t>
      </w:r>
      <w:r>
        <w:rPr>
          <w:rFonts w:ascii="Palatino Linotype" w:eastAsia="Palatino Linotype" w:hAnsi="Palatino Linotype" w:cs="Palatino Linotype"/>
        </w:rPr>
        <w:t xml:space="preserve"> de febrero del dos mil veintidós.</w:t>
      </w:r>
    </w:p>
    <w:p w14:paraId="4B21B30A" w14:textId="3648BC6C" w:rsidR="008D5F7B" w:rsidRDefault="00E20C3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05489/INFOEM/IP/RR/2021</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465B8E">
        <w:rPr>
          <w:rFonts w:ascii="Palatino Linotype" w:eastAsia="Palatino Linotype" w:hAnsi="Palatino Linotype" w:cs="Palatino Linotype"/>
          <w:b/>
        </w:rPr>
        <w:t>XXXXXXXXXXXX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00493/SF/IP/2021,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Secretaría de Finanzas,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66DE69B0" w14:textId="77777777" w:rsidR="008D5F7B" w:rsidRDefault="00E20C39">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7D8963B8"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catorce de octubre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AC3816F" w14:textId="77777777" w:rsidR="008D5F7B" w:rsidRDefault="00E20C39">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“Quiero copia simple vía </w:t>
      </w:r>
      <w:proofErr w:type="spellStart"/>
      <w:r>
        <w:rPr>
          <w:rFonts w:ascii="Palatino Linotype" w:eastAsia="Palatino Linotype" w:hAnsi="Palatino Linotype" w:cs="Palatino Linotype"/>
          <w:i/>
          <w:sz w:val="22"/>
          <w:szCs w:val="22"/>
        </w:rPr>
        <w:t>saimex</w:t>
      </w:r>
      <w:proofErr w:type="spellEnd"/>
      <w:r>
        <w:rPr>
          <w:rFonts w:ascii="Palatino Linotype" w:eastAsia="Palatino Linotype" w:hAnsi="Palatino Linotype" w:cs="Palatino Linotype"/>
          <w:i/>
          <w:sz w:val="22"/>
          <w:szCs w:val="22"/>
        </w:rPr>
        <w:t xml:space="preserve"> del documento que acredite el ultimo grado de estudio de Jerónimo Hernández de la Cruz, Julio David Pedraza Roldan y Salvador Cabral Hernández, es de mencionar que en la respuesta de fecha 27 de septiembre del año dos mil veintiuno mediante oficio No. 20704000020000S/156/2021, quiero se me aclare respecto a la información del C. Julio en cuanto apellidos y año que asumió el cargo de subdirector y el C. Jerónimo el año de su nuevo cargo.” (Sic)</w:t>
      </w:r>
    </w:p>
    <w:p w14:paraId="59492EE7"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elegida para la entrega de la información: SAIMEX.</w:t>
      </w:r>
    </w:p>
    <w:p w14:paraId="67993ADE" w14:textId="77777777" w:rsidR="008D5F7B" w:rsidRDefault="00E20C3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de cuatro de noviembre del dos mil veintiuno, mediante SAIMEX,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en los siguientes términos: </w:t>
      </w:r>
    </w:p>
    <w:p w14:paraId="7C744683" w14:textId="77777777" w:rsidR="008D5F7B" w:rsidRDefault="008D5F7B">
      <w:pPr>
        <w:spacing w:line="360" w:lineRule="auto"/>
        <w:jc w:val="both"/>
        <w:rPr>
          <w:rFonts w:ascii="Palatino Linotype" w:eastAsia="Palatino Linotype" w:hAnsi="Palatino Linotype" w:cs="Palatino Linotype"/>
        </w:rPr>
      </w:pPr>
    </w:p>
    <w:p w14:paraId="13C21710" w14:textId="77777777" w:rsidR="008D5F7B" w:rsidRDefault="00E20C39">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“Sobre el particular, sírvase encontrar en archivo adjunto copia del oficio de notificación número 20700004S/UT-1766/2021 mediante el cual se detalla lo referente a su solicitud. Asimismo, se hace de su conocimiento que el Comité de Transparencia mediante Acuerdo CT-2021-0105 ha tenido a bien confirmar la clasificación como información confidencial de los datos personales que obran en los documentos referidos.”</w:t>
      </w:r>
    </w:p>
    <w:p w14:paraId="17FB83E0" w14:textId="77777777" w:rsidR="008D5F7B" w:rsidRDefault="008D5F7B">
      <w:pPr>
        <w:spacing w:line="360" w:lineRule="auto"/>
        <w:jc w:val="both"/>
        <w:rPr>
          <w:rFonts w:ascii="Palatino Linotype" w:eastAsia="Palatino Linotype" w:hAnsi="Palatino Linotype" w:cs="Palatino Linotype"/>
        </w:rPr>
      </w:pPr>
    </w:p>
    <w:p w14:paraId="26FEF1A8"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siguientes archivos: </w:t>
      </w:r>
    </w:p>
    <w:p w14:paraId="1D89863C" w14:textId="77777777" w:rsidR="008D5F7B" w:rsidRDefault="008D5F7B">
      <w:pPr>
        <w:spacing w:line="360" w:lineRule="auto"/>
        <w:jc w:val="both"/>
        <w:rPr>
          <w:rFonts w:ascii="Palatino Linotype" w:eastAsia="Palatino Linotype" w:hAnsi="Palatino Linotype" w:cs="Palatino Linotype"/>
        </w:rPr>
      </w:pPr>
    </w:p>
    <w:p w14:paraId="3FEF7B39"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“493 Sub. Planeación P..</w:t>
      </w:r>
      <w:proofErr w:type="spellStart"/>
      <w:r>
        <w:rPr>
          <w:rFonts w:ascii="Palatino Linotype" w:eastAsia="Palatino Linotype" w:hAnsi="Palatino Linotype" w:cs="Palatino Linotype"/>
          <w:b/>
        </w:rPr>
        <w:t>pdf</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mismo que contiene el oficio número 20704000020000S/185/2021, con la respuesta de la servidora pública habilitada de la subsecretaría de planeación y presupuesto, a través del cual informa en la parte medular lo siguiente: </w:t>
      </w:r>
    </w:p>
    <w:p w14:paraId="615701DC" w14:textId="77777777" w:rsidR="008D5F7B" w:rsidRDefault="00E20C39">
      <w:pPr>
        <w:spacing w:line="360" w:lineRule="auto"/>
        <w:jc w:val="both"/>
        <w:rPr>
          <w:rFonts w:ascii="Palatino Linotype" w:eastAsia="Palatino Linotype" w:hAnsi="Palatino Linotype" w:cs="Palatino Linotype"/>
          <w:b/>
          <w:i/>
        </w:rPr>
      </w:pPr>
      <w:r>
        <w:rPr>
          <w:noProof/>
          <w:lang w:val="es-MX" w:eastAsia="es-MX"/>
        </w:rPr>
        <w:drawing>
          <wp:inline distT="0" distB="0" distL="0" distR="0" wp14:anchorId="54293B59" wp14:editId="4CD6A877">
            <wp:extent cx="5612130" cy="186182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861820"/>
                    </a:xfrm>
                    <a:prstGeom prst="rect">
                      <a:avLst/>
                    </a:prstGeom>
                    <a:ln/>
                  </pic:spPr>
                </pic:pic>
              </a:graphicData>
            </a:graphic>
          </wp:inline>
        </w:drawing>
      </w:r>
    </w:p>
    <w:p w14:paraId="61EF520D" w14:textId="77777777" w:rsidR="008D5F7B" w:rsidRDefault="008D5F7B">
      <w:pPr>
        <w:spacing w:line="360" w:lineRule="auto"/>
        <w:jc w:val="both"/>
        <w:rPr>
          <w:rFonts w:ascii="Century Gothic" w:eastAsia="Century Gothic" w:hAnsi="Century Gothic" w:cs="Century Gothic"/>
          <w:b/>
          <w:i/>
          <w:sz w:val="20"/>
          <w:szCs w:val="20"/>
        </w:rPr>
      </w:pPr>
    </w:p>
    <w:p w14:paraId="352BA39A"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“493 Cedula y Titulo.pdf” </w:t>
      </w:r>
      <w:r>
        <w:rPr>
          <w:rFonts w:ascii="Palatino Linotype" w:eastAsia="Palatino Linotype" w:hAnsi="Palatino Linotype" w:cs="Palatino Linotype"/>
        </w:rPr>
        <w:t xml:space="preserve">Archivo que contiene las versiones públicas de los documentos antes mencionados. </w:t>
      </w:r>
    </w:p>
    <w:p w14:paraId="66300D7B" w14:textId="77777777" w:rsidR="008D5F7B" w:rsidRDefault="008D5F7B">
      <w:pPr>
        <w:spacing w:line="360" w:lineRule="auto"/>
        <w:jc w:val="both"/>
        <w:rPr>
          <w:rFonts w:ascii="Palatino Linotype" w:eastAsia="Palatino Linotype" w:hAnsi="Palatino Linotype" w:cs="Palatino Linotype"/>
        </w:rPr>
      </w:pPr>
    </w:p>
    <w:p w14:paraId="5C820CE9"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“UIPPE 493.pdf” </w:t>
      </w:r>
      <w:r>
        <w:rPr>
          <w:rFonts w:ascii="Palatino Linotype" w:eastAsia="Palatino Linotype" w:hAnsi="Palatino Linotype" w:cs="Palatino Linotype"/>
        </w:rPr>
        <w:t xml:space="preserve">Contiene el oficio 20700004S/UT-1766/2021 a través del cual el Titular de la Unidad de Transparencia del Sujeto Obligado remite al solicitante la respuesta del servidor público habilitado. </w:t>
      </w:r>
    </w:p>
    <w:p w14:paraId="04362FB3" w14:textId="77777777" w:rsidR="008D5F7B" w:rsidRDefault="008D5F7B">
      <w:pPr>
        <w:spacing w:line="360" w:lineRule="auto"/>
        <w:jc w:val="both"/>
        <w:rPr>
          <w:rFonts w:ascii="Palatino Linotype" w:eastAsia="Palatino Linotype" w:hAnsi="Palatino Linotype" w:cs="Palatino Linotype"/>
        </w:rPr>
      </w:pPr>
    </w:p>
    <w:p w14:paraId="2DD08C78" w14:textId="77777777" w:rsidR="008D5F7B" w:rsidRDefault="00E20C39">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Con fecha once de noviembre de dos mil veintiuno, a través del SAIMEX, se interpuso el presente Recurso de Revisión por el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emitida por el Sujeto Obligado a la solicitud de información, en los siguientes términos:</w:t>
      </w:r>
    </w:p>
    <w:p w14:paraId="34A9920A" w14:textId="77777777" w:rsidR="008D5F7B" w:rsidRDefault="008D5F7B">
      <w:pPr>
        <w:spacing w:line="360" w:lineRule="auto"/>
        <w:jc w:val="both"/>
        <w:rPr>
          <w:rFonts w:ascii="Palatino Linotype" w:eastAsia="Palatino Linotype" w:hAnsi="Palatino Linotype" w:cs="Palatino Linotype"/>
        </w:rPr>
      </w:pPr>
    </w:p>
    <w:p w14:paraId="6854572E" w14:textId="77777777" w:rsidR="008D5F7B" w:rsidRDefault="00E20C3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6A17FD8" w14:textId="77777777" w:rsidR="008D5F7B" w:rsidRDefault="00E20C39">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“No se dio respuesta en todos los puntos de la solicitud No. 00493/SF/IP/2021, con el folio No. 20704000020000S/185/2021, de fecha 21 de octubre de 202.” </w:t>
      </w:r>
    </w:p>
    <w:p w14:paraId="7CB225CE" w14:textId="77777777" w:rsidR="008D5F7B" w:rsidRDefault="00E20C3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596153B5" w14:textId="77777777" w:rsidR="008D5F7B" w:rsidRDefault="00E20C39">
      <w:pPr>
        <w:spacing w:after="240"/>
        <w:ind w:left="851"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“Falta información.”</w:t>
      </w:r>
    </w:p>
    <w:p w14:paraId="05D53AF9" w14:textId="77777777" w:rsidR="008D5F7B" w:rsidRDefault="00E20C39">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05489/INFOEM/IP/RR/2021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60440B5E" w14:textId="77777777" w:rsidR="008D5F7B" w:rsidRDefault="008D5F7B">
      <w:pPr>
        <w:spacing w:line="360" w:lineRule="auto"/>
        <w:jc w:val="both"/>
        <w:rPr>
          <w:rFonts w:ascii="Palatino Linotype" w:eastAsia="Palatino Linotype" w:hAnsi="Palatino Linotype" w:cs="Palatino Linotype"/>
        </w:rPr>
      </w:pPr>
    </w:p>
    <w:p w14:paraId="2D74F5BC" w14:textId="77777777" w:rsidR="008D5F7B" w:rsidRDefault="00E20C3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Admisión del recurso de revisión: </w:t>
      </w:r>
      <w:r>
        <w:rPr>
          <w:rFonts w:ascii="Palatino Linotype" w:eastAsia="Palatino Linotype" w:hAnsi="Palatino Linotype" w:cs="Palatino Linotype"/>
        </w:rPr>
        <w:t xml:space="preserve">En fecha dieciocho de noviembre del dos mil veintiuno,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14:paraId="7B03E5F0" w14:textId="77777777" w:rsidR="008D5F7B" w:rsidRDefault="00E20C3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w:t>
      </w:r>
      <w:r>
        <w:rPr>
          <w:rFonts w:ascii="Palatino Linotype" w:eastAsia="Palatino Linotype" w:hAnsi="Palatino Linotype" w:cs="Palatino Linotype"/>
        </w:rPr>
        <w:t>omiso</w:t>
      </w:r>
      <w:r>
        <w:rPr>
          <w:rFonts w:ascii="Palatino Linotype" w:eastAsia="Palatino Linotype" w:hAnsi="Palatino Linotype" w:cs="Palatino Linotype"/>
          <w:color w:val="000000"/>
        </w:rPr>
        <w:t xml:space="preserve"> en ofrecer pruebas y alegatos.</w:t>
      </w:r>
    </w:p>
    <w:p w14:paraId="5F9934AD"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veintiséis de noviembre del año dos mil veintiuno, remite los siguientes archivos electrónicos:</w:t>
      </w:r>
    </w:p>
    <w:p w14:paraId="1386C0DE" w14:textId="77777777" w:rsidR="008D5F7B" w:rsidRDefault="008D5F7B">
      <w:pPr>
        <w:widowControl w:val="0"/>
        <w:spacing w:line="360" w:lineRule="auto"/>
        <w:jc w:val="both"/>
        <w:rPr>
          <w:rFonts w:ascii="Palatino Linotype" w:eastAsia="Palatino Linotype" w:hAnsi="Palatino Linotype" w:cs="Palatino Linotype"/>
          <w:i/>
          <w:highlight w:val="yellow"/>
        </w:rPr>
      </w:pPr>
    </w:p>
    <w:p w14:paraId="33A1CD54" w14:textId="77777777" w:rsidR="008D5F7B" w:rsidRDefault="005177F0">
      <w:pPr>
        <w:spacing w:line="360" w:lineRule="auto"/>
        <w:jc w:val="both"/>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58240" behindDoc="0" locked="0" layoutInCell="1" hidden="0" allowOverlap="1" wp14:anchorId="6209B39F" wp14:editId="293CC529">
                <wp:simplePos x="0" y="0"/>
                <wp:positionH relativeFrom="column">
                  <wp:posOffset>73025</wp:posOffset>
                </wp:positionH>
                <wp:positionV relativeFrom="paragraph">
                  <wp:posOffset>889000</wp:posOffset>
                </wp:positionV>
                <wp:extent cx="4492625" cy="3470275"/>
                <wp:effectExtent l="0" t="0" r="0" b="0"/>
                <wp:wrapNone/>
                <wp:docPr id="37" name="Conector recto de flecha 37"/>
                <wp:cNvGraphicFramePr/>
                <a:graphic xmlns:a="http://schemas.openxmlformats.org/drawingml/2006/main">
                  <a:graphicData uri="http://schemas.microsoft.com/office/word/2010/wordprocessingShape">
                    <wps:wsp>
                      <wps:cNvCnPr/>
                      <wps:spPr>
                        <a:xfrm>
                          <a:off x="0" y="0"/>
                          <a:ext cx="4492625" cy="347027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4B49A2ED" id="_x0000_t32" coordsize="21600,21600" o:spt="32" o:oned="t" path="m,l21600,21600e" filled="f">
                <v:path arrowok="t" fillok="f" o:connecttype="none"/>
                <o:lock v:ext="edit" shapetype="t"/>
              </v:shapetype>
              <v:shape id="Conector recto de flecha 37" o:spid="_x0000_s1026" type="#_x0000_t32" style="position:absolute;margin-left:5.75pt;margin-top:70pt;width:353.75pt;height:273.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IQ7AEAAMoDAAAOAAAAZHJzL2Uyb0RvYy54bWysU8mO2zAMvRfoPwi6N3YyySxGnDkknV6K&#10;NsC0H8CRqFiANkhqnPx9KTnNdDkUKOqDLFF8j+QjtX48WcOOGJP2rufzWcsZOuGldoeef/3y9O6e&#10;s5TBSTDeYc/PmPjj5u2b9Rg6XPjBG4mREYlL3Rh6PuQcuqZJYkALaeYDOrpUPlrIdIyHRkYYid2a&#10;ZtG2t83oowzRC0yJrLvpkm8qv1Io8melEmZmek655brGur6UtdmsoTtECIMWlzTgH7KwoB0FvVLt&#10;IAP7FvUfVFaL6JNXeSa8bbxSWmCtgaqZt79V8zxAwFoLiZPCVab0/2jFp+M+Mi17fnPHmQNLPdpS&#10;p0T2kcXyYxKZMigGYORCeo0hdQTbun28nFLYx1L8SUVb/lQWO1WNz1eN8ZSZIONy+bC4Xaw4E3R3&#10;s7xrF3erwtq8wkNM+QN6y8qm5ylH0IchU1pTXvOqNBw/pjwBfwBKbOeftDFkh844Nvb8YVWjAQ2X&#10;MpApsA1UbnKHSpO80bJACqKOHW5NZEeggQEh0OX5Jb1fPEvIHaRhcqxXxQ06qzMNtNG25/dt+Sbz&#10;gCDfO8nyOZDCjhTmJblkOTNIL4c2FZ5Bm7/7kVjGkWalFZP4Zffi5bn2pNppYKqql+EuE/nzuaJf&#10;n+DmOwAAAP//AwBQSwMEFAAGAAgAAAAhALzene7fAAAACgEAAA8AAABkcnMvZG93bnJldi54bWxM&#10;j81OxDAMhO9IvENkJG5sWsR2l9J0BQgOW34kCg+QbUwb0ThVk3bL22NOcLJHHo2/KXaL68WMY7Ce&#10;FKSrBARS442lVsHH++PFFkSImozuPaGCbwywK09PCp0bf6Q3nOvYCg6hkGsFXYxDLmVoOnQ6rPyA&#10;xLdPPzodWY6tNKM+crjr5WWSZNJpS/yh0wPed9h81ZNT8Hq3rzr38FRt6srO++klPts0KnV+ttze&#10;gIi4xD8z/OIzOpTMdPATmSB61umanTyvEu7Ehk16zctBQbbN1iDLQv6vUP4AAAD//wMAUEsBAi0A&#10;FAAGAAgAAAAhALaDOJL+AAAA4QEAABMAAAAAAAAAAAAAAAAAAAAAAFtDb250ZW50X1R5cGVzXS54&#10;bWxQSwECLQAUAAYACAAAACEAOP0h/9YAAACUAQAACwAAAAAAAAAAAAAAAAAvAQAAX3JlbHMvLnJl&#10;bHNQSwECLQAUAAYACAAAACEAoYdCEOwBAADKAwAADgAAAAAAAAAAAAAAAAAuAgAAZHJzL2Uyb0Rv&#10;Yy54bWxQSwECLQAUAAYACAAAACEAvN6d7t8AAAAKAQAADwAAAAAAAAAAAAAAAABGBAAAZHJzL2Rv&#10;d25yZXYueG1sUEsFBgAAAAAEAAQA8wAAAFIFAAAAAA==&#10;" strokecolor="#4472c4 [3204]">
                <v:stroke startarrowwidth="narrow" startarrowlength="short" endarrowwidth="narrow" endarrowlength="short" joinstyle="miter"/>
              </v:shape>
            </w:pict>
          </mc:Fallback>
        </mc:AlternateContent>
      </w:r>
      <w:r w:rsidR="00E20C39">
        <w:rPr>
          <w:rFonts w:ascii="Palatino Linotype" w:eastAsia="Palatino Linotype" w:hAnsi="Palatino Linotype" w:cs="Palatino Linotype"/>
          <w:b/>
          <w:i/>
        </w:rPr>
        <w:t>“</w:t>
      </w:r>
      <w:r w:rsidR="00E20C39">
        <w:rPr>
          <w:b/>
          <w:i/>
        </w:rPr>
        <w:t>RR 5489-22120 Informe Justificado.pdf</w:t>
      </w:r>
      <w:r w:rsidR="00E20C39">
        <w:rPr>
          <w:rFonts w:ascii="Palatino Linotype" w:eastAsia="Palatino Linotype" w:hAnsi="Palatino Linotype" w:cs="Palatino Linotype"/>
          <w:b/>
          <w:i/>
        </w:rPr>
        <w:t>”,</w:t>
      </w:r>
      <w:r w:rsidR="00E20C39">
        <w:rPr>
          <w:rFonts w:ascii="Palatino Linotype" w:eastAsia="Palatino Linotype" w:hAnsi="Palatino Linotype" w:cs="Palatino Linotype"/>
        </w:rPr>
        <w:t xml:space="preserve"> en el cual se remite el Informe Justificado del Recurso de Revisión 05489/INFOEM/IP/RR/2021, para los efectos legales a que haya lugar.</w:t>
      </w:r>
    </w:p>
    <w:p w14:paraId="614EF0B2" w14:textId="18ADF8B7" w:rsidR="008D5F7B" w:rsidRDefault="007172B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52B437E" wp14:editId="0A021F8C">
            <wp:extent cx="5612130" cy="63252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612130" cy="6325235"/>
                    </a:xfrm>
                    <a:prstGeom prst="rect">
                      <a:avLst/>
                    </a:prstGeom>
                  </pic:spPr>
                </pic:pic>
              </a:graphicData>
            </a:graphic>
          </wp:inline>
        </w:drawing>
      </w:r>
    </w:p>
    <w:p w14:paraId="2C74CD0F" w14:textId="77777777" w:rsidR="008D5F7B" w:rsidRDefault="008D5F7B">
      <w:pPr>
        <w:spacing w:line="360" w:lineRule="auto"/>
        <w:jc w:val="both"/>
        <w:rPr>
          <w:rFonts w:ascii="Palatino Linotype" w:eastAsia="Palatino Linotype" w:hAnsi="Palatino Linotype" w:cs="Palatino Linotype"/>
        </w:rPr>
      </w:pPr>
    </w:p>
    <w:p w14:paraId="17EB7D9C"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7D444F6A" wp14:editId="40A7A30C">
            <wp:extent cx="5272276" cy="6758897"/>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72276" cy="6758897"/>
                    </a:xfrm>
                    <a:prstGeom prst="rect">
                      <a:avLst/>
                    </a:prstGeom>
                    <a:ln/>
                  </pic:spPr>
                </pic:pic>
              </a:graphicData>
            </a:graphic>
          </wp:inline>
        </w:drawing>
      </w:r>
    </w:p>
    <w:p w14:paraId="403E9640" w14:textId="77777777" w:rsidR="008D5F7B" w:rsidRDefault="008D5F7B">
      <w:pPr>
        <w:spacing w:line="360" w:lineRule="auto"/>
        <w:jc w:val="both"/>
        <w:rPr>
          <w:rFonts w:ascii="Palatino Linotype" w:eastAsia="Palatino Linotype" w:hAnsi="Palatino Linotype" w:cs="Palatino Linotype"/>
        </w:rPr>
      </w:pPr>
    </w:p>
    <w:p w14:paraId="3C16E127" w14:textId="77777777" w:rsidR="008D5F7B" w:rsidRDefault="008D5F7B">
      <w:pPr>
        <w:spacing w:line="360" w:lineRule="auto"/>
        <w:jc w:val="both"/>
        <w:rPr>
          <w:rFonts w:ascii="Palatino Linotype" w:eastAsia="Palatino Linotype" w:hAnsi="Palatino Linotype" w:cs="Palatino Linotype"/>
        </w:rPr>
      </w:pPr>
    </w:p>
    <w:p w14:paraId="54C86F15" w14:textId="77777777" w:rsidR="008D5F7B" w:rsidRDefault="008D5F7B">
      <w:pPr>
        <w:spacing w:line="360" w:lineRule="auto"/>
        <w:jc w:val="both"/>
        <w:rPr>
          <w:rFonts w:ascii="Palatino Linotype" w:eastAsia="Palatino Linotype" w:hAnsi="Palatino Linotype" w:cs="Palatino Linotype"/>
        </w:rPr>
      </w:pPr>
    </w:p>
    <w:p w14:paraId="285A5145" w14:textId="77777777" w:rsidR="008D5F7B" w:rsidRDefault="008D5F7B">
      <w:pPr>
        <w:spacing w:line="360" w:lineRule="auto"/>
        <w:jc w:val="both"/>
        <w:rPr>
          <w:rFonts w:ascii="Palatino Linotype" w:eastAsia="Palatino Linotype" w:hAnsi="Palatino Linotype" w:cs="Palatino Linotype"/>
        </w:rPr>
      </w:pPr>
    </w:p>
    <w:p w14:paraId="2BEC9956"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7A26E1D7" wp14:editId="40B2F72E">
            <wp:extent cx="5315692" cy="6258798"/>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15692" cy="6258798"/>
                    </a:xfrm>
                    <a:prstGeom prst="rect">
                      <a:avLst/>
                    </a:prstGeom>
                    <a:ln/>
                  </pic:spPr>
                </pic:pic>
              </a:graphicData>
            </a:graphic>
          </wp:inline>
        </w:drawing>
      </w:r>
    </w:p>
    <w:p w14:paraId="2EC346D8" w14:textId="77777777" w:rsidR="008D5F7B" w:rsidRDefault="008D5F7B">
      <w:pPr>
        <w:spacing w:line="360" w:lineRule="auto"/>
        <w:jc w:val="both"/>
        <w:rPr>
          <w:rFonts w:ascii="Palatino Linotype" w:eastAsia="Palatino Linotype" w:hAnsi="Palatino Linotype" w:cs="Palatino Linotype"/>
        </w:rPr>
      </w:pPr>
    </w:p>
    <w:p w14:paraId="148194B4" w14:textId="77777777" w:rsidR="008D5F7B" w:rsidRDefault="008D5F7B">
      <w:pPr>
        <w:spacing w:line="360" w:lineRule="auto"/>
        <w:jc w:val="both"/>
        <w:rPr>
          <w:rFonts w:ascii="Palatino Linotype" w:eastAsia="Palatino Linotype" w:hAnsi="Palatino Linotype" w:cs="Palatino Linotype"/>
        </w:rPr>
      </w:pPr>
    </w:p>
    <w:p w14:paraId="4A3274C3" w14:textId="77777777" w:rsidR="008D5F7B" w:rsidRDefault="008D5F7B">
      <w:pPr>
        <w:spacing w:line="360" w:lineRule="auto"/>
        <w:jc w:val="both"/>
        <w:rPr>
          <w:rFonts w:ascii="Palatino Linotype" w:eastAsia="Palatino Linotype" w:hAnsi="Palatino Linotype" w:cs="Palatino Linotype"/>
        </w:rPr>
      </w:pPr>
    </w:p>
    <w:p w14:paraId="0CB63F99" w14:textId="77777777" w:rsidR="008D5F7B" w:rsidRDefault="008D5F7B">
      <w:pPr>
        <w:spacing w:line="360" w:lineRule="auto"/>
        <w:jc w:val="both"/>
        <w:rPr>
          <w:rFonts w:ascii="Palatino Linotype" w:eastAsia="Palatino Linotype" w:hAnsi="Palatino Linotype" w:cs="Palatino Linotype"/>
        </w:rPr>
      </w:pPr>
    </w:p>
    <w:p w14:paraId="46B2937E"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2CC18624" wp14:editId="1743D22C">
            <wp:extent cx="5458587" cy="6239746"/>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58587" cy="6239746"/>
                    </a:xfrm>
                    <a:prstGeom prst="rect">
                      <a:avLst/>
                    </a:prstGeom>
                    <a:ln/>
                  </pic:spPr>
                </pic:pic>
              </a:graphicData>
            </a:graphic>
          </wp:inline>
        </w:drawing>
      </w:r>
    </w:p>
    <w:p w14:paraId="4BD12A7B" w14:textId="77777777" w:rsidR="008D5F7B" w:rsidRDefault="008D5F7B">
      <w:pPr>
        <w:spacing w:line="360" w:lineRule="auto"/>
        <w:jc w:val="both"/>
        <w:rPr>
          <w:rFonts w:ascii="Palatino Linotype" w:eastAsia="Palatino Linotype" w:hAnsi="Palatino Linotype" w:cs="Palatino Linotype"/>
        </w:rPr>
      </w:pPr>
    </w:p>
    <w:p w14:paraId="32578521"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“RR 5489-2021 SPP.PDF”.</w:t>
      </w:r>
      <w:r>
        <w:rPr>
          <w:rFonts w:ascii="Palatino Linotype" w:eastAsia="Palatino Linotype" w:hAnsi="Palatino Linotype" w:cs="Palatino Linotype"/>
        </w:rPr>
        <w:t xml:space="preserve"> Contiene el oficio número 207040000020000S/0198/2021 signado por la servidora pública habilitada de la Subsecretaría de Planeación y Presupuesto a través del cual ratifica su respuesta, </w:t>
      </w:r>
      <w:r>
        <w:rPr>
          <w:rFonts w:ascii="Palatino Linotype" w:eastAsia="Palatino Linotype" w:hAnsi="Palatino Linotype" w:cs="Palatino Linotype"/>
          <w:b/>
          <w:u w:val="single"/>
        </w:rPr>
        <w:t>adicionando la fecha en la que tomaron posesión a sus cargos los servidores públicos de los que se requiere información</w:t>
      </w:r>
      <w:r>
        <w:rPr>
          <w:rFonts w:ascii="Palatino Linotype" w:eastAsia="Palatino Linotype" w:hAnsi="Palatino Linotype" w:cs="Palatino Linotype"/>
        </w:rPr>
        <w:t xml:space="preserve">, tal como se advierte a continuación: </w:t>
      </w:r>
      <w:r>
        <w:rPr>
          <w:noProof/>
          <w:lang w:val="es-MX" w:eastAsia="es-MX"/>
        </w:rPr>
        <mc:AlternateContent>
          <mc:Choice Requires="wpg">
            <w:drawing>
              <wp:anchor distT="0" distB="0" distL="114300" distR="114300" simplePos="0" relativeHeight="251659264" behindDoc="0" locked="0" layoutInCell="1" hidden="0" allowOverlap="1" wp14:anchorId="1FE29337" wp14:editId="5236656B">
                <wp:simplePos x="0" y="0"/>
                <wp:positionH relativeFrom="column">
                  <wp:posOffset>558800</wp:posOffset>
                </wp:positionH>
                <wp:positionV relativeFrom="paragraph">
                  <wp:posOffset>2921000</wp:posOffset>
                </wp:positionV>
                <wp:extent cx="4117975" cy="3025775"/>
                <wp:effectExtent l="0" t="0" r="0" b="0"/>
                <wp:wrapNone/>
                <wp:docPr id="36" name="Conector recto de flecha 36"/>
                <wp:cNvGraphicFramePr/>
                <a:graphic xmlns:a="http://schemas.openxmlformats.org/drawingml/2006/main">
                  <a:graphicData uri="http://schemas.microsoft.com/office/word/2010/wordprocessingShape">
                    <wps:wsp>
                      <wps:cNvCnPr/>
                      <wps:spPr>
                        <a:xfrm>
                          <a:off x="3291775" y="2271875"/>
                          <a:ext cx="4108450" cy="30162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558800</wp:posOffset>
                </wp:positionH>
                <wp:positionV relativeFrom="paragraph">
                  <wp:posOffset>2921000</wp:posOffset>
                </wp:positionV>
                <wp:extent cx="4117975" cy="3025775"/>
                <wp:effectExtent b="0" l="0" r="0" t="0"/>
                <wp:wrapNone/>
                <wp:docPr id="3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4117975" cy="3025775"/>
                        </a:xfrm>
                        <a:prstGeom prst="rect"/>
                        <a:ln/>
                      </pic:spPr>
                    </pic:pic>
                  </a:graphicData>
                </a:graphic>
              </wp:anchor>
            </w:drawing>
          </mc:Fallback>
        </mc:AlternateContent>
      </w:r>
    </w:p>
    <w:p w14:paraId="629B11A9" w14:textId="77777777" w:rsidR="008D5F7B" w:rsidRDefault="00E20C3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0BDD9BCE" wp14:editId="4FAEF0D2">
            <wp:extent cx="5612130" cy="609346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6093460"/>
                    </a:xfrm>
                    <a:prstGeom prst="rect">
                      <a:avLst/>
                    </a:prstGeom>
                    <a:ln/>
                  </pic:spPr>
                </pic:pic>
              </a:graphicData>
            </a:graphic>
          </wp:inline>
        </w:drawing>
      </w:r>
    </w:p>
    <w:p w14:paraId="720175F4" w14:textId="77777777" w:rsidR="008D5F7B" w:rsidRDefault="008D5F7B">
      <w:pPr>
        <w:spacing w:line="360" w:lineRule="auto"/>
        <w:jc w:val="both"/>
        <w:rPr>
          <w:rFonts w:ascii="Palatino Linotype" w:eastAsia="Palatino Linotype" w:hAnsi="Palatino Linotype" w:cs="Palatino Linotype"/>
        </w:rPr>
      </w:pPr>
    </w:p>
    <w:p w14:paraId="3D17119E"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“CT-2021-105-pdf.”</w:t>
      </w:r>
      <w:r>
        <w:rPr>
          <w:rFonts w:ascii="Palatino Linotype" w:eastAsia="Palatino Linotype" w:hAnsi="Palatino Linotype" w:cs="Palatino Linotype"/>
        </w:rPr>
        <w:t xml:space="preserve"> Consistente en el Acuerdo del Comité de Transparencia de la Secretaría de Finanzas, en la que clasifica como información confidencial de los datos personales consistentes en: Clave Única de Registro de Población (CURP), </w:t>
      </w:r>
      <w:r>
        <w:rPr>
          <w:rFonts w:ascii="Palatino Linotype" w:eastAsia="Palatino Linotype" w:hAnsi="Palatino Linotype" w:cs="Palatino Linotype"/>
        </w:rPr>
        <w:lastRenderedPageBreak/>
        <w:t xml:space="preserve">firmas, </w:t>
      </w:r>
      <w:r>
        <w:rPr>
          <w:rFonts w:ascii="Palatino Linotype" w:eastAsia="Palatino Linotype" w:hAnsi="Palatino Linotype" w:cs="Palatino Linotype"/>
          <w:b/>
        </w:rPr>
        <w:t>fotografías</w:t>
      </w:r>
      <w:r>
        <w:rPr>
          <w:rFonts w:ascii="Palatino Linotype" w:eastAsia="Palatino Linotype" w:hAnsi="Palatino Linotype" w:cs="Palatino Linotype"/>
        </w:rPr>
        <w:t xml:space="preserve">, calificaciones, tipo de examen y matrícula, contenidos en las cédulas profesionales números 12153264 y 4493028 correspondientes a Salvador Cabral Hernández y Julio David Pedraza Roldán, así como el certificado de preparatoria con bachillerato en ciencias de la salud a nombre de Jerónimo Hernández de la Cruz. </w:t>
      </w:r>
    </w:p>
    <w:p w14:paraId="390BBD88" w14:textId="77777777" w:rsidR="008D5F7B" w:rsidRDefault="008D5F7B">
      <w:pPr>
        <w:spacing w:line="360" w:lineRule="auto"/>
        <w:jc w:val="both"/>
        <w:rPr>
          <w:rFonts w:ascii="Palatino Linotype" w:eastAsia="Palatino Linotype" w:hAnsi="Palatino Linotype" w:cs="Palatino Linotype"/>
        </w:rPr>
      </w:pPr>
    </w:p>
    <w:p w14:paraId="1272C9CC" w14:textId="77777777" w:rsidR="008D5F7B" w:rsidRDefault="00E20C39">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Cierre de Instrucción</w:t>
      </w:r>
      <w:r>
        <w:rPr>
          <w:rFonts w:ascii="Palatino Linotype" w:eastAsia="Palatino Linotype" w:hAnsi="Palatino Linotype" w:cs="Palatino Linotype"/>
        </w:rPr>
        <w:t>. Con fecha veintiuno de diciembre de dos mil veintiuno, al no existir diligencias pendientes por desahogar, se emitió el acuerdo por medio del cual se declaró cerrada la instrucción y se determinó pasar el expediente a resolución, en términos de los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58B46436" w14:textId="77777777" w:rsidR="008D5F7B" w:rsidRDefault="00E20C39">
      <w:pPr>
        <w:widowControl w:val="0"/>
        <w:pBdr>
          <w:top w:val="nil"/>
          <w:left w:val="nil"/>
          <w:bottom w:val="nil"/>
          <w:right w:val="nil"/>
          <w:between w:val="nil"/>
        </w:pBdr>
        <w:tabs>
          <w:tab w:val="left" w:pos="709"/>
        </w:tabs>
        <w:spacing w:before="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10. Ampliación del plazo.</w:t>
      </w:r>
      <w:r>
        <w:rPr>
          <w:rFonts w:ascii="Palatino Linotype" w:eastAsia="Palatino Linotype" w:hAnsi="Palatino Linotype" w:cs="Palatino Linotype"/>
          <w:color w:val="000000"/>
        </w:rPr>
        <w:t xml:space="preserve"> En </w:t>
      </w:r>
      <w:r w:rsidRPr="005177F0">
        <w:rPr>
          <w:rFonts w:ascii="Palatino Linotype" w:eastAsia="Palatino Linotype" w:hAnsi="Palatino Linotype" w:cs="Palatino Linotype"/>
          <w:color w:val="000000"/>
        </w:rPr>
        <w:t>fecha veintiséis</w:t>
      </w:r>
      <w:r>
        <w:rPr>
          <w:rFonts w:ascii="Palatino Linotype" w:eastAsia="Palatino Linotype" w:hAnsi="Palatino Linotype" w:cs="Palatino Linotype"/>
          <w:color w:val="000000"/>
        </w:rPr>
        <w:t xml:space="preserve"> de enero de dos mil veintidós,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B7541F0" w14:textId="77777777" w:rsidR="008D5F7B" w:rsidRDefault="008D5F7B">
      <w:pPr>
        <w:widowControl w:val="0"/>
        <w:pBdr>
          <w:top w:val="nil"/>
          <w:left w:val="nil"/>
          <w:bottom w:val="nil"/>
          <w:right w:val="nil"/>
          <w:between w:val="nil"/>
        </w:pBdr>
        <w:tabs>
          <w:tab w:val="left" w:pos="709"/>
        </w:tabs>
        <w:spacing w:after="240" w:line="360" w:lineRule="auto"/>
        <w:rPr>
          <w:rFonts w:ascii="Palatino Linotype" w:eastAsia="Palatino Linotype" w:hAnsi="Palatino Linotype" w:cs="Palatino Linotype"/>
          <w:b/>
          <w:color w:val="000000"/>
        </w:rPr>
      </w:pPr>
    </w:p>
    <w:p w14:paraId="7C6F5140" w14:textId="77777777" w:rsidR="008D5F7B" w:rsidRDefault="00E20C39">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14:paraId="558D05E0" w14:textId="77777777" w:rsidR="008D5F7B" w:rsidRDefault="00E20C3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1E274582" w14:textId="77777777" w:rsidR="008D5F7B" w:rsidRDefault="00E20C3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SEGUNDO. Oportunidad y Procedibilidad.</w:t>
      </w:r>
      <w:r>
        <w:rPr>
          <w:rFonts w:ascii="Palatino Linotype" w:eastAsia="Palatino Linotype" w:hAnsi="Palatino Linotype" w:cs="Palatino Linotype"/>
          <w:highlight w:val="whit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A24B9D" w14:textId="77777777" w:rsidR="008D5F7B" w:rsidRDefault="00E20C3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proporcionó respuesta a la solicitud de información el cuatro de noviembre de dos mil veintiuno, mientras que el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interpuso el recurso de revisión el once de noviembre del mismo año, esto es al quinto día posterior al que se notificó la respuesta; por ende, dentro del término legal que prevé el arábigo de referencia.</w:t>
      </w:r>
    </w:p>
    <w:p w14:paraId="643BB97F" w14:textId="77777777" w:rsidR="008D5F7B" w:rsidRDefault="00E20C3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Por lo tanto, se acreditan los elementos formales exigidos por el artículo 180 de la Ley de Transparencia y Acceso a la Información Pública del Estado de México y </w:t>
      </w:r>
      <w:r>
        <w:rPr>
          <w:rFonts w:ascii="Palatino Linotype" w:eastAsia="Palatino Linotype" w:hAnsi="Palatino Linotype" w:cs="Palatino Linotype"/>
          <w:highlight w:val="white"/>
        </w:rPr>
        <w:lastRenderedPageBreak/>
        <w:t xml:space="preserve">Municipios, en atención a que fue presentado mediante el formato visible en el SAIMEX. </w:t>
      </w:r>
    </w:p>
    <w:p w14:paraId="624839D1" w14:textId="77777777" w:rsidR="008D5F7B" w:rsidRDefault="00E20C3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Asimismo, se advierte que resulta procedente la interposición del recurso, según lo manifestado por el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en sus motivos de inconformidad, de acuerdo al artículo 179, fracción IX del ordenamiento legal citado, que a la letra dice:</w:t>
      </w:r>
    </w:p>
    <w:p w14:paraId="07DEEA5C" w14:textId="77777777" w:rsidR="008D5F7B" w:rsidRDefault="00E20C39">
      <w:pPr>
        <w:spacing w:before="240" w:after="240" w:line="276" w:lineRule="auto"/>
        <w:ind w:left="567" w:right="616"/>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 xml:space="preserve"> “Artículo 179. El recurso de revisión es un medio de protección que la Ley otorga a los particulares, para hacer valer su derecho de acceso a la información pública, y procederá en contra de las siguientes causas:</w:t>
      </w:r>
    </w:p>
    <w:p w14:paraId="0DD18053" w14:textId="77777777" w:rsidR="008D5F7B" w:rsidRDefault="00E20C39">
      <w:pPr>
        <w:spacing w:before="240" w:after="240" w:line="276" w:lineRule="auto"/>
        <w:ind w:left="567" w:right="616"/>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V. La entrega de información incompleta;…</w:t>
      </w:r>
    </w:p>
    <w:p w14:paraId="3934ACC5"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TERCERO. Materia de la revisión en el recurso de revisión. </w:t>
      </w:r>
      <w:r>
        <w:rPr>
          <w:rFonts w:ascii="Palatino Linotype" w:eastAsia="Palatino Linotype" w:hAnsi="Palatino Linotype" w:cs="Palatino Linotype"/>
          <w:color w:val="000000"/>
        </w:rPr>
        <w:t xml:space="preserve">De la revisión a las constancias que obran en el expediente electrónico se advierte que el tema sobre el que este Instituto se pronunciará será: </w:t>
      </w:r>
      <w:r>
        <w:rPr>
          <w:rFonts w:ascii="Palatino Linotype" w:eastAsia="Palatino Linotype" w:hAnsi="Palatino Linotype" w:cs="Palatino Linotype"/>
          <w:b/>
          <w:color w:val="000000"/>
        </w:rPr>
        <w:t xml:space="preserve">verificar si la respuesta otorgada por parte del SUJETO OBLIGADO satisface los requerimientos del ahora RECURRENTE, o en su caso procede ordenar la entrega de la información faltante. </w:t>
      </w:r>
    </w:p>
    <w:p w14:paraId="34D4D962"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El Derecho de Acceso a la Información Público, es el derecho humano reconocido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ser cuidadoso del debido cumplimiento de las obligaciones constitucionales que se le imponen, que de acuerdo a lo dispuesto en el tercer párrafo del artículo primero de la </w:t>
      </w:r>
      <w:r>
        <w:rPr>
          <w:rFonts w:ascii="Palatino Linotype" w:eastAsia="Palatino Linotype" w:hAnsi="Palatino Linotype" w:cs="Palatino Linotype"/>
          <w:b/>
        </w:rPr>
        <w:t xml:space="preserve">Constitución Política de los Estados Unidos Mexicanos </w:t>
      </w:r>
      <w:r>
        <w:rPr>
          <w:rFonts w:ascii="Palatino Linotype" w:eastAsia="Palatino Linotype" w:hAnsi="Palatino Linotype" w:cs="Palatino Linotype"/>
        </w:rPr>
        <w:t xml:space="preserve">tiene el deber de  “promover, </w:t>
      </w:r>
      <w:r>
        <w:rPr>
          <w:rFonts w:ascii="Palatino Linotype" w:eastAsia="Palatino Linotype" w:hAnsi="Palatino Linotype" w:cs="Palatino Linotype"/>
          <w:b/>
        </w:rPr>
        <w:t>respetar</w:t>
      </w:r>
      <w:r>
        <w:rPr>
          <w:rFonts w:ascii="Palatino Linotype" w:eastAsia="Palatino Linotype" w:hAnsi="Palatino Linotype" w:cs="Palatino Linotype"/>
        </w:rPr>
        <w:t xml:space="preserve">, proteger y </w:t>
      </w:r>
      <w:r>
        <w:rPr>
          <w:rFonts w:ascii="Palatino Linotype" w:eastAsia="Palatino Linotype" w:hAnsi="Palatino Linotype" w:cs="Palatino Linotype"/>
          <w:b/>
        </w:rPr>
        <w:t>garantizar</w:t>
      </w:r>
      <w:r>
        <w:rPr>
          <w:rFonts w:ascii="Palatino Linotype" w:eastAsia="Palatino Linotype" w:hAnsi="Palatino Linotype" w:cs="Palatino Linotype"/>
        </w:rPr>
        <w:t xml:space="preserve"> los derechos humanos”, entre los cuales se encuentra este derecho. </w:t>
      </w:r>
    </w:p>
    <w:p w14:paraId="64A459F1"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14:paraId="101B6E7C"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artículo primero Constitucional dispone de manera clara  y precisa que, como consecuencia de la obligación que tienen las autoridades de promover, respetar, proteger y garantizar el derecho humano; el Estado deberá </w:t>
      </w:r>
      <w:r>
        <w:rPr>
          <w:rFonts w:ascii="Palatino Linotype" w:eastAsia="Palatino Linotype" w:hAnsi="Palatino Linotype" w:cs="Palatino Linotype"/>
          <w:u w:val="single"/>
        </w:rPr>
        <w:t>prevenir, investigar, sancionar y reparar las violaciones a los derechos humanos</w:t>
      </w:r>
      <w:r>
        <w:rPr>
          <w:rFonts w:ascii="Palatino Linotype" w:eastAsia="Palatino Linotype" w:hAnsi="Palatino Linotype" w:cs="Palatino Linotype"/>
        </w:rPr>
        <w:t>. </w:t>
      </w:r>
    </w:p>
    <w:p w14:paraId="076A4F29"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establece principios, bases generales y procedimientos para tutelar y garantizar la transparencia y el derecho humano de acceso a la información pública en posesión de los sujetos obligados; y para tal efecto, el artículo 176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i/>
          <w:u w:val="single"/>
        </w:rPr>
        <w:t>el recurso de revisión es la garantía secundaria</w:t>
      </w:r>
      <w:r>
        <w:rPr>
          <w:rFonts w:ascii="Palatino Linotype" w:eastAsia="Palatino Linotype" w:hAnsi="Palatino Linotype" w:cs="Palatino Linotype"/>
          <w:b/>
          <w:i/>
        </w:rPr>
        <w:t xml:space="preserve"> mediante la cual se pretende reparar cualquier posible afectación al derecho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siendo el medio para que este Órgano Garante después de realizar el análisis al procedimiento de acceso a la información, determine la posible afectación y de ser el caso ordene la reparación del derecho en cuestión. </w:t>
      </w:r>
    </w:p>
    <w:p w14:paraId="146B8FA5"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w:t>
      </w:r>
      <w:r>
        <w:rPr>
          <w:rFonts w:ascii="Palatino Linotype" w:eastAsia="Palatino Linotype" w:hAnsi="Palatino Linotype" w:cs="Palatino Linotype"/>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D7265CF"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B8B13C"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074082A"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0E6A0409"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Pr>
          <w:rFonts w:ascii="Palatino Linotype" w:eastAsia="Palatino Linotype" w:hAnsi="Palatino Linotype" w:cs="Palatino Linotype"/>
        </w:rPr>
        <w:lastRenderedPageBreak/>
        <w:t>y Acceso a la Información Pública del Estado de México y Municipios, el cual a la letra dice:</w:t>
      </w:r>
    </w:p>
    <w:p w14:paraId="14297968"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6233DBC"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1041C8D"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5C84375"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D0D179"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00CD12"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5C81BA1"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78D8E57F"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3E93C90"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5C52ADE" w14:textId="77777777" w:rsidR="000C1235" w:rsidRDefault="000C1235">
      <w:pPr>
        <w:spacing w:before="240" w:after="240" w:line="360" w:lineRule="auto"/>
        <w:jc w:val="both"/>
        <w:rPr>
          <w:rFonts w:ascii="Palatino Linotype" w:eastAsia="Palatino Linotype" w:hAnsi="Palatino Linotype" w:cs="Palatino Linotype"/>
        </w:rPr>
      </w:pPr>
    </w:p>
    <w:p w14:paraId="480A5639"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w:t>
      </w:r>
      <w:r>
        <w:rPr>
          <w:rFonts w:ascii="Palatino Linotype" w:eastAsia="Palatino Linotype" w:hAnsi="Palatino Linotype" w:cs="Palatino Linotype"/>
          <w:b/>
          <w:i/>
          <w:sz w:val="22"/>
          <w:szCs w:val="22"/>
        </w:rPr>
        <w:t>CRITERIO 0002-11</w:t>
      </w:r>
    </w:p>
    <w:p w14:paraId="4F9A9ECD"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CAECFF"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F2DA42"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7AC1E46"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4112267E" w14:textId="77777777" w:rsidR="008D5F7B" w:rsidRDefault="00E20C39">
      <w:pPr>
        <w:spacing w:before="240" w:after="24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w:t>
      </w:r>
    </w:p>
    <w:p w14:paraId="705B790D"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de suma importancia mencionar que de las constancias que integran el expediente se advierte lo siguiente: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2188"/>
        <w:gridCol w:w="2257"/>
        <w:gridCol w:w="2197"/>
      </w:tblGrid>
      <w:tr w:rsidR="008D5F7B" w14:paraId="060C1C7B" w14:textId="77777777">
        <w:tc>
          <w:tcPr>
            <w:tcW w:w="2186" w:type="dxa"/>
          </w:tcPr>
          <w:p w14:paraId="003FDA4B" w14:textId="77777777" w:rsidR="008D5F7B" w:rsidRDefault="00E20C39">
            <w:pPr>
              <w:spacing w:before="240" w:after="240" w:line="360" w:lineRule="auto"/>
              <w:jc w:val="both"/>
              <w:rPr>
                <w:rFonts w:ascii="Palatino Linotype" w:eastAsia="Palatino Linotype" w:hAnsi="Palatino Linotype" w:cs="Palatino Linotype"/>
              </w:rPr>
            </w:pPr>
            <w:r>
              <w:t xml:space="preserve">SOLICITUD </w:t>
            </w:r>
          </w:p>
        </w:tc>
        <w:tc>
          <w:tcPr>
            <w:tcW w:w="2188" w:type="dxa"/>
          </w:tcPr>
          <w:p w14:paraId="2CA61862" w14:textId="77777777" w:rsidR="008D5F7B" w:rsidRDefault="00E20C39">
            <w:pPr>
              <w:spacing w:before="240" w:after="240" w:line="360" w:lineRule="auto"/>
              <w:jc w:val="both"/>
              <w:rPr>
                <w:rFonts w:ascii="Palatino Linotype" w:eastAsia="Palatino Linotype" w:hAnsi="Palatino Linotype" w:cs="Palatino Linotype"/>
              </w:rPr>
            </w:pPr>
            <w:r>
              <w:t>RESPUESTA</w:t>
            </w:r>
          </w:p>
        </w:tc>
        <w:tc>
          <w:tcPr>
            <w:tcW w:w="2257" w:type="dxa"/>
          </w:tcPr>
          <w:p w14:paraId="7B0236B9" w14:textId="77777777" w:rsidR="008D5F7B" w:rsidRDefault="00E20C39">
            <w:pPr>
              <w:spacing w:before="240" w:after="240" w:line="360" w:lineRule="auto"/>
              <w:jc w:val="both"/>
              <w:rPr>
                <w:rFonts w:ascii="Palatino Linotype" w:eastAsia="Palatino Linotype" w:hAnsi="Palatino Linotype" w:cs="Palatino Linotype"/>
              </w:rPr>
            </w:pPr>
            <w:r>
              <w:t>MOTIVOS DE INCONFORMIDAD</w:t>
            </w:r>
          </w:p>
        </w:tc>
        <w:tc>
          <w:tcPr>
            <w:tcW w:w="2197" w:type="dxa"/>
          </w:tcPr>
          <w:p w14:paraId="1EFA5E9B" w14:textId="77777777" w:rsidR="008D5F7B" w:rsidRDefault="00E20C39">
            <w:pPr>
              <w:spacing w:before="240" w:after="240" w:line="360" w:lineRule="auto"/>
              <w:jc w:val="both"/>
              <w:rPr>
                <w:rFonts w:ascii="Palatino Linotype" w:eastAsia="Palatino Linotype" w:hAnsi="Palatino Linotype" w:cs="Palatino Linotype"/>
              </w:rPr>
            </w:pPr>
            <w:r>
              <w:t xml:space="preserve">INFORME JUSTIFICADO </w:t>
            </w:r>
          </w:p>
        </w:tc>
      </w:tr>
      <w:tr w:rsidR="008D5F7B" w14:paraId="575A23E8" w14:textId="77777777">
        <w:tc>
          <w:tcPr>
            <w:tcW w:w="2186" w:type="dxa"/>
          </w:tcPr>
          <w:p w14:paraId="19AD48B1" w14:textId="77777777" w:rsidR="008D5F7B" w:rsidRDefault="00E20C3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Documento que acredite el ultimo grado de estudio de:</w:t>
            </w:r>
          </w:p>
          <w:p w14:paraId="27CA7602" w14:textId="77777777" w:rsidR="008D5F7B" w:rsidRDefault="008D5F7B">
            <w:pPr>
              <w:jc w:val="both"/>
              <w:rPr>
                <w:rFonts w:ascii="Palatino Linotype" w:eastAsia="Palatino Linotype" w:hAnsi="Palatino Linotype" w:cs="Palatino Linotype"/>
                <w:sz w:val="20"/>
                <w:szCs w:val="20"/>
              </w:rPr>
            </w:pPr>
          </w:p>
          <w:p w14:paraId="1D1DFE0D" w14:textId="77777777" w:rsidR="008D5F7B" w:rsidRDefault="00E20C3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a) Jerónimo Hernández de la Cruz;  </w:t>
            </w:r>
          </w:p>
          <w:p w14:paraId="22A7EB9A" w14:textId="77777777" w:rsidR="008D5F7B" w:rsidRDefault="008D5F7B">
            <w:pPr>
              <w:jc w:val="both"/>
              <w:rPr>
                <w:rFonts w:ascii="Palatino Linotype" w:eastAsia="Palatino Linotype" w:hAnsi="Palatino Linotype" w:cs="Palatino Linotype"/>
                <w:sz w:val="20"/>
                <w:szCs w:val="20"/>
              </w:rPr>
            </w:pPr>
          </w:p>
          <w:p w14:paraId="1F06333C" w14:textId="77777777" w:rsidR="008D5F7B" w:rsidRDefault="008D5F7B">
            <w:pPr>
              <w:jc w:val="both"/>
              <w:rPr>
                <w:rFonts w:ascii="Palatino Linotype" w:eastAsia="Palatino Linotype" w:hAnsi="Palatino Linotype" w:cs="Palatino Linotype"/>
                <w:sz w:val="20"/>
                <w:szCs w:val="20"/>
              </w:rPr>
            </w:pPr>
          </w:p>
          <w:p w14:paraId="4BE858CB" w14:textId="77777777" w:rsidR="008D5F7B" w:rsidRDefault="008D5F7B">
            <w:pPr>
              <w:jc w:val="both"/>
              <w:rPr>
                <w:rFonts w:ascii="Palatino Linotype" w:eastAsia="Palatino Linotype" w:hAnsi="Palatino Linotype" w:cs="Palatino Linotype"/>
                <w:sz w:val="20"/>
                <w:szCs w:val="20"/>
              </w:rPr>
            </w:pPr>
          </w:p>
          <w:p w14:paraId="2BA32EFA" w14:textId="77777777" w:rsidR="008D5F7B" w:rsidRDefault="00E20C3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b)Julio David Pedraza Roldan; y, </w:t>
            </w:r>
          </w:p>
          <w:p w14:paraId="2E4DEE62" w14:textId="77777777" w:rsidR="008D5F7B" w:rsidRDefault="008D5F7B">
            <w:pPr>
              <w:jc w:val="both"/>
              <w:rPr>
                <w:rFonts w:ascii="Palatino Linotype" w:eastAsia="Palatino Linotype" w:hAnsi="Palatino Linotype" w:cs="Palatino Linotype"/>
                <w:sz w:val="20"/>
                <w:szCs w:val="20"/>
              </w:rPr>
            </w:pPr>
          </w:p>
          <w:p w14:paraId="7EBEFCF7" w14:textId="77777777" w:rsidR="008D5F7B" w:rsidRDefault="008D5F7B">
            <w:pPr>
              <w:jc w:val="both"/>
              <w:rPr>
                <w:rFonts w:ascii="Palatino Linotype" w:eastAsia="Palatino Linotype" w:hAnsi="Palatino Linotype" w:cs="Palatino Linotype"/>
                <w:sz w:val="20"/>
                <w:szCs w:val="20"/>
              </w:rPr>
            </w:pPr>
          </w:p>
          <w:p w14:paraId="7FFB87FD" w14:textId="77777777" w:rsidR="008D5F7B" w:rsidRDefault="008D5F7B">
            <w:pPr>
              <w:jc w:val="both"/>
              <w:rPr>
                <w:rFonts w:ascii="Palatino Linotype" w:eastAsia="Palatino Linotype" w:hAnsi="Palatino Linotype" w:cs="Palatino Linotype"/>
                <w:sz w:val="20"/>
                <w:szCs w:val="20"/>
              </w:rPr>
            </w:pPr>
          </w:p>
          <w:p w14:paraId="6F9CE347" w14:textId="77777777" w:rsidR="008D5F7B" w:rsidRDefault="00E20C3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Salvador Cabral Hernández</w:t>
            </w:r>
          </w:p>
        </w:tc>
        <w:tc>
          <w:tcPr>
            <w:tcW w:w="2188" w:type="dxa"/>
          </w:tcPr>
          <w:p w14:paraId="70C80A0F" w14:textId="77777777" w:rsidR="008D5F7B" w:rsidRDefault="00E20C3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Versión pública de los siguientes documentos: </w:t>
            </w:r>
          </w:p>
          <w:p w14:paraId="4536D79C" w14:textId="77777777" w:rsidR="008D5F7B" w:rsidRDefault="008D5F7B">
            <w:pPr>
              <w:rPr>
                <w:rFonts w:ascii="Palatino Linotype" w:eastAsia="Palatino Linotype" w:hAnsi="Palatino Linotype" w:cs="Palatino Linotype"/>
                <w:sz w:val="20"/>
                <w:szCs w:val="20"/>
              </w:rPr>
            </w:pPr>
          </w:p>
          <w:p w14:paraId="63FA66BE" w14:textId="77777777" w:rsidR="008D5F7B" w:rsidRDefault="00E20C39">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Certificado bachillerato</w:t>
            </w:r>
          </w:p>
          <w:p w14:paraId="18447685" w14:textId="77777777" w:rsidR="008D5F7B" w:rsidRDefault="008D5F7B">
            <w:pPr>
              <w:rPr>
                <w:rFonts w:ascii="Palatino Linotype" w:eastAsia="Palatino Linotype" w:hAnsi="Palatino Linotype" w:cs="Palatino Linotype"/>
                <w:sz w:val="20"/>
                <w:szCs w:val="20"/>
              </w:rPr>
            </w:pPr>
          </w:p>
          <w:p w14:paraId="15838A96" w14:textId="77777777" w:rsidR="008D5F7B" w:rsidRDefault="008D5F7B">
            <w:pPr>
              <w:rPr>
                <w:rFonts w:ascii="Palatino Linotype" w:eastAsia="Palatino Linotype" w:hAnsi="Palatino Linotype" w:cs="Palatino Linotype"/>
                <w:sz w:val="20"/>
                <w:szCs w:val="20"/>
              </w:rPr>
            </w:pPr>
          </w:p>
          <w:p w14:paraId="72684DCB" w14:textId="77777777" w:rsidR="008D5F7B" w:rsidRDefault="00E20C39">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Cedula profesional 4493028 </w:t>
            </w:r>
          </w:p>
          <w:p w14:paraId="267D5285" w14:textId="77777777" w:rsidR="008D5F7B" w:rsidRDefault="008D5F7B">
            <w:pPr>
              <w:rPr>
                <w:rFonts w:ascii="Palatino Linotype" w:eastAsia="Palatino Linotype" w:hAnsi="Palatino Linotype" w:cs="Palatino Linotype"/>
                <w:sz w:val="20"/>
                <w:szCs w:val="20"/>
              </w:rPr>
            </w:pPr>
          </w:p>
          <w:p w14:paraId="30D36FD7" w14:textId="77777777" w:rsidR="008D5F7B" w:rsidRDefault="00E20C39">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Cedula profesional 12153264</w:t>
            </w:r>
          </w:p>
          <w:p w14:paraId="3A76556F" w14:textId="77777777" w:rsidR="008D5F7B" w:rsidRDefault="00E20C3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adjunta acuerdo de comité)</w:t>
            </w:r>
          </w:p>
        </w:tc>
        <w:tc>
          <w:tcPr>
            <w:tcW w:w="2257" w:type="dxa"/>
            <w:vMerge w:val="restart"/>
          </w:tcPr>
          <w:p w14:paraId="68B8645B" w14:textId="77777777" w:rsidR="008D5F7B" w:rsidRDefault="008D5F7B">
            <w:pPr>
              <w:rPr>
                <w:rFonts w:ascii="Palatino Linotype" w:eastAsia="Palatino Linotype" w:hAnsi="Palatino Linotype" w:cs="Palatino Linotype"/>
                <w:sz w:val="20"/>
                <w:szCs w:val="20"/>
              </w:rPr>
            </w:pPr>
          </w:p>
          <w:p w14:paraId="04EED985" w14:textId="77777777" w:rsidR="008D5F7B" w:rsidRDefault="008D5F7B">
            <w:pPr>
              <w:rPr>
                <w:rFonts w:ascii="Palatino Linotype" w:eastAsia="Palatino Linotype" w:hAnsi="Palatino Linotype" w:cs="Palatino Linotype"/>
                <w:sz w:val="20"/>
                <w:szCs w:val="20"/>
              </w:rPr>
            </w:pPr>
          </w:p>
          <w:p w14:paraId="5A1B6A5A" w14:textId="77777777" w:rsidR="008D5F7B" w:rsidRDefault="00E20C3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FALTA INFORMACIÓN </w:t>
            </w:r>
          </w:p>
        </w:tc>
        <w:tc>
          <w:tcPr>
            <w:tcW w:w="2197" w:type="dxa"/>
          </w:tcPr>
          <w:p w14:paraId="68CBF0E2" w14:textId="77777777" w:rsidR="008D5F7B" w:rsidRDefault="008D5F7B">
            <w:pPr>
              <w:rPr>
                <w:rFonts w:ascii="Palatino Linotype" w:eastAsia="Palatino Linotype" w:hAnsi="Palatino Linotype" w:cs="Palatino Linotype"/>
                <w:sz w:val="20"/>
                <w:szCs w:val="20"/>
              </w:rPr>
            </w:pPr>
          </w:p>
          <w:p w14:paraId="72E50768" w14:textId="77777777" w:rsidR="008D5F7B" w:rsidRDefault="00E20C3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Ratifica su respuesta y </w:t>
            </w:r>
            <w:r>
              <w:rPr>
                <w:rFonts w:ascii="Palatino Linotype" w:eastAsia="Palatino Linotype" w:hAnsi="Palatino Linotype" w:cs="Palatino Linotype"/>
                <w:b/>
                <w:sz w:val="20"/>
                <w:szCs w:val="20"/>
                <w:u w:val="single"/>
              </w:rPr>
              <w:t xml:space="preserve">adjunta el acuerdo </w:t>
            </w:r>
            <w:r>
              <w:rPr>
                <w:rFonts w:ascii="Palatino Linotype" w:eastAsia="Palatino Linotype" w:hAnsi="Palatino Linotype" w:cs="Palatino Linotype"/>
                <w:b/>
                <w:sz w:val="20"/>
                <w:szCs w:val="20"/>
                <w:u w:val="single"/>
              </w:rPr>
              <w:lastRenderedPageBreak/>
              <w:t>del Comité de Transparencia respecto a la versión pública de los documentos remitidos</w:t>
            </w:r>
            <w:r>
              <w:rPr>
                <w:rFonts w:ascii="Palatino Linotype" w:eastAsia="Palatino Linotype" w:hAnsi="Palatino Linotype" w:cs="Palatino Linotype"/>
                <w:sz w:val="20"/>
                <w:szCs w:val="20"/>
              </w:rPr>
              <w:t xml:space="preserve"> </w:t>
            </w:r>
          </w:p>
        </w:tc>
      </w:tr>
      <w:tr w:rsidR="008D5F7B" w14:paraId="324ECCC5" w14:textId="77777777">
        <w:tc>
          <w:tcPr>
            <w:tcW w:w="2186" w:type="dxa"/>
          </w:tcPr>
          <w:p w14:paraId="38205053" w14:textId="77777777" w:rsidR="008D5F7B" w:rsidRDefault="00E20C3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Apellidos del C. Julio y año que asumió el cargo de Subdirector y del C, Jerónimo el año de su nuevo cargo.</w:t>
            </w:r>
          </w:p>
          <w:p w14:paraId="4AB66036" w14:textId="77777777" w:rsidR="008D5F7B" w:rsidRDefault="008D5F7B">
            <w:pPr>
              <w:spacing w:before="240" w:after="240" w:line="360" w:lineRule="auto"/>
              <w:jc w:val="both"/>
              <w:rPr>
                <w:rFonts w:ascii="Palatino Linotype" w:eastAsia="Palatino Linotype" w:hAnsi="Palatino Linotype" w:cs="Palatino Linotype"/>
                <w:sz w:val="20"/>
                <w:szCs w:val="20"/>
              </w:rPr>
            </w:pPr>
          </w:p>
        </w:tc>
        <w:tc>
          <w:tcPr>
            <w:tcW w:w="2188" w:type="dxa"/>
          </w:tcPr>
          <w:p w14:paraId="5195CC36" w14:textId="77777777" w:rsidR="008D5F7B" w:rsidRDefault="00E20C3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dio respuesta </w:t>
            </w:r>
          </w:p>
        </w:tc>
        <w:tc>
          <w:tcPr>
            <w:tcW w:w="2257" w:type="dxa"/>
            <w:vMerge/>
          </w:tcPr>
          <w:p w14:paraId="7AC8103A" w14:textId="77777777" w:rsidR="008D5F7B" w:rsidRDefault="008D5F7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197" w:type="dxa"/>
          </w:tcPr>
          <w:p w14:paraId="68236E63" w14:textId="77777777" w:rsidR="008D5F7B" w:rsidRDefault="00E20C3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precisa que los servidores públicos Jerónimo Hernández de la Cruz y Julio David Pedraza Roldán tomaron posesión al cargo de (Subdirector de Normatividad de Programas de Gobierno y Subdirector Jurídico, respectivamente) el pasado 1º de junio de 2021.   </w:t>
            </w:r>
          </w:p>
        </w:tc>
      </w:tr>
    </w:tbl>
    <w:p w14:paraId="14125E43" w14:textId="77777777" w:rsidR="000C1235" w:rsidRDefault="000C1235">
      <w:pPr>
        <w:spacing w:before="240" w:after="240" w:line="360" w:lineRule="auto"/>
        <w:jc w:val="both"/>
        <w:rPr>
          <w:rFonts w:ascii="Palatino Linotype" w:eastAsia="Palatino Linotype" w:hAnsi="Palatino Linotype" w:cs="Palatino Linotype"/>
        </w:rPr>
      </w:pPr>
    </w:p>
    <w:p w14:paraId="1FB6E8C3"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se estima pertinente mencionar que, del análisis realizado a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tanto en respuesta a la solicitud de información como al rendir su informe justificado asume que genera, administra y posee la información requerida por el </w:t>
      </w:r>
      <w:r>
        <w:rPr>
          <w:rFonts w:ascii="Palatino Linotype" w:eastAsia="Palatino Linotype" w:hAnsi="Palatino Linotype" w:cs="Palatino Linotype"/>
          <w:b/>
        </w:rPr>
        <w:t>RECURRENTE</w:t>
      </w:r>
      <w:r>
        <w:rPr>
          <w:rFonts w:ascii="Palatino Linotype" w:eastAsia="Palatino Linotype" w:hAnsi="Palatino Linotype" w:cs="Palatino Linotype"/>
        </w:rPr>
        <w:t>, motivo por el cual se omitirá insertar su fuente obligacional.</w:t>
      </w:r>
    </w:p>
    <w:p w14:paraId="470C5210" w14:textId="77777777" w:rsidR="008D5F7B" w:rsidRDefault="00E20C39">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 la parte de la solicitud de información relativa al </w:t>
      </w:r>
      <w:r>
        <w:rPr>
          <w:rFonts w:ascii="Palatino Linotype" w:eastAsia="Palatino Linotype" w:hAnsi="Palatino Linotype" w:cs="Palatino Linotype"/>
          <w:b/>
          <w:u w:val="single"/>
        </w:rPr>
        <w:t>Documento que acredite el último grado de estudios</w:t>
      </w:r>
      <w:r>
        <w:rPr>
          <w:rFonts w:ascii="Palatino Linotype" w:eastAsia="Palatino Linotype" w:hAnsi="Palatino Linotype" w:cs="Palatino Linotype"/>
        </w:rPr>
        <w:t xml:space="preserve"> de los servidores públicos referidos en la solicitud se advierte que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envió, al momento de emitir su respuesta, la información solicitada por el </w:t>
      </w:r>
      <w:r>
        <w:rPr>
          <w:rFonts w:ascii="Palatino Linotype" w:eastAsia="Palatino Linotype" w:hAnsi="Palatino Linotype" w:cs="Palatino Linotype"/>
          <w:b/>
          <w:color w:val="000000"/>
        </w:rPr>
        <w:t>RECURRENTE; no</w:t>
      </w:r>
      <w:r>
        <w:rPr>
          <w:rFonts w:ascii="Palatino Linotype" w:eastAsia="Palatino Linotype" w:hAnsi="Palatino Linotype" w:cs="Palatino Linotype"/>
          <w:color w:val="000000"/>
        </w:rPr>
        <w:t xml:space="preserve"> obstante, no puede pasar inadvertido para este Órgano Garante, que si bien, los archivos electrónicos contienen los documentos requeridos, también lo es que, </w:t>
      </w:r>
      <w:r>
        <w:rPr>
          <w:rFonts w:ascii="Palatino Linotype" w:eastAsia="Palatino Linotype" w:hAnsi="Palatino Linotype" w:cs="Palatino Linotype"/>
          <w:b/>
          <w:color w:val="000000"/>
        </w:rPr>
        <w:t xml:space="preserve">la misma no fue acompañada del acuerdo de comité de transparencia, incumpliendo con </w:t>
      </w:r>
      <w:r>
        <w:rPr>
          <w:rFonts w:ascii="Palatino Linotype" w:eastAsia="Palatino Linotype" w:hAnsi="Palatino Linotype" w:cs="Palatino Linotype"/>
        </w:rPr>
        <w:t xml:space="preserve">lo previsto en el artículo 49, fracciones II y VIII y 149 de la Ley de referencia, en relación con lo establecido en los Lineamientos Generales en materia de Clasificación y Desclasificación de la Información, así como para Elaboración de Versiones Públicas, por lo que se ha reiterado que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w:t>
      </w:r>
      <w:r>
        <w:rPr>
          <w:rFonts w:ascii="Palatino Linotype" w:eastAsia="Palatino Linotype" w:hAnsi="Palatino Linotype" w:cs="Palatino Linotype"/>
        </w:rPr>
        <w:lastRenderedPageBreak/>
        <w:t>no conocer o comprender porque no aparecen en la documentación respectiva, es decir, si no se exponen de manera puntual las razones de ello se estaría violentando desde un inicio el derecho de acceso a la información del solicitante.</w:t>
      </w:r>
    </w:p>
    <w:p w14:paraId="3EB505C1" w14:textId="77777777" w:rsidR="005177F0" w:rsidRDefault="00E20C39" w:rsidP="005177F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no obstante que dicho Acuerdo fue remitido mediante informe justificado, con  ello no se satisface el derecho de acceso a la información del particular, toda vez que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w:t>
      </w:r>
      <w:r w:rsidR="005177F0">
        <w:rPr>
          <w:rFonts w:ascii="Palatino Linotype" w:eastAsia="Palatino Linotype" w:hAnsi="Palatino Linotype" w:cs="Palatino Linotype"/>
          <w:color w:val="000000"/>
        </w:rPr>
        <w:t xml:space="preserve">zó una versión pública excesiva, </w:t>
      </w:r>
      <w:r w:rsidR="005177F0" w:rsidRPr="005177F0">
        <w:rPr>
          <w:rFonts w:ascii="Palatino Linotype" w:eastAsia="Palatino Linotype" w:hAnsi="Palatino Linotype" w:cs="Palatino Linotype"/>
          <w:color w:val="000000"/>
        </w:rPr>
        <w:t>al clasificar datos que no actualizan el supuesto de confidencialidad, en atención a las consideraciones siguientes</w:t>
      </w:r>
      <w:r w:rsidR="005177F0">
        <w:rPr>
          <w:rFonts w:ascii="Palatino Linotype" w:eastAsia="Palatino Linotype" w:hAnsi="Palatino Linotype" w:cs="Palatino Linotype"/>
          <w:color w:val="000000"/>
        </w:rPr>
        <w:t xml:space="preserve">: </w:t>
      </w:r>
    </w:p>
    <w:p w14:paraId="41AAA411" w14:textId="77777777" w:rsidR="008D5F7B" w:rsidRPr="005177F0" w:rsidRDefault="005177F0" w:rsidP="005177F0">
      <w:pPr>
        <w:pStyle w:val="Prrafodelista"/>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177F0">
        <w:rPr>
          <w:rFonts w:ascii="Palatino Linotype" w:eastAsia="Palatino Linotype" w:hAnsi="Palatino Linotype" w:cs="Palatino Linotype"/>
          <w:color w:val="000000"/>
        </w:rPr>
        <w:t>Resp</w:t>
      </w:r>
      <w:r w:rsidR="00E20C39" w:rsidRPr="005177F0">
        <w:rPr>
          <w:rFonts w:ascii="Palatino Linotype" w:eastAsia="Palatino Linotype" w:hAnsi="Palatino Linotype" w:cs="Palatino Linotype"/>
          <w:color w:val="000000"/>
        </w:rPr>
        <w:t>ecto a la cédula profesional de Julio David Pedraza</w:t>
      </w:r>
      <w:r>
        <w:rPr>
          <w:rFonts w:ascii="Palatino Linotype" w:eastAsia="Palatino Linotype" w:hAnsi="Palatino Linotype" w:cs="Palatino Linotype"/>
          <w:color w:val="000000"/>
        </w:rPr>
        <w:t xml:space="preserve"> Roldan (Subdirector Jurídico) y del Certificado de bachillerato de Jerónimo Hernández de la Cruz (Subdirector de Normatividad de Programas de Gobierno) </w:t>
      </w:r>
      <w:r w:rsidRPr="005177F0">
        <w:rPr>
          <w:rFonts w:ascii="Palatino Linotype" w:eastAsia="Palatino Linotype" w:hAnsi="Palatino Linotype" w:cs="Palatino Linotype"/>
          <w:color w:val="000000"/>
        </w:rPr>
        <w:t>clasifica como confidencial la</w:t>
      </w:r>
      <w:r>
        <w:rPr>
          <w:rFonts w:ascii="Palatino Linotype" w:eastAsia="Palatino Linotype" w:hAnsi="Palatino Linotype" w:cs="Palatino Linotype"/>
          <w:color w:val="000000"/>
        </w:rPr>
        <w:t>s</w:t>
      </w:r>
      <w:r w:rsidRPr="005177F0">
        <w:rPr>
          <w:rFonts w:ascii="Palatino Linotype" w:eastAsia="Palatino Linotype" w:hAnsi="Palatino Linotype" w:cs="Palatino Linotype"/>
          <w:color w:val="000000"/>
        </w:rPr>
        <w:t xml:space="preserve"> fotografía</w:t>
      </w:r>
      <w:r>
        <w:rPr>
          <w:rFonts w:ascii="Palatino Linotype" w:eastAsia="Palatino Linotype" w:hAnsi="Palatino Linotype" w:cs="Palatino Linotype"/>
          <w:color w:val="000000"/>
        </w:rPr>
        <w:t>s</w:t>
      </w:r>
      <w:r w:rsidRPr="005177F0">
        <w:rPr>
          <w:rFonts w:ascii="Palatino Linotype" w:eastAsia="Palatino Linotype" w:hAnsi="Palatino Linotype" w:cs="Palatino Linotype"/>
          <w:color w:val="000000"/>
        </w:rPr>
        <w:t xml:space="preserve"> de dicho</w:t>
      </w:r>
      <w:r>
        <w:rPr>
          <w:rFonts w:ascii="Palatino Linotype" w:eastAsia="Palatino Linotype" w:hAnsi="Palatino Linotype" w:cs="Palatino Linotype"/>
          <w:color w:val="000000"/>
        </w:rPr>
        <w:t>s</w:t>
      </w:r>
      <w:r w:rsidRPr="005177F0">
        <w:rPr>
          <w:rFonts w:ascii="Palatino Linotype" w:eastAsia="Palatino Linotype" w:hAnsi="Palatino Linotype" w:cs="Palatino Linotype"/>
          <w:color w:val="000000"/>
        </w:rPr>
        <w:t xml:space="preserve"> servidor</w:t>
      </w:r>
      <w:r>
        <w:rPr>
          <w:rFonts w:ascii="Palatino Linotype" w:eastAsia="Palatino Linotype" w:hAnsi="Palatino Linotype" w:cs="Palatino Linotype"/>
          <w:color w:val="000000"/>
        </w:rPr>
        <w:t>es</w:t>
      </w:r>
      <w:r w:rsidRPr="005177F0">
        <w:rPr>
          <w:rFonts w:ascii="Palatino Linotype" w:eastAsia="Palatino Linotype" w:hAnsi="Palatino Linotype" w:cs="Palatino Linotype"/>
          <w:color w:val="000000"/>
        </w:rPr>
        <w:t xml:space="preserve"> público</w:t>
      </w:r>
      <w:r>
        <w:rPr>
          <w:rFonts w:ascii="Palatino Linotype" w:eastAsia="Palatino Linotype" w:hAnsi="Palatino Linotype" w:cs="Palatino Linotype"/>
          <w:color w:val="000000"/>
        </w:rPr>
        <w:t>s</w:t>
      </w:r>
      <w:r w:rsidRPr="005177F0">
        <w:rPr>
          <w:rFonts w:ascii="Palatino Linotype" w:eastAsia="Palatino Linotype" w:hAnsi="Palatino Linotype" w:cs="Palatino Linotype"/>
          <w:color w:val="000000"/>
        </w:rPr>
        <w:t xml:space="preserve">. </w:t>
      </w:r>
    </w:p>
    <w:p w14:paraId="4A64E9AE"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es de señalar que este Instituto considera que la fo</w:t>
      </w:r>
      <w:r w:rsidR="00CB526B">
        <w:rPr>
          <w:rFonts w:ascii="Palatino Linotype" w:eastAsia="Palatino Linotype" w:hAnsi="Palatino Linotype" w:cs="Palatino Linotype"/>
          <w:color w:val="000000"/>
        </w:rPr>
        <w:t xml:space="preserve">tografía contenida en títulos, </w:t>
      </w:r>
      <w:r>
        <w:rPr>
          <w:rFonts w:ascii="Palatino Linotype" w:eastAsia="Palatino Linotype" w:hAnsi="Palatino Linotype" w:cs="Palatino Linotype"/>
          <w:color w:val="000000"/>
        </w:rPr>
        <w:t xml:space="preserve">cédulas profesionales </w:t>
      </w:r>
      <w:r w:rsidR="00CB526B">
        <w:rPr>
          <w:rFonts w:ascii="Palatino Linotype" w:eastAsia="Palatino Linotype" w:hAnsi="Palatino Linotype" w:cs="Palatino Linotype"/>
          <w:color w:val="000000"/>
        </w:rPr>
        <w:t xml:space="preserve">o certificados de estudios </w:t>
      </w:r>
      <w:r>
        <w:rPr>
          <w:rFonts w:ascii="Palatino Linotype" w:eastAsia="Palatino Linotype" w:hAnsi="Palatino Linotype" w:cs="Palatino Linotype"/>
          <w:color w:val="000000"/>
        </w:rPr>
        <w:t>es no es susceptible de clasificarse como confidencial, en virtud del interés público que existe de conocer que la persona que se ostenta con una calidad profesional determinada es la misma que aparece en dichos documentos oficiales, resulta aplicable lo referido por el Órgano Garante Nacional a través del criterio número 15-17, el cual, lleva por rubro y texto, lo siguiente:</w:t>
      </w:r>
    </w:p>
    <w:p w14:paraId="1C659952" w14:textId="77777777" w:rsidR="008D5F7B" w:rsidRDefault="00E20C39">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Fotografía en título o cédula profesional es de acceso público.</w:t>
      </w:r>
      <w:r>
        <w:rPr>
          <w:rFonts w:ascii="Palatino Linotype" w:eastAsia="Palatino Linotype" w:hAnsi="Palatino Linotype" w:cs="Palatino Linotype"/>
          <w:i/>
          <w:color w:val="000000"/>
          <w:sz w:val="22"/>
          <w:szCs w:val="22"/>
        </w:rPr>
        <w:t xml:space="preserve"> Si bien la fotografía de una persona física es un dato personal, cuando se encuentra en un título o cédula profesional no es susceptible de clasificarse como confidencial, en virtud del interés </w:t>
      </w:r>
      <w:r>
        <w:rPr>
          <w:rFonts w:ascii="Palatino Linotype" w:eastAsia="Palatino Linotype" w:hAnsi="Palatino Linotype" w:cs="Palatino Linotype"/>
          <w:i/>
          <w:color w:val="000000"/>
          <w:sz w:val="22"/>
          <w:szCs w:val="22"/>
        </w:rPr>
        <w:lastRenderedPageBreak/>
        <w:t xml:space="preserve">público que existe de conocer que la persona que se ostenta con una calidad profesional determinada es la misma que aparece en dichos documentos oficiales. </w:t>
      </w:r>
    </w:p>
    <w:p w14:paraId="00B7A1DB"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esta manera, la fotografía contenida en el título o cédula profesional es pública y susceptible de divulgaci</w:t>
      </w:r>
      <w:r w:rsidR="00CB526B">
        <w:rPr>
          <w:rFonts w:ascii="Palatino Linotype" w:eastAsia="Palatino Linotype" w:hAnsi="Palatino Linotype" w:cs="Palatino Linotype"/>
          <w:color w:val="000000"/>
        </w:rPr>
        <w:t xml:space="preserve">ón, más aún que se trata de servidores públicos que de acuerdo a lo informado por el Sujeto Obligado ostentan cargos de mandos medios. </w:t>
      </w:r>
    </w:p>
    <w:p w14:paraId="1FC8F17A" w14:textId="77777777" w:rsidR="00AC039E" w:rsidRDefault="00CB526B">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se advierte que de la cédula profesional de Salvador Cabral Hernández, el Sujeto Obli</w:t>
      </w:r>
      <w:r w:rsidR="00AC039E">
        <w:rPr>
          <w:rFonts w:ascii="Palatino Linotype" w:eastAsia="Palatino Linotype" w:hAnsi="Palatino Linotype" w:cs="Palatino Linotype"/>
          <w:color w:val="000000"/>
        </w:rPr>
        <w:t xml:space="preserve">gado testa la clave tanto del programa (maestría), como de la universidad, datos que no son considerados confidenciales, pues no se refieren a una clave alfanumérica relativa a una persona en particular, ni se vincula a otros datos personales como las calificaciones, </w:t>
      </w:r>
      <w:r w:rsidR="00E52EAE">
        <w:rPr>
          <w:rFonts w:ascii="Palatino Linotype" w:eastAsia="Palatino Linotype" w:hAnsi="Palatino Linotype" w:cs="Palatino Linotype"/>
          <w:color w:val="000000"/>
        </w:rPr>
        <w:t xml:space="preserve">por lo que dichos datos son de acceso público. </w:t>
      </w:r>
    </w:p>
    <w:p w14:paraId="7AE4A185" w14:textId="77777777" w:rsidR="008D5F7B" w:rsidRDefault="00E20C39">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Como resultado de lo anterior, se aprecia que la versión pública proporcionada en respuesta es excesiva y a la vez restringe el derecho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acceder a información pública.</w:t>
      </w:r>
    </w:p>
    <w:p w14:paraId="30156C9B" w14:textId="77777777" w:rsidR="008D5F7B" w:rsidRPr="00AC039E" w:rsidRDefault="00E20C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tales con</w:t>
      </w:r>
      <w:r w:rsidR="00AC039E">
        <w:rPr>
          <w:rFonts w:ascii="Palatino Linotype" w:eastAsia="Palatino Linotype" w:hAnsi="Palatino Linotype" w:cs="Palatino Linotype"/>
          <w:color w:val="000000"/>
        </w:rPr>
        <w:t>sideraciones, a pesar de que los documentos remitidos son idóneos</w:t>
      </w:r>
      <w:r>
        <w:rPr>
          <w:rFonts w:ascii="Palatino Linotype" w:eastAsia="Palatino Linotype" w:hAnsi="Palatino Linotype" w:cs="Palatino Linotype"/>
          <w:color w:val="000000"/>
        </w:rPr>
        <w:t xml:space="preserve"> para atender el requerimiento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del est</w:t>
      </w:r>
      <w:r w:rsidR="00AC039E">
        <w:rPr>
          <w:rFonts w:ascii="Palatino Linotype" w:eastAsia="Palatino Linotype" w:hAnsi="Palatino Linotype" w:cs="Palatino Linotype"/>
          <w:color w:val="000000"/>
        </w:rPr>
        <w:t>udio efectuado se concluyó que éstos</w:t>
      </w:r>
      <w:r>
        <w:rPr>
          <w:rFonts w:ascii="Palatino Linotype" w:eastAsia="Palatino Linotype" w:hAnsi="Palatino Linotype" w:cs="Palatino Linotype"/>
          <w:color w:val="000000"/>
        </w:rPr>
        <w:t xml:space="preserve"> no se remitió en una correcta versión pública, por consiguiente, este Órgano Garante  estima necesario ordenar al </w:t>
      </w:r>
      <w:r>
        <w:rPr>
          <w:rFonts w:ascii="Palatino Linotype" w:eastAsia="Palatino Linotype" w:hAnsi="Palatino Linotype" w:cs="Palatino Linotype"/>
          <w:b/>
          <w:color w:val="000000"/>
        </w:rPr>
        <w:t>SUJETO OBLIGADO</w:t>
      </w:r>
      <w:r w:rsidR="00AC039E">
        <w:rPr>
          <w:rFonts w:ascii="Palatino Linotype" w:eastAsia="Palatino Linotype" w:hAnsi="Palatino Linotype" w:cs="Palatino Linotype"/>
          <w:color w:val="000000"/>
        </w:rPr>
        <w:t>, remita nuevamente los</w:t>
      </w:r>
      <w:r>
        <w:rPr>
          <w:rFonts w:ascii="Palatino Linotype" w:eastAsia="Palatino Linotype" w:hAnsi="Palatino Linotype" w:cs="Palatino Linotype"/>
          <w:color w:val="000000"/>
        </w:rPr>
        <w:t xml:space="preserve"> soporte</w:t>
      </w:r>
      <w:r w:rsidR="00AC039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documental</w:t>
      </w:r>
      <w:r w:rsidR="00AC039E">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en una correcta versión pública, en la cual se deje visible la informac</w:t>
      </w:r>
      <w:r w:rsidR="00AC039E">
        <w:rPr>
          <w:rFonts w:ascii="Palatino Linotype" w:eastAsia="Palatino Linotype" w:hAnsi="Palatino Linotype" w:cs="Palatino Linotype"/>
          <w:color w:val="000000"/>
        </w:rPr>
        <w:t xml:space="preserve">ión relativa a la fotografía de los </w:t>
      </w:r>
      <w:r>
        <w:rPr>
          <w:rFonts w:ascii="Palatino Linotype" w:eastAsia="Palatino Linotype" w:hAnsi="Palatino Linotype" w:cs="Palatino Linotype"/>
          <w:color w:val="000000"/>
        </w:rPr>
        <w:t>servidor</w:t>
      </w:r>
      <w:r w:rsidR="00AC039E">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público</w:t>
      </w:r>
      <w:r w:rsidR="00AC039E">
        <w:rPr>
          <w:rFonts w:ascii="Palatino Linotype" w:eastAsia="Palatino Linotype" w:hAnsi="Palatino Linotype" w:cs="Palatino Linotype"/>
          <w:color w:val="000000"/>
        </w:rPr>
        <w:t>s, así como las claves del programa y universidad,</w:t>
      </w:r>
      <w:r>
        <w:rPr>
          <w:rFonts w:ascii="Palatino Linotype" w:eastAsia="Palatino Linotype" w:hAnsi="Palatino Linotype" w:cs="Palatino Linotype"/>
          <w:color w:val="000000"/>
        </w:rPr>
        <w:t xml:space="preserve"> </w:t>
      </w:r>
      <w:r w:rsidR="00AC039E">
        <w:rPr>
          <w:rFonts w:ascii="Palatino Linotype" w:eastAsia="Palatino Linotype" w:hAnsi="Palatino Linotype" w:cs="Palatino Linotype"/>
          <w:color w:val="000000"/>
        </w:rPr>
        <w:t>versiones públicas</w:t>
      </w:r>
      <w:r>
        <w:rPr>
          <w:rFonts w:ascii="Palatino Linotype" w:eastAsia="Palatino Linotype" w:hAnsi="Palatino Linotype" w:cs="Palatino Linotype"/>
          <w:color w:val="000000"/>
        </w:rPr>
        <w:t xml:space="preserve"> que deberá</w:t>
      </w:r>
      <w:r w:rsidR="00AC039E">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ir acompañada del Acuerdo del Comité. </w:t>
      </w:r>
    </w:p>
    <w:p w14:paraId="40F44D27"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Contrario a lo anterior, es conveniente señalar que, en su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omitió testar, la Clave Única de Registro de Población (CURP)</w:t>
      </w:r>
      <w:r w:rsidR="0026508E">
        <w:rPr>
          <w:rFonts w:ascii="Palatino Linotype" w:eastAsia="Palatino Linotype" w:hAnsi="Palatino Linotype" w:cs="Palatino Linotype"/>
          <w:color w:val="000000"/>
        </w:rPr>
        <w:t xml:space="preserve"> y la cadena original (de la cual se desprende la CURP)</w:t>
      </w:r>
      <w:r>
        <w:rPr>
          <w:rFonts w:ascii="Palatino Linotype" w:eastAsia="Palatino Linotype" w:hAnsi="Palatino Linotype" w:cs="Palatino Linotype"/>
          <w:color w:val="000000"/>
        </w:rPr>
        <w:t>, dato que actualiza el supuesto de confidencialidad en términos  del artículo 143, fracción I de la Ley de Transparencia y Acceso a la Información Pública del Estado de México y Municipios.</w:t>
      </w:r>
    </w:p>
    <w:p w14:paraId="774098A6" w14:textId="77777777" w:rsidR="008D5F7B" w:rsidRDefault="00E20C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 de sustento a lo anterior, el criterio 18-17 del Instituto Nacional de Transparencia, Acceso a la Información y Protección de Datos Personales: </w:t>
      </w:r>
    </w:p>
    <w:p w14:paraId="042CFD16" w14:textId="77777777" w:rsidR="008D5F7B" w:rsidRDefault="00E20C39">
      <w:pPr>
        <w:pBdr>
          <w:top w:val="nil"/>
          <w:left w:val="nil"/>
          <w:bottom w:val="nil"/>
          <w:right w:val="nil"/>
          <w:between w:val="nil"/>
        </w:pBdr>
        <w:spacing w:before="240" w:after="240"/>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Clave Única de Registro de Población (CURP).</w:t>
      </w:r>
      <w:r>
        <w:rPr>
          <w:rFonts w:ascii="Palatino Linotype" w:eastAsia="Palatino Linotype" w:hAnsi="Palatino Linotype" w:cs="Palatino Linotype"/>
          <w:i/>
          <w:color w:val="000000"/>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CF5F44E" w14:textId="77777777" w:rsidR="008D5F7B" w:rsidRDefault="00E20C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la Ley de Protección Datos en la entidad dispone en los artículos 4 fracciones VII y VIII y 17 en relación directa con el precepto legal 3 fracciones XX y XXI de la Ley en la Materia, lo siguiente: </w:t>
      </w:r>
    </w:p>
    <w:p w14:paraId="12AA40D6"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“Artículo 4.- </w:t>
      </w:r>
      <w:r>
        <w:rPr>
          <w:rFonts w:ascii="Palatino Linotype" w:eastAsia="Palatino Linotype" w:hAnsi="Palatino Linotype" w:cs="Palatino Linotype"/>
          <w:i/>
          <w:color w:val="000000"/>
          <w:sz w:val="20"/>
          <w:szCs w:val="20"/>
        </w:rPr>
        <w:t>Para los efectos de esta Ley se entiende por:</w:t>
      </w:r>
      <w:r>
        <w:rPr>
          <w:rFonts w:ascii="Palatino Linotype" w:eastAsia="Palatino Linotype" w:hAnsi="Palatino Linotype" w:cs="Palatino Linotype"/>
          <w:b/>
          <w:i/>
          <w:color w:val="000000"/>
          <w:sz w:val="20"/>
          <w:szCs w:val="20"/>
        </w:rPr>
        <w:t> </w:t>
      </w:r>
    </w:p>
    <w:p w14:paraId="288605D2"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w:t>
      </w:r>
    </w:p>
    <w:p w14:paraId="389A05FB"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VII. Datos personales: </w:t>
      </w:r>
      <w:r>
        <w:rPr>
          <w:rFonts w:ascii="Palatino Linotype" w:eastAsia="Palatino Linotype" w:hAnsi="Palatino Linotype" w:cs="Palatino Linotype"/>
          <w:i/>
          <w:color w:val="000000"/>
          <w:sz w:val="20"/>
          <w:szCs w:val="20"/>
        </w:rPr>
        <w:t xml:space="preserve">Cualquier información concerniente a una </w:t>
      </w:r>
      <w:r>
        <w:rPr>
          <w:rFonts w:ascii="Palatino Linotype" w:eastAsia="Palatino Linotype" w:hAnsi="Palatino Linotype" w:cs="Palatino Linotype"/>
          <w:b/>
          <w:i/>
          <w:color w:val="000000"/>
          <w:sz w:val="20"/>
          <w:szCs w:val="20"/>
          <w:u w:val="single"/>
        </w:rPr>
        <w:t>persona física o jurídica colectiva</w:t>
      </w:r>
      <w:r>
        <w:rPr>
          <w:rFonts w:ascii="Palatino Linotype" w:eastAsia="Palatino Linotype" w:hAnsi="Palatino Linotype" w:cs="Palatino Linotype"/>
          <w:i/>
          <w:color w:val="000000"/>
          <w:sz w:val="20"/>
          <w:szCs w:val="20"/>
        </w:rPr>
        <w:t xml:space="preserve"> identificada o identificable, establecida en cualquier formato o modalidad y que esté almacenada en bases de datos, conforme a lo establecido en esta Ley.</w:t>
      </w:r>
      <w:r>
        <w:rPr>
          <w:rFonts w:ascii="Palatino Linotype" w:eastAsia="Palatino Linotype" w:hAnsi="Palatino Linotype" w:cs="Palatino Linotype"/>
          <w:b/>
          <w:i/>
          <w:color w:val="000000"/>
          <w:sz w:val="20"/>
          <w:szCs w:val="20"/>
        </w:rPr>
        <w:t> </w:t>
      </w:r>
    </w:p>
    <w:p w14:paraId="07E44CF9"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VIII. Datos personales sensibles: </w:t>
      </w:r>
      <w:r>
        <w:rPr>
          <w:rFonts w:ascii="Palatino Linotype" w:eastAsia="Palatino Linotype" w:hAnsi="Palatino Linotype" w:cs="Palatino Linotype"/>
          <w:i/>
          <w:color w:val="000000"/>
          <w:sz w:val="20"/>
          <w:szCs w:val="20"/>
        </w:rPr>
        <w:t>Aquellos que afectan la esfera más íntima de su Titular, o cuya utilización indebida pueda dar origen a discriminación o conlleve un riesgo grave para éste.</w:t>
      </w:r>
      <w:r>
        <w:rPr>
          <w:rFonts w:ascii="Palatino Linotype" w:eastAsia="Palatino Linotype" w:hAnsi="Palatino Linotype" w:cs="Palatino Linotype"/>
          <w:b/>
          <w:i/>
          <w:color w:val="000000"/>
          <w:sz w:val="20"/>
          <w:szCs w:val="20"/>
        </w:rPr>
        <w:t> </w:t>
      </w:r>
    </w:p>
    <w:p w14:paraId="5C699751"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Artículo 17.- </w:t>
      </w:r>
      <w:r>
        <w:rPr>
          <w:rFonts w:ascii="Palatino Linotype" w:eastAsia="Palatino Linotype" w:hAnsi="Palatino Linotype" w:cs="Palatino Linotype"/>
          <w:i/>
          <w:color w:val="000000"/>
          <w:sz w:val="20"/>
          <w:szCs w:val="20"/>
        </w:rPr>
        <w:t xml:space="preserve">Los datos personales sensibles son irrenunciables, intransferibles e indelegables, por lo que no podrán transmitirse salvo disposición legal o cuando medie el consentimiento del titular. Dicha obligación subsistirá aún después de finalizada la </w:t>
      </w:r>
      <w:r>
        <w:rPr>
          <w:rFonts w:ascii="Palatino Linotype" w:eastAsia="Palatino Linotype" w:hAnsi="Palatino Linotype" w:cs="Palatino Linotype"/>
          <w:i/>
          <w:color w:val="000000"/>
          <w:sz w:val="20"/>
          <w:szCs w:val="20"/>
        </w:rPr>
        <w:lastRenderedPageBreak/>
        <w:t>relación entre el sujeto obligado con el titular de los datos personales, así como después de finalizada la relación laboral entre el sujeto obligado y el responsable del sistema de datos personales o los usuarios.”</w:t>
      </w:r>
    </w:p>
    <w:p w14:paraId="59DED45E"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“Artículo 3. </w:t>
      </w:r>
      <w:r>
        <w:rPr>
          <w:rFonts w:ascii="Palatino Linotype" w:eastAsia="Palatino Linotype" w:hAnsi="Palatino Linotype" w:cs="Palatino Linotype"/>
          <w:i/>
          <w:color w:val="000000"/>
          <w:sz w:val="20"/>
          <w:szCs w:val="20"/>
        </w:rPr>
        <w:t>Para los efectos de la presente Ley se entenderá por:</w:t>
      </w:r>
      <w:r>
        <w:rPr>
          <w:rFonts w:ascii="Palatino Linotype" w:eastAsia="Palatino Linotype" w:hAnsi="Palatino Linotype" w:cs="Palatino Linotype"/>
          <w:b/>
          <w:i/>
          <w:color w:val="000000"/>
          <w:sz w:val="20"/>
          <w:szCs w:val="20"/>
        </w:rPr>
        <w:t> </w:t>
      </w:r>
    </w:p>
    <w:p w14:paraId="54860119"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XX. Información clasificada: </w:t>
      </w:r>
      <w:r>
        <w:rPr>
          <w:rFonts w:ascii="Palatino Linotype" w:eastAsia="Palatino Linotype" w:hAnsi="Palatino Linotype" w:cs="Palatino Linotype"/>
          <w:i/>
          <w:color w:val="000000"/>
          <w:sz w:val="20"/>
          <w:szCs w:val="20"/>
        </w:rPr>
        <w:t>Aquella considerada por la presente Ley como reservada o confidencial;</w:t>
      </w:r>
    </w:p>
    <w:p w14:paraId="33E50BF3"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XXI. Información confidencial: </w:t>
      </w:r>
      <w:r>
        <w:rPr>
          <w:rFonts w:ascii="Palatino Linotype" w:eastAsia="Palatino Linotype" w:hAnsi="Palatino Linotype" w:cs="Palatino Linotype"/>
          <w:i/>
          <w:color w:val="000000"/>
          <w:sz w:val="20"/>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084A62"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b/>
          <w:i/>
          <w:color w:val="000000"/>
          <w:sz w:val="20"/>
          <w:szCs w:val="20"/>
        </w:rPr>
        <w:t xml:space="preserve">Artículo 143. </w:t>
      </w:r>
      <w:r>
        <w:rPr>
          <w:rFonts w:ascii="Palatino Linotype" w:eastAsia="Palatino Linotype" w:hAnsi="Palatino Linotype" w:cs="Palatino Linotype"/>
          <w:i/>
          <w:color w:val="000000"/>
          <w:sz w:val="20"/>
          <w:szCs w:val="20"/>
        </w:rPr>
        <w:t>Para los efectos de esta Ley se considera información confidencial, la clasificada como tal, de manera permanente, por su naturaleza, cuando:</w:t>
      </w:r>
    </w:p>
    <w:p w14:paraId="5A1A7B06" w14:textId="77777777" w:rsidR="008D5F7B" w:rsidRDefault="00E20C39">
      <w:pPr>
        <w:pBdr>
          <w:top w:val="nil"/>
          <w:left w:val="nil"/>
          <w:bottom w:val="nil"/>
          <w:right w:val="nil"/>
          <w:between w:val="nil"/>
        </w:pBdr>
        <w:spacing w:before="120" w:after="240"/>
        <w:ind w:left="1134" w:right="900"/>
        <w:jc w:val="both"/>
        <w:rPr>
          <w:color w:val="000000"/>
        </w:rPr>
      </w:pPr>
      <w:r>
        <w:rPr>
          <w:rFonts w:ascii="Palatino Linotype" w:eastAsia="Palatino Linotype" w:hAnsi="Palatino Linotype" w:cs="Palatino Linotype"/>
          <w:b/>
          <w:i/>
          <w:color w:val="000000"/>
          <w:sz w:val="20"/>
          <w:szCs w:val="20"/>
        </w:rPr>
        <w:t xml:space="preserve">I. </w:t>
      </w:r>
      <w:r>
        <w:rPr>
          <w:rFonts w:ascii="Palatino Linotype" w:eastAsia="Palatino Linotype" w:hAnsi="Palatino Linotype" w:cs="Palatino Linotype"/>
          <w:i/>
          <w:color w:val="000000"/>
          <w:sz w:val="20"/>
          <w:szCs w:val="20"/>
        </w:rPr>
        <w:t>Se refiera a la información privada y los datos personales concernientes a una persona física o jurídico colectiva identificada o identificable;…”</w:t>
      </w:r>
    </w:p>
    <w:p w14:paraId="44EE84E6" w14:textId="77777777" w:rsidR="008D5F7B" w:rsidRDefault="00E20C39">
      <w:pPr>
        <w:pBdr>
          <w:top w:val="nil"/>
          <w:left w:val="nil"/>
          <w:bottom w:val="nil"/>
          <w:right w:val="nil"/>
          <w:between w:val="nil"/>
        </w:pBdr>
        <w:spacing w:before="120" w:after="240"/>
        <w:ind w:left="851" w:right="902"/>
        <w:jc w:val="both"/>
        <w:rPr>
          <w:color w:val="000000"/>
        </w:rPr>
      </w:pPr>
      <w:r>
        <w:rPr>
          <w:rFonts w:ascii="Palatino Linotype" w:eastAsia="Palatino Linotype" w:hAnsi="Palatino Linotype" w:cs="Palatino Linotype"/>
          <w:i/>
          <w:color w:val="000000"/>
          <w:sz w:val="20"/>
          <w:szCs w:val="20"/>
        </w:rPr>
        <w:t>”</w:t>
      </w:r>
    </w:p>
    <w:p w14:paraId="0D6D3EBA" w14:textId="77777777" w:rsidR="008D5F7B" w:rsidRDefault="00E20C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los preceptos en cita, se advierte que los datos personales constituyen la información relativa a una persona física o jurídica que la hace identificables, y que algunos casos pueden afectar su esfera íntima, ya sea porque conlleve a un riesgo grave o porque pueda ser motivo de discriminación, por lo tanto son datos personales sensibles, los cuales pueden ser clasificados como reservados o confidenciales.</w:t>
      </w:r>
    </w:p>
    <w:p w14:paraId="330C30E0" w14:textId="77777777" w:rsidR="008D5F7B" w:rsidRDefault="00E20C3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la información relativa al CURP</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debe permanecer ajena al conocimiento de terceros, con independencia del principio de máxima publicidad que opera en materia de </w:t>
      </w:r>
      <w:r>
        <w:rPr>
          <w:rFonts w:ascii="Palatino Linotype" w:eastAsia="Palatino Linotype" w:hAnsi="Palatino Linotype" w:cs="Palatino Linotype"/>
        </w:rPr>
        <w:t>transparencia</w:t>
      </w:r>
      <w:r>
        <w:rPr>
          <w:rFonts w:ascii="Palatino Linotype" w:eastAsia="Palatino Linotype" w:hAnsi="Palatino Linotype" w:cs="Palatino Linotype"/>
          <w:color w:val="000000"/>
        </w:rPr>
        <w:t xml:space="preserve"> e información pública, toda vez que sobre éste prima el derecho de protección a datos personales de las personas físicas; por lo tanto, debe clasificarse como información confidencial. </w:t>
      </w:r>
    </w:p>
    <w:p w14:paraId="75BBC9E7" w14:textId="77777777" w:rsidR="008D5F7B" w:rsidRDefault="00E20C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este sentido, en uno de los documentos remitidos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se observan </w:t>
      </w:r>
      <w:r>
        <w:rPr>
          <w:rFonts w:ascii="Palatino Linotype" w:eastAsia="Palatino Linotype" w:hAnsi="Palatino Linotype" w:cs="Palatino Linotype"/>
        </w:rPr>
        <w:t>inconsistencias</w:t>
      </w:r>
      <w:r>
        <w:rPr>
          <w:rFonts w:ascii="Palatino Linotype" w:eastAsia="Palatino Linotype" w:hAnsi="Palatino Linotype" w:cs="Palatino Linotype"/>
          <w:color w:val="000000"/>
        </w:rPr>
        <w:t xml:space="preserve">, en virtud de que se dejaron visibles los datos correspondientes al CURP de un servidor público;  dato que de acuerdo a la naturaleza jurídica del mismo debió testarse, por el cual la conducta desplegada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ser considerada como violatoria a la Ley de Transparencia y Acceso a la Información Pública del Estado de México y Municipios, así como de la Ley de Protección de Datos Personales en Posesión de Sujetos Obligados del Estado de México y Municipios; ante tal circunstancia el Pleno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403D9C87" w14:textId="77777777" w:rsidR="008D5F7B" w:rsidRDefault="00E20C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respecto </w:t>
      </w:r>
      <w:r>
        <w:rPr>
          <w:rFonts w:ascii="Palatino Linotype" w:eastAsia="Palatino Linotype" w:hAnsi="Palatino Linotype" w:cs="Palatino Linotype"/>
        </w:rPr>
        <w:t xml:space="preserve">a lo requerido por el ahora RECURRENTE </w:t>
      </w:r>
      <w:r>
        <w:rPr>
          <w:rFonts w:ascii="Palatino Linotype" w:eastAsia="Palatino Linotype" w:hAnsi="Palatino Linotype" w:cs="Palatino Linotype"/>
          <w:color w:val="000000"/>
        </w:rPr>
        <w:t>consistente en  “</w:t>
      </w:r>
      <w:r>
        <w:rPr>
          <w:rFonts w:ascii="Palatino Linotype" w:eastAsia="Palatino Linotype" w:hAnsi="Palatino Linotype" w:cs="Palatino Linotype"/>
          <w:b/>
          <w:color w:val="000000"/>
        </w:rPr>
        <w:t>Apellidos del C. Julio y año que asumió el cargo de Subdirector y del C, Jerónimo el año de su nuevo cargo”</w:t>
      </w:r>
      <w:r>
        <w:rPr>
          <w:rFonts w:ascii="Palatino Linotype" w:eastAsia="Palatino Linotype" w:hAnsi="Palatino Linotype" w:cs="Palatino Linotype"/>
          <w:color w:val="000000"/>
        </w:rPr>
        <w:t xml:space="preserv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inicial fue omiso en proporcionar la información, no obstante una vez interpuesto el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Informe Justificado señaló que los Servidores Públicos Jerónimo Hernández de la Cruz y Julio David Pedraza Roldan tomaron posesión al cargo de subdirector (Subdirector de Normatividad de Programas de Gobierno y Subdirector Jurídico, respectivamente) el primero de junio del dos mil veintiuno. </w:t>
      </w:r>
    </w:p>
    <w:p w14:paraId="16AAB964"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que se estima, que la información entregada mediante informe justificado, corresponde a lo solicitado por el </w:t>
      </w:r>
      <w:r>
        <w:rPr>
          <w:rFonts w:ascii="Palatino Linotype" w:eastAsia="Palatino Linotype" w:hAnsi="Palatino Linotype" w:cs="Palatino Linotype"/>
          <w:b/>
          <w:color w:val="000000"/>
        </w:rPr>
        <w:t>RECURRENTE.</w:t>
      </w:r>
    </w:p>
    <w:p w14:paraId="2E96FCB5"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ello, cabe señalar que, el Sujeto Obligado dio respuesta a través de la Titular de la Unidad de Transparencia; y se citaron oficios emitidos la Subsecretaría de Planeación y Presupuesto, la cual tiene la potestad de conocer de información relacionada con rendir cuentas y atender los requerimientos en materia de administración de recursos humanos, por lo que es el área competente para conocer de la información solicitada, tal como se advierte del MANUAL GENERAL DE ORGANIZACIÓN DE LA SECRETARÍA DE FINANZAS: </w:t>
      </w:r>
    </w:p>
    <w:p w14:paraId="71697B40" w14:textId="77777777" w:rsidR="008D5F7B" w:rsidRDefault="000C1235">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0288" behindDoc="0" locked="0" layoutInCell="1" allowOverlap="1" wp14:anchorId="055990F8" wp14:editId="581B240D">
                <wp:simplePos x="0" y="0"/>
                <wp:positionH relativeFrom="column">
                  <wp:posOffset>93345</wp:posOffset>
                </wp:positionH>
                <wp:positionV relativeFrom="paragraph">
                  <wp:posOffset>189230</wp:posOffset>
                </wp:positionV>
                <wp:extent cx="5326380" cy="4008120"/>
                <wp:effectExtent l="0" t="0" r="26670" b="30480"/>
                <wp:wrapNone/>
                <wp:docPr id="1" name="Conector recto 1"/>
                <wp:cNvGraphicFramePr/>
                <a:graphic xmlns:a="http://schemas.openxmlformats.org/drawingml/2006/main">
                  <a:graphicData uri="http://schemas.microsoft.com/office/word/2010/wordprocessingShape">
                    <wps:wsp>
                      <wps:cNvCnPr/>
                      <wps:spPr>
                        <a:xfrm>
                          <a:off x="0" y="0"/>
                          <a:ext cx="5326380" cy="4008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6D7C8"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14.9pt" to="426.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7mugEAAMUDAAAOAAAAZHJzL2Uyb0RvYy54bWysU01v2zAMvRfYfxB0X2ynaxEYcXpIsV2G&#10;NtjaH6DKVCxAX6C02Pn3pZTEHdYBw4ZdJFHiI/keqfXdZA07AEbtXcebRc0ZOOl77fYdf376/HHF&#10;WUzC9cJ4Bx0/QuR3mw9X6zG0sPSDNz0goyAutmPo+JBSaKsqygGsiAsfwNGj8mhFIhP3VY9ipOjW&#10;VMu6vq1Gj31ALyFGur0/PfJNia8UyPSoVITETMeptlRWLOtLXqvNWrR7FGHQ8lyG+IcqrNCOks6h&#10;7kUS7Afqd6GsluijV2khva28UlpC4UBsmvoXNt8HEaBwIXFimGWK/y+sfDjskOmeeseZE5ZatKVG&#10;yeSRYd5YkzUaQ2zJdet2eLZi2GEmPCm0eScqbCq6HmddYUpM0uXN9fL2ekXyS3r7VNerZlmUr97g&#10;AWP6At6yfOi40S4TF604fI2JUpLrxYWMXM6pgHJKRwPZ2bhvoIgMpWwKuowRbA2yg6ABEFKCS4UQ&#10;xSveGaa0MTOw/jPw7J+hUEbsb8AzomT2Ls1gq53H32VP06VkdfK/KHDinSV48f2xtKZIQ7NSFDvP&#10;dR7Gn+0Cf/t9m1cAAAD//wMAUEsDBBQABgAIAAAAIQDUnZhX4QAAAAkBAAAPAAAAZHJzL2Rvd25y&#10;ZXYueG1sTI9BS8NAFITvgv9heYI3u2m0aY3ZlFIQa0GKrVCP2+wziWbfhuy2Sf99nyc9DjPMfJPN&#10;B9uIE3a+dqRgPIpAIBXO1FQq+Ng9381A+KDJ6MYRKjijh3l+fZXp1Lie3vG0DaXgEvKpVlCF0KZS&#10;+qJCq/3ItUjsfbnO6sCyK6XpdM/ltpFxFCXS6pp4odItLissfrZHq+CtW62Wi/X5mzaftt/H6/3m&#10;dXhR6vZmWDyBCDiEvzD84jM65Mx0cEcyXjSsH6acVBA/8gP2Z5P7CYiDgiQZRyDzTP5/kF8AAAD/&#10;/wMAUEsBAi0AFAAGAAgAAAAhALaDOJL+AAAA4QEAABMAAAAAAAAAAAAAAAAAAAAAAFtDb250ZW50&#10;X1R5cGVzXS54bWxQSwECLQAUAAYACAAAACEAOP0h/9YAAACUAQAACwAAAAAAAAAAAAAAAAAvAQAA&#10;X3JlbHMvLnJlbHNQSwECLQAUAAYACAAAACEA3Mtu5roBAADFAwAADgAAAAAAAAAAAAAAAAAuAgAA&#10;ZHJzL2Uyb0RvYy54bWxQSwECLQAUAAYACAAAACEA1J2YV+EAAAAJAQAADwAAAAAAAAAAAAAAAAAU&#10;BAAAZHJzL2Rvd25yZXYueG1sUEsFBgAAAAAEAAQA8wAAACIFAAAAAA==&#10;" strokecolor="#4472c4 [3204]" strokeweight=".5pt">
                <v:stroke joinstyle="miter"/>
              </v:line>
            </w:pict>
          </mc:Fallback>
        </mc:AlternateContent>
      </w:r>
    </w:p>
    <w:p w14:paraId="76AA3BBC"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proofErr w:type="spellStart"/>
      <w:r>
        <w:rPr>
          <w:color w:val="000000"/>
        </w:rPr>
        <w:lastRenderedPageBreak/>
        <w:t>ff</w:t>
      </w:r>
      <w:proofErr w:type="spellEnd"/>
      <w:r>
        <w:rPr>
          <w:noProof/>
          <w:color w:val="000000"/>
          <w:lang w:val="es-MX" w:eastAsia="es-MX"/>
        </w:rPr>
        <w:drawing>
          <wp:inline distT="0" distB="0" distL="0" distR="0" wp14:anchorId="2442FC23" wp14:editId="38CF9665">
            <wp:extent cx="5612130" cy="5743575"/>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612130" cy="5743575"/>
                    </a:xfrm>
                    <a:prstGeom prst="rect">
                      <a:avLst/>
                    </a:prstGeom>
                    <a:ln/>
                  </pic:spPr>
                </pic:pic>
              </a:graphicData>
            </a:graphic>
          </wp:inline>
        </w:drawing>
      </w:r>
    </w:p>
    <w:p w14:paraId="7BC2944E" w14:textId="77777777" w:rsidR="008D5F7B" w:rsidRDefault="00E20C39">
      <w:pPr>
        <w:pBdr>
          <w:top w:val="nil"/>
          <w:left w:val="nil"/>
          <w:bottom w:val="nil"/>
          <w:right w:val="nil"/>
          <w:between w:val="nil"/>
        </w:pBdr>
        <w:spacing w:before="280" w:after="280" w:line="360" w:lineRule="auto"/>
        <w:jc w:val="both"/>
        <w:rPr>
          <w:color w:val="000000"/>
        </w:rPr>
      </w:pPr>
      <w:r>
        <w:rPr>
          <w:color w:val="000000"/>
        </w:rPr>
        <w:t>0704000010100S SUBDIRECCIÓN DE RECURSOS HUMANOS OBJETIVO: Coordinar y dirigir las actividades relacionadas con la administración y desarrollo de los recursos humanos de las unidades administrativas adscritas a la Subsecretaría de Planeación y Presupuesto.</w:t>
      </w:r>
    </w:p>
    <w:p w14:paraId="72C05BA9"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anterior se advierte que la Subsecretaría de Planeación y Presupuesto dentro de sus unidades de staff cuenta con la subdirección de recursos humanos, misma que en ejercicio de sus atribuciones, coordina y dirige las actividades relacionadas con la administración y desarrollo de los recursos humanos. </w:t>
      </w:r>
    </w:p>
    <w:p w14:paraId="58894ED1"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realizó una búsqueda en sus archivos de la información solicitada por el Particular, proporcionándole los datos requeridos, razón por la cual es procede advertir que este Organismo Garante no está facultado para dudar de la veracidad de lo manifestado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26A17B79"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1C0A98BE" w14:textId="77777777" w:rsidR="008D5F7B" w:rsidRDefault="00E20C39">
      <w:pPr>
        <w:pBdr>
          <w:top w:val="nil"/>
          <w:left w:val="nil"/>
          <w:bottom w:val="nil"/>
          <w:right w:val="nil"/>
          <w:between w:val="nil"/>
        </w:pBdr>
        <w:spacing w:before="280" w:after="28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D9264F3"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tal suerte, se advierte que además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54379365" w14:textId="77777777" w:rsidR="008D5F7B" w:rsidRDefault="00E20C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atención a ello y a que este Organismo Garante no puede dudar de la veracidad de lo manifestado por el Sujeto Obligado; es procedente tener por atendido el punto analizado.</w:t>
      </w:r>
    </w:p>
    <w:p w14:paraId="731E70B7" w14:textId="77777777" w:rsidR="008D5F7B" w:rsidRDefault="00E20C3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 Versión Pública</w:t>
      </w:r>
    </w:p>
    <w:p w14:paraId="71D71350" w14:textId="77777777" w:rsidR="008D5F7B" w:rsidRDefault="008D5F7B">
      <w:pPr>
        <w:spacing w:line="360" w:lineRule="auto"/>
        <w:jc w:val="both"/>
        <w:rPr>
          <w:rFonts w:ascii="Palatino Linotype" w:eastAsia="Palatino Linotype" w:hAnsi="Palatino Linotype" w:cs="Palatino Linotype"/>
          <w:b/>
        </w:rPr>
      </w:pPr>
    </w:p>
    <w:p w14:paraId="630CE78F" w14:textId="77777777" w:rsidR="008D5F7B" w:rsidRDefault="00E20C39">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No pasa desapercibido, que los documentos que den cuenta de la información que se ordena entregar contiene  información clasificada, por tratarse de datos personales confidenciales de acuerdo a lo establecido en el artículo 143, fracción I de la Ley de Transparencia y Acceso a la Información Pública del Estado de México y Municipios, por lo que es de señalar que, deberá llevarse a cabo la revisión de los documentos y hacer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011C50C4" w14:textId="77777777" w:rsidR="008D5F7B" w:rsidRDefault="008D5F7B">
      <w:pPr>
        <w:spacing w:line="360" w:lineRule="auto"/>
        <w:ind w:right="-93"/>
        <w:jc w:val="both"/>
        <w:rPr>
          <w:rFonts w:ascii="Palatino Linotype" w:eastAsia="Palatino Linotype" w:hAnsi="Palatino Linotype" w:cs="Palatino Linotype"/>
        </w:rPr>
      </w:pPr>
    </w:p>
    <w:p w14:paraId="36530D53"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2B3303BE" w14:textId="77777777" w:rsidR="008D5F7B" w:rsidRDefault="008D5F7B">
      <w:pPr>
        <w:spacing w:line="360" w:lineRule="auto"/>
        <w:jc w:val="both"/>
        <w:rPr>
          <w:rFonts w:ascii="Palatino Linotype" w:eastAsia="Palatino Linotype" w:hAnsi="Palatino Linotype" w:cs="Palatino Linotype"/>
        </w:rPr>
      </w:pPr>
    </w:p>
    <w:p w14:paraId="5F23661D"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C115B6C" w14:textId="77777777" w:rsidR="008D5F7B" w:rsidRDefault="008D5F7B">
      <w:pPr>
        <w:spacing w:line="360" w:lineRule="auto"/>
        <w:jc w:val="both"/>
        <w:rPr>
          <w:rFonts w:ascii="Palatino Linotype" w:eastAsia="Palatino Linotype" w:hAnsi="Palatino Linotype" w:cs="Palatino Linotype"/>
        </w:rPr>
      </w:pPr>
    </w:p>
    <w:p w14:paraId="70ED25DC"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4D24ADA" w14:textId="77777777" w:rsidR="008D5F7B" w:rsidRDefault="008D5F7B">
      <w:pPr>
        <w:spacing w:line="360" w:lineRule="auto"/>
        <w:jc w:val="both"/>
        <w:rPr>
          <w:rFonts w:ascii="Palatino Linotype" w:eastAsia="Palatino Linotype" w:hAnsi="Palatino Linotype" w:cs="Palatino Linotype"/>
        </w:rPr>
      </w:pPr>
    </w:p>
    <w:p w14:paraId="228E769F"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el artículo 5°, fracciones I y II de la Constitución Política del Estado Libre y Soberano de México, prevé que toda la información en posesión de </w:t>
      </w:r>
      <w:r>
        <w:rPr>
          <w:rFonts w:ascii="Palatino Linotype" w:eastAsia="Palatino Linotype" w:hAnsi="Palatino Linotype" w:cs="Palatino Linotype"/>
        </w:rPr>
        <w:lastRenderedPageBreak/>
        <w:t>los Sujetos Obligados será pública; no obstante, aquella referente a la intimidad de la vida privada y la imagen de las personas, será protegida a través de un marco jurídico rígido, de tratamiento y manejo de datos personales.</w:t>
      </w:r>
    </w:p>
    <w:p w14:paraId="4E697B0B" w14:textId="77777777" w:rsidR="008D5F7B" w:rsidRDefault="008D5F7B">
      <w:pPr>
        <w:spacing w:line="360" w:lineRule="auto"/>
        <w:jc w:val="both"/>
        <w:rPr>
          <w:rFonts w:ascii="Palatino Linotype" w:eastAsia="Palatino Linotype" w:hAnsi="Palatino Linotype" w:cs="Palatino Linotype"/>
        </w:rPr>
      </w:pPr>
    </w:p>
    <w:p w14:paraId="3FA22133"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9E070F3" w14:textId="77777777" w:rsidR="008D5F7B" w:rsidRDefault="008D5F7B">
      <w:pPr>
        <w:spacing w:line="360" w:lineRule="auto"/>
        <w:jc w:val="both"/>
        <w:rPr>
          <w:rFonts w:ascii="Palatino Linotype" w:eastAsia="Palatino Linotype" w:hAnsi="Palatino Linotype" w:cs="Palatino Linotype"/>
        </w:rPr>
      </w:pPr>
    </w:p>
    <w:p w14:paraId="425A08CC"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31050E1" w14:textId="77777777" w:rsidR="008D5F7B" w:rsidRDefault="008D5F7B">
      <w:pPr>
        <w:spacing w:line="360" w:lineRule="auto"/>
        <w:jc w:val="both"/>
        <w:rPr>
          <w:rFonts w:ascii="Palatino Linotype" w:eastAsia="Palatino Linotype" w:hAnsi="Palatino Linotype" w:cs="Palatino Linotype"/>
        </w:rPr>
      </w:pPr>
    </w:p>
    <w:p w14:paraId="73FB8840"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3A6E827" w14:textId="77777777" w:rsidR="008D5F7B" w:rsidRDefault="008D5F7B">
      <w:pPr>
        <w:spacing w:line="360" w:lineRule="auto"/>
        <w:jc w:val="both"/>
        <w:rPr>
          <w:rFonts w:ascii="Palatino Linotype" w:eastAsia="Palatino Linotype" w:hAnsi="Palatino Linotype" w:cs="Palatino Linotype"/>
        </w:rPr>
      </w:pPr>
    </w:p>
    <w:p w14:paraId="0524DF09"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términos de lo expuesto, la documentación y aquellos datos que se consideren confidenciales, serán una limitante del derecho de acceso a la información, siempre y cuando:</w:t>
      </w:r>
    </w:p>
    <w:p w14:paraId="728D1EF4" w14:textId="77777777" w:rsidR="008D5F7B" w:rsidRDefault="008D5F7B">
      <w:pPr>
        <w:spacing w:line="360" w:lineRule="auto"/>
        <w:ind w:right="-93"/>
        <w:jc w:val="both"/>
        <w:rPr>
          <w:rFonts w:ascii="Palatino Linotype" w:eastAsia="Palatino Linotype" w:hAnsi="Palatino Linotype" w:cs="Palatino Linotype"/>
        </w:rPr>
      </w:pPr>
    </w:p>
    <w:p w14:paraId="2AE969CF" w14:textId="77777777" w:rsidR="008D5F7B" w:rsidRDefault="00E20C3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trate de datos personales o información privada; esto es, información concerniente a una persona física o jurídico colectiva y que esta sea identificada o identificable. </w:t>
      </w:r>
    </w:p>
    <w:p w14:paraId="578CE4B8" w14:textId="77777777" w:rsidR="008D5F7B" w:rsidRDefault="00E20C3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la difusión de los datos, se requiera el consentimiento del titular. </w:t>
      </w:r>
    </w:p>
    <w:p w14:paraId="532F3B5D" w14:textId="77777777" w:rsidR="008D5F7B" w:rsidRDefault="008D5F7B">
      <w:pPr>
        <w:spacing w:line="360" w:lineRule="auto"/>
        <w:ind w:right="-93"/>
        <w:jc w:val="both"/>
        <w:rPr>
          <w:rFonts w:ascii="Palatino Linotype" w:eastAsia="Palatino Linotype" w:hAnsi="Palatino Linotype" w:cs="Palatino Linotype"/>
        </w:rPr>
      </w:pPr>
    </w:p>
    <w:p w14:paraId="5605346D"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0B92B0B" w14:textId="77777777" w:rsidR="008D5F7B" w:rsidRDefault="008D5F7B">
      <w:pPr>
        <w:spacing w:line="360" w:lineRule="auto"/>
        <w:jc w:val="both"/>
        <w:rPr>
          <w:rFonts w:ascii="Palatino Linotype" w:eastAsia="Palatino Linotype" w:hAnsi="Palatino Linotype" w:cs="Palatino Linotype"/>
        </w:rPr>
      </w:pPr>
    </w:p>
    <w:p w14:paraId="7AB4F89E"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0BB2CB60" w14:textId="77777777" w:rsidR="008D5F7B" w:rsidRDefault="008D5F7B">
      <w:pPr>
        <w:spacing w:line="360" w:lineRule="auto"/>
        <w:jc w:val="both"/>
        <w:rPr>
          <w:rFonts w:ascii="Palatino Linotype" w:eastAsia="Palatino Linotype" w:hAnsi="Palatino Linotype" w:cs="Palatino Linotype"/>
        </w:rPr>
      </w:pPr>
    </w:p>
    <w:p w14:paraId="6530CCA8"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los artículos 6°, 7°, 8° y 14 de la Ley de Protección de Datos Personales en Posesión de Sujetos Obligados del Estado de México y Municipios, disponen que los responsables del tratamiento de datos personales, deben observar </w:t>
      </w:r>
      <w:r>
        <w:rPr>
          <w:rFonts w:ascii="Palatino Linotype" w:eastAsia="Palatino Linotype" w:hAnsi="Palatino Linotype" w:cs="Palatino Linotype"/>
        </w:rPr>
        <w:lastRenderedPageBreak/>
        <w:t>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C283E5F" w14:textId="77777777" w:rsidR="008D5F7B" w:rsidRDefault="008D5F7B">
      <w:pPr>
        <w:spacing w:line="360" w:lineRule="auto"/>
        <w:jc w:val="both"/>
        <w:rPr>
          <w:rFonts w:ascii="Palatino Linotype" w:eastAsia="Palatino Linotype" w:hAnsi="Palatino Linotype" w:cs="Palatino Linotype"/>
        </w:rPr>
      </w:pPr>
    </w:p>
    <w:p w14:paraId="4EED8738"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9695ED7" w14:textId="77777777" w:rsidR="008D5F7B" w:rsidRDefault="008D5F7B">
      <w:pPr>
        <w:spacing w:line="360" w:lineRule="auto"/>
        <w:jc w:val="both"/>
        <w:rPr>
          <w:rFonts w:ascii="Palatino Linotype" w:eastAsia="Palatino Linotype" w:hAnsi="Palatino Linotype" w:cs="Palatino Linotype"/>
        </w:rPr>
      </w:pPr>
    </w:p>
    <w:p w14:paraId="2A681C5F"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715402D"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054BEC1F"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orden de ideas, toda la información que transparente la gestión pública, favorezca la rendición de cuentas y contribuya a la democratización del Estado Mexicano es, sin excepción, de naturaleza pública. </w:t>
      </w:r>
    </w:p>
    <w:p w14:paraId="4CAE18C8"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consecuencia y en mérito de lo expuesto en líneas anteriores, resultan fundadas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color w:val="000000"/>
        </w:rPr>
        <w:t>05489/INFOEM/IP/RR/2021</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la respuesta a la solicitud de información número </w:t>
      </w:r>
      <w:r>
        <w:rPr>
          <w:rFonts w:ascii="Palatino Linotype" w:eastAsia="Palatino Linotype" w:hAnsi="Palatino Linotype" w:cs="Palatino Linotype"/>
          <w:b/>
          <w:color w:val="000000"/>
        </w:rPr>
        <w:t>00493/SF/IP/2021.</w:t>
      </w:r>
    </w:p>
    <w:p w14:paraId="4DF9A159" w14:textId="77777777" w:rsidR="000C1235"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CAFB45C" w14:textId="77777777" w:rsidR="008D5F7B" w:rsidRDefault="00E20C39">
      <w:pPr>
        <w:spacing w:before="240" w:line="360" w:lineRule="auto"/>
        <w:ind w:left="360"/>
        <w:jc w:val="center"/>
        <w:rPr>
          <w:rFonts w:ascii="Palatino Linotype" w:eastAsia="Palatino Linotype" w:hAnsi="Palatino Linotype" w:cs="Palatino Linotype"/>
        </w:rPr>
      </w:pPr>
      <w:r>
        <w:rPr>
          <w:rFonts w:ascii="Palatino Linotype" w:eastAsia="Palatino Linotype" w:hAnsi="Palatino Linotype" w:cs="Palatino Linotype"/>
          <w:b/>
          <w:color w:val="000000"/>
        </w:rPr>
        <w:t>III. R E S U E L V E:</w:t>
      </w:r>
    </w:p>
    <w:p w14:paraId="7BA7363D" w14:textId="77777777" w:rsidR="008D5F7B" w:rsidRDefault="008D5F7B">
      <w:pPr>
        <w:spacing w:line="360" w:lineRule="auto"/>
        <w:rPr>
          <w:rFonts w:ascii="Palatino Linotype" w:eastAsia="Palatino Linotype" w:hAnsi="Palatino Linotype" w:cs="Palatino Linotype"/>
        </w:rPr>
      </w:pPr>
    </w:p>
    <w:p w14:paraId="58D8B613" w14:textId="77777777" w:rsidR="008D5F7B" w:rsidRDefault="00E20C3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Resultan fundados los motivos de inconformidad hechos valer por </w:t>
      </w:r>
      <w:r>
        <w:rPr>
          <w:rFonts w:ascii="Palatino Linotype" w:eastAsia="Palatino Linotype" w:hAnsi="Palatino Linotype" w:cs="Palatino Linotype"/>
        </w:rPr>
        <w:t xml:space="preserve">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el recurso de revisión </w:t>
      </w:r>
      <w:r>
        <w:rPr>
          <w:rFonts w:ascii="Palatino Linotype" w:eastAsia="Palatino Linotype" w:hAnsi="Palatino Linotype" w:cs="Palatino Linotype"/>
          <w:b/>
          <w:color w:val="000000"/>
        </w:rPr>
        <w:t xml:space="preserve">05489/INFOEM/IP/RR/2021, </w:t>
      </w:r>
      <w:r>
        <w:rPr>
          <w:rFonts w:ascii="Palatino Linotype" w:eastAsia="Palatino Linotype" w:hAnsi="Palatino Linotype" w:cs="Palatino Linotype"/>
          <w:color w:val="000000"/>
        </w:rPr>
        <w:t xml:space="preserve">en términos del Considerando </w:t>
      </w:r>
      <w:r>
        <w:rPr>
          <w:rFonts w:ascii="Palatino Linotype" w:eastAsia="Palatino Linotype" w:hAnsi="Palatino Linotype" w:cs="Palatino Linotype"/>
          <w:b/>
          <w:color w:val="000000"/>
        </w:rPr>
        <w:t>CUARTO. </w:t>
      </w:r>
    </w:p>
    <w:p w14:paraId="0CCDD0BF" w14:textId="77777777" w:rsidR="008D5F7B" w:rsidRDefault="00E20C3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highlight w:val="white"/>
        </w:rPr>
        <w:t xml:space="preserve">TERCERO.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 la solicitud de información número</w:t>
      </w:r>
      <w:r>
        <w:rPr>
          <w:rFonts w:ascii="Palatino Linotype" w:eastAsia="Palatino Linotype" w:hAnsi="Palatino Linotype" w:cs="Palatino Linotype"/>
          <w:b/>
          <w:color w:val="000000"/>
        </w:rPr>
        <w:t xml:space="preserve"> 00493/SF/IP/2021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 xml:space="preserve">ORDENA </w:t>
      </w:r>
      <w:r>
        <w:rPr>
          <w:rFonts w:ascii="Palatino Linotype" w:eastAsia="Palatino Linotype" w:hAnsi="Palatino Linotype" w:cs="Palatino Linotype"/>
          <w:color w:val="000000"/>
        </w:rPr>
        <w:t xml:space="preserve">haga entrega, </w:t>
      </w:r>
      <w:r>
        <w:rPr>
          <w:rFonts w:ascii="Palatino Linotype" w:eastAsia="Palatino Linotype" w:hAnsi="Palatino Linotype" w:cs="Palatino Linotype"/>
          <w:b/>
          <w:color w:val="000000"/>
        </w:rPr>
        <w:t xml:space="preserve">vía SAIMEX, </w:t>
      </w:r>
      <w:r>
        <w:rPr>
          <w:rFonts w:ascii="Palatino Linotype" w:eastAsia="Palatino Linotype" w:hAnsi="Palatino Linotype" w:cs="Palatino Linotype"/>
          <w:color w:val="000000"/>
        </w:rPr>
        <w:t>en versión pública correcta, la siguiente información:</w:t>
      </w:r>
    </w:p>
    <w:p w14:paraId="4ECDDAB2" w14:textId="77777777" w:rsidR="008D5F7B" w:rsidRDefault="00E20C39">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Documento que acredite el último grado de estudio </w:t>
      </w:r>
      <w:r w:rsidR="0026508E">
        <w:rPr>
          <w:rFonts w:ascii="Palatino Linotype" w:eastAsia="Palatino Linotype" w:hAnsi="Palatino Linotype" w:cs="Palatino Linotype"/>
          <w:color w:val="000000"/>
        </w:rPr>
        <w:t xml:space="preserve">de Julio David Pedraza Roldan, Salvador Cabral Hernández y Jerónimo Hernández de la Cruz.  </w:t>
      </w:r>
    </w:p>
    <w:p w14:paraId="4A4BB80E" w14:textId="77777777" w:rsidR="008D5F7B" w:rsidRDefault="008D5F7B">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rPr>
      </w:pPr>
    </w:p>
    <w:p w14:paraId="55E0BF4F" w14:textId="77777777" w:rsidR="008D5F7B" w:rsidRDefault="00E20C39">
      <w:pPr>
        <w:spacing w:line="360" w:lineRule="auto"/>
        <w:ind w:left="720" w:right="49"/>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color w:val="000000"/>
        </w:rPr>
        <w:t>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w:t>
      </w:r>
    </w:p>
    <w:p w14:paraId="2A182BD1"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highlight w:val="white"/>
        </w:rPr>
        <w:t xml:space="preserve">CUARTO.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vía 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C55BCE6" w14:textId="77777777" w:rsidR="008D5F7B" w:rsidRDefault="00E20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QUINTO. </w:t>
      </w:r>
      <w:r>
        <w:rPr>
          <w:rFonts w:ascii="Palatino Linotype" w:eastAsia="Palatino Linotype" w:hAnsi="Palatino Linotype" w:cs="Palatino Linotype"/>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3CCACE"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SEXTO. Notifíquese </w:t>
      </w:r>
      <w:r w:rsidR="00000DB2">
        <w:rPr>
          <w:rFonts w:ascii="Palatino Linotype" w:eastAsia="Palatino Linotype" w:hAnsi="Palatino Linotype" w:cs="Palatino Linotype"/>
          <w:color w:val="000000"/>
        </w:rPr>
        <w:t xml:space="preserve">vía SAIMEX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además que podrá impugnarla vía Juicio de Amparo en los términos de las leyes aplicables, </w:t>
      </w:r>
      <w:r>
        <w:rPr>
          <w:rFonts w:ascii="Palatino Linotype" w:eastAsia="Palatino Linotype" w:hAnsi="Palatino Linotype" w:cs="Palatino Linotype"/>
          <w:color w:val="000000"/>
        </w:rPr>
        <w:lastRenderedPageBreak/>
        <w:t>de conformidad con lo establecido en el artículo 196 de la Ley de Transparencia y Acceso a la Información Pública del Estado de México y Municipios. </w:t>
      </w:r>
    </w:p>
    <w:p w14:paraId="373CEF11" w14:textId="77777777" w:rsidR="008D5F7B" w:rsidRDefault="00E20C3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SÉPTIMO. </w:t>
      </w:r>
      <w:r>
        <w:rPr>
          <w:rFonts w:ascii="Palatino Linotype" w:eastAsia="Palatino Linotype" w:hAnsi="Palatino Linotype" w:cs="Palatino Linotype"/>
          <w:b/>
          <w:color w:val="000000"/>
          <w:highlight w:val="white"/>
        </w:rPr>
        <w:t>Gírese</w:t>
      </w:r>
      <w:r>
        <w:rPr>
          <w:rFonts w:ascii="Palatino Linotype" w:eastAsia="Palatino Linotype" w:hAnsi="Palatino Linotype" w:cs="Palatino Linotype"/>
          <w:color w:val="000000"/>
          <w:highlight w:val="white"/>
        </w:rPr>
        <w:t> oficio al Contralor Interno de este Instituto para que actúe en razón de su competencia, en términos de lo expuesto en el Considerando Cuarto de la presente resolución.</w:t>
      </w:r>
    </w:p>
    <w:p w14:paraId="37AC3BCA" w14:textId="77777777" w:rsidR="008D5F7B" w:rsidRDefault="00E20C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103BB0">
        <w:rPr>
          <w:rFonts w:ascii="Palatino Linotype" w:eastAsia="Palatino Linotype" w:hAnsi="Palatino Linotype" w:cs="Palatino Linotype"/>
          <w:color w:val="000000"/>
        </w:rPr>
        <w:t xml:space="preserve"> </w:t>
      </w:r>
      <w:r w:rsidR="00EA1567">
        <w:rPr>
          <w:rFonts w:ascii="Palatino Linotype" w:eastAsia="Palatino Linotype" w:hAnsi="Palatino Linotype" w:cs="Palatino Linotype"/>
          <w:color w:val="000000"/>
        </w:rPr>
        <w:t>(</w:t>
      </w:r>
      <w:r w:rsidR="00103BB0">
        <w:rPr>
          <w:rFonts w:ascii="Palatino Linotype" w:eastAsia="Palatino Linotype" w:hAnsi="Palatino Linotype" w:cs="Palatino Linotype"/>
          <w:color w:val="000000"/>
        </w:rPr>
        <w:t>CON VOTO PARTICULAR</w:t>
      </w:r>
      <w:r w:rsidR="00EA1567">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Y GUADALUPE RAMÍREZ PEÑA; EN LA CUARTA SESIÓN ORDINARIA CELEBRADA EL </w:t>
      </w:r>
      <w:r w:rsidR="007050B2">
        <w:rPr>
          <w:rFonts w:ascii="Palatino Linotype" w:eastAsia="Palatino Linotype" w:hAnsi="Palatino Linotype" w:cs="Palatino Linotype"/>
          <w:color w:val="000000"/>
        </w:rPr>
        <w:t xml:space="preserve">CUATRO </w:t>
      </w:r>
      <w:r>
        <w:rPr>
          <w:rFonts w:ascii="Palatino Linotype" w:eastAsia="Palatino Linotype" w:hAnsi="Palatino Linotype" w:cs="Palatino Linotype"/>
          <w:color w:val="000000"/>
        </w:rPr>
        <w:t>DE FEBRERO DE DOS MIL VEINTIDÓS, ANTE EL SECRETARIO TÉCNICO DEL PLENO, ALEXIS TAPIA RAMÍREZ.</w:t>
      </w:r>
    </w:p>
    <w:p w14:paraId="657E89B9" w14:textId="77777777" w:rsidR="008D5F7B" w:rsidRDefault="000C123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1312" behindDoc="0" locked="0" layoutInCell="1" allowOverlap="1" wp14:anchorId="0EC965B4" wp14:editId="5F4F6907">
                <wp:simplePos x="0" y="0"/>
                <wp:positionH relativeFrom="column">
                  <wp:posOffset>306705</wp:posOffset>
                </wp:positionH>
                <wp:positionV relativeFrom="paragraph">
                  <wp:posOffset>12700</wp:posOffset>
                </wp:positionV>
                <wp:extent cx="5212080" cy="2659380"/>
                <wp:effectExtent l="0" t="0" r="26670" b="26670"/>
                <wp:wrapNone/>
                <wp:docPr id="2" name="Conector recto 2"/>
                <wp:cNvGraphicFramePr/>
                <a:graphic xmlns:a="http://schemas.openxmlformats.org/drawingml/2006/main">
                  <a:graphicData uri="http://schemas.microsoft.com/office/word/2010/wordprocessingShape">
                    <wps:wsp>
                      <wps:cNvCnPr/>
                      <wps:spPr>
                        <a:xfrm>
                          <a:off x="0" y="0"/>
                          <a:ext cx="5212080" cy="2659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D17B9"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15pt,1pt" to="434.5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luAEAAMUDAAAOAAAAZHJzL2Uyb0RvYy54bWysU9uO0zAQfUfiHyy/01zQrpao6T50tbwg&#10;qLh8gNcZN5Z809g06d8zdtosAiQE2hc7Y885M+d4sr2frWEnwKi963mzqTkDJ/2g3bHn374+vrnj&#10;LCbhBmG8g56fIfL73etX2yl00PrRmwGQEYmL3RR6PqYUuqqKcgQr4sYHcHSpPFqRKMRjNaCYiN2a&#10;qq3r22ryOAT0EmKk04flku8Kv1Ig0yelIiRmek69pbJiWZ/yWu22ojuiCKOWlzbEf3RhhXZUdKV6&#10;EEmw76h/o7Jaoo9epY30tvJKaQlFA6lp6l/UfBlFgKKFzIlhtSm+HK38eDog00PPW86csPREe3oo&#10;mTwyzBtrs0dTiB2l7t0BL1EMB8yCZ4U27ySFzcXX8+orzIlJOrxpm7a+I/sl3bW3N+/eUkA81TM8&#10;YEzvwVuWP3putMvCRSdOH2JaUq8phMvtLA2Ur3Q2kJON+wyKxFDJpqDLGMHeIDsJGgAhJbjUXEqX&#10;7AxT2pgVWP8deMnPUCgj9i/gFVEqe5dWsNXO45+qp/naslryrw4surMFT344l6cp1tCsFHMvc52H&#10;8ee4wJ//vt0PAAAA//8DAFBLAwQUAAYACAAAACEAxCgszuAAAAAIAQAADwAAAGRycy9kb3ducmV2&#10;LnhtbEyPQUvDQBCF74L/YRnBm900Sokxm1IKYi2UYhXqcZsdk2h2Nuxum/TfO57qcd57vPleMR9t&#10;J07oQ+tIwXSSgECqnGmpVvDx/nyXgQhRk9GdI1RwxgDz8vqq0LlxA73haRdrwSUUcq2gibHPpQxV&#10;g1aHieuR2Pty3urIp6+l8XrgctvJNElm0uqW+EOje1w2WP3sjlbBxq9Wy8X6/E3bTzvs0/V++zq+&#10;KHV7My6eQEQc4yUMf/iMDiUzHdyRTBCdgofsnpMKUl7EdjZ7nII4sJ4mGciykP8HlL8AAAD//wMA&#10;UEsBAi0AFAAGAAgAAAAhALaDOJL+AAAA4QEAABMAAAAAAAAAAAAAAAAAAAAAAFtDb250ZW50X1R5&#10;cGVzXS54bWxQSwECLQAUAAYACAAAACEAOP0h/9YAAACUAQAACwAAAAAAAAAAAAAAAAAvAQAAX3Jl&#10;bHMvLnJlbHNQSwECLQAUAAYACAAAACEAk2XlpbgBAADFAwAADgAAAAAAAAAAAAAAAAAuAgAAZHJz&#10;L2Uyb0RvYy54bWxQSwECLQAUAAYACAAAACEAxCgszuAAAAAIAQAADwAAAAAAAAAAAAAAAAASBAAA&#10;ZHJzL2Rvd25yZXYueG1sUEsFBgAAAAAEAAQA8wAAAB8FAAAAAA==&#10;" strokecolor="#4472c4 [3204]" strokeweight=".5pt">
                <v:stroke joinstyle="miter"/>
              </v:line>
            </w:pict>
          </mc:Fallback>
        </mc:AlternateContent>
      </w:r>
      <w:r w:rsidR="00E20C39">
        <w:rPr>
          <w:rFonts w:ascii="Palatino Linotype" w:eastAsia="Palatino Linotype" w:hAnsi="Palatino Linotype" w:cs="Palatino Linotype"/>
          <w:color w:val="000000"/>
        </w:rPr>
        <w:t> </w:t>
      </w:r>
    </w:p>
    <w:p w14:paraId="42767A23" w14:textId="77777777" w:rsidR="008D5F7B" w:rsidRDefault="008D5F7B">
      <w:pPr>
        <w:pBdr>
          <w:top w:val="nil"/>
          <w:left w:val="nil"/>
          <w:bottom w:val="nil"/>
          <w:right w:val="nil"/>
          <w:between w:val="nil"/>
        </w:pBdr>
        <w:spacing w:before="240" w:after="240" w:line="360" w:lineRule="auto"/>
        <w:jc w:val="both"/>
        <w:rPr>
          <w:color w:val="000000"/>
        </w:rPr>
      </w:pPr>
    </w:p>
    <w:p w14:paraId="56387B30" w14:textId="77777777" w:rsidR="008D5F7B" w:rsidRDefault="008D5F7B">
      <w:pPr>
        <w:spacing w:before="240" w:after="240" w:line="360" w:lineRule="auto"/>
        <w:jc w:val="both"/>
        <w:rPr>
          <w:rFonts w:ascii="Palatino Linotype" w:eastAsia="Palatino Linotype" w:hAnsi="Palatino Linotype" w:cs="Palatino Linotype"/>
        </w:rPr>
      </w:pPr>
    </w:p>
    <w:p w14:paraId="4FDABE8C" w14:textId="77777777" w:rsidR="008D5F7B" w:rsidRDefault="008D5F7B">
      <w:pPr>
        <w:spacing w:before="240" w:after="240" w:line="360" w:lineRule="auto"/>
        <w:jc w:val="both"/>
        <w:rPr>
          <w:rFonts w:ascii="Palatino Linotype" w:eastAsia="Palatino Linotype" w:hAnsi="Palatino Linotype" w:cs="Palatino Linotype"/>
        </w:rPr>
      </w:pPr>
    </w:p>
    <w:p w14:paraId="15CCE019" w14:textId="77777777" w:rsidR="008D5F7B" w:rsidRDefault="008D5F7B">
      <w:pPr>
        <w:pBdr>
          <w:top w:val="nil"/>
          <w:left w:val="nil"/>
          <w:bottom w:val="nil"/>
          <w:right w:val="nil"/>
          <w:between w:val="nil"/>
        </w:pBdr>
        <w:jc w:val="both"/>
        <w:rPr>
          <w:color w:val="000000"/>
        </w:rPr>
      </w:pPr>
    </w:p>
    <w:p w14:paraId="6FBDCD63" w14:textId="77777777" w:rsidR="008D5F7B" w:rsidRDefault="008D5F7B">
      <w:pPr>
        <w:pBdr>
          <w:top w:val="nil"/>
          <w:left w:val="nil"/>
          <w:bottom w:val="nil"/>
          <w:right w:val="nil"/>
          <w:between w:val="nil"/>
        </w:pBdr>
        <w:jc w:val="both"/>
        <w:rPr>
          <w:color w:val="000000"/>
        </w:rPr>
      </w:pPr>
    </w:p>
    <w:p w14:paraId="5F7D328B" w14:textId="77777777" w:rsidR="008D5F7B" w:rsidRDefault="008D5F7B">
      <w:pPr>
        <w:pBdr>
          <w:top w:val="nil"/>
          <w:left w:val="nil"/>
          <w:bottom w:val="nil"/>
          <w:right w:val="nil"/>
          <w:between w:val="nil"/>
        </w:pBdr>
        <w:jc w:val="both"/>
        <w:rPr>
          <w:color w:val="000000"/>
        </w:rPr>
      </w:pPr>
    </w:p>
    <w:p w14:paraId="6108E7C5" w14:textId="77777777" w:rsidR="008D5F7B" w:rsidRDefault="008D5F7B">
      <w:pPr>
        <w:pBdr>
          <w:top w:val="nil"/>
          <w:left w:val="nil"/>
          <w:bottom w:val="nil"/>
          <w:right w:val="nil"/>
          <w:between w:val="nil"/>
        </w:pBdr>
        <w:jc w:val="both"/>
        <w:rPr>
          <w:color w:val="000000"/>
        </w:rPr>
      </w:pPr>
    </w:p>
    <w:p w14:paraId="2DB05246" w14:textId="77777777" w:rsidR="008D5F7B" w:rsidRDefault="008D5F7B">
      <w:pPr>
        <w:pBdr>
          <w:top w:val="nil"/>
          <w:left w:val="nil"/>
          <w:bottom w:val="nil"/>
          <w:right w:val="nil"/>
          <w:between w:val="nil"/>
        </w:pBdr>
        <w:jc w:val="both"/>
        <w:rPr>
          <w:color w:val="000000"/>
        </w:rPr>
      </w:pPr>
    </w:p>
    <w:p w14:paraId="60511BDF" w14:textId="77777777" w:rsidR="008D5F7B" w:rsidRDefault="008D5F7B">
      <w:pPr>
        <w:pBdr>
          <w:top w:val="nil"/>
          <w:left w:val="nil"/>
          <w:bottom w:val="nil"/>
          <w:right w:val="nil"/>
          <w:between w:val="nil"/>
        </w:pBdr>
        <w:jc w:val="both"/>
        <w:rPr>
          <w:color w:val="000000"/>
        </w:rPr>
      </w:pPr>
    </w:p>
    <w:p w14:paraId="22A72F0D" w14:textId="77777777" w:rsidR="008D5F7B" w:rsidRDefault="008D5F7B">
      <w:pPr>
        <w:spacing w:before="240" w:after="240" w:line="360" w:lineRule="auto"/>
        <w:jc w:val="both"/>
        <w:rPr>
          <w:rFonts w:ascii="Palatino Linotype" w:eastAsia="Palatino Linotype" w:hAnsi="Palatino Linotype" w:cs="Palatino Linotype"/>
        </w:rPr>
      </w:pPr>
    </w:p>
    <w:p w14:paraId="02C4D4ED" w14:textId="77777777" w:rsidR="008D5F7B" w:rsidRDefault="008D5F7B"/>
    <w:sectPr w:rsidR="008D5F7B">
      <w:headerReference w:type="default" r:id="rId16"/>
      <w:headerReference w:type="first" r:id="rId17"/>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DD497" w14:textId="77777777" w:rsidR="000C6AD5" w:rsidRDefault="000C6AD5">
      <w:r>
        <w:separator/>
      </w:r>
    </w:p>
  </w:endnote>
  <w:endnote w:type="continuationSeparator" w:id="0">
    <w:p w14:paraId="568A0828" w14:textId="77777777" w:rsidR="000C6AD5" w:rsidRDefault="000C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2C0E" w14:textId="77777777" w:rsidR="000C6AD5" w:rsidRDefault="000C6AD5">
      <w:r>
        <w:separator/>
      </w:r>
    </w:p>
  </w:footnote>
  <w:footnote w:type="continuationSeparator" w:id="0">
    <w:p w14:paraId="65742F25" w14:textId="77777777" w:rsidR="000C6AD5" w:rsidRDefault="000C6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FCEA" w14:textId="77777777" w:rsidR="008D5F7B" w:rsidRDefault="008D5F7B">
    <w:pPr>
      <w:widowControl w:val="0"/>
      <w:pBdr>
        <w:top w:val="nil"/>
        <w:left w:val="nil"/>
        <w:bottom w:val="nil"/>
        <w:right w:val="nil"/>
        <w:between w:val="nil"/>
      </w:pBdr>
      <w:spacing w:line="276" w:lineRule="auto"/>
      <w:rPr>
        <w:color w:val="000000"/>
      </w:rPr>
    </w:pPr>
  </w:p>
  <w:tbl>
    <w:tblPr>
      <w:tblStyle w:val="a1"/>
      <w:tblW w:w="5812" w:type="dxa"/>
      <w:tblInd w:w="3119" w:type="dxa"/>
      <w:tblLayout w:type="fixed"/>
      <w:tblLook w:val="0400" w:firstRow="0" w:lastRow="0" w:firstColumn="0" w:lastColumn="0" w:noHBand="0" w:noVBand="1"/>
    </w:tblPr>
    <w:tblGrid>
      <w:gridCol w:w="2551"/>
      <w:gridCol w:w="3261"/>
    </w:tblGrid>
    <w:tr w:rsidR="008D5F7B" w14:paraId="3C2F1CD8" w14:textId="77777777">
      <w:tc>
        <w:tcPr>
          <w:tcW w:w="2551" w:type="dxa"/>
        </w:tcPr>
        <w:p w14:paraId="08FD52CF" w14:textId="77777777" w:rsidR="008D5F7B" w:rsidRDefault="008D5F7B">
          <w:pPr>
            <w:rPr>
              <w:rFonts w:ascii="Palatino Linotype" w:eastAsia="Palatino Linotype" w:hAnsi="Palatino Linotype" w:cs="Palatino Linotype"/>
              <w:b/>
              <w:sz w:val="22"/>
              <w:szCs w:val="22"/>
            </w:rPr>
          </w:pPr>
        </w:p>
      </w:tc>
      <w:tc>
        <w:tcPr>
          <w:tcW w:w="3261" w:type="dxa"/>
        </w:tcPr>
        <w:p w14:paraId="795E92B5" w14:textId="77777777" w:rsidR="008D5F7B" w:rsidRDefault="008D5F7B">
          <w:pPr>
            <w:jc w:val="both"/>
            <w:rPr>
              <w:rFonts w:ascii="Palatino Linotype" w:eastAsia="Palatino Linotype" w:hAnsi="Palatino Linotype" w:cs="Palatino Linotype"/>
              <w:b/>
              <w:sz w:val="22"/>
              <w:szCs w:val="22"/>
            </w:rPr>
          </w:pPr>
        </w:p>
      </w:tc>
    </w:tr>
    <w:tr w:rsidR="008D5F7B" w14:paraId="2BA4A20D" w14:textId="77777777">
      <w:tc>
        <w:tcPr>
          <w:tcW w:w="2551" w:type="dxa"/>
          <w:vAlign w:val="center"/>
        </w:tcPr>
        <w:p w14:paraId="7672644E" w14:textId="77777777" w:rsidR="008D5F7B" w:rsidRDefault="00E20C3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D7EFC60" w14:textId="77777777" w:rsidR="008D5F7B" w:rsidRDefault="00E20C3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05489/INFOEM/IP/RR/2021. </w:t>
          </w:r>
        </w:p>
      </w:tc>
    </w:tr>
    <w:tr w:rsidR="008D5F7B" w14:paraId="4A37768C" w14:textId="77777777">
      <w:trPr>
        <w:trHeight w:val="228"/>
      </w:trPr>
      <w:tc>
        <w:tcPr>
          <w:tcW w:w="2551" w:type="dxa"/>
          <w:vAlign w:val="center"/>
        </w:tcPr>
        <w:p w14:paraId="65E9A8E2" w14:textId="720BD717" w:rsidR="008D5F7B" w:rsidRDefault="008D5F7B">
          <w:pPr>
            <w:rPr>
              <w:rFonts w:ascii="Palatino Linotype" w:eastAsia="Palatino Linotype" w:hAnsi="Palatino Linotype" w:cs="Palatino Linotype"/>
              <w:b/>
              <w:sz w:val="22"/>
              <w:szCs w:val="22"/>
            </w:rPr>
          </w:pPr>
        </w:p>
      </w:tc>
      <w:tc>
        <w:tcPr>
          <w:tcW w:w="3261" w:type="dxa"/>
          <w:vAlign w:val="center"/>
        </w:tcPr>
        <w:p w14:paraId="5000CFF9" w14:textId="687290DE" w:rsidR="008D5F7B" w:rsidRDefault="008D5F7B">
          <w:pPr>
            <w:ind w:right="-533"/>
            <w:jc w:val="both"/>
            <w:rPr>
              <w:rFonts w:ascii="Palatino Linotype" w:eastAsia="Palatino Linotype" w:hAnsi="Palatino Linotype" w:cs="Palatino Linotype"/>
              <w:b/>
              <w:sz w:val="22"/>
              <w:szCs w:val="22"/>
            </w:rPr>
          </w:pPr>
        </w:p>
      </w:tc>
    </w:tr>
    <w:tr w:rsidR="008D5F7B" w14:paraId="573F026A" w14:textId="77777777">
      <w:tc>
        <w:tcPr>
          <w:tcW w:w="2551" w:type="dxa"/>
          <w:vAlign w:val="center"/>
        </w:tcPr>
        <w:p w14:paraId="4CCBB2B3" w14:textId="77777777" w:rsidR="008D5F7B" w:rsidRDefault="00E20C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3D934EB3" w14:textId="77777777" w:rsidR="008D5F7B" w:rsidRDefault="00000DB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w:t>
          </w:r>
          <w:r w:rsidR="00E20C39">
            <w:rPr>
              <w:rFonts w:ascii="Palatino Linotype" w:eastAsia="Palatino Linotype" w:hAnsi="Palatino Linotype" w:cs="Palatino Linotype"/>
              <w:b/>
              <w:sz w:val="22"/>
              <w:szCs w:val="22"/>
            </w:rPr>
            <w:t>a de Finanzas.</w:t>
          </w:r>
        </w:p>
      </w:tc>
    </w:tr>
    <w:tr w:rsidR="008D5F7B" w14:paraId="75D5D8B7" w14:textId="77777777">
      <w:tc>
        <w:tcPr>
          <w:tcW w:w="2551" w:type="dxa"/>
          <w:vAlign w:val="center"/>
        </w:tcPr>
        <w:p w14:paraId="274C9119" w14:textId="77777777" w:rsidR="008D5F7B" w:rsidRDefault="00E20C3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3F6737D6" w14:textId="77777777" w:rsidR="008D5F7B" w:rsidRDefault="00E20C3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E7EBBA" w14:textId="77777777" w:rsidR="008D5F7B" w:rsidRDefault="00E20C39">
    <w:pPr>
      <w:pBdr>
        <w:top w:val="nil"/>
        <w:left w:val="nil"/>
        <w:bottom w:val="nil"/>
        <w:right w:val="nil"/>
        <w:between w:val="nil"/>
      </w:pBdr>
      <w:tabs>
        <w:tab w:val="center" w:pos="4419"/>
        <w:tab w:val="right" w:pos="8838"/>
      </w:tabs>
      <w:rPr>
        <w:color w:val="000000"/>
      </w:rPr>
    </w:pPr>
    <w:r>
      <w:rPr>
        <w:noProof/>
        <w:lang w:val="es-MX" w:eastAsia="es-MX"/>
      </w:rPr>
      <w:drawing>
        <wp:anchor distT="0" distB="0" distL="0" distR="0" simplePos="0" relativeHeight="251658240" behindDoc="1" locked="0" layoutInCell="1" hidden="0" allowOverlap="1" wp14:anchorId="53243B09" wp14:editId="2FF9BB70">
          <wp:simplePos x="0" y="0"/>
          <wp:positionH relativeFrom="column">
            <wp:posOffset>-375919</wp:posOffset>
          </wp:positionH>
          <wp:positionV relativeFrom="paragraph">
            <wp:posOffset>-1185544</wp:posOffset>
          </wp:positionV>
          <wp:extent cx="7635600" cy="9943200"/>
          <wp:effectExtent l="0" t="0" r="0" b="0"/>
          <wp:wrapNone/>
          <wp:docPr id="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0EDE" w14:textId="77777777" w:rsidR="008D5F7B" w:rsidRDefault="008D5F7B">
    <w:pPr>
      <w:widowControl w:val="0"/>
      <w:pBdr>
        <w:top w:val="nil"/>
        <w:left w:val="nil"/>
        <w:bottom w:val="nil"/>
        <w:right w:val="nil"/>
        <w:between w:val="nil"/>
      </w:pBdr>
      <w:spacing w:line="276" w:lineRule="auto"/>
    </w:pPr>
  </w:p>
  <w:tbl>
    <w:tblPr>
      <w:tblStyle w:val="a0"/>
      <w:tblW w:w="5812" w:type="dxa"/>
      <w:tblInd w:w="3119" w:type="dxa"/>
      <w:tblLayout w:type="fixed"/>
      <w:tblLook w:val="0400" w:firstRow="0" w:lastRow="0" w:firstColumn="0" w:lastColumn="0" w:noHBand="0" w:noVBand="1"/>
    </w:tblPr>
    <w:tblGrid>
      <w:gridCol w:w="2551"/>
      <w:gridCol w:w="3261"/>
    </w:tblGrid>
    <w:tr w:rsidR="008D5F7B" w14:paraId="151A9798" w14:textId="77777777">
      <w:tc>
        <w:tcPr>
          <w:tcW w:w="2551" w:type="dxa"/>
        </w:tcPr>
        <w:p w14:paraId="1CE647F9" w14:textId="77777777" w:rsidR="008D5F7B" w:rsidRDefault="00E20C39">
          <w:pPr>
            <w:rPr>
              <w:rFonts w:ascii="Palatino Linotype" w:eastAsia="Palatino Linotype" w:hAnsi="Palatino Linotype" w:cs="Palatino Linotype"/>
              <w:b/>
              <w:sz w:val="22"/>
              <w:szCs w:val="22"/>
            </w:rPr>
          </w:pPr>
          <w:r>
            <w:rPr>
              <w:noProof/>
              <w:lang w:val="es-MX" w:eastAsia="es-MX"/>
            </w:rPr>
            <w:drawing>
              <wp:anchor distT="0" distB="0" distL="0" distR="0" simplePos="0" relativeHeight="251659264" behindDoc="1" locked="0" layoutInCell="1" hidden="0" allowOverlap="1" wp14:anchorId="1A987222" wp14:editId="655F4FE7">
                <wp:simplePos x="0" y="0"/>
                <wp:positionH relativeFrom="column">
                  <wp:posOffset>-680719</wp:posOffset>
                </wp:positionH>
                <wp:positionV relativeFrom="paragraph">
                  <wp:posOffset>281940</wp:posOffset>
                </wp:positionV>
                <wp:extent cx="7635600" cy="9943200"/>
                <wp:effectExtent l="0" t="0" r="0" b="0"/>
                <wp:wrapNone/>
                <wp:docPr id="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c>
      <w:tc>
        <w:tcPr>
          <w:tcW w:w="3261" w:type="dxa"/>
          <w:vAlign w:val="center"/>
        </w:tcPr>
        <w:p w14:paraId="4963CF75" w14:textId="77777777" w:rsidR="008D5F7B" w:rsidRDefault="00E20C3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05489/INFOEM/IP/RR/2021. </w:t>
          </w:r>
        </w:p>
      </w:tc>
    </w:tr>
    <w:tr w:rsidR="008D5F7B" w14:paraId="1ED84C67" w14:textId="77777777">
      <w:tc>
        <w:tcPr>
          <w:tcW w:w="2551" w:type="dxa"/>
        </w:tcPr>
        <w:p w14:paraId="38365EC3" w14:textId="77777777" w:rsidR="008D5F7B" w:rsidRDefault="008D5F7B">
          <w:pPr>
            <w:ind w:left="35" w:hanging="35"/>
            <w:rPr>
              <w:rFonts w:ascii="Palatino Linotype" w:eastAsia="Palatino Linotype" w:hAnsi="Palatino Linotype" w:cs="Palatino Linotype"/>
              <w:b/>
              <w:sz w:val="22"/>
              <w:szCs w:val="22"/>
            </w:rPr>
          </w:pPr>
        </w:p>
      </w:tc>
      <w:tc>
        <w:tcPr>
          <w:tcW w:w="3261" w:type="dxa"/>
          <w:vAlign w:val="center"/>
        </w:tcPr>
        <w:p w14:paraId="18DE2FB1" w14:textId="304A1825" w:rsidR="008D5F7B" w:rsidRDefault="00465B8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XXXXXXXXXXXXXXX</w:t>
          </w:r>
          <w:r w:rsidR="00E20C39">
            <w:rPr>
              <w:rFonts w:ascii="Palatino Linotype" w:eastAsia="Palatino Linotype" w:hAnsi="Palatino Linotype" w:cs="Palatino Linotype"/>
              <w:b/>
              <w:sz w:val="22"/>
              <w:szCs w:val="22"/>
            </w:rPr>
            <w:t>.</w:t>
          </w:r>
        </w:p>
      </w:tc>
    </w:tr>
    <w:tr w:rsidR="008D5F7B" w14:paraId="77E9A278" w14:textId="77777777">
      <w:trPr>
        <w:trHeight w:val="228"/>
      </w:trPr>
      <w:tc>
        <w:tcPr>
          <w:tcW w:w="2551" w:type="dxa"/>
        </w:tcPr>
        <w:p w14:paraId="6AF7E09C" w14:textId="77777777" w:rsidR="008D5F7B" w:rsidRDefault="008D5F7B">
          <w:pPr>
            <w:rPr>
              <w:rFonts w:ascii="Palatino Linotype" w:eastAsia="Palatino Linotype" w:hAnsi="Palatino Linotype" w:cs="Palatino Linotype"/>
              <w:b/>
              <w:sz w:val="22"/>
              <w:szCs w:val="22"/>
            </w:rPr>
          </w:pPr>
        </w:p>
      </w:tc>
      <w:tc>
        <w:tcPr>
          <w:tcW w:w="3261" w:type="dxa"/>
          <w:vAlign w:val="center"/>
        </w:tcPr>
        <w:p w14:paraId="4270AEAB" w14:textId="77777777" w:rsidR="008D5F7B" w:rsidRDefault="00E20C3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8D5F7B" w14:paraId="7D5536A5" w14:textId="77777777">
      <w:tc>
        <w:tcPr>
          <w:tcW w:w="2551" w:type="dxa"/>
        </w:tcPr>
        <w:p w14:paraId="590AD951" w14:textId="77777777" w:rsidR="008D5F7B" w:rsidRDefault="008D5F7B">
          <w:pPr>
            <w:rPr>
              <w:rFonts w:ascii="Palatino Linotype" w:eastAsia="Palatino Linotype" w:hAnsi="Palatino Linotype" w:cs="Palatino Linotype"/>
              <w:b/>
              <w:sz w:val="22"/>
              <w:szCs w:val="22"/>
            </w:rPr>
          </w:pPr>
        </w:p>
      </w:tc>
      <w:tc>
        <w:tcPr>
          <w:tcW w:w="3261" w:type="dxa"/>
          <w:vAlign w:val="center"/>
        </w:tcPr>
        <w:p w14:paraId="103FDEDB" w14:textId="77777777" w:rsidR="008D5F7B" w:rsidRDefault="00E20C3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1E55E5" w14:textId="77777777" w:rsidR="008D5F7B" w:rsidRDefault="00E20C3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14:anchorId="14892AAF" wp14:editId="6D374646">
          <wp:simplePos x="0" y="0"/>
          <wp:positionH relativeFrom="column">
            <wp:posOffset>-128269</wp:posOffset>
          </wp:positionH>
          <wp:positionV relativeFrom="paragraph">
            <wp:posOffset>-1094104</wp:posOffset>
          </wp:positionV>
          <wp:extent cx="7635600" cy="9943200"/>
          <wp:effectExtent l="0" t="0" r="0" b="0"/>
          <wp:wrapNone/>
          <wp:docPr id="4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14:paraId="2BD21912" w14:textId="77777777" w:rsidR="008D5F7B" w:rsidRDefault="008D5F7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A70C6"/>
    <w:multiLevelType w:val="multilevel"/>
    <w:tmpl w:val="544EC248"/>
    <w:lvl w:ilvl="0">
      <w:start w:val="3"/>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6E0223C"/>
    <w:multiLevelType w:val="multilevel"/>
    <w:tmpl w:val="19AA17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B266BE"/>
    <w:multiLevelType w:val="hybridMultilevel"/>
    <w:tmpl w:val="35B49B68"/>
    <w:lvl w:ilvl="0" w:tplc="A3522112">
      <w:start w:val="566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E9E2601"/>
    <w:multiLevelType w:val="hybridMultilevel"/>
    <w:tmpl w:val="3EBE6760"/>
    <w:lvl w:ilvl="0" w:tplc="375295AA">
      <w:start w:val="566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D9741D"/>
    <w:multiLevelType w:val="multilevel"/>
    <w:tmpl w:val="89AC32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F7B"/>
    <w:rsid w:val="00000DB2"/>
    <w:rsid w:val="000C1235"/>
    <w:rsid w:val="000C6AD5"/>
    <w:rsid w:val="00103BB0"/>
    <w:rsid w:val="0026508E"/>
    <w:rsid w:val="00465B8E"/>
    <w:rsid w:val="00503D12"/>
    <w:rsid w:val="005177F0"/>
    <w:rsid w:val="00533EEC"/>
    <w:rsid w:val="007050B2"/>
    <w:rsid w:val="007172B4"/>
    <w:rsid w:val="007F7150"/>
    <w:rsid w:val="008D5F7B"/>
    <w:rsid w:val="009C4FEE"/>
    <w:rsid w:val="00AC039E"/>
    <w:rsid w:val="00CB526B"/>
    <w:rsid w:val="00E20C39"/>
    <w:rsid w:val="00E52EAE"/>
    <w:rsid w:val="00EA1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DC5130"/>
  <w15:docId w15:val="{1733FE41-E923-4F18-ADCE-5B40566B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89B"/>
    <w:rPr>
      <w:lang w:val="es-ES"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A789B"/>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A789B"/>
    <w:pPr>
      <w:ind w:left="708"/>
    </w:pPr>
    <w:rPr>
      <w:sz w:val="22"/>
      <w:szCs w:val="22"/>
      <w:lang w:eastAsia="en-US"/>
    </w:rPr>
  </w:style>
  <w:style w:type="paragraph" w:customStyle="1" w:styleId="paragraph">
    <w:name w:val="paragraph"/>
    <w:basedOn w:val="Normal"/>
    <w:rsid w:val="006A789B"/>
    <w:pPr>
      <w:spacing w:before="100" w:beforeAutospacing="1" w:after="100" w:afterAutospacing="1"/>
    </w:pPr>
    <w:rPr>
      <w:lang w:val="es-MX" w:eastAsia="es-MX"/>
    </w:rPr>
  </w:style>
  <w:style w:type="character" w:customStyle="1" w:styleId="normaltextrun">
    <w:name w:val="normaltextrun"/>
    <w:basedOn w:val="Fuentedeprrafopredeter"/>
    <w:rsid w:val="006A789B"/>
  </w:style>
  <w:style w:type="character" w:customStyle="1" w:styleId="apple-converted-space">
    <w:name w:val="apple-converted-space"/>
    <w:basedOn w:val="Fuentedeprrafopredeter"/>
    <w:rsid w:val="006A789B"/>
  </w:style>
  <w:style w:type="character" w:customStyle="1" w:styleId="eop">
    <w:name w:val="eop"/>
    <w:basedOn w:val="Fuentedeprrafopredeter"/>
    <w:rsid w:val="006A789B"/>
  </w:style>
  <w:style w:type="table" w:styleId="Tablaconcuadrcula">
    <w:name w:val="Table Grid"/>
    <w:basedOn w:val="Tablanormal"/>
    <w:uiPriority w:val="39"/>
    <w:rsid w:val="006A789B"/>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A789B"/>
    <w:rPr>
      <w:color w:val="0000FF"/>
      <w:u w:val="single"/>
    </w:rPr>
  </w:style>
  <w:style w:type="paragraph" w:styleId="Encabezado">
    <w:name w:val="header"/>
    <w:basedOn w:val="Normal"/>
    <w:link w:val="EncabezadoCar"/>
    <w:uiPriority w:val="99"/>
    <w:unhideWhenUsed/>
    <w:rsid w:val="006A789B"/>
    <w:pPr>
      <w:tabs>
        <w:tab w:val="center" w:pos="4419"/>
        <w:tab w:val="right" w:pos="8838"/>
      </w:tabs>
    </w:pPr>
  </w:style>
  <w:style w:type="character" w:customStyle="1" w:styleId="EncabezadoCar">
    <w:name w:val="Encabezado Car"/>
    <w:basedOn w:val="Fuentedeprrafopredeter"/>
    <w:link w:val="Encabezado"/>
    <w:uiPriority w:val="99"/>
    <w:rsid w:val="006A789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A789B"/>
    <w:pPr>
      <w:tabs>
        <w:tab w:val="center" w:pos="4419"/>
        <w:tab w:val="right" w:pos="8838"/>
      </w:tabs>
    </w:pPr>
  </w:style>
  <w:style w:type="character" w:customStyle="1" w:styleId="PiedepginaCar">
    <w:name w:val="Pie de página Car"/>
    <w:basedOn w:val="Fuentedeprrafopredeter"/>
    <w:link w:val="Piedepgina"/>
    <w:uiPriority w:val="99"/>
    <w:rsid w:val="006A789B"/>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6637D"/>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X6tTgPF7Hq6igyhaOGI0E/KHIg==">AMUW2mW6iipfOwWPcg4ND04wUxDhzNdlb9ueUCl7PO9YPM7y9BD113m6bDLPRZTrJmL9tSzzLLP/IuizTdCk9cJyepGg8eP7HblYjMFOxBzeAgPuPfddqF7UyHXqlnIoYDcWUbFTMb5h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6793</Words>
  <Characters>37365</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misael hernandez</dc:creator>
  <cp:lastModifiedBy>KEPZAR Productos y Servicios de Tecnología</cp:lastModifiedBy>
  <cp:revision>2</cp:revision>
  <dcterms:created xsi:type="dcterms:W3CDTF">2022-03-04T19:31:00Z</dcterms:created>
  <dcterms:modified xsi:type="dcterms:W3CDTF">2022-03-04T19:31:00Z</dcterms:modified>
</cp:coreProperties>
</file>