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6F724"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veintitrés de febrero de dos mil veintidós.</w:t>
      </w:r>
    </w:p>
    <w:p w14:paraId="4DC40A8D" w14:textId="7D929C58" w:rsidR="00682E5A" w:rsidRPr="00714DCE" w:rsidRDefault="005E0AE8" w:rsidP="00714DCE">
      <w:pPr>
        <w:spacing w:line="360" w:lineRule="auto"/>
        <w:jc w:val="both"/>
        <w:rPr>
          <w:rFonts w:ascii="Palatino Linotype" w:eastAsia="Palatino Linotype" w:hAnsi="Palatino Linotype" w:cs="Palatino Linotype"/>
          <w:b/>
          <w:sz w:val="21"/>
          <w:szCs w:val="21"/>
        </w:rPr>
      </w:pPr>
      <w:r w:rsidRPr="00714DCE">
        <w:rPr>
          <w:rFonts w:ascii="Palatino Linotype" w:eastAsia="Palatino Linotype" w:hAnsi="Palatino Linotype" w:cs="Palatino Linotype"/>
          <w:b/>
        </w:rPr>
        <w:t xml:space="preserve">Visto </w:t>
      </w:r>
      <w:r w:rsidRPr="00714DCE">
        <w:rPr>
          <w:rFonts w:ascii="Palatino Linotype" w:eastAsia="Palatino Linotype" w:hAnsi="Palatino Linotype" w:cs="Palatino Linotype"/>
        </w:rPr>
        <w:t xml:space="preserve">el expediente relativo al recurso de revisión </w:t>
      </w:r>
      <w:r w:rsidRPr="00714DCE">
        <w:rPr>
          <w:rFonts w:ascii="Palatino Linotype" w:eastAsia="Palatino Linotype" w:hAnsi="Palatino Linotype" w:cs="Palatino Linotype"/>
          <w:b/>
        </w:rPr>
        <w:t>05754/INFOEM/IP/RR/2021</w:t>
      </w:r>
      <w:r w:rsidRPr="00714DCE">
        <w:rPr>
          <w:rFonts w:ascii="Palatino Linotype" w:eastAsia="Palatino Linotype" w:hAnsi="Palatino Linotype" w:cs="Palatino Linotype"/>
        </w:rPr>
        <w:t xml:space="preserve">, interpuesto por </w:t>
      </w:r>
      <w:r w:rsidR="00161EC9">
        <w:rPr>
          <w:rFonts w:ascii="Palatino Linotype" w:eastAsia="Palatino Linotype" w:hAnsi="Palatino Linotype" w:cs="Palatino Linotype"/>
          <w:b/>
          <w:sz w:val="21"/>
          <w:szCs w:val="21"/>
        </w:rPr>
        <w:t>XXXXXXX XXXXX</w:t>
      </w:r>
      <w:r w:rsidRPr="00714DCE">
        <w:rPr>
          <w:rFonts w:ascii="Palatino Linotype" w:eastAsia="Palatino Linotype" w:hAnsi="Palatino Linotype" w:cs="Palatino Linotype"/>
        </w:rPr>
        <w:t xml:space="preserve">, en lo sucesivo el </w:t>
      </w:r>
      <w:r w:rsidRPr="00714DCE">
        <w:rPr>
          <w:rFonts w:ascii="Palatino Linotype" w:eastAsia="Palatino Linotype" w:hAnsi="Palatino Linotype" w:cs="Palatino Linotype"/>
          <w:b/>
        </w:rPr>
        <w:t>RECURRENTE</w:t>
      </w:r>
      <w:r w:rsidRPr="00714DCE">
        <w:rPr>
          <w:rFonts w:ascii="Palatino Linotype" w:eastAsia="Palatino Linotype" w:hAnsi="Palatino Linotype" w:cs="Palatino Linotype"/>
        </w:rPr>
        <w:t xml:space="preserve"> en contra de la respuesta emitida a la solicitud de información con número de folio </w:t>
      </w:r>
      <w:r w:rsidRPr="00714DCE">
        <w:rPr>
          <w:rFonts w:ascii="Palatino Linotype" w:eastAsia="Palatino Linotype" w:hAnsi="Palatino Linotype" w:cs="Palatino Linotype"/>
          <w:b/>
        </w:rPr>
        <w:t>00790/NAUCALPA/IP/2021</w:t>
      </w:r>
      <w:r w:rsidRPr="00714DCE">
        <w:rPr>
          <w:rFonts w:ascii="Palatino Linotype" w:eastAsia="Palatino Linotype" w:hAnsi="Palatino Linotype" w:cs="Palatino Linotype"/>
        </w:rPr>
        <w:t xml:space="preserve">, por parte del </w:t>
      </w:r>
      <w:r w:rsidRPr="00714DCE">
        <w:rPr>
          <w:rFonts w:ascii="Palatino Linotype" w:eastAsia="Palatino Linotype" w:hAnsi="Palatino Linotype" w:cs="Palatino Linotype"/>
          <w:b/>
        </w:rPr>
        <w:t>Ayuntamiento de Naucalpan de Juárez</w:t>
      </w:r>
      <w:r w:rsidRPr="00714DCE">
        <w:rPr>
          <w:rFonts w:ascii="Palatino Linotype" w:eastAsia="Palatino Linotype" w:hAnsi="Palatino Linotype" w:cs="Palatino Linotype"/>
        </w:rPr>
        <w:t xml:space="preserve">, en lo sucesivo el </w:t>
      </w:r>
      <w:r w:rsidRPr="00714DCE">
        <w:rPr>
          <w:rFonts w:ascii="Palatino Linotype" w:eastAsia="Palatino Linotype" w:hAnsi="Palatino Linotype" w:cs="Palatino Linotype"/>
          <w:b/>
        </w:rPr>
        <w:t xml:space="preserve">SUJETO OBLIGADO; </w:t>
      </w:r>
      <w:r w:rsidRPr="00714DCE">
        <w:rPr>
          <w:rFonts w:ascii="Palatino Linotype" w:eastAsia="Palatino Linotype" w:hAnsi="Palatino Linotype" w:cs="Palatino Linotype"/>
        </w:rPr>
        <w:t>se procede a dictar la presente resolución, con base en lo siguiente.</w:t>
      </w:r>
    </w:p>
    <w:p w14:paraId="74D5A154" w14:textId="77777777" w:rsidR="00682E5A" w:rsidRPr="00714DCE" w:rsidRDefault="005E0AE8" w:rsidP="00714DCE">
      <w:pPr>
        <w:numPr>
          <w:ilvl w:val="0"/>
          <w:numId w:val="4"/>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sidRPr="00714DCE">
        <w:rPr>
          <w:rFonts w:ascii="Palatino Linotype" w:eastAsia="Palatino Linotype" w:hAnsi="Palatino Linotype" w:cs="Palatino Linotype"/>
          <w:b/>
          <w:color w:val="000000"/>
        </w:rPr>
        <w:t>A N T E C E D E N T E S:</w:t>
      </w:r>
    </w:p>
    <w:p w14:paraId="429B191D" w14:textId="77777777" w:rsidR="00682E5A" w:rsidRPr="00714DCE" w:rsidRDefault="005E0AE8" w:rsidP="00714DCE">
      <w:pPr>
        <w:spacing w:before="240" w:after="240" w:line="360" w:lineRule="auto"/>
        <w:jc w:val="both"/>
        <w:rPr>
          <w:rFonts w:ascii="Palatino Linotype" w:eastAsia="Palatino Linotype" w:hAnsi="Palatino Linotype" w:cs="Palatino Linotype"/>
          <w:b/>
        </w:rPr>
      </w:pPr>
      <w:r w:rsidRPr="00714DCE">
        <w:rPr>
          <w:rFonts w:ascii="Palatino Linotype" w:eastAsia="Palatino Linotype" w:hAnsi="Palatino Linotype" w:cs="Palatino Linotype"/>
          <w:b/>
        </w:rPr>
        <w:t xml:space="preserve">1. Solicitud de acceso a la información. </w:t>
      </w:r>
      <w:r w:rsidRPr="00714DCE">
        <w:rPr>
          <w:rFonts w:ascii="Palatino Linotype" w:eastAsia="Palatino Linotype" w:hAnsi="Palatino Linotype" w:cs="Palatino Linotype"/>
        </w:rPr>
        <w:t xml:space="preserve">Con fecha dieciocho de octubre de dos mil veintiuno, el </w:t>
      </w:r>
      <w:r w:rsidRPr="00714DCE">
        <w:rPr>
          <w:rFonts w:ascii="Palatino Linotype" w:eastAsia="Palatino Linotype" w:hAnsi="Palatino Linotype" w:cs="Palatino Linotype"/>
          <w:b/>
        </w:rPr>
        <w:t>RECURRENTE</w:t>
      </w:r>
      <w:r w:rsidRPr="00714DCE">
        <w:rPr>
          <w:rFonts w:ascii="Palatino Linotype" w:eastAsia="Palatino Linotype" w:hAnsi="Palatino Linotype" w:cs="Palatino Linotype"/>
        </w:rPr>
        <w:t xml:space="preserve"> formuló solicitud de acceso a información pública al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xml:space="preserve"> a través del Sistema de Acceso a la Información Mexiquense, en adelante </w:t>
      </w:r>
      <w:r w:rsidRPr="00714DCE">
        <w:rPr>
          <w:rFonts w:ascii="Palatino Linotype" w:eastAsia="Palatino Linotype" w:hAnsi="Palatino Linotype" w:cs="Palatino Linotype"/>
          <w:b/>
        </w:rPr>
        <w:t>SAIMEX,</w:t>
      </w:r>
      <w:r w:rsidRPr="00714DCE">
        <w:rPr>
          <w:rFonts w:ascii="Palatino Linotype" w:eastAsia="Palatino Linotype" w:hAnsi="Palatino Linotype" w:cs="Palatino Linotype"/>
        </w:rPr>
        <w:t xml:space="preserve"> requiriéndole lo siguiente:</w:t>
      </w:r>
    </w:p>
    <w:p w14:paraId="531F4247" w14:textId="77777777" w:rsidR="00682E5A" w:rsidRPr="00714DCE" w:rsidRDefault="005E0AE8" w:rsidP="00714DCE">
      <w:pPr>
        <w:pBdr>
          <w:top w:val="nil"/>
          <w:left w:val="nil"/>
          <w:bottom w:val="nil"/>
          <w:right w:val="nil"/>
          <w:between w:val="nil"/>
        </w:pBdr>
        <w:ind w:left="1077" w:right="1043"/>
        <w:jc w:val="both"/>
        <w:rPr>
          <w:rFonts w:ascii="Palatino Linotype" w:eastAsia="Palatino Linotype" w:hAnsi="Palatino Linotype" w:cs="Palatino Linotype"/>
          <w:i/>
          <w:color w:val="000000"/>
          <w:sz w:val="22"/>
          <w:szCs w:val="22"/>
        </w:rPr>
      </w:pPr>
      <w:bookmarkStart w:id="0" w:name="_heading=h.gjdgxs" w:colFirst="0" w:colLast="0"/>
      <w:bookmarkEnd w:id="0"/>
      <w:r w:rsidRPr="00714DCE">
        <w:rPr>
          <w:rFonts w:ascii="Palatino Linotype" w:eastAsia="Palatino Linotype" w:hAnsi="Palatino Linotype" w:cs="Palatino Linotype"/>
          <w:i/>
          <w:color w:val="000000"/>
          <w:sz w:val="22"/>
          <w:szCs w:val="22"/>
        </w:rPr>
        <w:t>“Buenas tardes, solicito se me proporcione copia del CONVENIO DE SUELDO, PRESTACIONES DE LEY Y COLATERALES 2021 CELEBRADO ENTRE EL H. AYUNTAMIENTO CONSTITUCIONAL DE NAUCALPAN DE JUÁREZ, ESTADO DE MÉXICO Y EL SINDICATO ÚNICO DE TRABAJADORES DE LOS PODERES, MUNICIPIOS E INSTITUCIONES DESCENTRALIZADAS EN EL ESTADO DE MÉXICO (SUTEYM), SECCIÓN NAUCALPAN “(sic)</w:t>
      </w:r>
    </w:p>
    <w:p w14:paraId="713E8857" w14:textId="77777777" w:rsidR="00682E5A" w:rsidRPr="00714DCE" w:rsidRDefault="00682E5A" w:rsidP="00714DCE">
      <w:pPr>
        <w:pBdr>
          <w:top w:val="nil"/>
          <w:left w:val="nil"/>
          <w:bottom w:val="nil"/>
          <w:right w:val="nil"/>
          <w:between w:val="nil"/>
        </w:pBdr>
        <w:ind w:left="1077" w:right="1043"/>
        <w:jc w:val="both"/>
        <w:rPr>
          <w:rFonts w:ascii="Palatino Linotype" w:eastAsia="Palatino Linotype" w:hAnsi="Palatino Linotype" w:cs="Palatino Linotype"/>
          <w:i/>
          <w:color w:val="000000"/>
          <w:sz w:val="22"/>
          <w:szCs w:val="22"/>
        </w:rPr>
      </w:pPr>
    </w:p>
    <w:p w14:paraId="070156B0"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b/>
        </w:rPr>
        <w:t xml:space="preserve">Modalidad elegida para la entrega de la información: </w:t>
      </w:r>
      <w:r w:rsidRPr="00714DCE">
        <w:rPr>
          <w:rFonts w:ascii="Palatino Linotype" w:eastAsia="Palatino Linotype" w:hAnsi="Palatino Linotype" w:cs="Palatino Linotype"/>
        </w:rPr>
        <w:t>a través del SAIMEX.</w:t>
      </w:r>
    </w:p>
    <w:p w14:paraId="596752C3"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b/>
        </w:rPr>
        <w:lastRenderedPageBreak/>
        <w:t xml:space="preserve">2. Respuesta. </w:t>
      </w:r>
      <w:r w:rsidRPr="00714DCE">
        <w:rPr>
          <w:rFonts w:ascii="Palatino Linotype" w:eastAsia="Palatino Linotype" w:hAnsi="Palatino Linotype" w:cs="Palatino Linotype"/>
        </w:rPr>
        <w:t xml:space="preserve">De las constancias que obran en </w:t>
      </w:r>
      <w:r w:rsidRPr="00714DCE">
        <w:rPr>
          <w:rFonts w:ascii="Palatino Linotype" w:eastAsia="Palatino Linotype" w:hAnsi="Palatino Linotype" w:cs="Palatino Linotype"/>
          <w:b/>
        </w:rPr>
        <w:t>SAIMEX</w:t>
      </w:r>
      <w:r w:rsidRPr="00714DCE">
        <w:rPr>
          <w:rFonts w:ascii="Palatino Linotype" w:eastAsia="Palatino Linotype" w:hAnsi="Palatino Linotype" w:cs="Palatino Linotype"/>
        </w:rPr>
        <w:t>, se observa que el</w:t>
      </w:r>
      <w:r w:rsidRPr="00714DCE">
        <w:rPr>
          <w:rFonts w:ascii="Palatino Linotype" w:eastAsia="Palatino Linotype" w:hAnsi="Palatino Linotype" w:cs="Palatino Linotype"/>
          <w:b/>
        </w:rPr>
        <w:t xml:space="preserve"> SUJETO OBLIGADO </w:t>
      </w:r>
      <w:r w:rsidRPr="00714DCE">
        <w:rPr>
          <w:rFonts w:ascii="Palatino Linotype" w:eastAsia="Palatino Linotype" w:hAnsi="Palatino Linotype" w:cs="Palatino Linotype"/>
        </w:rPr>
        <w:t>en fecha tres de noviembre de dos mil veintiuno, emitió respuesta, en los siguientes términos:</w:t>
      </w:r>
    </w:p>
    <w:p w14:paraId="6BDEDED9"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color w:val="000000"/>
          <w:sz w:val="22"/>
          <w:szCs w:val="22"/>
        </w:rPr>
        <w:t>“Por lo que atañe a la Dirección General de Administración, área encargada de atender su solicitud, le informa lo siguiente: “…Sobre su solicitud ingresada en el portal SAIMEX se adjunta oficio SRH/1129/2021 signado por la Lic. Mercedes Susana Vázquez Ramírez Encargada del despacho de la Subdirección de Recursos Humanos…” (sic)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w:t>
      </w:r>
    </w:p>
    <w:p w14:paraId="60182D21"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ATENTAMENTE</w:t>
      </w:r>
    </w:p>
    <w:p w14:paraId="1A884666"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C. LEONARDO SALCEDO MALVAEZ (Sic)</w:t>
      </w:r>
    </w:p>
    <w:p w14:paraId="790170BF" w14:textId="77777777" w:rsidR="00682E5A" w:rsidRPr="00714DCE" w:rsidRDefault="00682E5A" w:rsidP="00714DCE">
      <w:pPr>
        <w:ind w:left="851" w:right="851"/>
        <w:jc w:val="both"/>
        <w:rPr>
          <w:rFonts w:ascii="Palatino Linotype" w:eastAsia="Palatino Linotype" w:hAnsi="Palatino Linotype" w:cs="Palatino Linotype"/>
          <w:i/>
          <w:sz w:val="22"/>
          <w:szCs w:val="22"/>
        </w:rPr>
      </w:pPr>
    </w:p>
    <w:p w14:paraId="474F4A58"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Al respecto es de suma importancia mencionar que el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xml:space="preserve"> adjuntó el archivo electrónico “</w:t>
      </w:r>
      <w:hyperlink r:id="rId8">
        <w:r w:rsidRPr="00714DCE">
          <w:rPr>
            <w:rFonts w:ascii="Palatino Linotype" w:eastAsia="Palatino Linotype" w:hAnsi="Palatino Linotype" w:cs="Palatino Linotype"/>
            <w:b/>
            <w:color w:val="000000"/>
            <w:u w:val="single"/>
          </w:rPr>
          <w:t>00790-NAUCALPA_IP_2021.pdf</w:t>
        </w:r>
      </w:hyperlink>
      <w:r w:rsidRPr="00714DCE">
        <w:rPr>
          <w:rFonts w:ascii="Palatino Linotype" w:eastAsia="Palatino Linotype" w:hAnsi="Palatino Linotype" w:cs="Palatino Linotype"/>
        </w:rPr>
        <w:t xml:space="preserve">”, cuyo contenido es el siguiente: </w:t>
      </w:r>
    </w:p>
    <w:p w14:paraId="47E3EEA8"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noProof/>
          <w:lang w:val="es-MX" w:eastAsia="es-MX"/>
        </w:rPr>
        <w:lastRenderedPageBreak/>
        <w:drawing>
          <wp:inline distT="0" distB="0" distL="0" distR="0" wp14:anchorId="791D18AA" wp14:editId="6C482957">
            <wp:extent cx="5581650" cy="7086600"/>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581650" cy="7086600"/>
                    </a:xfrm>
                    <a:prstGeom prst="rect">
                      <a:avLst/>
                    </a:prstGeom>
                    <a:ln/>
                  </pic:spPr>
                </pic:pic>
              </a:graphicData>
            </a:graphic>
          </wp:inline>
        </w:drawing>
      </w:r>
    </w:p>
    <w:p w14:paraId="0E4770F6"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b/>
        </w:rPr>
        <w:lastRenderedPageBreak/>
        <w:t xml:space="preserve">3. Interposición del recurso de revisión. </w:t>
      </w:r>
      <w:r w:rsidRPr="00714DCE">
        <w:rPr>
          <w:rFonts w:ascii="Palatino Linotype" w:eastAsia="Palatino Linotype" w:hAnsi="Palatino Linotype" w:cs="Palatino Linotype"/>
        </w:rPr>
        <w:t xml:space="preserve">Inconforme el solicitante con la respuesta del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xml:space="preserve"> interpuso recurso de revisión a través del SAIMEX con fecha diecinueve de noviembre de dos mil veintiuno, a través del cual expresó lo siguiente:</w:t>
      </w:r>
    </w:p>
    <w:p w14:paraId="65C53D3F" w14:textId="77777777" w:rsidR="00682E5A" w:rsidRPr="00714DCE" w:rsidRDefault="005E0AE8" w:rsidP="00714DCE">
      <w:pPr>
        <w:spacing w:line="360" w:lineRule="auto"/>
        <w:rPr>
          <w:rFonts w:ascii="Palatino Linotype" w:eastAsia="Palatino Linotype" w:hAnsi="Palatino Linotype" w:cs="Palatino Linotype"/>
          <w:b/>
        </w:rPr>
      </w:pPr>
      <w:r w:rsidRPr="00714DCE">
        <w:rPr>
          <w:rFonts w:ascii="Palatino Linotype" w:eastAsia="Palatino Linotype" w:hAnsi="Palatino Linotype" w:cs="Palatino Linotype"/>
          <w:b/>
        </w:rPr>
        <w:t>a) Acto impugnado.</w:t>
      </w:r>
    </w:p>
    <w:p w14:paraId="5ACB7659" w14:textId="77777777" w:rsidR="00682E5A" w:rsidRPr="00714DCE" w:rsidRDefault="005E0AE8" w:rsidP="00714DCE">
      <w:pPr>
        <w:ind w:left="851" w:right="851"/>
        <w:jc w:val="both"/>
        <w:rPr>
          <w:rFonts w:ascii="Palatino Linotype" w:eastAsia="Palatino Linotype" w:hAnsi="Palatino Linotype" w:cs="Palatino Linotype"/>
          <w:i/>
        </w:rPr>
      </w:pPr>
      <w:r w:rsidRPr="00714DCE">
        <w:rPr>
          <w:rFonts w:ascii="Palatino Linotype" w:eastAsia="Palatino Linotype" w:hAnsi="Palatino Linotype" w:cs="Palatino Linotype"/>
          <w:i/>
          <w:sz w:val="22"/>
          <w:szCs w:val="22"/>
        </w:rPr>
        <w:t xml:space="preserve"> “</w:t>
      </w:r>
      <w:r w:rsidRPr="00714DCE">
        <w:rPr>
          <w:rFonts w:ascii="Palatino Linotype" w:eastAsia="Palatino Linotype" w:hAnsi="Palatino Linotype" w:cs="Palatino Linotype"/>
          <w:i/>
          <w:color w:val="000000"/>
          <w:sz w:val="22"/>
          <w:szCs w:val="22"/>
        </w:rPr>
        <w:t>Respuesta brindada por el Sujeto Obligado, a través de la plataforma SAIMEX, con fecha 03 de noviembre de 2021, en la cual, el responsable de su Unidad de Transparencia, dentro del Folio de la solicitud: 00790/NAUCALPA/IP/2021, acompañó el Oficio SRH/1129/2021, de fecha 25 de octubre de 2021, dentro del cual, no fue proporcionado el CONVENIO DE SUELDO, PRESTACIONES DE LEY Y COLATERALES 2021 CELEBRADO ENTRE EL H. AYUNTAMIENTO CONSTITUCIONAL DE NAUCALPAN DE JUÁREZ, ESTADO DE MÉXICO Y EL SINDICATO ÚNICO DE TRABAJADORES DE LOS PODERES, MUNICIPIOS E INSTITUCIONES DESCENTRALIZADAS EN EL ESTADO DE MÉXICO (SUTEYM), SECCIÓN NAUCALPAN.</w:t>
      </w:r>
      <w:r w:rsidRPr="00714DCE">
        <w:rPr>
          <w:rFonts w:ascii="Palatino Linotype" w:eastAsia="Palatino Linotype" w:hAnsi="Palatino Linotype" w:cs="Palatino Linotype"/>
          <w:i/>
          <w:sz w:val="22"/>
          <w:szCs w:val="22"/>
        </w:rPr>
        <w:t>.”</w:t>
      </w:r>
      <w:r w:rsidRPr="00714DCE">
        <w:rPr>
          <w:rFonts w:ascii="Palatino Linotype" w:eastAsia="Palatino Linotype" w:hAnsi="Palatino Linotype" w:cs="Palatino Linotype"/>
          <w:i/>
        </w:rPr>
        <w:t xml:space="preserve"> (sic)</w:t>
      </w:r>
    </w:p>
    <w:p w14:paraId="4A8813B7" w14:textId="77777777" w:rsidR="00682E5A" w:rsidRPr="00714DCE" w:rsidRDefault="00682E5A" w:rsidP="00714DCE">
      <w:pPr>
        <w:ind w:left="851" w:right="851"/>
        <w:jc w:val="both"/>
        <w:rPr>
          <w:rFonts w:ascii="Palatino Linotype" w:eastAsia="Palatino Linotype" w:hAnsi="Palatino Linotype" w:cs="Palatino Linotype"/>
          <w:i/>
        </w:rPr>
      </w:pPr>
    </w:p>
    <w:p w14:paraId="61693616" w14:textId="77777777" w:rsidR="00682E5A" w:rsidRPr="00714DCE" w:rsidRDefault="005E0AE8" w:rsidP="00714DCE">
      <w:pPr>
        <w:spacing w:line="360" w:lineRule="auto"/>
        <w:jc w:val="both"/>
        <w:rPr>
          <w:rFonts w:ascii="Palatino Linotype" w:eastAsia="Palatino Linotype" w:hAnsi="Palatino Linotype" w:cs="Palatino Linotype"/>
          <w:b/>
        </w:rPr>
      </w:pPr>
      <w:r w:rsidRPr="00714DCE">
        <w:rPr>
          <w:rFonts w:ascii="Palatino Linotype" w:eastAsia="Palatino Linotype" w:hAnsi="Palatino Linotype" w:cs="Palatino Linotype"/>
          <w:b/>
        </w:rPr>
        <w:t>b) Motivos de inconformidad.</w:t>
      </w:r>
    </w:p>
    <w:p w14:paraId="1C4CC555" w14:textId="77777777" w:rsidR="00682E5A" w:rsidRPr="00714DCE" w:rsidRDefault="005E0AE8" w:rsidP="00714DCE">
      <w:pPr>
        <w:ind w:left="851" w:right="851"/>
        <w:jc w:val="both"/>
        <w:rPr>
          <w:rFonts w:ascii="Palatino Linotype" w:eastAsia="Palatino Linotype" w:hAnsi="Palatino Linotype" w:cs="Palatino Linotype"/>
          <w:i/>
        </w:rPr>
      </w:pPr>
      <w:r w:rsidRPr="00714DCE">
        <w:rPr>
          <w:rFonts w:ascii="Palatino Linotype" w:eastAsia="Palatino Linotype" w:hAnsi="Palatino Linotype" w:cs="Palatino Linotype"/>
          <w:i/>
          <w:sz w:val="22"/>
          <w:szCs w:val="22"/>
        </w:rPr>
        <w:t>“M</w:t>
      </w:r>
      <w:r w:rsidRPr="00714DCE">
        <w:rPr>
          <w:rFonts w:ascii="Palatino Linotype" w:eastAsia="Palatino Linotype" w:hAnsi="Palatino Linotype" w:cs="Palatino Linotype"/>
          <w:i/>
          <w:color w:val="000000"/>
          <w:sz w:val="22"/>
          <w:szCs w:val="22"/>
        </w:rPr>
        <w:t xml:space="preserve">e causa agravio la respuesta brindada por el Sujeto Obligado, a través de la plataforma SAIMEX, con fecha 03 de noviembre de 2021, en la cual, el responsable de su Unidad de Transparencia, dentro del Folio de la solicitud: 00790/NAUCALPA/IP/2021, acompañó el Oficio SRH/1129/2021, de fecha 25 de octubre de 2021, en donde, la Subdirección de Recursos Humanos, señala que no se cuenta con el CONVENIO DE SUELDO, PRESTACIONES DE LEY Y COLATERALES 2021 CELEBRADO ENTRE EL H. AYUNTAMIENTO CONSTITUCIONAL DE NAUCALPAN DE JUÁREZ, ESTADO DE MÉXICO Y EL SINDICATO ÚNICO DE TRABAJADORES DE LOS PODERES, MUNICIPIOS E INSTITUCIONES DESCENTRALIZADAS EN EL ESTADO DE MÉXICO (SUTEYM), SECCIÓN NAUCALPAN, toda vez que el mismo aún se encuentra en firma de depósito, sin precisar ¿en dónde?, ¿con quién? y ¿desde cuándo? se encuentra en firma de depósito el convenio aducido, hecho mismo que resulta contrario al principio de máxima publicidad y transparencia proactiva, en razón de que era su obligación del Sujeto Obligado indicado, precisar puntualmente lo anterior, toda vez que como hecho notorio, es </w:t>
      </w:r>
      <w:r w:rsidRPr="00714DCE">
        <w:rPr>
          <w:rFonts w:ascii="Palatino Linotype" w:eastAsia="Palatino Linotype" w:hAnsi="Palatino Linotype" w:cs="Palatino Linotype"/>
          <w:i/>
          <w:color w:val="000000"/>
          <w:sz w:val="22"/>
          <w:szCs w:val="22"/>
        </w:rPr>
        <w:lastRenderedPageBreak/>
        <w:t>por todos conocida la existencia del acuerdo de voluntades antes citado, tanto es así que inclusive, ya se ha publicitado su celebración en diversos medios de comunicación, por citar solo algunos: https://www.elpuntocritico.com/world/93-estado-de-mexico/186994-firma-suteym-naucalpan-convenio-de-sueldos-2021-con-gobierno-municipal y https://www.elpregon.mx/news/nota-principal/firma-suteym-naucalpan-convenio-de-sueldos-2021-con-gobierno-municipal/ En ese orden de ideas, se hace notar, también, que el sujeto habilitado, notificó a la Unidad de Transparencia, que la misma debe realizar los trámites correspondientes para dar respuesta a la solicitud de información planteada, esto es, por no contar, según su dicho, con la información requerida, sin embargo, en la respuesta brindada y en el oficio adjunto acompañado, en ninguna parte de ellos se advierte “acto tendiente alguno por parte de la Unidad de Transparencia, encaminado a la consecución de dicho fin (por medio de la remisión de oficios al área administrativa competente para ello)”, de ahí que se sostenga que es ilegal la respuesta brindada por dicho Sujeto Obligado y por ende, se solicita a ese H. Órgano Garante, que requiera al Ayuntamiento de Naucalpan, para el efecto de que brinde inmediatamente al suscrito, el Convenio requerido, por encontrarse debidamente fundada y motiva mi solicitud de acceso a la información pública planteada de origen, lo anterior, para todos los efectos legales a que haya lugar.</w:t>
      </w:r>
      <w:r w:rsidRPr="00714DCE">
        <w:rPr>
          <w:rFonts w:ascii="Palatino Linotype" w:eastAsia="Palatino Linotype" w:hAnsi="Palatino Linotype" w:cs="Palatino Linotype"/>
          <w:i/>
          <w:sz w:val="22"/>
          <w:szCs w:val="22"/>
        </w:rPr>
        <w:t>.</w:t>
      </w:r>
      <w:r w:rsidRPr="00714DCE">
        <w:rPr>
          <w:rFonts w:ascii="Palatino Linotype" w:eastAsia="Palatino Linotype" w:hAnsi="Palatino Linotype" w:cs="Palatino Linotype"/>
          <w:i/>
        </w:rPr>
        <w:t>” (sic)</w:t>
      </w:r>
      <w:r w:rsidRPr="00714DCE">
        <w:rPr>
          <w:rFonts w:ascii="Palatino Linotype" w:eastAsia="Palatino Linotype" w:hAnsi="Palatino Linotype" w:cs="Palatino Linotype"/>
          <w:i/>
        </w:rPr>
        <w:tab/>
      </w:r>
    </w:p>
    <w:p w14:paraId="483B1177" w14:textId="77777777" w:rsidR="00682E5A" w:rsidRPr="00714DCE" w:rsidRDefault="00682E5A" w:rsidP="00714DCE">
      <w:pPr>
        <w:ind w:left="851" w:right="851"/>
        <w:jc w:val="both"/>
        <w:rPr>
          <w:rFonts w:ascii="Palatino Linotype" w:eastAsia="Palatino Linotype" w:hAnsi="Palatino Linotype" w:cs="Palatino Linotype"/>
          <w:i/>
        </w:rPr>
      </w:pPr>
    </w:p>
    <w:p w14:paraId="1D19D5EE"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b/>
        </w:rPr>
        <w:t xml:space="preserve">4. Turno. </w:t>
      </w:r>
      <w:r w:rsidRPr="00714DCE">
        <w:rPr>
          <w:rFonts w:ascii="Palatino Linotype" w:eastAsia="Palatino Linotype" w:hAnsi="Palatino Linotype" w:cs="Palatino Linotype"/>
        </w:rPr>
        <w:t xml:space="preserve">De conformidad con el artículo 185 Fracción I de la Ley Transparencia y Acceso a la Información Pública, el recurso de revisión número </w:t>
      </w:r>
      <w:r w:rsidRPr="00714DCE">
        <w:rPr>
          <w:rFonts w:ascii="Palatino Linotype" w:eastAsia="Palatino Linotype" w:hAnsi="Palatino Linotype" w:cs="Palatino Linotype"/>
          <w:b/>
        </w:rPr>
        <w:t xml:space="preserve">05754/INFOEM/IP/RR/2021 </w:t>
      </w:r>
      <w:r w:rsidRPr="00714DCE">
        <w:rPr>
          <w:rFonts w:ascii="Palatino Linotype" w:eastAsia="Palatino Linotype" w:hAnsi="Palatino Linotype" w:cs="Palatino Linotype"/>
        </w:rPr>
        <w:t>fue turnado a la Comisionada Ponente Guadalupe Ramírez Peña; a efecto de presentar al Pleno el proyecto de resolución correspondiente.</w:t>
      </w:r>
    </w:p>
    <w:p w14:paraId="0330BAD2"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b/>
        </w:rPr>
        <w:t xml:space="preserve">5. Admisión. </w:t>
      </w:r>
      <w:r w:rsidRPr="00714DCE">
        <w:rPr>
          <w:rFonts w:ascii="Palatino Linotype" w:eastAsia="Palatino Linotype" w:hAnsi="Palatino Linotype" w:cs="Palatino Linotype"/>
        </w:rPr>
        <w:t>En fecha veinticuatro de noviembre de dos mil veintiuno, en términos de lo dispuesto en el artículo 185 fracciones I, II y IV de la Ley de Transparencia y Acceso a la Información Pública del Estado de México y Municipios, se admitió a trámite el presente recurso de revisión.</w:t>
      </w:r>
    </w:p>
    <w:p w14:paraId="7F7BB5F8"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b/>
        </w:rPr>
        <w:lastRenderedPageBreak/>
        <w:t xml:space="preserve">6. Informe de justificación. </w:t>
      </w:r>
      <w:r w:rsidRPr="00714DCE">
        <w:rPr>
          <w:rFonts w:ascii="Palatino Linotype" w:eastAsia="Palatino Linotype" w:hAnsi="Palatino Linotype" w:cs="Palatino Linotype"/>
        </w:rPr>
        <w:t xml:space="preserve">De las constancias que obran en el expediente electrónico del SAIMEX se desprende que el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xml:space="preserve"> rindió su informe de justificación. En fecha veintinueve de noviembre adjuntando el archivo </w:t>
      </w:r>
      <w:hyperlink r:id="rId10">
        <w:r w:rsidRPr="00714DCE">
          <w:rPr>
            <w:rFonts w:ascii="Palatino Linotype" w:eastAsia="Palatino Linotype" w:hAnsi="Palatino Linotype" w:cs="Palatino Linotype"/>
            <w:b/>
            <w:color w:val="000000"/>
            <w:u w:val="single"/>
          </w:rPr>
          <w:t>00790-NAUCALPA_IP_2021.pdf</w:t>
        </w:r>
      </w:hyperlink>
      <w:r w:rsidRPr="00714DCE">
        <w:rPr>
          <w:rFonts w:ascii="Palatino Linotype" w:eastAsia="Palatino Linotype" w:hAnsi="Palatino Linotype" w:cs="Palatino Linotype"/>
        </w:rPr>
        <w:t xml:space="preserve">, consistente en el turno del Titular de la Unidad de Transparencia del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xml:space="preserve">, dirigido al servidor público habilitado para rendir el informe justificado correspondiente, mismo que fue puesto a la vista del </w:t>
      </w:r>
      <w:r w:rsidRPr="00714DCE">
        <w:rPr>
          <w:rFonts w:ascii="Palatino Linotype" w:eastAsia="Palatino Linotype" w:hAnsi="Palatino Linotype" w:cs="Palatino Linotype"/>
          <w:b/>
        </w:rPr>
        <w:t>RECURRENTE</w:t>
      </w:r>
      <w:r w:rsidRPr="00714DCE">
        <w:rPr>
          <w:rFonts w:ascii="Palatino Linotype" w:eastAsia="Palatino Linotype" w:hAnsi="Palatino Linotype" w:cs="Palatino Linotype"/>
        </w:rPr>
        <w:t xml:space="preserve"> en fecha tres de diciembre de dos mil veintiuno.</w:t>
      </w:r>
    </w:p>
    <w:p w14:paraId="4800E754"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Por su parte el </w:t>
      </w:r>
      <w:r w:rsidRPr="00714DCE">
        <w:rPr>
          <w:rFonts w:ascii="Palatino Linotype" w:eastAsia="Palatino Linotype" w:hAnsi="Palatino Linotype" w:cs="Palatino Linotype"/>
          <w:b/>
        </w:rPr>
        <w:t xml:space="preserve">RECURRENTE </w:t>
      </w:r>
      <w:r w:rsidRPr="00714DCE">
        <w:rPr>
          <w:rFonts w:ascii="Palatino Linotype" w:eastAsia="Palatino Linotype" w:hAnsi="Palatino Linotype" w:cs="Palatino Linotype"/>
        </w:rPr>
        <w:t xml:space="preserve">adjunto el archivo </w:t>
      </w:r>
      <w:hyperlink r:id="rId11">
        <w:r w:rsidRPr="00714DCE">
          <w:rPr>
            <w:rFonts w:ascii="Palatino Linotype" w:eastAsia="Palatino Linotype" w:hAnsi="Palatino Linotype" w:cs="Palatino Linotype"/>
            <w:b/>
            <w:color w:val="000000"/>
            <w:u w:val="single"/>
          </w:rPr>
          <w:t>CERTIFICACIÓN DE PLAZO.txt</w:t>
        </w:r>
      </w:hyperlink>
      <w:r w:rsidRPr="00714DCE">
        <w:rPr>
          <w:rFonts w:ascii="Palatino Linotype" w:eastAsia="Palatino Linotype" w:hAnsi="Palatino Linotype" w:cs="Palatino Linotype"/>
        </w:rPr>
        <w:t>, mediante el cual manifiesta lo siguiente:</w:t>
      </w:r>
    </w:p>
    <w:p w14:paraId="65B75236" w14:textId="77777777" w:rsidR="00682E5A" w:rsidRPr="00714DCE" w:rsidRDefault="005E0AE8" w:rsidP="00714DCE">
      <w:pPr>
        <w:spacing w:before="240" w:after="240"/>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xml:space="preserve">“Visto el acuerdo emito por ese Órgano Garante con fecha 24 de noviembre de 2021, dentro del Recurso de Revisión número 05754/INFOEM/IP/RR/2021, en el que bajo el punto TERCERO, se nos </w:t>
      </w:r>
      <w:proofErr w:type="spellStart"/>
      <w:r w:rsidRPr="00714DCE">
        <w:rPr>
          <w:rFonts w:ascii="Palatino Linotype" w:eastAsia="Palatino Linotype" w:hAnsi="Palatino Linotype" w:cs="Palatino Linotype"/>
          <w:i/>
          <w:sz w:val="22"/>
          <w:szCs w:val="22"/>
        </w:rPr>
        <w:t>concedio</w:t>
      </w:r>
      <w:proofErr w:type="spellEnd"/>
      <w:r w:rsidRPr="00714DCE">
        <w:rPr>
          <w:rFonts w:ascii="Palatino Linotype" w:eastAsia="Palatino Linotype" w:hAnsi="Palatino Linotype" w:cs="Palatino Linotype"/>
          <w:i/>
          <w:sz w:val="22"/>
          <w:szCs w:val="22"/>
        </w:rPr>
        <w:t xml:space="preserve"> a las partes "...un plazo máximo de siete días para el efecto de que </w:t>
      </w:r>
      <w:proofErr w:type="spellStart"/>
      <w:r w:rsidRPr="00714DCE">
        <w:rPr>
          <w:rFonts w:ascii="Palatino Linotype" w:eastAsia="Palatino Linotype" w:hAnsi="Palatino Linotype" w:cs="Palatino Linotype"/>
          <w:i/>
          <w:sz w:val="22"/>
          <w:szCs w:val="22"/>
        </w:rPr>
        <w:t>manifestaramos</w:t>
      </w:r>
      <w:proofErr w:type="spellEnd"/>
      <w:r w:rsidRPr="00714DCE">
        <w:rPr>
          <w:rFonts w:ascii="Palatino Linotype" w:eastAsia="Palatino Linotype" w:hAnsi="Palatino Linotype" w:cs="Palatino Linotype"/>
          <w:i/>
          <w:sz w:val="22"/>
          <w:szCs w:val="22"/>
        </w:rPr>
        <w:t xml:space="preserve"> lo que a nuestro derecho conviniera, </w:t>
      </w:r>
      <w:proofErr w:type="spellStart"/>
      <w:r w:rsidRPr="00714DCE">
        <w:rPr>
          <w:rFonts w:ascii="Palatino Linotype" w:eastAsia="Palatino Linotype" w:hAnsi="Palatino Linotype" w:cs="Palatino Linotype"/>
          <w:i/>
          <w:sz w:val="22"/>
          <w:szCs w:val="22"/>
        </w:rPr>
        <w:t>ofrecieramos</w:t>
      </w:r>
      <w:proofErr w:type="spellEnd"/>
      <w:r w:rsidRPr="00714DCE">
        <w:rPr>
          <w:rFonts w:ascii="Palatino Linotype" w:eastAsia="Palatino Linotype" w:hAnsi="Palatino Linotype" w:cs="Palatino Linotype"/>
          <w:i/>
          <w:sz w:val="22"/>
          <w:szCs w:val="22"/>
        </w:rPr>
        <w:t xml:space="preserve"> pruebas, el Sujeto Obligado rindiera su informe justificado y finalmente, se presentaran alegatos...", en ese sentido, de manera respetuosa SOLICITO SE CERTIFIQUE LA FECHA DE INICIO Y CONCLUSIÓN DEL PLAZO QUE NOS FUE OTORGADA A LAS PARTES PARA DICHO FIN; lo anterior, con el objeto evitar que de manera innecesaria, se </w:t>
      </w:r>
      <w:proofErr w:type="spellStart"/>
      <w:r w:rsidRPr="00714DCE">
        <w:rPr>
          <w:rFonts w:ascii="Palatino Linotype" w:eastAsia="Palatino Linotype" w:hAnsi="Palatino Linotype" w:cs="Palatino Linotype"/>
          <w:i/>
          <w:sz w:val="22"/>
          <w:szCs w:val="22"/>
        </w:rPr>
        <w:t>amplien</w:t>
      </w:r>
      <w:proofErr w:type="spellEnd"/>
      <w:r w:rsidRPr="00714DCE">
        <w:rPr>
          <w:rFonts w:ascii="Palatino Linotype" w:eastAsia="Palatino Linotype" w:hAnsi="Palatino Linotype" w:cs="Palatino Linotype"/>
          <w:i/>
          <w:sz w:val="22"/>
          <w:szCs w:val="22"/>
        </w:rPr>
        <w:t xml:space="preserve"> los plazos para la emisión de resolución que en derecho proceda por parte de ese H. Instituto, si para ello, el Sujeto Obligado, rinde su informe justificado de manera </w:t>
      </w:r>
      <w:proofErr w:type="spellStart"/>
      <w:r w:rsidRPr="00714DCE">
        <w:rPr>
          <w:rFonts w:ascii="Palatino Linotype" w:eastAsia="Palatino Linotype" w:hAnsi="Palatino Linotype" w:cs="Palatino Linotype"/>
          <w:i/>
          <w:sz w:val="22"/>
          <w:szCs w:val="22"/>
        </w:rPr>
        <w:t>extemporanea</w:t>
      </w:r>
      <w:proofErr w:type="spellEnd"/>
      <w:r w:rsidRPr="00714DCE">
        <w:rPr>
          <w:rFonts w:ascii="Palatino Linotype" w:eastAsia="Palatino Linotype" w:hAnsi="Palatino Linotype" w:cs="Palatino Linotype"/>
          <w:i/>
          <w:sz w:val="22"/>
          <w:szCs w:val="22"/>
        </w:rPr>
        <w:t xml:space="preserve"> y por dicha circunstancia, se </w:t>
      </w:r>
      <w:proofErr w:type="spellStart"/>
      <w:r w:rsidRPr="00714DCE">
        <w:rPr>
          <w:rFonts w:ascii="Palatino Linotype" w:eastAsia="Palatino Linotype" w:hAnsi="Palatino Linotype" w:cs="Palatino Linotype"/>
          <w:i/>
          <w:sz w:val="22"/>
          <w:szCs w:val="22"/>
        </w:rPr>
        <w:t>amplian</w:t>
      </w:r>
      <w:proofErr w:type="spellEnd"/>
      <w:r w:rsidRPr="00714DCE">
        <w:rPr>
          <w:rFonts w:ascii="Palatino Linotype" w:eastAsia="Palatino Linotype" w:hAnsi="Palatino Linotype" w:cs="Palatino Linotype"/>
          <w:i/>
          <w:sz w:val="22"/>
          <w:szCs w:val="22"/>
        </w:rPr>
        <w:t xml:space="preserve"> los plazos para emisión del fallo en cita, lo cual </w:t>
      </w:r>
      <w:proofErr w:type="spellStart"/>
      <w:r w:rsidRPr="00714DCE">
        <w:rPr>
          <w:rFonts w:ascii="Palatino Linotype" w:eastAsia="Palatino Linotype" w:hAnsi="Palatino Linotype" w:cs="Palatino Linotype"/>
          <w:i/>
          <w:sz w:val="22"/>
          <w:szCs w:val="22"/>
        </w:rPr>
        <w:t>atentaria</w:t>
      </w:r>
      <w:proofErr w:type="spellEnd"/>
      <w:r w:rsidRPr="00714DCE">
        <w:rPr>
          <w:rFonts w:ascii="Palatino Linotype" w:eastAsia="Palatino Linotype" w:hAnsi="Palatino Linotype" w:cs="Palatino Linotype"/>
          <w:i/>
          <w:sz w:val="22"/>
          <w:szCs w:val="22"/>
        </w:rPr>
        <w:t xml:space="preserve"> contra los principios de igualdad procesal e impartición de justicia pronta e imparcial y el derecho humano al libre acceso a la información pública, si para ello ese Órgano Garante, como se había dicho, brinda las facilidades esa Municipalidad, para tener por recibido de manera </w:t>
      </w:r>
      <w:proofErr w:type="spellStart"/>
      <w:r w:rsidRPr="00714DCE">
        <w:rPr>
          <w:rFonts w:ascii="Palatino Linotype" w:eastAsia="Palatino Linotype" w:hAnsi="Palatino Linotype" w:cs="Palatino Linotype"/>
          <w:i/>
          <w:sz w:val="22"/>
          <w:szCs w:val="22"/>
        </w:rPr>
        <w:t>extemporanea</w:t>
      </w:r>
      <w:proofErr w:type="spellEnd"/>
      <w:r w:rsidRPr="00714DCE">
        <w:rPr>
          <w:rFonts w:ascii="Palatino Linotype" w:eastAsia="Palatino Linotype" w:hAnsi="Palatino Linotype" w:cs="Palatino Linotype"/>
          <w:i/>
          <w:sz w:val="22"/>
          <w:szCs w:val="22"/>
        </w:rPr>
        <w:t xml:space="preserve"> y sin justificación de ninguna clase, su respectivo informe justificado o cualquiera clase de documento en forma posterior a la certificación del plazo aducida.” (Sic) </w:t>
      </w:r>
    </w:p>
    <w:p w14:paraId="44D9D382" w14:textId="77777777" w:rsidR="00682E5A" w:rsidRPr="00714DCE" w:rsidRDefault="005E0AE8" w:rsidP="00714DCE">
      <w:pPr>
        <w:spacing w:before="240" w:after="240" w:line="360" w:lineRule="auto"/>
        <w:jc w:val="both"/>
        <w:rPr>
          <w:rFonts w:ascii="Palatino Linotype" w:eastAsia="Palatino Linotype" w:hAnsi="Palatino Linotype" w:cs="Palatino Linotype"/>
          <w:sz w:val="22"/>
          <w:szCs w:val="22"/>
        </w:rPr>
      </w:pPr>
      <w:r w:rsidRPr="00714DCE">
        <w:rPr>
          <w:rFonts w:ascii="Palatino Linotype" w:eastAsia="Palatino Linotype" w:hAnsi="Palatino Linotype" w:cs="Palatino Linotype"/>
        </w:rPr>
        <w:t xml:space="preserve">Sin embargo, el informe justificado presentado por el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xml:space="preserve"> se realizó en observancia de lo establecido en el artículo 185 fracciones II, III Y IV de la Ley de Transparencia y Acceso a la Información Pública del Estado de México y Municipio</w:t>
      </w:r>
      <w:r w:rsidRPr="00714DCE">
        <w:rPr>
          <w:rFonts w:ascii="Palatino Linotype" w:eastAsia="Palatino Linotype" w:hAnsi="Palatino Linotype" w:cs="Palatino Linotype"/>
          <w:sz w:val="22"/>
          <w:szCs w:val="22"/>
        </w:rPr>
        <w:t>s.</w:t>
      </w:r>
    </w:p>
    <w:p w14:paraId="7393FFA9"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b/>
        </w:rPr>
        <w:lastRenderedPageBreak/>
        <w:t xml:space="preserve">7. Cierre de Instrucción. </w:t>
      </w:r>
      <w:r w:rsidRPr="00714DCE">
        <w:rPr>
          <w:rFonts w:ascii="Palatino Linotype" w:eastAsia="Palatino Linotype" w:hAnsi="Palatino Linotype" w:cs="Palatino Linotype"/>
        </w:rPr>
        <w:t>En fecha nueve de diciembre de dos mil veintiuno, anualidad en curso, con fundamento en lo establecido en los artículos 185, fracción VI de la 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14:paraId="0FC3E3A5" w14:textId="77777777" w:rsidR="00682E5A" w:rsidRPr="00714DCE" w:rsidRDefault="005E0AE8" w:rsidP="00714DCE">
      <w:pPr>
        <w:spacing w:after="240" w:line="360" w:lineRule="auto"/>
        <w:jc w:val="both"/>
        <w:rPr>
          <w:rFonts w:ascii="Palatino Linotype" w:eastAsia="Palatino Linotype" w:hAnsi="Palatino Linotype" w:cs="Palatino Linotype"/>
          <w:shd w:val="clear" w:color="auto" w:fill="FF9900"/>
        </w:rPr>
      </w:pPr>
      <w:r w:rsidRPr="00714DCE">
        <w:rPr>
          <w:rFonts w:ascii="Palatino Linotype" w:eastAsia="Palatino Linotype" w:hAnsi="Palatino Linotype" w:cs="Palatino Linotype"/>
          <w:b/>
        </w:rPr>
        <w:t>8. Ampliación del plazo</w:t>
      </w:r>
      <w:r w:rsidRPr="00714DCE">
        <w:rPr>
          <w:rFonts w:ascii="Palatino Linotype" w:eastAsia="Palatino Linotype" w:hAnsi="Palatino Linotype" w:cs="Palatino Linotype"/>
        </w:rPr>
        <w:t>.  En fecha veinte de diciembre de dos mil veintiuno, con fundamento en el artículo 181, párrafo tercero de la Ley de Transparencia y Acceso a la Información Pública del Estado de México y Municipios, se acordó la ampliación del plazo para su resolución.</w:t>
      </w:r>
    </w:p>
    <w:p w14:paraId="6900DE1F" w14:textId="77777777" w:rsidR="00682E5A" w:rsidRPr="00714DCE" w:rsidRDefault="005E0AE8" w:rsidP="00714DCE">
      <w:pPr>
        <w:widowControl w:val="0"/>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1563968" w14:textId="77777777" w:rsidR="00682E5A" w:rsidRPr="00714DCE" w:rsidRDefault="005E0AE8" w:rsidP="00714DCE">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sidRPr="00714DCE">
        <w:rPr>
          <w:rFonts w:ascii="Palatino Linotype" w:eastAsia="Palatino Linotype" w:hAnsi="Palatino Linotype" w:cs="Palatino Linotype"/>
          <w:b/>
          <w:color w:val="000000"/>
        </w:rPr>
        <w:t>C O N S I D E R A N D O:</w:t>
      </w:r>
    </w:p>
    <w:p w14:paraId="43E52512"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b/>
        </w:rPr>
        <w:t xml:space="preserve">Primero. Competencia. </w:t>
      </w:r>
      <w:r w:rsidRPr="00714DCE">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Pr="00714DCE">
        <w:rPr>
          <w:rFonts w:ascii="Palatino Linotype" w:eastAsia="Palatino Linotype" w:hAnsi="Palatino Linotype" w:cs="Palatino Linotype"/>
          <w:b/>
        </w:rPr>
        <w:t>RECURRENTE</w:t>
      </w:r>
      <w:r w:rsidRPr="00714DCE">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w:t>
      </w:r>
      <w:r w:rsidRPr="00714DCE">
        <w:rPr>
          <w:rFonts w:ascii="Palatino Linotype" w:eastAsia="Palatino Linotype" w:hAnsi="Palatino Linotype" w:cs="Palatino Linotype"/>
        </w:rPr>
        <w:lastRenderedPageBreak/>
        <w:t>Pública; 7, 9, fracciones I y XXIV y 11 del Reglamento Interior del Instituto de Transparencia, Acceso a la Información Pública y Protección de Datos Personales del Estado de México y Municipios.</w:t>
      </w:r>
    </w:p>
    <w:p w14:paraId="48CBF8A8"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b/>
        </w:rPr>
        <w:t xml:space="preserve">Segundo. Oportunidad y Procedibilidad. </w:t>
      </w:r>
      <w:r w:rsidRPr="00714DCE">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40F2C0F"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xml:space="preserve"> proporcionó respuesta a la solicitud de información el tres de noviembre de dos mil veintiuno, mientras que el </w:t>
      </w:r>
      <w:r w:rsidRPr="00714DCE">
        <w:rPr>
          <w:rFonts w:ascii="Palatino Linotype" w:eastAsia="Palatino Linotype" w:hAnsi="Palatino Linotype" w:cs="Palatino Linotype"/>
          <w:b/>
        </w:rPr>
        <w:t>RECURRENTE</w:t>
      </w:r>
      <w:r w:rsidRPr="00714DCE">
        <w:rPr>
          <w:rFonts w:ascii="Palatino Linotype" w:eastAsia="Palatino Linotype" w:hAnsi="Palatino Linotype" w:cs="Palatino Linotype"/>
        </w:rPr>
        <w:t xml:space="preserve"> interpuso el recurso de revisión el diecinueve de noviembre de dos mil veintiuno, esto es, al onceavo día hábil siguiente en que le fue notificada la respuesta, por ende, dentro del término legal que prevé el arábigo de referencia.</w:t>
      </w:r>
    </w:p>
    <w:p w14:paraId="651A0BEC"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Así también, por cuanto hace a la procedibilidad del recurso de revisión, una vez realizado el análisis de los formatos de interposición del recurso, se advierte que el particular al momento de presentar la solicitud de información y el recurso de revisión no proporciona nombre completo, sin embargo ello no es motivo para archivar la solicitud de acceso a la información pública como concluida, conforme a lo previsto en el artículo 155, penúltimo párrafo de la Ley de Transparencia y Acceso </w:t>
      </w:r>
      <w:r w:rsidRPr="00714DCE">
        <w:rPr>
          <w:rFonts w:ascii="Palatino Linotype" w:eastAsia="Palatino Linotype" w:hAnsi="Palatino Linotype" w:cs="Palatino Linotype"/>
        </w:rPr>
        <w:lastRenderedPageBreak/>
        <w:t>a la Información Pública del Estado de México y Municipios que establece lo siguiente:</w:t>
      </w:r>
    </w:p>
    <w:p w14:paraId="334839B9" w14:textId="77777777" w:rsidR="00682E5A" w:rsidRPr="00714DCE" w:rsidRDefault="00682E5A" w:rsidP="00714DCE">
      <w:pPr>
        <w:spacing w:before="240" w:after="240" w:line="360" w:lineRule="auto"/>
        <w:jc w:val="both"/>
        <w:rPr>
          <w:rFonts w:ascii="Palatino Linotype" w:eastAsia="Palatino Linotype" w:hAnsi="Palatino Linotype" w:cs="Palatino Linotype"/>
        </w:rPr>
      </w:pPr>
    </w:p>
    <w:p w14:paraId="74DB31A4" w14:textId="77777777" w:rsidR="00682E5A" w:rsidRPr="00714DCE" w:rsidRDefault="005E0AE8" w:rsidP="00714DCE">
      <w:pPr>
        <w:ind w:left="851" w:right="900"/>
        <w:jc w:val="both"/>
        <w:rPr>
          <w:rFonts w:ascii="Palatino Linotype" w:eastAsia="Palatino Linotype" w:hAnsi="Palatino Linotype" w:cs="Palatino Linotype"/>
          <w:b/>
          <w:i/>
          <w:sz w:val="22"/>
          <w:szCs w:val="22"/>
        </w:rPr>
      </w:pPr>
      <w:r w:rsidRPr="00714DCE">
        <w:rPr>
          <w:rFonts w:ascii="Palatino Linotype" w:eastAsia="Palatino Linotype" w:hAnsi="Palatino Linotype" w:cs="Palatino Linotype"/>
          <w:b/>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180C4CB4" w14:textId="77777777" w:rsidR="00682E5A" w:rsidRPr="00714DCE" w:rsidRDefault="00682E5A" w:rsidP="00714DCE">
      <w:pPr>
        <w:spacing w:line="360" w:lineRule="auto"/>
        <w:jc w:val="both"/>
        <w:rPr>
          <w:i/>
          <w:color w:val="1F1F1F"/>
          <w:sz w:val="22"/>
          <w:szCs w:val="22"/>
          <w:shd w:val="clear" w:color="auto" w:fill="FF9900"/>
        </w:rPr>
      </w:pPr>
    </w:p>
    <w:p w14:paraId="2AE74D10" w14:textId="77777777" w:rsidR="00682E5A" w:rsidRPr="00714DCE" w:rsidRDefault="005E0AE8" w:rsidP="00714DCE">
      <w:pPr>
        <w:spacing w:line="360" w:lineRule="auto"/>
        <w:jc w:val="both"/>
        <w:rPr>
          <w:rFonts w:ascii="Palatino Linotype" w:eastAsia="Palatino Linotype" w:hAnsi="Palatino Linotype" w:cs="Palatino Linotype"/>
          <w:shd w:val="clear" w:color="auto" w:fill="FF9900"/>
        </w:rPr>
      </w:pPr>
      <w:r w:rsidRPr="00714DCE">
        <w:rPr>
          <w:rFonts w:ascii="Palatino Linotype" w:eastAsia="Palatino Linotype" w:hAnsi="Palatino Linotype" w:cs="Palatino Linotype"/>
        </w:rPr>
        <w:t>Robusteciendo lo anterior se encuentra lo dispuesto en el artículo 1 y 6 Apartado A, fracciones III de la Constitución Política de los Estados Unidos Mexicanos que establece</w:t>
      </w:r>
      <w:r w:rsidRPr="00714DCE">
        <w:rPr>
          <w:rFonts w:ascii="Palatino Linotype" w:eastAsia="Palatino Linotype" w:hAnsi="Palatino Linotype" w:cs="Palatino Linotype"/>
          <w:shd w:val="clear" w:color="auto" w:fill="FF9900"/>
        </w:rPr>
        <w:t>:</w:t>
      </w:r>
    </w:p>
    <w:p w14:paraId="06843715" w14:textId="77777777" w:rsidR="00682E5A" w:rsidRPr="00714DCE" w:rsidRDefault="00682E5A" w:rsidP="00714DCE">
      <w:pPr>
        <w:ind w:left="567" w:right="474"/>
        <w:jc w:val="both"/>
        <w:rPr>
          <w:rFonts w:ascii="Palatino Linotype" w:eastAsia="Palatino Linotype" w:hAnsi="Palatino Linotype" w:cs="Palatino Linotype"/>
          <w:i/>
          <w:shd w:val="clear" w:color="auto" w:fill="FF9900"/>
        </w:rPr>
      </w:pPr>
    </w:p>
    <w:p w14:paraId="1941D30F" w14:textId="77777777" w:rsidR="00682E5A" w:rsidRPr="00714DCE" w:rsidRDefault="005E0AE8" w:rsidP="00714DCE">
      <w:pPr>
        <w:ind w:left="851" w:right="900"/>
        <w:jc w:val="both"/>
        <w:rPr>
          <w:rFonts w:ascii="Palatino Linotype" w:eastAsia="Palatino Linotype" w:hAnsi="Palatino Linotype" w:cs="Palatino Linotype"/>
          <w:b/>
          <w:i/>
          <w:sz w:val="22"/>
          <w:szCs w:val="22"/>
        </w:rPr>
      </w:pPr>
      <w:r w:rsidRPr="00714DCE">
        <w:rPr>
          <w:rFonts w:ascii="Palatino Linotype" w:eastAsia="Palatino Linotype" w:hAnsi="Palatino Linotype" w:cs="Palatino Linotype"/>
          <w:b/>
          <w:i/>
          <w:sz w:val="22"/>
          <w:szCs w:val="22"/>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D4AA34B" w14:textId="77777777" w:rsidR="00682E5A" w:rsidRPr="00714DCE" w:rsidRDefault="005E0AE8" w:rsidP="00714DCE">
      <w:pPr>
        <w:ind w:left="851" w:right="900"/>
        <w:jc w:val="both"/>
        <w:rPr>
          <w:rFonts w:ascii="Palatino Linotype" w:eastAsia="Palatino Linotype" w:hAnsi="Palatino Linotype" w:cs="Palatino Linotype"/>
          <w:b/>
          <w:i/>
          <w:sz w:val="22"/>
          <w:szCs w:val="22"/>
        </w:rPr>
      </w:pPr>
      <w:r w:rsidRPr="00714DCE">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3673A9C" w14:textId="77777777" w:rsidR="00682E5A" w:rsidRPr="00714DCE" w:rsidRDefault="005E0AE8" w:rsidP="00714DCE">
      <w:pPr>
        <w:ind w:left="851" w:right="900"/>
        <w:jc w:val="both"/>
        <w:rPr>
          <w:rFonts w:ascii="Palatino Linotype" w:eastAsia="Palatino Linotype" w:hAnsi="Palatino Linotype" w:cs="Palatino Linotype"/>
          <w:b/>
          <w:i/>
          <w:sz w:val="22"/>
          <w:szCs w:val="22"/>
        </w:rPr>
      </w:pPr>
      <w:r w:rsidRPr="00714DCE">
        <w:rPr>
          <w:rFonts w:ascii="Palatino Linotype" w:eastAsia="Palatino Linotype" w:hAnsi="Palatino Linotype" w:cs="Palatino Linotype"/>
          <w:b/>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A40154A" w14:textId="77777777" w:rsidR="00682E5A" w:rsidRPr="00714DCE" w:rsidRDefault="005E0AE8" w:rsidP="00714DCE">
      <w:pPr>
        <w:ind w:left="851" w:right="900"/>
        <w:jc w:val="both"/>
        <w:rPr>
          <w:rFonts w:ascii="Palatino Linotype" w:eastAsia="Palatino Linotype" w:hAnsi="Palatino Linotype" w:cs="Palatino Linotype"/>
          <w:b/>
          <w:i/>
          <w:sz w:val="22"/>
          <w:szCs w:val="22"/>
        </w:rPr>
      </w:pPr>
      <w:r w:rsidRPr="00714DCE">
        <w:rPr>
          <w:rFonts w:ascii="Palatino Linotype" w:eastAsia="Palatino Linotype" w:hAnsi="Palatino Linotype" w:cs="Palatino Linotype"/>
          <w:b/>
          <w:i/>
          <w:sz w:val="22"/>
          <w:szCs w:val="22"/>
        </w:rPr>
        <w:t>…</w:t>
      </w:r>
    </w:p>
    <w:p w14:paraId="777D8E92" w14:textId="77777777" w:rsidR="00682E5A" w:rsidRPr="00714DCE" w:rsidRDefault="005E0AE8" w:rsidP="00714DCE">
      <w:pPr>
        <w:ind w:left="851" w:right="900"/>
        <w:jc w:val="both"/>
        <w:rPr>
          <w:rFonts w:ascii="Palatino Linotype" w:eastAsia="Palatino Linotype" w:hAnsi="Palatino Linotype" w:cs="Palatino Linotype"/>
          <w:b/>
          <w:i/>
          <w:sz w:val="22"/>
          <w:szCs w:val="22"/>
        </w:rPr>
      </w:pPr>
      <w:r w:rsidRPr="00714DCE">
        <w:rPr>
          <w:rFonts w:ascii="Palatino Linotype" w:eastAsia="Palatino Linotype" w:hAnsi="Palatino Linotype" w:cs="Palatino Linotype"/>
          <w:b/>
          <w:i/>
          <w:sz w:val="22"/>
          <w:szCs w:val="22"/>
        </w:rPr>
        <w:t xml:space="preserve">Artículo 6o.- La manifestación de las ideas no será objeto de ninguna inquisición judicial o administrativa, sino en el caso de que ataque a la moral, la vida privada o los derechos de terceros, provoque algún delito, o perturbe el orden público; el derecho de réplica será ejercido en los </w:t>
      </w:r>
      <w:r w:rsidRPr="00714DCE">
        <w:rPr>
          <w:rFonts w:ascii="Palatino Linotype" w:eastAsia="Palatino Linotype" w:hAnsi="Palatino Linotype" w:cs="Palatino Linotype"/>
          <w:b/>
          <w:i/>
          <w:sz w:val="22"/>
          <w:szCs w:val="22"/>
        </w:rPr>
        <w:lastRenderedPageBreak/>
        <w:t>términos dispuestos por la ley. El derecho a la información será garantizado por el Estado.</w:t>
      </w:r>
    </w:p>
    <w:p w14:paraId="26D37D50" w14:textId="77777777" w:rsidR="00682E5A" w:rsidRPr="00714DCE" w:rsidRDefault="005E0AE8" w:rsidP="00714DCE">
      <w:pPr>
        <w:ind w:left="851" w:right="900"/>
        <w:jc w:val="both"/>
        <w:rPr>
          <w:rFonts w:ascii="Palatino Linotype" w:eastAsia="Palatino Linotype" w:hAnsi="Palatino Linotype" w:cs="Palatino Linotype"/>
          <w:b/>
          <w:i/>
          <w:sz w:val="22"/>
          <w:szCs w:val="22"/>
        </w:rPr>
      </w:pPr>
      <w:r w:rsidRPr="00714DCE">
        <w:rPr>
          <w:rFonts w:ascii="Palatino Linotype" w:eastAsia="Palatino Linotype" w:hAnsi="Palatino Linotype" w:cs="Palatino Linotype"/>
          <w:b/>
          <w:i/>
          <w:sz w:val="22"/>
          <w:szCs w:val="22"/>
        </w:rPr>
        <w:t>Para efectos de lo dispuesto en el presente artículo se observará lo siguiente:</w:t>
      </w:r>
    </w:p>
    <w:p w14:paraId="1A7B2CB9" w14:textId="77777777" w:rsidR="00682E5A" w:rsidRPr="00714DCE" w:rsidRDefault="00682E5A" w:rsidP="00714DCE">
      <w:pPr>
        <w:ind w:left="851" w:right="900"/>
        <w:jc w:val="both"/>
        <w:rPr>
          <w:rFonts w:ascii="Palatino Linotype" w:eastAsia="Palatino Linotype" w:hAnsi="Palatino Linotype" w:cs="Palatino Linotype"/>
          <w:b/>
          <w:i/>
          <w:sz w:val="22"/>
          <w:szCs w:val="22"/>
        </w:rPr>
      </w:pPr>
    </w:p>
    <w:p w14:paraId="026F73B4" w14:textId="77777777" w:rsidR="00682E5A" w:rsidRPr="00714DCE" w:rsidRDefault="005E0AE8" w:rsidP="00714DCE">
      <w:pPr>
        <w:ind w:left="851" w:right="900"/>
        <w:jc w:val="both"/>
        <w:rPr>
          <w:rFonts w:ascii="Palatino Linotype" w:eastAsia="Palatino Linotype" w:hAnsi="Palatino Linotype" w:cs="Palatino Linotype"/>
          <w:b/>
          <w:i/>
          <w:sz w:val="22"/>
          <w:szCs w:val="22"/>
        </w:rPr>
      </w:pPr>
      <w:r w:rsidRPr="00714DCE">
        <w:rPr>
          <w:rFonts w:ascii="Palatino Linotype" w:eastAsia="Palatino Linotype" w:hAnsi="Palatino Linotype" w:cs="Palatino Linotype"/>
          <w:b/>
          <w:i/>
          <w:sz w:val="22"/>
          <w:szCs w:val="22"/>
        </w:rPr>
        <w:t>A. Para el ejercicio del derecho de acceso a la información, la Federación, los Estados y el Distrito Federal, en el ámbito de sus respectivas competencias, se regirán por los siguientes principios y bases:</w:t>
      </w:r>
    </w:p>
    <w:p w14:paraId="08B6603D" w14:textId="77777777" w:rsidR="00682E5A" w:rsidRPr="00714DCE" w:rsidRDefault="005E0AE8" w:rsidP="00714DCE">
      <w:pPr>
        <w:ind w:left="851" w:right="900"/>
        <w:jc w:val="both"/>
        <w:rPr>
          <w:rFonts w:ascii="Palatino Linotype" w:eastAsia="Palatino Linotype" w:hAnsi="Palatino Linotype" w:cs="Palatino Linotype"/>
          <w:b/>
          <w:i/>
          <w:sz w:val="22"/>
          <w:szCs w:val="22"/>
        </w:rPr>
      </w:pPr>
      <w:r w:rsidRPr="00714DCE">
        <w:rPr>
          <w:rFonts w:ascii="Palatino Linotype" w:eastAsia="Palatino Linotype" w:hAnsi="Palatino Linotype" w:cs="Palatino Linotype"/>
          <w:b/>
          <w:i/>
          <w:sz w:val="22"/>
          <w:szCs w:val="22"/>
        </w:rPr>
        <w:t>…</w:t>
      </w:r>
    </w:p>
    <w:p w14:paraId="5796BF34" w14:textId="77777777" w:rsidR="00682E5A" w:rsidRPr="00714DCE" w:rsidRDefault="005E0AE8" w:rsidP="00714DCE">
      <w:pPr>
        <w:ind w:left="851" w:right="900"/>
        <w:jc w:val="both"/>
        <w:rPr>
          <w:rFonts w:ascii="Palatino Linotype" w:eastAsia="Palatino Linotype" w:hAnsi="Palatino Linotype" w:cs="Palatino Linotype"/>
          <w:b/>
          <w:i/>
          <w:sz w:val="22"/>
          <w:szCs w:val="22"/>
        </w:rPr>
      </w:pPr>
      <w:r w:rsidRPr="00714DCE">
        <w:rPr>
          <w:rFonts w:ascii="Palatino Linotype" w:eastAsia="Palatino Linotype" w:hAnsi="Palatino Linotype" w:cs="Palatino Linotype"/>
          <w:b/>
          <w:i/>
          <w:sz w:val="22"/>
          <w:szCs w:val="22"/>
        </w:rPr>
        <w:t>III. Toda persona, sin necesidad de acreditar interés alguno o justificar su utilización, tendrá acceso gratuito a la información pública, a sus datos personales o a la rectificación de éstos…” (Sic)</w:t>
      </w:r>
    </w:p>
    <w:p w14:paraId="4D3223D1" w14:textId="77777777" w:rsidR="00682E5A" w:rsidRPr="00714DCE" w:rsidRDefault="00682E5A" w:rsidP="00714DCE">
      <w:pPr>
        <w:ind w:left="851" w:right="900"/>
        <w:jc w:val="both"/>
        <w:rPr>
          <w:rFonts w:ascii="Palatino Linotype" w:eastAsia="Palatino Linotype" w:hAnsi="Palatino Linotype" w:cs="Palatino Linotype"/>
          <w:i/>
          <w:sz w:val="22"/>
          <w:szCs w:val="22"/>
          <w:shd w:val="clear" w:color="auto" w:fill="FF9900"/>
        </w:rPr>
      </w:pPr>
    </w:p>
    <w:p w14:paraId="1794F619" w14:textId="77777777" w:rsidR="00682E5A" w:rsidRPr="00161EC9" w:rsidRDefault="005E0AE8" w:rsidP="00714DCE">
      <w:pPr>
        <w:spacing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Así como el artículo 5 fracción III y VIII, </w:t>
      </w:r>
      <w:proofErr w:type="gramStart"/>
      <w:r w:rsidRPr="00714DCE">
        <w:rPr>
          <w:rFonts w:ascii="Palatino Linotype" w:eastAsia="Palatino Linotype" w:hAnsi="Palatino Linotype" w:cs="Palatino Linotype"/>
        </w:rPr>
        <w:t>párrafos trigésimo, trigésimo primero y trigésimo segundo</w:t>
      </w:r>
      <w:proofErr w:type="gramEnd"/>
      <w:r w:rsidRPr="00714DCE">
        <w:rPr>
          <w:rFonts w:ascii="Palatino Linotype" w:eastAsia="Palatino Linotype" w:hAnsi="Palatino Linotype" w:cs="Palatino Linotype"/>
        </w:rPr>
        <w:t xml:space="preserve">, de la Constitución Política del Estado Libre y Soberano de </w:t>
      </w:r>
      <w:r w:rsidRPr="00161EC9">
        <w:rPr>
          <w:rFonts w:ascii="Palatino Linotype" w:eastAsia="Palatino Linotype" w:hAnsi="Palatino Linotype" w:cs="Palatino Linotype"/>
        </w:rPr>
        <w:t>México, que determina lo siguiente:</w:t>
      </w:r>
    </w:p>
    <w:p w14:paraId="48B1E982" w14:textId="77777777" w:rsidR="00682E5A" w:rsidRPr="00161EC9" w:rsidRDefault="00682E5A" w:rsidP="00714DCE">
      <w:pPr>
        <w:ind w:right="474"/>
        <w:jc w:val="both"/>
        <w:rPr>
          <w:rFonts w:ascii="Palatino Linotype" w:eastAsia="Palatino Linotype" w:hAnsi="Palatino Linotype" w:cs="Palatino Linotype"/>
          <w:i/>
          <w:sz w:val="22"/>
          <w:szCs w:val="22"/>
          <w:shd w:val="clear" w:color="auto" w:fill="FF9900"/>
        </w:rPr>
      </w:pPr>
    </w:p>
    <w:p w14:paraId="6C58048E" w14:textId="77777777" w:rsidR="00682E5A" w:rsidRPr="00161EC9" w:rsidRDefault="005E0AE8" w:rsidP="00714DCE">
      <w:pPr>
        <w:ind w:left="851" w:right="900"/>
        <w:jc w:val="both"/>
        <w:rPr>
          <w:rFonts w:ascii="Palatino Linotype" w:eastAsia="Palatino Linotype" w:hAnsi="Palatino Linotype" w:cs="Palatino Linotype"/>
          <w:b/>
          <w:i/>
          <w:sz w:val="22"/>
          <w:szCs w:val="22"/>
        </w:rPr>
      </w:pPr>
      <w:r w:rsidRPr="00161EC9">
        <w:rPr>
          <w:rFonts w:ascii="Palatino Linotype" w:eastAsia="Palatino Linotype" w:hAnsi="Palatino Linotype" w:cs="Palatino Linotype"/>
          <w:i/>
          <w:sz w:val="22"/>
          <w:szCs w:val="22"/>
          <w:shd w:val="clear" w:color="auto" w:fill="FF9900"/>
        </w:rPr>
        <w:t>"</w:t>
      </w:r>
      <w:r w:rsidRPr="00161EC9">
        <w:rPr>
          <w:rFonts w:ascii="Palatino Linotype" w:eastAsia="Palatino Linotype" w:hAnsi="Palatino Linotype" w:cs="Palatino Linotype"/>
          <w:b/>
          <w:i/>
          <w:sz w:val="22"/>
          <w:szCs w:val="22"/>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07B39DBF" w14:textId="77777777" w:rsidR="00682E5A" w:rsidRPr="00161EC9" w:rsidRDefault="005E0AE8" w:rsidP="00714DCE">
      <w:pPr>
        <w:ind w:left="851" w:right="900"/>
        <w:jc w:val="both"/>
        <w:rPr>
          <w:rFonts w:ascii="Palatino Linotype" w:eastAsia="Palatino Linotype" w:hAnsi="Palatino Linotype" w:cs="Palatino Linotype"/>
          <w:b/>
          <w:i/>
          <w:sz w:val="22"/>
          <w:szCs w:val="22"/>
        </w:rPr>
      </w:pPr>
      <w:r w:rsidRPr="00161EC9">
        <w:rPr>
          <w:rFonts w:ascii="Palatino Linotype" w:eastAsia="Palatino Linotype" w:hAnsi="Palatino Linotype" w:cs="Palatino Linotype"/>
          <w:b/>
          <w:i/>
          <w:sz w:val="22"/>
          <w:szCs w:val="22"/>
        </w:rPr>
        <w:t>...</w:t>
      </w:r>
    </w:p>
    <w:p w14:paraId="10B75A11" w14:textId="77777777" w:rsidR="00682E5A" w:rsidRPr="00161EC9" w:rsidRDefault="005E0AE8" w:rsidP="00714DCE">
      <w:pPr>
        <w:ind w:left="851" w:right="900"/>
        <w:jc w:val="both"/>
        <w:rPr>
          <w:rFonts w:ascii="Palatino Linotype" w:eastAsia="Palatino Linotype" w:hAnsi="Palatino Linotype" w:cs="Palatino Linotype"/>
          <w:b/>
          <w:i/>
          <w:sz w:val="22"/>
          <w:szCs w:val="22"/>
        </w:rPr>
      </w:pPr>
      <w:r w:rsidRPr="00161EC9">
        <w:rPr>
          <w:rFonts w:ascii="Palatino Linotype" w:eastAsia="Palatino Linotype" w:hAnsi="Palatino Linotype" w:cs="Palatino Linotype"/>
          <w:b/>
          <w:i/>
          <w:sz w:val="22"/>
          <w:szCs w:val="22"/>
        </w:rPr>
        <w:t>Toda persona en el Estado de México, tiene derecho al libre acceso a la información plural y oportuna, así como a buscar recibir y difundir información e ideas de toda índole por cualquier medio de expresión.</w:t>
      </w:r>
    </w:p>
    <w:p w14:paraId="6507020F" w14:textId="77777777" w:rsidR="00682E5A" w:rsidRPr="00161EC9" w:rsidRDefault="005E0AE8" w:rsidP="00714DCE">
      <w:pPr>
        <w:ind w:left="851" w:right="900"/>
        <w:jc w:val="both"/>
        <w:rPr>
          <w:rFonts w:ascii="Palatino Linotype" w:eastAsia="Palatino Linotype" w:hAnsi="Palatino Linotype" w:cs="Palatino Linotype"/>
          <w:b/>
          <w:i/>
          <w:sz w:val="22"/>
          <w:szCs w:val="22"/>
        </w:rPr>
      </w:pPr>
      <w:r w:rsidRPr="00161EC9">
        <w:rPr>
          <w:rFonts w:ascii="Palatino Linotype" w:eastAsia="Palatino Linotype" w:hAnsi="Palatino Linotype" w:cs="Palatino Linotype"/>
          <w:b/>
          <w:i/>
          <w:sz w:val="22"/>
          <w:szCs w:val="22"/>
        </w:rPr>
        <w:t>...</w:t>
      </w:r>
    </w:p>
    <w:p w14:paraId="58E6E904" w14:textId="77777777" w:rsidR="00682E5A" w:rsidRPr="00161EC9" w:rsidRDefault="005E0AE8" w:rsidP="00714DCE">
      <w:pPr>
        <w:ind w:left="851" w:right="900"/>
        <w:jc w:val="both"/>
        <w:rPr>
          <w:rFonts w:ascii="Palatino Linotype" w:eastAsia="Palatino Linotype" w:hAnsi="Palatino Linotype" w:cs="Palatino Linotype"/>
          <w:b/>
          <w:i/>
          <w:sz w:val="22"/>
          <w:szCs w:val="22"/>
        </w:rPr>
      </w:pPr>
      <w:r w:rsidRPr="00161EC9">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p>
    <w:p w14:paraId="2D862A0D" w14:textId="77777777" w:rsidR="00682E5A" w:rsidRPr="00161EC9" w:rsidRDefault="005E0AE8" w:rsidP="00714DCE">
      <w:pPr>
        <w:ind w:left="851" w:right="900"/>
        <w:jc w:val="both"/>
        <w:rPr>
          <w:rFonts w:ascii="Palatino Linotype" w:eastAsia="Palatino Linotype" w:hAnsi="Palatino Linotype" w:cs="Palatino Linotype"/>
          <w:b/>
          <w:i/>
          <w:sz w:val="22"/>
          <w:szCs w:val="22"/>
        </w:rPr>
      </w:pPr>
      <w:r w:rsidRPr="00161EC9">
        <w:rPr>
          <w:rFonts w:ascii="Palatino Linotype" w:eastAsia="Palatino Linotype" w:hAnsi="Palatino Linotype" w:cs="Palatino Linotype"/>
          <w:b/>
          <w:i/>
          <w:sz w:val="22"/>
          <w:szCs w:val="22"/>
        </w:rPr>
        <w:t xml:space="preserve">Para garantizar el ejercicio del derecho de transparencia, acceso a la información pública y protección de datos personales, los poderes públicos y los organismos autónomos, transparentarán sus acciones, en </w:t>
      </w:r>
      <w:r w:rsidRPr="00161EC9">
        <w:rPr>
          <w:rFonts w:ascii="Palatino Linotype" w:eastAsia="Palatino Linotype" w:hAnsi="Palatino Linotype" w:cs="Palatino Linotype"/>
          <w:b/>
          <w:i/>
          <w:sz w:val="22"/>
          <w:szCs w:val="22"/>
        </w:rPr>
        <w:lastRenderedPageBreak/>
        <w:t xml:space="preserve">términos de las disposiciones aplicables, la información será oportuna, clara, veraz y de fácil acceso. </w:t>
      </w:r>
    </w:p>
    <w:p w14:paraId="0F080845" w14:textId="77777777" w:rsidR="00682E5A" w:rsidRPr="00161EC9" w:rsidRDefault="005E0AE8" w:rsidP="00714DCE">
      <w:pPr>
        <w:ind w:left="851" w:right="900"/>
        <w:jc w:val="both"/>
        <w:rPr>
          <w:rFonts w:ascii="Palatino Linotype" w:eastAsia="Palatino Linotype" w:hAnsi="Palatino Linotype" w:cs="Palatino Linotype"/>
          <w:b/>
          <w:i/>
          <w:sz w:val="22"/>
          <w:szCs w:val="22"/>
        </w:rPr>
      </w:pPr>
      <w:r w:rsidRPr="00161EC9">
        <w:rPr>
          <w:rFonts w:ascii="Palatino Linotype" w:eastAsia="Palatino Linotype" w:hAnsi="Palatino Linotype" w:cs="Palatino Linotype"/>
          <w:b/>
          <w:i/>
          <w:sz w:val="22"/>
          <w:szCs w:val="22"/>
        </w:rPr>
        <w:t>Este derecho se regirá por los principios y bases siguientes:</w:t>
      </w:r>
    </w:p>
    <w:p w14:paraId="423206D9" w14:textId="77777777" w:rsidR="00682E5A" w:rsidRPr="00161EC9" w:rsidRDefault="005E0AE8" w:rsidP="00714DCE">
      <w:pPr>
        <w:ind w:left="851" w:right="900"/>
        <w:jc w:val="both"/>
        <w:rPr>
          <w:rFonts w:ascii="Palatino Linotype" w:eastAsia="Palatino Linotype" w:hAnsi="Palatino Linotype" w:cs="Palatino Linotype"/>
          <w:b/>
          <w:i/>
          <w:sz w:val="22"/>
          <w:szCs w:val="22"/>
        </w:rPr>
      </w:pPr>
      <w:r w:rsidRPr="00161EC9">
        <w:rPr>
          <w:rFonts w:ascii="Palatino Linotype" w:eastAsia="Palatino Linotype" w:hAnsi="Palatino Linotype" w:cs="Palatino Linotype"/>
          <w:b/>
          <w:i/>
          <w:sz w:val="22"/>
          <w:szCs w:val="22"/>
        </w:rPr>
        <w:t>…</w:t>
      </w:r>
    </w:p>
    <w:p w14:paraId="143D8D20" w14:textId="77777777" w:rsidR="00682E5A" w:rsidRPr="00161EC9" w:rsidRDefault="005E0AE8" w:rsidP="00714DCE">
      <w:pPr>
        <w:ind w:left="851" w:right="900"/>
        <w:jc w:val="both"/>
        <w:rPr>
          <w:rFonts w:ascii="Palatino Linotype" w:eastAsia="Palatino Linotype" w:hAnsi="Palatino Linotype" w:cs="Palatino Linotype"/>
          <w:b/>
          <w:i/>
          <w:sz w:val="22"/>
          <w:szCs w:val="22"/>
        </w:rPr>
      </w:pPr>
      <w:r w:rsidRPr="00161EC9">
        <w:rPr>
          <w:rFonts w:ascii="Palatino Linotype" w:eastAsia="Palatino Linotype" w:hAnsi="Palatino Linotype" w:cs="Palatino Linotype"/>
          <w:b/>
          <w:i/>
          <w:sz w:val="22"/>
          <w:szCs w:val="22"/>
        </w:rPr>
        <w:t>III. Toda persona, sin necesidad de acreditar interés alguno o justificar su utilización, tendrá acceso gratuito a la información pública, a sus datos personales o a la rectificación de éstos;</w:t>
      </w:r>
    </w:p>
    <w:p w14:paraId="185BB362" w14:textId="77777777" w:rsidR="00682E5A" w:rsidRPr="00161EC9" w:rsidRDefault="005E0AE8" w:rsidP="00714DCE">
      <w:pPr>
        <w:ind w:left="851" w:right="900"/>
        <w:jc w:val="both"/>
        <w:rPr>
          <w:rFonts w:ascii="Palatino Linotype" w:eastAsia="Palatino Linotype" w:hAnsi="Palatino Linotype" w:cs="Palatino Linotype"/>
          <w:b/>
          <w:i/>
          <w:sz w:val="22"/>
          <w:szCs w:val="22"/>
        </w:rPr>
      </w:pPr>
      <w:r w:rsidRPr="00161EC9">
        <w:rPr>
          <w:rFonts w:ascii="Palatino Linotype" w:eastAsia="Palatino Linotype" w:hAnsi="Palatino Linotype" w:cs="Palatino Linotype"/>
          <w:b/>
          <w:i/>
          <w:sz w:val="22"/>
          <w:szCs w:val="22"/>
        </w:rPr>
        <w:t>...</w:t>
      </w:r>
    </w:p>
    <w:p w14:paraId="10FD7745" w14:textId="77777777" w:rsidR="00682E5A" w:rsidRPr="00161EC9" w:rsidRDefault="005E0AE8" w:rsidP="00714DCE">
      <w:pPr>
        <w:ind w:left="851" w:right="900"/>
        <w:jc w:val="both"/>
        <w:rPr>
          <w:rFonts w:ascii="Palatino Linotype" w:eastAsia="Palatino Linotype" w:hAnsi="Palatino Linotype" w:cs="Palatino Linotype"/>
          <w:i/>
          <w:sz w:val="22"/>
          <w:szCs w:val="22"/>
          <w:shd w:val="clear" w:color="auto" w:fill="FF9900"/>
        </w:rPr>
      </w:pPr>
      <w:r w:rsidRPr="00161EC9">
        <w:rPr>
          <w:rFonts w:ascii="Palatino Linotype" w:eastAsia="Palatino Linotype" w:hAnsi="Palatino Linotype" w:cs="Palatino Linotype"/>
          <w:b/>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r w:rsidRPr="00161EC9">
        <w:rPr>
          <w:rFonts w:ascii="Palatino Linotype" w:eastAsia="Palatino Linotype" w:hAnsi="Palatino Linotype" w:cs="Palatino Linotype"/>
          <w:i/>
          <w:sz w:val="22"/>
          <w:szCs w:val="22"/>
          <w:shd w:val="clear" w:color="auto" w:fill="FF9900"/>
        </w:rPr>
        <w:t>)</w:t>
      </w:r>
    </w:p>
    <w:p w14:paraId="66D53C2D" w14:textId="77777777" w:rsidR="00682E5A" w:rsidRPr="00161EC9" w:rsidRDefault="00682E5A" w:rsidP="00714DCE">
      <w:pPr>
        <w:ind w:left="567" w:right="474"/>
        <w:jc w:val="both"/>
        <w:rPr>
          <w:rFonts w:ascii="Palatino Linotype" w:eastAsia="Palatino Linotype" w:hAnsi="Palatino Linotype" w:cs="Palatino Linotype"/>
          <w:i/>
          <w:sz w:val="22"/>
          <w:szCs w:val="22"/>
          <w:shd w:val="clear" w:color="auto" w:fill="FF9900"/>
        </w:rPr>
      </w:pPr>
    </w:p>
    <w:p w14:paraId="1D726756" w14:textId="77777777" w:rsidR="00682E5A" w:rsidRPr="00161EC9" w:rsidRDefault="00682E5A" w:rsidP="00714DCE">
      <w:pPr>
        <w:ind w:left="567" w:right="474"/>
        <w:jc w:val="both"/>
        <w:rPr>
          <w:rFonts w:ascii="Palatino Linotype" w:eastAsia="Palatino Linotype" w:hAnsi="Palatino Linotype" w:cs="Palatino Linotype"/>
        </w:rPr>
      </w:pPr>
    </w:p>
    <w:p w14:paraId="48F311AD" w14:textId="77777777" w:rsidR="00682E5A" w:rsidRPr="00714DCE" w:rsidRDefault="005E0AE8" w:rsidP="00714DCE">
      <w:pPr>
        <w:spacing w:line="360" w:lineRule="auto"/>
        <w:jc w:val="both"/>
        <w:rPr>
          <w:rFonts w:ascii="Palatino Linotype" w:eastAsia="Palatino Linotype" w:hAnsi="Palatino Linotype" w:cs="Palatino Linotype"/>
        </w:rPr>
      </w:pPr>
      <w:r w:rsidRPr="00161EC9">
        <w:rPr>
          <w:rFonts w:ascii="Palatino Linotype" w:eastAsia="Palatino Linotype" w:hAnsi="Palatino Linotype" w:cs="Palatino Linotype"/>
        </w:rPr>
        <w:t>Esto es, que el derecho</w:t>
      </w:r>
      <w:r w:rsidRPr="00714DCE">
        <w:rPr>
          <w:rFonts w:ascii="Palatino Linotype" w:eastAsia="Palatino Linotype" w:hAnsi="Palatino Linotype" w:cs="Palatino Linotype"/>
        </w:rPr>
        <w:t xml:space="preserve"> humano de acceso a la información pública, se aprecia que toda persona, sin necesidad de acreditar interés alguno o justificar su interposición,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FFA05F8" w14:textId="77777777" w:rsidR="00682E5A" w:rsidRPr="00714DCE" w:rsidRDefault="00682E5A" w:rsidP="00714DCE">
      <w:pPr>
        <w:ind w:left="851" w:right="758"/>
        <w:jc w:val="both"/>
        <w:rPr>
          <w:rFonts w:ascii="Palatino Linotype" w:eastAsia="Palatino Linotype" w:hAnsi="Palatino Linotype" w:cs="Palatino Linotype"/>
        </w:rPr>
      </w:pPr>
    </w:p>
    <w:p w14:paraId="25C3D90E" w14:textId="77777777" w:rsidR="00682E5A" w:rsidRPr="00714DCE" w:rsidRDefault="005E0AE8" w:rsidP="00714DCE">
      <w:pPr>
        <w:spacing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w:t>
      </w:r>
      <w:r w:rsidRPr="00714DCE">
        <w:rPr>
          <w:rFonts w:ascii="Palatino Linotype" w:eastAsia="Palatino Linotype" w:hAnsi="Palatino Linotype" w:cs="Palatino Linotype"/>
        </w:rPr>
        <w:lastRenderedPageBreak/>
        <w:t>Unidos Mexicanos y 5 párrafo vigésimo segundo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del expediente en revisión, del que se desprende que la parte recurrente, es la misma que realizó la solicitud de acceso a la información pública que ahora se impugna, aunado a que cumple con los requisitos a que hace referencia el artículo 180 de la Ley de Transparencia y Acceso a la Información Pública del Estado de México y Municipios, ya que fue interpuesto a través del SAIMEX.</w:t>
      </w:r>
    </w:p>
    <w:p w14:paraId="656ABF62" w14:textId="77777777" w:rsidR="00682E5A" w:rsidRPr="00714DCE" w:rsidRDefault="005E0AE8" w:rsidP="00714DCE">
      <w:pPr>
        <w:spacing w:before="240" w:after="240" w:line="360" w:lineRule="auto"/>
        <w:ind w:right="142"/>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Finalmente, se advierte que resulta procedente la interposición del recurso, según lo manifestado por el </w:t>
      </w:r>
      <w:r w:rsidRPr="00714DCE">
        <w:rPr>
          <w:rFonts w:ascii="Palatino Linotype" w:eastAsia="Palatino Linotype" w:hAnsi="Palatino Linotype" w:cs="Palatino Linotype"/>
          <w:b/>
        </w:rPr>
        <w:t>RECURRENTE</w:t>
      </w:r>
      <w:r w:rsidRPr="00714DCE">
        <w:rPr>
          <w:rFonts w:ascii="Palatino Linotype" w:eastAsia="Palatino Linotype" w:hAnsi="Palatino Linotype" w:cs="Palatino Linotype"/>
        </w:rPr>
        <w:t xml:space="preserve"> en sus motivos de inconformidad, de acuerdo con el artículo 179, fracción I, del ordenamiento legal citado, que a la letra dice: </w:t>
      </w:r>
    </w:p>
    <w:p w14:paraId="4B3CEF83" w14:textId="77777777" w:rsidR="00682E5A" w:rsidRPr="00714DCE" w:rsidRDefault="005E0AE8" w:rsidP="00714DCE">
      <w:pPr>
        <w:ind w:left="851" w:right="993"/>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rPr>
        <w:t>“</w:t>
      </w:r>
      <w:r w:rsidRPr="00714DCE">
        <w:rPr>
          <w:rFonts w:ascii="Palatino Linotype" w:eastAsia="Palatino Linotype" w:hAnsi="Palatino Linotype" w:cs="Palatino Linotype"/>
          <w:b/>
          <w:i/>
          <w:sz w:val="22"/>
          <w:szCs w:val="22"/>
        </w:rPr>
        <w:t xml:space="preserve">Artículo 179. </w:t>
      </w:r>
      <w:r w:rsidRPr="00714DCE">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BBD576B" w14:textId="77777777" w:rsidR="00682E5A" w:rsidRPr="00714DCE" w:rsidRDefault="005E0AE8" w:rsidP="00714DCE">
      <w:pPr>
        <w:ind w:left="851" w:right="993"/>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w:t>
      </w:r>
    </w:p>
    <w:p w14:paraId="29CF941E" w14:textId="77777777" w:rsidR="00682E5A" w:rsidRPr="00714DCE" w:rsidRDefault="005E0AE8" w:rsidP="00714DCE">
      <w:pPr>
        <w:ind w:left="851" w:right="993"/>
        <w:jc w:val="both"/>
        <w:rPr>
          <w:rFonts w:ascii="Palatino Linotype" w:eastAsia="Palatino Linotype" w:hAnsi="Palatino Linotype" w:cs="Palatino Linotype"/>
          <w:sz w:val="22"/>
          <w:szCs w:val="22"/>
        </w:rPr>
      </w:pPr>
      <w:r w:rsidRPr="00714DCE">
        <w:rPr>
          <w:rFonts w:ascii="Palatino Linotype" w:eastAsia="Palatino Linotype" w:hAnsi="Palatino Linotype" w:cs="Palatino Linotype"/>
          <w:sz w:val="22"/>
          <w:szCs w:val="22"/>
        </w:rPr>
        <w:t xml:space="preserve">I. La negativa a la información solicitada; </w:t>
      </w:r>
    </w:p>
    <w:p w14:paraId="1B71FA46" w14:textId="77777777" w:rsidR="00682E5A" w:rsidRPr="00714DCE" w:rsidRDefault="005E0AE8" w:rsidP="00714DCE">
      <w:pPr>
        <w:ind w:left="851" w:right="1043"/>
        <w:jc w:val="both"/>
        <w:rPr>
          <w:rFonts w:ascii="Palatino Linotype" w:eastAsia="Palatino Linotype" w:hAnsi="Palatino Linotype" w:cs="Palatino Linotype"/>
          <w:i/>
        </w:rPr>
      </w:pPr>
      <w:r w:rsidRPr="00714DCE">
        <w:rPr>
          <w:rFonts w:ascii="Palatino Linotype" w:eastAsia="Palatino Linotype" w:hAnsi="Palatino Linotype" w:cs="Palatino Linotype"/>
          <w:i/>
        </w:rPr>
        <w:t>…</w:t>
      </w:r>
    </w:p>
    <w:p w14:paraId="7E9B0BD2" w14:textId="77777777" w:rsidR="00682E5A" w:rsidRPr="00714DCE" w:rsidRDefault="00682E5A" w:rsidP="00714DCE">
      <w:pPr>
        <w:ind w:left="1268" w:right="1043"/>
        <w:jc w:val="both"/>
        <w:rPr>
          <w:rFonts w:ascii="Palatino Linotype" w:eastAsia="Palatino Linotype" w:hAnsi="Palatino Linotype" w:cs="Palatino Linotype"/>
          <w:i/>
        </w:rPr>
      </w:pPr>
    </w:p>
    <w:p w14:paraId="1D216091"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b/>
        </w:rPr>
        <w:t xml:space="preserve">Tercero. Materia de la revisión. </w:t>
      </w:r>
      <w:r w:rsidRPr="00714DCE">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verificar si la respuesta otorgada por el </w:t>
      </w:r>
      <w:r w:rsidRPr="00714DCE">
        <w:rPr>
          <w:rFonts w:ascii="Palatino Linotype" w:eastAsia="Palatino Linotype" w:hAnsi="Palatino Linotype" w:cs="Palatino Linotype"/>
          <w:b/>
        </w:rPr>
        <w:t xml:space="preserve">SUJETO OBLIGADO </w:t>
      </w:r>
      <w:r w:rsidRPr="00714DCE">
        <w:rPr>
          <w:rFonts w:ascii="Palatino Linotype" w:eastAsia="Palatino Linotype" w:hAnsi="Palatino Linotype" w:cs="Palatino Linotype"/>
        </w:rPr>
        <w:t xml:space="preserve">es adecuada y suficiente para </w:t>
      </w:r>
      <w:r w:rsidRPr="00714DCE">
        <w:rPr>
          <w:rFonts w:ascii="Palatino Linotype" w:eastAsia="Palatino Linotype" w:hAnsi="Palatino Linotype" w:cs="Palatino Linotype"/>
        </w:rPr>
        <w:lastRenderedPageBreak/>
        <w:t>satisfacer el derecho de acceso a la información pública</w:t>
      </w:r>
      <w:r w:rsidRPr="00714DCE">
        <w:rPr>
          <w:rFonts w:ascii="Palatino Linotype" w:eastAsia="Palatino Linotype" w:hAnsi="Palatino Linotype" w:cs="Palatino Linotype"/>
          <w:b/>
        </w:rPr>
        <w:t xml:space="preserve"> </w:t>
      </w:r>
      <w:r w:rsidRPr="00714DCE">
        <w:rPr>
          <w:rFonts w:ascii="Palatino Linotype" w:eastAsia="Palatino Linotype" w:hAnsi="Palatino Linotype" w:cs="Palatino Linotype"/>
        </w:rPr>
        <w:t xml:space="preserve">del </w:t>
      </w:r>
      <w:r w:rsidRPr="00714DCE">
        <w:rPr>
          <w:rFonts w:ascii="Palatino Linotype" w:eastAsia="Palatino Linotype" w:hAnsi="Palatino Linotype" w:cs="Palatino Linotype"/>
          <w:b/>
        </w:rPr>
        <w:t>RECURRENTE</w:t>
      </w:r>
      <w:r w:rsidRPr="00714DCE">
        <w:rPr>
          <w:rFonts w:ascii="Palatino Linotype" w:eastAsia="Palatino Linotype" w:hAnsi="Palatino Linotype" w:cs="Palatino Linotype"/>
        </w:rPr>
        <w:t>, o en su defecto, en caso de ser procedente, ordenar la entrega de información oportuna.</w:t>
      </w:r>
    </w:p>
    <w:p w14:paraId="24825619" w14:textId="77777777" w:rsidR="00682E5A" w:rsidRPr="00714DCE" w:rsidRDefault="005E0AE8" w:rsidP="00714DCE">
      <w:pPr>
        <w:spacing w:after="240" w:line="360" w:lineRule="auto"/>
        <w:ind w:right="49"/>
        <w:jc w:val="both"/>
        <w:rPr>
          <w:rFonts w:ascii="Palatino Linotype" w:eastAsia="Palatino Linotype" w:hAnsi="Palatino Linotype" w:cs="Palatino Linotype"/>
        </w:rPr>
      </w:pPr>
      <w:r w:rsidRPr="00714DCE">
        <w:rPr>
          <w:rFonts w:ascii="Palatino Linotype" w:eastAsia="Palatino Linotype" w:hAnsi="Palatino Linotype" w:cs="Palatino Linotype"/>
          <w:b/>
        </w:rPr>
        <w:t xml:space="preserve">Cuarto. Estudio del asunto. </w:t>
      </w:r>
      <w:r w:rsidRPr="00714DCE">
        <w:rPr>
          <w:rFonts w:ascii="Palatino Linotype" w:eastAsia="Palatino Linotype" w:hAnsi="Palatino Linotype" w:cs="Palatino Linotype"/>
        </w:rPr>
        <w:t>Una vez 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72DB222"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En tal contexto, del análisis de las constancias que integran el expediente en que se actúa, así como de la materia sobre la que versa la solicitud de acceso a la información pública, se advierte que el motivo de inconformidad acontece parcialmente fundado, en razón de las consideraciones de derecho que a continuación se exponen:</w:t>
      </w:r>
    </w:p>
    <w:p w14:paraId="6F178CE7"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Primeramente, debe mencionarse que, del análisis realizado a la solicitud referida, se aprecia que el </w:t>
      </w:r>
      <w:r w:rsidRPr="00714DCE">
        <w:rPr>
          <w:rFonts w:ascii="Palatino Linotype" w:eastAsia="Palatino Linotype" w:hAnsi="Palatino Linotype" w:cs="Palatino Linotype"/>
          <w:b/>
        </w:rPr>
        <w:t>RECURRENTE</w:t>
      </w:r>
      <w:r w:rsidRPr="00714DCE">
        <w:rPr>
          <w:rFonts w:ascii="Palatino Linotype" w:eastAsia="Palatino Linotype" w:hAnsi="Palatino Linotype" w:cs="Palatino Linotype"/>
        </w:rPr>
        <w:t xml:space="preserve"> requiere que le proporcione: </w:t>
      </w:r>
    </w:p>
    <w:p w14:paraId="75856FDA" w14:textId="77777777" w:rsidR="00682E5A" w:rsidRPr="00714DCE" w:rsidRDefault="005E0AE8" w:rsidP="00714DCE">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sidRPr="00714DCE">
        <w:rPr>
          <w:rFonts w:ascii="Palatino Linotype" w:eastAsia="Palatino Linotype" w:hAnsi="Palatino Linotype" w:cs="Palatino Linotype"/>
          <w:color w:val="000000"/>
          <w:sz w:val="22"/>
          <w:szCs w:val="22"/>
        </w:rPr>
        <w:t>El Convenio de Sueldo, Prestaciones de Ley y Colaterales 2021, suscrito entre el Ayuntamiento de Naucalpan de Juárez y el Sindicato Único de Trabajadores de los Poderes, Municipios e Instituciones Descentralizadas del Estado de México (SUTEYM).</w:t>
      </w:r>
    </w:p>
    <w:p w14:paraId="1B20FACE" w14:textId="77777777" w:rsidR="00682E5A" w:rsidRPr="00714DCE" w:rsidRDefault="005E0AE8" w:rsidP="00714DCE">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714DCE">
        <w:rPr>
          <w:rFonts w:ascii="Palatino Linotype" w:eastAsia="Palatino Linotype" w:hAnsi="Palatino Linotype" w:cs="Palatino Linotype"/>
        </w:rPr>
        <w:lastRenderedPageBreak/>
        <w:t>Cabe mencionar que la Encargada del Despacho de la Subdirección de Recursos Humanos mediante el oficio número SRH/1129/2021 de fecha veinticinco de octubre de dos mil veintiuno manifestó que no se cuenta con dicha documentación toda vez que el Convenio aún se encuentra en “Firma de Deposito”, como se puede advertir en la siguiente imagen:</w:t>
      </w:r>
    </w:p>
    <w:p w14:paraId="5B426702"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noProof/>
          <w:lang w:val="es-MX" w:eastAsia="es-MX"/>
        </w:rPr>
        <w:lastRenderedPageBreak/>
        <w:drawing>
          <wp:inline distT="0" distB="0" distL="0" distR="0" wp14:anchorId="2766EAEA" wp14:editId="324ED3AC">
            <wp:extent cx="5142149" cy="6527000"/>
            <wp:effectExtent l="0" t="0" r="0" b="0"/>
            <wp:docPr id="49" name="image5.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Texto&#10;&#10;Descripción generada automáticamente"/>
                    <pic:cNvPicPr preferRelativeResize="0"/>
                  </pic:nvPicPr>
                  <pic:blipFill>
                    <a:blip r:embed="rId12"/>
                    <a:srcRect l="34573" t="16625" r="34827" b="14323"/>
                    <a:stretch>
                      <a:fillRect/>
                    </a:stretch>
                  </pic:blipFill>
                  <pic:spPr>
                    <a:xfrm>
                      <a:off x="0" y="0"/>
                      <a:ext cx="5142149" cy="6527000"/>
                    </a:xfrm>
                    <a:prstGeom prst="rect">
                      <a:avLst/>
                    </a:prstGeom>
                    <a:ln/>
                  </pic:spPr>
                </pic:pic>
              </a:graphicData>
            </a:graphic>
          </wp:inline>
        </w:drawing>
      </w:r>
      <w:r w:rsidRPr="00714DCE">
        <w:rPr>
          <w:noProof/>
          <w:lang w:val="es-MX" w:eastAsia="es-MX"/>
        </w:rPr>
        <mc:AlternateContent>
          <mc:Choice Requires="wps">
            <w:drawing>
              <wp:anchor distT="0" distB="0" distL="114300" distR="114300" simplePos="0" relativeHeight="251658240" behindDoc="0" locked="0" layoutInCell="1" hidden="0" allowOverlap="1" wp14:anchorId="151B3DF6" wp14:editId="5124BCFD">
                <wp:simplePos x="0" y="0"/>
                <wp:positionH relativeFrom="column">
                  <wp:posOffset>381000</wp:posOffset>
                </wp:positionH>
                <wp:positionV relativeFrom="paragraph">
                  <wp:posOffset>3403600</wp:posOffset>
                </wp:positionV>
                <wp:extent cx="4470124" cy="693254"/>
                <wp:effectExtent l="0" t="0" r="0" b="0"/>
                <wp:wrapNone/>
                <wp:docPr id="44" name="Rectángulo 44"/>
                <wp:cNvGraphicFramePr/>
                <a:graphic xmlns:a="http://schemas.openxmlformats.org/drawingml/2006/main">
                  <a:graphicData uri="http://schemas.microsoft.com/office/word/2010/wordprocessingShape">
                    <wps:wsp>
                      <wps:cNvSpPr/>
                      <wps:spPr>
                        <a:xfrm>
                          <a:off x="3139513" y="3461948"/>
                          <a:ext cx="4412974" cy="636104"/>
                        </a:xfrm>
                        <a:prstGeom prst="rect">
                          <a:avLst/>
                        </a:prstGeom>
                        <a:noFill/>
                        <a:ln w="28575" cap="flat" cmpd="sng">
                          <a:solidFill>
                            <a:srgbClr val="FF0000"/>
                          </a:solidFill>
                          <a:prstDash val="solid"/>
                          <a:miter lim="800000"/>
                          <a:headEnd type="none" w="sm" len="sm"/>
                          <a:tailEnd type="none" w="sm" len="sm"/>
                        </a:ln>
                      </wps:spPr>
                      <wps:txbx>
                        <w:txbxContent>
                          <w:p w14:paraId="3E48BD15" w14:textId="77777777" w:rsidR="00682E5A" w:rsidRDefault="00682E5A">
                            <w:pPr>
                              <w:textDirection w:val="btLr"/>
                            </w:pPr>
                          </w:p>
                        </w:txbxContent>
                      </wps:txbx>
                      <wps:bodyPr spcFirstLastPara="1" wrap="square" lIns="91425" tIns="91425" rIns="91425" bIns="91425" anchor="ctr" anchorCtr="0">
                        <a:noAutofit/>
                      </wps:bodyPr>
                    </wps:wsp>
                  </a:graphicData>
                </a:graphic>
              </wp:anchor>
            </w:drawing>
          </mc:Choice>
          <mc:Fallback>
            <w:pict>
              <v:rect w14:anchorId="151B3DF6" id="Rectángulo 44" o:spid="_x0000_s1026" style="position:absolute;left:0;text-align:left;margin-left:30pt;margin-top:268pt;width:352pt;height:54.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" filled="f" strokecolor="red" strokeweight="2.25pt">
                <v:stroke startarrowwidth="narrow" startarrowlength="short" endarrowwidth="narrow" endarrowlength="short"/>
                <v:textbox inset="2.53958mm,2.53958mm,2.53958mm,2.53958mm">
                  <w:txbxContent>
                    <w:p w14:paraId="3E48BD15" w14:textId="77777777" w:rsidR="00682E5A" w:rsidRDefault="00682E5A">
                      <w:pPr>
                        <w:textDirection w:val="btLr"/>
                      </w:pPr>
                    </w:p>
                  </w:txbxContent>
                </v:textbox>
              </v:rect>
            </w:pict>
          </mc:Fallback>
        </mc:AlternateContent>
      </w:r>
    </w:p>
    <w:p w14:paraId="1D769E15" w14:textId="77777777" w:rsidR="00682E5A" w:rsidRPr="00714DCE" w:rsidRDefault="005E0AE8" w:rsidP="00714DCE">
      <w:pPr>
        <w:tabs>
          <w:tab w:val="left" w:pos="709"/>
        </w:tabs>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 Al estar inconforme con la respuesta, el </w:t>
      </w:r>
      <w:r w:rsidRPr="00714DCE">
        <w:rPr>
          <w:rFonts w:ascii="Palatino Linotype" w:eastAsia="Palatino Linotype" w:hAnsi="Palatino Linotype" w:cs="Palatino Linotype"/>
          <w:b/>
        </w:rPr>
        <w:t>RECURRENTE</w:t>
      </w:r>
      <w:r w:rsidRPr="00714DCE">
        <w:rPr>
          <w:rFonts w:ascii="Palatino Linotype" w:eastAsia="Palatino Linotype" w:hAnsi="Palatino Linotype" w:cs="Palatino Linotype"/>
        </w:rPr>
        <w:t xml:space="preserve"> interpuso el presente medio de impugnación manifestando en términos generales como acto impugnado la </w:t>
      </w:r>
      <w:r w:rsidRPr="00714DCE">
        <w:rPr>
          <w:rFonts w:ascii="Palatino Linotype" w:eastAsia="Palatino Linotype" w:hAnsi="Palatino Linotype" w:cs="Palatino Linotype"/>
        </w:rPr>
        <w:lastRenderedPageBreak/>
        <w:t xml:space="preserve">negativa a la información solicitada y como motivos o razones de inconformidad, que el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xml:space="preserve"> al referir que se encuentra en proceso de firma el convenio de sueldo, prestaciones de ley y colaterales 2021 con el SUTEYM, sin precisar </w:t>
      </w:r>
      <w:r w:rsidRPr="00714DCE">
        <w:rPr>
          <w:rFonts w:ascii="Palatino Linotype" w:eastAsia="Palatino Linotype" w:hAnsi="Palatino Linotype" w:cs="Palatino Linotype"/>
          <w:color w:val="000000"/>
          <w:sz w:val="14"/>
          <w:szCs w:val="14"/>
        </w:rPr>
        <w:t> </w:t>
      </w:r>
      <w:r w:rsidRPr="00714DCE">
        <w:rPr>
          <w:rFonts w:ascii="Palatino Linotype" w:eastAsia="Palatino Linotype" w:hAnsi="Palatino Linotype" w:cs="Palatino Linotype"/>
          <w:color w:val="000000"/>
        </w:rPr>
        <w:t xml:space="preserve">¿en dónde?, ¿con quién? y ¿desde cuándo? se encuentra en firma de depósito el convenio aducido, contradiciendo el principio de máxima publicidad  y transparencia proactiva, toda vez que en diferentes medios se ha publicado la celebración del citado convenio entre el </w:t>
      </w:r>
      <w:r w:rsidRPr="00714DCE">
        <w:rPr>
          <w:rFonts w:ascii="Palatino Linotype" w:eastAsia="Palatino Linotype" w:hAnsi="Palatino Linotype" w:cs="Palatino Linotype"/>
        </w:rPr>
        <w:t xml:space="preserve">SUTEYM y el Ayuntamiento de Naucalpan de Juárez, haciendo notar que el servidor público habilitado manifiesta que deben realizarse los trámites correspondientes para dar respuesta a la solicitud planteada, sin que se advierta acto tendiente a dicho fin, por tanto solicita a este Órgano garante que se requiera al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xml:space="preserve"> para que le brinde el convenio requerido.</w:t>
      </w:r>
    </w:p>
    <w:p w14:paraId="6A9B43BF" w14:textId="77777777" w:rsidR="00682E5A" w:rsidRPr="00714DCE" w:rsidRDefault="005E0AE8" w:rsidP="00714DCE">
      <w:pPr>
        <w:spacing w:line="360" w:lineRule="auto"/>
        <w:ind w:right="-93"/>
        <w:jc w:val="both"/>
        <w:rPr>
          <w:rFonts w:ascii="Palatino Linotype" w:eastAsia="Palatino Linotype" w:hAnsi="Palatino Linotype" w:cs="Palatino Linotype"/>
        </w:rPr>
      </w:pPr>
      <w:r w:rsidRPr="00714DCE">
        <w:rPr>
          <w:rFonts w:ascii="Palatino Linotype" w:eastAsia="Palatino Linotype" w:hAnsi="Palatino Linotype" w:cs="Palatino Linotype"/>
        </w:rPr>
        <w:t>Siendo importante mencionar que no escapa de la óptica de este Órgano Garante, que  a través de los motivos de inconformidad, el RECURRENTE se refirió que el SUJETO OBLIGADO no precisa ¿en dónde?, ¿con quién? y ¿desde cuándo? se encuentra en firma de depósito el convenio aducido, no obstante, es de señalar que dicha información no fue requerida en un primer momento en dichos términos, en este sentido, dicho pronunciamiento se traduce como una </w:t>
      </w:r>
      <w:r w:rsidRPr="00714DCE">
        <w:rPr>
          <w:rFonts w:ascii="Palatino Linotype" w:eastAsia="Palatino Linotype" w:hAnsi="Palatino Linotype" w:cs="Palatino Linotype"/>
          <w:i/>
        </w:rPr>
        <w:t xml:space="preserve">plus </w:t>
      </w:r>
      <w:proofErr w:type="spellStart"/>
      <w:r w:rsidRPr="00714DCE">
        <w:rPr>
          <w:rFonts w:ascii="Palatino Linotype" w:eastAsia="Palatino Linotype" w:hAnsi="Palatino Linotype" w:cs="Palatino Linotype"/>
          <w:i/>
        </w:rPr>
        <w:t>petitio</w:t>
      </w:r>
      <w:proofErr w:type="spellEnd"/>
      <w:r w:rsidRPr="00714DCE">
        <w:rPr>
          <w:rFonts w:ascii="Palatino Linotype" w:eastAsia="Palatino Linotype" w:hAnsi="Palatino Linotype" w:cs="Palatino Linotype"/>
        </w:rPr>
        <w:t>, y por tanto inatendible a través del recurso de revisión.</w:t>
      </w:r>
    </w:p>
    <w:p w14:paraId="6182F876" w14:textId="77777777" w:rsidR="00682E5A" w:rsidRPr="00714DCE" w:rsidRDefault="00682E5A" w:rsidP="00714DCE">
      <w:pPr>
        <w:spacing w:line="360" w:lineRule="auto"/>
        <w:ind w:right="-93"/>
        <w:jc w:val="both"/>
        <w:rPr>
          <w:rFonts w:ascii="Palatino Linotype" w:eastAsia="Palatino Linotype" w:hAnsi="Palatino Linotype" w:cs="Palatino Linotype"/>
        </w:rPr>
      </w:pPr>
    </w:p>
    <w:p w14:paraId="7882AD4B" w14:textId="77777777" w:rsidR="00682E5A" w:rsidRPr="00714DCE" w:rsidRDefault="005E0AE8" w:rsidP="00714DCE">
      <w:pPr>
        <w:spacing w:line="360" w:lineRule="auto"/>
        <w:ind w:right="-93"/>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En este orden de ideas, una vez formulada su solicitud inicial, los particulares no pueden modificarla o ampliarla a través de posteriores promociones o en el momento de ingresar su recurso de revisión, y menos aún si les fue otorgada la oportunidad para su ampliación; por tanto, la materia de las solicitudes de información se </w:t>
      </w:r>
      <w:r w:rsidRPr="00714DCE">
        <w:rPr>
          <w:rFonts w:ascii="Palatino Linotype" w:eastAsia="Palatino Linotype" w:hAnsi="Palatino Linotype" w:cs="Palatino Linotype"/>
        </w:rPr>
        <w:lastRenderedPageBreak/>
        <w:t>circunscribe a que se permita el acceso a los documentos inicialmente solicitados y en su caso a los aclarados o corregidos.</w:t>
      </w:r>
    </w:p>
    <w:p w14:paraId="483EFBB3" w14:textId="77777777" w:rsidR="00682E5A" w:rsidRPr="00714DCE" w:rsidRDefault="005E0AE8" w:rsidP="00714DCE">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Robustece lo anterior lo plasmado en el criterio número 27/10 emitido por el entonces Instituto Federal de Acceso a la Información y Protección de Datos (IFAI) ahora Instituto Nacional de Transparencia, Acceso a la Información y Protección de Datos Personales (INAI), que lleva por rubro y texto lo que a continuación se transcribe:</w:t>
      </w:r>
    </w:p>
    <w:p w14:paraId="334AD9C5" w14:textId="77777777" w:rsidR="00682E5A" w:rsidRPr="00714DCE" w:rsidRDefault="005E0AE8" w:rsidP="00714DCE">
      <w:pPr>
        <w:spacing w:before="240" w:after="240"/>
        <w:ind w:left="851" w:right="900"/>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“Es improcedente ampliar las solicitudes de acceso a información pública o datos personales,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599128F1" w14:textId="77777777" w:rsidR="00682E5A" w:rsidRPr="00714DCE" w:rsidRDefault="005E0AE8" w:rsidP="00714DCE">
      <w:pPr>
        <w:tabs>
          <w:tab w:val="left" w:pos="709"/>
        </w:tabs>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No obstante, de lo anterior, se dejan a salvo los derechos de la particular, para que, en caso de considerar conveniente a sus intereses, el conocer la información que fue señalada, la solicite a través de una nueva solicitud de información.</w:t>
      </w:r>
    </w:p>
    <w:p w14:paraId="30DC7F3E"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Por otra parte,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 razón por la cual se considera pertinente referir que se entiende por convenio, en ese sentido el Diccionario de la Real Academia Española establece:</w:t>
      </w:r>
    </w:p>
    <w:p w14:paraId="160A3143" w14:textId="77777777" w:rsidR="00682E5A" w:rsidRPr="00714DCE" w:rsidRDefault="005E0AE8" w:rsidP="00714DCE">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color w:val="000000"/>
          <w:sz w:val="22"/>
          <w:szCs w:val="22"/>
        </w:rPr>
      </w:pPr>
      <w:r w:rsidRPr="00714DCE">
        <w:rPr>
          <w:rFonts w:ascii="Palatino Linotype" w:eastAsia="Palatino Linotype" w:hAnsi="Palatino Linotype" w:cs="Palatino Linotype"/>
          <w:color w:val="000000"/>
          <w:sz w:val="22"/>
          <w:szCs w:val="22"/>
        </w:rPr>
        <w:lastRenderedPageBreak/>
        <w:t>Convenio De </w:t>
      </w:r>
      <w:r w:rsidRPr="00714DCE">
        <w:rPr>
          <w:rFonts w:ascii="Palatino Linotype" w:eastAsia="Palatino Linotype" w:hAnsi="Palatino Linotype" w:cs="Palatino Linotype"/>
          <w:i/>
          <w:color w:val="000000"/>
          <w:sz w:val="22"/>
          <w:szCs w:val="22"/>
        </w:rPr>
        <w:t>convenir.</w:t>
      </w:r>
    </w:p>
    <w:p w14:paraId="2010929C" w14:textId="77777777" w:rsidR="00682E5A" w:rsidRPr="00714DCE" w:rsidRDefault="005E0AE8" w:rsidP="00714DCE">
      <w:pPr>
        <w:pBdr>
          <w:top w:val="nil"/>
          <w:left w:val="nil"/>
          <w:bottom w:val="nil"/>
          <w:right w:val="nil"/>
          <w:between w:val="nil"/>
        </w:pBdr>
        <w:spacing w:before="240" w:after="240" w:line="360" w:lineRule="auto"/>
        <w:ind w:left="720"/>
        <w:rPr>
          <w:rFonts w:ascii="Palatino Linotype" w:eastAsia="Palatino Linotype" w:hAnsi="Palatino Linotype" w:cs="Palatino Linotype"/>
          <w:color w:val="000000"/>
          <w:sz w:val="22"/>
          <w:szCs w:val="22"/>
        </w:rPr>
      </w:pPr>
      <w:r w:rsidRPr="00714DCE">
        <w:rPr>
          <w:rFonts w:ascii="Palatino Linotype" w:eastAsia="Palatino Linotype" w:hAnsi="Palatino Linotype" w:cs="Palatino Linotype"/>
          <w:b/>
          <w:color w:val="000000"/>
          <w:sz w:val="22"/>
          <w:szCs w:val="22"/>
        </w:rPr>
        <w:t>1. </w:t>
      </w:r>
      <w:r w:rsidRPr="00714DCE">
        <w:rPr>
          <w:rFonts w:ascii="Palatino Linotype" w:eastAsia="Palatino Linotype" w:hAnsi="Palatino Linotype" w:cs="Palatino Linotype"/>
          <w:color w:val="000000"/>
          <w:sz w:val="22"/>
          <w:szCs w:val="22"/>
        </w:rPr>
        <w:t>m. Acuerdo o pacto.</w:t>
      </w:r>
    </w:p>
    <w:p w14:paraId="36D53826" w14:textId="77777777" w:rsidR="00682E5A" w:rsidRPr="00714DCE" w:rsidRDefault="005E0AE8" w:rsidP="00714DCE">
      <w:pPr>
        <w:tabs>
          <w:tab w:val="left" w:pos="709"/>
        </w:tabs>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En este mismo orden de ideas debe mencionarse que el Código Civil del Estado de México establece:</w:t>
      </w:r>
    </w:p>
    <w:p w14:paraId="2CD7DC9A" w14:textId="77777777" w:rsidR="00682E5A" w:rsidRPr="00714DCE" w:rsidRDefault="005E0AE8" w:rsidP="00714DCE">
      <w:pPr>
        <w:tabs>
          <w:tab w:val="left" w:pos="709"/>
        </w:tabs>
        <w:ind w:left="851" w:right="851"/>
        <w:jc w:val="both"/>
        <w:rPr>
          <w:rFonts w:ascii="Palatino Linotype" w:eastAsia="Palatino Linotype" w:hAnsi="Palatino Linotype" w:cs="Palatino Linotype"/>
          <w:b/>
          <w:i/>
          <w:sz w:val="22"/>
          <w:szCs w:val="22"/>
        </w:rPr>
      </w:pPr>
      <w:r w:rsidRPr="00714DCE">
        <w:rPr>
          <w:rFonts w:ascii="Palatino Linotype" w:eastAsia="Palatino Linotype" w:hAnsi="Palatino Linotype" w:cs="Palatino Linotype"/>
          <w:b/>
          <w:i/>
          <w:sz w:val="22"/>
          <w:szCs w:val="22"/>
        </w:rPr>
        <w:t>Concepto de convenio</w:t>
      </w:r>
    </w:p>
    <w:p w14:paraId="7036CEC4" w14:textId="77777777" w:rsidR="00682E5A" w:rsidRPr="00714DCE" w:rsidRDefault="005E0AE8" w:rsidP="00714DCE">
      <w:pPr>
        <w:tabs>
          <w:tab w:val="left" w:pos="709"/>
        </w:tabs>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Artículo 7.30.-</w:t>
      </w:r>
      <w:r w:rsidRPr="00714DCE">
        <w:rPr>
          <w:rFonts w:ascii="Palatino Linotype" w:eastAsia="Palatino Linotype" w:hAnsi="Palatino Linotype" w:cs="Palatino Linotype"/>
          <w:i/>
          <w:sz w:val="22"/>
          <w:szCs w:val="22"/>
        </w:rPr>
        <w:t xml:space="preserve"> Convenio es el </w:t>
      </w:r>
      <w:r w:rsidRPr="00714DCE">
        <w:rPr>
          <w:rFonts w:ascii="Palatino Linotype" w:eastAsia="Palatino Linotype" w:hAnsi="Palatino Linotype" w:cs="Palatino Linotype"/>
          <w:b/>
          <w:i/>
          <w:sz w:val="22"/>
          <w:szCs w:val="22"/>
          <w:u w:val="single"/>
        </w:rPr>
        <w:t>acuerdo de dos o más personas para crear, transferir, modificar o extinguir obligaciones</w:t>
      </w:r>
      <w:r w:rsidRPr="00714DCE">
        <w:rPr>
          <w:rFonts w:ascii="Palatino Linotype" w:eastAsia="Palatino Linotype" w:hAnsi="Palatino Linotype" w:cs="Palatino Linotype"/>
          <w:i/>
          <w:sz w:val="22"/>
          <w:szCs w:val="22"/>
        </w:rPr>
        <w:t>.</w:t>
      </w:r>
    </w:p>
    <w:p w14:paraId="01A738B5" w14:textId="77777777" w:rsidR="00682E5A" w:rsidRPr="00714DCE" w:rsidRDefault="00682E5A" w:rsidP="00714DCE">
      <w:pPr>
        <w:tabs>
          <w:tab w:val="left" w:pos="709"/>
        </w:tabs>
        <w:ind w:left="851" w:right="851"/>
        <w:jc w:val="both"/>
        <w:rPr>
          <w:rFonts w:ascii="Palatino Linotype" w:eastAsia="Palatino Linotype" w:hAnsi="Palatino Linotype" w:cs="Palatino Linotype"/>
          <w:b/>
          <w:i/>
          <w:sz w:val="22"/>
          <w:szCs w:val="22"/>
        </w:rPr>
      </w:pPr>
    </w:p>
    <w:p w14:paraId="073722D7" w14:textId="77777777" w:rsidR="00682E5A" w:rsidRPr="00714DCE" w:rsidRDefault="005E0AE8" w:rsidP="00714DCE">
      <w:pPr>
        <w:tabs>
          <w:tab w:val="left" w:pos="709"/>
        </w:tabs>
        <w:ind w:left="851" w:right="851"/>
        <w:jc w:val="both"/>
        <w:rPr>
          <w:rFonts w:ascii="Palatino Linotype" w:eastAsia="Palatino Linotype" w:hAnsi="Palatino Linotype" w:cs="Palatino Linotype"/>
          <w:b/>
          <w:i/>
          <w:sz w:val="22"/>
          <w:szCs w:val="22"/>
        </w:rPr>
      </w:pPr>
      <w:r w:rsidRPr="00714DCE">
        <w:rPr>
          <w:rFonts w:ascii="Palatino Linotype" w:eastAsia="Palatino Linotype" w:hAnsi="Palatino Linotype" w:cs="Palatino Linotype"/>
          <w:b/>
          <w:i/>
          <w:sz w:val="22"/>
          <w:szCs w:val="22"/>
        </w:rPr>
        <w:t>Concepto de contrato</w:t>
      </w:r>
    </w:p>
    <w:p w14:paraId="69405697" w14:textId="77777777" w:rsidR="00682E5A" w:rsidRPr="00714DCE" w:rsidRDefault="005E0AE8" w:rsidP="00714DCE">
      <w:pPr>
        <w:tabs>
          <w:tab w:val="left" w:pos="709"/>
        </w:tabs>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Artículo 7.31.-</w:t>
      </w:r>
      <w:r w:rsidRPr="00714DCE">
        <w:rPr>
          <w:rFonts w:ascii="Palatino Linotype" w:eastAsia="Palatino Linotype" w:hAnsi="Palatino Linotype" w:cs="Palatino Linotype"/>
          <w:i/>
          <w:sz w:val="22"/>
          <w:szCs w:val="22"/>
        </w:rPr>
        <w:t xml:space="preserve"> Los </w:t>
      </w:r>
      <w:r w:rsidRPr="00714DCE">
        <w:rPr>
          <w:rFonts w:ascii="Palatino Linotype" w:eastAsia="Palatino Linotype" w:hAnsi="Palatino Linotype" w:cs="Palatino Linotype"/>
          <w:b/>
          <w:i/>
          <w:sz w:val="22"/>
          <w:szCs w:val="22"/>
          <w:u w:val="single"/>
        </w:rPr>
        <w:t>convenios que crean o transfieren obligaciones y derechos</w:t>
      </w:r>
      <w:r w:rsidRPr="00714DCE">
        <w:rPr>
          <w:rFonts w:ascii="Palatino Linotype" w:eastAsia="Palatino Linotype" w:hAnsi="Palatino Linotype" w:cs="Palatino Linotype"/>
          <w:i/>
          <w:sz w:val="22"/>
          <w:szCs w:val="22"/>
        </w:rPr>
        <w:t>, reciben el nombre de contratos.</w:t>
      </w:r>
    </w:p>
    <w:p w14:paraId="6446C4F2" w14:textId="77777777" w:rsidR="00682E5A" w:rsidRPr="00714DCE" w:rsidRDefault="00682E5A" w:rsidP="00714DCE">
      <w:pPr>
        <w:tabs>
          <w:tab w:val="left" w:pos="709"/>
        </w:tabs>
        <w:ind w:left="851" w:right="851"/>
        <w:jc w:val="both"/>
        <w:rPr>
          <w:rFonts w:ascii="Palatino Linotype" w:eastAsia="Palatino Linotype" w:hAnsi="Palatino Linotype" w:cs="Palatino Linotype"/>
          <w:i/>
          <w:sz w:val="22"/>
          <w:szCs w:val="22"/>
        </w:rPr>
      </w:pPr>
    </w:p>
    <w:p w14:paraId="09FE513B" w14:textId="77777777" w:rsidR="00682E5A" w:rsidRPr="00714DCE" w:rsidRDefault="005E0AE8" w:rsidP="00714DCE">
      <w:pPr>
        <w:tabs>
          <w:tab w:val="left" w:pos="709"/>
        </w:tabs>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Énfasis añadido.</w:t>
      </w:r>
    </w:p>
    <w:p w14:paraId="7C7F0BB0"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Por otra parte, la Ley del Trabajo de los Servidores Públicos del Estado y Municipios tiene por objeto regular las relaciones de trabajo, comprendidas entre los poderes públicos del Estado y los Municipios y sus respectivos servidores públicos, debe agregase que el artículo 54 de dicho cuerpo normativo refiere que cada institución pública o, en su caso, dependencia, en razón de la naturaleza de sus funciones, contará con un Reglamento de Condiciones Generales de Trabajo aplicables a los servidores públicos sindicalizados y generales.</w:t>
      </w:r>
    </w:p>
    <w:p w14:paraId="30F0552D"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Las instituciones o dependencias públicas que no cuenten con documento que avale las condiciones generales de trabajo aplicables, deberán estar a lo establecido por esta ley, en caso de que el reglamento sea para sindicalizados se hará de común acuerdo con el sindicato, dichos reglamentos tendrán una duración de tres años y podrán ratificarse o modificarse a su término; los Convenios de sueldos y </w:t>
      </w:r>
      <w:r w:rsidRPr="00714DCE">
        <w:rPr>
          <w:rFonts w:ascii="Palatino Linotype" w:eastAsia="Palatino Linotype" w:hAnsi="Palatino Linotype" w:cs="Palatino Linotype"/>
        </w:rPr>
        <w:lastRenderedPageBreak/>
        <w:t xml:space="preserve">prestaciones celebrados con el Sindicato se aplicarán solo a los trabajadores miembros y reconocidos por la agrupación Sindical de conformidad con la normatividad aplicable. </w:t>
      </w:r>
    </w:p>
    <w:p w14:paraId="0F006B1A"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Una vez precisada la naturaleza jurídica de los convenios, es importante mencionar que la Ley de Transparencia y Acceso a la Información Pública del Estado de México y Municipios en su artículo 92 establece que los Sujetos Obligado deberán de poner a disposición del escrutinio público de manera permanente, actualizada, sencilla, precisa y entendible, en los respectivos medios electrónicos de acuerdo a sus facultades, atribuciones, funciones u objeto social, según corresponda las obligaciones de transparencia común, para el caso que no ocupa corresponde a la fracción XXXVII, misma que a la letra dice:</w:t>
      </w:r>
    </w:p>
    <w:p w14:paraId="1E19906D" w14:textId="77777777" w:rsidR="00682E5A" w:rsidRPr="00714DCE" w:rsidRDefault="005E0AE8" w:rsidP="00714DCE">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14DCE">
        <w:rPr>
          <w:rFonts w:ascii="Palatino Linotype" w:eastAsia="Palatino Linotype" w:hAnsi="Palatino Linotype" w:cs="Palatino Linotype"/>
          <w:i/>
          <w:color w:val="000000"/>
          <w:sz w:val="22"/>
          <w:szCs w:val="22"/>
        </w:rPr>
        <w:t>“…</w:t>
      </w:r>
    </w:p>
    <w:p w14:paraId="55C6601E" w14:textId="77777777" w:rsidR="00682E5A" w:rsidRPr="00714DCE" w:rsidRDefault="005E0AE8" w:rsidP="00714DCE">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14DCE">
        <w:rPr>
          <w:rFonts w:ascii="Palatino Linotype" w:eastAsia="Palatino Linotype" w:hAnsi="Palatino Linotype" w:cs="Palatino Linotype"/>
          <w:i/>
          <w:color w:val="000000"/>
          <w:sz w:val="22"/>
          <w:szCs w:val="22"/>
        </w:rPr>
        <w:t>XXXVII. Los convenios de coordinación, de concertación, entre otros, que suscriban con otros entes de los sectores público, social y privado;</w:t>
      </w:r>
    </w:p>
    <w:p w14:paraId="3662336B" w14:textId="77777777" w:rsidR="00682E5A" w:rsidRPr="00714DCE" w:rsidRDefault="005E0AE8" w:rsidP="00714DCE">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rPr>
      </w:pPr>
      <w:r w:rsidRPr="00714DCE">
        <w:rPr>
          <w:rFonts w:ascii="Palatino Linotype" w:eastAsia="Palatino Linotype" w:hAnsi="Palatino Linotype" w:cs="Palatino Linotype"/>
          <w:b/>
          <w:i/>
          <w:color w:val="000000"/>
          <w:sz w:val="22"/>
          <w:szCs w:val="22"/>
        </w:rPr>
        <w:t>…” (Sic)</w:t>
      </w:r>
    </w:p>
    <w:p w14:paraId="705B6583"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De lo anteriormente expuesto, es de observar que el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xml:space="preserve"> cuenta con la obligación de poner a disposición del escrutinio público aquella información que se encuentra catalogada como obligaciones de transparencia común.</w:t>
      </w:r>
    </w:p>
    <w:p w14:paraId="7D524407"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En este sentido, se considera que con la información proporcionada por el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xml:space="preserve"> no se atiende el requerimiento del </w:t>
      </w:r>
      <w:r w:rsidRPr="00714DCE">
        <w:rPr>
          <w:rFonts w:ascii="Palatino Linotype" w:eastAsia="Palatino Linotype" w:hAnsi="Palatino Linotype" w:cs="Palatino Linotype"/>
          <w:b/>
        </w:rPr>
        <w:t>RECURRENTE</w:t>
      </w:r>
      <w:r w:rsidRPr="00714DCE">
        <w:rPr>
          <w:rFonts w:ascii="Palatino Linotype" w:eastAsia="Palatino Linotype" w:hAnsi="Palatino Linotype" w:cs="Palatino Linotype"/>
        </w:rPr>
        <w:t xml:space="preserve">, se afirma lo anterior, en virtud de que no se debe perder de vista que de las constancias que integran el presente recurso de revisión, concretamente del apartado denominado “Requerimientos” se aprecia que la solicitud materia del presente asunto fue </w:t>
      </w:r>
      <w:r w:rsidRPr="00714DCE">
        <w:rPr>
          <w:rFonts w:ascii="Palatino Linotype" w:eastAsia="Palatino Linotype" w:hAnsi="Palatino Linotype" w:cs="Palatino Linotype"/>
        </w:rPr>
        <w:lastRenderedPageBreak/>
        <w:t>turnada únicamente al servidor público habilitado de la Dirección Administración, tal y como se muestra a continuación:</w:t>
      </w:r>
    </w:p>
    <w:p w14:paraId="5808C10B"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noProof/>
          <w:lang w:val="es-MX" w:eastAsia="es-MX"/>
        </w:rPr>
        <w:drawing>
          <wp:inline distT="0" distB="0" distL="0" distR="0" wp14:anchorId="09731FB6" wp14:editId="20944EE1">
            <wp:extent cx="5685270" cy="1429254"/>
            <wp:effectExtent l="0" t="0" r="0" b="0"/>
            <wp:docPr id="48" name="image4.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Texto, Aplicación&#10;&#10;Descripción generada automáticamente"/>
                    <pic:cNvPicPr preferRelativeResize="0"/>
                  </pic:nvPicPr>
                  <pic:blipFill>
                    <a:blip r:embed="rId13"/>
                    <a:srcRect l="23555" t="20150" r="23491" b="62462"/>
                    <a:stretch>
                      <a:fillRect/>
                    </a:stretch>
                  </pic:blipFill>
                  <pic:spPr>
                    <a:xfrm>
                      <a:off x="0" y="0"/>
                      <a:ext cx="5685270" cy="1429254"/>
                    </a:xfrm>
                    <a:prstGeom prst="rect">
                      <a:avLst/>
                    </a:prstGeom>
                    <a:ln/>
                  </pic:spPr>
                </pic:pic>
              </a:graphicData>
            </a:graphic>
          </wp:inline>
        </w:drawing>
      </w:r>
      <w:r w:rsidRPr="00714DCE">
        <w:rPr>
          <w:noProof/>
          <w:lang w:val="es-MX" w:eastAsia="es-MX"/>
        </w:rPr>
        <mc:AlternateContent>
          <mc:Choice Requires="wps">
            <w:drawing>
              <wp:anchor distT="0" distB="0" distL="114300" distR="114300" simplePos="0" relativeHeight="251659264" behindDoc="0" locked="0" layoutInCell="1" hidden="0" allowOverlap="1" wp14:anchorId="74A2C555" wp14:editId="2379458B">
                <wp:simplePos x="0" y="0"/>
                <wp:positionH relativeFrom="column">
                  <wp:posOffset>1282700</wp:posOffset>
                </wp:positionH>
                <wp:positionV relativeFrom="paragraph">
                  <wp:posOffset>889000</wp:posOffset>
                </wp:positionV>
                <wp:extent cx="224183" cy="359355"/>
                <wp:effectExtent l="0" t="0" r="0" b="0"/>
                <wp:wrapNone/>
                <wp:docPr id="43" name="Flecha arriba 43"/>
                <wp:cNvGraphicFramePr/>
                <a:graphic xmlns:a="http://schemas.openxmlformats.org/drawingml/2006/main">
                  <a:graphicData uri="http://schemas.microsoft.com/office/word/2010/wordprocessingShape">
                    <wps:wsp>
                      <wps:cNvSpPr/>
                      <wps:spPr>
                        <a:xfrm>
                          <a:off x="5246609" y="3613023"/>
                          <a:ext cx="198783" cy="333955"/>
                        </a:xfrm>
                        <a:prstGeom prst="up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14:paraId="6CDE1BBB" w14:textId="77777777" w:rsidR="00682E5A" w:rsidRDefault="00682E5A">
                            <w:pPr>
                              <w:textDirection w:val="btLr"/>
                            </w:pPr>
                          </w:p>
                        </w:txbxContent>
                      </wps:txbx>
                      <wps:bodyPr spcFirstLastPara="1" wrap="square" lIns="91425" tIns="91425" rIns="91425" bIns="91425" anchor="ctr" anchorCtr="0">
                        <a:noAutofit/>
                      </wps:bodyPr>
                    </wps:wsp>
                  </a:graphicData>
                </a:graphic>
              </wp:anchor>
            </w:drawing>
          </mc:Choice>
          <mc:Fallback>
            <w:pict>
              <v:shapetype w14:anchorId="74A2C55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43" o:spid="_x0000_s1027" type="#_x0000_t68" style="position:absolute;left:0;text-align:left;margin-left:101pt;margin-top:70pt;width:17.65pt;height:28.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" adj="6429" fillcolor="red" strokecolor="red" strokeweight="1pt">
                <v:stroke startarrowwidth="narrow" startarrowlength="short" endarrowwidth="narrow" endarrowlength="short"/>
                <v:textbox inset="2.53958mm,2.53958mm,2.53958mm,2.53958mm">
                  <w:txbxContent>
                    <w:p w14:paraId="6CDE1BBB" w14:textId="77777777" w:rsidR="00682E5A" w:rsidRDefault="00682E5A">
                      <w:pPr>
                        <w:textDirection w:val="btLr"/>
                      </w:pPr>
                    </w:p>
                  </w:txbxContent>
                </v:textbox>
              </v:shape>
            </w:pict>
          </mc:Fallback>
        </mc:AlternateContent>
      </w:r>
    </w:p>
    <w:p w14:paraId="62E2B09D"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Sin embargo, del análisis realizado a la Ley Orgánica Municipal, Bando Municipal, Reglamento Orgánico de la Administración Pública Municipal de Naucalpan de Juárez, México, se aprecia que el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xml:space="preserve"> se encuentra integrado por diversas unidades administrativas, a las cuales no les fue turnada la solicitud materia de presente asunto.</w:t>
      </w:r>
    </w:p>
    <w:p w14:paraId="2D9E6D46"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Para darle claridad al presente asunto debe mencionarse que el artículo 112 de la Constitución Política del Estado Libre y Soberano de México establece la base de la división territorial y de la organización política y administrativa del Estado en el municipio libre, el cual se ejerce por el Ayuntamiento, también llamado comúnmente Cabildo.</w:t>
      </w:r>
    </w:p>
    <w:p w14:paraId="31D2E209" w14:textId="77777777" w:rsidR="00682E5A" w:rsidRPr="00714DCE" w:rsidRDefault="005E0AE8" w:rsidP="00714DCE">
      <w:pPr>
        <w:tabs>
          <w:tab w:val="left" w:pos="709"/>
        </w:tabs>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Por otra parte, el artículo 86 de la Ley Orgánica Municipal del Estado de México, establece que para el ejercicio de sus atribuciones y responsabilidades ejecutivas, el ayuntamiento se auxiliará con las dependencias y entidades de la administración pública municipal, que en cada caso acuerde el cabildo a propuesta del presidente municipal que estarán subordinadas a este servidor público, mientras que el artículo </w:t>
      </w:r>
      <w:r w:rsidRPr="00714DCE">
        <w:rPr>
          <w:rFonts w:ascii="Palatino Linotype" w:eastAsia="Palatino Linotype" w:hAnsi="Palatino Linotype" w:cs="Palatino Linotype"/>
        </w:rPr>
        <w:lastRenderedPageBreak/>
        <w:t>87 del mismo ordenamiento legal establece que el ayuntamiento contará por lo menos con las siguientes Dependencias:</w:t>
      </w:r>
    </w:p>
    <w:p w14:paraId="02363150" w14:textId="77777777" w:rsidR="00682E5A" w:rsidRPr="00714DCE" w:rsidRDefault="005E0AE8" w:rsidP="00714DCE">
      <w:pPr>
        <w:ind w:right="618"/>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3"/>
          <w:szCs w:val="23"/>
        </w:rPr>
        <w:t xml:space="preserve">             “</w:t>
      </w:r>
      <w:r w:rsidRPr="00714DCE">
        <w:rPr>
          <w:rFonts w:ascii="Palatino Linotype" w:eastAsia="Palatino Linotype" w:hAnsi="Palatino Linotype" w:cs="Palatino Linotype"/>
          <w:i/>
          <w:sz w:val="22"/>
          <w:szCs w:val="22"/>
        </w:rPr>
        <w:t>I. La secretaría del ayuntamiento;</w:t>
      </w:r>
    </w:p>
    <w:p w14:paraId="740E8CD2" w14:textId="77777777" w:rsidR="00682E5A" w:rsidRPr="00714DCE" w:rsidRDefault="005E0AE8" w:rsidP="00714DCE">
      <w:pPr>
        <w:ind w:left="709" w:right="618"/>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II. La tesorería municipal.</w:t>
      </w:r>
    </w:p>
    <w:p w14:paraId="6D3D4E6C" w14:textId="77777777" w:rsidR="00682E5A" w:rsidRPr="00714DCE" w:rsidRDefault="005E0AE8" w:rsidP="00714DCE">
      <w:pPr>
        <w:ind w:left="709" w:right="618"/>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III. La Dirección de Obras Públicas o equivalente.</w:t>
      </w:r>
    </w:p>
    <w:p w14:paraId="63F678FF" w14:textId="77777777" w:rsidR="00682E5A" w:rsidRPr="00714DCE" w:rsidRDefault="005E0AE8" w:rsidP="00714DCE">
      <w:pPr>
        <w:ind w:left="709" w:right="618"/>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IV. La Dirección de Desarrollo Económico o equivalente.” (Sic)</w:t>
      </w:r>
    </w:p>
    <w:p w14:paraId="018CC0E8" w14:textId="77777777" w:rsidR="00682E5A" w:rsidRPr="00714DCE" w:rsidRDefault="005E0AE8" w:rsidP="00714DCE">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color w:val="000000"/>
        </w:rPr>
      </w:pPr>
      <w:r w:rsidRPr="00714DCE">
        <w:rPr>
          <w:rFonts w:ascii="Palatino Linotype" w:eastAsia="Palatino Linotype" w:hAnsi="Palatino Linotype" w:cs="Palatino Linotype"/>
          <w:color w:val="000000"/>
        </w:rPr>
        <w:t>En consonancia con lo anterior, es de considerar que, la Ley Orgánica Municipal en comento establece:</w:t>
      </w:r>
    </w:p>
    <w:p w14:paraId="0FD137D6" w14:textId="77777777" w:rsidR="00682E5A" w:rsidRPr="00714DCE" w:rsidRDefault="005E0AE8" w:rsidP="00714DCE">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14DCE">
        <w:rPr>
          <w:rFonts w:ascii="Palatino Linotype" w:eastAsia="Palatino Linotype" w:hAnsi="Palatino Linotype" w:cs="Palatino Linotype"/>
          <w:b/>
          <w:i/>
          <w:color w:val="000000"/>
          <w:sz w:val="22"/>
          <w:szCs w:val="22"/>
        </w:rPr>
        <w:t>“Artículo 31.-</w:t>
      </w:r>
      <w:r w:rsidRPr="00714DCE">
        <w:rPr>
          <w:rFonts w:ascii="Palatino Linotype" w:eastAsia="Palatino Linotype" w:hAnsi="Palatino Linotype" w:cs="Palatino Linotype"/>
          <w:i/>
          <w:color w:val="000000"/>
          <w:sz w:val="22"/>
          <w:szCs w:val="22"/>
        </w:rPr>
        <w:t xml:space="preserve"> Son atribuciones de los ayuntamientos:</w:t>
      </w:r>
    </w:p>
    <w:p w14:paraId="6857BF05" w14:textId="77777777" w:rsidR="00682E5A" w:rsidRPr="00714DCE" w:rsidRDefault="005E0AE8" w:rsidP="00714DCE">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14DCE">
        <w:rPr>
          <w:rFonts w:ascii="Palatino Linotype" w:eastAsia="Palatino Linotype" w:hAnsi="Palatino Linotype" w:cs="Palatino Linotype"/>
          <w:i/>
          <w:color w:val="000000"/>
          <w:sz w:val="22"/>
          <w:szCs w:val="22"/>
        </w:rPr>
        <w:t>…</w:t>
      </w:r>
    </w:p>
    <w:p w14:paraId="09480397" w14:textId="77777777" w:rsidR="00682E5A" w:rsidRPr="00714DCE" w:rsidRDefault="005E0AE8" w:rsidP="00714DCE">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14DCE">
        <w:rPr>
          <w:rFonts w:ascii="Palatino Linotype" w:eastAsia="Palatino Linotype" w:hAnsi="Palatino Linotype" w:cs="Palatino Linotype"/>
          <w:b/>
          <w:i/>
          <w:color w:val="000000"/>
          <w:sz w:val="22"/>
          <w:szCs w:val="22"/>
        </w:rPr>
        <w:t>II.</w:t>
      </w:r>
      <w:r w:rsidRPr="00714DCE">
        <w:rPr>
          <w:rFonts w:ascii="Palatino Linotype" w:eastAsia="Palatino Linotype" w:hAnsi="Palatino Linotype" w:cs="Palatino Linotype"/>
          <w:i/>
          <w:color w:val="000000"/>
          <w:sz w:val="22"/>
          <w:szCs w:val="22"/>
        </w:rPr>
        <w:t xml:space="preserve">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14:paraId="2ABE6EB4" w14:textId="77777777" w:rsidR="00682E5A" w:rsidRPr="00714DCE" w:rsidRDefault="005E0AE8" w:rsidP="00714DCE">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14DCE">
        <w:rPr>
          <w:rFonts w:ascii="Palatino Linotype" w:eastAsia="Palatino Linotype" w:hAnsi="Palatino Linotype" w:cs="Palatino Linotype"/>
          <w:i/>
          <w:color w:val="000000"/>
          <w:sz w:val="22"/>
          <w:szCs w:val="22"/>
        </w:rPr>
        <w:t>…</w:t>
      </w:r>
    </w:p>
    <w:p w14:paraId="66A9C7BB" w14:textId="77777777" w:rsidR="00682E5A" w:rsidRPr="00714DCE" w:rsidRDefault="005E0AE8" w:rsidP="00714DCE">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14DCE">
        <w:rPr>
          <w:rFonts w:ascii="Palatino Linotype" w:eastAsia="Palatino Linotype" w:hAnsi="Palatino Linotype" w:cs="Palatino Linotype"/>
          <w:b/>
          <w:i/>
          <w:color w:val="000000"/>
          <w:sz w:val="22"/>
          <w:szCs w:val="22"/>
        </w:rPr>
        <w:t>VII.</w:t>
      </w:r>
      <w:r w:rsidRPr="00714DCE">
        <w:rPr>
          <w:rFonts w:ascii="Palatino Linotype" w:eastAsia="Palatino Linotype" w:hAnsi="Palatino Linotype" w:cs="Palatino Linotype"/>
          <w:i/>
          <w:color w:val="000000"/>
          <w:sz w:val="22"/>
          <w:szCs w:val="22"/>
        </w:rPr>
        <w:t xml:space="preserve"> Convenir, contratar o concesionar, en términos de ley, la ejecución de obras y la prestación de servicios públicos, con el Estado, con otros municipios de la entidad o con particulares, recabando, cuando proceda, la autorización de la Legislatura del Estado;</w:t>
      </w:r>
    </w:p>
    <w:p w14:paraId="1A6030B2" w14:textId="77777777" w:rsidR="00682E5A" w:rsidRPr="00714DCE" w:rsidRDefault="005E0AE8" w:rsidP="00714DCE">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14DCE">
        <w:rPr>
          <w:rFonts w:ascii="Palatino Linotype" w:eastAsia="Palatino Linotype" w:hAnsi="Palatino Linotype" w:cs="Palatino Linotype"/>
          <w:i/>
          <w:color w:val="000000"/>
          <w:sz w:val="22"/>
          <w:szCs w:val="22"/>
        </w:rPr>
        <w:t>…</w:t>
      </w:r>
    </w:p>
    <w:p w14:paraId="7738D562" w14:textId="77777777" w:rsidR="00682E5A" w:rsidRPr="00714DCE" w:rsidRDefault="005E0AE8" w:rsidP="00714DCE">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14DCE">
        <w:rPr>
          <w:rFonts w:ascii="Palatino Linotype" w:eastAsia="Palatino Linotype" w:hAnsi="Palatino Linotype" w:cs="Palatino Linotype"/>
          <w:b/>
          <w:i/>
          <w:color w:val="000000"/>
          <w:sz w:val="22"/>
          <w:szCs w:val="22"/>
        </w:rPr>
        <w:t>Artículo 91.-</w:t>
      </w:r>
      <w:r w:rsidRPr="00714DCE">
        <w:rPr>
          <w:rFonts w:ascii="Palatino Linotype" w:eastAsia="Palatino Linotype" w:hAnsi="Palatino Linotype" w:cs="Palatino Linotype"/>
          <w:i/>
          <w:color w:val="000000"/>
          <w:sz w:val="22"/>
          <w:szCs w:val="22"/>
        </w:rPr>
        <w:t xml:space="preserve"> La Secretaría del Ayuntamiento estará a cargo de un Secretario, el que, sin ser miembro </w:t>
      </w:r>
      <w:proofErr w:type="gramStart"/>
      <w:r w:rsidRPr="00714DCE">
        <w:rPr>
          <w:rFonts w:ascii="Palatino Linotype" w:eastAsia="Palatino Linotype" w:hAnsi="Palatino Linotype" w:cs="Palatino Linotype"/>
          <w:i/>
          <w:color w:val="000000"/>
          <w:sz w:val="22"/>
          <w:szCs w:val="22"/>
        </w:rPr>
        <w:t>del mismo</w:t>
      </w:r>
      <w:proofErr w:type="gramEnd"/>
      <w:r w:rsidRPr="00714DCE">
        <w:rPr>
          <w:rFonts w:ascii="Palatino Linotype" w:eastAsia="Palatino Linotype" w:hAnsi="Palatino Linotype" w:cs="Palatino Linotype"/>
          <w:i/>
          <w:color w:val="000000"/>
          <w:sz w:val="22"/>
          <w:szCs w:val="22"/>
        </w:rPr>
        <w:t>, deberá ser nombrado por el propio Ayuntamiento a propuesta del Presidente Municipal como lo marca el artículo 31 de la presente ley. Sus faltas temporales serán cubiertas por quien designe el Ayuntamiento y sus atribuciones son las siguientes:</w:t>
      </w:r>
    </w:p>
    <w:p w14:paraId="5A5EFDB2" w14:textId="77777777" w:rsidR="00682E5A" w:rsidRPr="00714DCE" w:rsidRDefault="005E0AE8" w:rsidP="00714DCE">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14DCE">
        <w:rPr>
          <w:rFonts w:ascii="Palatino Linotype" w:eastAsia="Palatino Linotype" w:hAnsi="Palatino Linotype" w:cs="Palatino Linotype"/>
          <w:i/>
          <w:color w:val="000000"/>
          <w:sz w:val="22"/>
          <w:szCs w:val="22"/>
        </w:rPr>
        <w:t>…</w:t>
      </w:r>
    </w:p>
    <w:p w14:paraId="0937817D" w14:textId="77777777" w:rsidR="00682E5A" w:rsidRPr="00714DCE" w:rsidRDefault="005E0AE8" w:rsidP="00714DCE">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14DCE">
        <w:rPr>
          <w:rFonts w:ascii="Palatino Linotype" w:eastAsia="Palatino Linotype" w:hAnsi="Palatino Linotype" w:cs="Palatino Linotype"/>
          <w:b/>
          <w:i/>
          <w:color w:val="000000"/>
          <w:sz w:val="22"/>
          <w:szCs w:val="22"/>
        </w:rPr>
        <w:t>IV.</w:t>
      </w:r>
      <w:r w:rsidRPr="00714DCE">
        <w:rPr>
          <w:rFonts w:ascii="Palatino Linotype" w:eastAsia="Palatino Linotype" w:hAnsi="Palatino Linotype" w:cs="Palatino Linotype"/>
          <w:i/>
          <w:color w:val="000000"/>
          <w:sz w:val="22"/>
          <w:szCs w:val="22"/>
        </w:rPr>
        <w:t xml:space="preserve"> Llevar y conservar los libros de actas de cabildo, obteniendo las firmas de los asistentes a las sesiones;</w:t>
      </w:r>
    </w:p>
    <w:p w14:paraId="316F5A80" w14:textId="77777777" w:rsidR="00682E5A" w:rsidRPr="00714DCE" w:rsidRDefault="005E0AE8" w:rsidP="00714DCE">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14DCE">
        <w:rPr>
          <w:rFonts w:ascii="Palatino Linotype" w:eastAsia="Palatino Linotype" w:hAnsi="Palatino Linotype" w:cs="Palatino Linotype"/>
          <w:b/>
          <w:i/>
          <w:color w:val="000000"/>
          <w:sz w:val="22"/>
          <w:szCs w:val="22"/>
        </w:rPr>
        <w:t>V.</w:t>
      </w:r>
      <w:r w:rsidRPr="00714DCE">
        <w:rPr>
          <w:rFonts w:ascii="Palatino Linotype" w:eastAsia="Palatino Linotype" w:hAnsi="Palatino Linotype" w:cs="Palatino Linotype"/>
          <w:i/>
          <w:color w:val="000000"/>
          <w:sz w:val="22"/>
          <w:szCs w:val="22"/>
        </w:rPr>
        <w:t xml:space="preserve"> Validar con su firma, los documentos oficiales emanados del ayuntamiento o de cualquiera de sus miembros;</w:t>
      </w:r>
    </w:p>
    <w:p w14:paraId="17EF9BEC" w14:textId="77777777" w:rsidR="00682E5A" w:rsidRPr="00714DCE" w:rsidRDefault="005E0AE8" w:rsidP="00714DCE">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14DCE">
        <w:rPr>
          <w:rFonts w:ascii="Palatino Linotype" w:eastAsia="Palatino Linotype" w:hAnsi="Palatino Linotype" w:cs="Palatino Linotype"/>
          <w:b/>
          <w:i/>
          <w:color w:val="000000"/>
          <w:sz w:val="22"/>
          <w:szCs w:val="22"/>
        </w:rPr>
        <w:t>VI.</w:t>
      </w:r>
      <w:r w:rsidRPr="00714DCE">
        <w:rPr>
          <w:rFonts w:ascii="Palatino Linotype" w:eastAsia="Palatino Linotype" w:hAnsi="Palatino Linotype" w:cs="Palatino Linotype"/>
          <w:i/>
          <w:color w:val="000000"/>
          <w:sz w:val="22"/>
          <w:szCs w:val="22"/>
        </w:rPr>
        <w:t xml:space="preserve"> Tener a su cargo el archivo general del ayuntamiento;</w:t>
      </w:r>
    </w:p>
    <w:p w14:paraId="5E3D61C8" w14:textId="77777777" w:rsidR="00682E5A" w:rsidRPr="00714DCE" w:rsidRDefault="005E0AE8" w:rsidP="00714DCE">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714DCE">
        <w:rPr>
          <w:rFonts w:ascii="Palatino Linotype" w:eastAsia="Palatino Linotype" w:hAnsi="Palatino Linotype" w:cs="Palatino Linotype"/>
          <w:i/>
          <w:color w:val="000000"/>
          <w:sz w:val="22"/>
          <w:szCs w:val="22"/>
        </w:rPr>
        <w:t>…</w:t>
      </w:r>
    </w:p>
    <w:p w14:paraId="73DD2692" w14:textId="77777777" w:rsidR="00682E5A" w:rsidRPr="00714DCE" w:rsidRDefault="00682E5A" w:rsidP="00714DCE">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14:paraId="061DA4FB" w14:textId="77777777" w:rsidR="00682E5A" w:rsidRPr="00714DCE" w:rsidRDefault="005E0AE8" w:rsidP="00714DCE">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color w:val="000000"/>
        </w:rPr>
      </w:pPr>
      <w:r w:rsidRPr="00714DCE">
        <w:rPr>
          <w:rFonts w:ascii="Palatino Linotype" w:eastAsia="Palatino Linotype" w:hAnsi="Palatino Linotype" w:cs="Palatino Linotype"/>
          <w:color w:val="000000"/>
        </w:rPr>
        <w:lastRenderedPageBreak/>
        <w:t>Cabe agregar que, en el caso del Ayuntamiento de Naucalpan de Juárez, se establecen las dependencias de la presidencia municipal que coadyuvarán para la atención de los asuntos competentes de dicho Ayuntamiento, en el Bando Municipal para el año dos mil veintiuno, se establece lo siguiente:</w:t>
      </w:r>
    </w:p>
    <w:p w14:paraId="3A4EE110"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w:t>
      </w:r>
      <w:r w:rsidRPr="00714DCE">
        <w:rPr>
          <w:rFonts w:ascii="Palatino Linotype" w:eastAsia="Palatino Linotype" w:hAnsi="Palatino Linotype" w:cs="Palatino Linotype"/>
          <w:i/>
          <w:sz w:val="22"/>
          <w:szCs w:val="22"/>
        </w:rPr>
        <w:t xml:space="preserve">Artículo 43. La Administración Pública Centralizada y Descentralizada se constituye por las dependencias que señala la Ley Orgánica Municipal del Estado de México, aquellas que determine el Reglamento Orgánico y por las que sean creadas por el Ayuntamiento, mismas que estarán jerárquicamente subordinadas al Presidente Municipal. </w:t>
      </w:r>
    </w:p>
    <w:p w14:paraId="7F1CFF45"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A</w:t>
      </w:r>
      <w:proofErr w:type="gramStart"/>
      <w:r w:rsidRPr="00714DCE">
        <w:rPr>
          <w:rFonts w:ascii="Palatino Linotype" w:eastAsia="Palatino Linotype" w:hAnsi="Palatino Linotype" w:cs="Palatino Linotype"/>
          <w:i/>
          <w:sz w:val="22"/>
          <w:szCs w:val="22"/>
        </w:rPr>
        <w:t>).La</w:t>
      </w:r>
      <w:proofErr w:type="gramEnd"/>
      <w:r w:rsidRPr="00714DCE">
        <w:rPr>
          <w:rFonts w:ascii="Palatino Linotype" w:eastAsia="Palatino Linotype" w:hAnsi="Palatino Linotype" w:cs="Palatino Linotype"/>
          <w:i/>
          <w:sz w:val="22"/>
          <w:szCs w:val="22"/>
        </w:rPr>
        <w:t xml:space="preserve"> Administración Pública Centralizada está integrada por: </w:t>
      </w:r>
    </w:p>
    <w:p w14:paraId="1679FFD1"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xml:space="preserve">I. Presidencia Municipal; </w:t>
      </w:r>
    </w:p>
    <w:p w14:paraId="6157B13E"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xml:space="preserve">II. Secretaría del Ayuntamiento; </w:t>
      </w:r>
    </w:p>
    <w:p w14:paraId="7C3779D3"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III. Tesorería Municipal;</w:t>
      </w:r>
    </w:p>
    <w:p w14:paraId="77499FD7"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xml:space="preserve"> IV. Contraloría Interna Municipal; </w:t>
      </w:r>
    </w:p>
    <w:p w14:paraId="5E85F59D"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xml:space="preserve">V. Dirección General Jurídica y Consultiva; </w:t>
      </w:r>
    </w:p>
    <w:p w14:paraId="542C6146"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xml:space="preserve">VI. Dirección General de Administración; </w:t>
      </w:r>
    </w:p>
    <w:p w14:paraId="459CA115"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xml:space="preserve">VII. Dirección General de Obras Públicas; </w:t>
      </w:r>
    </w:p>
    <w:p w14:paraId="24DC76A0"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xml:space="preserve">VIII. Dirección General de Servicios Públicos; </w:t>
      </w:r>
    </w:p>
    <w:p w14:paraId="38BFA35B"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xml:space="preserve">IX. Dirección General de Desarrollo Urbano; </w:t>
      </w:r>
    </w:p>
    <w:p w14:paraId="2AEA9B9F"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xml:space="preserve">X. Dirección General de Seguridad Ciudadana y Tránsito Municipal; </w:t>
      </w:r>
    </w:p>
    <w:p w14:paraId="0560FA22"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xml:space="preserve">XI. Dirección General de Gobierno; </w:t>
      </w:r>
    </w:p>
    <w:p w14:paraId="746895E2"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xml:space="preserve">XII. Dirección General de Medio Ambiente; </w:t>
      </w:r>
    </w:p>
    <w:p w14:paraId="6B4AED65"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xml:space="preserve">XIII. Dirección General de Desarrollo y Fomento Económico; </w:t>
      </w:r>
    </w:p>
    <w:p w14:paraId="348223EB"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xml:space="preserve">XIV. Coordinación Municipal de Protección Civil y Bomberos; </w:t>
      </w:r>
    </w:p>
    <w:p w14:paraId="7FA8BB52"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xml:space="preserve">XV. Dirección General de Desarrollo Social; </w:t>
      </w:r>
    </w:p>
    <w:p w14:paraId="07272789"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xml:space="preserve">XVI. Instituto de las Mujeres Naucalpenses y la Igualdad Sustantiva; </w:t>
      </w:r>
    </w:p>
    <w:p w14:paraId="0424783B"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xml:space="preserve">XVII. Dirección General de Cultura y Educación; y </w:t>
      </w:r>
    </w:p>
    <w:p w14:paraId="06253186"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xml:space="preserve">XVIII. Las demás que determine crear el Ayuntamiento. </w:t>
      </w:r>
    </w:p>
    <w:p w14:paraId="5BE99D19" w14:textId="77777777" w:rsidR="00682E5A" w:rsidRPr="00714DCE" w:rsidRDefault="00682E5A" w:rsidP="00714DCE">
      <w:pPr>
        <w:ind w:left="851" w:right="851"/>
        <w:jc w:val="both"/>
        <w:rPr>
          <w:rFonts w:ascii="Palatino Linotype" w:eastAsia="Palatino Linotype" w:hAnsi="Palatino Linotype" w:cs="Palatino Linotype"/>
          <w:i/>
          <w:sz w:val="22"/>
          <w:szCs w:val="22"/>
        </w:rPr>
      </w:pPr>
    </w:p>
    <w:p w14:paraId="2C3CA37F"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Al respecto debe mencionarse que el Reglamento Orgánico de la Administración Pública de Naucalpan de Juárez, establece:</w:t>
      </w:r>
    </w:p>
    <w:p w14:paraId="2D5909B1"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xml:space="preserve">Artículo 1.1.- El presente ordenamiento tiene por objeto regular las bases para la estructura organización, funcionamiento y atribuciones de las Dependencias y </w:t>
      </w:r>
      <w:r w:rsidRPr="00714DCE">
        <w:rPr>
          <w:rFonts w:ascii="Palatino Linotype" w:eastAsia="Palatino Linotype" w:hAnsi="Palatino Linotype" w:cs="Palatino Linotype"/>
          <w:i/>
          <w:sz w:val="22"/>
          <w:szCs w:val="22"/>
        </w:rPr>
        <w:lastRenderedPageBreak/>
        <w:t>Entidades de la Administración Pública Municipal de Naucalpan de Juárez, México, de conformidad con la Constitución Política de los Estados Unidos Mexicanos, la Constitución Política del Estado Libre y Soberano de México, la Ley Orgánica Municipal del Estado de México, el Bando Municipal y todas aquellas disposiciones legales de carácter municipal, estatal, nacional o internacional aplicables.</w:t>
      </w:r>
    </w:p>
    <w:p w14:paraId="4BD59AE0"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Artículo 2.2.- Corresponden a la Presidencia Municipal, además de lo dispuesto por la Constitución Política de los Estados Unidos Mexicanos, la Constitución Política del Estado Libre y Soberano de México, la Ley Orgánica Municipal del Estado de México y otros ordenamientos jurídicos, el despacho de los siguientes asuntos:</w:t>
      </w:r>
    </w:p>
    <w:p w14:paraId="5CA35977"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VIII. Celebrar toda clase de contratos y convenios, que no atenten contra la hacienda pública municipal y no contravengan el orden público e interés social, pudiendo delegar esta atribución en términos de la normatividad aplicable;</w:t>
      </w:r>
    </w:p>
    <w:p w14:paraId="01AC1F1F"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Artículo 3.4.- La persona titular de la Secretaría, para el ejercicio de sus funciones tendrá las atribuciones delegables siguientes:</w:t>
      </w:r>
    </w:p>
    <w:p w14:paraId="4332A986"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II. Tener a su cargo el registro y control de los convenios y contratos que celebre el Ayuntamiento y la Administración Pública Municipal para su resguardo, con excepción de aquellos que correspondan directamente a otras dependencias;</w:t>
      </w:r>
    </w:p>
    <w:p w14:paraId="099E5B8B"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xml:space="preserve">Artículo 3.36.- </w:t>
      </w:r>
      <w:r w:rsidRPr="00714DCE">
        <w:rPr>
          <w:rFonts w:ascii="Palatino Linotype" w:eastAsia="Palatino Linotype" w:hAnsi="Palatino Linotype" w:cs="Palatino Linotype"/>
          <w:b/>
          <w:i/>
          <w:sz w:val="22"/>
          <w:szCs w:val="22"/>
          <w:u w:val="single"/>
        </w:rPr>
        <w:t>Corresponde al Departamento de Contratos y Convenios el despacho de los asuntos siguientes:</w:t>
      </w:r>
      <w:r w:rsidRPr="00714DCE">
        <w:rPr>
          <w:rFonts w:ascii="Palatino Linotype" w:eastAsia="Palatino Linotype" w:hAnsi="Palatino Linotype" w:cs="Palatino Linotype"/>
          <w:i/>
          <w:sz w:val="22"/>
          <w:szCs w:val="22"/>
        </w:rPr>
        <w:t xml:space="preserve"> </w:t>
      </w:r>
    </w:p>
    <w:p w14:paraId="1B2A9028"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xml:space="preserve">I. Elaborar o revisar los convenios, contratos, concesiones y demás instrumentos jurídicos que deriven derechos y obligaciones para el Municipio, a efecto de que se ajusten a la normatividad vigente; </w:t>
      </w:r>
    </w:p>
    <w:p w14:paraId="4AE90BE6" w14:textId="77777777" w:rsidR="00682E5A" w:rsidRPr="00714DCE" w:rsidRDefault="005E0AE8" w:rsidP="00714DCE">
      <w:pPr>
        <w:ind w:left="851" w:right="900"/>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xml:space="preserve">II. Llevar el registro, control y debido resguardo de los convenios, contratos y demás instrumentos jurídicos que deriven derechos y obligaciones para el Municipio; </w:t>
      </w:r>
    </w:p>
    <w:p w14:paraId="697A4753" w14:textId="77777777" w:rsidR="00682E5A" w:rsidRPr="00714DCE" w:rsidRDefault="005E0AE8" w:rsidP="00714DCE">
      <w:pPr>
        <w:ind w:left="851" w:right="900"/>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III. Remitir los instrumentos jurídicos a que se refieren las fracciones que anteceden para autorización y firma del Secretario del Ayuntamiento;</w:t>
      </w:r>
    </w:p>
    <w:p w14:paraId="130F3404" w14:textId="77777777" w:rsidR="00682E5A" w:rsidRPr="00714DCE" w:rsidRDefault="005E0AE8" w:rsidP="00714DCE">
      <w:pPr>
        <w:ind w:left="851" w:right="900"/>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Artículo 4.7.- La Tesorería, estará a cargo de un titular denominado Tesorero Municipal, le corresponderán el ejercicio de las atribuciones siguientes:</w:t>
      </w:r>
    </w:p>
    <w:p w14:paraId="494B3067" w14:textId="77777777" w:rsidR="00682E5A" w:rsidRPr="00714DCE" w:rsidRDefault="005E0AE8" w:rsidP="00714DCE">
      <w:pPr>
        <w:ind w:left="851" w:right="900"/>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XXI. Dar cumplimiento a las leyes, convenios de coordinación fiscal y demás que en materia hacendaria celebre el Ayuntamiento con el Estado;</w:t>
      </w:r>
    </w:p>
    <w:p w14:paraId="648CCD09" w14:textId="77777777" w:rsidR="00682E5A" w:rsidRPr="00714DCE" w:rsidRDefault="005E0AE8" w:rsidP="00714DCE">
      <w:pPr>
        <w:ind w:left="851" w:right="900"/>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Artículo 4.8.- El Tesorero tendrá y ejercerá las siguientes atribuciones no delegables:</w:t>
      </w:r>
    </w:p>
    <w:p w14:paraId="08A2C883" w14:textId="77777777" w:rsidR="00682E5A" w:rsidRPr="00714DCE" w:rsidRDefault="005E0AE8" w:rsidP="00714DCE">
      <w:pPr>
        <w:tabs>
          <w:tab w:val="left" w:pos="7938"/>
        </w:tabs>
        <w:ind w:left="851" w:right="900"/>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xml:space="preserve">X. Controlar y suscribir </w:t>
      </w:r>
      <w:proofErr w:type="gramStart"/>
      <w:r w:rsidRPr="00714DCE">
        <w:rPr>
          <w:rFonts w:ascii="Palatino Linotype" w:eastAsia="Palatino Linotype" w:hAnsi="Palatino Linotype" w:cs="Palatino Linotype"/>
          <w:i/>
          <w:sz w:val="22"/>
          <w:szCs w:val="22"/>
        </w:rPr>
        <w:t>conjuntamente con</w:t>
      </w:r>
      <w:proofErr w:type="gramEnd"/>
      <w:r w:rsidRPr="00714DCE">
        <w:rPr>
          <w:rFonts w:ascii="Palatino Linotype" w:eastAsia="Palatino Linotype" w:hAnsi="Palatino Linotype" w:cs="Palatino Linotype"/>
          <w:i/>
          <w:sz w:val="22"/>
          <w:szCs w:val="22"/>
        </w:rPr>
        <w:t xml:space="preserve"> la Presidenta Municipal los títulos de crédito, contratos y convenios que sean requeridos para apoyar las finanzas del Ayuntamiento;</w:t>
      </w:r>
    </w:p>
    <w:p w14:paraId="67F2EED4" w14:textId="77777777" w:rsidR="00682E5A" w:rsidRPr="00714DCE" w:rsidRDefault="005E0AE8" w:rsidP="00714DCE">
      <w:pPr>
        <w:tabs>
          <w:tab w:val="left" w:pos="7938"/>
        </w:tabs>
        <w:ind w:left="851" w:right="900"/>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lastRenderedPageBreak/>
        <w:t xml:space="preserve">Artículo 15.3.- La Secretaría de Asuntos Jurídicos estará a cargo de un titular, a quien le corresponderá además del ejercicio de las atribuciones contenidas en el artículo 1.13 del presente reglamento, dentro del ámbito de su competencia, las siguientes: </w:t>
      </w:r>
    </w:p>
    <w:p w14:paraId="6DC11F6B" w14:textId="77777777" w:rsidR="00682E5A" w:rsidRPr="00714DCE" w:rsidRDefault="005E0AE8" w:rsidP="00714DCE">
      <w:pPr>
        <w:tabs>
          <w:tab w:val="left" w:pos="7938"/>
        </w:tabs>
        <w:ind w:left="851" w:right="900"/>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I. Emitir opinión, cuando así se requiera, sobre los proyectos de convenios, acuerdos, reglamentos y demás documentos jurídicos que se someterán a consideración del Cabildo o de la Presidenta Municipal, haciendo del conocimiento a la Secretaría del Ayuntamiento en su caso, a efecto de que sea considerada en la elaboración de los instrumentos jurídicos a que se refiere la presente fracción;</w:t>
      </w:r>
    </w:p>
    <w:p w14:paraId="24DF34FF" w14:textId="77777777" w:rsidR="00682E5A" w:rsidRPr="00714DCE" w:rsidRDefault="005E0AE8" w:rsidP="00714DCE">
      <w:pPr>
        <w:tabs>
          <w:tab w:val="left" w:pos="7938"/>
        </w:tabs>
        <w:ind w:left="851" w:right="900"/>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Artículo 15.10.- Corresponde al titular de la Dirección Jurídico Consultiva, el despacho de los asuntos siguientes:</w:t>
      </w:r>
    </w:p>
    <w:p w14:paraId="2200EE7C" w14:textId="77777777" w:rsidR="00682E5A" w:rsidRPr="00714DCE" w:rsidRDefault="005E0AE8" w:rsidP="00714DCE">
      <w:pPr>
        <w:tabs>
          <w:tab w:val="left" w:pos="7938"/>
        </w:tabs>
        <w:ind w:left="851" w:right="900"/>
        <w:jc w:val="both"/>
        <w:rPr>
          <w:rFonts w:ascii="Palatino Linotype" w:eastAsia="Palatino Linotype" w:hAnsi="Palatino Linotype" w:cs="Palatino Linotype"/>
          <w:b/>
          <w:i/>
          <w:sz w:val="22"/>
          <w:szCs w:val="22"/>
        </w:rPr>
      </w:pPr>
      <w:r w:rsidRPr="00714DCE">
        <w:rPr>
          <w:rFonts w:ascii="Palatino Linotype" w:eastAsia="Palatino Linotype" w:hAnsi="Palatino Linotype" w:cs="Palatino Linotype"/>
          <w:i/>
          <w:sz w:val="22"/>
          <w:szCs w:val="22"/>
        </w:rPr>
        <w:t>XXII. Emitir opinión y elaborar en su caso, proyectos de convenios, contratos, acuerdos, concesiones y otros instrumentos jurídicos, de los que deriven derechos y obligaciones para el Municipio, Ayuntamiento o sus autoridades sometidas a su consideración;</w:t>
      </w:r>
    </w:p>
    <w:p w14:paraId="18C9C857" w14:textId="77777777" w:rsidR="00682E5A" w:rsidRPr="00714DCE" w:rsidRDefault="00682E5A" w:rsidP="00714DCE">
      <w:pPr>
        <w:tabs>
          <w:tab w:val="left" w:pos="7938"/>
        </w:tabs>
        <w:ind w:left="851" w:right="851"/>
        <w:jc w:val="both"/>
        <w:rPr>
          <w:rFonts w:ascii="Palatino Linotype" w:eastAsia="Palatino Linotype" w:hAnsi="Palatino Linotype" w:cs="Palatino Linotype"/>
          <w:b/>
          <w:i/>
          <w:sz w:val="22"/>
          <w:szCs w:val="22"/>
        </w:rPr>
      </w:pPr>
    </w:p>
    <w:p w14:paraId="10177B6A"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De los dispositivos legales se aprecia que el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xml:space="preserve"> cuenta en su estructura orgánica con diversas unidades administrativas las cuales están facultadas para generar, administrar y poseer la información materia del presente asunto, sin embargo, del análisis realizado a las constancias que integran el recurso de revisión al rubro indicado no se aprecia que el Titular de la Unidad de Transparencia hubiese turnado la solicitud materia del presente asunto a las áreas legalmente competentes.</w:t>
      </w:r>
    </w:p>
    <w:p w14:paraId="6FE641C2" w14:textId="77777777" w:rsidR="00682E5A" w:rsidRPr="00714DCE" w:rsidRDefault="005E0AE8" w:rsidP="00714DCE">
      <w:pPr>
        <w:tabs>
          <w:tab w:val="left" w:pos="709"/>
        </w:tabs>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En esta tesitura se considera de suma importancia mencionar que conforme al artículo 162 de la de la Ley de Transparencia y Acceso a la Información Pública del Estado de México y Municipios, las Unidades de Transparencia deben garantizar que las solicitudes se turnen a todas las Áreas competentes que cuenten con la información o deban tenerla de acuerdo a sus facultades, competencias y funciones, </w:t>
      </w:r>
      <w:r w:rsidRPr="00714DCE">
        <w:rPr>
          <w:rFonts w:ascii="Palatino Linotype" w:eastAsia="Palatino Linotype" w:hAnsi="Palatino Linotype" w:cs="Palatino Linotype"/>
        </w:rPr>
        <w:lastRenderedPageBreak/>
        <w:t xml:space="preserve">con el objeto de que realicen una búsqueda exhaustiva y razonable de la información solicitada, situación que no fue realizada por el Titular de la Unidad de Transparencia del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ya que como anteriormente fuera precisado, en las constancias que integran el presente asunto, de manera específica en el apartado denominado “requerimientos” no se aprecia que se hubiesen realizado dichas acciones, motivo por el cual es necesario tomar en cuenta los artículos 50, 51, 53 fracciones II y IV, 59 y 162 de la Ley de la materia, mismos que a continuación se insertan:</w:t>
      </w:r>
    </w:p>
    <w:p w14:paraId="6F75AEC7" w14:textId="77777777" w:rsidR="00682E5A" w:rsidRPr="00714DCE" w:rsidRDefault="005E0AE8" w:rsidP="00714DCE">
      <w:pPr>
        <w:tabs>
          <w:tab w:val="left" w:pos="709"/>
        </w:tabs>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“Artículo 50.</w:t>
      </w:r>
      <w:r w:rsidRPr="00714DCE">
        <w:rPr>
          <w:rFonts w:ascii="Palatino Linotype" w:eastAsia="Palatino Linotype" w:hAnsi="Palatino Linotype" w:cs="Palatino Linotype"/>
          <w:i/>
          <w:sz w:val="22"/>
          <w:szCs w:val="22"/>
        </w:rPr>
        <w:t xml:space="preserve"> Los sujetos obligados contarán con un área responsable para la atención de las solicitudes de información, a la que se le denominará Unidad de Transparencia.</w:t>
      </w:r>
    </w:p>
    <w:p w14:paraId="10BEF983" w14:textId="77777777" w:rsidR="00682E5A" w:rsidRPr="00714DCE" w:rsidRDefault="00682E5A" w:rsidP="00714DCE">
      <w:pPr>
        <w:tabs>
          <w:tab w:val="left" w:pos="709"/>
        </w:tabs>
        <w:ind w:left="851" w:right="851"/>
        <w:jc w:val="both"/>
        <w:rPr>
          <w:rFonts w:ascii="Palatino Linotype" w:eastAsia="Palatino Linotype" w:hAnsi="Palatino Linotype" w:cs="Palatino Linotype"/>
          <w:i/>
          <w:sz w:val="22"/>
          <w:szCs w:val="22"/>
        </w:rPr>
      </w:pPr>
    </w:p>
    <w:p w14:paraId="0976DBC1" w14:textId="77777777" w:rsidR="00682E5A" w:rsidRPr="00714DCE" w:rsidRDefault="005E0AE8" w:rsidP="00714DCE">
      <w:pPr>
        <w:tabs>
          <w:tab w:val="left" w:pos="709"/>
        </w:tabs>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Artículo 51.</w:t>
      </w:r>
      <w:r w:rsidRPr="00714DCE">
        <w:rPr>
          <w:rFonts w:ascii="Palatino Linotype" w:eastAsia="Palatino Linotype" w:hAnsi="Palatino Linotype" w:cs="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FD92154" w14:textId="77777777" w:rsidR="00682E5A" w:rsidRPr="00714DCE" w:rsidRDefault="00682E5A" w:rsidP="00714DCE">
      <w:pPr>
        <w:tabs>
          <w:tab w:val="left" w:pos="709"/>
        </w:tabs>
        <w:ind w:left="851" w:right="851"/>
        <w:jc w:val="both"/>
        <w:rPr>
          <w:rFonts w:ascii="Palatino Linotype" w:eastAsia="Palatino Linotype" w:hAnsi="Palatino Linotype" w:cs="Palatino Linotype"/>
          <w:b/>
          <w:i/>
          <w:sz w:val="22"/>
          <w:szCs w:val="22"/>
        </w:rPr>
      </w:pPr>
    </w:p>
    <w:p w14:paraId="37E05F6B" w14:textId="77777777" w:rsidR="00682E5A" w:rsidRPr="00714DCE" w:rsidRDefault="005E0AE8" w:rsidP="00714DCE">
      <w:pPr>
        <w:tabs>
          <w:tab w:val="left" w:pos="709"/>
        </w:tabs>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Artículo 53.</w:t>
      </w:r>
      <w:r w:rsidRPr="00714DCE">
        <w:rPr>
          <w:rFonts w:ascii="Palatino Linotype" w:eastAsia="Palatino Linotype" w:hAnsi="Palatino Linotype" w:cs="Palatino Linotype"/>
          <w:i/>
          <w:sz w:val="22"/>
          <w:szCs w:val="22"/>
        </w:rPr>
        <w:t xml:space="preserve"> Las Unidades de Transparencia tendrán las siguientes funciones:</w:t>
      </w:r>
    </w:p>
    <w:p w14:paraId="35B965C9" w14:textId="77777777" w:rsidR="00682E5A" w:rsidRPr="00714DCE" w:rsidRDefault="005E0AE8" w:rsidP="00714DCE">
      <w:pPr>
        <w:tabs>
          <w:tab w:val="left" w:pos="709"/>
        </w:tabs>
        <w:ind w:left="851" w:right="851"/>
        <w:jc w:val="both"/>
        <w:rPr>
          <w:rFonts w:ascii="Palatino Linotype" w:eastAsia="Palatino Linotype" w:hAnsi="Palatino Linotype" w:cs="Palatino Linotype"/>
          <w:b/>
          <w:i/>
          <w:sz w:val="22"/>
          <w:szCs w:val="22"/>
        </w:rPr>
      </w:pPr>
      <w:r w:rsidRPr="00714DCE">
        <w:rPr>
          <w:rFonts w:ascii="Palatino Linotype" w:eastAsia="Palatino Linotype" w:hAnsi="Palatino Linotype" w:cs="Palatino Linotype"/>
          <w:b/>
          <w:i/>
          <w:sz w:val="22"/>
          <w:szCs w:val="22"/>
        </w:rPr>
        <w:t>…</w:t>
      </w:r>
    </w:p>
    <w:p w14:paraId="2482A8A9" w14:textId="77777777" w:rsidR="00682E5A" w:rsidRPr="00714DCE" w:rsidRDefault="005E0AE8" w:rsidP="00714DCE">
      <w:pPr>
        <w:tabs>
          <w:tab w:val="left" w:pos="709"/>
        </w:tabs>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 xml:space="preserve">II. Recibir, </w:t>
      </w:r>
      <w:r w:rsidRPr="00714DCE">
        <w:rPr>
          <w:rFonts w:ascii="Palatino Linotype" w:eastAsia="Palatino Linotype" w:hAnsi="Palatino Linotype" w:cs="Palatino Linotype"/>
          <w:b/>
          <w:i/>
          <w:sz w:val="22"/>
          <w:szCs w:val="22"/>
          <w:u w:val="single"/>
        </w:rPr>
        <w:t>tramitar</w:t>
      </w:r>
      <w:r w:rsidRPr="00714DCE">
        <w:rPr>
          <w:rFonts w:ascii="Palatino Linotype" w:eastAsia="Palatino Linotype" w:hAnsi="Palatino Linotype" w:cs="Palatino Linotype"/>
          <w:b/>
          <w:i/>
          <w:sz w:val="22"/>
          <w:szCs w:val="22"/>
        </w:rPr>
        <w:t xml:space="preserve"> y dar respuesta a las solicitudes de acceso a la información;</w:t>
      </w:r>
    </w:p>
    <w:p w14:paraId="438D30AA" w14:textId="77777777" w:rsidR="00682E5A" w:rsidRPr="00714DCE" w:rsidRDefault="005E0AE8" w:rsidP="00714DCE">
      <w:pPr>
        <w:tabs>
          <w:tab w:val="left" w:pos="709"/>
        </w:tabs>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w:t>
      </w:r>
    </w:p>
    <w:p w14:paraId="1A90B85C" w14:textId="77777777" w:rsidR="00682E5A" w:rsidRPr="00714DCE" w:rsidRDefault="005E0AE8" w:rsidP="00714DCE">
      <w:pPr>
        <w:tabs>
          <w:tab w:val="left" w:pos="709"/>
        </w:tabs>
        <w:ind w:left="851" w:right="851"/>
        <w:jc w:val="both"/>
        <w:rPr>
          <w:rFonts w:ascii="Palatino Linotype" w:eastAsia="Palatino Linotype" w:hAnsi="Palatino Linotype" w:cs="Palatino Linotype"/>
          <w:b/>
          <w:i/>
          <w:sz w:val="22"/>
          <w:szCs w:val="22"/>
        </w:rPr>
      </w:pPr>
      <w:r w:rsidRPr="00714DCE">
        <w:rPr>
          <w:rFonts w:ascii="Palatino Linotype" w:eastAsia="Palatino Linotype" w:hAnsi="Palatino Linotype" w:cs="Palatino Linotype"/>
          <w:b/>
          <w:i/>
          <w:sz w:val="22"/>
          <w:szCs w:val="22"/>
        </w:rPr>
        <w:t xml:space="preserve"> IV.</w:t>
      </w:r>
      <w:r w:rsidRPr="00714DCE">
        <w:rPr>
          <w:rFonts w:ascii="Palatino Linotype" w:eastAsia="Palatino Linotype" w:hAnsi="Palatino Linotype" w:cs="Palatino Linotype"/>
          <w:i/>
          <w:sz w:val="22"/>
          <w:szCs w:val="22"/>
        </w:rPr>
        <w:t xml:space="preserve"> </w:t>
      </w:r>
      <w:r w:rsidRPr="00714DCE">
        <w:rPr>
          <w:rFonts w:ascii="Palatino Linotype" w:eastAsia="Palatino Linotype" w:hAnsi="Palatino Linotype" w:cs="Palatino Linotype"/>
          <w:b/>
          <w:i/>
          <w:sz w:val="22"/>
          <w:szCs w:val="22"/>
          <w:u w:val="single"/>
        </w:rPr>
        <w:t>Realizar</w:t>
      </w:r>
      <w:r w:rsidRPr="00714DCE">
        <w:rPr>
          <w:rFonts w:ascii="Palatino Linotype" w:eastAsia="Palatino Linotype" w:hAnsi="Palatino Linotype" w:cs="Palatino Linotype"/>
          <w:b/>
          <w:i/>
          <w:sz w:val="22"/>
          <w:szCs w:val="22"/>
        </w:rPr>
        <w:t xml:space="preserve">, con efectividad, </w:t>
      </w:r>
      <w:r w:rsidRPr="00714DCE">
        <w:rPr>
          <w:rFonts w:ascii="Palatino Linotype" w:eastAsia="Palatino Linotype" w:hAnsi="Palatino Linotype" w:cs="Palatino Linotype"/>
          <w:b/>
          <w:i/>
          <w:sz w:val="22"/>
          <w:szCs w:val="22"/>
          <w:u w:val="single"/>
        </w:rPr>
        <w:t xml:space="preserve">los trámites internos necesarios para la atención de las solicitudes de acceso a la </w:t>
      </w:r>
      <w:proofErr w:type="gramStart"/>
      <w:r w:rsidRPr="00714DCE">
        <w:rPr>
          <w:rFonts w:ascii="Palatino Linotype" w:eastAsia="Palatino Linotype" w:hAnsi="Palatino Linotype" w:cs="Palatino Linotype"/>
          <w:b/>
          <w:i/>
          <w:sz w:val="22"/>
          <w:szCs w:val="22"/>
          <w:u w:val="single"/>
        </w:rPr>
        <w:t>información;</w:t>
      </w:r>
      <w:r w:rsidRPr="00714DCE">
        <w:rPr>
          <w:rFonts w:ascii="Palatino Linotype" w:eastAsia="Palatino Linotype" w:hAnsi="Palatino Linotype" w:cs="Palatino Linotype"/>
          <w:b/>
          <w:i/>
          <w:sz w:val="22"/>
          <w:szCs w:val="22"/>
        </w:rPr>
        <w:t>…</w:t>
      </w:r>
      <w:proofErr w:type="gramEnd"/>
    </w:p>
    <w:p w14:paraId="3CFD69A7" w14:textId="77777777" w:rsidR="00682E5A" w:rsidRPr="00714DCE" w:rsidRDefault="00682E5A" w:rsidP="00714DCE">
      <w:pPr>
        <w:tabs>
          <w:tab w:val="left" w:pos="709"/>
        </w:tabs>
        <w:ind w:left="851" w:right="851"/>
        <w:jc w:val="both"/>
        <w:rPr>
          <w:rFonts w:ascii="Palatino Linotype" w:eastAsia="Palatino Linotype" w:hAnsi="Palatino Linotype" w:cs="Palatino Linotype"/>
          <w:i/>
          <w:sz w:val="22"/>
          <w:szCs w:val="22"/>
        </w:rPr>
      </w:pPr>
    </w:p>
    <w:p w14:paraId="60CB0967" w14:textId="77777777" w:rsidR="00682E5A" w:rsidRPr="00714DCE" w:rsidRDefault="005E0AE8" w:rsidP="00714DCE">
      <w:pPr>
        <w:tabs>
          <w:tab w:val="left" w:pos="709"/>
        </w:tabs>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Artículo 59.</w:t>
      </w:r>
      <w:r w:rsidRPr="00714DCE">
        <w:rPr>
          <w:rFonts w:ascii="Palatino Linotype" w:eastAsia="Palatino Linotype" w:hAnsi="Palatino Linotype" w:cs="Palatino Linotype"/>
          <w:i/>
          <w:sz w:val="22"/>
          <w:szCs w:val="22"/>
        </w:rPr>
        <w:t xml:space="preserve"> Los servidores públicos habilitados tendrán las funciones siguientes:</w:t>
      </w:r>
    </w:p>
    <w:p w14:paraId="6834972C" w14:textId="77777777" w:rsidR="00682E5A" w:rsidRPr="00714DCE" w:rsidRDefault="005E0AE8" w:rsidP="00714DCE">
      <w:pPr>
        <w:tabs>
          <w:tab w:val="left" w:pos="709"/>
        </w:tabs>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I.</w:t>
      </w:r>
      <w:r w:rsidRPr="00714DCE">
        <w:rPr>
          <w:rFonts w:ascii="Palatino Linotype" w:eastAsia="Palatino Linotype" w:hAnsi="Palatino Linotype" w:cs="Palatino Linotype"/>
          <w:i/>
          <w:sz w:val="22"/>
          <w:szCs w:val="22"/>
        </w:rPr>
        <w:t xml:space="preserve"> Localizar la información que le solicite la Unidad de Transparencia;</w:t>
      </w:r>
    </w:p>
    <w:p w14:paraId="44985C42" w14:textId="77777777" w:rsidR="00682E5A" w:rsidRPr="00714DCE" w:rsidRDefault="005E0AE8" w:rsidP="00714DCE">
      <w:pPr>
        <w:tabs>
          <w:tab w:val="left" w:pos="709"/>
        </w:tabs>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II.</w:t>
      </w:r>
      <w:r w:rsidRPr="00714DCE">
        <w:rPr>
          <w:rFonts w:ascii="Palatino Linotype" w:eastAsia="Palatino Linotype" w:hAnsi="Palatino Linotype" w:cs="Palatino Linotype"/>
          <w:i/>
          <w:sz w:val="22"/>
          <w:szCs w:val="22"/>
        </w:rPr>
        <w:t xml:space="preserve"> Proporcionar la información que obre en los archivos y que le sea solicitada por la Unidad de Transparencia;</w:t>
      </w:r>
    </w:p>
    <w:p w14:paraId="241831AF" w14:textId="77777777" w:rsidR="00682E5A" w:rsidRPr="00714DCE" w:rsidRDefault="005E0AE8" w:rsidP="00714DCE">
      <w:pPr>
        <w:tabs>
          <w:tab w:val="left" w:pos="709"/>
        </w:tabs>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lastRenderedPageBreak/>
        <w:t>III.</w:t>
      </w:r>
      <w:r w:rsidRPr="00714DCE">
        <w:rPr>
          <w:rFonts w:ascii="Palatino Linotype" w:eastAsia="Palatino Linotype" w:hAnsi="Palatino Linotype" w:cs="Palatino Linotype"/>
          <w:i/>
          <w:sz w:val="22"/>
          <w:szCs w:val="22"/>
        </w:rPr>
        <w:t xml:space="preserve"> Apoyar a la Unidad de Transparencia en lo que esta le solicite para el cumplimiento de sus funciones;</w:t>
      </w:r>
    </w:p>
    <w:p w14:paraId="4F36DB05" w14:textId="77777777" w:rsidR="00682E5A" w:rsidRPr="00714DCE" w:rsidRDefault="005E0AE8" w:rsidP="00714DCE">
      <w:pPr>
        <w:tabs>
          <w:tab w:val="left" w:pos="709"/>
        </w:tabs>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IV.</w:t>
      </w:r>
      <w:r w:rsidRPr="00714DCE">
        <w:rPr>
          <w:rFonts w:ascii="Palatino Linotype" w:eastAsia="Palatino Linotype" w:hAnsi="Palatino Linotype" w:cs="Palatino Linotype"/>
          <w:i/>
          <w:sz w:val="22"/>
          <w:szCs w:val="22"/>
        </w:rPr>
        <w:t xml:space="preserve"> Proporcionar a la Unidad de Transparencia, las modificaciones a la información pública de oficio que obre en su poder;</w:t>
      </w:r>
    </w:p>
    <w:p w14:paraId="067D1D7F" w14:textId="77777777" w:rsidR="00682E5A" w:rsidRPr="00714DCE" w:rsidRDefault="005E0AE8" w:rsidP="00714DCE">
      <w:pPr>
        <w:tabs>
          <w:tab w:val="left" w:pos="709"/>
        </w:tabs>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V.</w:t>
      </w:r>
      <w:r w:rsidRPr="00714DCE">
        <w:rPr>
          <w:rFonts w:ascii="Palatino Linotype" w:eastAsia="Palatino Linotype" w:hAnsi="Palatino Linotype" w:cs="Palatino Linotype"/>
          <w:i/>
          <w:sz w:val="22"/>
          <w:szCs w:val="22"/>
        </w:rPr>
        <w:t xml:space="preserve"> Integrar y presentar al responsable de la Unidad de Transparencia la propuesta de clasificación de información, la cual tendrá los fundamentos y argumentos en que se basa dicha propuesta;</w:t>
      </w:r>
    </w:p>
    <w:p w14:paraId="08E139FA" w14:textId="77777777" w:rsidR="00682E5A" w:rsidRPr="00714DCE" w:rsidRDefault="005E0AE8" w:rsidP="00714DCE">
      <w:pPr>
        <w:tabs>
          <w:tab w:val="left" w:pos="709"/>
        </w:tabs>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VI.</w:t>
      </w:r>
      <w:r w:rsidRPr="00714DCE">
        <w:rPr>
          <w:rFonts w:ascii="Palatino Linotype" w:eastAsia="Palatino Linotype" w:hAnsi="Palatino Linotype" w:cs="Palatino Linotype"/>
          <w:i/>
          <w:sz w:val="22"/>
          <w:szCs w:val="22"/>
        </w:rPr>
        <w:t xml:space="preserve"> Verificar, una vez analizado el contenido de la información, que no se encuentre en los supuestos de información clasificada; y</w:t>
      </w:r>
    </w:p>
    <w:p w14:paraId="4379DF12" w14:textId="77777777" w:rsidR="00682E5A" w:rsidRPr="00714DCE" w:rsidRDefault="005E0AE8" w:rsidP="00714DCE">
      <w:pPr>
        <w:tabs>
          <w:tab w:val="left" w:pos="709"/>
        </w:tabs>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VII.</w:t>
      </w:r>
      <w:r w:rsidRPr="00714DCE">
        <w:rPr>
          <w:rFonts w:ascii="Palatino Linotype" w:eastAsia="Palatino Linotype" w:hAnsi="Palatino Linotype" w:cs="Palatino Linotype"/>
          <w:i/>
          <w:sz w:val="22"/>
          <w:szCs w:val="22"/>
        </w:rPr>
        <w:t xml:space="preserve"> Dar cuenta a la Unidad de Transparencia del vencimiento de los plazos de reserva.</w:t>
      </w:r>
    </w:p>
    <w:p w14:paraId="356F98AC" w14:textId="77777777" w:rsidR="00682E5A" w:rsidRPr="00714DCE" w:rsidRDefault="00682E5A" w:rsidP="00714DCE">
      <w:pPr>
        <w:tabs>
          <w:tab w:val="left" w:pos="709"/>
        </w:tabs>
        <w:ind w:left="851" w:right="851"/>
        <w:jc w:val="both"/>
        <w:rPr>
          <w:rFonts w:ascii="Palatino Linotype" w:eastAsia="Palatino Linotype" w:hAnsi="Palatino Linotype" w:cs="Palatino Linotype"/>
          <w:i/>
          <w:sz w:val="22"/>
          <w:szCs w:val="22"/>
        </w:rPr>
      </w:pPr>
    </w:p>
    <w:p w14:paraId="1540BDE0" w14:textId="77777777" w:rsidR="00682E5A" w:rsidRPr="00714DCE" w:rsidRDefault="005E0AE8" w:rsidP="00714DCE">
      <w:pPr>
        <w:tabs>
          <w:tab w:val="left" w:pos="709"/>
        </w:tabs>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Artículo 162.</w:t>
      </w:r>
      <w:r w:rsidRPr="00714DCE">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FC10779" w14:textId="77777777" w:rsidR="00682E5A" w:rsidRPr="00714DCE" w:rsidRDefault="00682E5A" w:rsidP="00714DCE">
      <w:pPr>
        <w:tabs>
          <w:tab w:val="left" w:pos="709"/>
        </w:tabs>
        <w:ind w:left="851" w:right="851"/>
        <w:jc w:val="both"/>
        <w:rPr>
          <w:rFonts w:ascii="Palatino Linotype" w:eastAsia="Palatino Linotype" w:hAnsi="Palatino Linotype" w:cs="Palatino Linotype"/>
          <w:i/>
          <w:sz w:val="22"/>
          <w:szCs w:val="22"/>
        </w:rPr>
      </w:pPr>
    </w:p>
    <w:p w14:paraId="5B48A9A3" w14:textId="77777777" w:rsidR="00682E5A" w:rsidRPr="00714DCE" w:rsidRDefault="005E0AE8" w:rsidP="00714DCE">
      <w:pPr>
        <w:tabs>
          <w:tab w:val="left" w:pos="709"/>
        </w:tabs>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Énfasis añadido</w:t>
      </w:r>
    </w:p>
    <w:p w14:paraId="0DA0B5A6" w14:textId="77777777" w:rsidR="00682E5A" w:rsidRPr="00714DCE" w:rsidRDefault="00682E5A" w:rsidP="00714DCE">
      <w:pPr>
        <w:tabs>
          <w:tab w:val="left" w:pos="709"/>
        </w:tabs>
        <w:ind w:left="851" w:right="851"/>
        <w:jc w:val="both"/>
        <w:rPr>
          <w:rFonts w:ascii="Palatino Linotype" w:eastAsia="Palatino Linotype" w:hAnsi="Palatino Linotype" w:cs="Palatino Linotype"/>
          <w:i/>
          <w:sz w:val="22"/>
          <w:szCs w:val="22"/>
        </w:rPr>
      </w:pPr>
    </w:p>
    <w:p w14:paraId="69655634" w14:textId="77777777" w:rsidR="00682E5A" w:rsidRPr="00714DCE" w:rsidRDefault="005E0AE8" w:rsidP="00714DCE">
      <w:pPr>
        <w:tabs>
          <w:tab w:val="left" w:pos="709"/>
        </w:tabs>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De la normatividad en cita se desprende que la Unidad de Transparencia, es el área responsable en cada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xml:space="preserve"> para dar atención a las solicitudes de información que se realicen al amparo de la Ley. El responsable de dicha área funge como enlace entre el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xml:space="preserve"> y los solicitantes, y tiene bajo su responsabilidad el tramitar internamente la solicitud de información.</w:t>
      </w:r>
    </w:p>
    <w:p w14:paraId="218EB1A8" w14:textId="77777777" w:rsidR="00CD6910" w:rsidRPr="00821928" w:rsidRDefault="00CD6910" w:rsidP="00CD6910">
      <w:pPr>
        <w:tabs>
          <w:tab w:val="left" w:pos="709"/>
        </w:tabs>
        <w:spacing w:before="240" w:after="240" w:line="360" w:lineRule="auto"/>
        <w:jc w:val="both"/>
        <w:rPr>
          <w:rFonts w:ascii="Palatino Linotype" w:eastAsia="Palatino Linotype" w:hAnsi="Palatino Linotype" w:cs="Palatino Linotype"/>
        </w:rPr>
      </w:pPr>
      <w:r w:rsidRPr="00821928">
        <w:rPr>
          <w:rFonts w:ascii="Palatino Linotype" w:eastAsia="Palatino Linotype" w:hAnsi="Palatino Linotype" w:cs="Palatino Linotype"/>
        </w:rPr>
        <w:t xml:space="preserve">Atento a lo anterior, es de manifestarse que si bien es cierto la Unidad de Transparencia del </w:t>
      </w:r>
      <w:r w:rsidRPr="00821928">
        <w:rPr>
          <w:rFonts w:ascii="Palatino Linotype" w:eastAsia="Palatino Linotype" w:hAnsi="Palatino Linotype" w:cs="Palatino Linotype"/>
          <w:b/>
        </w:rPr>
        <w:t>SUJETO OBLIGADO</w:t>
      </w:r>
      <w:r w:rsidRPr="00821928">
        <w:rPr>
          <w:rFonts w:ascii="Palatino Linotype" w:eastAsia="Palatino Linotype" w:hAnsi="Palatino Linotype" w:cs="Palatino Linotype"/>
        </w:rPr>
        <w:t xml:space="preserve"> no turno la solicitud de información a las diversas áreas que pueden ser competentes para generar, poseer o administrar la información solicitada, también lo es, que la servidor público habilitad</w:t>
      </w:r>
      <w:r>
        <w:rPr>
          <w:rFonts w:ascii="Palatino Linotype" w:eastAsia="Palatino Linotype" w:hAnsi="Palatino Linotype" w:cs="Palatino Linotype"/>
        </w:rPr>
        <w:t>a</w:t>
      </w:r>
      <w:r w:rsidRPr="00821928">
        <w:rPr>
          <w:rFonts w:ascii="Palatino Linotype" w:eastAsia="Palatino Linotype" w:hAnsi="Palatino Linotype" w:cs="Palatino Linotype"/>
        </w:rPr>
        <w:t xml:space="preserve"> Encargada del Despacho de la Subdirección de Recursos Humanos manifestó mediante su respuesta que no contaba con el documento solicitado, porque este se encontraba en </w:t>
      </w:r>
      <w:r w:rsidRPr="00821928">
        <w:rPr>
          <w:rFonts w:ascii="Palatino Linotype" w:eastAsia="Palatino Linotype" w:hAnsi="Palatino Linotype" w:cs="Palatino Linotype"/>
        </w:rPr>
        <w:lastRenderedPageBreak/>
        <w:t xml:space="preserve">Deposito de Firma, advirtiéndose de tal manifestación, que efectivamente el Convenio se celebró entre el Ayuntamiento de Naucalpan de Juárez y el </w:t>
      </w:r>
      <w:r w:rsidRPr="00821485">
        <w:rPr>
          <w:rFonts w:ascii="Palatino Linotype" w:eastAsia="Palatino Linotype" w:hAnsi="Palatino Linotype" w:cs="Palatino Linotype"/>
        </w:rPr>
        <w:t>S</w:t>
      </w:r>
      <w:r w:rsidRPr="00821485">
        <w:rPr>
          <w:rFonts w:ascii="Palatino Linotype" w:eastAsia="Palatino Linotype" w:hAnsi="Palatino Linotype" w:cs="Palatino Linotype"/>
          <w:highlight w:val="white"/>
        </w:rPr>
        <w:t>indicato Único de Trabajadores del Estado y sus Municipios (</w:t>
      </w:r>
      <w:proofErr w:type="spellStart"/>
      <w:r w:rsidRPr="00821485">
        <w:rPr>
          <w:rFonts w:ascii="Palatino Linotype" w:eastAsia="Palatino Linotype" w:hAnsi="Palatino Linotype" w:cs="Palatino Linotype"/>
          <w:highlight w:val="white"/>
        </w:rPr>
        <w:t>SUTEyM</w:t>
      </w:r>
      <w:proofErr w:type="spellEnd"/>
      <w:r w:rsidRPr="00821485">
        <w:rPr>
          <w:rFonts w:ascii="Palatino Linotype" w:eastAsia="Palatino Linotype" w:hAnsi="Palatino Linotype" w:cs="Palatino Linotype"/>
          <w:highlight w:val="white"/>
        </w:rPr>
        <w:t>) sección Naucalpan</w:t>
      </w:r>
      <w:r w:rsidRPr="00821928">
        <w:rPr>
          <w:rFonts w:ascii="Palatino Linotype" w:eastAsia="Palatino Linotype" w:hAnsi="Palatino Linotype" w:cs="Palatino Linotype"/>
        </w:rPr>
        <w:t>, sin embargo y como se observa, se encontraba ante una imposibilidad de otorgar el documento solicitado en ese momento.</w:t>
      </w:r>
    </w:p>
    <w:p w14:paraId="3E6DA1D4" w14:textId="77777777" w:rsidR="00682E5A" w:rsidRPr="00714DCE" w:rsidRDefault="005E0AE8" w:rsidP="00714DCE">
      <w:pPr>
        <w:tabs>
          <w:tab w:val="left" w:pos="709"/>
        </w:tabs>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No se omite mencionar, que el </w:t>
      </w:r>
      <w:r w:rsidRPr="00714DCE">
        <w:rPr>
          <w:rFonts w:ascii="Palatino Linotype" w:eastAsia="Palatino Linotype" w:hAnsi="Palatino Linotype" w:cs="Palatino Linotype"/>
          <w:b/>
        </w:rPr>
        <w:t>RECURRENTE</w:t>
      </w:r>
      <w:r w:rsidRPr="00714DCE">
        <w:rPr>
          <w:rFonts w:ascii="Palatino Linotype" w:eastAsia="Palatino Linotype" w:hAnsi="Palatino Linotype" w:cs="Palatino Linotype"/>
        </w:rPr>
        <w:t xml:space="preserve"> en sus motivos de inconformidad proporciona dos ligas, una de ellas, </w:t>
      </w:r>
      <w:hyperlink r:id="rId14">
        <w:r w:rsidRPr="00714DCE">
          <w:rPr>
            <w:rFonts w:ascii="Palatino Linotype" w:eastAsia="Palatino Linotype" w:hAnsi="Palatino Linotype" w:cs="Palatino Linotype"/>
            <w:color w:val="0000FF"/>
            <w:u w:val="single"/>
          </w:rPr>
          <w:t>https://www.elpuntocritico.com/world/93-estado-de-mexico/186994-firma-suteym-naucalpan-convenio-de-sueldos-2021-con-gobierno-municipal</w:t>
        </w:r>
      </w:hyperlink>
      <w:r w:rsidRPr="00714DCE">
        <w:rPr>
          <w:rFonts w:ascii="Palatino Linotype" w:eastAsia="Palatino Linotype" w:hAnsi="Palatino Linotype" w:cs="Palatino Linotype"/>
        </w:rPr>
        <w:t>, en la cual un medio de comunicación informa de la firma del convenio entre el Ayuntamiento de Naucalpan de Juárez y el Sindicato Único de Trabajadores del Estado y sus Municipios (</w:t>
      </w:r>
      <w:proofErr w:type="spellStart"/>
      <w:r w:rsidRPr="00714DCE">
        <w:rPr>
          <w:rFonts w:ascii="Palatino Linotype" w:eastAsia="Palatino Linotype" w:hAnsi="Palatino Linotype" w:cs="Palatino Linotype"/>
        </w:rPr>
        <w:t>SUTEyM</w:t>
      </w:r>
      <w:proofErr w:type="spellEnd"/>
      <w:r w:rsidRPr="00714DCE">
        <w:rPr>
          <w:rFonts w:ascii="Palatino Linotype" w:eastAsia="Palatino Linotype" w:hAnsi="Palatino Linotype" w:cs="Palatino Linotype"/>
        </w:rPr>
        <w:t>) sección Naucalpan, como se puede advertir en la siguiente imagen:</w:t>
      </w:r>
    </w:p>
    <w:p w14:paraId="0EE6175D" w14:textId="77777777" w:rsidR="00682E5A" w:rsidRPr="00714DCE" w:rsidRDefault="005E0AE8" w:rsidP="00714DCE">
      <w:pPr>
        <w:tabs>
          <w:tab w:val="left" w:pos="709"/>
        </w:tabs>
        <w:spacing w:before="240" w:after="240" w:line="360" w:lineRule="auto"/>
        <w:jc w:val="center"/>
        <w:rPr>
          <w:rFonts w:ascii="Palatino Linotype" w:eastAsia="Palatino Linotype" w:hAnsi="Palatino Linotype" w:cs="Palatino Linotype"/>
        </w:rPr>
      </w:pPr>
      <w:r w:rsidRPr="00714DCE">
        <w:rPr>
          <w:rFonts w:ascii="Palatino Linotype" w:eastAsia="Palatino Linotype" w:hAnsi="Palatino Linotype" w:cs="Palatino Linotype"/>
          <w:noProof/>
          <w:lang w:val="es-MX" w:eastAsia="es-MX"/>
        </w:rPr>
        <w:lastRenderedPageBreak/>
        <w:drawing>
          <wp:inline distT="0" distB="0" distL="0" distR="0" wp14:anchorId="7E6D9C1E" wp14:editId="4E0B14B2">
            <wp:extent cx="4038493" cy="4599718"/>
            <wp:effectExtent l="0" t="0" r="0" b="0"/>
            <wp:docPr id="50" name="image3.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10;&#10;Descripción generada automáticamente"/>
                    <pic:cNvPicPr preferRelativeResize="0"/>
                  </pic:nvPicPr>
                  <pic:blipFill>
                    <a:blip r:embed="rId15"/>
                    <a:srcRect l="18704" t="8817" r="40351" b="8274"/>
                    <a:stretch>
                      <a:fillRect/>
                    </a:stretch>
                  </pic:blipFill>
                  <pic:spPr>
                    <a:xfrm>
                      <a:off x="0" y="0"/>
                      <a:ext cx="4038493" cy="4599718"/>
                    </a:xfrm>
                    <a:prstGeom prst="rect">
                      <a:avLst/>
                    </a:prstGeom>
                    <a:ln/>
                  </pic:spPr>
                </pic:pic>
              </a:graphicData>
            </a:graphic>
          </wp:inline>
        </w:drawing>
      </w:r>
    </w:p>
    <w:p w14:paraId="3F2FB713" w14:textId="77777777" w:rsidR="00CD6910" w:rsidRPr="00821928" w:rsidRDefault="00CD6910" w:rsidP="00CD6910">
      <w:pPr>
        <w:spacing w:before="240" w:after="240" w:line="360" w:lineRule="auto"/>
        <w:jc w:val="both"/>
        <w:rPr>
          <w:rFonts w:ascii="Palatino Linotype" w:eastAsia="Palatino Linotype" w:hAnsi="Palatino Linotype" w:cs="Palatino Linotype"/>
        </w:rPr>
      </w:pPr>
      <w:r w:rsidRPr="00821928">
        <w:rPr>
          <w:rFonts w:ascii="Palatino Linotype" w:eastAsia="Palatino Linotype" w:hAnsi="Palatino Linotype" w:cs="Palatino Linotype"/>
        </w:rPr>
        <w:t xml:space="preserve">En consecuencia, considerando el tiempo que ha transcurrido desde el día de la presentación de la solicitud de acceso a la información al día en que se resuelve el presente recurso  y con la finalidad de garantizar el pleno ejercicio del derecho de acceso a la información pública del </w:t>
      </w:r>
      <w:r w:rsidRPr="00821928">
        <w:rPr>
          <w:rFonts w:ascii="Palatino Linotype" w:eastAsia="Palatino Linotype" w:hAnsi="Palatino Linotype" w:cs="Palatino Linotype"/>
          <w:b/>
          <w:bCs/>
        </w:rPr>
        <w:t>RECURRENTE,</w:t>
      </w:r>
      <w:r w:rsidRPr="00821928">
        <w:rPr>
          <w:rFonts w:ascii="Palatino Linotype" w:eastAsia="Palatino Linotype" w:hAnsi="Palatino Linotype" w:cs="Palatino Linotype"/>
        </w:rPr>
        <w:t xml:space="preserve"> este Instituto considera,</w:t>
      </w:r>
      <w:r w:rsidRPr="00821928">
        <w:rPr>
          <w:rFonts w:ascii="Palatino Linotype" w:eastAsia="Palatino Linotype" w:hAnsi="Palatino Linotype" w:cs="Palatino Linotype"/>
          <w:b/>
        </w:rPr>
        <w:t xml:space="preserve"> </w:t>
      </w:r>
      <w:r w:rsidRPr="00821928">
        <w:rPr>
          <w:rFonts w:ascii="Palatino Linotype" w:eastAsia="Palatino Linotype" w:hAnsi="Palatino Linotype" w:cs="Palatino Linotype"/>
        </w:rPr>
        <w:t xml:space="preserve">que el </w:t>
      </w:r>
      <w:r w:rsidRPr="00821928">
        <w:rPr>
          <w:rFonts w:ascii="Palatino Linotype" w:eastAsia="Palatino Linotype" w:hAnsi="Palatino Linotype" w:cs="Palatino Linotype"/>
          <w:b/>
        </w:rPr>
        <w:t>SUJETO OBLIGADO</w:t>
      </w:r>
      <w:r w:rsidRPr="00821928">
        <w:rPr>
          <w:rFonts w:ascii="Palatino Linotype" w:eastAsia="Palatino Linotype" w:hAnsi="Palatino Linotype" w:cs="Palatino Linotype"/>
        </w:rPr>
        <w:t xml:space="preserve"> está en posibilidad de hacer entrega de ser procedente en versión pública, el Convenio de Sueldo, Prestaciones de Ley y Colaterales 2021, suscrito entre el Ayuntamiento de Naucalpan de Juárez y el Sindicato Único de Trabajadores de los Poderes, Municipios e Instituciones Descentralizadas del Estado </w:t>
      </w:r>
      <w:r w:rsidRPr="00821928">
        <w:rPr>
          <w:rFonts w:ascii="Palatino Linotype" w:eastAsia="Palatino Linotype" w:hAnsi="Palatino Linotype" w:cs="Palatino Linotype"/>
        </w:rPr>
        <w:lastRenderedPageBreak/>
        <w:t>de México (SUTEYM) o el que se encuentre vigente al dieciocho de octubre de dos mil veintiuno, esto es a la fecha de presentación de la solicitud materia del presente asunto.</w:t>
      </w:r>
    </w:p>
    <w:p w14:paraId="21F54963" w14:textId="77777777" w:rsidR="00682E5A" w:rsidRPr="00714DCE" w:rsidRDefault="005E0AE8" w:rsidP="00714DCE">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b/>
          <w:color w:val="000000"/>
        </w:rPr>
      </w:pPr>
      <w:r w:rsidRPr="00714DCE">
        <w:rPr>
          <w:rFonts w:ascii="Palatino Linotype" w:eastAsia="Palatino Linotype" w:hAnsi="Palatino Linotype" w:cs="Palatino Linotype"/>
          <w:b/>
          <w:color w:val="000000"/>
        </w:rPr>
        <w:t xml:space="preserve">Versión Pública. </w:t>
      </w:r>
    </w:p>
    <w:p w14:paraId="5A0D12B6" w14:textId="77777777" w:rsidR="00682E5A" w:rsidRPr="00714DCE" w:rsidRDefault="005E0AE8" w:rsidP="00714DCE">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714DCE">
        <w:rPr>
          <w:rFonts w:ascii="Palatino Linotype" w:eastAsia="Palatino Linotype" w:hAnsi="Palatino Linotype" w:cs="Palatino Linotype"/>
          <w:color w:val="000000"/>
        </w:rPr>
        <w:t>Como fue debidamente apuntado, el </w:t>
      </w:r>
      <w:r w:rsidRPr="00714DCE">
        <w:rPr>
          <w:rFonts w:ascii="Palatino Linotype" w:eastAsia="Palatino Linotype" w:hAnsi="Palatino Linotype" w:cs="Palatino Linotype"/>
          <w:b/>
          <w:color w:val="000000"/>
        </w:rPr>
        <w:t>SUJETO OBLIGADO</w:t>
      </w:r>
      <w:r w:rsidRPr="00714DCE">
        <w:rPr>
          <w:rFonts w:ascii="Palatino Linotype" w:eastAsia="Palatino Linotype" w:hAnsi="Palatino Linotype" w:cs="Palatino Linotype"/>
          <w:color w:val="000000"/>
        </w:rPr>
        <w:t> debe satisfacer la solicitud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4293AF5A" w14:textId="77777777" w:rsidR="00682E5A" w:rsidRPr="00714DCE" w:rsidRDefault="005E0AE8" w:rsidP="00714DCE">
      <w:pPr>
        <w:spacing w:before="240" w:after="240" w:line="360" w:lineRule="auto"/>
        <w:ind w:right="51"/>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36BAE45D" w14:textId="77777777" w:rsidR="00682E5A" w:rsidRPr="00714DCE" w:rsidRDefault="005E0AE8" w:rsidP="00714DCE">
      <w:pPr>
        <w:spacing w:before="240" w:after="240" w:line="360" w:lineRule="auto"/>
        <w:ind w:right="51"/>
        <w:jc w:val="both"/>
        <w:rPr>
          <w:rFonts w:ascii="Palatino Linotype" w:eastAsia="Palatino Linotype" w:hAnsi="Palatino Linotype" w:cs="Palatino Linotype"/>
        </w:rPr>
      </w:pPr>
      <w:r w:rsidRPr="00714DCE">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AD7A75E" w14:textId="77777777" w:rsidR="00682E5A" w:rsidRPr="00714DCE" w:rsidRDefault="005E0AE8" w:rsidP="00714DCE">
      <w:pPr>
        <w:spacing w:before="240" w:after="240" w:line="360" w:lineRule="auto"/>
        <w:ind w:right="51"/>
        <w:jc w:val="both"/>
        <w:rPr>
          <w:rFonts w:ascii="Palatino Linotype" w:eastAsia="Palatino Linotype" w:hAnsi="Palatino Linotype" w:cs="Palatino Linotype"/>
        </w:rPr>
      </w:pPr>
      <w:r w:rsidRPr="00714DCE">
        <w:rPr>
          <w:rFonts w:ascii="Palatino Linotype" w:eastAsia="Palatino Linotype" w:hAnsi="Palatino Linotype" w:cs="Palatino Linotype"/>
        </w:rPr>
        <w:t>Al respecto, los artículos 3 fracciones IX, XX, XXI, XXXII y XLV; 6, 49 fracción VIII, 91, 137, 143 Fracción I, de la Ley de Transparencia y Acceso a la Información Pública del Estado de México y Municipios vigente establecen:</w:t>
      </w:r>
    </w:p>
    <w:p w14:paraId="7E3C83FB" w14:textId="77777777" w:rsidR="00682E5A" w:rsidRPr="00714DCE" w:rsidRDefault="005E0AE8" w:rsidP="00714DCE">
      <w:pPr>
        <w:ind w:left="851" w:right="851"/>
        <w:jc w:val="both"/>
        <w:rPr>
          <w:rFonts w:ascii="Palatino Linotype" w:eastAsia="Palatino Linotype" w:hAnsi="Palatino Linotype" w:cs="Palatino Linotype"/>
          <w:sz w:val="22"/>
          <w:szCs w:val="22"/>
        </w:rPr>
      </w:pPr>
      <w:r w:rsidRPr="00714DCE">
        <w:rPr>
          <w:rFonts w:ascii="Palatino Linotype" w:eastAsia="Palatino Linotype" w:hAnsi="Palatino Linotype" w:cs="Palatino Linotype"/>
          <w:b/>
          <w:i/>
          <w:sz w:val="22"/>
          <w:szCs w:val="22"/>
        </w:rPr>
        <w:lastRenderedPageBreak/>
        <w:t> “Artículo 3. Para los efectos de la presente Ley se entenderá por:</w:t>
      </w:r>
    </w:p>
    <w:p w14:paraId="72A03548" w14:textId="77777777" w:rsidR="00682E5A" w:rsidRPr="00714DCE" w:rsidRDefault="005E0AE8" w:rsidP="00714DCE">
      <w:pPr>
        <w:ind w:left="851" w:right="851"/>
        <w:jc w:val="both"/>
        <w:rPr>
          <w:rFonts w:ascii="Palatino Linotype" w:eastAsia="Palatino Linotype" w:hAnsi="Palatino Linotype" w:cs="Palatino Linotype"/>
          <w:sz w:val="22"/>
          <w:szCs w:val="22"/>
        </w:rPr>
      </w:pPr>
      <w:r w:rsidRPr="00714DCE">
        <w:rPr>
          <w:rFonts w:ascii="Palatino Linotype" w:eastAsia="Palatino Linotype" w:hAnsi="Palatino Linotype" w:cs="Palatino Linotype"/>
          <w:i/>
          <w:sz w:val="22"/>
          <w:szCs w:val="22"/>
        </w:rPr>
        <w:t>(…)</w:t>
      </w:r>
    </w:p>
    <w:p w14:paraId="07290A2A" w14:textId="77777777" w:rsidR="00682E5A" w:rsidRPr="00714DCE" w:rsidRDefault="005E0AE8" w:rsidP="00714DCE">
      <w:pPr>
        <w:ind w:left="851" w:right="851"/>
        <w:jc w:val="both"/>
        <w:rPr>
          <w:rFonts w:ascii="Palatino Linotype" w:eastAsia="Palatino Linotype" w:hAnsi="Palatino Linotype" w:cs="Palatino Linotype"/>
          <w:sz w:val="22"/>
          <w:szCs w:val="22"/>
        </w:rPr>
      </w:pPr>
      <w:r w:rsidRPr="00714DCE">
        <w:rPr>
          <w:rFonts w:ascii="Palatino Linotype" w:eastAsia="Palatino Linotype" w:hAnsi="Palatino Linotype" w:cs="Palatino Linotype"/>
          <w:b/>
          <w:i/>
          <w:sz w:val="22"/>
          <w:szCs w:val="22"/>
        </w:rPr>
        <w:t>IX. Datos personales:</w:t>
      </w:r>
      <w:r w:rsidRPr="00714DCE">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4C779C3D"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w:t>
      </w:r>
    </w:p>
    <w:p w14:paraId="23B1A5BB"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XX. Información clasificada:</w:t>
      </w:r>
      <w:r w:rsidRPr="00714DCE">
        <w:rPr>
          <w:rFonts w:ascii="Palatino Linotype" w:eastAsia="Palatino Linotype" w:hAnsi="Palatino Linotype" w:cs="Palatino Linotype"/>
          <w:i/>
          <w:sz w:val="22"/>
          <w:szCs w:val="22"/>
        </w:rPr>
        <w:t> Aquella considerada por la presente Ley como reservada o confidencial;</w:t>
      </w:r>
    </w:p>
    <w:p w14:paraId="712FBB0A"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XXI. Información confidencial:</w:t>
      </w:r>
      <w:r w:rsidRPr="00714DCE">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F27731B"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w:t>
      </w:r>
    </w:p>
    <w:p w14:paraId="3777B20B"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XXXII. Protección de Datos Personales:</w:t>
      </w:r>
      <w:r w:rsidRPr="00714DCE">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05F624AB"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w:t>
      </w:r>
    </w:p>
    <w:p w14:paraId="4EE97156" w14:textId="77777777" w:rsidR="00682E5A" w:rsidRPr="00714DCE" w:rsidRDefault="005E0AE8" w:rsidP="00714DCE">
      <w:pPr>
        <w:ind w:left="851" w:right="851"/>
        <w:jc w:val="both"/>
        <w:rPr>
          <w:rFonts w:ascii="Palatino Linotype" w:eastAsia="Palatino Linotype" w:hAnsi="Palatino Linotype" w:cs="Palatino Linotype"/>
          <w:sz w:val="22"/>
          <w:szCs w:val="22"/>
        </w:rPr>
      </w:pPr>
      <w:r w:rsidRPr="00714DCE">
        <w:rPr>
          <w:rFonts w:ascii="Palatino Linotype" w:eastAsia="Palatino Linotype" w:hAnsi="Palatino Linotype" w:cs="Palatino Linotype"/>
          <w:b/>
          <w:i/>
          <w:sz w:val="22"/>
          <w:szCs w:val="22"/>
        </w:rPr>
        <w:t>XLV. Versión pública</w:t>
      </w:r>
      <w:r w:rsidRPr="00714DCE">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CADD970" w14:textId="77777777" w:rsidR="00682E5A" w:rsidRPr="00714DCE" w:rsidRDefault="005E0AE8" w:rsidP="00714DCE">
      <w:pPr>
        <w:ind w:left="851" w:right="851"/>
        <w:jc w:val="both"/>
        <w:rPr>
          <w:rFonts w:ascii="Palatino Linotype" w:eastAsia="Palatino Linotype" w:hAnsi="Palatino Linotype" w:cs="Palatino Linotype"/>
          <w:sz w:val="22"/>
          <w:szCs w:val="22"/>
        </w:rPr>
      </w:pPr>
      <w:r w:rsidRPr="00714DCE">
        <w:rPr>
          <w:rFonts w:ascii="Palatino Linotype" w:eastAsia="Palatino Linotype" w:hAnsi="Palatino Linotype" w:cs="Palatino Linotype"/>
          <w:b/>
          <w:i/>
          <w:sz w:val="22"/>
          <w:szCs w:val="22"/>
        </w:rPr>
        <w:t> Artículo 6.</w:t>
      </w:r>
      <w:r w:rsidRPr="00714DCE">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47B9EC9"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 </w:t>
      </w:r>
      <w:r w:rsidRPr="00714DCE">
        <w:rPr>
          <w:rFonts w:ascii="Palatino Linotype" w:eastAsia="Palatino Linotype" w:hAnsi="Palatino Linotype" w:cs="Palatino Linotype"/>
          <w:b/>
          <w:i/>
          <w:sz w:val="22"/>
          <w:szCs w:val="22"/>
        </w:rPr>
        <w:t>Artículo 49.</w:t>
      </w:r>
      <w:r w:rsidRPr="00714DCE">
        <w:rPr>
          <w:rFonts w:ascii="Palatino Linotype" w:eastAsia="Palatino Linotype" w:hAnsi="Palatino Linotype" w:cs="Palatino Linotype"/>
          <w:i/>
          <w:sz w:val="22"/>
          <w:szCs w:val="22"/>
        </w:rPr>
        <w:t> Los Comités de Transparencia tendrán las siguientes atribuciones:</w:t>
      </w:r>
    </w:p>
    <w:p w14:paraId="75878405"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w:t>
      </w:r>
    </w:p>
    <w:p w14:paraId="6AE0AF72"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VIII</w:t>
      </w:r>
      <w:r w:rsidRPr="00714DCE">
        <w:rPr>
          <w:rFonts w:ascii="Palatino Linotype" w:eastAsia="Palatino Linotype" w:hAnsi="Palatino Linotype" w:cs="Palatino Linotype"/>
          <w:i/>
          <w:sz w:val="22"/>
          <w:szCs w:val="22"/>
        </w:rPr>
        <w:t>. Aprobar, modificar o revocar la clasificación de la información;</w:t>
      </w:r>
    </w:p>
    <w:p w14:paraId="48B79D87"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w:t>
      </w:r>
    </w:p>
    <w:p w14:paraId="47231A49"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 xml:space="preserve">Artículo 91. </w:t>
      </w:r>
      <w:r w:rsidRPr="00714DCE">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28B43EFC"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w:t>
      </w:r>
    </w:p>
    <w:p w14:paraId="25E10292" w14:textId="77777777" w:rsidR="00682E5A" w:rsidRPr="00714DCE" w:rsidRDefault="005E0AE8" w:rsidP="00714DCE">
      <w:pPr>
        <w:ind w:left="851" w:right="851"/>
        <w:jc w:val="both"/>
        <w:rPr>
          <w:rFonts w:ascii="Palatino Linotype" w:eastAsia="Palatino Linotype" w:hAnsi="Palatino Linotype" w:cs="Palatino Linotype"/>
          <w:sz w:val="22"/>
          <w:szCs w:val="22"/>
        </w:rPr>
      </w:pPr>
      <w:r w:rsidRPr="00714DCE">
        <w:rPr>
          <w:rFonts w:ascii="Palatino Linotype" w:eastAsia="Palatino Linotype" w:hAnsi="Palatino Linotype" w:cs="Palatino Linotype"/>
          <w:b/>
          <w:i/>
          <w:sz w:val="22"/>
          <w:szCs w:val="22"/>
        </w:rPr>
        <w:t>Artículo 137</w:t>
      </w:r>
      <w:r w:rsidRPr="00714DCE">
        <w:rPr>
          <w:rFonts w:ascii="Palatino Linotype" w:eastAsia="Palatino Linotype" w:hAnsi="Palatino Linotype" w:cs="Palatino Linotype"/>
          <w:i/>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42C5748" w14:textId="77777777" w:rsidR="00682E5A" w:rsidRPr="00714DCE" w:rsidRDefault="00682E5A" w:rsidP="00714DCE">
      <w:pPr>
        <w:ind w:left="851" w:right="851"/>
        <w:jc w:val="both"/>
        <w:rPr>
          <w:rFonts w:ascii="Palatino Linotype" w:eastAsia="Palatino Linotype" w:hAnsi="Palatino Linotype" w:cs="Palatino Linotype"/>
          <w:b/>
          <w:i/>
          <w:sz w:val="22"/>
          <w:szCs w:val="22"/>
        </w:rPr>
      </w:pPr>
    </w:p>
    <w:p w14:paraId="741D407E" w14:textId="77777777" w:rsidR="00682E5A" w:rsidRPr="00714DCE" w:rsidRDefault="005E0AE8" w:rsidP="00714DCE">
      <w:pPr>
        <w:ind w:left="851" w:right="851"/>
        <w:jc w:val="both"/>
        <w:rPr>
          <w:rFonts w:ascii="Palatino Linotype" w:eastAsia="Palatino Linotype" w:hAnsi="Palatino Linotype" w:cs="Palatino Linotype"/>
          <w:sz w:val="22"/>
          <w:szCs w:val="22"/>
        </w:rPr>
      </w:pPr>
      <w:r w:rsidRPr="00714DCE">
        <w:rPr>
          <w:rFonts w:ascii="Palatino Linotype" w:eastAsia="Palatino Linotype" w:hAnsi="Palatino Linotype" w:cs="Palatino Linotype"/>
          <w:b/>
          <w:i/>
          <w:sz w:val="22"/>
          <w:szCs w:val="22"/>
        </w:rPr>
        <w:lastRenderedPageBreak/>
        <w:t>Artículo 143</w:t>
      </w:r>
      <w:r w:rsidRPr="00714DC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1400BB9"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310E8C0E" w14:textId="77777777" w:rsidR="00682E5A" w:rsidRPr="00714DCE" w:rsidRDefault="00682E5A" w:rsidP="00714DCE">
      <w:pPr>
        <w:ind w:left="851" w:right="851"/>
        <w:jc w:val="both"/>
        <w:rPr>
          <w:rFonts w:ascii="Palatino Linotype" w:eastAsia="Palatino Linotype" w:hAnsi="Palatino Linotype" w:cs="Palatino Linotype"/>
          <w:sz w:val="22"/>
          <w:szCs w:val="22"/>
        </w:rPr>
      </w:pPr>
    </w:p>
    <w:p w14:paraId="161FB261" w14:textId="77777777" w:rsidR="00682E5A" w:rsidRPr="00714DCE" w:rsidRDefault="005E0AE8" w:rsidP="00714DCE">
      <w:pPr>
        <w:spacing w:before="240" w:after="240" w:line="360" w:lineRule="auto"/>
        <w:ind w:right="50"/>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xml:space="preserve"> deberá proceder a testar los datos personales que se encuentre contenidos en los documentos a entregar por parte del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xml:space="preserve"> para satisfacer el derecho de acceso a la información pública del </w:t>
      </w:r>
      <w:r w:rsidRPr="00714DCE">
        <w:rPr>
          <w:rFonts w:ascii="Palatino Linotype" w:eastAsia="Palatino Linotype" w:hAnsi="Palatino Linotype" w:cs="Palatino Linotype"/>
          <w:b/>
        </w:rPr>
        <w:t>RECURRENTE</w:t>
      </w:r>
      <w:r w:rsidRPr="00714DCE">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Sujetos Obligados del Estado de México.</w:t>
      </w:r>
    </w:p>
    <w:p w14:paraId="590AFD0B" w14:textId="77777777" w:rsidR="00682E5A" w:rsidRPr="00714DCE" w:rsidRDefault="005E0AE8" w:rsidP="00714DCE">
      <w:pPr>
        <w:spacing w:before="240" w:after="240" w:line="360" w:lineRule="auto"/>
        <w:ind w:right="50"/>
        <w:jc w:val="both"/>
        <w:rPr>
          <w:rFonts w:ascii="Palatino Linotype" w:eastAsia="Palatino Linotype" w:hAnsi="Palatino Linotype" w:cs="Palatino Linotype"/>
        </w:rPr>
      </w:pPr>
      <w:r w:rsidRPr="00714DCE">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59A659E" w14:textId="77777777" w:rsidR="00682E5A" w:rsidRPr="00714DCE" w:rsidRDefault="005E0AE8" w:rsidP="00714DCE">
      <w:pPr>
        <w:spacing w:before="240" w:after="240" w:line="360" w:lineRule="auto"/>
        <w:ind w:right="50"/>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Al respecto es de señalar que la clasificación de la información no opera con la simple supresión de datos que se haga en los documentos de que se trate o con la </w:t>
      </w:r>
      <w:r w:rsidRPr="00714DCE">
        <w:rPr>
          <w:rFonts w:ascii="Palatino Linotype" w:eastAsia="Palatino Linotype" w:hAnsi="Palatino Linotype" w:cs="Palatino Linotype"/>
        </w:rPr>
        <w:lastRenderedPageBreak/>
        <w:t xml:space="preserve">simple decisión que tome el Servidor Público Habilitado o el Responsable de la Unidad de Transparencia del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5F3910F9"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“Artículo 49.</w:t>
      </w:r>
      <w:r w:rsidRPr="00714DCE">
        <w:rPr>
          <w:rFonts w:ascii="Palatino Linotype" w:eastAsia="Palatino Linotype" w:hAnsi="Palatino Linotype" w:cs="Palatino Linotype"/>
          <w:i/>
          <w:sz w:val="22"/>
          <w:szCs w:val="22"/>
        </w:rPr>
        <w:t xml:space="preserve"> </w:t>
      </w:r>
      <w:r w:rsidRPr="00714DCE">
        <w:rPr>
          <w:rFonts w:ascii="Palatino Linotype" w:eastAsia="Palatino Linotype" w:hAnsi="Palatino Linotype" w:cs="Palatino Linotype"/>
          <w:b/>
          <w:i/>
          <w:sz w:val="22"/>
          <w:szCs w:val="22"/>
        </w:rPr>
        <w:t>Los Comités de Transparencia</w:t>
      </w:r>
      <w:r w:rsidRPr="00714DCE">
        <w:rPr>
          <w:rFonts w:ascii="Palatino Linotype" w:eastAsia="Palatino Linotype" w:hAnsi="Palatino Linotype" w:cs="Palatino Linotype"/>
          <w:i/>
          <w:sz w:val="22"/>
          <w:szCs w:val="22"/>
        </w:rPr>
        <w:t xml:space="preserve"> tendrán las siguientes atribuciones:</w:t>
      </w:r>
    </w:p>
    <w:p w14:paraId="2B4D119A" w14:textId="77777777" w:rsidR="00682E5A" w:rsidRPr="00714DCE" w:rsidRDefault="00682E5A" w:rsidP="00714DCE">
      <w:pPr>
        <w:ind w:left="851" w:right="851"/>
        <w:jc w:val="both"/>
        <w:rPr>
          <w:rFonts w:ascii="Palatino Linotype" w:eastAsia="Palatino Linotype" w:hAnsi="Palatino Linotype" w:cs="Palatino Linotype"/>
          <w:i/>
          <w:sz w:val="22"/>
          <w:szCs w:val="22"/>
        </w:rPr>
      </w:pPr>
    </w:p>
    <w:p w14:paraId="46A8FF10"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VIII. Aprobar, modificar o revocar la clasificación de la información</w:t>
      </w:r>
      <w:r w:rsidRPr="00714DCE">
        <w:rPr>
          <w:rFonts w:ascii="Palatino Linotype" w:eastAsia="Palatino Linotype" w:hAnsi="Palatino Linotype" w:cs="Palatino Linotype"/>
          <w:i/>
          <w:sz w:val="22"/>
          <w:szCs w:val="22"/>
        </w:rPr>
        <w:t>…”</w:t>
      </w:r>
    </w:p>
    <w:p w14:paraId="5C4DD28A" w14:textId="77777777" w:rsidR="00682E5A" w:rsidRPr="00714DCE" w:rsidRDefault="00682E5A" w:rsidP="00714DCE">
      <w:pPr>
        <w:ind w:left="851" w:right="851"/>
        <w:jc w:val="both"/>
        <w:rPr>
          <w:rFonts w:ascii="Palatino Linotype" w:eastAsia="Palatino Linotype" w:hAnsi="Palatino Linotype" w:cs="Palatino Linotype"/>
          <w:b/>
          <w:i/>
          <w:sz w:val="22"/>
          <w:szCs w:val="22"/>
        </w:rPr>
      </w:pPr>
    </w:p>
    <w:p w14:paraId="3092EE25"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w:t>
      </w:r>
      <w:r w:rsidRPr="00714DCE">
        <w:rPr>
          <w:rFonts w:ascii="Palatino Linotype" w:eastAsia="Palatino Linotype" w:hAnsi="Palatino Linotype" w:cs="Palatino Linotype"/>
          <w:b/>
          <w:i/>
          <w:sz w:val="22"/>
          <w:szCs w:val="22"/>
        </w:rPr>
        <w:t>Artículo 53.</w:t>
      </w:r>
      <w:r w:rsidRPr="00714DCE">
        <w:rPr>
          <w:rFonts w:ascii="Palatino Linotype" w:eastAsia="Palatino Linotype" w:hAnsi="Palatino Linotype" w:cs="Palatino Linotype"/>
          <w:i/>
          <w:sz w:val="22"/>
          <w:szCs w:val="22"/>
        </w:rPr>
        <w:t xml:space="preserve"> Las </w:t>
      </w:r>
      <w:r w:rsidRPr="00714DCE">
        <w:rPr>
          <w:rFonts w:ascii="Palatino Linotype" w:eastAsia="Palatino Linotype" w:hAnsi="Palatino Linotype" w:cs="Palatino Linotype"/>
          <w:b/>
          <w:i/>
          <w:sz w:val="22"/>
          <w:szCs w:val="22"/>
        </w:rPr>
        <w:t>Unidades de Transparencia</w:t>
      </w:r>
      <w:r w:rsidRPr="00714DCE">
        <w:rPr>
          <w:rFonts w:ascii="Palatino Linotype" w:eastAsia="Palatino Linotype" w:hAnsi="Palatino Linotype" w:cs="Palatino Linotype"/>
          <w:i/>
          <w:sz w:val="22"/>
          <w:szCs w:val="22"/>
        </w:rPr>
        <w:t xml:space="preserve"> tendrán las siguientes </w:t>
      </w:r>
      <w:r w:rsidRPr="00714DCE">
        <w:rPr>
          <w:rFonts w:ascii="Palatino Linotype" w:eastAsia="Palatino Linotype" w:hAnsi="Palatino Linotype" w:cs="Palatino Linotype"/>
          <w:b/>
          <w:i/>
          <w:sz w:val="22"/>
          <w:szCs w:val="22"/>
        </w:rPr>
        <w:t>funciones</w:t>
      </w:r>
      <w:r w:rsidRPr="00714DCE">
        <w:rPr>
          <w:rFonts w:ascii="Palatino Linotype" w:eastAsia="Palatino Linotype" w:hAnsi="Palatino Linotype" w:cs="Palatino Linotype"/>
          <w:i/>
          <w:sz w:val="22"/>
          <w:szCs w:val="22"/>
        </w:rPr>
        <w:t>:</w:t>
      </w:r>
    </w:p>
    <w:p w14:paraId="0FC6DE81" w14:textId="77777777" w:rsidR="00682E5A" w:rsidRPr="00714DCE" w:rsidRDefault="00682E5A" w:rsidP="00714DCE">
      <w:pPr>
        <w:ind w:left="851" w:right="851"/>
        <w:jc w:val="both"/>
        <w:rPr>
          <w:rFonts w:ascii="Palatino Linotype" w:eastAsia="Palatino Linotype" w:hAnsi="Palatino Linotype" w:cs="Palatino Linotype"/>
          <w:i/>
          <w:sz w:val="22"/>
          <w:szCs w:val="22"/>
        </w:rPr>
      </w:pPr>
    </w:p>
    <w:p w14:paraId="5B52C544"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X. Presentar ante el Comité, el proyecto de clasificación de información</w:t>
      </w:r>
      <w:r w:rsidRPr="00714DCE">
        <w:rPr>
          <w:rFonts w:ascii="Palatino Linotype" w:eastAsia="Palatino Linotype" w:hAnsi="Palatino Linotype" w:cs="Palatino Linotype"/>
          <w:i/>
          <w:sz w:val="22"/>
          <w:szCs w:val="22"/>
        </w:rPr>
        <w:t xml:space="preserve">…” </w:t>
      </w:r>
    </w:p>
    <w:p w14:paraId="1166A9B5" w14:textId="77777777" w:rsidR="00682E5A" w:rsidRPr="00714DCE" w:rsidRDefault="00682E5A" w:rsidP="00714DCE">
      <w:pPr>
        <w:ind w:left="851" w:right="851"/>
        <w:jc w:val="both"/>
        <w:rPr>
          <w:rFonts w:ascii="Palatino Linotype" w:eastAsia="Palatino Linotype" w:hAnsi="Palatino Linotype" w:cs="Palatino Linotype"/>
          <w:i/>
          <w:sz w:val="22"/>
          <w:szCs w:val="22"/>
        </w:rPr>
      </w:pPr>
    </w:p>
    <w:p w14:paraId="2A893CBA"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“Artículo 59.</w:t>
      </w:r>
      <w:r w:rsidRPr="00714DCE">
        <w:rPr>
          <w:rFonts w:ascii="Palatino Linotype" w:eastAsia="Palatino Linotype" w:hAnsi="Palatino Linotype" w:cs="Palatino Linotype"/>
          <w:i/>
          <w:sz w:val="22"/>
          <w:szCs w:val="22"/>
        </w:rPr>
        <w:t xml:space="preserve"> Los </w:t>
      </w:r>
      <w:r w:rsidRPr="00714DCE">
        <w:rPr>
          <w:rFonts w:ascii="Palatino Linotype" w:eastAsia="Palatino Linotype" w:hAnsi="Palatino Linotype" w:cs="Palatino Linotype"/>
          <w:b/>
          <w:i/>
          <w:sz w:val="22"/>
          <w:szCs w:val="22"/>
        </w:rPr>
        <w:t>servidores públicos habilitados</w:t>
      </w:r>
      <w:r w:rsidRPr="00714DCE">
        <w:rPr>
          <w:rFonts w:ascii="Palatino Linotype" w:eastAsia="Palatino Linotype" w:hAnsi="Palatino Linotype" w:cs="Palatino Linotype"/>
          <w:i/>
          <w:sz w:val="22"/>
          <w:szCs w:val="22"/>
        </w:rPr>
        <w:t xml:space="preserve"> tendrán las </w:t>
      </w:r>
      <w:r w:rsidRPr="00714DCE">
        <w:rPr>
          <w:rFonts w:ascii="Palatino Linotype" w:eastAsia="Palatino Linotype" w:hAnsi="Palatino Linotype" w:cs="Palatino Linotype"/>
          <w:b/>
          <w:i/>
          <w:sz w:val="22"/>
          <w:szCs w:val="22"/>
        </w:rPr>
        <w:t>funciones</w:t>
      </w:r>
      <w:r w:rsidRPr="00714DCE">
        <w:rPr>
          <w:rFonts w:ascii="Palatino Linotype" w:eastAsia="Palatino Linotype" w:hAnsi="Palatino Linotype" w:cs="Palatino Linotype"/>
          <w:i/>
          <w:sz w:val="22"/>
          <w:szCs w:val="22"/>
        </w:rPr>
        <w:t xml:space="preserve"> siguientes:</w:t>
      </w:r>
    </w:p>
    <w:p w14:paraId="6DEB7958" w14:textId="77777777" w:rsidR="00682E5A" w:rsidRPr="00714DCE" w:rsidRDefault="00682E5A" w:rsidP="00714DCE">
      <w:pPr>
        <w:ind w:left="851" w:right="851"/>
        <w:jc w:val="both"/>
        <w:rPr>
          <w:rFonts w:ascii="Palatino Linotype" w:eastAsia="Palatino Linotype" w:hAnsi="Palatino Linotype" w:cs="Palatino Linotype"/>
          <w:b/>
          <w:i/>
          <w:sz w:val="22"/>
          <w:szCs w:val="22"/>
        </w:rPr>
      </w:pPr>
    </w:p>
    <w:p w14:paraId="7D9B13A2"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714DCE">
        <w:rPr>
          <w:rFonts w:ascii="Palatino Linotype" w:eastAsia="Palatino Linotype" w:hAnsi="Palatino Linotype" w:cs="Palatino Linotype"/>
          <w:i/>
          <w:sz w:val="22"/>
          <w:szCs w:val="22"/>
        </w:rPr>
        <w:t>, la cual tendrá los fundamentos y argumentos en que se basa dicha propuesta…”</w:t>
      </w:r>
    </w:p>
    <w:p w14:paraId="414D38FE" w14:textId="77777777" w:rsidR="00682E5A" w:rsidRPr="00714DCE" w:rsidRDefault="00682E5A" w:rsidP="00714DCE">
      <w:pPr>
        <w:ind w:left="851" w:right="851"/>
        <w:jc w:val="both"/>
        <w:rPr>
          <w:rFonts w:ascii="Palatino Linotype" w:eastAsia="Palatino Linotype" w:hAnsi="Palatino Linotype" w:cs="Palatino Linotype"/>
          <w:i/>
          <w:sz w:val="22"/>
          <w:szCs w:val="22"/>
        </w:rPr>
      </w:pPr>
    </w:p>
    <w:p w14:paraId="4A904DF3"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D0B4FC7"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cuyo contenido es de la literalidad siguiente:</w:t>
      </w:r>
    </w:p>
    <w:p w14:paraId="5600395E" w14:textId="77777777" w:rsidR="00682E5A" w:rsidRPr="00714DCE" w:rsidRDefault="005E0AE8" w:rsidP="00714DCE">
      <w:pPr>
        <w:spacing w:before="240" w:after="240"/>
        <w:ind w:left="993" w:right="104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i/>
          <w:sz w:val="22"/>
          <w:szCs w:val="22"/>
        </w:rPr>
        <w:t>“</w:t>
      </w:r>
      <w:r w:rsidRPr="00714DCE">
        <w:rPr>
          <w:rFonts w:ascii="Palatino Linotype" w:eastAsia="Palatino Linotype" w:hAnsi="Palatino Linotype" w:cs="Palatino Linotype"/>
          <w:b/>
          <w:i/>
          <w:sz w:val="22"/>
          <w:szCs w:val="22"/>
        </w:rPr>
        <w:t>Artículo 149.</w:t>
      </w:r>
      <w:r w:rsidRPr="00714DCE">
        <w:rPr>
          <w:rFonts w:ascii="Palatino Linotype" w:eastAsia="Palatino Linotype" w:hAnsi="Palatino Linotype" w:cs="Palatino Linotype"/>
          <w:i/>
          <w:sz w:val="22"/>
          <w:szCs w:val="22"/>
        </w:rPr>
        <w:t xml:space="preserve"> El </w:t>
      </w:r>
      <w:r w:rsidRPr="00714DCE">
        <w:rPr>
          <w:rFonts w:ascii="Palatino Linotype" w:eastAsia="Palatino Linotype" w:hAnsi="Palatino Linotype" w:cs="Palatino Linotype"/>
          <w:b/>
          <w:i/>
          <w:sz w:val="22"/>
          <w:szCs w:val="22"/>
        </w:rPr>
        <w:t>acuerdo que clasifique la información como confidencial</w:t>
      </w:r>
      <w:r w:rsidRPr="00714DCE">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61A5AE34" w14:textId="77777777" w:rsidR="00682E5A" w:rsidRPr="00714DCE" w:rsidRDefault="005E0AE8" w:rsidP="00714DCE">
      <w:pPr>
        <w:spacing w:before="240" w:after="240" w:line="360" w:lineRule="auto"/>
        <w:ind w:right="49"/>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Es decir, el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2C18DFAD" w14:textId="77777777" w:rsidR="00682E5A" w:rsidRPr="00714DCE" w:rsidRDefault="005E0AE8" w:rsidP="00714DCE">
      <w:pPr>
        <w:spacing w:before="240" w:after="240" w:line="360" w:lineRule="auto"/>
        <w:ind w:right="49"/>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En el caso específico, los documentos probatorios que acreditan el nivel de estudios como el título profesional y la cédula profesional, y el currículum vite o solicitud de empleo, si bien tienen el carácter información pública en razón de que se trata de documentos que se encuentran en posesión del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los servidores, que de hacerse públicos afectarían su intimidad y vida privada; es por ello que es criterio reiterado en las resoluciones de este Pleno que además de los datos especificados en </w:t>
      </w:r>
      <w:r w:rsidRPr="00714DCE">
        <w:rPr>
          <w:rFonts w:ascii="Palatino Linotype" w:eastAsia="Palatino Linotype" w:hAnsi="Palatino Linotype" w:cs="Palatino Linotype"/>
        </w:rPr>
        <w:lastRenderedPageBreak/>
        <w:t xml:space="preserve">la Ley de Transparencia y Acceso a la Información Pública del Estado de México y Municipios, se consideran confidenciales y por tanto deben testarse al momento de la elaboración de versiones públicas el </w:t>
      </w:r>
      <w:r w:rsidRPr="00714DCE">
        <w:rPr>
          <w:rFonts w:ascii="Palatino Linotype" w:eastAsia="Palatino Linotype" w:hAnsi="Palatino Linotype" w:cs="Palatino Linotype"/>
          <w:b/>
        </w:rPr>
        <w:t>Registro Federal de Contribuyentes</w:t>
      </w:r>
      <w:r w:rsidRPr="00714DCE">
        <w:rPr>
          <w:rFonts w:ascii="Palatino Linotype" w:eastAsia="Palatino Linotype" w:hAnsi="Palatino Linotype" w:cs="Palatino Linotype"/>
        </w:rPr>
        <w:t xml:space="preserve"> (RFC), la </w:t>
      </w:r>
      <w:r w:rsidRPr="00714DCE">
        <w:rPr>
          <w:rFonts w:ascii="Palatino Linotype" w:eastAsia="Palatino Linotype" w:hAnsi="Palatino Linotype" w:cs="Palatino Linotype"/>
          <w:b/>
        </w:rPr>
        <w:t>Clave Única de Registro de Población</w:t>
      </w:r>
      <w:r w:rsidRPr="00714DCE">
        <w:rPr>
          <w:rFonts w:ascii="Palatino Linotype" w:eastAsia="Palatino Linotype" w:hAnsi="Palatino Linotype" w:cs="Palatino Linotype"/>
        </w:rPr>
        <w:t xml:space="preserve"> (CURP), la </w:t>
      </w:r>
      <w:r w:rsidRPr="00714DCE">
        <w:rPr>
          <w:rFonts w:ascii="Palatino Linotype" w:eastAsia="Palatino Linotype" w:hAnsi="Palatino Linotype" w:cs="Palatino Linotype"/>
          <w:b/>
        </w:rPr>
        <w:t>Clave de cualquier tipo de seguridad social</w:t>
      </w:r>
      <w:r w:rsidRPr="00714DCE">
        <w:rPr>
          <w:rFonts w:ascii="Palatino Linotype" w:eastAsia="Palatino Linotype" w:hAnsi="Palatino Linotype" w:cs="Palatino Linotype"/>
        </w:rPr>
        <w:t xml:space="preserve"> (ISSEMYM, u otros).</w:t>
      </w:r>
    </w:p>
    <w:p w14:paraId="5149C112"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Por cuanto hace al </w:t>
      </w:r>
      <w:r w:rsidRPr="00714DCE">
        <w:rPr>
          <w:rFonts w:ascii="Palatino Linotype" w:eastAsia="Palatino Linotype" w:hAnsi="Palatino Linotype" w:cs="Palatino Linotype"/>
          <w:b/>
        </w:rPr>
        <w:t>Registro Federal de Contribuyentes, RFC,</w:t>
      </w:r>
      <w:r w:rsidRPr="00714DCE">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w:t>
      </w:r>
      <w:proofErr w:type="spellStart"/>
      <w:r w:rsidRPr="00714DCE">
        <w:rPr>
          <w:rFonts w:ascii="Palatino Linotype" w:eastAsia="Palatino Linotype" w:hAnsi="Palatino Linotype" w:cs="Palatino Linotype"/>
        </w:rPr>
        <w:t>homoclave</w:t>
      </w:r>
      <w:proofErr w:type="spellEnd"/>
      <w:r w:rsidRPr="00714DCE">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1580A57C"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35946A4" w14:textId="77777777" w:rsidR="00682E5A" w:rsidRPr="00714DCE" w:rsidRDefault="005E0AE8" w:rsidP="00714DCE">
      <w:pPr>
        <w:spacing w:before="240" w:after="240" w:line="360" w:lineRule="auto"/>
        <w:ind w:right="49"/>
        <w:jc w:val="both"/>
        <w:rPr>
          <w:rFonts w:ascii="Palatino Linotype" w:eastAsia="Palatino Linotype" w:hAnsi="Palatino Linotype" w:cs="Palatino Linotype"/>
        </w:rPr>
      </w:pPr>
      <w:r w:rsidRPr="00714DCE">
        <w:rPr>
          <w:rFonts w:ascii="Palatino Linotype" w:eastAsia="Palatino Linotype" w:hAnsi="Palatino Linotype" w:cs="Palatino Linotype"/>
        </w:rPr>
        <w:t>Lo anterior es compartido por el entonces Instituto Federal de Acceso a la Información Pública y Protección de Datos Personales (IFAI) a través del Criterio 19/17, el cual es del tenor literal siguiente:</w:t>
      </w:r>
    </w:p>
    <w:p w14:paraId="12F7A4B9" w14:textId="77777777" w:rsidR="00682E5A" w:rsidRPr="00714DCE" w:rsidRDefault="005E0AE8" w:rsidP="00714DCE">
      <w:pPr>
        <w:ind w:left="851" w:right="900"/>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“Registro Federal de Contribuyentes (RFC) de personas físicas</w:t>
      </w:r>
      <w:r w:rsidRPr="00714DCE">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417707F3" w14:textId="77777777" w:rsidR="00682E5A" w:rsidRPr="00714DCE" w:rsidRDefault="005E0AE8" w:rsidP="00714DC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714DCE">
        <w:rPr>
          <w:rFonts w:ascii="Palatino Linotype" w:eastAsia="Palatino Linotype" w:hAnsi="Palatino Linotype" w:cs="Palatino Linotype"/>
          <w:color w:val="000000"/>
        </w:rPr>
        <w:t xml:space="preserve">Así, el Registro Federal de Contribuyentes, RFC, se vincula al nombre de su titular y permite identificar la edad de la persona, su fecha de nacimiento, así como su </w:t>
      </w:r>
      <w:proofErr w:type="spellStart"/>
      <w:r w:rsidRPr="00714DCE">
        <w:rPr>
          <w:rFonts w:ascii="Palatino Linotype" w:eastAsia="Palatino Linotype" w:hAnsi="Palatino Linotype" w:cs="Palatino Linotype"/>
          <w:color w:val="000000"/>
        </w:rPr>
        <w:lastRenderedPageBreak/>
        <w:t>homoclave</w:t>
      </w:r>
      <w:proofErr w:type="spellEnd"/>
      <w:r w:rsidRPr="00714DCE">
        <w:rPr>
          <w:rFonts w:ascii="Palatino Linotype" w:eastAsia="Palatino Linotype" w:hAnsi="Palatino Linotype" w:cs="Palatino Linotype"/>
          <w:color w:val="000000"/>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0E78DEB4" w14:textId="77777777" w:rsidR="00682E5A" w:rsidRPr="00714DCE" w:rsidRDefault="005E0AE8" w:rsidP="00714DC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714DCE">
        <w:rPr>
          <w:rFonts w:ascii="Palatino Linotype" w:eastAsia="Palatino Linotype" w:hAnsi="Palatino Linotype" w:cs="Palatino Linotype"/>
          <w:color w:val="000000"/>
        </w:rPr>
        <w:t xml:space="preserve">De igual manera la </w:t>
      </w:r>
      <w:r w:rsidRPr="00714DCE">
        <w:rPr>
          <w:rFonts w:ascii="Palatino Linotype" w:eastAsia="Palatino Linotype" w:hAnsi="Palatino Linotype" w:cs="Palatino Linotype"/>
          <w:b/>
          <w:color w:val="000000"/>
        </w:rPr>
        <w:t>Clave Única de Registro de Población, CURP</w:t>
      </w:r>
      <w:r w:rsidRPr="00714DCE">
        <w:rPr>
          <w:rFonts w:ascii="Palatino Linotype" w:eastAsia="Palatino Linotype" w:hAnsi="Palatino Linotype" w:cs="Palatino Linotype"/>
          <w:color w:val="000000"/>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4E0468AC"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Argumento que es compartido por el Instituto Nacional de Transparencia, Acceso a la Información y Protección de Datos Personales, INAI</w:t>
      </w:r>
      <w:r w:rsidRPr="00714DCE">
        <w:rPr>
          <w:rFonts w:ascii="Palatino Linotype" w:eastAsia="Palatino Linotype" w:hAnsi="Palatino Linotype" w:cs="Palatino Linotype"/>
          <w:b/>
        </w:rPr>
        <w:t xml:space="preserve">, conforme al </w:t>
      </w:r>
      <w:r w:rsidRPr="00714DCE">
        <w:rPr>
          <w:rFonts w:ascii="Palatino Linotype" w:eastAsia="Palatino Linotype" w:hAnsi="Palatino Linotype" w:cs="Palatino Linotype"/>
        </w:rPr>
        <w:t xml:space="preserve">criterio 18/17, el cual refiere: </w:t>
      </w:r>
    </w:p>
    <w:p w14:paraId="1A305AB0"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 xml:space="preserve">“Clave Única de Registro de Población (CURP). </w:t>
      </w:r>
      <w:r w:rsidRPr="00714DCE">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C13E15C"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lastRenderedPageBreak/>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31B974F1"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Con base en lo expuesto, se insiste que los datos mencionados, que como se ha dicho, deben ser clasificados como confidenciales por tratarse de información privada, toda vez que los datos personales son irrenunciables, intransferibles e indelegables, por lo </w:t>
      </w:r>
      <w:proofErr w:type="gramStart"/>
      <w:r w:rsidRPr="00714DCE">
        <w:rPr>
          <w:rFonts w:ascii="Palatino Linotype" w:eastAsia="Palatino Linotype" w:hAnsi="Palatino Linotype" w:cs="Palatino Linotype"/>
        </w:rPr>
        <w:t>tanto</w:t>
      </w:r>
      <w:proofErr w:type="gramEnd"/>
      <w:r w:rsidRPr="00714DCE">
        <w:rPr>
          <w:rFonts w:ascii="Palatino Linotype" w:eastAsia="Palatino Linotype" w:hAnsi="Palatino Linotype" w:cs="Palatino Linotype"/>
        </w:rPr>
        <w:t xml:space="preserve"> los sujetos obligados no deben hacer entrega de éstos a persona ajena a su titular, sobre todo cuando traiga implícita que se ponga en riesgo la vida o integridad de una persona.</w:t>
      </w:r>
    </w:p>
    <w:p w14:paraId="32C81852"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Sirven de sustento a lo anterior, las tesis jurisprudenciales </w:t>
      </w:r>
      <w:r w:rsidRPr="00714DCE">
        <w:rPr>
          <w:rFonts w:ascii="Palatino Linotype" w:eastAsia="Palatino Linotype" w:hAnsi="Palatino Linotype" w:cs="Palatino Linotype"/>
          <w:i/>
        </w:rPr>
        <w:t xml:space="preserve">P. LX/2000 </w:t>
      </w:r>
      <w:r w:rsidRPr="00714DCE">
        <w:rPr>
          <w:rFonts w:ascii="Palatino Linotype" w:eastAsia="Palatino Linotype" w:hAnsi="Palatino Linotype" w:cs="Palatino Linotype"/>
        </w:rPr>
        <w:t xml:space="preserve">y </w:t>
      </w:r>
      <w:r w:rsidRPr="00714DCE">
        <w:rPr>
          <w:rFonts w:ascii="Palatino Linotype" w:eastAsia="Palatino Linotype" w:hAnsi="Palatino Linotype" w:cs="Palatino Linotype"/>
          <w:i/>
        </w:rPr>
        <w:t>2a. XLIII/2008</w:t>
      </w:r>
      <w:r w:rsidRPr="00714DCE">
        <w:rPr>
          <w:rFonts w:ascii="Palatino Linotype" w:eastAsia="Palatino Linotype" w:hAnsi="Palatino Linotype" w:cs="Palatino Linotype"/>
          <w:b/>
          <w:sz w:val="18"/>
          <w:szCs w:val="18"/>
        </w:rPr>
        <w:t xml:space="preserve"> </w:t>
      </w:r>
      <w:r w:rsidRPr="00714DCE">
        <w:rPr>
          <w:rFonts w:ascii="Palatino Linotype" w:eastAsia="Palatino Linotype" w:hAnsi="Palatino Linotype" w:cs="Palatino Linotype"/>
        </w:rPr>
        <w:t>emitidas por el Peno y la Segunda Sala de la Suprema Corte de Justicia de la Nación, respectivamente, que son del tenor literal siguiente:</w:t>
      </w:r>
    </w:p>
    <w:p w14:paraId="4159C24D"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714DCE">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w:t>
      </w:r>
      <w:r w:rsidRPr="00714DCE">
        <w:rPr>
          <w:rFonts w:ascii="Palatino Linotype" w:eastAsia="Palatino Linotype" w:hAnsi="Palatino Linotype" w:cs="Palatino Linotype"/>
          <w:i/>
          <w:sz w:val="22"/>
          <w:szCs w:val="22"/>
        </w:rPr>
        <w:lastRenderedPageBreak/>
        <w:t xml:space="preserve">que, por un lado, </w:t>
      </w:r>
      <w:r w:rsidRPr="00714DCE">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714DCE">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714DCE">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sidRPr="00714DCE">
        <w:rPr>
          <w:rFonts w:ascii="Palatino Linotype" w:eastAsia="Palatino Linotype" w:hAnsi="Palatino Linotype" w:cs="Palatino Linotype"/>
          <w:i/>
          <w:sz w:val="22"/>
          <w:szCs w:val="22"/>
        </w:rPr>
        <w:t>.”</w:t>
      </w:r>
    </w:p>
    <w:p w14:paraId="2B7FECE0" w14:textId="77777777" w:rsidR="00682E5A" w:rsidRPr="00714DCE" w:rsidRDefault="005E0AE8" w:rsidP="00714DCE">
      <w:pPr>
        <w:ind w:left="851" w:right="851"/>
        <w:jc w:val="both"/>
        <w:rPr>
          <w:rFonts w:ascii="Palatino Linotype" w:eastAsia="Palatino Linotype" w:hAnsi="Palatino Linotype" w:cs="Palatino Linotype"/>
          <w:i/>
          <w:sz w:val="22"/>
          <w:szCs w:val="22"/>
        </w:rPr>
      </w:pPr>
      <w:r w:rsidRPr="00714DCE">
        <w:rPr>
          <w:rFonts w:ascii="Palatino Linotype" w:eastAsia="Palatino Linotype" w:hAnsi="Palatino Linotype" w:cs="Palatino Linotype"/>
          <w:b/>
          <w:i/>
          <w:sz w:val="22"/>
          <w:szCs w:val="22"/>
        </w:rPr>
        <w:t xml:space="preserve">“TRANSPARENCIA Y ACCESO A LA INFORMACIÓN PÚBLICA GUBERNAMENTAL. EL ARTÍCULO 14, FRACCIÓN I, DE LA LEY FEDERAL RELATIVA, NO VIOLA LA GARANTÍA DE ACCESO A LA INFORMACIÓN. </w:t>
      </w:r>
      <w:r w:rsidRPr="00714DCE">
        <w:rPr>
          <w:rFonts w:ascii="Palatino Linotype" w:eastAsia="Palatino Linotype" w:hAnsi="Palatino Linotype" w:cs="Palatino Linotype"/>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714DCE">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714DCE">
        <w:rPr>
          <w:rFonts w:ascii="Palatino Linotype" w:eastAsia="Palatino Linotype" w:hAnsi="Palatino Linotype" w:cs="Palatino Linotype"/>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65AF0C3D" w14:textId="77777777" w:rsidR="00682E5A" w:rsidRPr="00714DCE" w:rsidRDefault="00682E5A" w:rsidP="00714DCE">
      <w:pPr>
        <w:ind w:left="851" w:right="851"/>
        <w:jc w:val="both"/>
        <w:rPr>
          <w:rFonts w:ascii="Palatino Linotype" w:eastAsia="Palatino Linotype" w:hAnsi="Palatino Linotype" w:cs="Palatino Linotype"/>
          <w:i/>
          <w:sz w:val="22"/>
          <w:szCs w:val="22"/>
        </w:rPr>
      </w:pPr>
    </w:p>
    <w:p w14:paraId="07756937"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 xml:space="preserve">Al respecto, se destaca que la versión pública que elabore el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xml:space="preserve"> debe cumplir con las formalidades exigidas en la Ley, por lo que para tal efecto </w:t>
      </w:r>
      <w:r w:rsidRPr="00714DCE">
        <w:rPr>
          <w:rFonts w:ascii="Palatino Linotype" w:eastAsia="Palatino Linotype" w:hAnsi="Palatino Linotype" w:cs="Palatino Linotype"/>
        </w:rPr>
        <w:lastRenderedPageBreak/>
        <w:t>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p>
    <w:p w14:paraId="3E52096B"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Efectivamente, cuando se clasifica información como confidencial o reservada es importante someterlo al Comité de Transparencia, quien debe confirmar, modificar o revocar la clasificación.</w:t>
      </w:r>
    </w:p>
    <w:p w14:paraId="6C402EAD" w14:textId="77777777" w:rsidR="00682E5A" w:rsidRPr="00714DCE" w:rsidRDefault="005E0AE8" w:rsidP="00714DCE">
      <w:pPr>
        <w:spacing w:before="240" w:after="240" w:line="360" w:lineRule="auto"/>
        <w:ind w:right="51"/>
        <w:jc w:val="both"/>
        <w:rPr>
          <w:rFonts w:ascii="Palatino Linotype" w:eastAsia="Palatino Linotype" w:hAnsi="Palatino Linotype" w:cs="Palatino Linotype"/>
        </w:rPr>
      </w:pPr>
      <w:r w:rsidRPr="00714DCE">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714DCE">
        <w:rPr>
          <w:rFonts w:ascii="Palatino Linotype" w:eastAsia="Palatino Linotype" w:hAnsi="Palatino Linotype" w:cs="Palatino Linotype"/>
          <w:b/>
        </w:rPr>
        <w:t>RECURRENTE</w:t>
      </w:r>
      <w:r w:rsidRPr="00714DCE">
        <w:rPr>
          <w:rFonts w:ascii="Palatino Linotype" w:eastAsia="Palatino Linotype" w:hAnsi="Palatino Linotype" w:cs="Palatino Linotype"/>
        </w:rPr>
        <w:t>.</w:t>
      </w:r>
    </w:p>
    <w:p w14:paraId="754B96C2"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lastRenderedPageBreak/>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6FE390AD" w14:textId="77777777" w:rsidR="00682E5A" w:rsidRPr="00714DCE" w:rsidRDefault="005E0AE8" w:rsidP="00714DCE">
      <w:pPr>
        <w:spacing w:before="240" w:after="240" w:line="360" w:lineRule="auto"/>
        <w:ind w:right="49"/>
        <w:jc w:val="both"/>
        <w:rPr>
          <w:rFonts w:ascii="Palatino Linotype" w:eastAsia="Palatino Linotype" w:hAnsi="Palatino Linotype" w:cs="Palatino Linotype"/>
        </w:rPr>
      </w:pPr>
      <w:r w:rsidRPr="00714DCE">
        <w:rPr>
          <w:rFonts w:ascii="Palatino Linotype" w:eastAsia="Palatino Linotype" w:hAnsi="Palatino Linotype" w:cs="Palatino Linotype"/>
        </w:rPr>
        <w:t>En mérito de lo mencionado con anterioridad, este Órgano Garante considera fundadas las razones o motivos de inconformidad que plantea el</w:t>
      </w:r>
      <w:r w:rsidRPr="00714DCE">
        <w:rPr>
          <w:rFonts w:ascii="Palatino Linotype" w:eastAsia="Palatino Linotype" w:hAnsi="Palatino Linotype" w:cs="Palatino Linotype"/>
          <w:b/>
        </w:rPr>
        <w:t xml:space="preserve"> RECURRENTE</w:t>
      </w:r>
      <w:r w:rsidRPr="00714DCE">
        <w:rPr>
          <w:rFonts w:ascii="Palatino Linotype" w:eastAsia="Palatino Linotype" w:hAnsi="Palatino Linotype" w:cs="Palatino Linotype"/>
        </w:rPr>
        <w:t xml:space="preserve">, de tal manera que se </w:t>
      </w:r>
      <w:r w:rsidRPr="00714DCE">
        <w:rPr>
          <w:rFonts w:ascii="Palatino Linotype" w:eastAsia="Palatino Linotype" w:hAnsi="Palatino Linotype" w:cs="Palatino Linotype"/>
          <w:b/>
        </w:rPr>
        <w:t>REVOCA</w:t>
      </w:r>
      <w:r w:rsidRPr="00714DCE">
        <w:rPr>
          <w:rFonts w:ascii="Palatino Linotype" w:eastAsia="Palatino Linotype" w:hAnsi="Palatino Linotype" w:cs="Palatino Linotype"/>
        </w:rPr>
        <w:t xml:space="preserve"> la respuesta del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w:t>
      </w:r>
    </w:p>
    <w:p w14:paraId="083234F6"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México y Municipios, este Pleno:</w:t>
      </w:r>
    </w:p>
    <w:p w14:paraId="09267B71" w14:textId="77777777" w:rsidR="00682E5A" w:rsidRPr="00714DCE" w:rsidRDefault="005E0AE8" w:rsidP="00714DCE">
      <w:pPr>
        <w:numPr>
          <w:ilvl w:val="0"/>
          <w:numId w:val="4"/>
        </w:numPr>
        <w:pBdr>
          <w:top w:val="nil"/>
          <w:left w:val="nil"/>
          <w:bottom w:val="nil"/>
          <w:right w:val="nil"/>
          <w:between w:val="nil"/>
        </w:pBdr>
        <w:spacing w:before="280" w:after="280" w:line="360" w:lineRule="auto"/>
        <w:jc w:val="center"/>
        <w:rPr>
          <w:rFonts w:ascii="Palatino Linotype" w:eastAsia="Palatino Linotype" w:hAnsi="Palatino Linotype" w:cs="Palatino Linotype"/>
          <w:b/>
          <w:color w:val="000000"/>
        </w:rPr>
      </w:pPr>
      <w:r w:rsidRPr="00714DCE">
        <w:rPr>
          <w:rFonts w:ascii="Palatino Linotype" w:eastAsia="Palatino Linotype" w:hAnsi="Palatino Linotype" w:cs="Palatino Linotype"/>
          <w:b/>
          <w:color w:val="000000"/>
        </w:rPr>
        <w:t>R E S U E L V E:</w:t>
      </w:r>
    </w:p>
    <w:p w14:paraId="245A48C3" w14:textId="77777777" w:rsidR="00682E5A" w:rsidRPr="00714DCE" w:rsidRDefault="005E0AE8" w:rsidP="00714DCE">
      <w:pPr>
        <w:spacing w:before="240" w:after="240" w:line="360" w:lineRule="auto"/>
        <w:jc w:val="both"/>
        <w:rPr>
          <w:rFonts w:ascii="Palatino Linotype" w:eastAsia="Palatino Linotype" w:hAnsi="Palatino Linotype" w:cs="Palatino Linotype"/>
        </w:rPr>
      </w:pPr>
      <w:bookmarkStart w:id="2" w:name="_heading=h.1fob9te" w:colFirst="0" w:colLast="0"/>
      <w:bookmarkEnd w:id="2"/>
      <w:r w:rsidRPr="00714DCE">
        <w:rPr>
          <w:rFonts w:ascii="Palatino Linotype" w:eastAsia="Palatino Linotype" w:hAnsi="Palatino Linotype" w:cs="Palatino Linotype"/>
          <w:b/>
        </w:rPr>
        <w:t xml:space="preserve">Primero. </w:t>
      </w:r>
      <w:r w:rsidRPr="00714DCE">
        <w:rPr>
          <w:rFonts w:ascii="Palatino Linotype" w:eastAsia="Palatino Linotype" w:hAnsi="Palatino Linotype" w:cs="Palatino Linotype"/>
        </w:rPr>
        <w:t xml:space="preserve">Son parcialmente fundados los motivos de inconformidad aducidos por </w:t>
      </w:r>
      <w:r w:rsidRPr="00714DCE">
        <w:rPr>
          <w:rFonts w:ascii="Palatino Linotype" w:eastAsia="Palatino Linotype" w:hAnsi="Palatino Linotype" w:cs="Palatino Linotype"/>
          <w:b/>
        </w:rPr>
        <w:t>el RECURRENTE</w:t>
      </w:r>
      <w:r w:rsidRPr="00714DCE">
        <w:rPr>
          <w:rFonts w:ascii="Palatino Linotype" w:eastAsia="Palatino Linotype" w:hAnsi="Palatino Linotype" w:cs="Palatino Linotype"/>
        </w:rPr>
        <w:t xml:space="preserve"> en el Recurso de Revisión </w:t>
      </w:r>
      <w:r w:rsidRPr="00714DCE">
        <w:rPr>
          <w:rFonts w:ascii="Palatino Linotype" w:eastAsia="Palatino Linotype" w:hAnsi="Palatino Linotype" w:cs="Palatino Linotype"/>
          <w:b/>
        </w:rPr>
        <w:t>05754/INFOEM/IP/RR/2021</w:t>
      </w:r>
      <w:r w:rsidRPr="00714DCE">
        <w:rPr>
          <w:rFonts w:ascii="Palatino Linotype" w:eastAsia="Palatino Linotype" w:hAnsi="Palatino Linotype" w:cs="Palatino Linotype"/>
        </w:rPr>
        <w:t xml:space="preserve">, en términos de los argumentos de derecho señalados en el </w:t>
      </w:r>
      <w:r w:rsidRPr="00714DCE">
        <w:rPr>
          <w:rFonts w:ascii="Palatino Linotype" w:eastAsia="Palatino Linotype" w:hAnsi="Palatino Linotype" w:cs="Palatino Linotype"/>
          <w:b/>
        </w:rPr>
        <w:t>Considerando Cuarto</w:t>
      </w:r>
      <w:r w:rsidRPr="00714DCE">
        <w:rPr>
          <w:rFonts w:ascii="Palatino Linotype" w:eastAsia="Palatino Linotype" w:hAnsi="Palatino Linotype" w:cs="Palatino Linotype"/>
        </w:rPr>
        <w:t xml:space="preserve">, por ende, se </w:t>
      </w:r>
      <w:r w:rsidR="001F74F3" w:rsidRPr="00714DCE">
        <w:rPr>
          <w:rFonts w:ascii="Palatino Linotype" w:eastAsia="Palatino Linotype" w:hAnsi="Palatino Linotype" w:cs="Palatino Linotype"/>
          <w:b/>
        </w:rPr>
        <w:t>REVOCA</w:t>
      </w:r>
      <w:r w:rsidRPr="00714DCE">
        <w:rPr>
          <w:rFonts w:ascii="Palatino Linotype" w:eastAsia="Palatino Linotype" w:hAnsi="Palatino Linotype" w:cs="Palatino Linotype"/>
          <w:b/>
        </w:rPr>
        <w:t xml:space="preserve"> </w:t>
      </w:r>
      <w:r w:rsidRPr="00714DCE">
        <w:rPr>
          <w:rFonts w:ascii="Palatino Linotype" w:eastAsia="Palatino Linotype" w:hAnsi="Palatino Linotype" w:cs="Palatino Linotype"/>
        </w:rPr>
        <w:t xml:space="preserve">la respuesta del </w:t>
      </w:r>
      <w:r w:rsidRPr="00714DCE">
        <w:rPr>
          <w:rFonts w:ascii="Palatino Linotype" w:eastAsia="Palatino Linotype" w:hAnsi="Palatino Linotype" w:cs="Palatino Linotype"/>
          <w:b/>
        </w:rPr>
        <w:t>SUJETO OBLIGADO.</w:t>
      </w:r>
    </w:p>
    <w:p w14:paraId="641A339F" w14:textId="6A2F1DA5" w:rsidR="00CD6910" w:rsidRDefault="005E0AE8" w:rsidP="00CD6910">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b/>
        </w:rPr>
        <w:lastRenderedPageBreak/>
        <w:t>Segundo.</w:t>
      </w:r>
      <w:r w:rsidRPr="00714DCE">
        <w:rPr>
          <w:rFonts w:ascii="Palatino Linotype" w:eastAsia="Palatino Linotype" w:hAnsi="Palatino Linotype" w:cs="Palatino Linotype"/>
        </w:rPr>
        <w:t xml:space="preserve"> Se</w:t>
      </w:r>
      <w:r w:rsidRPr="00714DCE">
        <w:rPr>
          <w:rFonts w:ascii="Palatino Linotype" w:eastAsia="Palatino Linotype" w:hAnsi="Palatino Linotype" w:cs="Palatino Linotype"/>
          <w:b/>
        </w:rPr>
        <w:t xml:space="preserve"> ORDENA </w:t>
      </w:r>
      <w:r w:rsidRPr="00714DCE">
        <w:rPr>
          <w:rFonts w:ascii="Palatino Linotype" w:eastAsia="Palatino Linotype" w:hAnsi="Palatino Linotype" w:cs="Palatino Linotype"/>
        </w:rPr>
        <w:t xml:space="preserve">al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xml:space="preserve"> en términos del </w:t>
      </w:r>
      <w:r w:rsidRPr="00714DCE">
        <w:rPr>
          <w:rFonts w:ascii="Palatino Linotype" w:eastAsia="Palatino Linotype" w:hAnsi="Palatino Linotype" w:cs="Palatino Linotype"/>
          <w:b/>
        </w:rPr>
        <w:t>Considerando Cuarto</w:t>
      </w:r>
      <w:r w:rsidRPr="00714DCE">
        <w:rPr>
          <w:rFonts w:ascii="Palatino Linotype" w:eastAsia="Palatino Linotype" w:hAnsi="Palatino Linotype" w:cs="Palatino Linotype"/>
        </w:rPr>
        <w:t>,</w:t>
      </w:r>
      <w:bookmarkStart w:id="3" w:name="_heading=h.3znysh7" w:colFirst="0" w:colLast="0"/>
      <w:bookmarkEnd w:id="3"/>
      <w:r w:rsidR="00CD6910" w:rsidRPr="006249EC">
        <w:rPr>
          <w:rFonts w:ascii="Palatino Linotype" w:eastAsia="Palatino Linotype" w:hAnsi="Palatino Linotype" w:cs="Palatino Linotype"/>
        </w:rPr>
        <w:t xml:space="preserve"> haga entrega de ser procedente en versión pública a través del SAIMEX, de lo siguiente:</w:t>
      </w:r>
    </w:p>
    <w:p w14:paraId="1F79D5AA" w14:textId="1526AFA0" w:rsidR="00682E5A" w:rsidRPr="00714DCE" w:rsidRDefault="00520E33" w:rsidP="00520E33">
      <w:pPr>
        <w:spacing w:before="240" w:after="240" w:line="360" w:lineRule="auto"/>
        <w:ind w:left="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 </w:t>
      </w:r>
      <w:r w:rsidR="005E0AE8" w:rsidRPr="00714DCE">
        <w:rPr>
          <w:rFonts w:ascii="Palatino Linotype" w:eastAsia="Palatino Linotype" w:hAnsi="Palatino Linotype" w:cs="Palatino Linotype"/>
          <w:i/>
          <w:color w:val="000000"/>
          <w:sz w:val="22"/>
          <w:szCs w:val="22"/>
        </w:rPr>
        <w:t>El Convenio de Sueldo, Prestaciones de Ley y Colaterales 2021, suscrito entre el Ayuntamiento de Naucalpan de Juárez y el Sindicato Único de Trabajadores de los Poderes, Municipios e Instituciones Descentralizadas del Estado de México (SUTEYM) sección Naucalpan o el que se encuentre vigente al dieciocho de octubre de dos mil veintiuno.</w:t>
      </w:r>
    </w:p>
    <w:p w14:paraId="2006A384" w14:textId="77777777" w:rsidR="00682E5A" w:rsidRPr="00714DCE" w:rsidRDefault="005E0AE8" w:rsidP="00714DCE">
      <w:pPr>
        <w:spacing w:before="240" w:after="240" w:line="360" w:lineRule="auto"/>
        <w:ind w:left="720"/>
        <w:jc w:val="both"/>
        <w:rPr>
          <w:rFonts w:ascii="Palatino Linotype" w:eastAsia="Palatino Linotype" w:hAnsi="Palatino Linotype" w:cs="Palatino Linotype"/>
          <w:sz w:val="23"/>
          <w:szCs w:val="23"/>
        </w:rPr>
      </w:pPr>
      <w:r w:rsidRPr="00714DCE">
        <w:rPr>
          <w:rFonts w:ascii="Palatino Linotype" w:eastAsia="Palatino Linotype" w:hAnsi="Palatino Linotype" w:cs="Palatino Linotype"/>
          <w:sz w:val="23"/>
          <w:szCs w:val="23"/>
        </w:rPr>
        <w:t xml:space="preserve">De ser necesaria la versión pública, el </w:t>
      </w:r>
      <w:r w:rsidRPr="00714DCE">
        <w:rPr>
          <w:rFonts w:ascii="Palatino Linotype" w:eastAsia="Palatino Linotype" w:hAnsi="Palatino Linotype" w:cs="Palatino Linotype"/>
          <w:b/>
          <w:sz w:val="23"/>
          <w:szCs w:val="23"/>
        </w:rPr>
        <w:t>SUJETO OBLIGADO</w:t>
      </w:r>
      <w:r w:rsidRPr="00714DCE">
        <w:rPr>
          <w:rFonts w:ascii="Palatino Linotype" w:eastAsia="Palatino Linotype" w:hAnsi="Palatino Linotype" w:cs="Palatino Linotype"/>
          <w:sz w:val="23"/>
          <w:szCs w:val="23"/>
        </w:rPr>
        <w:t xml:space="preserve"> deberá emitir el Acuerdo del Comité de Transparencia en términos del artículo 49 fracción VIII y 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w:t>
      </w:r>
      <w:r w:rsidRPr="00714DCE">
        <w:rPr>
          <w:rFonts w:ascii="Palatino Linotype" w:eastAsia="Palatino Linotype" w:hAnsi="Palatino Linotype" w:cs="Palatino Linotype"/>
          <w:b/>
        </w:rPr>
        <w:t>RECURRENTE</w:t>
      </w:r>
      <w:r w:rsidRPr="00714DCE">
        <w:rPr>
          <w:rFonts w:ascii="Palatino Linotype" w:eastAsia="Palatino Linotype" w:hAnsi="Palatino Linotype" w:cs="Palatino Linotype"/>
          <w:sz w:val="23"/>
          <w:szCs w:val="23"/>
        </w:rPr>
        <w:t>.</w:t>
      </w:r>
    </w:p>
    <w:p w14:paraId="39BBC0BE" w14:textId="77777777" w:rsidR="00682E5A" w:rsidRPr="00714DCE" w:rsidRDefault="005E0AE8" w:rsidP="00714DCE">
      <w:pPr>
        <w:spacing w:before="240" w:after="240" w:line="360" w:lineRule="auto"/>
        <w:ind w:right="49"/>
        <w:jc w:val="both"/>
        <w:rPr>
          <w:rFonts w:ascii="Palatino Linotype" w:eastAsia="Palatino Linotype" w:hAnsi="Palatino Linotype" w:cs="Palatino Linotype"/>
        </w:rPr>
      </w:pPr>
      <w:r w:rsidRPr="00714DCE">
        <w:rPr>
          <w:rFonts w:ascii="Palatino Linotype" w:eastAsia="Palatino Linotype" w:hAnsi="Palatino Linotype" w:cs="Palatino Linotype"/>
          <w:b/>
        </w:rPr>
        <w:t xml:space="preserve">Tercero. Notifíquese </w:t>
      </w:r>
      <w:r w:rsidRPr="00714DCE">
        <w:rPr>
          <w:rFonts w:ascii="Palatino Linotype" w:eastAsia="Palatino Linotype" w:hAnsi="Palatino Linotype" w:cs="Palatino Linotype"/>
        </w:rPr>
        <w:t>al Titular de la Unidad de Transparencia del</w:t>
      </w:r>
      <w:r w:rsidRPr="00714DCE">
        <w:rPr>
          <w:rFonts w:ascii="Palatino Linotype" w:eastAsia="Palatino Linotype" w:hAnsi="Palatino Linotype" w:cs="Palatino Linotype"/>
          <w:b/>
        </w:rPr>
        <w:t xml:space="preserve"> SUJETO OBLIGADO</w:t>
      </w:r>
      <w:r w:rsidRPr="00714DCE">
        <w:rPr>
          <w:rFonts w:ascii="Palatino Linotype" w:eastAsia="Palatino Linotype" w:hAnsi="Palatino Linotype" w:cs="Palatino Linotype"/>
        </w:rPr>
        <w:t>, la presente resolución para que conforme a los artículos 186 último párrafo y 189 párrafo segundo de la Ley de Transparencia y Acceso a la Información Pública del Estado de México y Municipios, dé cumplimiento a lo ordenado dentro del plazo de diez hábiles, debiendo informar a este Instituto en un plazo de tres días hábiles siguientes sobre el cumplimiento dado a la presente resolución.</w:t>
      </w:r>
    </w:p>
    <w:p w14:paraId="72DDFEEE" w14:textId="77777777" w:rsidR="00682E5A" w:rsidRPr="00714DCE" w:rsidRDefault="005E0AE8" w:rsidP="00714DCE">
      <w:pPr>
        <w:spacing w:before="240" w:after="240" w:line="360" w:lineRule="auto"/>
        <w:jc w:val="both"/>
        <w:rPr>
          <w:rFonts w:ascii="Palatino Linotype" w:eastAsia="Palatino Linotype" w:hAnsi="Palatino Linotype" w:cs="Palatino Linotype"/>
          <w:b/>
        </w:rPr>
      </w:pPr>
      <w:r w:rsidRPr="00714DCE">
        <w:rPr>
          <w:rFonts w:ascii="Palatino Linotype" w:eastAsia="Palatino Linotype" w:hAnsi="Palatino Linotype" w:cs="Palatino Linotype"/>
          <w:b/>
        </w:rPr>
        <w:t xml:space="preserve">Cuarto.  </w:t>
      </w:r>
      <w:r w:rsidRPr="00714DC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714DCE">
        <w:rPr>
          <w:rFonts w:ascii="Palatino Linotype" w:eastAsia="Palatino Linotype" w:hAnsi="Palatino Linotype" w:cs="Palatino Linotype"/>
        </w:rPr>
        <w:lastRenderedPageBreak/>
        <w:t xml:space="preserve">procedente, el </w:t>
      </w:r>
      <w:r w:rsidRPr="00714DCE">
        <w:rPr>
          <w:rFonts w:ascii="Palatino Linotype" w:eastAsia="Palatino Linotype" w:hAnsi="Palatino Linotype" w:cs="Palatino Linotype"/>
          <w:b/>
        </w:rPr>
        <w:t>SUJETO OBLIGADO</w:t>
      </w:r>
      <w:r w:rsidRPr="00714DCE">
        <w:rPr>
          <w:rFonts w:ascii="Palatino Linotype" w:eastAsia="Palatino Linotype" w:hAnsi="Palatino Linotype" w:cs="Palatino Linotype"/>
        </w:rPr>
        <w:t xml:space="preserve"> de manera fundada y motivada, podrá solicitar una ampliación de plazo para el cumplimiento de la presente resolución.</w:t>
      </w:r>
    </w:p>
    <w:p w14:paraId="4989DC5B" w14:textId="77777777" w:rsidR="00682E5A" w:rsidRPr="00714DCE" w:rsidRDefault="005E0AE8" w:rsidP="00714DCE">
      <w:pPr>
        <w:spacing w:before="240" w:after="240" w:line="360" w:lineRule="auto"/>
        <w:jc w:val="both"/>
        <w:rPr>
          <w:rFonts w:ascii="Palatino Linotype" w:eastAsia="Palatino Linotype" w:hAnsi="Palatino Linotype" w:cs="Palatino Linotype"/>
        </w:rPr>
      </w:pPr>
      <w:r w:rsidRPr="00714DCE">
        <w:rPr>
          <w:rFonts w:ascii="Palatino Linotype" w:eastAsia="Palatino Linotype" w:hAnsi="Palatino Linotype" w:cs="Palatino Linotype"/>
          <w:b/>
        </w:rPr>
        <w:t>Quinto. Notifíquese al RECURRENTE vía Sistema de Accesos a la información Mexiquense SAIMEX</w:t>
      </w:r>
      <w:r w:rsidRPr="00714DCE">
        <w:rPr>
          <w:rFonts w:ascii="Palatino Linotype" w:eastAsia="Palatino Linotype" w:hAnsi="Palatino Linotype" w:cs="Palatino Linotype"/>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48D77E7A" w14:textId="77777777" w:rsidR="00682E5A" w:rsidRDefault="005E0AE8" w:rsidP="00714DCE">
      <w:pPr>
        <w:tabs>
          <w:tab w:val="left" w:pos="709"/>
        </w:tabs>
        <w:spacing w:before="240" w:after="240" w:line="360" w:lineRule="auto"/>
        <w:jc w:val="both"/>
        <w:rPr>
          <w:rFonts w:ascii="Palatino Linotype" w:eastAsia="Palatino Linotype" w:hAnsi="Palatino Linotype" w:cs="Palatino Linotype"/>
        </w:rPr>
      </w:pPr>
      <w:bookmarkStart w:id="4" w:name="_heading=h.2et92p0" w:colFirst="0" w:colLast="0"/>
      <w:bookmarkEnd w:id="4"/>
      <w:r w:rsidRPr="00714DC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SÉPTIMA SESIÓN ORDINARIA CELEBRADA EL VEINTITRÉS DE FEBRERO DE DOS MIL VEINTIDÓS, ANTE EL SECRETARIO TÉCNICO DEL PLENO ALEXIS TAPIA RAMÍREZ.</w:t>
      </w:r>
      <w:r>
        <w:rPr>
          <w:rFonts w:ascii="Palatino Linotype" w:eastAsia="Palatino Linotype" w:hAnsi="Palatino Linotype" w:cs="Palatino Linotype"/>
        </w:rPr>
        <w:t xml:space="preserve"> </w:t>
      </w:r>
    </w:p>
    <w:p w14:paraId="0E1BEBFC" w14:textId="77777777" w:rsidR="00682E5A" w:rsidRDefault="00682E5A" w:rsidP="00714DCE">
      <w:pPr>
        <w:tabs>
          <w:tab w:val="left" w:pos="709"/>
        </w:tabs>
        <w:spacing w:before="240" w:after="240" w:line="360" w:lineRule="auto"/>
        <w:jc w:val="both"/>
        <w:rPr>
          <w:rFonts w:ascii="Palatino Linotype" w:eastAsia="Palatino Linotype" w:hAnsi="Palatino Linotype" w:cs="Palatino Linotype"/>
        </w:rPr>
      </w:pPr>
    </w:p>
    <w:p w14:paraId="6038D7F8" w14:textId="77777777" w:rsidR="00682E5A" w:rsidRDefault="00682E5A" w:rsidP="00714DCE">
      <w:pPr>
        <w:tabs>
          <w:tab w:val="left" w:pos="709"/>
        </w:tabs>
        <w:spacing w:before="240" w:after="240" w:line="360" w:lineRule="auto"/>
        <w:jc w:val="both"/>
        <w:rPr>
          <w:rFonts w:ascii="Palatino Linotype" w:eastAsia="Palatino Linotype" w:hAnsi="Palatino Linotype" w:cs="Palatino Linotype"/>
        </w:rPr>
      </w:pPr>
    </w:p>
    <w:p w14:paraId="7FC2327C" w14:textId="77777777" w:rsidR="00682E5A" w:rsidRDefault="00682E5A" w:rsidP="00714DCE">
      <w:pPr>
        <w:tabs>
          <w:tab w:val="left" w:pos="709"/>
        </w:tabs>
        <w:spacing w:before="240" w:after="240" w:line="360" w:lineRule="auto"/>
        <w:jc w:val="both"/>
        <w:rPr>
          <w:rFonts w:ascii="Palatino Linotype" w:eastAsia="Palatino Linotype" w:hAnsi="Palatino Linotype" w:cs="Palatino Linotype"/>
        </w:rPr>
      </w:pPr>
    </w:p>
    <w:p w14:paraId="5817C6BE" w14:textId="77777777" w:rsidR="00682E5A" w:rsidRDefault="00682E5A" w:rsidP="00714DCE">
      <w:pPr>
        <w:tabs>
          <w:tab w:val="left" w:pos="709"/>
        </w:tabs>
        <w:spacing w:before="240" w:after="240" w:line="360" w:lineRule="auto"/>
        <w:jc w:val="both"/>
        <w:rPr>
          <w:rFonts w:ascii="Palatino Linotype" w:eastAsia="Palatino Linotype" w:hAnsi="Palatino Linotype" w:cs="Palatino Linotype"/>
        </w:rPr>
      </w:pPr>
    </w:p>
    <w:p w14:paraId="23303F11" w14:textId="77777777" w:rsidR="00682E5A" w:rsidRDefault="00682E5A" w:rsidP="00714DCE">
      <w:pPr>
        <w:tabs>
          <w:tab w:val="left" w:pos="709"/>
        </w:tabs>
        <w:spacing w:before="240" w:after="240" w:line="360" w:lineRule="auto"/>
        <w:jc w:val="both"/>
        <w:rPr>
          <w:rFonts w:ascii="Palatino Linotype" w:eastAsia="Palatino Linotype" w:hAnsi="Palatino Linotype" w:cs="Palatino Linotype"/>
        </w:rPr>
      </w:pPr>
    </w:p>
    <w:p w14:paraId="0CF03310" w14:textId="77777777" w:rsidR="00682E5A" w:rsidRDefault="00682E5A" w:rsidP="00714DCE">
      <w:pPr>
        <w:tabs>
          <w:tab w:val="left" w:pos="709"/>
        </w:tabs>
        <w:spacing w:before="240" w:after="240" w:line="360" w:lineRule="auto"/>
        <w:jc w:val="both"/>
        <w:rPr>
          <w:rFonts w:ascii="Palatino Linotype" w:eastAsia="Palatino Linotype" w:hAnsi="Palatino Linotype" w:cs="Palatino Linotype"/>
        </w:rPr>
      </w:pPr>
    </w:p>
    <w:p w14:paraId="75E3B604" w14:textId="77777777" w:rsidR="00682E5A" w:rsidRDefault="00682E5A" w:rsidP="00714DCE">
      <w:pPr>
        <w:tabs>
          <w:tab w:val="left" w:pos="709"/>
        </w:tabs>
        <w:spacing w:before="240" w:after="240" w:line="360" w:lineRule="auto"/>
        <w:jc w:val="both"/>
        <w:rPr>
          <w:rFonts w:ascii="Palatino Linotype" w:eastAsia="Palatino Linotype" w:hAnsi="Palatino Linotype" w:cs="Palatino Linotype"/>
        </w:rPr>
      </w:pPr>
    </w:p>
    <w:p w14:paraId="3BCAA30D" w14:textId="77777777" w:rsidR="00682E5A" w:rsidRDefault="00682E5A" w:rsidP="00714DCE">
      <w:pPr>
        <w:jc w:val="both"/>
        <w:rPr>
          <w:rFonts w:ascii="Palatino Linotype" w:eastAsia="Palatino Linotype" w:hAnsi="Palatino Linotype" w:cs="Palatino Linotype"/>
        </w:rPr>
      </w:pPr>
    </w:p>
    <w:p w14:paraId="67DDFD44" w14:textId="77777777" w:rsidR="00682E5A" w:rsidRDefault="00682E5A" w:rsidP="00714DCE">
      <w:pPr>
        <w:rPr>
          <w:rFonts w:ascii="Palatino Linotype" w:eastAsia="Palatino Linotype" w:hAnsi="Palatino Linotype" w:cs="Palatino Linotype"/>
        </w:rPr>
      </w:pPr>
    </w:p>
    <w:p w14:paraId="4A4A07D9" w14:textId="77777777" w:rsidR="00682E5A" w:rsidRDefault="00682E5A" w:rsidP="00714DCE">
      <w:pPr>
        <w:rPr>
          <w:rFonts w:ascii="Palatino Linotype" w:eastAsia="Palatino Linotype" w:hAnsi="Palatino Linotype" w:cs="Palatino Linotype"/>
        </w:rPr>
      </w:pPr>
    </w:p>
    <w:p w14:paraId="151BEA20" w14:textId="77777777" w:rsidR="00682E5A" w:rsidRDefault="00682E5A" w:rsidP="00714DCE">
      <w:pPr>
        <w:rPr>
          <w:rFonts w:ascii="Palatino Linotype" w:eastAsia="Palatino Linotype" w:hAnsi="Palatino Linotype" w:cs="Palatino Linotype"/>
        </w:rPr>
      </w:pPr>
    </w:p>
    <w:p w14:paraId="6AF17C61" w14:textId="77777777" w:rsidR="00682E5A" w:rsidRDefault="00682E5A" w:rsidP="00714DCE">
      <w:pPr>
        <w:rPr>
          <w:rFonts w:ascii="Palatino Linotype" w:eastAsia="Palatino Linotype" w:hAnsi="Palatino Linotype" w:cs="Palatino Linotype"/>
        </w:rPr>
      </w:pPr>
    </w:p>
    <w:p w14:paraId="4D3D7C44" w14:textId="77777777" w:rsidR="00682E5A" w:rsidRDefault="00682E5A" w:rsidP="00714DCE">
      <w:pPr>
        <w:rPr>
          <w:rFonts w:ascii="Palatino Linotype" w:eastAsia="Palatino Linotype" w:hAnsi="Palatino Linotype" w:cs="Palatino Linotype"/>
        </w:rPr>
      </w:pPr>
    </w:p>
    <w:p w14:paraId="4AD50D40" w14:textId="77777777" w:rsidR="00682E5A" w:rsidRDefault="00682E5A" w:rsidP="00714DCE">
      <w:pPr>
        <w:rPr>
          <w:rFonts w:ascii="Palatino Linotype" w:eastAsia="Palatino Linotype" w:hAnsi="Palatino Linotype" w:cs="Palatino Linotype"/>
        </w:rPr>
      </w:pPr>
    </w:p>
    <w:p w14:paraId="6A6A3434" w14:textId="77777777" w:rsidR="00682E5A" w:rsidRDefault="00682E5A" w:rsidP="00714DCE">
      <w:pPr>
        <w:rPr>
          <w:rFonts w:ascii="Palatino Linotype" w:eastAsia="Palatino Linotype" w:hAnsi="Palatino Linotype" w:cs="Palatino Linotype"/>
        </w:rPr>
      </w:pPr>
    </w:p>
    <w:p w14:paraId="07619492" w14:textId="77777777" w:rsidR="00682E5A" w:rsidRDefault="00682E5A" w:rsidP="00714DCE">
      <w:pPr>
        <w:rPr>
          <w:rFonts w:ascii="Palatino Linotype" w:eastAsia="Palatino Linotype" w:hAnsi="Palatino Linotype" w:cs="Palatino Linotype"/>
        </w:rPr>
      </w:pPr>
    </w:p>
    <w:p w14:paraId="458D6B2C" w14:textId="77777777" w:rsidR="00682E5A" w:rsidRDefault="00682E5A" w:rsidP="00714DCE">
      <w:pPr>
        <w:rPr>
          <w:rFonts w:ascii="Palatino Linotype" w:eastAsia="Palatino Linotype" w:hAnsi="Palatino Linotype" w:cs="Palatino Linotype"/>
        </w:rPr>
      </w:pPr>
    </w:p>
    <w:p w14:paraId="5D55516C" w14:textId="77777777" w:rsidR="00682E5A" w:rsidRDefault="00682E5A" w:rsidP="00714DCE">
      <w:pPr>
        <w:rPr>
          <w:rFonts w:ascii="Palatino Linotype" w:eastAsia="Palatino Linotype" w:hAnsi="Palatino Linotype" w:cs="Palatino Linotype"/>
        </w:rPr>
      </w:pPr>
    </w:p>
    <w:p w14:paraId="2D217F4B" w14:textId="77777777" w:rsidR="00682E5A" w:rsidRDefault="00682E5A" w:rsidP="00714DCE">
      <w:pPr>
        <w:rPr>
          <w:rFonts w:ascii="Palatino Linotype" w:eastAsia="Palatino Linotype" w:hAnsi="Palatino Linotype" w:cs="Palatino Linotype"/>
        </w:rPr>
      </w:pPr>
    </w:p>
    <w:sectPr w:rsidR="00682E5A">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A3F8B" w14:textId="77777777" w:rsidR="000B3EEB" w:rsidRDefault="000B3EEB">
      <w:r>
        <w:separator/>
      </w:r>
    </w:p>
  </w:endnote>
  <w:endnote w:type="continuationSeparator" w:id="0">
    <w:p w14:paraId="20C4FB44" w14:textId="77777777" w:rsidR="000B3EEB" w:rsidRDefault="000B3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ABC4" w14:textId="77777777" w:rsidR="00682E5A" w:rsidRDefault="005E0AE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20E33">
      <w:rPr>
        <w:rFonts w:ascii="Arial" w:eastAsia="Arial" w:hAnsi="Arial" w:cs="Arial"/>
        <w:b/>
        <w:noProof/>
        <w:color w:val="000000"/>
        <w:sz w:val="20"/>
        <w:szCs w:val="20"/>
      </w:rPr>
      <w:t>40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20E33">
      <w:rPr>
        <w:rFonts w:ascii="Arial" w:eastAsia="Arial" w:hAnsi="Arial" w:cs="Arial"/>
        <w:b/>
        <w:noProof/>
        <w:color w:val="000000"/>
        <w:sz w:val="20"/>
        <w:szCs w:val="20"/>
      </w:rPr>
      <w:t>42</w:t>
    </w:r>
    <w:r>
      <w:rPr>
        <w:rFonts w:ascii="Arial" w:eastAsia="Arial" w:hAnsi="Arial" w:cs="Arial"/>
        <w:b/>
        <w:color w:val="000000"/>
        <w:sz w:val="20"/>
        <w:szCs w:val="20"/>
      </w:rPr>
      <w:fldChar w:fldCharType="end"/>
    </w:r>
  </w:p>
  <w:p w14:paraId="55B86621" w14:textId="77777777" w:rsidR="00682E5A" w:rsidRDefault="00682E5A">
    <w:pPr>
      <w:pBdr>
        <w:top w:val="nil"/>
        <w:left w:val="nil"/>
        <w:bottom w:val="nil"/>
        <w:right w:val="nil"/>
        <w:between w:val="nil"/>
      </w:pBdr>
      <w:tabs>
        <w:tab w:val="center" w:pos="4252"/>
        <w:tab w:val="right" w:pos="8504"/>
      </w:tabs>
      <w:rPr>
        <w:color w:val="000000"/>
      </w:rPr>
    </w:pPr>
  </w:p>
  <w:p w14:paraId="1E32D76F" w14:textId="77777777" w:rsidR="00682E5A" w:rsidRDefault="00682E5A">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7115E" w14:textId="77777777" w:rsidR="00682E5A" w:rsidRDefault="005E0AE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20E33">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20E33">
      <w:rPr>
        <w:rFonts w:ascii="Arial" w:eastAsia="Arial" w:hAnsi="Arial" w:cs="Arial"/>
        <w:b/>
        <w:noProof/>
        <w:color w:val="000000"/>
        <w:sz w:val="20"/>
        <w:szCs w:val="20"/>
      </w:rPr>
      <w:t>42</w:t>
    </w:r>
    <w:r>
      <w:rPr>
        <w:rFonts w:ascii="Arial" w:eastAsia="Arial" w:hAnsi="Arial" w:cs="Arial"/>
        <w:b/>
        <w:color w:val="000000"/>
        <w:sz w:val="20"/>
        <w:szCs w:val="20"/>
      </w:rPr>
      <w:fldChar w:fldCharType="end"/>
    </w:r>
  </w:p>
  <w:p w14:paraId="2F91E791" w14:textId="77777777" w:rsidR="00682E5A" w:rsidRDefault="00682E5A">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95D72" w14:textId="77777777" w:rsidR="000B3EEB" w:rsidRDefault="000B3EEB">
      <w:r>
        <w:separator/>
      </w:r>
    </w:p>
  </w:footnote>
  <w:footnote w:type="continuationSeparator" w:id="0">
    <w:p w14:paraId="755FE16C" w14:textId="77777777" w:rsidR="000B3EEB" w:rsidRDefault="000B3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C4E6E" w14:textId="25DDD08A" w:rsidR="00682E5A" w:rsidRDefault="00017E74">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7BA913F7" wp14:editId="284971FF">
          <wp:simplePos x="0" y="0"/>
          <wp:positionH relativeFrom="column">
            <wp:posOffset>-1242954</wp:posOffset>
          </wp:positionH>
          <wp:positionV relativeFrom="paragraph">
            <wp:posOffset>-306717</wp:posOffset>
          </wp:positionV>
          <wp:extent cx="7634605" cy="9944100"/>
          <wp:effectExtent l="0" t="0" r="0" b="0"/>
          <wp:wrapNone/>
          <wp:docPr id="4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4605" cy="9944100"/>
                  </a:xfrm>
                  <a:prstGeom prst="rect">
                    <a:avLst/>
                  </a:prstGeom>
                  <a:ln/>
                </pic:spPr>
              </pic:pic>
            </a:graphicData>
          </a:graphic>
        </wp:anchor>
      </w:drawing>
    </w:r>
  </w:p>
  <w:tbl>
    <w:tblPr>
      <w:tblStyle w:val="a2"/>
      <w:tblW w:w="5528" w:type="dxa"/>
      <w:tblInd w:w="3261" w:type="dxa"/>
      <w:tblLayout w:type="fixed"/>
      <w:tblLook w:val="0400" w:firstRow="0" w:lastRow="0" w:firstColumn="0" w:lastColumn="0" w:noHBand="0" w:noVBand="1"/>
    </w:tblPr>
    <w:tblGrid>
      <w:gridCol w:w="2552"/>
      <w:gridCol w:w="2976"/>
    </w:tblGrid>
    <w:tr w:rsidR="00682E5A" w14:paraId="6A45DC90" w14:textId="77777777">
      <w:tc>
        <w:tcPr>
          <w:tcW w:w="2552" w:type="dxa"/>
          <w:vAlign w:val="center"/>
        </w:tcPr>
        <w:p w14:paraId="64398908" w14:textId="77777777" w:rsidR="00682E5A" w:rsidRDefault="005E0AE8">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0E4AE528" w14:textId="77777777" w:rsidR="00682E5A" w:rsidRDefault="005E0AE8">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05754/INFOEM/IP/RR/2021</w:t>
          </w:r>
        </w:p>
      </w:tc>
    </w:tr>
    <w:tr w:rsidR="00682E5A" w14:paraId="19E74934" w14:textId="77777777">
      <w:trPr>
        <w:trHeight w:val="228"/>
      </w:trPr>
      <w:tc>
        <w:tcPr>
          <w:tcW w:w="2552" w:type="dxa"/>
          <w:vAlign w:val="center"/>
        </w:tcPr>
        <w:p w14:paraId="152B6086" w14:textId="77777777" w:rsidR="00682E5A" w:rsidRDefault="005E0AE8">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14:paraId="3C22B0D9" w14:textId="77777777" w:rsidR="00682E5A" w:rsidRDefault="005E0AE8">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Naucalpan de Juárez</w:t>
          </w:r>
        </w:p>
      </w:tc>
    </w:tr>
    <w:tr w:rsidR="00682E5A" w14:paraId="04294629" w14:textId="77777777">
      <w:tc>
        <w:tcPr>
          <w:tcW w:w="2552" w:type="dxa"/>
          <w:vAlign w:val="center"/>
        </w:tcPr>
        <w:p w14:paraId="58F01799" w14:textId="77777777" w:rsidR="00682E5A" w:rsidRDefault="005E0AE8">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0DC61BE8" w14:textId="77777777" w:rsidR="00682E5A" w:rsidRDefault="005E0AE8">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3E75532F" w14:textId="3D4547BC" w:rsidR="00682E5A" w:rsidRDefault="005E0AE8">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1DBD3" w14:textId="77777777" w:rsidR="00682E5A" w:rsidRDefault="005E0AE8">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eastAsia="es-MX"/>
      </w:rPr>
      <w:drawing>
        <wp:anchor distT="0" distB="0" distL="0" distR="0" simplePos="0" relativeHeight="251659264" behindDoc="1" locked="0" layoutInCell="1" hidden="0" allowOverlap="1" wp14:anchorId="01131EE3" wp14:editId="55948896">
          <wp:simplePos x="0" y="0"/>
          <wp:positionH relativeFrom="column">
            <wp:posOffset>-1080133</wp:posOffset>
          </wp:positionH>
          <wp:positionV relativeFrom="paragraph">
            <wp:posOffset>-438783</wp:posOffset>
          </wp:positionV>
          <wp:extent cx="7635600" cy="9943200"/>
          <wp:effectExtent l="0" t="0" r="0" b="0"/>
          <wp:wrapNone/>
          <wp:docPr id="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6238" w:type="dxa"/>
      <w:tblInd w:w="3119" w:type="dxa"/>
      <w:tblLayout w:type="fixed"/>
      <w:tblLook w:val="0400" w:firstRow="0" w:lastRow="0" w:firstColumn="0" w:lastColumn="0" w:noHBand="0" w:noVBand="1"/>
    </w:tblPr>
    <w:tblGrid>
      <w:gridCol w:w="2551"/>
      <w:gridCol w:w="3687"/>
    </w:tblGrid>
    <w:tr w:rsidR="00682E5A" w14:paraId="7FB6F143" w14:textId="77777777">
      <w:tc>
        <w:tcPr>
          <w:tcW w:w="2551" w:type="dxa"/>
          <w:vAlign w:val="center"/>
        </w:tcPr>
        <w:p w14:paraId="378B1641" w14:textId="77777777" w:rsidR="00682E5A" w:rsidRDefault="005E0AE8">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14:paraId="6DE184F7" w14:textId="77777777" w:rsidR="00682E5A" w:rsidRDefault="005E0AE8">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05754/INFOEM/IP/RR/2021</w:t>
          </w:r>
        </w:p>
      </w:tc>
    </w:tr>
    <w:tr w:rsidR="00682E5A" w14:paraId="0B779CE1" w14:textId="77777777">
      <w:tc>
        <w:tcPr>
          <w:tcW w:w="2551" w:type="dxa"/>
          <w:vAlign w:val="center"/>
        </w:tcPr>
        <w:p w14:paraId="28528928" w14:textId="77777777" w:rsidR="00682E5A" w:rsidRDefault="005E0AE8">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687" w:type="dxa"/>
          <w:vAlign w:val="center"/>
        </w:tcPr>
        <w:p w14:paraId="01649A14" w14:textId="18BC7323" w:rsidR="00682E5A" w:rsidRDefault="001E43AC">
          <w:pPr>
            <w:jc w:val="both"/>
            <w:rPr>
              <w:rFonts w:ascii="Palatino Linotype" w:eastAsia="Palatino Linotype" w:hAnsi="Palatino Linotype" w:cs="Palatino Linotype"/>
              <w:b/>
              <w:sz w:val="21"/>
              <w:szCs w:val="21"/>
            </w:rPr>
          </w:pPr>
          <w:bookmarkStart w:id="5" w:name="_Hlk97070461"/>
          <w:r>
            <w:rPr>
              <w:rFonts w:ascii="Palatino Linotype" w:eastAsia="Palatino Linotype" w:hAnsi="Palatino Linotype" w:cs="Palatino Linotype"/>
              <w:b/>
              <w:sz w:val="21"/>
              <w:szCs w:val="21"/>
            </w:rPr>
            <w:t>XXXXXXX</w:t>
          </w:r>
          <w:r w:rsidR="005E0AE8">
            <w:rPr>
              <w:rFonts w:ascii="Palatino Linotype" w:eastAsia="Palatino Linotype" w:hAnsi="Palatino Linotype" w:cs="Palatino Linotype"/>
              <w:b/>
              <w:sz w:val="21"/>
              <w:szCs w:val="21"/>
            </w:rPr>
            <w:t xml:space="preserve"> </w:t>
          </w:r>
          <w:r>
            <w:rPr>
              <w:rFonts w:ascii="Palatino Linotype" w:eastAsia="Palatino Linotype" w:hAnsi="Palatino Linotype" w:cs="Palatino Linotype"/>
              <w:b/>
              <w:sz w:val="21"/>
              <w:szCs w:val="21"/>
            </w:rPr>
            <w:t>XXXXX</w:t>
          </w:r>
          <w:bookmarkEnd w:id="5"/>
        </w:p>
      </w:tc>
    </w:tr>
    <w:tr w:rsidR="00682E5A" w14:paraId="4E4A6849" w14:textId="77777777">
      <w:trPr>
        <w:trHeight w:val="228"/>
      </w:trPr>
      <w:tc>
        <w:tcPr>
          <w:tcW w:w="2551" w:type="dxa"/>
          <w:vAlign w:val="center"/>
        </w:tcPr>
        <w:p w14:paraId="06CA0C48" w14:textId="77777777" w:rsidR="00682E5A" w:rsidRDefault="005E0AE8">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14:paraId="1045C90A" w14:textId="77777777" w:rsidR="00682E5A" w:rsidRDefault="005E0AE8">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Naucalpan</w:t>
          </w:r>
        </w:p>
        <w:p w14:paraId="603E3A2B" w14:textId="77777777" w:rsidR="00682E5A" w:rsidRDefault="005E0AE8">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 de Juárez</w:t>
          </w:r>
        </w:p>
      </w:tc>
    </w:tr>
    <w:tr w:rsidR="00682E5A" w14:paraId="6C574F42" w14:textId="77777777">
      <w:tc>
        <w:tcPr>
          <w:tcW w:w="2551" w:type="dxa"/>
          <w:vAlign w:val="center"/>
        </w:tcPr>
        <w:p w14:paraId="178FA6D1" w14:textId="77777777" w:rsidR="00682E5A" w:rsidRDefault="005E0AE8">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14:paraId="7CFF61C9" w14:textId="77777777" w:rsidR="00682E5A" w:rsidRDefault="005E0AE8">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6C887EE6" w14:textId="77777777" w:rsidR="00682E5A" w:rsidRDefault="00682E5A">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E41AA"/>
    <w:multiLevelType w:val="multilevel"/>
    <w:tmpl w:val="CFFEF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2A54B6"/>
    <w:multiLevelType w:val="multilevel"/>
    <w:tmpl w:val="0BE6D7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E106095"/>
    <w:multiLevelType w:val="multilevel"/>
    <w:tmpl w:val="14A8D89A"/>
    <w:lvl w:ilvl="0">
      <w:start w:val="8"/>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6A161D5"/>
    <w:multiLevelType w:val="multilevel"/>
    <w:tmpl w:val="E4D082B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E5A"/>
    <w:rsid w:val="00017E74"/>
    <w:rsid w:val="000B3EEB"/>
    <w:rsid w:val="00161EC9"/>
    <w:rsid w:val="001E43AC"/>
    <w:rsid w:val="001F74F3"/>
    <w:rsid w:val="00520E33"/>
    <w:rsid w:val="005E0AE8"/>
    <w:rsid w:val="00682E5A"/>
    <w:rsid w:val="006932C2"/>
    <w:rsid w:val="00714DCE"/>
    <w:rsid w:val="009372F2"/>
    <w:rsid w:val="00CD6910"/>
    <w:rsid w:val="00E85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F64AA"/>
  <w15:docId w15:val="{B3078D10-9E87-4F91-987F-A691A1B07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0B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BC70B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C70B6"/>
    <w:rPr>
      <w:rFonts w:eastAsiaTheme="minorEastAsia"/>
      <w:sz w:val="24"/>
      <w:szCs w:val="24"/>
      <w:lang w:val="es-ES_tradnl" w:eastAsia="es-ES"/>
    </w:rPr>
  </w:style>
  <w:style w:type="paragraph" w:styleId="Piedepgina">
    <w:name w:val="footer"/>
    <w:basedOn w:val="Normal"/>
    <w:link w:val="PiedepginaCar"/>
    <w:uiPriority w:val="99"/>
    <w:unhideWhenUsed/>
    <w:rsid w:val="00BC70B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C70B6"/>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C70B6"/>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C70B6"/>
    <w:pPr>
      <w:ind w:left="708"/>
    </w:pPr>
    <w:rPr>
      <w:sz w:val="22"/>
      <w:szCs w:val="22"/>
      <w:lang w:val="es-MX" w:eastAsia="en-US"/>
    </w:rPr>
  </w:style>
  <w:style w:type="character" w:customStyle="1" w:styleId="normaltextrun">
    <w:name w:val="normaltextrun"/>
    <w:basedOn w:val="Fuentedeprrafopredeter"/>
    <w:rsid w:val="00BC70B6"/>
  </w:style>
  <w:style w:type="character" w:customStyle="1" w:styleId="apple-converted-space">
    <w:name w:val="apple-converted-space"/>
    <w:basedOn w:val="Fuentedeprrafopredeter"/>
    <w:rsid w:val="00BC70B6"/>
  </w:style>
  <w:style w:type="character" w:styleId="Hipervnculo">
    <w:name w:val="Hyperlink"/>
    <w:basedOn w:val="Fuentedeprrafopredeter"/>
    <w:uiPriority w:val="99"/>
    <w:unhideWhenUsed/>
    <w:rsid w:val="00BC70B6"/>
    <w:rPr>
      <w:color w:val="0000FF"/>
      <w:u w:val="single"/>
    </w:rPr>
  </w:style>
  <w:style w:type="paragraph" w:styleId="NormalWeb">
    <w:name w:val="Normal (Web)"/>
    <w:basedOn w:val="Normal"/>
    <w:uiPriority w:val="99"/>
    <w:unhideWhenUsed/>
    <w:rsid w:val="00BC70B6"/>
    <w:pPr>
      <w:spacing w:before="100" w:beforeAutospacing="1" w:after="100" w:afterAutospacing="1"/>
    </w:pPr>
    <w:rPr>
      <w:lang w:val="es-MX" w:eastAsia="es-MX"/>
    </w:rPr>
  </w:style>
  <w:style w:type="paragraph" w:styleId="Sinespaciado">
    <w:name w:val="No Spacing"/>
    <w:aliases w:val="Francesa"/>
    <w:link w:val="SinespaciadoCar"/>
    <w:uiPriority w:val="1"/>
    <w:qFormat/>
    <w:rsid w:val="00BC70B6"/>
    <w:rPr>
      <w:lang w:eastAsia="es-ES"/>
    </w:rPr>
  </w:style>
  <w:style w:type="character" w:customStyle="1" w:styleId="SinespaciadoCar">
    <w:name w:val="Sin espaciado Car"/>
    <w:aliases w:val="Francesa Car"/>
    <w:link w:val="Sinespaciado"/>
    <w:uiPriority w:val="1"/>
    <w:locked/>
    <w:rsid w:val="00BC70B6"/>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BC70B6"/>
    <w:rPr>
      <w:b/>
      <w:bCs/>
    </w:rPr>
  </w:style>
  <w:style w:type="character" w:customStyle="1" w:styleId="Mencinsinresolver1">
    <w:name w:val="Mención sin resolver1"/>
    <w:basedOn w:val="Fuentedeprrafopredeter"/>
    <w:uiPriority w:val="99"/>
    <w:semiHidden/>
    <w:unhideWhenUsed/>
    <w:rsid w:val="00922C4F"/>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48307.page"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77406.pag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saimex.org.mx/saimex/solicitud/downloadAttach/1248307.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lpuntocritico.com/world/93-estado-de-mexico/186994-firma-suteym-naucalpan-convenio-de-sueldos-2021-con-gobierno-municip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BS3E4FqcM4OFMzRkv/dFWvQwbw==">AMUW2mV0OS3sIYHW4BBOdN0fWqYmPJPfewDFXuLCCC0x9qQwD/WRtzyARxdbUt6AGLo8L6gvrwsnnCWFkDjMAnOnAJ/PThW1+cFZwGJMYajwihczC58fGLVbs1Qntm4abk7tbZALwBFARboVdu2lJGEOdVWsoNUBgk9ErdC+jq9ft1gStj15Fg7j60wO+V0bbix1W1/hnPpF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42</Pages>
  <Words>9986</Words>
  <Characters>54928</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64785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dc:creator>
  <cp:lastModifiedBy>Carlos Alberto Cortes Diaz</cp:lastModifiedBy>
  <cp:revision>7</cp:revision>
  <dcterms:created xsi:type="dcterms:W3CDTF">2022-02-25T01:00:00Z</dcterms:created>
  <dcterms:modified xsi:type="dcterms:W3CDTF">2022-03-02T05:44:00Z</dcterms:modified>
</cp:coreProperties>
</file>