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BC5411" w:rsidRDefault="009F09BC" w:rsidP="00855290">
      <w:pPr>
        <w:tabs>
          <w:tab w:val="left" w:pos="3465"/>
        </w:tabs>
        <w:spacing w:line="360" w:lineRule="auto"/>
        <w:jc w:val="both"/>
        <w:rPr>
          <w:rFonts w:ascii="Palatino Linotype" w:hAnsi="Palatino Linotype"/>
        </w:rPr>
      </w:pPr>
      <w:r w:rsidRPr="00BC541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27608" w:rsidRPr="00BC5411">
        <w:rPr>
          <w:rFonts w:ascii="Palatino Linotype" w:hAnsi="Palatino Linotype"/>
        </w:rPr>
        <w:t>once</w:t>
      </w:r>
      <w:r w:rsidR="006A04B6" w:rsidRPr="00BC5411">
        <w:rPr>
          <w:rFonts w:ascii="Palatino Linotype" w:hAnsi="Palatino Linotype"/>
        </w:rPr>
        <w:t xml:space="preserve"> (</w:t>
      </w:r>
      <w:r w:rsidR="00627608" w:rsidRPr="00BC5411">
        <w:rPr>
          <w:rFonts w:ascii="Palatino Linotype" w:hAnsi="Palatino Linotype"/>
        </w:rPr>
        <w:t>11</w:t>
      </w:r>
      <w:r w:rsidRPr="00BC5411">
        <w:rPr>
          <w:rFonts w:ascii="Palatino Linotype" w:hAnsi="Palatino Linotype"/>
        </w:rPr>
        <w:t xml:space="preserve">) de </w:t>
      </w:r>
      <w:r w:rsidR="00065792" w:rsidRPr="00BC5411">
        <w:rPr>
          <w:rFonts w:ascii="Palatino Linotype" w:hAnsi="Palatino Linotype"/>
        </w:rPr>
        <w:t>mayo</w:t>
      </w:r>
      <w:r w:rsidR="004525CB" w:rsidRPr="00BC5411">
        <w:rPr>
          <w:rFonts w:ascii="Palatino Linotype" w:hAnsi="Palatino Linotype"/>
        </w:rPr>
        <w:t xml:space="preserve"> de dos mil veintidós</w:t>
      </w:r>
      <w:r w:rsidRPr="00BC5411">
        <w:rPr>
          <w:rFonts w:ascii="Palatino Linotype" w:hAnsi="Palatino Linotype"/>
        </w:rPr>
        <w:t>.</w:t>
      </w:r>
    </w:p>
    <w:p w:rsidR="00A054B6" w:rsidRPr="00BC5411" w:rsidRDefault="00A054B6" w:rsidP="00855290">
      <w:pPr>
        <w:tabs>
          <w:tab w:val="left" w:pos="3465"/>
        </w:tabs>
        <w:spacing w:line="360" w:lineRule="auto"/>
        <w:jc w:val="both"/>
        <w:rPr>
          <w:rFonts w:ascii="Palatino Linotype" w:hAnsi="Palatino Linotype"/>
        </w:rPr>
      </w:pPr>
    </w:p>
    <w:p w:rsidR="009F09BC" w:rsidRPr="00BC5411" w:rsidRDefault="009F09BC" w:rsidP="00855290">
      <w:pPr>
        <w:spacing w:line="360" w:lineRule="auto"/>
        <w:jc w:val="both"/>
        <w:rPr>
          <w:rFonts w:ascii="Palatino Linotype" w:hAnsi="Palatino Linotype"/>
        </w:rPr>
      </w:pPr>
      <w:r w:rsidRPr="00BC5411">
        <w:rPr>
          <w:rFonts w:ascii="Palatino Linotype" w:hAnsi="Palatino Linotype"/>
          <w:b/>
        </w:rPr>
        <w:t>VISTO</w:t>
      </w:r>
      <w:r w:rsidRPr="00BC5411">
        <w:rPr>
          <w:rFonts w:ascii="Palatino Linotype" w:hAnsi="Palatino Linotype"/>
        </w:rPr>
        <w:t xml:space="preserve"> </w:t>
      </w:r>
      <w:r w:rsidR="008A699B" w:rsidRPr="00BC5411">
        <w:rPr>
          <w:rFonts w:ascii="Palatino Linotype" w:hAnsi="Palatino Linotype"/>
        </w:rPr>
        <w:t>e</w:t>
      </w:r>
      <w:r w:rsidRPr="00BC5411">
        <w:rPr>
          <w:rFonts w:ascii="Palatino Linotype" w:hAnsi="Palatino Linotype"/>
        </w:rPr>
        <w:t xml:space="preserve">l expediente electrónico formado con motivo del recurso de revisión </w:t>
      </w:r>
      <w:r w:rsidR="00627608" w:rsidRPr="00BC5411">
        <w:rPr>
          <w:rFonts w:ascii="Palatino Linotype" w:hAnsi="Palatino Linotype"/>
          <w:b/>
        </w:rPr>
        <w:t>01003/INFOEM/IP/RR/2022</w:t>
      </w:r>
      <w:r w:rsidRPr="00BC5411">
        <w:rPr>
          <w:rFonts w:ascii="Palatino Linotype" w:hAnsi="Palatino Linotype"/>
        </w:rPr>
        <w:t>,</w:t>
      </w:r>
      <w:r w:rsidRPr="00BC5411">
        <w:rPr>
          <w:rFonts w:ascii="Palatino Linotype" w:hAnsi="Palatino Linotype" w:cs="Arial"/>
          <w:b/>
          <w:bCs/>
        </w:rPr>
        <w:t xml:space="preserve"> </w:t>
      </w:r>
      <w:r w:rsidRPr="00BC5411">
        <w:rPr>
          <w:rFonts w:ascii="Palatino Linotype" w:hAnsi="Palatino Linotype"/>
        </w:rPr>
        <w:t>promovido por</w:t>
      </w:r>
      <w:r w:rsidR="00065792" w:rsidRPr="00BC5411">
        <w:rPr>
          <w:rFonts w:ascii="Palatino Linotype" w:hAnsi="Palatino Linotype"/>
        </w:rPr>
        <w:t xml:space="preserve"> </w:t>
      </w:r>
      <w:r w:rsidR="00951F58">
        <w:rPr>
          <w:rFonts w:ascii="Palatino Linotype" w:hAnsi="Palatino Linotype"/>
          <w:b/>
        </w:rPr>
        <w:t>XXXX XXXXX XXXX</w:t>
      </w:r>
      <w:r w:rsidRPr="00BC5411">
        <w:rPr>
          <w:rFonts w:ascii="Palatino Linotype" w:hAnsi="Palatino Linotype"/>
        </w:rPr>
        <w:t xml:space="preserve">, a quien en lo sucesivo se le identificará como </w:t>
      </w:r>
      <w:r w:rsidRPr="00BC5411">
        <w:rPr>
          <w:rFonts w:ascii="Palatino Linotype" w:hAnsi="Palatino Linotype"/>
          <w:b/>
        </w:rPr>
        <w:t>EL RECURRENTE</w:t>
      </w:r>
      <w:r w:rsidRPr="00BC5411">
        <w:rPr>
          <w:rFonts w:ascii="Palatino Linotype" w:hAnsi="Palatino Linotype" w:cs="Arial"/>
        </w:rPr>
        <w:t xml:space="preserve">, en contra de la respuesta del </w:t>
      </w:r>
      <w:r w:rsidR="00627608" w:rsidRPr="00BC5411">
        <w:rPr>
          <w:rFonts w:ascii="Palatino Linotype" w:hAnsi="Palatino Linotype" w:cs="Arial"/>
          <w:b/>
        </w:rPr>
        <w:t>Organismo Público Descentralizado para la Prestación de Los Servicios de Agua Potable Alcantarillado y Saneamiento del Municipio de Jilotepec</w:t>
      </w:r>
      <w:r w:rsidRPr="00BC5411">
        <w:rPr>
          <w:rFonts w:ascii="Palatino Linotype" w:hAnsi="Palatino Linotype" w:cs="Arial"/>
          <w:b/>
        </w:rPr>
        <w:t>,</w:t>
      </w:r>
      <w:r w:rsidRPr="00BC5411">
        <w:rPr>
          <w:rFonts w:ascii="Palatino Linotype" w:hAnsi="Palatino Linotype"/>
          <w:b/>
        </w:rPr>
        <w:t xml:space="preserve"> </w:t>
      </w:r>
      <w:r w:rsidRPr="00BC5411">
        <w:rPr>
          <w:rFonts w:ascii="Palatino Linotype" w:hAnsi="Palatino Linotype"/>
        </w:rPr>
        <w:t>en lo sucesivo el</w:t>
      </w:r>
      <w:r w:rsidRPr="00BC5411">
        <w:rPr>
          <w:rFonts w:ascii="Palatino Linotype" w:hAnsi="Palatino Linotype"/>
          <w:b/>
        </w:rPr>
        <w:t xml:space="preserve"> SUJETO OBLIGADO</w:t>
      </w:r>
      <w:r w:rsidRPr="00BC5411">
        <w:rPr>
          <w:rFonts w:ascii="Palatino Linotype" w:hAnsi="Palatino Linotype"/>
        </w:rPr>
        <w:t>, se procede a dictar la presente resolución, con base en los siguientes:</w:t>
      </w:r>
    </w:p>
    <w:p w:rsidR="007C3761" w:rsidRPr="00BC5411" w:rsidRDefault="007C3761" w:rsidP="00855290">
      <w:pPr>
        <w:spacing w:line="360" w:lineRule="auto"/>
        <w:jc w:val="both"/>
        <w:rPr>
          <w:rFonts w:ascii="Palatino Linotype" w:hAnsi="Palatino Linotype"/>
          <w:b/>
        </w:rPr>
      </w:pPr>
    </w:p>
    <w:p w:rsidR="009F09BC" w:rsidRPr="00BC5411"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BC5411">
        <w:rPr>
          <w:rFonts w:ascii="Palatino Linotype" w:hAnsi="Palatino Linotype"/>
          <w:b/>
          <w:color w:val="000000" w:themeColor="text1"/>
          <w:sz w:val="24"/>
          <w:szCs w:val="24"/>
        </w:rPr>
        <w:t>ANTECEDENTES</w:t>
      </w:r>
      <w:bookmarkEnd w:id="0"/>
      <w:bookmarkEnd w:id="1"/>
      <w:bookmarkEnd w:id="2"/>
    </w:p>
    <w:p w:rsidR="007C3761" w:rsidRPr="00BC5411" w:rsidRDefault="007C3761" w:rsidP="00855290">
      <w:pPr>
        <w:spacing w:line="360" w:lineRule="auto"/>
        <w:rPr>
          <w:rFonts w:ascii="Palatino Linotype" w:hAnsi="Palatino Linotype"/>
        </w:rPr>
      </w:pPr>
    </w:p>
    <w:p w:rsidR="009F09BC" w:rsidRPr="00BC5411" w:rsidRDefault="009F09BC" w:rsidP="00821B43">
      <w:pPr>
        <w:pStyle w:val="Prrafodelista"/>
        <w:numPr>
          <w:ilvl w:val="0"/>
          <w:numId w:val="1"/>
        </w:numPr>
        <w:spacing w:line="360" w:lineRule="auto"/>
        <w:ind w:left="0" w:firstLine="0"/>
        <w:jc w:val="both"/>
        <w:rPr>
          <w:rFonts w:ascii="Palatino Linotype" w:eastAsia="Calibri" w:hAnsi="Palatino Linotype" w:cs="Arial"/>
          <w:lang w:val="es-ES"/>
        </w:rPr>
      </w:pPr>
      <w:r w:rsidRPr="00BC5411">
        <w:rPr>
          <w:rFonts w:ascii="Palatino Linotype" w:eastAsia="Calibri" w:hAnsi="Palatino Linotype" w:cs="Arial"/>
          <w:lang w:val="es-ES"/>
        </w:rPr>
        <w:t xml:space="preserve">El día </w:t>
      </w:r>
      <w:r w:rsidR="00065792" w:rsidRPr="00BC5411">
        <w:rPr>
          <w:rFonts w:ascii="Palatino Linotype" w:eastAsia="Calibri" w:hAnsi="Palatino Linotype" w:cs="Arial"/>
          <w:lang w:val="es-ES"/>
        </w:rPr>
        <w:t>treinta y uno</w:t>
      </w:r>
      <w:r w:rsidRPr="00BC5411">
        <w:rPr>
          <w:rFonts w:ascii="Palatino Linotype" w:eastAsia="Calibri" w:hAnsi="Palatino Linotype" w:cs="Arial"/>
          <w:lang w:val="es-ES"/>
        </w:rPr>
        <w:t xml:space="preserve"> (</w:t>
      </w:r>
      <w:r w:rsidR="00065792" w:rsidRPr="00BC5411">
        <w:rPr>
          <w:rFonts w:ascii="Palatino Linotype" w:eastAsia="Calibri" w:hAnsi="Palatino Linotype" w:cs="Arial"/>
          <w:lang w:val="es-ES"/>
        </w:rPr>
        <w:t>31</w:t>
      </w:r>
      <w:r w:rsidRPr="00BC5411">
        <w:rPr>
          <w:rFonts w:ascii="Palatino Linotype" w:eastAsia="Calibri" w:hAnsi="Palatino Linotype" w:cs="Arial"/>
          <w:lang w:val="es-ES"/>
        </w:rPr>
        <w:t xml:space="preserve">) de </w:t>
      </w:r>
      <w:r w:rsidR="008A699B" w:rsidRPr="00BC5411">
        <w:rPr>
          <w:rFonts w:ascii="Palatino Linotype" w:eastAsia="Calibri" w:hAnsi="Palatino Linotype" w:cs="Arial"/>
          <w:lang w:val="es-ES"/>
        </w:rPr>
        <w:t>e</w:t>
      </w:r>
      <w:r w:rsidR="00065792" w:rsidRPr="00BC5411">
        <w:rPr>
          <w:rFonts w:ascii="Palatino Linotype" w:eastAsia="Calibri" w:hAnsi="Palatino Linotype" w:cs="Arial"/>
          <w:lang w:val="es-ES"/>
        </w:rPr>
        <w:t>nero de dos mil veintidós</w:t>
      </w:r>
      <w:r w:rsidRPr="00BC5411">
        <w:rPr>
          <w:rFonts w:ascii="Palatino Linotype" w:hAnsi="Palatino Linotype"/>
          <w:b/>
        </w:rPr>
        <w:t xml:space="preserve">, </w:t>
      </w:r>
      <w:r w:rsidRPr="00BC5411">
        <w:rPr>
          <w:rFonts w:ascii="Palatino Linotype" w:eastAsia="Calibri" w:hAnsi="Palatino Linotype" w:cs="Arial"/>
          <w:lang w:val="es-ES"/>
        </w:rPr>
        <w:t xml:space="preserve">se presentó ante el </w:t>
      </w:r>
      <w:r w:rsidRPr="00BC5411">
        <w:rPr>
          <w:rFonts w:ascii="Palatino Linotype" w:eastAsia="Calibri" w:hAnsi="Palatino Linotype" w:cs="Arial"/>
          <w:b/>
          <w:lang w:val="es-ES"/>
        </w:rPr>
        <w:t>SUJETO OBLIGADO</w:t>
      </w:r>
      <w:r w:rsidRPr="00BC5411">
        <w:rPr>
          <w:rFonts w:ascii="Palatino Linotype" w:eastAsia="Calibri" w:hAnsi="Palatino Linotype" w:cs="Arial"/>
        </w:rPr>
        <w:t xml:space="preserve"> vía </w:t>
      </w:r>
      <w:r w:rsidR="00A03F8F" w:rsidRPr="00BC5411">
        <w:rPr>
          <w:rFonts w:ascii="Palatino Linotype" w:eastAsia="Calibri" w:hAnsi="Palatino Linotype" w:cs="Arial"/>
        </w:rPr>
        <w:t>Plataforma Nacional de Transparencia (</w:t>
      </w:r>
      <w:r w:rsidR="00A03F8F" w:rsidRPr="00BC5411">
        <w:rPr>
          <w:rFonts w:ascii="Palatino Linotype" w:eastAsia="Calibri" w:hAnsi="Palatino Linotype" w:cs="Arial"/>
          <w:b/>
        </w:rPr>
        <w:t>PNT</w:t>
      </w:r>
      <w:r w:rsidR="00A03F8F" w:rsidRPr="00BC5411">
        <w:rPr>
          <w:rFonts w:ascii="Palatino Linotype" w:eastAsia="Calibri" w:hAnsi="Palatino Linotype" w:cs="Arial"/>
        </w:rPr>
        <w:t>) vinculada a su vez al Sistema de Acceso a la Información Mexiquense (</w:t>
      </w:r>
      <w:r w:rsidR="008A699B" w:rsidRPr="00BC5411">
        <w:rPr>
          <w:rFonts w:ascii="Palatino Linotype" w:eastAsia="Calibri" w:hAnsi="Palatino Linotype" w:cs="Arial"/>
          <w:b/>
          <w:lang w:val="es-ES"/>
        </w:rPr>
        <w:t>SAIMEX</w:t>
      </w:r>
      <w:r w:rsidR="00A03F8F" w:rsidRPr="00BC5411">
        <w:rPr>
          <w:rFonts w:ascii="Palatino Linotype" w:eastAsia="Calibri" w:hAnsi="Palatino Linotype" w:cs="Arial"/>
          <w:lang w:val="es-ES"/>
        </w:rPr>
        <w:t>)</w:t>
      </w:r>
      <w:r w:rsidR="008A699B" w:rsidRPr="00BC5411">
        <w:rPr>
          <w:rFonts w:ascii="Palatino Linotype" w:eastAsia="Calibri" w:hAnsi="Palatino Linotype" w:cs="Arial"/>
          <w:lang w:val="es-ES"/>
        </w:rPr>
        <w:t>, la solicitud</w:t>
      </w:r>
      <w:r w:rsidRPr="00BC5411">
        <w:rPr>
          <w:rFonts w:ascii="Palatino Linotype" w:eastAsia="Calibri" w:hAnsi="Palatino Linotype" w:cs="Arial"/>
          <w:lang w:val="es-ES"/>
        </w:rPr>
        <w:t xml:space="preserve"> de información pública</w:t>
      </w:r>
      <w:r w:rsidR="008A699B" w:rsidRPr="00BC5411">
        <w:rPr>
          <w:rFonts w:ascii="Palatino Linotype" w:eastAsia="Calibri" w:hAnsi="Palatino Linotype" w:cs="Arial"/>
          <w:lang w:val="es-ES"/>
        </w:rPr>
        <w:t xml:space="preserve"> registrada</w:t>
      </w:r>
      <w:r w:rsidRPr="00BC5411">
        <w:rPr>
          <w:rFonts w:ascii="Palatino Linotype" w:eastAsia="Calibri" w:hAnsi="Palatino Linotype" w:cs="Arial"/>
          <w:lang w:val="es-ES"/>
        </w:rPr>
        <w:t xml:space="preserve"> con </w:t>
      </w:r>
      <w:r w:rsidR="008A699B" w:rsidRPr="00BC5411">
        <w:rPr>
          <w:rFonts w:ascii="Palatino Linotype" w:eastAsia="Calibri" w:hAnsi="Palatino Linotype" w:cs="Arial"/>
          <w:lang w:val="es-ES"/>
        </w:rPr>
        <w:t xml:space="preserve">el </w:t>
      </w:r>
      <w:r w:rsidRPr="00BC5411">
        <w:rPr>
          <w:rFonts w:ascii="Palatino Linotype" w:eastAsia="Calibri" w:hAnsi="Palatino Linotype" w:cs="Arial"/>
          <w:lang w:val="es-ES"/>
        </w:rPr>
        <w:t>número</w:t>
      </w:r>
      <w:r w:rsidRPr="00BC5411">
        <w:rPr>
          <w:rFonts w:ascii="Palatino Linotype" w:hAnsi="Palatino Linotype"/>
          <w:b/>
          <w:bCs/>
          <w:color w:val="000000" w:themeColor="text1"/>
        </w:rPr>
        <w:t xml:space="preserve"> </w:t>
      </w:r>
      <w:r w:rsidR="00627608" w:rsidRPr="00BC5411">
        <w:rPr>
          <w:rFonts w:ascii="Palatino Linotype" w:hAnsi="Palatino Linotype"/>
          <w:b/>
          <w:bCs/>
          <w:color w:val="000000" w:themeColor="text1"/>
        </w:rPr>
        <w:t>00002/OASJILO/IP/2022</w:t>
      </w:r>
      <w:r w:rsidRPr="00BC5411">
        <w:rPr>
          <w:rFonts w:ascii="Palatino Linotype" w:hAnsi="Palatino Linotype"/>
          <w:b/>
          <w:bCs/>
          <w:color w:val="000000" w:themeColor="text1"/>
        </w:rPr>
        <w:t xml:space="preserve">; </w:t>
      </w:r>
      <w:r w:rsidRPr="00BC5411">
        <w:rPr>
          <w:rFonts w:ascii="Palatino Linotype" w:eastAsia="Calibri" w:hAnsi="Palatino Linotype" w:cs="Arial"/>
          <w:lang w:val="es-ES"/>
        </w:rPr>
        <w:t>mediante las cuales se solicitó la siguiente información:</w:t>
      </w:r>
    </w:p>
    <w:p w:rsidR="008A699B" w:rsidRPr="00BC5411" w:rsidRDefault="008A699B" w:rsidP="00855290">
      <w:pPr>
        <w:pStyle w:val="Prrafodelista"/>
        <w:spacing w:line="360" w:lineRule="auto"/>
        <w:ind w:left="0"/>
        <w:jc w:val="both"/>
        <w:rPr>
          <w:rFonts w:ascii="Palatino Linotype" w:eastAsia="Calibri" w:hAnsi="Palatino Linotype" w:cs="Arial"/>
          <w:lang w:val="es-ES"/>
        </w:rPr>
      </w:pPr>
    </w:p>
    <w:p w:rsidR="009F09BC" w:rsidRPr="00BC5411" w:rsidRDefault="008A699B" w:rsidP="00855290">
      <w:pPr>
        <w:pStyle w:val="Prrafodelista"/>
        <w:spacing w:line="360" w:lineRule="auto"/>
        <w:ind w:left="426" w:right="474"/>
        <w:jc w:val="both"/>
        <w:rPr>
          <w:rFonts w:ascii="Palatino Linotype" w:hAnsi="Palatino Linotype"/>
          <w:i/>
        </w:rPr>
      </w:pPr>
      <w:r w:rsidRPr="00BC5411">
        <w:rPr>
          <w:rFonts w:ascii="Palatino Linotype" w:hAnsi="Palatino Linotype"/>
          <w:i/>
        </w:rPr>
        <w:t>“</w:t>
      </w:r>
      <w:r w:rsidR="006F1C39" w:rsidRPr="00BC5411">
        <w:rPr>
          <w:rFonts w:ascii="Palatino Linotype" w:hAnsi="Palatino Linotype"/>
          <w:i/>
        </w:rPr>
        <w:t xml:space="preserve">Solicito Obtener la opinión de cumplimiento proporcionada directamente por el ente fiscalizador hacia los ayuntamientos y sus descentralizadas (DIF, Sistema de agua, Instituto de la mujer, casa de la cultura, </w:t>
      </w:r>
      <w:proofErr w:type="spellStart"/>
      <w:r w:rsidR="006F1C39" w:rsidRPr="00BC5411">
        <w:rPr>
          <w:rFonts w:ascii="Palatino Linotype" w:hAnsi="Palatino Linotype"/>
          <w:i/>
        </w:rPr>
        <w:t>etc</w:t>
      </w:r>
      <w:proofErr w:type="spellEnd"/>
      <w:r w:rsidR="006F1C39" w:rsidRPr="00BC5411">
        <w:rPr>
          <w:rFonts w:ascii="Palatino Linotype" w:hAnsi="Palatino Linotype"/>
          <w:i/>
        </w:rPr>
        <w:t xml:space="preserve">): SAT, IMSS, INFONAVIT y </w:t>
      </w:r>
      <w:r w:rsidR="006F1C39" w:rsidRPr="00BC5411">
        <w:rPr>
          <w:rFonts w:ascii="Palatino Linotype" w:hAnsi="Palatino Linotype"/>
          <w:i/>
        </w:rPr>
        <w:lastRenderedPageBreak/>
        <w:t xml:space="preserve">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w:t>
      </w:r>
      <w:r w:rsidR="006F1C39" w:rsidRPr="00BC5411">
        <w:rPr>
          <w:rFonts w:ascii="Palatino Linotype" w:hAnsi="Palatino Linotype"/>
          <w:i/>
        </w:rPr>
        <w:lastRenderedPageBreak/>
        <w:t xml:space="preserve">“Subsidio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006F1C39" w:rsidRPr="00BC5411">
        <w:rPr>
          <w:rFonts w:ascii="Palatino Linotype" w:hAnsi="Palatino Linotype"/>
          <w:i/>
        </w:rPr>
        <w:t>mi</w:t>
      </w:r>
      <w:proofErr w:type="spellEnd"/>
      <w:r w:rsidR="006F1C39" w:rsidRPr="00BC5411">
        <w:rPr>
          <w:rFonts w:ascii="Palatino Linotype" w:hAnsi="Palatino Linotype"/>
          <w:i/>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BC5411">
        <w:rPr>
          <w:rFonts w:ascii="Palatino Linotype" w:hAnsi="Palatino Linotype"/>
          <w:i/>
        </w:rPr>
        <w:t>”</w:t>
      </w:r>
    </w:p>
    <w:p w:rsidR="008A699B" w:rsidRPr="00BC5411" w:rsidRDefault="008A699B" w:rsidP="00855290">
      <w:pPr>
        <w:pStyle w:val="Prrafodelista"/>
        <w:spacing w:line="360" w:lineRule="auto"/>
        <w:ind w:left="851" w:right="34"/>
        <w:jc w:val="both"/>
        <w:rPr>
          <w:rFonts w:ascii="Palatino Linotype" w:hAnsi="Palatino Linotype"/>
        </w:rPr>
      </w:pPr>
    </w:p>
    <w:p w:rsidR="009F09BC" w:rsidRPr="00BC5411" w:rsidRDefault="009F09BC" w:rsidP="00821B43">
      <w:pPr>
        <w:pStyle w:val="Prrafodelista"/>
        <w:numPr>
          <w:ilvl w:val="0"/>
          <w:numId w:val="2"/>
        </w:numPr>
        <w:spacing w:line="360" w:lineRule="auto"/>
        <w:ind w:left="851" w:right="34"/>
        <w:jc w:val="both"/>
        <w:rPr>
          <w:rFonts w:ascii="Palatino Linotype" w:hAnsi="Palatino Linotype"/>
        </w:rPr>
      </w:pPr>
      <w:r w:rsidRPr="00BC5411">
        <w:rPr>
          <w:rFonts w:ascii="Palatino Linotype" w:eastAsia="Times New Roman" w:hAnsi="Palatino Linotype" w:cs="Arial"/>
          <w:lang w:val="es-ES"/>
        </w:rPr>
        <w:lastRenderedPageBreak/>
        <w:t>Se eligió como modalidad de entrega de la información</w:t>
      </w:r>
      <w:r w:rsidRPr="00BC5411">
        <w:rPr>
          <w:rFonts w:ascii="Palatino Linotype" w:hAnsi="Palatino Linotype"/>
        </w:rPr>
        <w:t>: A través de</w:t>
      </w:r>
      <w:r w:rsidR="00065792" w:rsidRPr="00BC5411">
        <w:rPr>
          <w:rFonts w:ascii="Palatino Linotype" w:hAnsi="Palatino Linotype"/>
        </w:rPr>
        <w:t xml:space="preserve"> </w:t>
      </w:r>
      <w:r w:rsidR="00065792" w:rsidRPr="00BC5411">
        <w:rPr>
          <w:rFonts w:ascii="Palatino Linotype" w:hAnsi="Palatino Linotype"/>
          <w:b/>
        </w:rPr>
        <w:t>correo electrónico</w:t>
      </w:r>
      <w:r w:rsidR="00065792" w:rsidRPr="00BC5411">
        <w:rPr>
          <w:rFonts w:ascii="Palatino Linotype" w:hAnsi="Palatino Linotype"/>
          <w:b/>
          <w:lang w:val="es-MX"/>
        </w:rPr>
        <w:t xml:space="preserve"> y c</w:t>
      </w:r>
      <w:proofErr w:type="spellStart"/>
      <w:r w:rsidR="00400588" w:rsidRPr="00BC5411">
        <w:rPr>
          <w:rFonts w:ascii="Palatino Linotype" w:hAnsi="Palatino Linotype" w:cs="Tahoma"/>
          <w:b/>
        </w:rPr>
        <w:t>ualquier</w:t>
      </w:r>
      <w:proofErr w:type="spellEnd"/>
      <w:r w:rsidR="00065792" w:rsidRPr="00BC5411">
        <w:rPr>
          <w:rFonts w:ascii="Palatino Linotype" w:hAnsi="Palatino Linotype" w:cs="Tahoma"/>
          <w:b/>
        </w:rPr>
        <w:t xml:space="preserve"> otro medio incluido los electrónicos (USB, SD, Disco).</w:t>
      </w:r>
    </w:p>
    <w:p w:rsidR="008A699B" w:rsidRPr="00BC5411" w:rsidRDefault="008A699B" w:rsidP="00855290">
      <w:pPr>
        <w:pStyle w:val="Prrafodelista"/>
        <w:spacing w:line="360" w:lineRule="auto"/>
        <w:ind w:left="851" w:right="34"/>
        <w:jc w:val="both"/>
        <w:rPr>
          <w:rFonts w:ascii="Palatino Linotype" w:hAnsi="Palatino Linotype"/>
        </w:rPr>
      </w:pPr>
    </w:p>
    <w:p w:rsidR="00B47955" w:rsidRPr="00BC5411" w:rsidRDefault="004525CB" w:rsidP="00821B43">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BC5411">
        <w:rPr>
          <w:rFonts w:ascii="Palatino Linotype" w:hAnsi="Palatino Linotype" w:cs="Arial"/>
          <w:color w:val="000000" w:themeColor="text1"/>
        </w:rPr>
        <w:t xml:space="preserve">El </w:t>
      </w:r>
      <w:r w:rsidR="006F1C39" w:rsidRPr="00BC5411">
        <w:rPr>
          <w:rFonts w:ascii="Palatino Linotype" w:hAnsi="Palatino Linotype" w:cs="Arial"/>
          <w:color w:val="000000" w:themeColor="text1"/>
        </w:rPr>
        <w:t>dieciocho</w:t>
      </w:r>
      <w:r w:rsidR="009F09BC" w:rsidRPr="00BC5411">
        <w:rPr>
          <w:rFonts w:ascii="Palatino Linotype" w:hAnsi="Palatino Linotype" w:cs="Arial"/>
          <w:color w:val="000000" w:themeColor="text1"/>
        </w:rPr>
        <w:t xml:space="preserve"> (</w:t>
      </w:r>
      <w:r w:rsidR="006F1C39" w:rsidRPr="00BC5411">
        <w:rPr>
          <w:rFonts w:ascii="Palatino Linotype" w:hAnsi="Palatino Linotype" w:cs="Arial"/>
          <w:color w:val="000000" w:themeColor="text1"/>
        </w:rPr>
        <w:t>18</w:t>
      </w:r>
      <w:r w:rsidR="009F09BC" w:rsidRPr="00BC5411">
        <w:rPr>
          <w:rFonts w:ascii="Palatino Linotype" w:hAnsi="Palatino Linotype" w:cs="Arial"/>
          <w:color w:val="000000" w:themeColor="text1"/>
        </w:rPr>
        <w:t xml:space="preserve">) de </w:t>
      </w:r>
      <w:r w:rsidR="00065792" w:rsidRPr="00BC5411">
        <w:rPr>
          <w:rFonts w:ascii="Palatino Linotype" w:hAnsi="Palatino Linotype" w:cs="Arial"/>
          <w:color w:val="000000" w:themeColor="text1"/>
        </w:rPr>
        <w:t>febrero</w:t>
      </w:r>
      <w:r w:rsidR="002C4997" w:rsidRPr="00BC5411">
        <w:rPr>
          <w:rFonts w:ascii="Palatino Linotype" w:hAnsi="Palatino Linotype" w:cs="Arial"/>
          <w:color w:val="000000" w:themeColor="text1"/>
        </w:rPr>
        <w:t xml:space="preserve"> de dos mil veintidós</w:t>
      </w:r>
      <w:r w:rsidR="009F09BC" w:rsidRPr="00BC5411">
        <w:rPr>
          <w:rFonts w:ascii="Palatino Linotype" w:hAnsi="Palatino Linotype" w:cs="Arial"/>
          <w:color w:val="000000" w:themeColor="text1"/>
        </w:rPr>
        <w:t xml:space="preserve">, el </w:t>
      </w:r>
      <w:r w:rsidR="009F09BC" w:rsidRPr="00BC5411">
        <w:rPr>
          <w:rFonts w:ascii="Palatino Linotype" w:hAnsi="Palatino Linotype" w:cs="Arial"/>
          <w:b/>
          <w:color w:val="000000" w:themeColor="text1"/>
        </w:rPr>
        <w:t>SUJETO OBLIGADO,</w:t>
      </w:r>
      <w:r w:rsidR="006F1C39" w:rsidRPr="00BC5411">
        <w:rPr>
          <w:rFonts w:ascii="Palatino Linotype" w:hAnsi="Palatino Linotype" w:cs="Arial"/>
          <w:color w:val="000000" w:themeColor="text1"/>
        </w:rPr>
        <w:t xml:space="preserve"> dio respuesta a través del archivo electrónico </w:t>
      </w:r>
      <w:r w:rsidR="006F1C39" w:rsidRPr="00BC5411">
        <w:rPr>
          <w:rFonts w:ascii="Palatino Linotype" w:hAnsi="Palatino Linotype" w:cs="Arial"/>
          <w:b/>
          <w:color w:val="000000" w:themeColor="text1"/>
        </w:rPr>
        <w:t xml:space="preserve">denominado 00002 OASJILO IP 2022 Solicitud Información Pública.pdf, </w:t>
      </w:r>
      <w:r w:rsidR="006F1C39" w:rsidRPr="00BC5411">
        <w:rPr>
          <w:rFonts w:ascii="Palatino Linotype" w:hAnsi="Palatino Linotype" w:cs="Arial"/>
          <w:color w:val="000000" w:themeColor="text1"/>
        </w:rPr>
        <w:t xml:space="preserve">que contiene el oficio </w:t>
      </w:r>
      <w:r w:rsidR="006F1C39" w:rsidRPr="00BC5411">
        <w:rPr>
          <w:rFonts w:ascii="Palatino Linotype" w:hAnsi="Palatino Linotype" w:cs="Arial"/>
          <w:b/>
          <w:color w:val="000000" w:themeColor="text1"/>
        </w:rPr>
        <w:t>ODAPAS/JILO/UT/002-2022</w:t>
      </w:r>
      <w:r w:rsidR="006F1C39" w:rsidRPr="00BC5411">
        <w:rPr>
          <w:rFonts w:ascii="Palatino Linotype" w:hAnsi="Palatino Linotype" w:cs="Arial"/>
          <w:color w:val="000000" w:themeColor="text1"/>
        </w:rPr>
        <w:t xml:space="preserve">, mediante el cual se informa de la respuesta emitida al particular, copia del acuse de la solicitud de información oficio número </w:t>
      </w:r>
      <w:r w:rsidR="006F1C39" w:rsidRPr="00BC5411">
        <w:rPr>
          <w:rFonts w:ascii="Palatino Linotype" w:hAnsi="Palatino Linotype" w:cs="Arial"/>
          <w:b/>
          <w:color w:val="000000" w:themeColor="text1"/>
        </w:rPr>
        <w:t>ODAPAS/JILO/DG/DAF/028/2022</w:t>
      </w:r>
      <w:r w:rsidR="006F1C39" w:rsidRPr="00BC5411">
        <w:rPr>
          <w:rFonts w:ascii="Palatino Linotype" w:hAnsi="Palatino Linotype" w:cs="Arial"/>
          <w:color w:val="000000" w:themeColor="text1"/>
        </w:rPr>
        <w:t xml:space="preserve">, en el que </w:t>
      </w:r>
      <w:r w:rsidR="006F1C39" w:rsidRPr="00BC5411">
        <w:rPr>
          <w:rFonts w:ascii="Palatino Linotype" w:hAnsi="Palatino Linotype" w:cs="Arial"/>
          <w:i/>
          <w:color w:val="000000" w:themeColor="text1"/>
        </w:rPr>
        <w:t>grosso modo</w:t>
      </w:r>
      <w:r w:rsidR="006F1C39" w:rsidRPr="00BC5411">
        <w:rPr>
          <w:rFonts w:ascii="Palatino Linotype" w:hAnsi="Palatino Linotype" w:cs="Arial"/>
          <w:color w:val="000000" w:themeColor="text1"/>
        </w:rPr>
        <w:t xml:space="preserve"> se informa lo siguiente:</w:t>
      </w:r>
    </w:p>
    <w:p w:rsidR="00DF0719" w:rsidRPr="00BC5411" w:rsidRDefault="002F7EE0" w:rsidP="00DF0719">
      <w:pPr>
        <w:pStyle w:val="Prrafodelista"/>
        <w:tabs>
          <w:tab w:val="left" w:pos="0"/>
        </w:tabs>
        <w:spacing w:line="360" w:lineRule="auto"/>
        <w:ind w:left="0" w:right="49"/>
        <w:jc w:val="both"/>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simplePos x="0" y="0"/>
                <wp:positionH relativeFrom="column">
                  <wp:posOffset>8168</wp:posOffset>
                </wp:positionH>
                <wp:positionV relativeFrom="paragraph">
                  <wp:posOffset>103684</wp:posOffset>
                </wp:positionV>
                <wp:extent cx="5458351" cy="3483696"/>
                <wp:effectExtent l="0" t="0" r="28575" b="21590"/>
                <wp:wrapNone/>
                <wp:docPr id="14" name="Conector recto 14"/>
                <wp:cNvGraphicFramePr/>
                <a:graphic xmlns:a="http://schemas.openxmlformats.org/drawingml/2006/main">
                  <a:graphicData uri="http://schemas.microsoft.com/office/word/2010/wordprocessingShape">
                    <wps:wsp>
                      <wps:cNvCnPr/>
                      <wps:spPr>
                        <a:xfrm>
                          <a:off x="0" y="0"/>
                          <a:ext cx="5458351" cy="3483696"/>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33B5A95F" id="Conector recto 1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5pt,8.15pt" to="430.45pt,2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" strokecolor="black [3200]" strokeweight="1.5pt">
                <v:stroke joinstyle="miter"/>
              </v:line>
            </w:pict>
          </mc:Fallback>
        </mc:AlternateContent>
      </w:r>
    </w:p>
    <w:p w:rsidR="00B47955" w:rsidRPr="00BC5411" w:rsidRDefault="006F1C39" w:rsidP="006F1C39">
      <w:pPr>
        <w:pStyle w:val="Prrafodelista"/>
        <w:tabs>
          <w:tab w:val="left" w:pos="0"/>
        </w:tabs>
        <w:spacing w:line="360" w:lineRule="auto"/>
        <w:ind w:left="0" w:right="49"/>
        <w:jc w:val="center"/>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w:lastRenderedPageBreak/>
        <mc:AlternateContent>
          <mc:Choice Requires="wps">
            <w:drawing>
              <wp:anchor distT="0" distB="0" distL="114300" distR="114300" simplePos="0" relativeHeight="251659264" behindDoc="0" locked="0" layoutInCell="1" allowOverlap="1">
                <wp:simplePos x="0" y="0"/>
                <wp:positionH relativeFrom="margin">
                  <wp:posOffset>86707</wp:posOffset>
                </wp:positionH>
                <wp:positionV relativeFrom="paragraph">
                  <wp:posOffset>4815724</wp:posOffset>
                </wp:positionV>
                <wp:extent cx="5486400" cy="1402454"/>
                <wp:effectExtent l="0" t="0" r="19050" b="26670"/>
                <wp:wrapNone/>
                <wp:docPr id="7" name="Conector recto 7"/>
                <wp:cNvGraphicFramePr/>
                <a:graphic xmlns:a="http://schemas.openxmlformats.org/drawingml/2006/main">
                  <a:graphicData uri="http://schemas.microsoft.com/office/word/2010/wordprocessingShape">
                    <wps:wsp>
                      <wps:cNvCnPr/>
                      <wps:spPr>
                        <a:xfrm>
                          <a:off x="0" y="0"/>
                          <a:ext cx="5486400" cy="140245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308F623C"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5pt,379.2pt" to="438.85pt,4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" strokecolor="black [3200]" strokeweight="1.5pt">
                <v:stroke joinstyle="miter"/>
                <w10:wrap anchorx="margin"/>
              </v:line>
            </w:pict>
          </mc:Fallback>
        </mc:AlternateContent>
      </w:r>
      <w:r w:rsidRPr="00BC5411">
        <w:rPr>
          <w:rFonts w:ascii="Palatino Linotype" w:hAnsi="Palatino Linotype" w:cs="Arial"/>
          <w:noProof/>
          <w:color w:val="000000" w:themeColor="text1"/>
          <w:lang w:val="es-MX" w:eastAsia="es-MX"/>
        </w:rPr>
        <w:drawing>
          <wp:inline distT="0" distB="0" distL="0" distR="0">
            <wp:extent cx="5071274" cy="4573685"/>
            <wp:effectExtent l="19050" t="19050" r="1524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895" cy="4575147"/>
                    </a:xfrm>
                    <a:prstGeom prst="rect">
                      <a:avLst/>
                    </a:prstGeom>
                    <a:noFill/>
                    <a:ln>
                      <a:solidFill>
                        <a:schemeClr val="tx1"/>
                      </a:solidFill>
                    </a:ln>
                  </pic:spPr>
                </pic:pic>
              </a:graphicData>
            </a:graphic>
          </wp:inline>
        </w:drawing>
      </w:r>
    </w:p>
    <w:p w:rsidR="006F1C39" w:rsidRPr="00BC5411" w:rsidRDefault="006F1C39" w:rsidP="006F1C39">
      <w:pPr>
        <w:pStyle w:val="Prrafodelista"/>
        <w:tabs>
          <w:tab w:val="left" w:pos="0"/>
        </w:tabs>
        <w:spacing w:line="360" w:lineRule="auto"/>
        <w:ind w:left="0" w:right="49"/>
        <w:jc w:val="center"/>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w:lastRenderedPageBreak/>
        <w:drawing>
          <wp:inline distT="0" distB="0" distL="0" distR="0">
            <wp:extent cx="4459917" cy="3147107"/>
            <wp:effectExtent l="19050" t="19050" r="17145"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1144" cy="3162086"/>
                    </a:xfrm>
                    <a:prstGeom prst="rect">
                      <a:avLst/>
                    </a:prstGeom>
                    <a:noFill/>
                    <a:ln>
                      <a:solidFill>
                        <a:schemeClr val="tx1"/>
                      </a:solidFill>
                    </a:ln>
                  </pic:spPr>
                </pic:pic>
              </a:graphicData>
            </a:graphic>
          </wp:inline>
        </w:drawing>
      </w:r>
    </w:p>
    <w:p w:rsidR="002F7EE0" w:rsidRPr="00BC5411" w:rsidRDefault="002F7EE0" w:rsidP="006F1C39">
      <w:pPr>
        <w:pStyle w:val="Prrafodelista"/>
        <w:tabs>
          <w:tab w:val="left" w:pos="0"/>
        </w:tabs>
        <w:spacing w:line="360" w:lineRule="auto"/>
        <w:ind w:left="0" w:right="49"/>
        <w:jc w:val="center"/>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mc:AlternateContent>
          <mc:Choice Requires="wps">
            <w:drawing>
              <wp:anchor distT="0" distB="0" distL="114300" distR="114300" simplePos="0" relativeHeight="251662336" behindDoc="0" locked="0" layoutInCell="1" allowOverlap="1" wp14:anchorId="300809F1" wp14:editId="3F7232F3">
                <wp:simplePos x="0" y="0"/>
                <wp:positionH relativeFrom="margin">
                  <wp:align>left</wp:align>
                </wp:positionH>
                <wp:positionV relativeFrom="paragraph">
                  <wp:posOffset>5610</wp:posOffset>
                </wp:positionV>
                <wp:extent cx="5592987" cy="3287352"/>
                <wp:effectExtent l="0" t="0" r="27305" b="27940"/>
                <wp:wrapNone/>
                <wp:docPr id="15" name="Conector recto 15"/>
                <wp:cNvGraphicFramePr/>
                <a:graphic xmlns:a="http://schemas.openxmlformats.org/drawingml/2006/main">
                  <a:graphicData uri="http://schemas.microsoft.com/office/word/2010/wordprocessingShape">
                    <wps:wsp>
                      <wps:cNvCnPr/>
                      <wps:spPr>
                        <a:xfrm>
                          <a:off x="0" y="0"/>
                          <a:ext cx="5592987" cy="32873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742234D" id="Conector recto 15"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pt" to="440.4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" strokecolor="black [3200]" strokeweight="1.5pt">
                <v:stroke joinstyle="miter"/>
                <w10:wrap anchorx="margin"/>
              </v:line>
            </w:pict>
          </mc:Fallback>
        </mc:AlternateContent>
      </w:r>
    </w:p>
    <w:p w:rsidR="006F1C39" w:rsidRPr="00BC5411" w:rsidRDefault="00DF0719" w:rsidP="00DF0719">
      <w:pPr>
        <w:pStyle w:val="Prrafodelista"/>
        <w:tabs>
          <w:tab w:val="left" w:pos="0"/>
        </w:tabs>
        <w:spacing w:line="360" w:lineRule="auto"/>
        <w:ind w:left="0" w:right="49"/>
        <w:jc w:val="center"/>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w:lastRenderedPageBreak/>
        <w:drawing>
          <wp:inline distT="0" distB="0" distL="0" distR="0">
            <wp:extent cx="4466609" cy="4408982"/>
            <wp:effectExtent l="19050" t="19050" r="10160"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618" cy="4448475"/>
                    </a:xfrm>
                    <a:prstGeom prst="rect">
                      <a:avLst/>
                    </a:prstGeom>
                    <a:noFill/>
                    <a:ln>
                      <a:solidFill>
                        <a:schemeClr val="tx1"/>
                      </a:solidFill>
                    </a:ln>
                  </pic:spPr>
                </pic:pic>
              </a:graphicData>
            </a:graphic>
          </wp:inline>
        </w:drawing>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b/>
          <w:color w:val="000000" w:themeColor="text1"/>
        </w:rPr>
      </w:pPr>
      <w:r w:rsidRPr="00BC5411">
        <w:rPr>
          <w:rFonts w:ascii="Palatino Linotype" w:hAnsi="Palatino Linotype" w:cs="Arial"/>
          <w:b/>
          <w:color w:val="000000" w:themeColor="text1"/>
        </w:rPr>
        <w:t>(…)</w:t>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w:lastRenderedPageBreak/>
        <w:drawing>
          <wp:inline distT="0" distB="0" distL="0" distR="0">
            <wp:extent cx="3309791" cy="6193087"/>
            <wp:effectExtent l="19050" t="19050" r="24130" b="177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308" cy="6201539"/>
                    </a:xfrm>
                    <a:prstGeom prst="rect">
                      <a:avLst/>
                    </a:prstGeom>
                    <a:noFill/>
                    <a:ln>
                      <a:solidFill>
                        <a:schemeClr val="tx1"/>
                      </a:solidFill>
                    </a:ln>
                  </pic:spPr>
                </pic:pic>
              </a:graphicData>
            </a:graphic>
          </wp:inline>
        </w:drawing>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b/>
          <w:color w:val="000000" w:themeColor="text1"/>
        </w:rPr>
      </w:pPr>
      <w:r w:rsidRPr="00BC5411">
        <w:rPr>
          <w:rFonts w:ascii="Palatino Linotype" w:hAnsi="Palatino Linotype" w:cs="Arial"/>
          <w:b/>
          <w:color w:val="000000" w:themeColor="text1"/>
        </w:rPr>
        <w:t>(…)</w:t>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color w:val="000000" w:themeColor="text1"/>
        </w:rPr>
      </w:pPr>
      <w:r w:rsidRPr="00BC5411">
        <w:rPr>
          <w:rFonts w:ascii="Palatino Linotype" w:hAnsi="Palatino Linotype" w:cs="Arial"/>
          <w:noProof/>
          <w:color w:val="000000" w:themeColor="text1"/>
          <w:lang w:val="es-MX" w:eastAsia="es-MX"/>
        </w:rPr>
        <w:lastRenderedPageBreak/>
        <w:drawing>
          <wp:inline distT="0" distB="0" distL="0" distR="0">
            <wp:extent cx="4111995" cy="6608968"/>
            <wp:effectExtent l="19050" t="19050" r="22225" b="209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288" cy="6623904"/>
                    </a:xfrm>
                    <a:prstGeom prst="rect">
                      <a:avLst/>
                    </a:prstGeom>
                    <a:noFill/>
                    <a:ln>
                      <a:solidFill>
                        <a:schemeClr val="tx1"/>
                      </a:solidFill>
                    </a:ln>
                  </pic:spPr>
                </pic:pic>
              </a:graphicData>
            </a:graphic>
          </wp:inline>
        </w:drawing>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b/>
          <w:color w:val="000000" w:themeColor="text1"/>
        </w:rPr>
      </w:pPr>
      <w:r w:rsidRPr="00BC5411">
        <w:rPr>
          <w:rFonts w:ascii="Palatino Linotype" w:hAnsi="Palatino Linotype" w:cs="Arial"/>
          <w:b/>
          <w:color w:val="000000" w:themeColor="text1"/>
        </w:rPr>
        <w:t>(…)</w:t>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b/>
          <w:color w:val="000000" w:themeColor="text1"/>
        </w:rPr>
      </w:pPr>
      <w:r w:rsidRPr="00BC5411">
        <w:rPr>
          <w:rFonts w:ascii="Palatino Linotype" w:hAnsi="Palatino Linotype" w:cs="Arial"/>
          <w:b/>
          <w:noProof/>
          <w:color w:val="000000" w:themeColor="text1"/>
          <w:lang w:val="es-MX" w:eastAsia="es-MX"/>
        </w:rPr>
        <w:lastRenderedPageBreak/>
        <w:drawing>
          <wp:inline distT="0" distB="0" distL="0" distR="0">
            <wp:extent cx="4123214" cy="5434764"/>
            <wp:effectExtent l="19050" t="19050" r="10795"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8074" cy="5441171"/>
                    </a:xfrm>
                    <a:prstGeom prst="rect">
                      <a:avLst/>
                    </a:prstGeom>
                    <a:noFill/>
                    <a:ln>
                      <a:solidFill>
                        <a:schemeClr val="tx1"/>
                      </a:solidFill>
                    </a:ln>
                  </pic:spPr>
                </pic:pic>
              </a:graphicData>
            </a:graphic>
          </wp:inline>
        </w:drawing>
      </w:r>
    </w:p>
    <w:p w:rsidR="00DF0719" w:rsidRPr="00BC5411" w:rsidRDefault="00DF0719" w:rsidP="00DF0719">
      <w:pPr>
        <w:pStyle w:val="Prrafodelista"/>
        <w:tabs>
          <w:tab w:val="left" w:pos="0"/>
        </w:tabs>
        <w:spacing w:line="360" w:lineRule="auto"/>
        <w:ind w:left="0" w:right="49"/>
        <w:jc w:val="center"/>
        <w:rPr>
          <w:rFonts w:ascii="Palatino Linotype" w:hAnsi="Palatino Linotype" w:cs="Arial"/>
          <w:b/>
          <w:color w:val="000000" w:themeColor="text1"/>
        </w:rPr>
      </w:pPr>
    </w:p>
    <w:p w:rsidR="009F09BC" w:rsidRPr="00BC5411" w:rsidRDefault="009F09BC" w:rsidP="00821B43">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BC5411">
        <w:rPr>
          <w:rFonts w:ascii="Palatino Linotype" w:eastAsia="Times New Roman" w:hAnsi="Palatino Linotype" w:cs="Arial"/>
          <w:color w:val="000000" w:themeColor="text1"/>
          <w:lang w:val="es-ES"/>
        </w:rPr>
        <w:t>E</w:t>
      </w:r>
      <w:r w:rsidR="002C4997" w:rsidRPr="00BC5411">
        <w:rPr>
          <w:rFonts w:ascii="Palatino Linotype" w:eastAsia="Times New Roman" w:hAnsi="Palatino Linotype" w:cs="Arial"/>
          <w:color w:val="000000" w:themeColor="text1"/>
          <w:lang w:val="es-ES"/>
        </w:rPr>
        <w:t xml:space="preserve">l </w:t>
      </w:r>
      <w:r w:rsidR="00177119" w:rsidRPr="00BC5411">
        <w:rPr>
          <w:rFonts w:ascii="Palatino Linotype" w:eastAsia="Times New Roman" w:hAnsi="Palatino Linotype" w:cs="Arial"/>
          <w:color w:val="000000" w:themeColor="text1"/>
          <w:lang w:val="es-ES"/>
        </w:rPr>
        <w:t>diecinueve</w:t>
      </w:r>
      <w:r w:rsidR="00C23EB6" w:rsidRPr="00BC5411">
        <w:rPr>
          <w:rFonts w:ascii="Palatino Linotype" w:eastAsia="Times New Roman" w:hAnsi="Palatino Linotype" w:cs="Arial"/>
          <w:color w:val="000000" w:themeColor="text1"/>
          <w:lang w:val="es-ES"/>
        </w:rPr>
        <w:t xml:space="preserve"> (</w:t>
      </w:r>
      <w:r w:rsidR="00DF0719" w:rsidRPr="00BC5411">
        <w:rPr>
          <w:rFonts w:ascii="Palatino Linotype" w:eastAsia="Times New Roman" w:hAnsi="Palatino Linotype" w:cs="Arial"/>
          <w:color w:val="000000" w:themeColor="text1"/>
          <w:lang w:val="es-ES"/>
        </w:rPr>
        <w:t>1</w:t>
      </w:r>
      <w:r w:rsidR="00177119" w:rsidRPr="00BC5411">
        <w:rPr>
          <w:rFonts w:ascii="Palatino Linotype" w:eastAsia="Times New Roman" w:hAnsi="Palatino Linotype" w:cs="Arial"/>
          <w:color w:val="000000" w:themeColor="text1"/>
          <w:lang w:val="es-ES"/>
        </w:rPr>
        <w:t>9</w:t>
      </w:r>
      <w:r w:rsidR="00C23EB6" w:rsidRPr="00BC5411">
        <w:rPr>
          <w:rFonts w:ascii="Palatino Linotype" w:eastAsia="Times New Roman" w:hAnsi="Palatino Linotype" w:cs="Arial"/>
          <w:color w:val="000000" w:themeColor="text1"/>
          <w:lang w:val="es-ES"/>
        </w:rPr>
        <w:t>)</w:t>
      </w:r>
      <w:r w:rsidRPr="00BC5411">
        <w:rPr>
          <w:rFonts w:ascii="Palatino Linotype" w:eastAsia="Times New Roman" w:hAnsi="Palatino Linotype" w:cs="Arial"/>
          <w:color w:val="000000" w:themeColor="text1"/>
          <w:lang w:val="es-ES"/>
        </w:rPr>
        <w:t xml:space="preserve"> de </w:t>
      </w:r>
      <w:r w:rsidR="00177119" w:rsidRPr="00BC5411">
        <w:rPr>
          <w:rFonts w:ascii="Palatino Linotype" w:eastAsia="Times New Roman" w:hAnsi="Palatino Linotype" w:cs="Arial"/>
          <w:color w:val="000000" w:themeColor="text1"/>
          <w:lang w:val="es-ES"/>
        </w:rPr>
        <w:t>febrero</w:t>
      </w:r>
      <w:r w:rsidRPr="00BC5411">
        <w:rPr>
          <w:rFonts w:ascii="Palatino Linotype" w:eastAsia="Times New Roman" w:hAnsi="Palatino Linotype" w:cs="Arial"/>
          <w:color w:val="000000" w:themeColor="text1"/>
          <w:lang w:val="es-ES"/>
        </w:rPr>
        <w:t xml:space="preserve"> de </w:t>
      </w:r>
      <w:r w:rsidR="007C3761" w:rsidRPr="00BC5411">
        <w:rPr>
          <w:rFonts w:ascii="Palatino Linotype" w:eastAsia="Times New Roman" w:hAnsi="Palatino Linotype" w:cs="Arial"/>
          <w:color w:val="000000" w:themeColor="text1"/>
          <w:lang w:val="es-ES"/>
        </w:rPr>
        <w:t>dos mil veintidós</w:t>
      </w:r>
      <w:r w:rsidRPr="00BC5411">
        <w:rPr>
          <w:rFonts w:ascii="Palatino Linotype" w:eastAsia="Times New Roman" w:hAnsi="Palatino Linotype" w:cs="Arial"/>
          <w:color w:val="000000" w:themeColor="text1"/>
          <w:lang w:val="es-ES"/>
        </w:rPr>
        <w:t xml:space="preserve">, el particular interpuso </w:t>
      </w:r>
      <w:r w:rsidR="002C4997" w:rsidRPr="00BC5411">
        <w:rPr>
          <w:rFonts w:ascii="Palatino Linotype" w:eastAsia="Times New Roman" w:hAnsi="Palatino Linotype" w:cs="Arial"/>
          <w:color w:val="000000" w:themeColor="text1"/>
          <w:lang w:val="es-ES"/>
        </w:rPr>
        <w:t>e</w:t>
      </w:r>
      <w:r w:rsidRPr="00BC5411">
        <w:rPr>
          <w:rFonts w:ascii="Palatino Linotype" w:eastAsia="Times New Roman" w:hAnsi="Palatino Linotype" w:cs="Arial"/>
          <w:color w:val="000000" w:themeColor="text1"/>
          <w:lang w:val="es-ES"/>
        </w:rPr>
        <w:t>l recurso de revisión en contra de la respuesta,</w:t>
      </w:r>
      <w:r w:rsidR="00C23EB6" w:rsidRPr="00BC5411">
        <w:rPr>
          <w:rFonts w:ascii="Palatino Linotype" w:eastAsia="Times New Roman" w:hAnsi="Palatino Linotype" w:cs="Arial"/>
          <w:color w:val="000000" w:themeColor="text1"/>
          <w:lang w:val="es-ES"/>
        </w:rPr>
        <w:t xml:space="preserve"> en el que se establecieron</w:t>
      </w:r>
      <w:r w:rsidRPr="00BC5411">
        <w:rPr>
          <w:rFonts w:ascii="Palatino Linotype" w:eastAsia="Times New Roman" w:hAnsi="Palatino Linotype" w:cs="Arial"/>
          <w:color w:val="000000" w:themeColor="text1"/>
          <w:lang w:val="es-ES"/>
        </w:rPr>
        <w:t xml:space="preserve"> l</w:t>
      </w:r>
      <w:r w:rsidR="002C4997" w:rsidRPr="00BC5411">
        <w:rPr>
          <w:rFonts w:ascii="Palatino Linotype" w:eastAsia="Times New Roman" w:hAnsi="Palatino Linotype" w:cs="Arial"/>
          <w:color w:val="000000" w:themeColor="text1"/>
          <w:lang w:val="es-ES"/>
        </w:rPr>
        <w:t>a</w:t>
      </w:r>
      <w:r w:rsidRPr="00BC5411">
        <w:rPr>
          <w:rFonts w:ascii="Palatino Linotype" w:eastAsia="Times New Roman" w:hAnsi="Palatino Linotype" w:cs="Arial"/>
          <w:color w:val="000000" w:themeColor="text1"/>
          <w:lang w:val="es-ES"/>
        </w:rPr>
        <w:t xml:space="preserve">s </w:t>
      </w:r>
      <w:r w:rsidR="002C4997" w:rsidRPr="00BC5411">
        <w:rPr>
          <w:rFonts w:ascii="Palatino Linotype" w:eastAsia="Times New Roman" w:hAnsi="Palatino Linotype" w:cs="Arial"/>
          <w:color w:val="000000" w:themeColor="text1"/>
          <w:lang w:val="es-ES"/>
        </w:rPr>
        <w:t>siguientes</w:t>
      </w:r>
      <w:r w:rsidRPr="00BC5411">
        <w:rPr>
          <w:rFonts w:ascii="Palatino Linotype" w:eastAsia="Times New Roman" w:hAnsi="Palatino Linotype" w:cs="Arial"/>
          <w:color w:val="000000" w:themeColor="text1"/>
          <w:lang w:val="es-ES"/>
        </w:rPr>
        <w:t xml:space="preserve"> razones o motivos de inconformidad:</w:t>
      </w:r>
    </w:p>
    <w:p w:rsidR="009F09BC" w:rsidRPr="00BC5411" w:rsidRDefault="009F09BC" w:rsidP="00821B43">
      <w:pPr>
        <w:pStyle w:val="Prrafodelista"/>
        <w:numPr>
          <w:ilvl w:val="0"/>
          <w:numId w:val="2"/>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BC5411">
        <w:rPr>
          <w:rStyle w:val="Ttulo2Car"/>
          <w:rFonts w:ascii="Palatino Linotype" w:hAnsi="Palatino Linotype"/>
          <w:b/>
          <w:color w:val="auto"/>
          <w:sz w:val="24"/>
          <w:szCs w:val="24"/>
        </w:rPr>
        <w:lastRenderedPageBreak/>
        <w:t>Acto impugnado</w:t>
      </w:r>
      <w:bookmarkEnd w:id="3"/>
      <w:r w:rsidRPr="00BC5411">
        <w:rPr>
          <w:rStyle w:val="Ttulo2Car"/>
          <w:rFonts w:ascii="Palatino Linotype" w:hAnsi="Palatino Linotype"/>
          <w:b/>
          <w:color w:val="000000" w:themeColor="text1"/>
          <w:sz w:val="24"/>
          <w:szCs w:val="24"/>
        </w:rPr>
        <w:t xml:space="preserve">: </w:t>
      </w:r>
      <w:r w:rsidRPr="00BC5411">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177119" w:rsidRPr="00BC5411">
        <w:rPr>
          <w:rStyle w:val="Ttulo2Car"/>
          <w:rFonts w:ascii="Palatino Linotype" w:hAnsi="Palatino Linotype"/>
          <w:i/>
          <w:color w:val="000000" w:themeColor="text1"/>
          <w:sz w:val="24"/>
          <w:szCs w:val="24"/>
        </w:rPr>
        <w:t xml:space="preserve">su oficio </w:t>
      </w:r>
      <w:proofErr w:type="spellStart"/>
      <w:r w:rsidR="00177119" w:rsidRPr="00BC5411">
        <w:rPr>
          <w:rStyle w:val="Ttulo2Car"/>
          <w:rFonts w:ascii="Palatino Linotype" w:hAnsi="Palatino Linotype"/>
          <w:i/>
          <w:color w:val="000000" w:themeColor="text1"/>
          <w:sz w:val="24"/>
          <w:szCs w:val="24"/>
        </w:rPr>
        <w:t>oficio</w:t>
      </w:r>
      <w:proofErr w:type="spellEnd"/>
      <w:r w:rsidR="00177119" w:rsidRPr="00BC5411">
        <w:rPr>
          <w:rStyle w:val="Ttulo2Car"/>
          <w:rFonts w:ascii="Palatino Linotype" w:hAnsi="Palatino Linotype"/>
          <w:i/>
          <w:color w:val="000000" w:themeColor="text1"/>
          <w:sz w:val="24"/>
          <w:szCs w:val="24"/>
        </w:rPr>
        <w:t>: archivo 00002 OASJILO IP 2022 a mi petición de información</w:t>
      </w:r>
      <w:r w:rsidRPr="00BC5411">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2F7EE0" w:rsidRPr="00BC5411" w:rsidRDefault="002F7EE0" w:rsidP="002F7EE0">
      <w:pPr>
        <w:pStyle w:val="Prrafodelista"/>
        <w:spacing w:line="360" w:lineRule="auto"/>
        <w:ind w:left="1004"/>
        <w:jc w:val="both"/>
        <w:rPr>
          <w:rFonts w:ascii="Palatino Linotype" w:hAnsi="Palatino Linotype"/>
          <w:i/>
          <w:color w:val="000000" w:themeColor="text1"/>
        </w:rPr>
      </w:pPr>
    </w:p>
    <w:p w:rsidR="009F09BC" w:rsidRPr="00BC5411" w:rsidRDefault="009F09BC" w:rsidP="00821B43">
      <w:pPr>
        <w:pStyle w:val="Prrafodelista"/>
        <w:numPr>
          <w:ilvl w:val="0"/>
          <w:numId w:val="2"/>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BC5411">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BC5411">
        <w:rPr>
          <w:rFonts w:ascii="Palatino Linotype" w:hAnsi="Palatino Linotype"/>
          <w:b/>
          <w:color w:val="000000" w:themeColor="text1"/>
        </w:rPr>
        <w:t xml:space="preserve"> </w:t>
      </w:r>
      <w:r w:rsidRPr="00BC5411">
        <w:rPr>
          <w:rFonts w:ascii="Palatino Linotype" w:hAnsi="Palatino Linotype"/>
          <w:i/>
          <w:color w:val="000000" w:themeColor="text1"/>
        </w:rPr>
        <w:t>“</w:t>
      </w:r>
      <w:r w:rsidR="00177119" w:rsidRPr="00BC5411">
        <w:rPr>
          <w:rFonts w:ascii="Palatino Linotype" w:hAnsi="Palatino Linotype"/>
          <w:i/>
          <w:color w:val="000000" w:themeColor="text1"/>
        </w:rPr>
        <w:t xml:space="preserve">Por medio de la presente hoy 19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Organismo Público Descentralizado para la Prestación de Los Servicios de Agua Potable Alcantarillado y Saneamiento del Municipio de Jilotepec, ya que su respuesta; oficio: archivo 00002 OASJILO IP 2022 a mi petición de información recae en los supuestos establecidos por las fracciones I, II, III, IV, X, XI, XII, XIII y XIV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w:t>
      </w:r>
      <w:r w:rsidR="00177119" w:rsidRPr="00BC5411">
        <w:rPr>
          <w:rFonts w:ascii="Palatino Linotype" w:hAnsi="Palatino Linotype"/>
          <w:i/>
          <w:color w:val="000000" w:themeColor="text1"/>
        </w:rPr>
        <w:lastRenderedPageBreak/>
        <w:t xml:space="preserve">privado. Y con el afán de cordialidad y apoyar al Ente Público Obligado y cumpla con su Obligación de entregarme lo solicitado, porque pareciera no entendió que si es de su competencia, ya que los reportes visores de nómina solo puede generarlos el Ente Público Obligado desde su portal del SAT; se reitera es información fácil que ya tiene el Ente Obligado en su portal del SAT, repito directamente en su portal del SAT ya que son simples REPORTES reitero REPORTES que ya hizo y entregó el Organismo Público Descentralizado para la Prestación de Los Servicios de Agua Potable Alcantarillado y Saneamiento del Municipio de Jilotepec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177119" w:rsidRPr="00BC5411">
        <w:rPr>
          <w:rFonts w:ascii="Palatino Linotype" w:hAnsi="Palatino Linotype"/>
          <w:i/>
          <w:color w:val="000000" w:themeColor="text1"/>
        </w:rPr>
        <w:t>pdf</w:t>
      </w:r>
      <w:proofErr w:type="spellEnd"/>
      <w:r w:rsidR="00177119" w:rsidRPr="00BC5411">
        <w:rPr>
          <w:rFonts w:ascii="Palatino Linotype" w:hAnsi="Palatino Linotype"/>
          <w:i/>
          <w:color w:val="000000" w:themeColor="text1"/>
        </w:rPr>
        <w:t xml:space="preserve">, se envían y listo. Respecto a las otras dos presentaciones del visor de nóminas del SAT (Vista anual acumulada y detalle mensual) solo tiene que descargar los </w:t>
      </w:r>
      <w:proofErr w:type="spellStart"/>
      <w:r w:rsidR="00177119" w:rsidRPr="00BC5411">
        <w:rPr>
          <w:rFonts w:ascii="Palatino Linotype" w:hAnsi="Palatino Linotype"/>
          <w:i/>
          <w:color w:val="000000" w:themeColor="text1"/>
        </w:rPr>
        <w:t>pdf</w:t>
      </w:r>
      <w:proofErr w:type="spellEnd"/>
      <w:r w:rsidR="00177119" w:rsidRPr="00BC5411">
        <w:rPr>
          <w:rFonts w:ascii="Palatino Linotype" w:hAnsi="Palatino Linotype"/>
          <w:i/>
          <w:color w:val="000000" w:themeColor="text1"/>
        </w:rPr>
        <w:t xml:space="preserve">. de su portal del SAT. Dando solo dos </w:t>
      </w:r>
      <w:proofErr w:type="spellStart"/>
      <w:r w:rsidR="00177119" w:rsidRPr="00BC5411">
        <w:rPr>
          <w:rFonts w:ascii="Palatino Linotype" w:hAnsi="Palatino Linotype"/>
          <w:i/>
          <w:color w:val="000000" w:themeColor="text1"/>
        </w:rPr>
        <w:t>clicks</w:t>
      </w:r>
      <w:proofErr w:type="spellEnd"/>
      <w:r w:rsidR="00177119" w:rsidRPr="00BC5411">
        <w:rPr>
          <w:rFonts w:ascii="Palatino Linotype" w:hAnsi="Palatino Linotype"/>
          <w:i/>
          <w:color w:val="000000" w:themeColor="text1"/>
        </w:rPr>
        <w:t xml:space="preserve"> y descargando los archivos. Ahora para enviar la información se puede enviar en carpetas comprimidas o por medio de un link de la nube drive es sencillo. Como ya me han hecho favor de entregar otros entes públicos Obligados del Estado de México de las mismas características y sin ningún contratiempo para hacerlo. Respecto a los puntos solicitados II, III y IV si no se tiene convenios de colaboración </w:t>
      </w:r>
      <w:r w:rsidR="00177119" w:rsidRPr="00BC5411">
        <w:rPr>
          <w:rFonts w:ascii="Palatino Linotype" w:hAnsi="Palatino Linotype"/>
          <w:i/>
          <w:color w:val="000000" w:themeColor="text1"/>
        </w:rPr>
        <w:lastRenderedPageBreak/>
        <w:t xml:space="preserve">con esos entes fiscalizadores está bien la respuesta que no aplica si esto es así, pero respecto al punto I espero ahora si lo haya entendido que es una herramienta de ayuda del SAT para ellos y son reportes ya entregados y si </w:t>
      </w:r>
      <w:proofErr w:type="spellStart"/>
      <w:r w:rsidR="00177119" w:rsidRPr="00BC5411">
        <w:rPr>
          <w:rFonts w:ascii="Palatino Linotype" w:hAnsi="Palatino Linotype"/>
          <w:i/>
          <w:color w:val="000000" w:themeColor="text1"/>
        </w:rPr>
        <w:t>aún</w:t>
      </w:r>
      <w:proofErr w:type="spellEnd"/>
      <w:r w:rsidR="00177119" w:rsidRPr="00BC5411">
        <w:rPr>
          <w:rFonts w:ascii="Palatino Linotype" w:hAnsi="Palatino Linotype"/>
          <w:i/>
          <w:color w:val="000000" w:themeColor="text1"/>
        </w:rPr>
        <w:t xml:space="preserve"> así no le queda claro para ayudarlo le adjunto ejemplos reales de otros entes públicos y sepa que es lo que le solicito.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2021 .Además de los otros puntos II, III y IV si es que aplican. Y el V y VI es una sugerencia par </w:t>
      </w:r>
      <w:proofErr w:type="spellStart"/>
      <w:r w:rsidR="00177119" w:rsidRPr="00BC5411">
        <w:rPr>
          <w:rFonts w:ascii="Palatino Linotype" w:hAnsi="Palatino Linotype"/>
          <w:i/>
          <w:color w:val="000000" w:themeColor="text1"/>
        </w:rPr>
        <w:t>eficientar</w:t>
      </w:r>
      <w:proofErr w:type="spellEnd"/>
      <w:r w:rsidR="00177119" w:rsidRPr="00BC5411">
        <w:rPr>
          <w:rFonts w:ascii="Palatino Linotype" w:hAnsi="Palatino Linotype"/>
          <w:i/>
          <w:color w:val="000000" w:themeColor="text1"/>
        </w:rPr>
        <w:t xml:space="preserve"> y mejor su actividades.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 Atte. </w:t>
      </w:r>
      <w:r w:rsidR="00951F58">
        <w:rPr>
          <w:rFonts w:ascii="Palatino Linotype" w:hAnsi="Palatino Linotype"/>
          <w:i/>
          <w:color w:val="000000" w:themeColor="text1"/>
        </w:rPr>
        <w:t>XXX XXXX XXX</w:t>
      </w:r>
      <w:r w:rsidRPr="00BC5411">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E80237" w:rsidRPr="00BC5411" w:rsidRDefault="00E80237" w:rsidP="00E80237">
      <w:pPr>
        <w:pStyle w:val="Prrafodelista"/>
        <w:spacing w:line="360" w:lineRule="auto"/>
        <w:ind w:left="1004"/>
        <w:jc w:val="both"/>
        <w:rPr>
          <w:rFonts w:ascii="Palatino Linotype" w:hAnsi="Palatino Linotype"/>
          <w:i/>
          <w:color w:val="000000" w:themeColor="text1"/>
        </w:rPr>
      </w:pPr>
    </w:p>
    <w:p w:rsidR="00177119" w:rsidRPr="00BC5411" w:rsidRDefault="00E80237" w:rsidP="00821B43">
      <w:pPr>
        <w:pStyle w:val="Prrafodelista"/>
        <w:numPr>
          <w:ilvl w:val="0"/>
          <w:numId w:val="2"/>
        </w:numPr>
        <w:spacing w:line="360" w:lineRule="auto"/>
        <w:jc w:val="both"/>
        <w:rPr>
          <w:rFonts w:ascii="Palatino Linotype" w:eastAsiaTheme="majorEastAsia" w:hAnsi="Palatino Linotype" w:cstheme="majorBidi"/>
          <w:b/>
          <w:i/>
          <w:color w:val="000000" w:themeColor="text1"/>
        </w:rPr>
      </w:pPr>
      <w:r w:rsidRPr="00BC5411">
        <w:rPr>
          <w:rStyle w:val="Ttulo2Car"/>
          <w:rFonts w:ascii="Palatino Linotype" w:hAnsi="Palatino Linotype"/>
          <w:color w:val="000000" w:themeColor="text1"/>
          <w:sz w:val="24"/>
          <w:szCs w:val="24"/>
        </w:rPr>
        <w:t>Asimismo, adjunto l</w:t>
      </w:r>
      <w:r w:rsidR="00177119" w:rsidRPr="00BC5411">
        <w:rPr>
          <w:rStyle w:val="Ttulo2Car"/>
          <w:rFonts w:ascii="Palatino Linotype" w:hAnsi="Palatino Linotype"/>
          <w:color w:val="000000" w:themeColor="text1"/>
          <w:sz w:val="24"/>
          <w:szCs w:val="24"/>
        </w:rPr>
        <w:t>os</w:t>
      </w:r>
      <w:r w:rsidRPr="00BC5411">
        <w:rPr>
          <w:rStyle w:val="Ttulo2Car"/>
          <w:rFonts w:ascii="Palatino Linotype" w:hAnsi="Palatino Linotype"/>
          <w:color w:val="000000" w:themeColor="text1"/>
          <w:sz w:val="24"/>
          <w:szCs w:val="24"/>
        </w:rPr>
        <w:t xml:space="preserve"> </w:t>
      </w:r>
      <w:r w:rsidR="00177119" w:rsidRPr="00BC5411">
        <w:rPr>
          <w:rStyle w:val="Ttulo2Car"/>
          <w:rFonts w:ascii="Palatino Linotype" w:hAnsi="Palatino Linotype"/>
          <w:color w:val="000000" w:themeColor="text1"/>
          <w:sz w:val="24"/>
          <w:szCs w:val="24"/>
        </w:rPr>
        <w:t xml:space="preserve">siguiente </w:t>
      </w:r>
      <w:r w:rsidRPr="00BC5411">
        <w:rPr>
          <w:rStyle w:val="Ttulo2Car"/>
          <w:rFonts w:ascii="Palatino Linotype" w:hAnsi="Palatino Linotype"/>
          <w:color w:val="000000" w:themeColor="text1"/>
          <w:sz w:val="24"/>
          <w:szCs w:val="24"/>
        </w:rPr>
        <w:t>archivo</w:t>
      </w:r>
      <w:r w:rsidR="00177119" w:rsidRPr="00BC5411">
        <w:rPr>
          <w:rStyle w:val="Ttulo2Car"/>
          <w:rFonts w:ascii="Palatino Linotype" w:hAnsi="Palatino Linotype"/>
          <w:color w:val="000000" w:themeColor="text1"/>
          <w:sz w:val="24"/>
          <w:szCs w:val="24"/>
        </w:rPr>
        <w:t>s</w:t>
      </w:r>
      <w:r w:rsidRPr="00BC5411">
        <w:rPr>
          <w:rStyle w:val="Ttulo2Car"/>
          <w:rFonts w:ascii="Palatino Linotype" w:hAnsi="Palatino Linotype"/>
          <w:color w:val="000000" w:themeColor="text1"/>
          <w:sz w:val="24"/>
          <w:szCs w:val="24"/>
        </w:rPr>
        <w:t xml:space="preserve"> </w:t>
      </w:r>
      <w:r w:rsidR="00177119" w:rsidRPr="00BC5411">
        <w:rPr>
          <w:rStyle w:val="Ttulo2Car"/>
          <w:rFonts w:ascii="Palatino Linotype" w:hAnsi="Palatino Linotype"/>
          <w:color w:val="000000" w:themeColor="text1"/>
          <w:sz w:val="24"/>
          <w:szCs w:val="24"/>
        </w:rPr>
        <w:t>electrónicos</w:t>
      </w:r>
      <w:r w:rsidR="00FF161F" w:rsidRPr="00BC5411">
        <w:rPr>
          <w:rStyle w:val="Ttulo2Car"/>
          <w:rFonts w:ascii="Palatino Linotype" w:hAnsi="Palatino Linotype"/>
          <w:color w:val="000000" w:themeColor="text1"/>
          <w:sz w:val="24"/>
          <w:szCs w:val="24"/>
        </w:rPr>
        <w:t xml:space="preserve">, que corresponden al soporte documental de un </w:t>
      </w:r>
      <w:r w:rsidR="00FF161F" w:rsidRPr="00BC5411">
        <w:rPr>
          <w:rStyle w:val="Ttulo2Car"/>
          <w:rFonts w:ascii="Palatino Linotype" w:hAnsi="Palatino Linotype"/>
          <w:b/>
          <w:color w:val="000000" w:themeColor="text1"/>
          <w:sz w:val="24"/>
          <w:szCs w:val="24"/>
        </w:rPr>
        <w:t>ente diverso</w:t>
      </w:r>
      <w:r w:rsidR="00FF161F" w:rsidRPr="00BC5411">
        <w:rPr>
          <w:rStyle w:val="Ttulo2Car"/>
          <w:rFonts w:ascii="Palatino Linotype" w:hAnsi="Palatino Linotype"/>
          <w:color w:val="000000" w:themeColor="text1"/>
          <w:sz w:val="24"/>
          <w:szCs w:val="24"/>
        </w:rPr>
        <w:t xml:space="preserve"> al de mérito, del Estado de Guanajuato</w:t>
      </w:r>
      <w:r w:rsidR="00177119" w:rsidRPr="00BC5411">
        <w:rPr>
          <w:rStyle w:val="Ttulo2Car"/>
          <w:rFonts w:ascii="Palatino Linotype" w:hAnsi="Palatino Linotype"/>
          <w:color w:val="000000" w:themeColor="text1"/>
          <w:sz w:val="24"/>
          <w:szCs w:val="24"/>
        </w:rPr>
        <w:t>:</w:t>
      </w:r>
    </w:p>
    <w:p w:rsidR="00177119" w:rsidRPr="00BC5411" w:rsidRDefault="00177119" w:rsidP="00177119">
      <w:pPr>
        <w:pStyle w:val="Prrafodelista"/>
        <w:rPr>
          <w:rStyle w:val="Ttulo2Car"/>
          <w:rFonts w:ascii="Palatino Linotype" w:hAnsi="Palatino Linotype"/>
          <w:b/>
          <w:i/>
          <w:color w:val="000000" w:themeColor="text1"/>
          <w:sz w:val="24"/>
          <w:szCs w:val="24"/>
        </w:rPr>
      </w:pPr>
    </w:p>
    <w:p w:rsidR="00177119" w:rsidRPr="00BC5411" w:rsidRDefault="00177119" w:rsidP="00821B43">
      <w:pPr>
        <w:pStyle w:val="Prrafodelista"/>
        <w:numPr>
          <w:ilvl w:val="0"/>
          <w:numId w:val="9"/>
        </w:numPr>
        <w:spacing w:line="360" w:lineRule="auto"/>
        <w:ind w:left="993"/>
        <w:jc w:val="both"/>
        <w:rPr>
          <w:rStyle w:val="Ttulo2Car"/>
          <w:rFonts w:ascii="Palatino Linotype" w:hAnsi="Palatino Linotype"/>
          <w:color w:val="000000" w:themeColor="text1"/>
          <w:sz w:val="24"/>
          <w:szCs w:val="24"/>
        </w:rPr>
      </w:pPr>
      <w:r w:rsidRPr="00BC5411">
        <w:rPr>
          <w:rStyle w:val="Ttulo2Car"/>
          <w:rFonts w:ascii="Palatino Linotype" w:hAnsi="Palatino Linotype"/>
          <w:b/>
          <w:i/>
          <w:color w:val="000000" w:themeColor="text1"/>
          <w:sz w:val="24"/>
          <w:szCs w:val="24"/>
        </w:rPr>
        <w:t>G-35-03-03-2018-01 ejemplo presentación detalle mensual.pdf</w:t>
      </w:r>
    </w:p>
    <w:p w:rsidR="00177119" w:rsidRPr="00BC5411" w:rsidRDefault="00177119" w:rsidP="00137203">
      <w:pPr>
        <w:pStyle w:val="Prrafodelista"/>
        <w:spacing w:line="360" w:lineRule="auto"/>
        <w:ind w:left="993"/>
        <w:jc w:val="both"/>
        <w:rPr>
          <w:rStyle w:val="Ttulo2Car"/>
          <w:rFonts w:ascii="Palatino Linotype" w:hAnsi="Palatino Linotype"/>
          <w:color w:val="000000" w:themeColor="text1"/>
          <w:sz w:val="24"/>
          <w:szCs w:val="24"/>
        </w:rPr>
      </w:pPr>
    </w:p>
    <w:p w:rsidR="00177119" w:rsidRPr="00BC5411" w:rsidRDefault="00177119" w:rsidP="00821B43">
      <w:pPr>
        <w:pStyle w:val="Prrafodelista"/>
        <w:numPr>
          <w:ilvl w:val="0"/>
          <w:numId w:val="9"/>
        </w:numPr>
        <w:spacing w:line="360" w:lineRule="auto"/>
        <w:ind w:left="993"/>
        <w:jc w:val="both"/>
        <w:rPr>
          <w:rStyle w:val="Ttulo2Car"/>
          <w:rFonts w:ascii="Palatino Linotype" w:hAnsi="Palatino Linotype"/>
          <w:b/>
          <w:color w:val="000000" w:themeColor="text1"/>
          <w:sz w:val="24"/>
          <w:szCs w:val="24"/>
        </w:rPr>
      </w:pPr>
      <w:r w:rsidRPr="00BC5411">
        <w:rPr>
          <w:rStyle w:val="Ttulo2Car"/>
          <w:rFonts w:ascii="Palatino Linotype" w:hAnsi="Palatino Linotype"/>
          <w:b/>
          <w:i/>
          <w:color w:val="000000" w:themeColor="text1"/>
          <w:sz w:val="24"/>
          <w:szCs w:val="24"/>
        </w:rPr>
        <w:t xml:space="preserve">G-13-03-01-2019-01 ejemplo vista anual acumulado o global.pdf </w:t>
      </w:r>
    </w:p>
    <w:p w:rsidR="00177119" w:rsidRPr="00BC5411" w:rsidRDefault="00177119" w:rsidP="00137203">
      <w:pPr>
        <w:pStyle w:val="Prrafodelista"/>
        <w:spacing w:line="360" w:lineRule="auto"/>
        <w:ind w:left="993"/>
        <w:jc w:val="both"/>
        <w:rPr>
          <w:rStyle w:val="Ttulo2Car"/>
          <w:rFonts w:ascii="Palatino Linotype" w:hAnsi="Palatino Linotype"/>
          <w:color w:val="000000" w:themeColor="text1"/>
          <w:sz w:val="24"/>
          <w:szCs w:val="24"/>
        </w:rPr>
      </w:pPr>
    </w:p>
    <w:p w:rsidR="00E80237" w:rsidRPr="00BC5411" w:rsidRDefault="00177119" w:rsidP="00821B43">
      <w:pPr>
        <w:pStyle w:val="Prrafodelista"/>
        <w:numPr>
          <w:ilvl w:val="0"/>
          <w:numId w:val="9"/>
        </w:numPr>
        <w:spacing w:line="360" w:lineRule="auto"/>
        <w:ind w:left="993"/>
        <w:jc w:val="both"/>
        <w:rPr>
          <w:rFonts w:ascii="Palatino Linotype" w:hAnsi="Palatino Linotype"/>
          <w:b/>
          <w:color w:val="000000" w:themeColor="text1"/>
        </w:rPr>
      </w:pPr>
      <w:r w:rsidRPr="00BC5411">
        <w:rPr>
          <w:rStyle w:val="Ttulo2Car"/>
          <w:rFonts w:ascii="Palatino Linotype" w:hAnsi="Palatino Linotype"/>
          <w:b/>
          <w:i/>
          <w:color w:val="000000" w:themeColor="text1"/>
          <w:sz w:val="24"/>
          <w:szCs w:val="24"/>
        </w:rPr>
        <w:t>G-13-01-02-2019-01 ejemplo detalle diferencias sueldos y salarios, diferencias mensuales.pdf</w:t>
      </w:r>
    </w:p>
    <w:p w:rsidR="009F09BC" w:rsidRPr="00BC5411" w:rsidRDefault="009F09BC" w:rsidP="00855290">
      <w:pPr>
        <w:pStyle w:val="Prrafodelista"/>
        <w:spacing w:line="360" w:lineRule="auto"/>
        <w:ind w:left="1004"/>
        <w:jc w:val="both"/>
        <w:rPr>
          <w:rFonts w:ascii="Palatino Linotype" w:hAnsi="Palatino Linotype"/>
          <w:i/>
          <w:color w:val="000000" w:themeColor="text1"/>
        </w:rPr>
      </w:pPr>
    </w:p>
    <w:p w:rsidR="009F09BC" w:rsidRPr="00BC5411" w:rsidRDefault="00CC5B2F" w:rsidP="00821B43">
      <w:pPr>
        <w:pStyle w:val="Prrafodelista"/>
        <w:numPr>
          <w:ilvl w:val="0"/>
          <w:numId w:val="1"/>
        </w:numPr>
        <w:spacing w:line="360" w:lineRule="auto"/>
        <w:ind w:left="0" w:firstLine="0"/>
        <w:jc w:val="both"/>
        <w:rPr>
          <w:rFonts w:ascii="Palatino Linotype" w:hAnsi="Palatino Linotype"/>
          <w:i/>
        </w:rPr>
      </w:pPr>
      <w:r w:rsidRPr="00BC5411">
        <w:rPr>
          <w:rFonts w:ascii="Palatino Linotype" w:eastAsia="Calibri" w:hAnsi="Palatino Linotype" w:cs="Arial"/>
          <w:lang w:val="es-ES"/>
        </w:rPr>
        <w:t>La Comisionada</w:t>
      </w:r>
      <w:r w:rsidR="009F09BC" w:rsidRPr="00BC5411">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FF161F" w:rsidRPr="00BC5411">
        <w:rPr>
          <w:rFonts w:ascii="Palatino Linotype" w:eastAsia="Calibri" w:hAnsi="Palatino Linotype" w:cs="Arial"/>
          <w:lang w:val="es-ES"/>
        </w:rPr>
        <w:t>veinticuatro</w:t>
      </w:r>
      <w:r w:rsidR="009F09BC" w:rsidRPr="00BC5411">
        <w:rPr>
          <w:rFonts w:ascii="Palatino Linotype" w:eastAsia="Calibri" w:hAnsi="Palatino Linotype" w:cs="Arial"/>
          <w:lang w:val="es-ES"/>
        </w:rPr>
        <w:t xml:space="preserve"> (</w:t>
      </w:r>
      <w:r w:rsidR="00FF161F" w:rsidRPr="00BC5411">
        <w:rPr>
          <w:rFonts w:ascii="Palatino Linotype" w:eastAsia="Calibri" w:hAnsi="Palatino Linotype" w:cs="Arial"/>
          <w:lang w:val="es-ES"/>
        </w:rPr>
        <w:t>24</w:t>
      </w:r>
      <w:r w:rsidR="009F09BC" w:rsidRPr="00BC5411">
        <w:rPr>
          <w:rFonts w:ascii="Palatino Linotype" w:eastAsia="Calibri" w:hAnsi="Palatino Linotype" w:cs="Arial"/>
          <w:lang w:val="es-ES"/>
        </w:rPr>
        <w:t xml:space="preserve">) de </w:t>
      </w:r>
      <w:r w:rsidR="00DA782E" w:rsidRPr="00BC5411">
        <w:rPr>
          <w:rFonts w:ascii="Palatino Linotype" w:eastAsia="Calibri" w:hAnsi="Palatino Linotype" w:cs="Arial"/>
          <w:lang w:val="es-ES"/>
        </w:rPr>
        <w:t>febrero</w:t>
      </w:r>
      <w:r w:rsidR="00A03F8F" w:rsidRPr="00BC5411">
        <w:rPr>
          <w:rFonts w:ascii="Palatino Linotype" w:eastAsia="Calibri" w:hAnsi="Palatino Linotype" w:cs="Arial"/>
          <w:lang w:val="es-ES"/>
        </w:rPr>
        <w:t xml:space="preserve"> del año en curso,</w:t>
      </w:r>
      <w:r w:rsidR="00DA782E" w:rsidRPr="00BC5411">
        <w:rPr>
          <w:rFonts w:ascii="Palatino Linotype" w:eastAsia="Calibri" w:hAnsi="Palatino Linotype" w:cs="Arial"/>
          <w:lang w:val="es-ES"/>
        </w:rPr>
        <w:t xml:space="preserve"> </w:t>
      </w:r>
      <w:r w:rsidR="009F09BC" w:rsidRPr="00BC5411">
        <w:rPr>
          <w:rFonts w:ascii="Palatino Linotype" w:eastAsia="Calibri" w:hAnsi="Palatino Linotype" w:cs="Arial"/>
          <w:lang w:val="es-ES"/>
        </w:rPr>
        <w:t xml:space="preserve">puso a disposición de las partes el expediente electrónico </w:t>
      </w:r>
      <w:r w:rsidR="009F09BC" w:rsidRPr="00BC5411">
        <w:rPr>
          <w:rFonts w:ascii="Palatino Linotype" w:eastAsia="Calibri" w:hAnsi="Palatino Linotype" w:cs="Arial"/>
        </w:rPr>
        <w:t xml:space="preserve">vía </w:t>
      </w:r>
      <w:r w:rsidR="009F09BC" w:rsidRPr="00BC5411">
        <w:rPr>
          <w:rFonts w:ascii="Palatino Linotype" w:eastAsia="Calibri" w:hAnsi="Palatino Linotype" w:cs="Arial"/>
          <w:b/>
          <w:lang w:val="es-ES"/>
        </w:rPr>
        <w:t xml:space="preserve">SAIMEX </w:t>
      </w:r>
      <w:r w:rsidR="009F09BC" w:rsidRPr="00BC5411">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BC5411">
        <w:rPr>
          <w:rFonts w:ascii="Palatino Linotype" w:eastAsia="Calibri" w:hAnsi="Palatino Linotype" w:cs="Arial"/>
          <w:b/>
          <w:lang w:val="es-ES"/>
        </w:rPr>
        <w:t>SUJETO OBLIGADO</w:t>
      </w:r>
      <w:r w:rsidR="009F09BC" w:rsidRPr="00BC5411">
        <w:rPr>
          <w:rFonts w:ascii="Palatino Linotype" w:eastAsia="Calibri" w:hAnsi="Palatino Linotype" w:cs="Arial"/>
          <w:lang w:val="es-ES"/>
        </w:rPr>
        <w:t xml:space="preserve"> presentará el Informe Justificado procedente.</w:t>
      </w:r>
    </w:p>
    <w:p w:rsidR="009F09BC" w:rsidRPr="00BC5411" w:rsidRDefault="009F09BC" w:rsidP="00855290">
      <w:pPr>
        <w:pStyle w:val="Prrafodelista"/>
        <w:spacing w:line="360" w:lineRule="auto"/>
        <w:ind w:left="0"/>
        <w:jc w:val="both"/>
        <w:rPr>
          <w:rFonts w:ascii="Palatino Linotype" w:hAnsi="Palatino Linotype"/>
        </w:rPr>
      </w:pPr>
    </w:p>
    <w:p w:rsidR="009F09BC" w:rsidRPr="00BC5411" w:rsidRDefault="009F09BC" w:rsidP="00821B43">
      <w:pPr>
        <w:pStyle w:val="Prrafodelista"/>
        <w:numPr>
          <w:ilvl w:val="0"/>
          <w:numId w:val="1"/>
        </w:numPr>
        <w:spacing w:line="360" w:lineRule="auto"/>
        <w:ind w:left="0" w:firstLine="0"/>
        <w:jc w:val="both"/>
        <w:rPr>
          <w:rFonts w:ascii="Palatino Linotype" w:hAnsi="Palatino Linotype"/>
        </w:rPr>
      </w:pPr>
      <w:r w:rsidRPr="00BC5411">
        <w:rPr>
          <w:rFonts w:ascii="Palatino Linotype" w:hAnsi="Palatino Linotype"/>
          <w:color w:val="000000"/>
        </w:rPr>
        <w:t xml:space="preserve">El </w:t>
      </w:r>
      <w:r w:rsidRPr="00BC5411">
        <w:rPr>
          <w:rFonts w:ascii="Palatino Linotype" w:hAnsi="Palatino Linotype"/>
          <w:b/>
          <w:color w:val="000000"/>
        </w:rPr>
        <w:t>SUJETO OBLIGADO</w:t>
      </w:r>
      <w:r w:rsidR="007A6A1A" w:rsidRPr="00BC5411">
        <w:rPr>
          <w:rFonts w:ascii="Palatino Linotype" w:hAnsi="Palatino Linotype"/>
          <w:color w:val="000000"/>
        </w:rPr>
        <w:t xml:space="preserve"> </w:t>
      </w:r>
      <w:r w:rsidR="00FF161F" w:rsidRPr="00BC5411">
        <w:rPr>
          <w:rFonts w:ascii="Palatino Linotype" w:hAnsi="Palatino Linotype"/>
          <w:color w:val="000000"/>
        </w:rPr>
        <w:t xml:space="preserve">rindió el informe justificado correspondiente en fecha cuatro (4) de marzo de dos mil veintidós, mismo que fue puesto a disposición del hoy </w:t>
      </w:r>
      <w:r w:rsidR="00FF161F" w:rsidRPr="00BC5411">
        <w:rPr>
          <w:rFonts w:ascii="Palatino Linotype" w:hAnsi="Palatino Linotype"/>
          <w:b/>
          <w:color w:val="000000"/>
        </w:rPr>
        <w:t>RECURRENTE</w:t>
      </w:r>
      <w:r w:rsidR="00FF161F" w:rsidRPr="00BC5411">
        <w:rPr>
          <w:rFonts w:ascii="Palatino Linotype" w:hAnsi="Palatino Linotype"/>
          <w:color w:val="000000"/>
        </w:rPr>
        <w:t xml:space="preserve"> mediante acuerdo de día catorce (14) del mismo mes y año</w:t>
      </w:r>
      <w:r w:rsidR="002C4997" w:rsidRPr="00BC5411">
        <w:rPr>
          <w:rFonts w:ascii="Palatino Linotype" w:hAnsi="Palatino Linotype"/>
          <w:color w:val="000000"/>
        </w:rPr>
        <w:t xml:space="preserve">. </w:t>
      </w:r>
      <w:r w:rsidRPr="00BC5411">
        <w:rPr>
          <w:rFonts w:ascii="Palatino Linotype" w:hAnsi="Palatino Linotype"/>
          <w:color w:val="000000"/>
        </w:rPr>
        <w:t xml:space="preserve">Por su parte </w:t>
      </w:r>
      <w:r w:rsidRPr="00BC5411">
        <w:rPr>
          <w:rFonts w:ascii="Palatino Linotype" w:hAnsi="Palatino Linotype"/>
          <w:b/>
          <w:color w:val="000000"/>
        </w:rPr>
        <w:t xml:space="preserve">EL PARTICULAR </w:t>
      </w:r>
      <w:r w:rsidRPr="00BC5411">
        <w:rPr>
          <w:rFonts w:ascii="Palatino Linotype" w:hAnsi="Palatino Linotype"/>
          <w:color w:val="000000"/>
        </w:rPr>
        <w:t>dejó de realizar manifestaciones que a su derecho conviniera y asistiera.</w:t>
      </w:r>
    </w:p>
    <w:p w:rsidR="00ED6E75" w:rsidRPr="00BC5411" w:rsidRDefault="00ED6E75" w:rsidP="00855290">
      <w:pPr>
        <w:pStyle w:val="Prrafodelista"/>
        <w:spacing w:line="360" w:lineRule="auto"/>
        <w:ind w:left="0"/>
        <w:jc w:val="both"/>
        <w:rPr>
          <w:rFonts w:ascii="Palatino Linotype" w:hAnsi="Palatino Linotype"/>
        </w:rPr>
      </w:pPr>
    </w:p>
    <w:p w:rsidR="009F09BC" w:rsidRPr="00BC5411" w:rsidRDefault="00FF161F" w:rsidP="00821B43">
      <w:pPr>
        <w:pStyle w:val="Prrafodelista"/>
        <w:numPr>
          <w:ilvl w:val="0"/>
          <w:numId w:val="1"/>
        </w:numPr>
        <w:spacing w:line="360" w:lineRule="auto"/>
        <w:ind w:left="0" w:firstLine="0"/>
        <w:contextualSpacing w:val="0"/>
        <w:jc w:val="both"/>
        <w:rPr>
          <w:rFonts w:ascii="Palatino Linotype" w:hAnsi="Palatino Linotype"/>
          <w:b/>
          <w:color w:val="000000" w:themeColor="text1"/>
        </w:rPr>
      </w:pPr>
      <w:r w:rsidRPr="00BC5411">
        <w:rPr>
          <w:rFonts w:ascii="Palatino Linotype" w:hAnsi="Palatino Linotype"/>
        </w:rPr>
        <w:lastRenderedPageBreak/>
        <w:t>Mediante acuerdos de fecha</w:t>
      </w:r>
      <w:r w:rsidR="0001674C" w:rsidRPr="00BC5411">
        <w:rPr>
          <w:rFonts w:ascii="Palatino Linotype" w:hAnsi="Palatino Linotype"/>
        </w:rPr>
        <w:t xml:space="preserve"> </w:t>
      </w:r>
      <w:r w:rsidRPr="00BC5411">
        <w:rPr>
          <w:rFonts w:ascii="Palatino Linotype" w:hAnsi="Palatino Linotype"/>
        </w:rPr>
        <w:t>cinco</w:t>
      </w:r>
      <w:r w:rsidR="0001674C" w:rsidRPr="00BC5411">
        <w:rPr>
          <w:rFonts w:ascii="Palatino Linotype" w:hAnsi="Palatino Linotype"/>
        </w:rPr>
        <w:t xml:space="preserve"> (</w:t>
      </w:r>
      <w:r w:rsidRPr="00BC5411">
        <w:rPr>
          <w:rFonts w:ascii="Palatino Linotype" w:hAnsi="Palatino Linotype"/>
        </w:rPr>
        <w:t>05</w:t>
      </w:r>
      <w:r w:rsidR="0001674C" w:rsidRPr="00BC5411">
        <w:rPr>
          <w:rFonts w:ascii="Palatino Linotype" w:hAnsi="Palatino Linotype"/>
        </w:rPr>
        <w:t xml:space="preserve">) de </w:t>
      </w:r>
      <w:r w:rsidRPr="00BC5411">
        <w:rPr>
          <w:rFonts w:ascii="Palatino Linotype" w:hAnsi="Palatino Linotype"/>
        </w:rPr>
        <w:t>may</w:t>
      </w:r>
      <w:r w:rsidR="00A03F8F" w:rsidRPr="00BC5411">
        <w:rPr>
          <w:rFonts w:ascii="Palatino Linotype" w:hAnsi="Palatino Linotype"/>
        </w:rPr>
        <w:t>o</w:t>
      </w:r>
      <w:r w:rsidR="0001674C" w:rsidRPr="00BC5411">
        <w:rPr>
          <w:rFonts w:ascii="Palatino Linotype" w:hAnsi="Palatino Linotype"/>
        </w:rPr>
        <w:t xml:space="preserve"> de</w:t>
      </w:r>
      <w:r w:rsidR="00933A28" w:rsidRPr="00BC5411">
        <w:rPr>
          <w:rFonts w:ascii="Palatino Linotype" w:hAnsi="Palatino Linotype"/>
        </w:rPr>
        <w:t xml:space="preserve"> dos mil veintidós</w:t>
      </w:r>
      <w:r w:rsidR="0001674C" w:rsidRPr="00BC5411">
        <w:rPr>
          <w:rFonts w:ascii="Palatino Linotype" w:hAnsi="Palatino Linotype"/>
        </w:rPr>
        <w:t xml:space="preserve">, </w:t>
      </w:r>
      <w:r w:rsidRPr="00BC5411">
        <w:rPr>
          <w:rFonts w:ascii="Palatino Linotype" w:hAnsi="Palatino Linotype"/>
        </w:rPr>
        <w:t xml:space="preserve">se amplió el termino para resolver y se </w:t>
      </w:r>
      <w:r w:rsidR="00A03F8F" w:rsidRPr="00BC5411">
        <w:rPr>
          <w:rFonts w:ascii="Palatino Linotype" w:hAnsi="Palatino Linotype"/>
        </w:rPr>
        <w:t>decretó el cierre de instrucción,</w:t>
      </w:r>
      <w:r w:rsidR="00933A28" w:rsidRPr="00BC5411">
        <w:rPr>
          <w:rFonts w:ascii="Palatino Linotype" w:hAnsi="Palatino Linotype"/>
        </w:rPr>
        <w:t>;</w:t>
      </w:r>
      <w:r w:rsidR="0001674C" w:rsidRPr="00BC5411">
        <w:rPr>
          <w:rFonts w:ascii="Palatino Linotype" w:hAnsi="Palatino Linotype"/>
        </w:rPr>
        <w:t xml:space="preserve"> </w:t>
      </w:r>
      <w:r w:rsidR="009F09BC" w:rsidRPr="00BC5411">
        <w:rPr>
          <w:rFonts w:ascii="Palatino Linotype" w:hAnsi="Palatino Linotype" w:cs="Arial"/>
        </w:rPr>
        <w:t>por lo que no habiendo más que hacer constar, y --------------------------</w:t>
      </w:r>
      <w:r w:rsidR="0001674C" w:rsidRPr="00BC5411">
        <w:rPr>
          <w:rFonts w:ascii="Palatino Linotype" w:hAnsi="Palatino Linotype" w:cs="Arial"/>
        </w:rPr>
        <w:t>-------------------</w:t>
      </w:r>
      <w:r w:rsidR="00A03F8F" w:rsidRPr="00BC5411">
        <w:rPr>
          <w:rFonts w:ascii="Palatino Linotype" w:hAnsi="Palatino Linotype" w:cs="Arial"/>
        </w:rPr>
        <w:t>-------------------</w:t>
      </w:r>
    </w:p>
    <w:p w:rsidR="00933A28" w:rsidRPr="00BC5411" w:rsidRDefault="00933A28" w:rsidP="00855290">
      <w:pPr>
        <w:pStyle w:val="Prrafodelista"/>
        <w:spacing w:line="360" w:lineRule="auto"/>
        <w:rPr>
          <w:rFonts w:ascii="Palatino Linotype" w:hAnsi="Palatino Linotype"/>
          <w:b/>
          <w:color w:val="000000" w:themeColor="text1"/>
        </w:rPr>
      </w:pPr>
    </w:p>
    <w:p w:rsidR="009F09BC" w:rsidRPr="00BC5411" w:rsidRDefault="009F09BC" w:rsidP="00855290">
      <w:pPr>
        <w:pStyle w:val="Ttulo1"/>
        <w:spacing w:before="0" w:line="360" w:lineRule="auto"/>
        <w:jc w:val="center"/>
        <w:rPr>
          <w:rFonts w:ascii="Palatino Linotype" w:hAnsi="Palatino Linotype"/>
          <w:b/>
          <w:color w:val="000000" w:themeColor="text1"/>
          <w:sz w:val="24"/>
          <w:szCs w:val="24"/>
        </w:rPr>
      </w:pPr>
      <w:bookmarkStart w:id="133" w:name="_Toc491791302"/>
      <w:bookmarkStart w:id="134" w:name="_Toc83128578"/>
      <w:r w:rsidRPr="00BC5411">
        <w:rPr>
          <w:rFonts w:ascii="Palatino Linotype" w:hAnsi="Palatino Linotype"/>
          <w:b/>
          <w:color w:val="000000" w:themeColor="text1"/>
          <w:sz w:val="24"/>
          <w:szCs w:val="24"/>
        </w:rPr>
        <w:t>CONSIDERANDO</w:t>
      </w:r>
      <w:bookmarkEnd w:id="133"/>
      <w:bookmarkEnd w:id="134"/>
    </w:p>
    <w:p w:rsidR="009F09BC" w:rsidRPr="00BC5411" w:rsidRDefault="009F09BC" w:rsidP="00855290">
      <w:pPr>
        <w:spacing w:line="360" w:lineRule="auto"/>
        <w:rPr>
          <w:rFonts w:ascii="Palatino Linotype" w:hAnsi="Palatino Linotype"/>
          <w:lang w:val="es-MX" w:eastAsia="en-US"/>
        </w:rPr>
      </w:pPr>
    </w:p>
    <w:p w:rsidR="009F09BC" w:rsidRPr="00BC5411" w:rsidRDefault="009F09BC" w:rsidP="00855290">
      <w:pPr>
        <w:pStyle w:val="Ttulo2"/>
        <w:spacing w:before="0" w:line="360" w:lineRule="auto"/>
        <w:rPr>
          <w:rFonts w:ascii="Palatino Linotype" w:hAnsi="Palatino Linotype"/>
          <w:b/>
          <w:color w:val="auto"/>
          <w:sz w:val="24"/>
          <w:szCs w:val="24"/>
        </w:rPr>
      </w:pPr>
      <w:bookmarkStart w:id="135" w:name="_Toc491791303"/>
      <w:bookmarkStart w:id="136" w:name="_Toc83128579"/>
      <w:r w:rsidRPr="00BC5411">
        <w:rPr>
          <w:rFonts w:ascii="Palatino Linotype" w:hAnsi="Palatino Linotype"/>
          <w:b/>
          <w:color w:val="auto"/>
          <w:sz w:val="24"/>
          <w:szCs w:val="24"/>
        </w:rPr>
        <w:t>PRIMERO. De la competencia</w:t>
      </w:r>
      <w:bookmarkEnd w:id="135"/>
      <w:bookmarkEnd w:id="136"/>
    </w:p>
    <w:p w:rsidR="009F09BC" w:rsidRPr="00BC5411" w:rsidRDefault="009F09BC" w:rsidP="00855290">
      <w:pPr>
        <w:spacing w:line="360" w:lineRule="auto"/>
        <w:rPr>
          <w:rFonts w:ascii="Palatino Linotype" w:hAnsi="Palatino Linotype"/>
          <w:lang w:val="es-MX" w:eastAsia="en-US"/>
        </w:rPr>
      </w:pPr>
    </w:p>
    <w:p w:rsidR="00353F1D" w:rsidRPr="00BC5411" w:rsidRDefault="00353F1D" w:rsidP="00821B43">
      <w:pPr>
        <w:pStyle w:val="Prrafodelista"/>
        <w:numPr>
          <w:ilvl w:val="0"/>
          <w:numId w:val="1"/>
        </w:numPr>
        <w:spacing w:line="360" w:lineRule="auto"/>
        <w:ind w:left="0" w:firstLine="0"/>
        <w:jc w:val="both"/>
        <w:rPr>
          <w:rFonts w:ascii="Palatino Linotype" w:hAnsi="Palatino Linotype"/>
          <w:color w:val="000000" w:themeColor="text1"/>
        </w:rPr>
      </w:pPr>
      <w:r w:rsidRPr="00BC5411">
        <w:rPr>
          <w:rFonts w:ascii="Palatino Linotype" w:hAnsi="Palatino Linotype"/>
          <w:color w:val="000000" w:themeColor="text1"/>
        </w:rPr>
        <w:t xml:space="preserve">El </w:t>
      </w:r>
      <w:r w:rsidRPr="00BC5411">
        <w:rPr>
          <w:rFonts w:ascii="Palatino Linotype" w:hAnsi="Palatino Linotype"/>
        </w:rPr>
        <w:t>Instituto</w:t>
      </w:r>
      <w:r w:rsidRPr="00BC5411">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7210B9" w:rsidRPr="00BC5411" w:rsidRDefault="007210B9" w:rsidP="007210B9">
      <w:pPr>
        <w:pStyle w:val="Prrafodelista"/>
        <w:spacing w:line="360" w:lineRule="auto"/>
        <w:ind w:left="0"/>
        <w:jc w:val="both"/>
        <w:rPr>
          <w:rFonts w:ascii="Palatino Linotype" w:hAnsi="Palatino Linotype"/>
          <w:color w:val="000000" w:themeColor="text1"/>
        </w:rPr>
      </w:pPr>
    </w:p>
    <w:p w:rsidR="009F09BC" w:rsidRPr="00BC5411" w:rsidRDefault="009F09BC" w:rsidP="00855290">
      <w:pPr>
        <w:pStyle w:val="Ttulo2"/>
        <w:spacing w:before="0" w:line="360" w:lineRule="auto"/>
        <w:rPr>
          <w:rFonts w:ascii="Palatino Linotype" w:hAnsi="Palatino Linotype"/>
          <w:b/>
          <w:color w:val="auto"/>
          <w:sz w:val="24"/>
          <w:szCs w:val="24"/>
        </w:rPr>
      </w:pPr>
      <w:bookmarkStart w:id="137" w:name="_Toc491791304"/>
      <w:bookmarkStart w:id="138" w:name="_Toc83128580"/>
      <w:r w:rsidRPr="00BC5411">
        <w:rPr>
          <w:rFonts w:ascii="Palatino Linotype" w:hAnsi="Palatino Linotype"/>
          <w:b/>
          <w:color w:val="auto"/>
          <w:sz w:val="24"/>
          <w:szCs w:val="24"/>
        </w:rPr>
        <w:lastRenderedPageBreak/>
        <w:t>SEGUNDO. De la oportunidad y procedencia.</w:t>
      </w:r>
      <w:bookmarkEnd w:id="137"/>
      <w:bookmarkEnd w:id="138"/>
    </w:p>
    <w:p w:rsidR="009F09BC" w:rsidRPr="00BC5411" w:rsidRDefault="009F09BC" w:rsidP="00855290">
      <w:pPr>
        <w:spacing w:line="360" w:lineRule="auto"/>
        <w:rPr>
          <w:rFonts w:ascii="Palatino Linotype" w:hAnsi="Palatino Linotype"/>
          <w:lang w:val="es-MX" w:eastAsia="en-US"/>
        </w:rPr>
      </w:pPr>
    </w:p>
    <w:p w:rsidR="009F09BC" w:rsidRPr="00BC5411" w:rsidRDefault="00425842" w:rsidP="00821B43">
      <w:pPr>
        <w:pStyle w:val="Prrafodelista"/>
        <w:numPr>
          <w:ilvl w:val="0"/>
          <w:numId w:val="1"/>
        </w:numPr>
        <w:spacing w:line="360" w:lineRule="auto"/>
        <w:ind w:left="0" w:firstLine="0"/>
        <w:jc w:val="both"/>
        <w:rPr>
          <w:rFonts w:ascii="Palatino Linotype" w:hAnsi="Palatino Linotype"/>
        </w:rPr>
      </w:pPr>
      <w:r w:rsidRPr="00BC5411">
        <w:rPr>
          <w:rFonts w:ascii="Palatino Linotype" w:eastAsia="Calibri" w:hAnsi="Palatino Linotype" w:cs="Arial"/>
        </w:rPr>
        <w:t>El</w:t>
      </w:r>
      <w:r w:rsidR="00AD63B4" w:rsidRPr="00BC5411">
        <w:rPr>
          <w:rFonts w:ascii="Palatino Linotype" w:eastAsia="Calibri" w:hAnsi="Palatino Linotype" w:cs="Arial"/>
        </w:rPr>
        <w:t xml:space="preserve"> </w:t>
      </w:r>
      <w:r w:rsidR="009F09BC" w:rsidRPr="00BC5411">
        <w:rPr>
          <w:rFonts w:ascii="Palatino Linotype" w:eastAsia="Calibri" w:hAnsi="Palatino Linotype" w:cs="Arial"/>
        </w:rPr>
        <w:t xml:space="preserve">medio de impugnación fue presentado a través del </w:t>
      </w:r>
      <w:r w:rsidR="009F09BC" w:rsidRPr="00BC5411">
        <w:rPr>
          <w:rFonts w:ascii="Palatino Linotype" w:eastAsia="Calibri" w:hAnsi="Palatino Linotype" w:cs="Arial"/>
          <w:b/>
        </w:rPr>
        <w:t>SAIMEX,</w:t>
      </w:r>
      <w:r w:rsidR="009F09BC" w:rsidRPr="00BC5411">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BC5411">
        <w:rPr>
          <w:rFonts w:ascii="Palatino Linotype" w:eastAsia="Calibri" w:hAnsi="Palatino Linotype" w:cs="Arial"/>
          <w:b/>
        </w:rPr>
        <w:t>SUJETO OBLIGADO</w:t>
      </w:r>
      <w:r w:rsidRPr="00BC5411">
        <w:rPr>
          <w:rFonts w:ascii="Palatino Linotype" w:eastAsia="Calibri" w:hAnsi="Palatino Linotype" w:cs="Arial"/>
        </w:rPr>
        <w:t xml:space="preserve"> entregó su</w:t>
      </w:r>
      <w:r w:rsidR="009F09BC" w:rsidRPr="00BC5411">
        <w:rPr>
          <w:rFonts w:ascii="Palatino Linotype" w:eastAsia="Calibri" w:hAnsi="Palatino Linotype" w:cs="Arial"/>
        </w:rPr>
        <w:t xml:space="preserve"> respuesta </w:t>
      </w:r>
      <w:r w:rsidRPr="00BC5411">
        <w:rPr>
          <w:rFonts w:ascii="Palatino Linotype" w:eastAsia="Calibri" w:hAnsi="Palatino Linotype" w:cs="Arial"/>
        </w:rPr>
        <w:t>e</w:t>
      </w:r>
      <w:r w:rsidR="00672571" w:rsidRPr="00BC5411">
        <w:rPr>
          <w:rFonts w:ascii="Palatino Linotype" w:eastAsia="Calibri" w:hAnsi="Palatino Linotype" w:cs="Arial"/>
        </w:rPr>
        <w:t>l dieciocho</w:t>
      </w:r>
      <w:r w:rsidRPr="00BC5411">
        <w:rPr>
          <w:rFonts w:ascii="Palatino Linotype" w:eastAsia="Calibri" w:hAnsi="Palatino Linotype" w:cs="Arial"/>
        </w:rPr>
        <w:t xml:space="preserve"> (</w:t>
      </w:r>
      <w:r w:rsidR="00672571" w:rsidRPr="00BC5411">
        <w:rPr>
          <w:rFonts w:ascii="Palatino Linotype" w:eastAsia="Calibri" w:hAnsi="Palatino Linotype" w:cs="Arial"/>
        </w:rPr>
        <w:t>18</w:t>
      </w:r>
      <w:r w:rsidR="009F09BC" w:rsidRPr="00BC5411">
        <w:rPr>
          <w:rFonts w:ascii="Palatino Linotype" w:eastAsia="Calibri" w:hAnsi="Palatino Linotype" w:cs="Arial"/>
        </w:rPr>
        <w:t xml:space="preserve">) de </w:t>
      </w:r>
      <w:r w:rsidR="00A03F8F" w:rsidRPr="00BC5411">
        <w:rPr>
          <w:rFonts w:ascii="Palatino Linotype" w:eastAsia="Calibri" w:hAnsi="Palatino Linotype" w:cs="Arial"/>
        </w:rPr>
        <w:t>febre</w:t>
      </w:r>
      <w:r w:rsidRPr="00BC5411">
        <w:rPr>
          <w:rFonts w:ascii="Palatino Linotype" w:eastAsia="Calibri" w:hAnsi="Palatino Linotype" w:cs="Arial"/>
        </w:rPr>
        <w:t>ro de dos mil veintidós</w:t>
      </w:r>
      <w:r w:rsidR="009F09BC" w:rsidRPr="00BC5411">
        <w:rPr>
          <w:rFonts w:ascii="Palatino Linotype" w:eastAsia="Calibri" w:hAnsi="Palatino Linotype" w:cs="Arial"/>
        </w:rPr>
        <w:t xml:space="preserve">, </w:t>
      </w:r>
      <w:r w:rsidR="009F09BC" w:rsidRPr="00BC5411">
        <w:rPr>
          <w:rFonts w:ascii="Palatino Linotype" w:hAnsi="Palatino Linotype" w:cs="Arial"/>
        </w:rPr>
        <w:t xml:space="preserve">de tal forma que </w:t>
      </w:r>
      <w:r w:rsidRPr="00BC5411">
        <w:rPr>
          <w:rFonts w:ascii="Palatino Linotype" w:hAnsi="Palatino Linotype" w:cs="Arial"/>
        </w:rPr>
        <w:t>e</w:t>
      </w:r>
      <w:r w:rsidR="009F09BC" w:rsidRPr="00BC5411">
        <w:rPr>
          <w:rFonts w:ascii="Palatino Linotype" w:hAnsi="Palatino Linotype" w:cs="Arial"/>
        </w:rPr>
        <w:t xml:space="preserve">l plazo para interponer </w:t>
      </w:r>
      <w:r w:rsidRPr="00BC5411">
        <w:rPr>
          <w:rFonts w:ascii="Palatino Linotype" w:hAnsi="Palatino Linotype" w:cs="Arial"/>
        </w:rPr>
        <w:t>e</w:t>
      </w:r>
      <w:r w:rsidR="009F09BC" w:rsidRPr="00BC5411">
        <w:rPr>
          <w:rFonts w:ascii="Palatino Linotype" w:hAnsi="Palatino Linotype" w:cs="Arial"/>
        </w:rPr>
        <w:t xml:space="preserve">l recurso de revisión </w:t>
      </w:r>
      <w:r w:rsidRPr="00BC5411">
        <w:rPr>
          <w:rFonts w:ascii="Palatino Linotype" w:hAnsi="Palatino Linotype" w:cs="Arial"/>
        </w:rPr>
        <w:t>transcurrió</w:t>
      </w:r>
      <w:r w:rsidR="009F09BC" w:rsidRPr="00BC5411">
        <w:rPr>
          <w:rFonts w:ascii="Palatino Linotype" w:hAnsi="Palatino Linotype" w:cs="Arial"/>
        </w:rPr>
        <w:t xml:space="preserve"> del día </w:t>
      </w:r>
      <w:r w:rsidR="00672571" w:rsidRPr="00BC5411">
        <w:rPr>
          <w:rFonts w:ascii="Palatino Linotype" w:hAnsi="Palatino Linotype" w:cs="Arial"/>
        </w:rPr>
        <w:t>veintiuno</w:t>
      </w:r>
      <w:r w:rsidRPr="00BC5411">
        <w:rPr>
          <w:rFonts w:ascii="Palatino Linotype" w:hAnsi="Palatino Linotype" w:cs="Arial"/>
        </w:rPr>
        <w:t xml:space="preserve"> (</w:t>
      </w:r>
      <w:r w:rsidR="00672571" w:rsidRPr="00BC5411">
        <w:rPr>
          <w:rFonts w:ascii="Palatino Linotype" w:hAnsi="Palatino Linotype" w:cs="Arial"/>
        </w:rPr>
        <w:t>21</w:t>
      </w:r>
      <w:r w:rsidR="00E57A52" w:rsidRPr="00BC5411">
        <w:rPr>
          <w:rFonts w:ascii="Palatino Linotype" w:hAnsi="Palatino Linotype" w:cs="Arial"/>
        </w:rPr>
        <w:t>)</w:t>
      </w:r>
      <w:r w:rsidR="006F3EF7" w:rsidRPr="00BC5411">
        <w:rPr>
          <w:rFonts w:ascii="Palatino Linotype" w:hAnsi="Palatino Linotype" w:cs="Arial"/>
        </w:rPr>
        <w:t xml:space="preserve"> </w:t>
      </w:r>
      <w:r w:rsidR="00EF0CCB" w:rsidRPr="00BC5411">
        <w:rPr>
          <w:rFonts w:ascii="Palatino Linotype" w:hAnsi="Palatino Linotype" w:cs="Arial"/>
        </w:rPr>
        <w:t xml:space="preserve">de febrero </w:t>
      </w:r>
      <w:r w:rsidR="006F3EF7" w:rsidRPr="00BC5411">
        <w:rPr>
          <w:rFonts w:ascii="Palatino Linotype" w:hAnsi="Palatino Linotype" w:cs="Arial"/>
        </w:rPr>
        <w:t xml:space="preserve">al </w:t>
      </w:r>
      <w:r w:rsidR="00672571" w:rsidRPr="00BC5411">
        <w:rPr>
          <w:rFonts w:ascii="Palatino Linotype" w:hAnsi="Palatino Linotype" w:cs="Arial"/>
        </w:rPr>
        <w:t>catorce</w:t>
      </w:r>
      <w:r w:rsidR="009F09BC" w:rsidRPr="00BC5411">
        <w:rPr>
          <w:rFonts w:ascii="Palatino Linotype" w:hAnsi="Palatino Linotype" w:cs="Arial"/>
        </w:rPr>
        <w:t xml:space="preserve"> (</w:t>
      </w:r>
      <w:r w:rsidR="00672571" w:rsidRPr="00BC5411">
        <w:rPr>
          <w:rFonts w:ascii="Palatino Linotype" w:hAnsi="Palatino Linotype" w:cs="Arial"/>
        </w:rPr>
        <w:t>14</w:t>
      </w:r>
      <w:r w:rsidR="009F09BC" w:rsidRPr="00BC5411">
        <w:rPr>
          <w:rFonts w:ascii="Palatino Linotype" w:hAnsi="Palatino Linotype" w:cs="Arial"/>
        </w:rPr>
        <w:t>)</w:t>
      </w:r>
      <w:r w:rsidR="0001674C" w:rsidRPr="00BC5411">
        <w:rPr>
          <w:rFonts w:ascii="Palatino Linotype" w:hAnsi="Palatino Linotype" w:cs="Arial"/>
        </w:rPr>
        <w:t xml:space="preserve"> de </w:t>
      </w:r>
      <w:r w:rsidR="00672571" w:rsidRPr="00BC5411">
        <w:rPr>
          <w:rFonts w:ascii="Palatino Linotype" w:hAnsi="Palatino Linotype" w:cs="Arial"/>
        </w:rPr>
        <w:t>marz</w:t>
      </w:r>
      <w:r w:rsidRPr="00BC5411">
        <w:rPr>
          <w:rFonts w:ascii="Palatino Linotype" w:hAnsi="Palatino Linotype" w:cs="Arial"/>
        </w:rPr>
        <w:t>o</w:t>
      </w:r>
      <w:r w:rsidR="0001674C" w:rsidRPr="00BC5411">
        <w:rPr>
          <w:rFonts w:ascii="Palatino Linotype" w:hAnsi="Palatino Linotype" w:cs="Arial"/>
        </w:rPr>
        <w:t xml:space="preserve"> de dos mil </w:t>
      </w:r>
      <w:r w:rsidRPr="00BC5411">
        <w:rPr>
          <w:rFonts w:ascii="Palatino Linotype" w:hAnsi="Palatino Linotype" w:cs="Arial"/>
        </w:rPr>
        <w:t>veintidós</w:t>
      </w:r>
      <w:r w:rsidR="0001674C" w:rsidRPr="00BC5411">
        <w:rPr>
          <w:rFonts w:ascii="Palatino Linotype" w:hAnsi="Palatino Linotype" w:cs="Arial"/>
        </w:rPr>
        <w:t>; e</w:t>
      </w:r>
      <w:r w:rsidR="009F09BC" w:rsidRPr="00BC5411">
        <w:rPr>
          <w:rFonts w:ascii="Palatino Linotype" w:hAnsi="Palatino Linotype" w:cs="Arial"/>
        </w:rPr>
        <w:t xml:space="preserve">n consecuencia, el ahora </w:t>
      </w:r>
      <w:r w:rsidR="009F09BC" w:rsidRPr="00BC5411">
        <w:rPr>
          <w:rFonts w:ascii="Palatino Linotype" w:hAnsi="Palatino Linotype" w:cs="Arial"/>
          <w:b/>
        </w:rPr>
        <w:t>RECURRENTE</w:t>
      </w:r>
      <w:r w:rsidR="009F09BC" w:rsidRPr="00BC5411">
        <w:rPr>
          <w:rFonts w:ascii="Palatino Linotype" w:hAnsi="Palatino Linotype" w:cs="Arial"/>
        </w:rPr>
        <w:t xml:space="preserve"> presentó </w:t>
      </w:r>
      <w:r w:rsidR="00CA1063" w:rsidRPr="00BC5411">
        <w:rPr>
          <w:rFonts w:ascii="Palatino Linotype" w:hAnsi="Palatino Linotype" w:cs="Arial"/>
        </w:rPr>
        <w:t xml:space="preserve">su inconformidad el día </w:t>
      </w:r>
      <w:r w:rsidR="00672571" w:rsidRPr="00BC5411">
        <w:rPr>
          <w:rFonts w:ascii="Palatino Linotype" w:hAnsi="Palatino Linotype" w:cs="Arial"/>
        </w:rPr>
        <w:t>veintiuno (21) de febrero de dos mil veintidós</w:t>
      </w:r>
      <w:r w:rsidR="00EF0CCB" w:rsidRPr="00BC5411">
        <w:rPr>
          <w:rFonts w:ascii="Palatino Linotype" w:hAnsi="Palatino Linotype" w:cs="Arial"/>
        </w:rPr>
        <w:t xml:space="preserve">, en virtud de que el </w:t>
      </w:r>
      <w:r w:rsidR="00672571" w:rsidRPr="00BC5411">
        <w:rPr>
          <w:rFonts w:ascii="Palatino Linotype" w:hAnsi="Palatino Linotype" w:cs="Arial"/>
        </w:rPr>
        <w:t>diecinueve</w:t>
      </w:r>
      <w:r w:rsidR="009F09BC" w:rsidRPr="00BC5411">
        <w:rPr>
          <w:rFonts w:ascii="Palatino Linotype" w:hAnsi="Palatino Linotype" w:cs="Arial"/>
        </w:rPr>
        <w:t xml:space="preserve"> (</w:t>
      </w:r>
      <w:r w:rsidR="00672571" w:rsidRPr="00BC5411">
        <w:rPr>
          <w:rFonts w:ascii="Palatino Linotype" w:hAnsi="Palatino Linotype" w:cs="Arial"/>
        </w:rPr>
        <w:t>19</w:t>
      </w:r>
      <w:r w:rsidR="009F09BC" w:rsidRPr="00BC5411">
        <w:rPr>
          <w:rFonts w:ascii="Palatino Linotype" w:hAnsi="Palatino Linotype" w:cs="Arial"/>
        </w:rPr>
        <w:t xml:space="preserve">) de </w:t>
      </w:r>
      <w:r w:rsidR="00E57A52" w:rsidRPr="00BC5411">
        <w:rPr>
          <w:rFonts w:ascii="Palatino Linotype" w:hAnsi="Palatino Linotype" w:cs="Arial"/>
        </w:rPr>
        <w:t>febre</w:t>
      </w:r>
      <w:r w:rsidR="006F3EF7" w:rsidRPr="00BC5411">
        <w:rPr>
          <w:rFonts w:ascii="Palatino Linotype" w:hAnsi="Palatino Linotype" w:cs="Arial"/>
        </w:rPr>
        <w:t>ro de dos mil veintidós</w:t>
      </w:r>
      <w:r w:rsidR="00EF0CCB" w:rsidRPr="00BC5411">
        <w:rPr>
          <w:rFonts w:ascii="Palatino Linotype" w:hAnsi="Palatino Linotype" w:cs="Arial"/>
        </w:rPr>
        <w:t xml:space="preserve"> fecha en que se materializo la interposición de la inconformidad, correspondía a un día inhábil, luego entonces se interpuso dentro del plazo legalmente establecido.</w:t>
      </w:r>
    </w:p>
    <w:p w:rsidR="00E57A52" w:rsidRPr="00BC5411" w:rsidRDefault="00E57A52" w:rsidP="00E57A52">
      <w:pPr>
        <w:pStyle w:val="Prrafodelista"/>
        <w:rPr>
          <w:rFonts w:ascii="Palatino Linotype" w:hAnsi="Palatino Linotype" w:cs="Arial"/>
        </w:rPr>
      </w:pPr>
    </w:p>
    <w:p w:rsidR="00E57A52" w:rsidRPr="00BC5411" w:rsidRDefault="00E57A52" w:rsidP="00821B43">
      <w:pPr>
        <w:pStyle w:val="Prrafodelista"/>
        <w:numPr>
          <w:ilvl w:val="0"/>
          <w:numId w:val="1"/>
        </w:numPr>
        <w:spacing w:line="360" w:lineRule="auto"/>
        <w:ind w:left="0" w:firstLine="0"/>
        <w:jc w:val="both"/>
        <w:rPr>
          <w:rFonts w:ascii="Palatino Linotype" w:hAnsi="Palatino Linotype"/>
        </w:rPr>
      </w:pPr>
      <w:r w:rsidRPr="00BC5411">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BC5411" w:rsidRDefault="00CF0D2B" w:rsidP="00855290">
      <w:pPr>
        <w:pStyle w:val="Prrafodelista"/>
        <w:spacing w:line="360" w:lineRule="auto"/>
        <w:rPr>
          <w:rFonts w:ascii="Palatino Linotype" w:hAnsi="Palatino Linotype"/>
        </w:rPr>
      </w:pPr>
    </w:p>
    <w:p w:rsidR="009F09BC" w:rsidRPr="00BC5411" w:rsidRDefault="009F09BC" w:rsidP="00855290">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BC5411">
        <w:rPr>
          <w:rFonts w:ascii="Palatino Linotype" w:hAnsi="Palatino Linotype"/>
          <w:b/>
          <w:color w:val="000000" w:themeColor="text1"/>
          <w:sz w:val="24"/>
          <w:szCs w:val="24"/>
        </w:rPr>
        <w:t xml:space="preserve">TERCERO. </w:t>
      </w:r>
      <w:bookmarkStart w:id="143" w:name="_Toc501021589"/>
      <w:r w:rsidRPr="00BC5411">
        <w:rPr>
          <w:rFonts w:ascii="Palatino Linotype" w:hAnsi="Palatino Linotype"/>
          <w:b/>
          <w:color w:val="000000" w:themeColor="text1"/>
          <w:sz w:val="24"/>
          <w:szCs w:val="24"/>
        </w:rPr>
        <w:t xml:space="preserve">Del planteamiento de la </w:t>
      </w:r>
      <w:r w:rsidRPr="00BC5411">
        <w:rPr>
          <w:rFonts w:ascii="Palatino Linotype" w:hAnsi="Palatino Linotype"/>
          <w:b/>
          <w:i/>
          <w:color w:val="000000" w:themeColor="text1"/>
          <w:sz w:val="24"/>
          <w:szCs w:val="24"/>
        </w:rPr>
        <w:t>Litis</w:t>
      </w:r>
      <w:r w:rsidRPr="00BC5411">
        <w:rPr>
          <w:rFonts w:ascii="Palatino Linotype" w:hAnsi="Palatino Linotype"/>
          <w:b/>
          <w:color w:val="000000" w:themeColor="text1"/>
          <w:sz w:val="24"/>
          <w:szCs w:val="24"/>
        </w:rPr>
        <w:t>.</w:t>
      </w:r>
      <w:bookmarkEnd w:id="139"/>
      <w:bookmarkEnd w:id="140"/>
      <w:bookmarkEnd w:id="141"/>
      <w:bookmarkEnd w:id="142"/>
      <w:bookmarkEnd w:id="143"/>
    </w:p>
    <w:p w:rsidR="009F09BC" w:rsidRPr="00BC5411" w:rsidRDefault="009F09BC" w:rsidP="00855290">
      <w:pPr>
        <w:spacing w:line="360" w:lineRule="auto"/>
        <w:rPr>
          <w:rFonts w:ascii="Palatino Linotype" w:hAnsi="Palatino Linotype"/>
          <w:lang w:val="es-MX" w:eastAsia="en-US"/>
        </w:rPr>
      </w:pPr>
    </w:p>
    <w:p w:rsidR="009F09BC" w:rsidRPr="00BC5411" w:rsidRDefault="009F09BC" w:rsidP="00821B43">
      <w:pPr>
        <w:pStyle w:val="Prrafodelista"/>
        <w:numPr>
          <w:ilvl w:val="0"/>
          <w:numId w:val="1"/>
        </w:numPr>
        <w:spacing w:line="360" w:lineRule="auto"/>
        <w:ind w:left="0" w:firstLine="0"/>
        <w:jc w:val="both"/>
        <w:rPr>
          <w:rFonts w:ascii="Palatino Linotype" w:hAnsi="Palatino Linotype" w:cs="Arial"/>
        </w:rPr>
      </w:pPr>
      <w:r w:rsidRPr="00BC5411">
        <w:rPr>
          <w:rFonts w:ascii="Palatino Linotype" w:hAnsi="Palatino Linotype" w:cs="Arial"/>
        </w:rPr>
        <w:t xml:space="preserve">Se </w:t>
      </w:r>
      <w:r w:rsidRPr="00BC5411">
        <w:rPr>
          <w:rFonts w:ascii="Palatino Linotype" w:eastAsia="Calibri" w:hAnsi="Palatino Linotype" w:cs="Arial"/>
        </w:rPr>
        <w:t>solicitó</w:t>
      </w:r>
      <w:r w:rsidRPr="00BC5411">
        <w:rPr>
          <w:rFonts w:ascii="Palatino Linotype" w:hAnsi="Palatino Linotype" w:cs="Arial"/>
        </w:rPr>
        <w:t xml:space="preserve"> </w:t>
      </w:r>
      <w:r w:rsidR="00AD63B4" w:rsidRPr="00BC5411">
        <w:rPr>
          <w:rFonts w:ascii="Palatino Linotype" w:hAnsi="Palatino Linotype" w:cs="Arial"/>
        </w:rPr>
        <w:t xml:space="preserve">tener acceso, a la </w:t>
      </w:r>
      <w:r w:rsidRPr="00BC5411">
        <w:rPr>
          <w:rFonts w:ascii="Palatino Linotype" w:hAnsi="Palatino Linotype" w:cs="Arial"/>
        </w:rPr>
        <w:t>información que a continuación se desagrega:</w:t>
      </w:r>
    </w:p>
    <w:p w:rsidR="009F09BC" w:rsidRPr="00BC5411" w:rsidRDefault="009F09BC" w:rsidP="00855290">
      <w:pPr>
        <w:pStyle w:val="Prrafodelista"/>
        <w:spacing w:line="360" w:lineRule="auto"/>
        <w:ind w:left="0"/>
        <w:jc w:val="both"/>
        <w:rPr>
          <w:rFonts w:ascii="Palatino Linotype" w:hAnsi="Palatino Linotype" w:cs="Arial"/>
        </w:rPr>
      </w:pPr>
    </w:p>
    <w:p w:rsidR="00E57A52" w:rsidRPr="00BC5411" w:rsidRDefault="00E57A52" w:rsidP="00821B43">
      <w:pPr>
        <w:pStyle w:val="Prrafodelista"/>
        <w:numPr>
          <w:ilvl w:val="0"/>
          <w:numId w:val="6"/>
        </w:numPr>
        <w:spacing w:line="360" w:lineRule="auto"/>
        <w:ind w:left="851" w:right="539"/>
        <w:contextualSpacing w:val="0"/>
        <w:jc w:val="both"/>
        <w:rPr>
          <w:rFonts w:ascii="Palatino Linotype" w:hAnsi="Palatino Linotype" w:cs="Arial"/>
          <w:i/>
          <w:sz w:val="22"/>
        </w:rPr>
      </w:pPr>
      <w:r w:rsidRPr="00BC5411">
        <w:rPr>
          <w:rFonts w:ascii="Palatino Linotype" w:hAnsi="Palatino Linotype" w:cs="Arial"/>
          <w:i/>
          <w:sz w:val="22"/>
        </w:rPr>
        <w:lastRenderedPageBreak/>
        <w:t xml:space="preserve">Reportes del aplicativo “Visor de nómina del SAT” por los años 2018, 2019, 2020, y 2021 en sus tres presentaciones: </w:t>
      </w:r>
    </w:p>
    <w:p w:rsidR="00E57A52" w:rsidRPr="00BC5411" w:rsidRDefault="00E57A52" w:rsidP="00821B43">
      <w:pPr>
        <w:pStyle w:val="Prrafodelista"/>
        <w:numPr>
          <w:ilvl w:val="1"/>
          <w:numId w:val="7"/>
        </w:numPr>
        <w:spacing w:line="360" w:lineRule="auto"/>
        <w:ind w:left="1701" w:right="539"/>
        <w:contextualSpacing w:val="0"/>
        <w:jc w:val="both"/>
        <w:rPr>
          <w:rFonts w:ascii="Palatino Linotype" w:hAnsi="Palatino Linotype" w:cs="Arial"/>
          <w:i/>
          <w:sz w:val="22"/>
        </w:rPr>
      </w:pPr>
      <w:r w:rsidRPr="00BC5411">
        <w:rPr>
          <w:rFonts w:ascii="Palatino Linotype" w:hAnsi="Palatino Linotype" w:cs="Arial"/>
          <w:i/>
          <w:sz w:val="22"/>
        </w:rPr>
        <w:t xml:space="preserve">Vista anual acumulada. </w:t>
      </w:r>
    </w:p>
    <w:p w:rsidR="00E57A52" w:rsidRPr="00BC5411" w:rsidRDefault="00E57A52" w:rsidP="00821B43">
      <w:pPr>
        <w:pStyle w:val="Prrafodelista"/>
        <w:numPr>
          <w:ilvl w:val="1"/>
          <w:numId w:val="7"/>
        </w:numPr>
        <w:spacing w:line="360" w:lineRule="auto"/>
        <w:ind w:left="1701" w:right="539"/>
        <w:contextualSpacing w:val="0"/>
        <w:jc w:val="both"/>
        <w:rPr>
          <w:rFonts w:ascii="Palatino Linotype" w:hAnsi="Palatino Linotype" w:cs="Arial"/>
          <w:i/>
          <w:sz w:val="22"/>
        </w:rPr>
      </w:pPr>
      <w:r w:rsidRPr="00BC5411">
        <w:rPr>
          <w:rFonts w:ascii="Palatino Linotype" w:hAnsi="Palatino Linotype" w:cs="Arial"/>
          <w:i/>
          <w:sz w:val="22"/>
        </w:rPr>
        <w:t xml:space="preserve">Detalle mensual. </w:t>
      </w:r>
    </w:p>
    <w:p w:rsidR="00E57A52" w:rsidRPr="00BC5411" w:rsidRDefault="00E57A52" w:rsidP="00821B43">
      <w:pPr>
        <w:pStyle w:val="Prrafodelista"/>
        <w:numPr>
          <w:ilvl w:val="1"/>
          <w:numId w:val="7"/>
        </w:numPr>
        <w:spacing w:line="360" w:lineRule="auto"/>
        <w:ind w:left="1701" w:right="539"/>
        <w:contextualSpacing w:val="0"/>
        <w:jc w:val="both"/>
        <w:rPr>
          <w:rFonts w:ascii="Palatino Linotype" w:hAnsi="Palatino Linotype" w:cs="Arial"/>
          <w:i/>
          <w:sz w:val="22"/>
        </w:rPr>
      </w:pPr>
      <w:r w:rsidRPr="00BC5411">
        <w:rPr>
          <w:rFonts w:ascii="Palatino Linotype" w:hAnsi="Palatino Linotype" w:cs="Arial"/>
          <w:i/>
          <w:sz w:val="22"/>
        </w:rPr>
        <w:t xml:space="preserve">Detalle diferencias sueldos y salarios. </w:t>
      </w:r>
    </w:p>
    <w:p w:rsidR="00E57A52" w:rsidRPr="00BC5411" w:rsidRDefault="00E57A52" w:rsidP="00821B43">
      <w:pPr>
        <w:pStyle w:val="Prrafodelista"/>
        <w:numPr>
          <w:ilvl w:val="0"/>
          <w:numId w:val="6"/>
        </w:numPr>
        <w:spacing w:line="360" w:lineRule="auto"/>
        <w:ind w:left="851" w:right="539"/>
        <w:contextualSpacing w:val="0"/>
        <w:jc w:val="both"/>
        <w:rPr>
          <w:rFonts w:ascii="Palatino Linotype" w:hAnsi="Palatino Linotype" w:cs="Arial"/>
          <w:i/>
          <w:sz w:val="22"/>
        </w:rPr>
      </w:pPr>
      <w:r w:rsidRPr="00BC5411">
        <w:rPr>
          <w:rFonts w:ascii="Palatino Linotype" w:hAnsi="Palatino Linotype" w:cs="Arial"/>
          <w:i/>
          <w:sz w:val="22"/>
        </w:rPr>
        <w:t xml:space="preserve">La constancia de situación fiscal de no adeudo emitida por el INFONAVIT, generada desde el portal empresarial de esa Institución, a través de internet. </w:t>
      </w:r>
    </w:p>
    <w:p w:rsidR="00E57A52" w:rsidRPr="00BC5411" w:rsidRDefault="00E57A52" w:rsidP="00821B43">
      <w:pPr>
        <w:pStyle w:val="Prrafodelista"/>
        <w:numPr>
          <w:ilvl w:val="0"/>
          <w:numId w:val="6"/>
        </w:numPr>
        <w:spacing w:line="360" w:lineRule="auto"/>
        <w:ind w:left="851" w:right="539"/>
        <w:contextualSpacing w:val="0"/>
        <w:jc w:val="both"/>
        <w:rPr>
          <w:rFonts w:ascii="Palatino Linotype" w:hAnsi="Palatino Linotype" w:cs="Arial"/>
          <w:i/>
          <w:sz w:val="22"/>
        </w:rPr>
      </w:pPr>
      <w:r w:rsidRPr="00BC5411">
        <w:rPr>
          <w:rFonts w:ascii="Palatino Linotype" w:hAnsi="Palatino Linotype" w:cs="Arial"/>
          <w:i/>
          <w:sz w:val="22"/>
        </w:rPr>
        <w:t xml:space="preserve">La opinión de no adeudo en el cumplimiento de obligaciones fiscales en materia de seguridad social emitida por el IMSS, generada desde el portal de esa Institución, a través de internet. </w:t>
      </w:r>
    </w:p>
    <w:p w:rsidR="00E57A52" w:rsidRPr="00BC5411" w:rsidRDefault="00E57A52" w:rsidP="00821B43">
      <w:pPr>
        <w:pStyle w:val="Prrafodelista"/>
        <w:numPr>
          <w:ilvl w:val="0"/>
          <w:numId w:val="6"/>
        </w:numPr>
        <w:spacing w:line="360" w:lineRule="auto"/>
        <w:ind w:left="851" w:right="539"/>
        <w:contextualSpacing w:val="0"/>
        <w:jc w:val="both"/>
        <w:rPr>
          <w:rFonts w:ascii="Palatino Linotype" w:hAnsi="Palatino Linotype" w:cs="Arial"/>
          <w:i/>
          <w:sz w:val="22"/>
        </w:rPr>
      </w:pPr>
      <w:r w:rsidRPr="00BC5411">
        <w:rPr>
          <w:rFonts w:ascii="Palatino Linotype" w:hAnsi="Palatino Linotype" w:cs="Arial"/>
          <w:i/>
          <w:sz w:val="22"/>
        </w:rPr>
        <w:t xml:space="preserve">La opinión de no adeudo en el cumplimiento de obligaciones fiscales estatales emitida por el SAT, generada desde el portal de esa Institución, a través de internet. </w:t>
      </w:r>
    </w:p>
    <w:p w:rsidR="00E57A52" w:rsidRPr="00BC5411" w:rsidRDefault="00E57A52" w:rsidP="00821B43">
      <w:pPr>
        <w:pStyle w:val="Prrafodelista"/>
        <w:numPr>
          <w:ilvl w:val="0"/>
          <w:numId w:val="6"/>
        </w:numPr>
        <w:spacing w:line="360" w:lineRule="auto"/>
        <w:ind w:left="851" w:right="539"/>
        <w:contextualSpacing w:val="0"/>
        <w:jc w:val="both"/>
        <w:rPr>
          <w:rFonts w:ascii="Palatino Linotype" w:hAnsi="Palatino Linotype" w:cs="Arial"/>
          <w:i/>
          <w:sz w:val="22"/>
        </w:rPr>
      </w:pPr>
      <w:r w:rsidRPr="00BC5411">
        <w:rPr>
          <w:rFonts w:ascii="Palatino Linotype" w:hAnsi="Palatino Linotype" w:cs="Arial"/>
          <w:i/>
          <w:sz w:val="22"/>
        </w:rPr>
        <w:t xml:space="preserve">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w:t>
      </w:r>
      <w:r w:rsidRPr="00BC5411">
        <w:rPr>
          <w:rFonts w:ascii="Palatino Linotype" w:hAnsi="Palatino Linotype" w:cs="Arial"/>
          <w:i/>
          <w:sz w:val="22"/>
        </w:rPr>
        <w:lastRenderedPageBreak/>
        <w:t xml:space="preserve">de trabajo, el monto del ISR participable que no se ha podido recuperar, separando el monto que está pendiente de solicitar, del monto que se solicitó y no se recuperó. </w:t>
      </w:r>
    </w:p>
    <w:p w:rsidR="00E57A52" w:rsidRPr="00BC5411" w:rsidRDefault="00E57A52" w:rsidP="00821B43">
      <w:pPr>
        <w:pStyle w:val="Prrafodelista"/>
        <w:numPr>
          <w:ilvl w:val="0"/>
          <w:numId w:val="6"/>
        </w:numPr>
        <w:spacing w:line="360" w:lineRule="auto"/>
        <w:ind w:left="851" w:right="539"/>
        <w:contextualSpacing w:val="0"/>
        <w:jc w:val="both"/>
        <w:rPr>
          <w:rFonts w:ascii="Palatino Linotype" w:hAnsi="Palatino Linotype" w:cs="Arial"/>
          <w:i/>
          <w:sz w:val="22"/>
        </w:rPr>
      </w:pPr>
      <w:r w:rsidRPr="00BC5411">
        <w:rPr>
          <w:rFonts w:ascii="Palatino Linotype" w:hAnsi="Palatino Linotype" w:cs="Arial"/>
          <w:i/>
          <w:sz w:val="22"/>
        </w:rPr>
        <w:t xml:space="preserve"> </w:t>
      </w:r>
      <w:r w:rsidRPr="00BC5411">
        <w:rPr>
          <w:rFonts w:ascii="Palatino Linotype" w:hAnsi="Palatino Linotype" w:cs="Arial"/>
          <w:i/>
          <w:sz w:val="22"/>
          <w:u w:val="single"/>
        </w:rPr>
        <w:t>Para comprobar que los trabajadores no están siendo afectados por errores en el cálculo de sus impuestos</w:t>
      </w:r>
      <w:r w:rsidRPr="00BC5411">
        <w:rPr>
          <w:rFonts w:ascii="Palatino Linotype" w:hAnsi="Palatino Linotype" w:cs="Arial"/>
          <w:i/>
          <w:sz w:val="22"/>
        </w:rPr>
        <w:t xml:space="preserve"> (No tienen diferencias a cargo, ni diferencias a favor en su declaración anual precargada), propongo que </w:t>
      </w:r>
      <w:r w:rsidRPr="00BC5411">
        <w:rPr>
          <w:rFonts w:ascii="Palatino Linotype" w:hAnsi="Palatino Linotype" w:cs="Arial"/>
          <w:i/>
          <w:sz w:val="22"/>
          <w:u w:val="single"/>
        </w:rPr>
        <w:t>seleccionen al azar 5 muestras del ayuntamiento y tres muestras de cada paramunicipal</w:t>
      </w:r>
      <w:r w:rsidRPr="00BC5411">
        <w:rPr>
          <w:rFonts w:ascii="Palatino Linotype" w:hAnsi="Palatino Linotype" w:cs="Arial"/>
          <w:i/>
          <w:sz w:val="22"/>
        </w:rPr>
        <w:t xml:space="preserve">.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w:t>
      </w:r>
      <w:r w:rsidRPr="00BC5411">
        <w:rPr>
          <w:rFonts w:ascii="Palatino Linotype" w:hAnsi="Palatino Linotype" w:cs="Arial"/>
          <w:i/>
          <w:sz w:val="22"/>
          <w:u w:val="single"/>
        </w:rPr>
        <w:t xml:space="preserve">a </w:t>
      </w:r>
      <w:proofErr w:type="spellStart"/>
      <w:r w:rsidRPr="00BC5411">
        <w:rPr>
          <w:rFonts w:ascii="Palatino Linotype" w:hAnsi="Palatino Linotype" w:cs="Arial"/>
          <w:i/>
          <w:sz w:val="22"/>
          <w:u w:val="single"/>
        </w:rPr>
        <w:t>mi</w:t>
      </w:r>
      <w:proofErr w:type="spellEnd"/>
      <w:r w:rsidRPr="00BC5411">
        <w:rPr>
          <w:rFonts w:ascii="Palatino Linotype" w:hAnsi="Palatino Linotype" w:cs="Arial"/>
          <w:i/>
          <w:sz w:val="22"/>
          <w:u w:val="single"/>
        </w:rPr>
        <w:t xml:space="preserve"> solo me entregarán un papel de trabajo con los siguientes encabezados</w:t>
      </w:r>
      <w:r w:rsidRPr="00BC5411">
        <w:rPr>
          <w:rFonts w:ascii="Palatino Linotype" w:hAnsi="Palatino Linotype" w:cs="Arial"/>
          <w:i/>
          <w:sz w:val="22"/>
        </w:rPr>
        <w:t>: A</w:t>
      </w:r>
      <w:proofErr w:type="gramStart"/>
      <w:r w:rsidRPr="00BC5411">
        <w:rPr>
          <w:rFonts w:ascii="Palatino Linotype" w:hAnsi="Palatino Linotype" w:cs="Arial"/>
          <w:i/>
          <w:sz w:val="22"/>
        </w:rPr>
        <w:t>)En</w:t>
      </w:r>
      <w:proofErr w:type="gramEnd"/>
      <w:r w:rsidRPr="00BC5411">
        <w:rPr>
          <w:rFonts w:ascii="Palatino Linotype" w:hAnsi="Palatino Linotype" w:cs="Arial"/>
          <w:i/>
          <w:sz w:val="22"/>
        </w:rPr>
        <w:t xml:space="preserve">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w:t>
      </w:r>
    </w:p>
    <w:p w:rsidR="006972C5" w:rsidRPr="00BC5411" w:rsidRDefault="006972C5" w:rsidP="00855290">
      <w:pPr>
        <w:pStyle w:val="Prrafodelista"/>
        <w:spacing w:line="360" w:lineRule="auto"/>
        <w:rPr>
          <w:rFonts w:ascii="Palatino Linotype" w:hAnsi="Palatino Linotype" w:cs="Arial"/>
          <w:b/>
        </w:rPr>
      </w:pPr>
    </w:p>
    <w:p w:rsidR="009F09BC" w:rsidRPr="00BC5411" w:rsidRDefault="006F3EF7" w:rsidP="00821B43">
      <w:pPr>
        <w:numPr>
          <w:ilvl w:val="0"/>
          <w:numId w:val="1"/>
        </w:numPr>
        <w:spacing w:line="360" w:lineRule="auto"/>
        <w:ind w:left="0" w:firstLine="0"/>
        <w:contextualSpacing/>
        <w:jc w:val="both"/>
        <w:rPr>
          <w:rFonts w:ascii="Palatino Linotype" w:hAnsi="Palatino Linotype" w:cs="Arial"/>
        </w:rPr>
      </w:pPr>
      <w:r w:rsidRPr="00BC5411">
        <w:rPr>
          <w:rFonts w:ascii="Palatino Linotype" w:hAnsi="Palatino Linotype" w:cs="Arial"/>
        </w:rPr>
        <w:t xml:space="preserve">En respuesta, el </w:t>
      </w:r>
      <w:r w:rsidRPr="00BC5411">
        <w:rPr>
          <w:rFonts w:ascii="Palatino Linotype" w:hAnsi="Palatino Linotype" w:cs="Arial"/>
          <w:b/>
        </w:rPr>
        <w:t>SUJETO OBLIGADO</w:t>
      </w:r>
      <w:r w:rsidRPr="00BC5411">
        <w:rPr>
          <w:rFonts w:ascii="Palatino Linotype" w:hAnsi="Palatino Linotype" w:cs="Arial"/>
        </w:rPr>
        <w:t xml:space="preserve"> </w:t>
      </w:r>
      <w:r w:rsidR="00E54AAE" w:rsidRPr="00BC5411">
        <w:rPr>
          <w:rFonts w:ascii="Palatino Linotype" w:hAnsi="Palatino Linotype" w:cs="Arial"/>
        </w:rPr>
        <w:t xml:space="preserve">atendió diversos puntos de la solicitud remitiendo el soporte documental donde consta o se advierte la información; no obstante </w:t>
      </w:r>
      <w:r w:rsidR="009F09BC" w:rsidRPr="00BC5411">
        <w:rPr>
          <w:rFonts w:ascii="Palatino Linotype" w:hAnsi="Palatino Linotype" w:cs="Arial"/>
          <w:b/>
        </w:rPr>
        <w:t>EL PARTICULAR</w:t>
      </w:r>
      <w:r w:rsidR="00112D7E" w:rsidRPr="00BC5411">
        <w:rPr>
          <w:rFonts w:ascii="Palatino Linotype" w:hAnsi="Palatino Linotype" w:cs="Arial"/>
          <w:b/>
        </w:rPr>
        <w:t>,</w:t>
      </w:r>
      <w:r w:rsidR="009F09BC" w:rsidRPr="00BC5411">
        <w:rPr>
          <w:rFonts w:ascii="Palatino Linotype" w:hAnsi="Palatino Linotype" w:cs="Arial"/>
          <w:b/>
        </w:rPr>
        <w:t xml:space="preserve"> </w:t>
      </w:r>
      <w:r w:rsidR="009F09BC" w:rsidRPr="00BC5411">
        <w:rPr>
          <w:rFonts w:ascii="Palatino Linotype" w:hAnsi="Palatino Linotype" w:cs="Arial"/>
        </w:rPr>
        <w:t>inconforme con la respuesta</w:t>
      </w:r>
      <w:r w:rsidR="00402466" w:rsidRPr="00BC5411">
        <w:rPr>
          <w:rFonts w:ascii="Palatino Linotype" w:hAnsi="Palatino Linotype" w:cs="Arial"/>
        </w:rPr>
        <w:t xml:space="preserve"> interpuso recurso de revisión</w:t>
      </w:r>
      <w:r w:rsidR="009F09BC" w:rsidRPr="00BC5411">
        <w:rPr>
          <w:rFonts w:ascii="Palatino Linotype" w:hAnsi="Palatino Linotype" w:cs="Arial"/>
        </w:rPr>
        <w:t xml:space="preserve">, </w:t>
      </w:r>
      <w:r w:rsidR="00402466" w:rsidRPr="00BC5411">
        <w:rPr>
          <w:rFonts w:ascii="Palatino Linotype" w:hAnsi="Palatino Linotype" w:cs="Arial"/>
        </w:rPr>
        <w:t>señalando</w:t>
      </w:r>
      <w:r w:rsidR="009F09BC" w:rsidRPr="00BC5411">
        <w:rPr>
          <w:rFonts w:ascii="Palatino Linotype" w:hAnsi="Palatino Linotype" w:cs="Arial"/>
        </w:rPr>
        <w:t xml:space="preserve"> </w:t>
      </w:r>
      <w:r w:rsidR="00CF0D2B" w:rsidRPr="00BC5411">
        <w:rPr>
          <w:rFonts w:ascii="Palatino Linotype" w:hAnsi="Palatino Linotype" w:cs="Arial"/>
          <w:i/>
        </w:rPr>
        <w:t>grosso modo</w:t>
      </w:r>
      <w:r w:rsidR="00CF0D2B" w:rsidRPr="00BC5411">
        <w:rPr>
          <w:rFonts w:ascii="Palatino Linotype" w:hAnsi="Palatino Linotype" w:cs="Arial"/>
        </w:rPr>
        <w:t xml:space="preserve"> </w:t>
      </w:r>
      <w:r w:rsidR="00E80237" w:rsidRPr="00BC5411">
        <w:rPr>
          <w:rFonts w:ascii="Palatino Linotype" w:hAnsi="Palatino Linotype" w:cs="Arial"/>
        </w:rPr>
        <w:t>por la entrega de la información incompleta</w:t>
      </w:r>
      <w:r w:rsidR="00E54AAE" w:rsidRPr="00BC5411">
        <w:rPr>
          <w:rFonts w:ascii="Palatino Linotype" w:hAnsi="Palatino Linotype" w:cs="Arial"/>
        </w:rPr>
        <w:t>, al manifestar toralmente lo siguiente:</w:t>
      </w:r>
    </w:p>
    <w:p w:rsidR="00E54AAE" w:rsidRPr="00BC5411" w:rsidRDefault="00E54AAE" w:rsidP="00E54AAE">
      <w:pPr>
        <w:pStyle w:val="Prrafodelista"/>
        <w:spacing w:line="360" w:lineRule="auto"/>
        <w:ind w:left="357" w:right="476"/>
        <w:jc w:val="both"/>
        <w:rPr>
          <w:rFonts w:ascii="Palatino Linotype" w:hAnsi="Palatino Linotype"/>
          <w:i/>
          <w:color w:val="000000"/>
          <w:szCs w:val="14"/>
        </w:rPr>
      </w:pPr>
      <w:r w:rsidRPr="00BC5411">
        <w:rPr>
          <w:rFonts w:ascii="Palatino Linotype" w:hAnsi="Palatino Linotype"/>
          <w:i/>
          <w:color w:val="000000"/>
          <w:szCs w:val="14"/>
        </w:rPr>
        <w:lastRenderedPageBreak/>
        <w:t xml:space="preserve">“Respecto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Pr="00BC5411">
        <w:rPr>
          <w:rFonts w:ascii="Palatino Linotype" w:hAnsi="Palatino Linotype"/>
          <w:i/>
          <w:color w:val="000000"/>
          <w:szCs w:val="14"/>
        </w:rPr>
        <w:t>pdf</w:t>
      </w:r>
      <w:proofErr w:type="spellEnd"/>
      <w:r w:rsidRPr="00BC5411">
        <w:rPr>
          <w:rFonts w:ascii="Palatino Linotype" w:hAnsi="Palatino Linotype"/>
          <w:i/>
          <w:color w:val="000000"/>
          <w:szCs w:val="14"/>
        </w:rPr>
        <w:t>, se envían y listo.</w:t>
      </w:r>
    </w:p>
    <w:p w:rsidR="00E54AAE" w:rsidRPr="00BC5411" w:rsidRDefault="00E54AAE" w:rsidP="00E54AAE">
      <w:pPr>
        <w:pStyle w:val="Prrafodelista"/>
        <w:spacing w:line="360" w:lineRule="auto"/>
        <w:ind w:left="357" w:right="476"/>
        <w:jc w:val="both"/>
        <w:rPr>
          <w:rFonts w:ascii="Palatino Linotype" w:hAnsi="Palatino Linotype"/>
          <w:i/>
          <w:color w:val="000000"/>
          <w:szCs w:val="14"/>
        </w:rPr>
      </w:pPr>
      <w:r w:rsidRPr="00BC5411">
        <w:rPr>
          <w:rFonts w:ascii="Palatino Linotype" w:hAnsi="Palatino Linotype"/>
          <w:i/>
          <w:color w:val="000000"/>
          <w:szCs w:val="14"/>
        </w:rPr>
        <w:t>…</w:t>
      </w:r>
    </w:p>
    <w:p w:rsidR="00E54AAE" w:rsidRPr="00BC5411" w:rsidRDefault="00E54AAE" w:rsidP="00E54AAE">
      <w:pPr>
        <w:pStyle w:val="Prrafodelista"/>
        <w:spacing w:line="360" w:lineRule="auto"/>
        <w:ind w:left="357" w:right="476"/>
        <w:jc w:val="both"/>
        <w:rPr>
          <w:rFonts w:ascii="Palatino Linotype" w:hAnsi="Palatino Linotype"/>
          <w:i/>
          <w:color w:val="000000"/>
          <w:szCs w:val="14"/>
        </w:rPr>
      </w:pPr>
      <w:r w:rsidRPr="00BC5411">
        <w:rPr>
          <w:rFonts w:ascii="Palatino Linotype" w:hAnsi="Palatino Linotype"/>
          <w:i/>
          <w:color w:val="000000"/>
          <w:szCs w:val="14"/>
        </w:rPr>
        <w:t xml:space="preserve">Respecto a las otras dos presentaciones del visor de nóminas del SAT (Vista anual acumulada y detalle mensual) solo tiene que descargar los </w:t>
      </w:r>
      <w:proofErr w:type="spellStart"/>
      <w:r w:rsidRPr="00BC5411">
        <w:rPr>
          <w:rFonts w:ascii="Palatino Linotype" w:hAnsi="Palatino Linotype"/>
          <w:i/>
          <w:color w:val="000000"/>
          <w:szCs w:val="14"/>
        </w:rPr>
        <w:t>pdf</w:t>
      </w:r>
      <w:proofErr w:type="spellEnd"/>
      <w:r w:rsidRPr="00BC5411">
        <w:rPr>
          <w:rFonts w:ascii="Palatino Linotype" w:hAnsi="Palatino Linotype"/>
          <w:i/>
          <w:color w:val="000000"/>
          <w:szCs w:val="14"/>
        </w:rPr>
        <w:t xml:space="preserve">. de su portal del SAT. Dando solo dos </w:t>
      </w:r>
      <w:proofErr w:type="spellStart"/>
      <w:r w:rsidRPr="00BC5411">
        <w:rPr>
          <w:rFonts w:ascii="Palatino Linotype" w:hAnsi="Palatino Linotype"/>
          <w:i/>
          <w:color w:val="000000"/>
          <w:szCs w:val="14"/>
        </w:rPr>
        <w:t>clicks</w:t>
      </w:r>
      <w:proofErr w:type="spellEnd"/>
      <w:r w:rsidRPr="00BC5411">
        <w:rPr>
          <w:rFonts w:ascii="Palatino Linotype" w:hAnsi="Palatino Linotype"/>
          <w:i/>
          <w:color w:val="000000"/>
          <w:szCs w:val="14"/>
        </w:rPr>
        <w:t xml:space="preserve"> y descargando los archivos. </w:t>
      </w:r>
    </w:p>
    <w:p w:rsidR="00E54AAE" w:rsidRPr="00BC5411" w:rsidRDefault="00E54AAE" w:rsidP="00E54AAE">
      <w:pPr>
        <w:pStyle w:val="Prrafodelista"/>
        <w:spacing w:line="360" w:lineRule="auto"/>
        <w:ind w:left="357" w:right="476"/>
        <w:jc w:val="both"/>
        <w:rPr>
          <w:rFonts w:ascii="Palatino Linotype" w:hAnsi="Palatino Linotype"/>
          <w:i/>
          <w:color w:val="000000"/>
          <w:szCs w:val="14"/>
        </w:rPr>
      </w:pPr>
      <w:r w:rsidRPr="00BC5411">
        <w:rPr>
          <w:rFonts w:ascii="Palatino Linotype" w:hAnsi="Palatino Linotype"/>
          <w:i/>
          <w:color w:val="000000"/>
          <w:szCs w:val="14"/>
        </w:rPr>
        <w:t>…</w:t>
      </w:r>
    </w:p>
    <w:p w:rsidR="00E54AAE" w:rsidRPr="00BC5411" w:rsidRDefault="00E54AAE" w:rsidP="00E54AAE">
      <w:pPr>
        <w:pStyle w:val="Prrafodelista"/>
        <w:spacing w:line="360" w:lineRule="auto"/>
        <w:ind w:left="357" w:right="476"/>
        <w:jc w:val="both"/>
        <w:rPr>
          <w:rFonts w:ascii="Palatino Linotype" w:hAnsi="Palatino Linotype"/>
          <w:i/>
          <w:color w:val="000000"/>
          <w:szCs w:val="14"/>
        </w:rPr>
      </w:pPr>
      <w:r w:rsidRPr="00BC5411">
        <w:rPr>
          <w:rFonts w:ascii="Palatino Linotype" w:hAnsi="Palatino Linotype"/>
          <w:i/>
          <w:color w:val="000000"/>
          <w:szCs w:val="14"/>
        </w:rPr>
        <w:t xml:space="preserve">Respecto a los puntos solicitados II, III y IV si no se tiene convenios de colaboración con esos entes fiscalizadores está bien la respuesta que no aplica si esto es así, pero respecto al punto I espero ahora si lo haya entendido que es una herramienta de ayuda del SAT para ellos y son reportes ya entregados </w:t>
      </w:r>
    </w:p>
    <w:p w:rsidR="00E54AAE" w:rsidRPr="00BC5411" w:rsidRDefault="00E54AAE" w:rsidP="00E54AAE">
      <w:pPr>
        <w:pStyle w:val="Prrafodelista"/>
        <w:spacing w:line="360" w:lineRule="auto"/>
        <w:ind w:left="357" w:right="476"/>
        <w:jc w:val="both"/>
        <w:rPr>
          <w:rFonts w:ascii="Palatino Linotype" w:hAnsi="Palatino Linotype"/>
          <w:i/>
          <w:color w:val="000000"/>
          <w:szCs w:val="14"/>
        </w:rPr>
      </w:pPr>
      <w:r w:rsidRPr="00BC5411">
        <w:rPr>
          <w:rFonts w:ascii="Palatino Linotype" w:hAnsi="Palatino Linotype"/>
          <w:i/>
          <w:color w:val="000000"/>
          <w:szCs w:val="14"/>
        </w:rPr>
        <w:t>….</w:t>
      </w:r>
    </w:p>
    <w:p w:rsidR="00E54AAE" w:rsidRPr="00BC5411" w:rsidRDefault="00E54AAE" w:rsidP="00E54AAE">
      <w:pPr>
        <w:pStyle w:val="Prrafodelista"/>
        <w:spacing w:line="360" w:lineRule="auto"/>
        <w:ind w:left="357" w:right="476"/>
        <w:jc w:val="both"/>
        <w:rPr>
          <w:rFonts w:ascii="Palatino Linotype" w:hAnsi="Palatino Linotype"/>
          <w:sz w:val="32"/>
        </w:rPr>
      </w:pPr>
      <w:r w:rsidRPr="00BC5411">
        <w:rPr>
          <w:rFonts w:ascii="Palatino Linotype" w:hAnsi="Palatino Linotype"/>
          <w:i/>
          <w:color w:val="000000"/>
          <w:szCs w:val="14"/>
        </w:rPr>
        <w:t xml:space="preserve">Ocupo los visores de nómina en sus tres presentaciones; a) vista anual acumulada, detalle mensual y detalle diferencias sueldos y salarios por los años 2018, 2019, 2020 y 2021 .Además de los otros puntos II, III y IV si es que aplican. Y el V y VI es una sugerencia par </w:t>
      </w:r>
      <w:proofErr w:type="spellStart"/>
      <w:r w:rsidRPr="00BC5411">
        <w:rPr>
          <w:rFonts w:ascii="Palatino Linotype" w:hAnsi="Palatino Linotype"/>
          <w:i/>
          <w:color w:val="000000"/>
          <w:szCs w:val="14"/>
        </w:rPr>
        <w:t>eficientar</w:t>
      </w:r>
      <w:proofErr w:type="spellEnd"/>
      <w:r w:rsidRPr="00BC5411">
        <w:rPr>
          <w:rFonts w:ascii="Palatino Linotype" w:hAnsi="Palatino Linotype"/>
          <w:i/>
          <w:color w:val="000000"/>
          <w:szCs w:val="14"/>
        </w:rPr>
        <w:t xml:space="preserve"> y mejor su actividades” </w:t>
      </w:r>
      <w:r w:rsidRPr="00BC5411">
        <w:rPr>
          <w:rFonts w:ascii="Palatino Linotype" w:hAnsi="Palatino Linotype"/>
          <w:color w:val="000000"/>
          <w:szCs w:val="14"/>
        </w:rPr>
        <w:t>(SIC)</w:t>
      </w:r>
    </w:p>
    <w:p w:rsidR="00E54AAE" w:rsidRPr="00BC5411" w:rsidRDefault="00E54AAE" w:rsidP="00E54AAE">
      <w:pPr>
        <w:spacing w:line="360" w:lineRule="auto"/>
        <w:contextualSpacing/>
        <w:jc w:val="both"/>
        <w:rPr>
          <w:rFonts w:ascii="Palatino Linotype" w:hAnsi="Palatino Linotype" w:cs="Arial"/>
        </w:rPr>
      </w:pPr>
    </w:p>
    <w:p w:rsidR="009F09BC" w:rsidRPr="00BC5411" w:rsidRDefault="009F09BC" w:rsidP="00821B43">
      <w:pPr>
        <w:numPr>
          <w:ilvl w:val="0"/>
          <w:numId w:val="1"/>
        </w:numPr>
        <w:spacing w:line="360" w:lineRule="auto"/>
        <w:ind w:left="0" w:firstLine="0"/>
        <w:contextualSpacing/>
        <w:jc w:val="both"/>
        <w:rPr>
          <w:rFonts w:ascii="Palatino Linotype" w:eastAsia="MS Mincho" w:hAnsi="Palatino Linotype" w:cs="Arial"/>
        </w:rPr>
      </w:pPr>
      <w:r w:rsidRPr="00BC5411">
        <w:rPr>
          <w:rFonts w:ascii="Palatino Linotype" w:eastAsia="MS Mincho" w:hAnsi="Palatino Linotype" w:cs="Arial"/>
        </w:rPr>
        <w:t xml:space="preserve">En </w:t>
      </w:r>
      <w:r w:rsidRPr="00BC5411">
        <w:rPr>
          <w:rFonts w:ascii="Palatino Linotype" w:hAnsi="Palatino Linotype" w:cs="Arial"/>
          <w:lang w:eastAsia="es-MX"/>
        </w:rPr>
        <w:t>dichas</w:t>
      </w:r>
      <w:r w:rsidRPr="00BC5411">
        <w:rPr>
          <w:rFonts w:ascii="Palatino Linotype" w:eastAsia="Times New Roman" w:hAnsi="Palatino Linotype" w:cs="Arial"/>
        </w:rPr>
        <w:t xml:space="preserve"> condiciones, la </w:t>
      </w:r>
      <w:r w:rsidRPr="00BC5411">
        <w:rPr>
          <w:rFonts w:ascii="Palatino Linotype" w:eastAsia="Times New Roman" w:hAnsi="Palatino Linotype" w:cs="Arial"/>
          <w:i/>
        </w:rPr>
        <w:t>Litis</w:t>
      </w:r>
      <w:r w:rsidRPr="00BC5411">
        <w:rPr>
          <w:rFonts w:ascii="Palatino Linotype" w:eastAsia="Times New Roman" w:hAnsi="Palatino Linotype" w:cs="Arial"/>
        </w:rPr>
        <w:t xml:space="preserve"> a resolver en este recurso se circunscribe a </w:t>
      </w:r>
      <w:r w:rsidRPr="00BC5411">
        <w:rPr>
          <w:rFonts w:ascii="Palatino Linotype" w:hAnsi="Palatino Linotype" w:cs="Arial"/>
          <w:b/>
        </w:rPr>
        <w:t>determinar</w:t>
      </w:r>
      <w:r w:rsidRPr="00BC5411">
        <w:rPr>
          <w:rFonts w:ascii="Palatino Linotype" w:eastAsia="Times New Roman" w:hAnsi="Palatino Linotype" w:cs="Arial"/>
        </w:rPr>
        <w:t xml:space="preserve"> </w:t>
      </w:r>
      <w:r w:rsidRPr="00BC5411">
        <w:rPr>
          <w:rFonts w:ascii="Palatino Linotype" w:hAnsi="Palatino Linotype" w:cs="Arial"/>
          <w:b/>
        </w:rPr>
        <w:t>si</w:t>
      </w:r>
      <w:r w:rsidRPr="00BC5411">
        <w:rPr>
          <w:rFonts w:ascii="Palatino Linotype" w:eastAsia="Times New Roman" w:hAnsi="Palatino Linotype" w:cs="Arial"/>
        </w:rPr>
        <w:t xml:space="preserve"> </w:t>
      </w:r>
      <w:r w:rsidR="009A1604" w:rsidRPr="00BC5411">
        <w:rPr>
          <w:rFonts w:ascii="Palatino Linotype" w:eastAsia="MS Mincho" w:hAnsi="Palatino Linotype" w:cs="Arial"/>
        </w:rPr>
        <w:t>se actualizan la causal</w:t>
      </w:r>
      <w:r w:rsidRPr="00BC5411">
        <w:rPr>
          <w:rFonts w:ascii="Palatino Linotype" w:eastAsia="MS Mincho" w:hAnsi="Palatino Linotype" w:cs="Arial"/>
        </w:rPr>
        <w:t xml:space="preserve"> de procedencia prevista en el artículo 179, </w:t>
      </w:r>
      <w:r w:rsidRPr="00BC5411">
        <w:rPr>
          <w:rFonts w:ascii="Palatino Linotype" w:eastAsia="MS Mincho" w:hAnsi="Palatino Linotype" w:cs="Arial"/>
        </w:rPr>
        <w:lastRenderedPageBreak/>
        <w:t xml:space="preserve">fracción </w:t>
      </w:r>
      <w:r w:rsidR="001C0503" w:rsidRPr="00BC5411">
        <w:rPr>
          <w:rFonts w:ascii="Palatino Linotype" w:eastAsia="MS Mincho" w:hAnsi="Palatino Linotype" w:cs="Arial"/>
        </w:rPr>
        <w:t xml:space="preserve">V </w:t>
      </w:r>
      <w:r w:rsidRPr="00BC5411">
        <w:rPr>
          <w:rFonts w:ascii="Palatino Linotype" w:eastAsia="MS Mincho" w:hAnsi="Palatino Linotype" w:cs="Arial"/>
        </w:rPr>
        <w:t xml:space="preserve">de la </w:t>
      </w:r>
      <w:r w:rsidRPr="00BC5411">
        <w:rPr>
          <w:rFonts w:ascii="Palatino Linotype" w:eastAsia="MS Mincho" w:hAnsi="Palatino Linotype" w:cs="Arial"/>
          <w:b/>
        </w:rPr>
        <w:t>Ley de Transparencia y Acceso a la Información Pública del Estado de México y Municipios</w:t>
      </w:r>
      <w:r w:rsidRPr="00BC5411">
        <w:rPr>
          <w:rFonts w:ascii="Palatino Linotype" w:eastAsia="MS Mincho" w:hAnsi="Palatino Linotype" w:cs="Arial"/>
        </w:rPr>
        <w:t xml:space="preserve">; </w:t>
      </w:r>
      <w:r w:rsidR="009A1604" w:rsidRPr="00BC5411">
        <w:rPr>
          <w:rFonts w:ascii="Palatino Linotype" w:eastAsia="Times New Roman" w:hAnsi="Palatino Linotype" w:cs="Arial"/>
          <w:color w:val="000000" w:themeColor="text1"/>
          <w:lang w:val="es-ES" w:eastAsia="es-MX"/>
        </w:rPr>
        <w:t>fracción</w:t>
      </w:r>
      <w:r w:rsidRPr="00BC5411">
        <w:rPr>
          <w:rFonts w:ascii="Palatino Linotype" w:eastAsia="Times New Roman" w:hAnsi="Palatino Linotype" w:cs="Arial"/>
          <w:color w:val="000000" w:themeColor="text1"/>
          <w:lang w:val="es-ES" w:eastAsia="es-MX"/>
        </w:rPr>
        <w:t xml:space="preserve"> que determina </w:t>
      </w:r>
      <w:r w:rsidR="009A1604" w:rsidRPr="00BC5411">
        <w:rPr>
          <w:rFonts w:ascii="Palatino Linotype" w:eastAsia="Times New Roman" w:hAnsi="Palatino Linotype" w:cs="Arial"/>
          <w:color w:val="000000" w:themeColor="text1"/>
          <w:lang w:val="es-ES" w:eastAsia="es-MX"/>
        </w:rPr>
        <w:t>la hipótesis jurídica</w:t>
      </w:r>
      <w:r w:rsidRPr="00BC5411">
        <w:rPr>
          <w:rFonts w:ascii="Palatino Linotype" w:eastAsia="Times New Roman" w:hAnsi="Palatino Linotype" w:cs="Arial"/>
          <w:color w:val="000000" w:themeColor="text1"/>
          <w:lang w:val="es-ES" w:eastAsia="es-MX"/>
        </w:rPr>
        <w:t xml:space="preserve"> </w:t>
      </w:r>
      <w:r w:rsidR="001C0503" w:rsidRPr="00BC5411">
        <w:rPr>
          <w:rFonts w:ascii="Palatino Linotype" w:eastAsia="Times New Roman" w:hAnsi="Palatino Linotype" w:cs="Arial"/>
          <w:color w:val="000000" w:themeColor="text1"/>
          <w:lang w:val="es-ES" w:eastAsia="es-MX"/>
        </w:rPr>
        <w:t>de la entrega de información incompleta</w:t>
      </w:r>
      <w:r w:rsidRPr="00BC5411">
        <w:rPr>
          <w:rFonts w:ascii="Palatino Linotype" w:eastAsia="Times New Roman" w:hAnsi="Palatino Linotype" w:cs="Arial"/>
          <w:color w:val="000000" w:themeColor="text1"/>
          <w:lang w:val="es-ES" w:eastAsia="es-MX"/>
        </w:rPr>
        <w:t xml:space="preserve">; </w:t>
      </w:r>
      <w:r w:rsidRPr="00BC5411">
        <w:rPr>
          <w:rFonts w:ascii="Palatino Linotype" w:eastAsia="MS Mincho" w:hAnsi="Palatino Linotype" w:cs="Arial"/>
        </w:rPr>
        <w:t xml:space="preserve">contexto del cual se dolió </w:t>
      </w:r>
      <w:r w:rsidRPr="00BC5411">
        <w:rPr>
          <w:rFonts w:ascii="Palatino Linotype" w:eastAsia="MS Mincho" w:hAnsi="Palatino Linotype" w:cs="Arial"/>
          <w:b/>
        </w:rPr>
        <w:t xml:space="preserve">EL RECURRENTE </w:t>
      </w:r>
      <w:r w:rsidRPr="00BC5411">
        <w:rPr>
          <w:rFonts w:ascii="Palatino Linotype" w:eastAsia="MS Mincho" w:hAnsi="Palatino Linotype" w:cs="Arial"/>
        </w:rPr>
        <w:t>al momento de interponer su inconformidad.</w:t>
      </w:r>
      <w:r w:rsidRPr="00BC5411">
        <w:rPr>
          <w:rFonts w:ascii="Palatino Linotype" w:eastAsia="Times New Roman" w:hAnsi="Palatino Linotype" w:cs="Arial"/>
          <w:color w:val="000000" w:themeColor="text1"/>
          <w:lang w:val="es-ES" w:eastAsia="es-MX"/>
        </w:rPr>
        <w:t xml:space="preserve"> De modo tal </w:t>
      </w:r>
      <w:r w:rsidRPr="00BC5411">
        <w:rPr>
          <w:rFonts w:ascii="Palatino Linotype" w:hAnsi="Palatino Linotype" w:cs="Arial"/>
          <w:color w:val="000000" w:themeColor="text1"/>
        </w:rPr>
        <w:t xml:space="preserve">que el presente recurso de revisión se abocara en determinar si el </w:t>
      </w:r>
      <w:r w:rsidRPr="00BC5411">
        <w:rPr>
          <w:rFonts w:ascii="Palatino Linotype" w:hAnsi="Palatino Linotype" w:cs="Arial"/>
          <w:b/>
          <w:color w:val="000000" w:themeColor="text1"/>
        </w:rPr>
        <w:t>SUJETO</w:t>
      </w:r>
      <w:r w:rsidRPr="00BC5411">
        <w:rPr>
          <w:rFonts w:ascii="Palatino Linotype" w:hAnsi="Palatino Linotype" w:cs="Arial"/>
          <w:color w:val="000000" w:themeColor="text1"/>
        </w:rPr>
        <w:t xml:space="preserve"> </w:t>
      </w:r>
      <w:r w:rsidRPr="00BC5411">
        <w:rPr>
          <w:rFonts w:ascii="Palatino Linotype" w:hAnsi="Palatino Linotype" w:cs="Arial"/>
          <w:b/>
          <w:color w:val="000000" w:themeColor="text1"/>
        </w:rPr>
        <w:t>OBLIGADO</w:t>
      </w:r>
      <w:r w:rsidRPr="00BC5411">
        <w:rPr>
          <w:rFonts w:ascii="Palatino Linotype" w:hAnsi="Palatino Linotype" w:cs="Arial"/>
          <w:color w:val="000000" w:themeColor="text1"/>
        </w:rPr>
        <w:t xml:space="preserve"> con su respuesta ciertamente </w:t>
      </w:r>
      <w:r w:rsidRPr="00BC5411">
        <w:rPr>
          <w:rFonts w:ascii="Palatino Linotype" w:eastAsia="Times New Roman" w:hAnsi="Palatino Linotype"/>
          <w:color w:val="000000" w:themeColor="text1"/>
        </w:rPr>
        <w:t>actualiza la causal de procedencia</w:t>
      </w:r>
      <w:r w:rsidRPr="00BC5411">
        <w:rPr>
          <w:rFonts w:ascii="Palatino Linotype" w:eastAsia="Times New Roman" w:hAnsi="Palatino Linotype"/>
          <w:b/>
          <w:color w:val="000000" w:themeColor="text1"/>
        </w:rPr>
        <w:t xml:space="preserve"> </w:t>
      </w:r>
      <w:r w:rsidRPr="00BC5411">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7210B9" w:rsidRPr="00BC5411" w:rsidRDefault="007210B9" w:rsidP="007210B9">
      <w:pPr>
        <w:pStyle w:val="Prrafodelista"/>
        <w:rPr>
          <w:rFonts w:ascii="Palatino Linotype" w:eastAsia="MS Mincho" w:hAnsi="Palatino Linotype" w:cs="Arial"/>
        </w:rPr>
      </w:pPr>
    </w:p>
    <w:p w:rsidR="009F09BC" w:rsidRPr="00BC5411" w:rsidRDefault="009F09BC" w:rsidP="00855290">
      <w:pPr>
        <w:pStyle w:val="Ttulo2"/>
        <w:spacing w:before="0" w:line="360" w:lineRule="auto"/>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BC5411">
        <w:rPr>
          <w:rFonts w:ascii="Palatino Linotype" w:hAnsi="Palatino Linotype"/>
          <w:b/>
          <w:color w:val="000000" w:themeColor="text1"/>
          <w:sz w:val="24"/>
          <w:szCs w:val="24"/>
        </w:rPr>
        <w:t>CUARTO. Del estudio y resolución del asunto.</w:t>
      </w:r>
      <w:bookmarkEnd w:id="144"/>
      <w:bookmarkEnd w:id="145"/>
      <w:bookmarkEnd w:id="146"/>
      <w:bookmarkEnd w:id="147"/>
      <w:bookmarkEnd w:id="148"/>
    </w:p>
    <w:p w:rsidR="009F09BC" w:rsidRPr="00BC5411" w:rsidRDefault="009F09BC" w:rsidP="00855290">
      <w:pPr>
        <w:spacing w:line="360" w:lineRule="auto"/>
        <w:rPr>
          <w:rFonts w:ascii="Palatino Linotype" w:hAnsi="Palatino Linotype"/>
          <w:lang w:val="es-MX" w:eastAsia="en-US"/>
        </w:rPr>
      </w:pPr>
    </w:p>
    <w:p w:rsidR="00B54047" w:rsidRPr="00BC5411" w:rsidRDefault="00B54047" w:rsidP="00821B43">
      <w:pPr>
        <w:numPr>
          <w:ilvl w:val="0"/>
          <w:numId w:val="1"/>
        </w:numPr>
        <w:spacing w:line="360" w:lineRule="auto"/>
        <w:ind w:left="0" w:firstLine="0"/>
        <w:contextualSpacing/>
        <w:jc w:val="both"/>
        <w:rPr>
          <w:rFonts w:ascii="Palatino Linotype" w:hAnsi="Palatino Linotype"/>
          <w:color w:val="000000" w:themeColor="text1"/>
        </w:rPr>
      </w:pPr>
      <w:r w:rsidRPr="00BC5411">
        <w:rPr>
          <w:rFonts w:ascii="Palatino Linotype" w:hAnsi="Palatino Linotype"/>
          <w:color w:val="000000" w:themeColor="text1"/>
        </w:rPr>
        <w:t>Primeramente es menester precisar</w:t>
      </w:r>
      <w:r w:rsidRPr="00BC5411">
        <w:rPr>
          <w:rFonts w:ascii="Palatino Linotype" w:hAnsi="Palatino Linotype"/>
          <w:bCs/>
          <w:color w:val="000000" w:themeColor="text1"/>
          <w:lang w:val="es-MX"/>
        </w:rPr>
        <w:t xml:space="preserve"> que </w:t>
      </w:r>
      <w:r w:rsidRPr="00BC5411">
        <w:rPr>
          <w:rFonts w:ascii="Palatino Linotype" w:hAnsi="Palatino Linotype"/>
          <w:bCs/>
          <w:color w:val="000000" w:themeColor="text1"/>
        </w:rPr>
        <w:t xml:space="preserve">este Órgano Garante parte del hecho que el </w:t>
      </w:r>
      <w:r w:rsidRPr="00BC5411">
        <w:rPr>
          <w:rFonts w:ascii="Palatino Linotype" w:eastAsia="MS Mincho" w:hAnsi="Palatino Linotype" w:cs="Arial"/>
        </w:rPr>
        <w:t>Derecho</w:t>
      </w:r>
      <w:r w:rsidRPr="00BC5411">
        <w:rPr>
          <w:rFonts w:ascii="Palatino Linotype" w:hAnsi="Palatino Linotype"/>
          <w:bCs/>
          <w:color w:val="000000" w:themeColor="text1"/>
        </w:rPr>
        <w:t xml:space="preserve"> de </w:t>
      </w:r>
      <w:r w:rsidRPr="00BC5411">
        <w:rPr>
          <w:rFonts w:ascii="Palatino Linotype" w:eastAsia="MS Mincho" w:hAnsi="Palatino Linotype" w:cs="Arial"/>
        </w:rPr>
        <w:t>Acceso</w:t>
      </w:r>
      <w:r w:rsidRPr="00BC5411">
        <w:rPr>
          <w:rFonts w:ascii="Palatino Linotype" w:hAnsi="Palatino Linotype"/>
          <w:bCs/>
          <w:color w:val="000000" w:themeColor="text1"/>
        </w:rPr>
        <w:t xml:space="preserve"> a la Información Pública, es un derecho humano </w:t>
      </w:r>
      <w:r w:rsidRPr="00BC5411">
        <w:rPr>
          <w:rFonts w:ascii="Palatino Linotype" w:eastAsia="MS Mincho" w:hAnsi="Palatino Linotype" w:cs="Arial"/>
        </w:rPr>
        <w:t>reconocido</w:t>
      </w:r>
      <w:r w:rsidRPr="00BC5411">
        <w:rPr>
          <w:rFonts w:ascii="Palatino Linotype" w:hAnsi="Palatino Linotype"/>
          <w:bCs/>
          <w:color w:val="000000" w:themeColor="text1"/>
        </w:rPr>
        <w:t xml:space="preserve">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BC5411">
        <w:rPr>
          <w:rFonts w:ascii="Palatino Linotype" w:hAnsi="Palatino Linotype"/>
          <w:b/>
          <w:bCs/>
          <w:color w:val="000000" w:themeColor="text1"/>
        </w:rPr>
        <w:t>SUJETO OBLIGADO</w:t>
      </w:r>
      <w:r w:rsidRPr="00BC5411">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C5411">
        <w:rPr>
          <w:rFonts w:ascii="Palatino Linotype" w:hAnsi="Palatino Linotype"/>
          <w:b/>
          <w:bCs/>
          <w:color w:val="000000" w:themeColor="text1"/>
        </w:rPr>
        <w:t xml:space="preserve">Constitución Política de los Estados Unidos Mexicanos </w:t>
      </w:r>
      <w:r w:rsidRPr="00BC5411">
        <w:rPr>
          <w:rFonts w:ascii="Palatino Linotype" w:hAnsi="Palatino Linotype"/>
          <w:bCs/>
          <w:color w:val="000000" w:themeColor="text1"/>
        </w:rPr>
        <w:t xml:space="preserve">al señalar la obligación de “promover, respetar, proteger y </w:t>
      </w:r>
      <w:r w:rsidRPr="00BC5411">
        <w:rPr>
          <w:rFonts w:ascii="Palatino Linotype" w:hAnsi="Palatino Linotype"/>
          <w:b/>
          <w:bCs/>
          <w:color w:val="000000" w:themeColor="text1"/>
        </w:rPr>
        <w:t>garantizar</w:t>
      </w:r>
      <w:r w:rsidRPr="00BC5411">
        <w:rPr>
          <w:rFonts w:ascii="Palatino Linotype" w:hAnsi="Palatino Linotype"/>
          <w:bCs/>
          <w:color w:val="000000" w:themeColor="text1"/>
        </w:rPr>
        <w:t xml:space="preserve"> los derechos humanos”, entre los cuales se encuentra dicho derecho.</w:t>
      </w:r>
    </w:p>
    <w:p w:rsidR="00B54047" w:rsidRPr="00BC5411" w:rsidRDefault="00B54047" w:rsidP="00821B43">
      <w:pPr>
        <w:numPr>
          <w:ilvl w:val="0"/>
          <w:numId w:val="1"/>
        </w:numPr>
        <w:spacing w:line="360" w:lineRule="auto"/>
        <w:ind w:left="0" w:firstLine="0"/>
        <w:contextualSpacing/>
        <w:jc w:val="both"/>
        <w:rPr>
          <w:rFonts w:ascii="Palatino Linotype" w:hAnsi="Palatino Linotype"/>
          <w:color w:val="000000" w:themeColor="text1"/>
        </w:rPr>
      </w:pPr>
      <w:r w:rsidRPr="00BC5411">
        <w:rPr>
          <w:rFonts w:ascii="Palatino Linotype" w:hAnsi="Palatino Linotype"/>
          <w:color w:val="000000" w:themeColor="text1"/>
        </w:rPr>
        <w:lastRenderedPageBreak/>
        <w:t xml:space="preserve">Por </w:t>
      </w:r>
      <w:r w:rsidRPr="00BC5411">
        <w:rPr>
          <w:rFonts w:ascii="Palatino Linotype" w:hAnsi="Palatino Linotype"/>
          <w:color w:val="000000" w:themeColor="text1"/>
          <w:lang w:val="es-MX"/>
        </w:rPr>
        <w:t xml:space="preserve">lo anterior, se deduce que el derecho de acceso a la información pública es un </w:t>
      </w:r>
      <w:r w:rsidRPr="00BC5411">
        <w:rPr>
          <w:rFonts w:ascii="Palatino Linotype" w:hAnsi="Palatino Linotype"/>
          <w:color w:val="000000" w:themeColor="text1"/>
        </w:rPr>
        <w:t>derecho</w:t>
      </w:r>
      <w:r w:rsidRPr="00BC5411">
        <w:rPr>
          <w:rFonts w:ascii="Palatino Linotype" w:hAnsi="Palatino Linotype"/>
          <w:color w:val="000000" w:themeColor="text1"/>
          <w:lang w:val="es-MX"/>
        </w:rPr>
        <w:t xml:space="preserve"> humano convencional y constitucionalmente reconocido; en consecuencia, todas las autoridades en el ámbito de sus competencias, funciones y atribuciones tienen la obligación de respetarlo, protegerlo y garantizarlo.</w:t>
      </w:r>
    </w:p>
    <w:p w:rsidR="00B54047" w:rsidRPr="00BC5411" w:rsidRDefault="00B54047" w:rsidP="00855290">
      <w:pPr>
        <w:spacing w:line="360" w:lineRule="auto"/>
        <w:rPr>
          <w:rFonts w:ascii="Palatino Linotype" w:hAnsi="Palatino Linotype"/>
          <w:color w:val="000000" w:themeColor="text1"/>
        </w:rPr>
      </w:pPr>
    </w:p>
    <w:p w:rsidR="00B54047" w:rsidRPr="00BC5411" w:rsidRDefault="00B54047" w:rsidP="00821B43">
      <w:pPr>
        <w:numPr>
          <w:ilvl w:val="0"/>
          <w:numId w:val="1"/>
        </w:numPr>
        <w:spacing w:line="360" w:lineRule="auto"/>
        <w:ind w:left="0" w:firstLine="0"/>
        <w:contextualSpacing/>
        <w:jc w:val="both"/>
        <w:rPr>
          <w:rFonts w:ascii="Palatino Linotype" w:hAnsi="Palatino Linotype"/>
          <w:color w:val="000000" w:themeColor="text1"/>
        </w:rPr>
      </w:pPr>
      <w:r w:rsidRPr="00BC5411">
        <w:rPr>
          <w:rFonts w:ascii="Palatino Linotype" w:hAnsi="Palatino Linotype"/>
          <w:color w:val="000000" w:themeColor="text1"/>
        </w:rPr>
        <w:t xml:space="preserve">Así las cosas, </w:t>
      </w:r>
      <w:r w:rsidRPr="00BC5411">
        <w:rPr>
          <w:rFonts w:ascii="Palatino Linotype" w:hAnsi="Palatino Linotype"/>
          <w:color w:val="000000" w:themeColor="text1"/>
          <w:lang w:val="es-MX"/>
        </w:rPr>
        <w:t xml:space="preserve">podemos definir el Derecho de Acceso a la Información Pública </w:t>
      </w:r>
      <w:r w:rsidRPr="00BC5411">
        <w:rPr>
          <w:rFonts w:ascii="Palatino Linotype" w:hAnsi="Palatino Linotype"/>
          <w:color w:val="000000" w:themeColor="text1"/>
        </w:rPr>
        <w:t>como</w:t>
      </w:r>
      <w:r w:rsidRPr="00BC5411">
        <w:rPr>
          <w:rFonts w:ascii="Palatino Linotype" w:hAnsi="Palatino Linotype"/>
          <w:color w:val="000000" w:themeColor="text1"/>
          <w:lang w:val="es-MX"/>
        </w:rPr>
        <w:t xml:space="preserve">: </w:t>
      </w:r>
      <w:r w:rsidRPr="00BC5411">
        <w:rPr>
          <w:rFonts w:ascii="Palatino Linotype" w:hAnsi="Palatino Linotype"/>
          <w:i/>
          <w:color w:val="000000" w:themeColor="text1"/>
          <w:lang w:val="es-MX"/>
        </w:rPr>
        <w:t xml:space="preserve">La </w:t>
      </w:r>
      <w:r w:rsidRPr="00BC5411">
        <w:rPr>
          <w:rFonts w:ascii="Palatino Linotype" w:hAnsi="Palatino Linotype"/>
          <w:color w:val="000000" w:themeColor="text1"/>
        </w:rPr>
        <w:t>igualdad</w:t>
      </w:r>
      <w:r w:rsidRPr="00BC5411">
        <w:rPr>
          <w:rFonts w:ascii="Palatino Linotype" w:hAnsi="Palatino Linotype"/>
          <w:i/>
          <w:color w:val="000000" w:themeColor="text1"/>
          <w:lang w:val="es-MX"/>
        </w:rPr>
        <w:t xml:space="preserve"> de oportunidades para recibir, buscar e impartir información</w:t>
      </w:r>
      <w:r w:rsidRPr="00BC5411">
        <w:rPr>
          <w:rFonts w:ascii="Palatino Linotype" w:hAnsi="Palatino Linotype"/>
          <w:i/>
          <w:color w:val="000000" w:themeColor="text1"/>
          <w:vertAlign w:val="superscript"/>
          <w:lang w:val="es-MX"/>
        </w:rPr>
        <w:footnoteReference w:id="1"/>
      </w:r>
      <w:r w:rsidRPr="00BC5411">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C5411">
        <w:rPr>
          <w:rFonts w:ascii="Palatino Linotype" w:hAnsi="Palatino Linotype"/>
          <w:i/>
          <w:color w:val="000000" w:themeColor="text1"/>
          <w:vertAlign w:val="superscript"/>
          <w:lang w:val="es-MX"/>
        </w:rPr>
        <w:footnoteReference w:id="2"/>
      </w:r>
      <w:r w:rsidRPr="00BC5411">
        <w:rPr>
          <w:rFonts w:ascii="Palatino Linotype" w:hAnsi="Palatino Linotype"/>
          <w:color w:val="000000" w:themeColor="text1"/>
          <w:lang w:val="es-MX"/>
        </w:rPr>
        <w:t>que se constituye como una herramienta fundamental para ejercer</w:t>
      </w:r>
      <w:r w:rsidRPr="00BC5411">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BC5411">
        <w:rPr>
          <w:rFonts w:ascii="Palatino Linotype" w:hAnsi="Palatino Linotype"/>
          <w:i/>
          <w:color w:val="000000" w:themeColor="text1"/>
          <w:vertAlign w:val="superscript"/>
          <w:lang w:val="es-MX"/>
        </w:rPr>
        <w:footnoteReference w:id="3"/>
      </w:r>
      <w:r w:rsidRPr="00BC5411">
        <w:rPr>
          <w:rFonts w:ascii="Palatino Linotype" w:hAnsi="Palatino Linotype"/>
          <w:i/>
          <w:color w:val="000000" w:themeColor="text1"/>
          <w:lang w:val="es-MX"/>
        </w:rPr>
        <w:t xml:space="preserve"> </w:t>
      </w:r>
      <w:r w:rsidRPr="00BC5411">
        <w:rPr>
          <w:rFonts w:ascii="Palatino Linotype" w:hAnsi="Palatino Linotype"/>
          <w:color w:val="000000" w:themeColor="text1"/>
          <w:lang w:val="es-MX"/>
        </w:rPr>
        <w:t>fomentando</w:t>
      </w:r>
      <w:r w:rsidRPr="00BC5411">
        <w:rPr>
          <w:rFonts w:ascii="Palatino Linotype" w:hAnsi="Palatino Linotype"/>
          <w:i/>
          <w:color w:val="000000" w:themeColor="text1"/>
          <w:lang w:val="es-MX"/>
        </w:rPr>
        <w:t xml:space="preserve"> la transparencia de las actividades estatales y </w:t>
      </w:r>
      <w:r w:rsidRPr="00BC5411">
        <w:rPr>
          <w:rFonts w:ascii="Palatino Linotype" w:hAnsi="Palatino Linotype"/>
          <w:color w:val="000000" w:themeColor="text1"/>
          <w:lang w:val="es-MX"/>
        </w:rPr>
        <w:t>promoviendo</w:t>
      </w:r>
      <w:r w:rsidRPr="00BC5411">
        <w:rPr>
          <w:rFonts w:ascii="Palatino Linotype" w:hAnsi="Palatino Linotype"/>
          <w:i/>
          <w:color w:val="000000" w:themeColor="text1"/>
          <w:lang w:val="es-MX"/>
        </w:rPr>
        <w:t xml:space="preserve"> la responsabilidad de los funcionarios sobre su gestión pública,</w:t>
      </w:r>
      <w:r w:rsidRPr="00BC5411">
        <w:rPr>
          <w:rFonts w:ascii="Palatino Linotype" w:hAnsi="Palatino Linotype"/>
          <w:i/>
          <w:color w:val="000000" w:themeColor="text1"/>
          <w:vertAlign w:val="superscript"/>
          <w:lang w:val="es-MX"/>
        </w:rPr>
        <w:footnoteReference w:id="4"/>
      </w:r>
      <w:r w:rsidRPr="00BC5411">
        <w:rPr>
          <w:rFonts w:ascii="Palatino Linotype" w:hAnsi="Palatino Linotype"/>
          <w:color w:val="000000" w:themeColor="text1"/>
          <w:lang w:val="es-MX"/>
        </w:rPr>
        <w:t>que permite</w:t>
      </w:r>
      <w:r w:rsidRPr="00BC5411">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B54047" w:rsidRPr="00BC5411" w:rsidRDefault="00B54047" w:rsidP="00855290">
      <w:pPr>
        <w:pStyle w:val="Prrafodelista"/>
        <w:spacing w:line="360" w:lineRule="auto"/>
        <w:rPr>
          <w:rFonts w:ascii="Palatino Linotype" w:hAnsi="Palatino Linotype"/>
          <w:color w:val="000000" w:themeColor="text1"/>
        </w:rPr>
      </w:pPr>
    </w:p>
    <w:p w:rsidR="00B54047" w:rsidRPr="00BC5411" w:rsidRDefault="00B54047" w:rsidP="00821B43">
      <w:pPr>
        <w:numPr>
          <w:ilvl w:val="0"/>
          <w:numId w:val="1"/>
        </w:numPr>
        <w:spacing w:line="360" w:lineRule="auto"/>
        <w:ind w:left="0" w:firstLine="0"/>
        <w:contextualSpacing/>
        <w:jc w:val="both"/>
        <w:rPr>
          <w:rFonts w:ascii="Palatino Linotype" w:hAnsi="Palatino Linotype"/>
          <w:color w:val="000000" w:themeColor="text1"/>
        </w:rPr>
      </w:pPr>
      <w:r w:rsidRPr="00BC5411">
        <w:rPr>
          <w:rFonts w:ascii="Palatino Linotype" w:hAnsi="Palatino Linotype"/>
          <w:color w:val="000000" w:themeColor="text1"/>
        </w:rPr>
        <w:lastRenderedPageBreak/>
        <w:t xml:space="preserve">Por otro lado, </w:t>
      </w:r>
      <w:r w:rsidRPr="00BC5411">
        <w:rPr>
          <w:rFonts w:ascii="Palatino Linotype" w:hAnsi="Palatino Linotype"/>
          <w:color w:val="000000" w:themeColor="text1"/>
          <w:lang w:val="es-MX"/>
        </w:rPr>
        <w:t xml:space="preserve">la Ley de Transparencia y Acceso a la Información Pública del Estado de </w:t>
      </w:r>
      <w:r w:rsidRPr="00BC5411">
        <w:rPr>
          <w:rFonts w:ascii="Palatino Linotype" w:hAnsi="Palatino Linotype"/>
          <w:color w:val="000000" w:themeColor="text1"/>
        </w:rPr>
        <w:t>México</w:t>
      </w:r>
      <w:r w:rsidRPr="00BC5411">
        <w:rPr>
          <w:rFonts w:ascii="Palatino Linotype" w:hAnsi="Palatino Linotype"/>
          <w:color w:val="000000" w:themeColor="text1"/>
          <w:lang w:val="es-MX"/>
        </w:rPr>
        <w:t xml:space="preserve">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rsidR="00B54047" w:rsidRPr="00BC5411" w:rsidRDefault="00B54047" w:rsidP="00855290">
      <w:pPr>
        <w:pStyle w:val="Prrafodelista"/>
        <w:spacing w:line="360" w:lineRule="auto"/>
        <w:ind w:left="0"/>
        <w:jc w:val="both"/>
        <w:rPr>
          <w:rFonts w:ascii="Palatino Linotype" w:eastAsia="MS Mincho" w:hAnsi="Palatino Linotype" w:cs="Arial"/>
        </w:rPr>
      </w:pPr>
    </w:p>
    <w:p w:rsidR="00854AC5" w:rsidRPr="00BC5411" w:rsidRDefault="0052774E" w:rsidP="00821B43">
      <w:pPr>
        <w:numPr>
          <w:ilvl w:val="0"/>
          <w:numId w:val="1"/>
        </w:numPr>
        <w:spacing w:line="360" w:lineRule="auto"/>
        <w:ind w:left="0" w:firstLine="0"/>
        <w:contextualSpacing/>
        <w:jc w:val="both"/>
        <w:rPr>
          <w:rFonts w:ascii="Palatino Linotype" w:hAnsi="Palatino Linotype"/>
          <w:color w:val="000000"/>
        </w:rPr>
      </w:pPr>
      <w:r w:rsidRPr="00BC5411">
        <w:rPr>
          <w:rFonts w:ascii="Palatino Linotype" w:hAnsi="Palatino Linotype"/>
          <w:color w:val="000000"/>
        </w:rPr>
        <w:t>Ahora bien, como se advierte de las constancias que integran el expediente electrónico en que se actúa</w:t>
      </w:r>
      <w:r w:rsidRPr="00BC5411">
        <w:rPr>
          <w:rFonts w:ascii="Palatino Linotype" w:hAnsi="Palatino Linotype"/>
          <w:color w:val="000000"/>
          <w:lang w:val="es-MX"/>
        </w:rPr>
        <w:t xml:space="preserve">, se advierte que el </w:t>
      </w:r>
      <w:r w:rsidRPr="00BC5411">
        <w:rPr>
          <w:rFonts w:ascii="Palatino Linotype" w:hAnsi="Palatino Linotype"/>
          <w:b/>
          <w:color w:val="000000"/>
          <w:lang w:val="es-MX"/>
        </w:rPr>
        <w:t>SUJETO OBLIGADO</w:t>
      </w:r>
      <w:r w:rsidRPr="00BC5411">
        <w:rPr>
          <w:rFonts w:ascii="Palatino Linotype" w:hAnsi="Palatino Linotype"/>
          <w:color w:val="000000"/>
          <w:lang w:val="es-MX"/>
        </w:rPr>
        <w:t xml:space="preserve"> dio atención a los puntos que integraron la solicitud de información de la siguiente manera:</w:t>
      </w:r>
    </w:p>
    <w:p w:rsidR="00854AC5" w:rsidRPr="00BC5411" w:rsidRDefault="00854AC5" w:rsidP="00854AC5">
      <w:pPr>
        <w:pStyle w:val="Prrafodelista"/>
        <w:rPr>
          <w:rFonts w:ascii="Palatino Linotype" w:hAnsi="Palatino Linotype"/>
          <w:color w:val="000000" w:themeColor="text1"/>
        </w:rPr>
      </w:pPr>
    </w:p>
    <w:p w:rsidR="0052774E" w:rsidRPr="00BC5411" w:rsidRDefault="0052774E" w:rsidP="00821B43">
      <w:pPr>
        <w:pStyle w:val="Prrafodelista"/>
        <w:numPr>
          <w:ilvl w:val="0"/>
          <w:numId w:val="10"/>
        </w:numPr>
        <w:spacing w:line="360" w:lineRule="auto"/>
        <w:ind w:left="851"/>
        <w:jc w:val="both"/>
        <w:rPr>
          <w:rFonts w:ascii="Palatino Linotype" w:hAnsi="Palatino Linotype"/>
          <w:color w:val="000000" w:themeColor="text1"/>
        </w:rPr>
      </w:pPr>
      <w:r w:rsidRPr="00BC5411">
        <w:rPr>
          <w:rFonts w:ascii="Palatino Linotype" w:hAnsi="Palatino Linotype"/>
          <w:color w:val="000000" w:themeColor="text1"/>
        </w:rPr>
        <w:t xml:space="preserve">Relativo al visor de nómina del SAT por los años 2018 a 2021, se </w:t>
      </w:r>
      <w:r w:rsidR="00624613" w:rsidRPr="00BC5411">
        <w:rPr>
          <w:rFonts w:ascii="Palatino Linotype" w:hAnsi="Palatino Linotype"/>
          <w:color w:val="000000" w:themeColor="text1"/>
        </w:rPr>
        <w:t>remitió</w:t>
      </w:r>
      <w:r w:rsidRPr="00BC5411">
        <w:rPr>
          <w:rFonts w:ascii="Palatino Linotype" w:hAnsi="Palatino Linotype"/>
          <w:color w:val="000000" w:themeColor="text1"/>
        </w:rPr>
        <w:t xml:space="preserve"> la vista anual acumulada de los años de referencia; asimismo se entregó el detalle </w:t>
      </w:r>
      <w:r w:rsidR="00624613" w:rsidRPr="00BC5411">
        <w:rPr>
          <w:rFonts w:ascii="Palatino Linotype" w:hAnsi="Palatino Linotype"/>
          <w:color w:val="000000" w:themeColor="text1"/>
        </w:rPr>
        <w:t>mensual</w:t>
      </w:r>
      <w:r w:rsidRPr="00BC5411">
        <w:rPr>
          <w:rFonts w:ascii="Palatino Linotype" w:hAnsi="Palatino Linotype"/>
          <w:color w:val="000000" w:themeColor="text1"/>
        </w:rPr>
        <w:t xml:space="preserve"> por los años 2018 a 2021 del que se desprende el detalle de diferencias, sueldos y salarios.</w:t>
      </w:r>
    </w:p>
    <w:p w:rsidR="0052774E" w:rsidRPr="00BC5411" w:rsidRDefault="0052774E" w:rsidP="0052774E">
      <w:pPr>
        <w:pStyle w:val="Prrafodelista"/>
        <w:spacing w:line="360" w:lineRule="auto"/>
        <w:ind w:left="851"/>
        <w:jc w:val="both"/>
        <w:rPr>
          <w:rFonts w:ascii="Palatino Linotype" w:hAnsi="Palatino Linotype"/>
          <w:color w:val="000000" w:themeColor="text1"/>
        </w:rPr>
      </w:pPr>
    </w:p>
    <w:p w:rsidR="0052774E" w:rsidRPr="00BC5411" w:rsidRDefault="0052774E" w:rsidP="00821B43">
      <w:pPr>
        <w:pStyle w:val="Prrafodelista"/>
        <w:numPr>
          <w:ilvl w:val="0"/>
          <w:numId w:val="10"/>
        </w:numPr>
        <w:spacing w:line="360" w:lineRule="auto"/>
        <w:ind w:left="851"/>
        <w:jc w:val="both"/>
        <w:rPr>
          <w:rFonts w:ascii="Palatino Linotype" w:hAnsi="Palatino Linotype"/>
          <w:color w:val="000000" w:themeColor="text1"/>
        </w:rPr>
      </w:pPr>
      <w:r w:rsidRPr="00BC5411">
        <w:rPr>
          <w:rFonts w:ascii="Palatino Linotype" w:hAnsi="Palatino Linotype"/>
          <w:color w:val="000000" w:themeColor="text1"/>
        </w:rPr>
        <w:t xml:space="preserve">Respecto de la constancia de situación fiscal de no adeudo emitida por el INFONAVIT, generada desde el portal empresarias de esa institución, a </w:t>
      </w:r>
      <w:r w:rsidR="00624613" w:rsidRPr="00BC5411">
        <w:rPr>
          <w:rFonts w:ascii="Palatino Linotype" w:hAnsi="Palatino Linotype"/>
          <w:color w:val="000000" w:themeColor="text1"/>
        </w:rPr>
        <w:lastRenderedPageBreak/>
        <w:t>través</w:t>
      </w:r>
      <w:r w:rsidRPr="00BC5411">
        <w:rPr>
          <w:rFonts w:ascii="Palatino Linotype" w:hAnsi="Palatino Linotype"/>
          <w:color w:val="000000" w:themeColor="text1"/>
        </w:rPr>
        <w:t xml:space="preserve"> de Internet, se expuso que no se tiene pues el SUJETO OBLIGADO no </w:t>
      </w:r>
      <w:r w:rsidR="00624613" w:rsidRPr="00BC5411">
        <w:rPr>
          <w:rFonts w:ascii="Palatino Linotype" w:hAnsi="Palatino Linotype"/>
          <w:color w:val="000000" w:themeColor="text1"/>
        </w:rPr>
        <w:t>está</w:t>
      </w:r>
      <w:r w:rsidRPr="00BC5411">
        <w:rPr>
          <w:rFonts w:ascii="Palatino Linotype" w:hAnsi="Palatino Linotype"/>
          <w:color w:val="000000" w:themeColor="text1"/>
        </w:rPr>
        <w:t xml:space="preserve"> inscrito en el INFONAVIT.</w:t>
      </w:r>
    </w:p>
    <w:p w:rsidR="0052774E" w:rsidRPr="00BC5411" w:rsidRDefault="0052774E" w:rsidP="0052774E">
      <w:pPr>
        <w:pStyle w:val="Prrafodelista"/>
        <w:spacing w:line="360" w:lineRule="auto"/>
        <w:ind w:left="851"/>
        <w:jc w:val="both"/>
        <w:rPr>
          <w:rFonts w:ascii="Palatino Linotype" w:hAnsi="Palatino Linotype"/>
          <w:color w:val="000000" w:themeColor="text1"/>
        </w:rPr>
      </w:pPr>
    </w:p>
    <w:p w:rsidR="0052774E" w:rsidRPr="00BC5411" w:rsidRDefault="00624613" w:rsidP="00821B43">
      <w:pPr>
        <w:pStyle w:val="Prrafodelista"/>
        <w:numPr>
          <w:ilvl w:val="0"/>
          <w:numId w:val="10"/>
        </w:numPr>
        <w:spacing w:line="360" w:lineRule="auto"/>
        <w:ind w:left="851"/>
        <w:jc w:val="both"/>
        <w:rPr>
          <w:rFonts w:ascii="Palatino Linotype" w:hAnsi="Palatino Linotype"/>
          <w:color w:val="000000" w:themeColor="text1"/>
        </w:rPr>
      </w:pPr>
      <w:r w:rsidRPr="00BC5411">
        <w:rPr>
          <w:rFonts w:ascii="Palatino Linotype" w:hAnsi="Palatino Linotype"/>
          <w:color w:val="000000" w:themeColor="text1"/>
        </w:rPr>
        <w:t>En relación a</w:t>
      </w:r>
      <w:r w:rsidR="0052774E" w:rsidRPr="00BC5411">
        <w:rPr>
          <w:rFonts w:ascii="Palatino Linotype" w:hAnsi="Palatino Linotype"/>
          <w:color w:val="000000" w:themeColor="text1"/>
        </w:rPr>
        <w:t xml:space="preserve"> la opinión de no adeudo en el cumplimiento de obligaciones fiscales en materia de seguridad social emitida por el IMSS, generada desde el portal de esa Institución, a </w:t>
      </w:r>
      <w:r w:rsidRPr="00BC5411">
        <w:rPr>
          <w:rFonts w:ascii="Palatino Linotype" w:hAnsi="Palatino Linotype"/>
          <w:color w:val="000000" w:themeColor="text1"/>
        </w:rPr>
        <w:t>través</w:t>
      </w:r>
      <w:r w:rsidR="0052774E" w:rsidRPr="00BC5411">
        <w:rPr>
          <w:rFonts w:ascii="Palatino Linotype" w:hAnsi="Palatino Linotype"/>
          <w:color w:val="000000" w:themeColor="text1"/>
        </w:rPr>
        <w:t xml:space="preserve"> de Internet, se manifestó que el SUJETO OBLIGADO al ser un ente municipal del Estado de México, no </w:t>
      </w:r>
      <w:r w:rsidRPr="00BC5411">
        <w:rPr>
          <w:rFonts w:ascii="Palatino Linotype" w:hAnsi="Palatino Linotype"/>
          <w:color w:val="000000" w:themeColor="text1"/>
        </w:rPr>
        <w:t>está</w:t>
      </w:r>
      <w:r w:rsidR="0052774E" w:rsidRPr="00BC5411">
        <w:rPr>
          <w:rFonts w:ascii="Palatino Linotype" w:hAnsi="Palatino Linotype"/>
          <w:color w:val="000000" w:themeColor="text1"/>
        </w:rPr>
        <w:t xml:space="preserve"> inscrito al IMSS; sino al ISSEMYM.</w:t>
      </w:r>
    </w:p>
    <w:p w:rsidR="0052774E" w:rsidRPr="00BC5411" w:rsidRDefault="0052774E" w:rsidP="0052774E">
      <w:pPr>
        <w:pStyle w:val="Prrafodelista"/>
        <w:spacing w:line="360" w:lineRule="auto"/>
        <w:ind w:left="851"/>
        <w:jc w:val="both"/>
        <w:rPr>
          <w:rFonts w:ascii="Palatino Linotype" w:hAnsi="Palatino Linotype"/>
          <w:color w:val="000000" w:themeColor="text1"/>
        </w:rPr>
      </w:pPr>
    </w:p>
    <w:p w:rsidR="0052774E" w:rsidRPr="00BC5411" w:rsidRDefault="0052774E" w:rsidP="00821B43">
      <w:pPr>
        <w:pStyle w:val="Prrafodelista"/>
        <w:numPr>
          <w:ilvl w:val="0"/>
          <w:numId w:val="10"/>
        </w:numPr>
        <w:spacing w:line="360" w:lineRule="auto"/>
        <w:ind w:left="851"/>
        <w:jc w:val="both"/>
        <w:rPr>
          <w:rFonts w:ascii="Palatino Linotype" w:hAnsi="Palatino Linotype"/>
          <w:color w:val="000000" w:themeColor="text1"/>
        </w:rPr>
      </w:pPr>
      <w:r w:rsidRPr="00BC5411">
        <w:rPr>
          <w:rFonts w:ascii="Palatino Linotype" w:hAnsi="Palatino Linotype"/>
          <w:color w:val="000000" w:themeColor="text1"/>
        </w:rPr>
        <w:t xml:space="preserve">Por cuanto hace a la opinión de no adeudo en el cumplimiento de obligaciones fiscales estatales emitida por el SATEM, generada desde el portal de esa institución, a </w:t>
      </w:r>
      <w:r w:rsidR="00624613" w:rsidRPr="00BC5411">
        <w:rPr>
          <w:rFonts w:ascii="Palatino Linotype" w:hAnsi="Palatino Linotype"/>
          <w:color w:val="000000" w:themeColor="text1"/>
        </w:rPr>
        <w:t>través</w:t>
      </w:r>
      <w:r w:rsidRPr="00BC5411">
        <w:rPr>
          <w:rFonts w:ascii="Palatino Linotype" w:hAnsi="Palatino Linotype"/>
          <w:color w:val="000000" w:themeColor="text1"/>
        </w:rPr>
        <w:t xml:space="preserve"> de internet, se refirió que el portal del Gobierno del Estado no emite como tal </w:t>
      </w:r>
      <w:r w:rsidR="00624613" w:rsidRPr="00BC5411">
        <w:rPr>
          <w:rFonts w:ascii="Palatino Linotype" w:hAnsi="Palatino Linotype"/>
          <w:color w:val="000000" w:themeColor="text1"/>
        </w:rPr>
        <w:t>algún</w:t>
      </w:r>
      <w:r w:rsidRPr="00BC5411">
        <w:rPr>
          <w:rFonts w:ascii="Palatino Linotype" w:hAnsi="Palatino Linotype"/>
          <w:color w:val="000000" w:themeColor="text1"/>
        </w:rPr>
        <w:t xml:space="preserve"> reporte de opinión.</w:t>
      </w:r>
    </w:p>
    <w:p w:rsidR="0052774E" w:rsidRPr="00BC5411" w:rsidRDefault="0052774E" w:rsidP="0052774E">
      <w:pPr>
        <w:pStyle w:val="Prrafodelista"/>
        <w:spacing w:line="360" w:lineRule="auto"/>
        <w:ind w:left="851"/>
        <w:jc w:val="both"/>
        <w:rPr>
          <w:rFonts w:ascii="Palatino Linotype" w:hAnsi="Palatino Linotype"/>
          <w:color w:val="000000" w:themeColor="text1"/>
        </w:rPr>
      </w:pPr>
    </w:p>
    <w:p w:rsidR="0052774E" w:rsidRPr="00BC5411" w:rsidRDefault="0052774E" w:rsidP="00821B43">
      <w:pPr>
        <w:pStyle w:val="Prrafodelista"/>
        <w:numPr>
          <w:ilvl w:val="0"/>
          <w:numId w:val="10"/>
        </w:numPr>
        <w:spacing w:line="360" w:lineRule="auto"/>
        <w:ind w:left="851"/>
        <w:jc w:val="both"/>
        <w:rPr>
          <w:rFonts w:ascii="Palatino Linotype" w:hAnsi="Palatino Linotype"/>
          <w:color w:val="000000" w:themeColor="text1"/>
        </w:rPr>
      </w:pPr>
      <w:r w:rsidRPr="00BC5411">
        <w:rPr>
          <w:rFonts w:ascii="Palatino Linotype" w:hAnsi="Palatino Linotype"/>
          <w:color w:val="000000" w:themeColor="text1"/>
        </w:rPr>
        <w:t xml:space="preserve">Respecto del papel de trabajo del Municipio en diversos rubros, se </w:t>
      </w:r>
      <w:r w:rsidR="004512D3" w:rsidRPr="00BC5411">
        <w:rPr>
          <w:rFonts w:ascii="Palatino Linotype" w:hAnsi="Palatino Linotype"/>
          <w:color w:val="000000" w:themeColor="text1"/>
        </w:rPr>
        <w:t>señaló</w:t>
      </w:r>
      <w:r w:rsidRPr="00BC5411">
        <w:rPr>
          <w:rFonts w:ascii="Palatino Linotype" w:hAnsi="Palatino Linotype"/>
          <w:color w:val="000000" w:themeColor="text1"/>
        </w:rPr>
        <w:t xml:space="preserve"> que es información que posee la Tesorería Municipal, por lo cual el Organismo de Agua es incompetente.</w:t>
      </w:r>
    </w:p>
    <w:p w:rsidR="0052774E" w:rsidRPr="00BC5411" w:rsidRDefault="0052774E" w:rsidP="0052774E">
      <w:pPr>
        <w:pStyle w:val="Prrafodelista"/>
        <w:spacing w:line="360" w:lineRule="auto"/>
        <w:ind w:left="851"/>
        <w:jc w:val="both"/>
        <w:rPr>
          <w:rFonts w:ascii="Palatino Linotype" w:hAnsi="Palatino Linotype"/>
          <w:color w:val="000000" w:themeColor="text1"/>
        </w:rPr>
      </w:pPr>
    </w:p>
    <w:p w:rsidR="0052774E" w:rsidRPr="00BC5411" w:rsidRDefault="0052774E" w:rsidP="00821B43">
      <w:pPr>
        <w:pStyle w:val="Prrafodelista"/>
        <w:numPr>
          <w:ilvl w:val="0"/>
          <w:numId w:val="10"/>
        </w:numPr>
        <w:spacing w:line="360" w:lineRule="auto"/>
        <w:ind w:left="851"/>
        <w:jc w:val="both"/>
        <w:rPr>
          <w:rFonts w:ascii="Palatino Linotype" w:hAnsi="Palatino Linotype"/>
          <w:color w:val="000000" w:themeColor="text1"/>
        </w:rPr>
      </w:pPr>
      <w:r w:rsidRPr="00BC5411">
        <w:rPr>
          <w:rFonts w:ascii="Palatino Linotype" w:hAnsi="Palatino Linotype"/>
          <w:color w:val="000000" w:themeColor="text1"/>
        </w:rPr>
        <w:t xml:space="preserve">De la solicitud de información, concerniente a comprobar que los trabajadores no </w:t>
      </w:r>
      <w:r w:rsidR="00624613" w:rsidRPr="00BC5411">
        <w:rPr>
          <w:rFonts w:ascii="Palatino Linotype" w:hAnsi="Palatino Linotype"/>
          <w:color w:val="000000" w:themeColor="text1"/>
        </w:rPr>
        <w:t>están</w:t>
      </w:r>
      <w:r w:rsidRPr="00BC5411">
        <w:rPr>
          <w:rFonts w:ascii="Palatino Linotype" w:hAnsi="Palatino Linotype"/>
          <w:color w:val="000000" w:themeColor="text1"/>
        </w:rPr>
        <w:t xml:space="preserve"> siendo afectados por errores en el </w:t>
      </w:r>
      <w:r w:rsidR="00624613" w:rsidRPr="00BC5411">
        <w:rPr>
          <w:rFonts w:ascii="Palatino Linotype" w:hAnsi="Palatino Linotype"/>
          <w:color w:val="000000" w:themeColor="text1"/>
        </w:rPr>
        <w:t>cálculo</w:t>
      </w:r>
      <w:r w:rsidRPr="00BC5411">
        <w:rPr>
          <w:rFonts w:ascii="Palatino Linotype" w:hAnsi="Palatino Linotype"/>
          <w:color w:val="000000" w:themeColor="text1"/>
        </w:rPr>
        <w:t xml:space="preserve">, entre otros rubros, se expuso que el </w:t>
      </w:r>
      <w:r w:rsidR="00624613" w:rsidRPr="00BC5411">
        <w:rPr>
          <w:rFonts w:ascii="Palatino Linotype" w:hAnsi="Palatino Linotype"/>
          <w:color w:val="000000" w:themeColor="text1"/>
        </w:rPr>
        <w:t>cálculo</w:t>
      </w:r>
      <w:r w:rsidRPr="00BC5411">
        <w:rPr>
          <w:rFonts w:ascii="Palatino Linotype" w:hAnsi="Palatino Linotype"/>
          <w:color w:val="000000" w:themeColor="text1"/>
        </w:rPr>
        <w:t xml:space="preserve"> anual lo realiza el sistema de </w:t>
      </w:r>
      <w:r w:rsidR="00624613" w:rsidRPr="00BC5411">
        <w:rPr>
          <w:rFonts w:ascii="Palatino Linotype" w:hAnsi="Palatino Linotype"/>
          <w:color w:val="000000" w:themeColor="text1"/>
        </w:rPr>
        <w:t>nómina</w:t>
      </w:r>
      <w:r w:rsidRPr="00BC5411">
        <w:rPr>
          <w:rFonts w:ascii="Palatino Linotype" w:hAnsi="Palatino Linotype"/>
          <w:color w:val="000000" w:themeColor="text1"/>
        </w:rPr>
        <w:t xml:space="preserve">, el cual </w:t>
      </w:r>
      <w:r w:rsidRPr="00BC5411">
        <w:rPr>
          <w:rFonts w:ascii="Palatino Linotype" w:hAnsi="Palatino Linotype"/>
          <w:color w:val="000000" w:themeColor="text1"/>
        </w:rPr>
        <w:lastRenderedPageBreak/>
        <w:t>generalmente es en beneficio del trabajador, anexando una foja con dicha información.</w:t>
      </w:r>
    </w:p>
    <w:p w:rsidR="0052774E" w:rsidRPr="00BC5411" w:rsidRDefault="0052774E" w:rsidP="00854AC5">
      <w:pPr>
        <w:pStyle w:val="Prrafodelista"/>
        <w:rPr>
          <w:rFonts w:ascii="Palatino Linotype" w:hAnsi="Palatino Linotype"/>
          <w:color w:val="000000" w:themeColor="text1"/>
        </w:rPr>
      </w:pPr>
    </w:p>
    <w:p w:rsidR="00853A73" w:rsidRPr="00BC5411" w:rsidRDefault="00624613" w:rsidP="00821B43">
      <w:pPr>
        <w:numPr>
          <w:ilvl w:val="0"/>
          <w:numId w:val="1"/>
        </w:numPr>
        <w:spacing w:line="360" w:lineRule="auto"/>
        <w:ind w:left="0" w:firstLine="0"/>
        <w:contextualSpacing/>
        <w:jc w:val="both"/>
        <w:rPr>
          <w:rFonts w:ascii="Palatino Linotype" w:hAnsi="Palatino Linotype" w:cs="Arial"/>
        </w:rPr>
      </w:pPr>
      <w:r w:rsidRPr="00BC5411">
        <w:rPr>
          <w:rFonts w:ascii="Palatino Linotype" w:hAnsi="Palatino Linotype"/>
          <w:szCs w:val="22"/>
        </w:rPr>
        <w:t>Así las cosas</w:t>
      </w:r>
      <w:r w:rsidRPr="00BC5411">
        <w:rPr>
          <w:rFonts w:ascii="Palatino Linotype" w:hAnsi="Palatino Linotype"/>
        </w:rPr>
        <w:t xml:space="preserve">, se logra apreciar </w:t>
      </w:r>
      <w:r w:rsidR="00853A73" w:rsidRPr="00BC5411">
        <w:rPr>
          <w:rFonts w:ascii="Palatino Linotype" w:hAnsi="Palatino Linotype"/>
        </w:rPr>
        <w:t xml:space="preserve">primeramente que el </w:t>
      </w:r>
      <w:r w:rsidR="00853A73" w:rsidRPr="00BC5411">
        <w:rPr>
          <w:rFonts w:ascii="Palatino Linotype" w:hAnsi="Palatino Linotype"/>
          <w:b/>
        </w:rPr>
        <w:t>SUJETO OBLIGADO</w:t>
      </w:r>
      <w:r w:rsidR="00853A73" w:rsidRPr="00BC5411">
        <w:rPr>
          <w:rFonts w:ascii="Palatino Linotype" w:hAnsi="Palatino Linotype"/>
        </w:rPr>
        <w:t xml:space="preserve"> colmo el punto relativo a los </w:t>
      </w:r>
      <w:r w:rsidR="00853A73" w:rsidRPr="00BC5411">
        <w:rPr>
          <w:rFonts w:ascii="Palatino Linotype" w:hAnsi="Palatino Linotype" w:cs="Arial"/>
        </w:rPr>
        <w:t xml:space="preserve">reportes del aplicativo “Visor de nómina del SAT” por los años 2018, 2019, 2020, y 2021 en sus tres presentaciones: Vista anual acumulada, Detalle mensual. Detalle diferencias sueldos y salarios. </w:t>
      </w:r>
    </w:p>
    <w:p w:rsidR="00853A73" w:rsidRPr="00BC5411" w:rsidRDefault="00853A73" w:rsidP="00853A73">
      <w:pPr>
        <w:pStyle w:val="Prrafodelista"/>
        <w:spacing w:line="360" w:lineRule="auto"/>
        <w:ind w:left="0" w:right="539"/>
        <w:contextualSpacing w:val="0"/>
        <w:jc w:val="both"/>
        <w:rPr>
          <w:rFonts w:ascii="Palatino Linotype" w:hAnsi="Palatino Linotype" w:cs="Arial"/>
        </w:rPr>
      </w:pPr>
    </w:p>
    <w:p w:rsidR="00581B22" w:rsidRPr="00BC5411" w:rsidRDefault="00581B22" w:rsidP="00821B43">
      <w:pPr>
        <w:numPr>
          <w:ilvl w:val="0"/>
          <w:numId w:val="1"/>
        </w:numPr>
        <w:spacing w:line="360" w:lineRule="auto"/>
        <w:ind w:left="0" w:firstLine="0"/>
        <w:contextualSpacing/>
        <w:jc w:val="both"/>
        <w:rPr>
          <w:rFonts w:ascii="Palatino Linotype" w:hAnsi="Palatino Linotype"/>
          <w:szCs w:val="22"/>
        </w:rPr>
      </w:pPr>
      <w:r w:rsidRPr="00BC5411">
        <w:rPr>
          <w:rFonts w:ascii="Palatino Linotype" w:hAnsi="Palatino Linotype"/>
          <w:szCs w:val="22"/>
        </w:rPr>
        <w:t>En concatenación a lo anterior, en la modalidad denominada “Vista anual acumulada” se muestran los pagos acumulados realizados a sus trabajadores durante el ejercicio fiscal; dicha información, debe contener lo siguiente: Concepto, Salarios, Indemnización, Total sueldos, Asimilados a salarios y un Total pagado por nómina.</w:t>
      </w:r>
    </w:p>
    <w:p w:rsidR="00581B22" w:rsidRPr="00BC5411" w:rsidRDefault="00581B22" w:rsidP="000642C4">
      <w:pPr>
        <w:pStyle w:val="Prrafodelista"/>
        <w:spacing w:line="360" w:lineRule="auto"/>
        <w:ind w:left="360" w:right="-28"/>
        <w:jc w:val="both"/>
        <w:rPr>
          <w:rFonts w:ascii="Palatino Linotype" w:hAnsi="Palatino Linotype"/>
          <w:szCs w:val="22"/>
        </w:rPr>
      </w:pPr>
    </w:p>
    <w:p w:rsidR="00581B22" w:rsidRPr="00BC5411" w:rsidRDefault="00581B22" w:rsidP="00821B43">
      <w:pPr>
        <w:numPr>
          <w:ilvl w:val="0"/>
          <w:numId w:val="1"/>
        </w:numPr>
        <w:spacing w:line="360" w:lineRule="auto"/>
        <w:ind w:left="0" w:firstLine="0"/>
        <w:contextualSpacing/>
        <w:jc w:val="both"/>
        <w:rPr>
          <w:rFonts w:ascii="Palatino Linotype" w:hAnsi="Palatino Linotype"/>
          <w:szCs w:val="22"/>
        </w:rPr>
      </w:pPr>
      <w:r w:rsidRPr="00BC5411">
        <w:rPr>
          <w:rFonts w:ascii="Palatino Linotype" w:hAnsi="Palatino Linotype"/>
          <w:szCs w:val="22"/>
        </w:rPr>
        <w:t>Ahora bien, por cuanto hace a la vista mensual del visor de nómina, se tiene que es el nivel de desagregación que da cuenta de los pagos y retenciones que se realizaron a los trabajadores de forma parcial durante todo el ejercicio fiscal.</w:t>
      </w:r>
    </w:p>
    <w:p w:rsidR="00581B22" w:rsidRPr="00BC5411" w:rsidRDefault="00581B22" w:rsidP="000642C4">
      <w:pPr>
        <w:pStyle w:val="Prrafodelista"/>
        <w:spacing w:line="360" w:lineRule="auto"/>
        <w:ind w:left="360" w:right="-28"/>
        <w:jc w:val="both"/>
        <w:rPr>
          <w:rFonts w:ascii="Palatino Linotype" w:hAnsi="Palatino Linotype"/>
          <w:szCs w:val="22"/>
        </w:rPr>
      </w:pPr>
    </w:p>
    <w:p w:rsidR="00581B22" w:rsidRPr="00BC5411" w:rsidRDefault="00581B22" w:rsidP="00821B43">
      <w:pPr>
        <w:numPr>
          <w:ilvl w:val="0"/>
          <w:numId w:val="1"/>
        </w:numPr>
        <w:spacing w:line="360" w:lineRule="auto"/>
        <w:ind w:left="0" w:firstLine="0"/>
        <w:contextualSpacing/>
        <w:jc w:val="both"/>
        <w:rPr>
          <w:rFonts w:ascii="Palatino Linotype" w:hAnsi="Palatino Linotype"/>
          <w:szCs w:val="22"/>
        </w:rPr>
      </w:pPr>
      <w:r w:rsidRPr="00BC5411">
        <w:rPr>
          <w:rFonts w:ascii="Palatino Linotype" w:hAnsi="Palatino Linotype"/>
          <w:szCs w:val="22"/>
        </w:rPr>
        <w:t xml:space="preserve">La información remitida, da cuenta de la cantidad que se retuvo correspondiente al impuesto sobre la renta, así como de la cantidad pagada y enterada a la autoridad fiscal, esto, detallado por mes; de lo cual, en virtud que los Particulares no están obligados a ser expertos en la materia, es viable pronunciar que de dichos rubros, se encuentran relacionados con la vista anual acumulada, en la </w:t>
      </w:r>
      <w:r w:rsidRPr="00BC5411">
        <w:rPr>
          <w:rFonts w:ascii="Palatino Linotype" w:hAnsi="Palatino Linotype"/>
          <w:szCs w:val="22"/>
        </w:rPr>
        <w:lastRenderedPageBreak/>
        <w:t>cual, como se precisó anteriormente, se observa la diferencia que de ser el caso, la persona jurídico colectiva pudo configurar derivado del timbrado de los recibos de nómina de sus trabajadores, el impuesto retenido y el entero devengado en este caso, al Servicio de Administración Tributaria (SAT) por concepto de sueldos y salarios, así como de asimilados a salarios.</w:t>
      </w:r>
    </w:p>
    <w:p w:rsidR="00581B22" w:rsidRPr="00BC5411" w:rsidRDefault="00581B22" w:rsidP="000642C4">
      <w:pPr>
        <w:pStyle w:val="Prrafodelista"/>
        <w:spacing w:line="360" w:lineRule="auto"/>
        <w:ind w:left="360" w:right="-28"/>
        <w:jc w:val="both"/>
        <w:rPr>
          <w:rFonts w:ascii="Palatino Linotype" w:hAnsi="Palatino Linotype"/>
          <w:szCs w:val="22"/>
        </w:rPr>
      </w:pPr>
    </w:p>
    <w:p w:rsidR="00581B22" w:rsidRPr="00BC5411" w:rsidRDefault="00581B22" w:rsidP="00821B43">
      <w:pPr>
        <w:numPr>
          <w:ilvl w:val="0"/>
          <w:numId w:val="1"/>
        </w:numPr>
        <w:spacing w:line="360" w:lineRule="auto"/>
        <w:ind w:left="0" w:firstLine="0"/>
        <w:contextualSpacing/>
        <w:jc w:val="both"/>
        <w:rPr>
          <w:rFonts w:ascii="Palatino Linotype" w:hAnsi="Palatino Linotype"/>
          <w:szCs w:val="22"/>
        </w:rPr>
      </w:pPr>
      <w:r w:rsidRPr="00BC5411">
        <w:rPr>
          <w:rFonts w:ascii="Palatino Linotype" w:hAnsi="Palatino Linotype"/>
          <w:szCs w:val="22"/>
        </w:rPr>
        <w:t xml:space="preserve">Con lo hasta aquí expuesto, este Instituto pudo determinar la naturaleza jurídica de lo peticionado por el Particular y conforme a los documentos que se generan en el portal del Servicio de Administración Tributaria, se tiene que de la consulta al visor de nóminas del Patrón, los documentos que pueden dar cuenta de la pretensión de este último, son, en efecto, la vista anual acumulada y/o el detalle mensual del ejercicio fiscal correspondiente, toda vez que, en ellos, se informa sobre la retención y el entero correspondiente al impuesto sobre la renta gravado por sueldos y salarios y/o asimilados a salarios, así como de la diferencia que en su caso, pudo configurarse; así, es de señalar que no existe un documento denominado “Detalle diferencias sueldos y salarios”, sin embargo, la información que puede corresponder a ese rubro, se encuentra inmersa en las documentales antes mencionadas. </w:t>
      </w:r>
    </w:p>
    <w:p w:rsidR="00581B22" w:rsidRPr="00BC5411" w:rsidRDefault="00581B22" w:rsidP="000642C4">
      <w:pPr>
        <w:pStyle w:val="Prrafodelista"/>
        <w:spacing w:line="360" w:lineRule="auto"/>
        <w:ind w:left="360" w:right="-28"/>
        <w:jc w:val="both"/>
        <w:rPr>
          <w:rFonts w:ascii="Palatino Linotype" w:hAnsi="Palatino Linotype"/>
          <w:szCs w:val="22"/>
        </w:rPr>
      </w:pPr>
    </w:p>
    <w:p w:rsidR="00581B22" w:rsidRPr="00BC5411" w:rsidRDefault="00581B22" w:rsidP="00821B43">
      <w:pPr>
        <w:numPr>
          <w:ilvl w:val="0"/>
          <w:numId w:val="1"/>
        </w:numPr>
        <w:spacing w:line="360" w:lineRule="auto"/>
        <w:ind w:left="0" w:firstLine="0"/>
        <w:contextualSpacing/>
        <w:jc w:val="both"/>
        <w:rPr>
          <w:rFonts w:ascii="Palatino Linotype" w:hAnsi="Palatino Linotype"/>
          <w:szCs w:val="22"/>
        </w:rPr>
      </w:pPr>
      <w:r w:rsidRPr="00BC5411">
        <w:rPr>
          <w:rFonts w:ascii="Palatino Linotype" w:hAnsi="Palatino Linotype"/>
          <w:szCs w:val="22"/>
        </w:rPr>
        <w:t xml:space="preserve">En este orden de ideas, es importante señalar que, el artículo 4°, párrafo segundo de la Ley de Transparencia y Acceso a la Información Pública del Estado de México y Municipios, señala que toda la información generada, obtenida, </w:t>
      </w:r>
      <w:r w:rsidRPr="00BC5411">
        <w:rPr>
          <w:rFonts w:ascii="Palatino Linotype" w:hAnsi="Palatino Linotype"/>
          <w:szCs w:val="22"/>
        </w:rPr>
        <w:lastRenderedPageBreak/>
        <w:t xml:space="preserve">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581B22" w:rsidRPr="00BC5411" w:rsidRDefault="00581B22" w:rsidP="000642C4">
      <w:pPr>
        <w:pStyle w:val="Prrafodelista"/>
        <w:spacing w:line="360" w:lineRule="auto"/>
        <w:ind w:left="360" w:right="-28"/>
        <w:jc w:val="both"/>
        <w:rPr>
          <w:rFonts w:ascii="Palatino Linotype" w:hAnsi="Palatino Linotype"/>
          <w:szCs w:val="22"/>
        </w:rPr>
      </w:pPr>
    </w:p>
    <w:p w:rsidR="00624613" w:rsidRPr="00BC5411" w:rsidRDefault="00581B22" w:rsidP="00821B43">
      <w:pPr>
        <w:numPr>
          <w:ilvl w:val="0"/>
          <w:numId w:val="1"/>
        </w:numPr>
        <w:spacing w:line="360" w:lineRule="auto"/>
        <w:ind w:left="0" w:firstLine="0"/>
        <w:contextualSpacing/>
        <w:jc w:val="both"/>
        <w:rPr>
          <w:rFonts w:ascii="Palatino Linotype" w:hAnsi="Palatino Linotype"/>
          <w:szCs w:val="22"/>
        </w:rPr>
      </w:pPr>
      <w:r w:rsidRPr="00BC5411">
        <w:rPr>
          <w:rFonts w:ascii="Palatino Linotype" w:hAnsi="Palatino Linotype"/>
          <w:szCs w:val="22"/>
        </w:rPr>
        <w:t xml:space="preserve">Asimismo, los artículos 12 y 24 de la Ley de la materia, disponen que los Sujetos Obligados sólo proporcionarán la información pública que se les requiera, generen, administren o posean en el ejercicio de sus atribuciones y que obre en sus archivos en el estado en que ésta se encuentre; por consiguiente, toda vez que el </w:t>
      </w:r>
      <w:r w:rsidR="000642C4" w:rsidRPr="00BC5411">
        <w:rPr>
          <w:rFonts w:ascii="Palatino Linotype" w:hAnsi="Palatino Linotype"/>
          <w:szCs w:val="22"/>
        </w:rPr>
        <w:t xml:space="preserve">Organismo Público Descentralizado para la Prestación de Los Servicios de Agua Potable Alcantarillado y Saneamiento del Municipio de Jilotepec </w:t>
      </w:r>
      <w:r w:rsidRPr="00BC5411">
        <w:rPr>
          <w:rFonts w:ascii="Palatino Linotype" w:hAnsi="Palatino Linotype"/>
          <w:szCs w:val="22"/>
        </w:rPr>
        <w:t xml:space="preserve">hizo entrega de la vista anual acumulada de los ejercicios 2018 a 2021 obtenida del visor de nómina del Servicio de Administración Tributaria, en donde se da cuenta al Particular sobre la información que solicitó, se tiene que por medio de informe justificado, atendió esta parte de la solicitud de acceso </w:t>
      </w:r>
      <w:r w:rsidR="00B047FA" w:rsidRPr="00BC5411">
        <w:rPr>
          <w:rFonts w:ascii="Palatino Linotype" w:hAnsi="Palatino Linotype"/>
          <w:szCs w:val="22"/>
        </w:rPr>
        <w:t>a la información</w:t>
      </w:r>
      <w:r w:rsidRPr="00BC5411">
        <w:rPr>
          <w:rFonts w:ascii="Palatino Linotype" w:hAnsi="Palatino Linotype"/>
          <w:szCs w:val="22"/>
        </w:rPr>
        <w:t xml:space="preserve"> de conformidad con la Ley de Transparencia y Acceso a la Información Pública del Estado de México y Municipios, por lo tanto, el requerimiento identificado en este apartado de la Resolución, se tiene por atendido.</w:t>
      </w:r>
    </w:p>
    <w:p w:rsidR="00B047FA" w:rsidRPr="00BC5411" w:rsidRDefault="00B047FA" w:rsidP="00B047FA">
      <w:pPr>
        <w:pStyle w:val="Prrafodelista"/>
        <w:rPr>
          <w:rFonts w:ascii="Palatino Linotype" w:hAnsi="Palatino Linotype"/>
          <w:szCs w:val="22"/>
        </w:rPr>
      </w:pPr>
    </w:p>
    <w:p w:rsidR="00420C58" w:rsidRPr="00BC5411" w:rsidRDefault="00B047FA" w:rsidP="00821B43">
      <w:pPr>
        <w:numPr>
          <w:ilvl w:val="0"/>
          <w:numId w:val="1"/>
        </w:numPr>
        <w:spacing w:line="360" w:lineRule="auto"/>
        <w:ind w:left="0" w:firstLine="0"/>
        <w:contextualSpacing/>
        <w:jc w:val="both"/>
        <w:rPr>
          <w:rFonts w:ascii="Palatino Linotype" w:hAnsi="Palatino Linotype" w:cs="Tahoma"/>
        </w:rPr>
      </w:pPr>
      <w:r w:rsidRPr="00BC5411">
        <w:rPr>
          <w:rFonts w:ascii="Palatino Linotype" w:hAnsi="Palatino Linotype" w:cs="Tahoma"/>
        </w:rPr>
        <w:t>Seguidamente</w:t>
      </w:r>
      <w:r w:rsidR="00420C58" w:rsidRPr="00BC5411">
        <w:rPr>
          <w:rFonts w:ascii="Palatino Linotype" w:hAnsi="Palatino Linotype" w:cs="Tahoma"/>
        </w:rPr>
        <w:t xml:space="preserve">, resulta necesario traer a colación el artículo </w:t>
      </w:r>
      <w:r w:rsidR="00420C58" w:rsidRPr="00BC5411">
        <w:rPr>
          <w:rFonts w:ascii="Palatino Linotype" w:hAnsi="Palatino Linotype" w:cs="Tahoma"/>
          <w:lang w:val="es-ES"/>
        </w:rPr>
        <w:t>123</w:t>
      </w:r>
      <w:r w:rsidR="00420C58" w:rsidRPr="00BC5411">
        <w:rPr>
          <w:rFonts w:ascii="Palatino Linotype" w:hAnsi="Palatino Linotype" w:cs="Tahoma"/>
        </w:rPr>
        <w:t xml:space="preserve"> en sus aparatos A y B, de la Constitución Política de los Estados Unidos Mexicanos, el cual establece las relaciones obrero-patronales entre particulares (apartado A) y las </w:t>
      </w:r>
      <w:r w:rsidR="00420C58" w:rsidRPr="00BC5411">
        <w:rPr>
          <w:rFonts w:ascii="Palatino Linotype" w:hAnsi="Palatino Linotype" w:cs="Tahoma"/>
        </w:rPr>
        <w:lastRenderedPageBreak/>
        <w:t>relaciones laborales entre las Dependencias de Gobierno con sus servidores públicos (apartado B), el cual se cita para mayor referencia a continuación:</w:t>
      </w:r>
    </w:p>
    <w:p w:rsidR="00420C58" w:rsidRPr="00BC5411" w:rsidRDefault="00420C58" w:rsidP="00420C58">
      <w:pPr>
        <w:spacing w:line="360" w:lineRule="auto"/>
        <w:ind w:right="-93"/>
        <w:jc w:val="both"/>
        <w:rPr>
          <w:rFonts w:ascii="Palatino Linotype" w:hAnsi="Palatino Linotype" w:cs="Tahoma"/>
          <w:b/>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r w:rsidRPr="00BC5411">
        <w:rPr>
          <w:rFonts w:ascii="Palatino Linotype" w:hAnsi="Palatino Linotype" w:cs="Tahoma"/>
          <w:b/>
          <w:i/>
        </w:rPr>
        <w:t>Artículo 123</w:t>
      </w:r>
      <w:r w:rsidRPr="00BC5411">
        <w:rPr>
          <w:rFonts w:ascii="Palatino Linotype" w:hAnsi="Palatino Linotype" w:cs="Tahoma"/>
          <w:i/>
        </w:rPr>
        <w:t>. Toda persona tiene derecho al trabajo digno y socialmente útil; al efecto, se promoverán la creación de empleos y la organización social de trabajo, conforme a la ley.</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El Congreso de la Unión, sin contravenir a las bases siguientes deberá expedir leyes sobre el trabajo, las cuales regirán:</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w:t>
      </w:r>
      <w:r w:rsidRPr="00BC5411">
        <w:rPr>
          <w:rFonts w:ascii="Palatino Linotype" w:hAnsi="Palatino Linotype" w:cs="Tahoma"/>
          <w:i/>
        </w:rPr>
        <w:t>. Entre los obreros, jornaleros, empleados domésticos, artesanos y de una manera general, todo contrato de trabajo:</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B</w:t>
      </w:r>
      <w:r w:rsidRPr="00BC5411">
        <w:rPr>
          <w:rFonts w:ascii="Palatino Linotype" w:hAnsi="Palatino Linotype" w:cs="Tahoma"/>
          <w:i/>
        </w:rPr>
        <w:t>. Entre los Poderes de la Unión y sus trabajadores: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B047FA" w:rsidP="00821B43">
      <w:pPr>
        <w:numPr>
          <w:ilvl w:val="0"/>
          <w:numId w:val="1"/>
        </w:numPr>
        <w:spacing w:line="360" w:lineRule="auto"/>
        <w:ind w:left="0" w:firstLine="0"/>
        <w:contextualSpacing/>
        <w:jc w:val="both"/>
        <w:rPr>
          <w:rFonts w:ascii="Palatino Linotype" w:hAnsi="Palatino Linotype" w:cs="Tahoma"/>
        </w:rPr>
      </w:pPr>
      <w:r w:rsidRPr="00BC5411">
        <w:rPr>
          <w:rFonts w:ascii="Palatino Linotype" w:hAnsi="Palatino Linotype" w:cs="Tahoma"/>
        </w:rPr>
        <w:t>Ello en virtud de que</w:t>
      </w:r>
      <w:r w:rsidR="00420C58" w:rsidRPr="00BC5411">
        <w:rPr>
          <w:rFonts w:ascii="Palatino Linotype" w:hAnsi="Palatino Linotype" w:cs="Tahoma"/>
        </w:rPr>
        <w:t>, tanto el Instituto Mexicano del Seguro Social (IMSS) y el Instituto del Fondo Nacional de la Vivienda para los Trabajadores (INFONAVIT), se encuentran regulados conforme al apartado A del artículo citado, que regula las relaciones laborales entre particulares, empero el apartado que rige las relaciones labores de los servidores públicos corresponde al apartado B, hechas las precisiones anteriores, se procede en los términos siguientes:</w:t>
      </w:r>
    </w:p>
    <w:p w:rsidR="00420C58" w:rsidRPr="00BC5411" w:rsidRDefault="00420C58" w:rsidP="00420C58">
      <w:pPr>
        <w:spacing w:line="360" w:lineRule="auto"/>
        <w:ind w:right="-93"/>
        <w:jc w:val="both"/>
        <w:rPr>
          <w:rFonts w:ascii="Palatino Linotype" w:hAnsi="Palatino Linotype" w:cs="Tahoma"/>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rPr>
        <w:lastRenderedPageBreak/>
        <w:t>Respecto</w:t>
      </w:r>
      <w:r w:rsidRPr="00BC5411">
        <w:rPr>
          <w:rFonts w:ascii="Palatino Linotype" w:hAnsi="Palatino Linotype" w:cs="Tahoma"/>
          <w:lang w:val="es-ES"/>
        </w:rPr>
        <w:t xml:space="preserve"> a la opinión de cumplimiento del </w:t>
      </w:r>
      <w:r w:rsidRPr="00BC5411">
        <w:rPr>
          <w:rFonts w:ascii="Palatino Linotype" w:hAnsi="Palatino Linotype" w:cs="Tahoma"/>
          <w:b/>
          <w:lang w:val="es-ES"/>
        </w:rPr>
        <w:t>Instituto Mexicano del Seguro Social IMSS</w:t>
      </w:r>
      <w:r w:rsidRPr="00BC5411">
        <w:rPr>
          <w:rFonts w:ascii="Palatino Linotype" w:hAnsi="Palatino Linotype" w:cs="Tahoma"/>
          <w:lang w:val="es-ES"/>
        </w:rPr>
        <w:t>, partiremos que de conformidad con el artículo 5 de la Ley del Seguro Social este es un organismo público descentralizado con personalidad jurídica y patrimonio propios, de integración operativa tripartita, debido a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bienestar individual y colectivo, así como el otorgamiento de una pensión que, en su caso y previo cumplimiento de los requisitos legales, será garantizada por el Estado.</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rPr>
      </w:pPr>
      <w:r w:rsidRPr="00BC5411">
        <w:rPr>
          <w:rFonts w:ascii="Palatino Linotype" w:hAnsi="Palatino Linotype" w:cs="Tahoma"/>
        </w:rPr>
        <w:t>Organismo que si bien se encarga de garantizar el derecho a la seguridad social, lo es en lo que corresponde a los Entes de Gobierno de Nivel Federal; atentos a ello, de conformidad con los artículos 1, 2 y 3 de la Ley de Seguridad Social para los Servidores Públicos del Estado de México y Municipios, podemos apreciar que el Organismo competente para la seguridad social de los servidores públicos del Estado de México y Municipios, se encuentra a cargo del Instituto de Seguridad Social del Estado de México y Municipios (</w:t>
      </w:r>
      <w:proofErr w:type="spellStart"/>
      <w:r w:rsidRPr="00BC5411">
        <w:rPr>
          <w:rFonts w:ascii="Palatino Linotype" w:hAnsi="Palatino Linotype" w:cs="Tahoma"/>
        </w:rPr>
        <w:t>ISSEMyM</w:t>
      </w:r>
      <w:proofErr w:type="spellEnd"/>
      <w:r w:rsidRPr="00BC5411">
        <w:rPr>
          <w:rFonts w:ascii="Palatino Linotype" w:hAnsi="Palatino Linotype" w:cs="Tahoma"/>
        </w:rPr>
        <w:t>), se insertan para mayor referencia los artículos a continuación:</w:t>
      </w:r>
    </w:p>
    <w:p w:rsidR="00420C58" w:rsidRPr="00BC5411" w:rsidRDefault="00420C58" w:rsidP="00420C58">
      <w:pPr>
        <w:spacing w:line="360" w:lineRule="auto"/>
        <w:ind w:left="567" w:right="539"/>
        <w:jc w:val="both"/>
        <w:rPr>
          <w:rFonts w:ascii="Palatino Linotype" w:hAnsi="Palatino Linotype" w:cs="Tahoma"/>
          <w:i/>
          <w:lang w:val="es-ES"/>
        </w:rPr>
      </w:pP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lang w:val="es-ES"/>
        </w:rPr>
        <w:lastRenderedPageBreak/>
        <w:t>“</w:t>
      </w:r>
      <w:r w:rsidRPr="00BC5411">
        <w:rPr>
          <w:rFonts w:ascii="Palatino Linotype" w:hAnsi="Palatino Linotype" w:cs="Tahoma"/>
          <w:b/>
          <w:i/>
          <w:lang w:val="es-ES"/>
        </w:rPr>
        <w:t>ARTICULO 1</w:t>
      </w:r>
      <w:r w:rsidRPr="00BC5411">
        <w:rPr>
          <w:rFonts w:ascii="Palatino Linotype" w:hAnsi="Palatino Linotype" w:cs="Tahoma"/>
          <w:i/>
          <w:iCs/>
        </w:rPr>
        <w:t>.- La presente ley es de orden público e interés general y tiene por objeto regular el régimen de seguridad social en favor de los servidores públicos del estado y</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municipios, así como de sus organismos auxiliares y fideicomisos públicos.</w:t>
      </w:r>
    </w:p>
    <w:p w:rsidR="00420C58" w:rsidRPr="00BC5411" w:rsidRDefault="00420C58" w:rsidP="00420C58">
      <w:pPr>
        <w:spacing w:line="360" w:lineRule="auto"/>
        <w:ind w:left="567" w:right="539"/>
        <w:jc w:val="both"/>
        <w:rPr>
          <w:rFonts w:ascii="Palatino Linotype" w:hAnsi="Palatino Linotype" w:cs="Tahoma"/>
          <w:b/>
          <w:i/>
          <w:lang w:val="es-ES"/>
        </w:rPr>
      </w:pP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b/>
          <w:i/>
          <w:lang w:val="es-ES"/>
        </w:rPr>
        <w:t>ARTICULO 2</w:t>
      </w:r>
      <w:r w:rsidRPr="00BC5411">
        <w:rPr>
          <w:rFonts w:ascii="Palatino Linotype" w:hAnsi="Palatino Linotype" w:cs="Tahoma"/>
          <w:i/>
          <w:lang w:val="es-ES"/>
        </w:rPr>
        <w:t>.- La aplicación y cumplimiento del régimen de seguridad social que regula esta ley, le corresponde al Instituto de Seguridad Social del Estado de México y Municipios, organismo público descentralizado con personalidad jurídica y patrimonio propios.</w:t>
      </w:r>
    </w:p>
    <w:p w:rsidR="00420C58" w:rsidRPr="00BC5411" w:rsidRDefault="00420C58" w:rsidP="00420C58">
      <w:pPr>
        <w:spacing w:line="360" w:lineRule="auto"/>
        <w:ind w:left="567" w:right="539"/>
        <w:jc w:val="both"/>
        <w:rPr>
          <w:rFonts w:ascii="Palatino Linotype" w:hAnsi="Palatino Linotype" w:cs="Tahoma"/>
          <w:b/>
          <w:i/>
          <w:lang w:val="es-ES"/>
        </w:rPr>
      </w:pP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b/>
          <w:i/>
          <w:lang w:val="es-ES"/>
        </w:rPr>
        <w:t>ARTÍCULO 3</w:t>
      </w:r>
      <w:r w:rsidRPr="00BC5411">
        <w:rPr>
          <w:rFonts w:ascii="Palatino Linotype" w:hAnsi="Palatino Linotype" w:cs="Tahoma"/>
          <w:i/>
          <w:lang w:val="es-ES"/>
        </w:rPr>
        <w:t>.- Son sujetos de esta ley:</w:t>
      </w: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i/>
          <w:lang w:val="es-ES"/>
        </w:rPr>
        <w:t>I.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i/>
          <w:lang w:val="es-ES"/>
        </w:rPr>
        <w:t>II. Los servidores públicos de las instituciones públicas mencionadas en la fracción anterior;</w:t>
      </w: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i/>
          <w:lang w:val="es-ES"/>
        </w:rPr>
        <w:t>III. Los pensionados y pensionistas;</w:t>
      </w: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i/>
          <w:lang w:val="es-ES"/>
        </w:rPr>
        <w:t>IV. Los familiares y dependientes económicos de los servidores públicos y de los pensionados.</w:t>
      </w:r>
    </w:p>
    <w:p w:rsidR="00420C58" w:rsidRPr="00BC5411" w:rsidRDefault="00420C58" w:rsidP="00420C58">
      <w:pPr>
        <w:spacing w:line="360" w:lineRule="auto"/>
        <w:ind w:left="567" w:right="539"/>
        <w:jc w:val="both"/>
        <w:rPr>
          <w:rFonts w:ascii="Palatino Linotype" w:hAnsi="Palatino Linotype" w:cs="Tahoma"/>
          <w:i/>
          <w:lang w:val="es-ES"/>
        </w:rPr>
      </w:pPr>
      <w:r w:rsidRPr="00BC5411">
        <w:rPr>
          <w:rFonts w:ascii="Palatino Linotype" w:hAnsi="Palatino Linotype" w:cs="Tahoma"/>
          <w:b/>
          <w:i/>
          <w:lang w:val="es-ES"/>
        </w:rPr>
        <w:t>ARTICULO 5</w:t>
      </w:r>
      <w:r w:rsidRPr="00BC5411">
        <w:rPr>
          <w:rFonts w:ascii="Palatino Linotype" w:hAnsi="Palatino Linotype" w:cs="Tahoma"/>
          <w:i/>
          <w:lang w:val="es-ES"/>
        </w:rPr>
        <w:t>.- Para los efectos de esta ley se entiende por:</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lang w:val="es-ES"/>
        </w:rPr>
        <w:lastRenderedPageBreak/>
        <w:t>I. …</w:t>
      </w:r>
      <w:r w:rsidRPr="00BC5411">
        <w:rPr>
          <w:rFonts w:ascii="Palatino Linotype" w:hAnsi="Palatino Linotype" w:cs="Tahoma"/>
          <w:i/>
          <w:lang w:val="es-ES"/>
        </w:rPr>
        <w:cr/>
      </w:r>
      <w:r w:rsidRPr="00BC5411">
        <w:rPr>
          <w:rFonts w:ascii="Palatino Linotype" w:hAnsi="Palatino Linotype"/>
          <w:b/>
        </w:rPr>
        <w:t xml:space="preserve"> </w:t>
      </w:r>
      <w:r w:rsidRPr="00BC5411">
        <w:rPr>
          <w:rFonts w:ascii="Palatino Linotype" w:hAnsi="Palatino Linotype" w:cs="Tahoma"/>
          <w:b/>
          <w:i/>
        </w:rPr>
        <w:t>II.</w:t>
      </w:r>
      <w:r w:rsidRPr="00BC5411">
        <w:rPr>
          <w:rFonts w:ascii="Palatino Linotype" w:hAnsi="Palatino Linotype" w:cs="Tahoma"/>
          <w:i/>
        </w:rPr>
        <w:t xml:space="preserve"> Institución pública, a los poderes públicos del estado, los ayuntamientos de los municipios y los tribunales administrativos, así como los organismos auxiliares y fideicomisos públicos de carácter estatal y municipal; </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III.</w:t>
      </w:r>
      <w:r w:rsidRPr="00BC5411">
        <w:rPr>
          <w:rFonts w:ascii="Palatino Linotype" w:hAnsi="Palatino Linotype" w:cs="Tahoma"/>
          <w:i/>
        </w:rPr>
        <w:t xml:space="preserve"> Servidor público,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 </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IV a VI…”</w:t>
      </w:r>
    </w:p>
    <w:p w:rsidR="00420C58" w:rsidRPr="00BC5411" w:rsidRDefault="00420C58" w:rsidP="00420C58">
      <w:pPr>
        <w:spacing w:line="360" w:lineRule="auto"/>
        <w:ind w:left="567" w:right="539"/>
        <w:jc w:val="both"/>
        <w:rPr>
          <w:rFonts w:ascii="Palatino Linotype" w:hAnsi="Palatino Linotype" w:cs="Tahoma"/>
          <w:i/>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rPr>
      </w:pPr>
      <w:r w:rsidRPr="00BC5411">
        <w:rPr>
          <w:rFonts w:ascii="Palatino Linotype" w:hAnsi="Palatino Linotype" w:cs="Tahoma"/>
        </w:rPr>
        <w:t xml:space="preserve">De conformidad con los preceptos legales, se acredita que </w:t>
      </w:r>
      <w:r w:rsidR="00B047FA" w:rsidRPr="00BC5411">
        <w:rPr>
          <w:rFonts w:ascii="Palatino Linotype" w:hAnsi="Palatino Linotype" w:cs="Tahoma"/>
        </w:rPr>
        <w:t xml:space="preserve">ciertamente como se adujo en la respuesta, es </w:t>
      </w:r>
      <w:r w:rsidRPr="00BC5411">
        <w:rPr>
          <w:rFonts w:ascii="Palatino Linotype" w:hAnsi="Palatino Linotype" w:cs="Tahoma"/>
        </w:rPr>
        <w:t>compete Instituto de Seguridad Social del Estado de México y Municipios (</w:t>
      </w:r>
      <w:proofErr w:type="spellStart"/>
      <w:r w:rsidRPr="00BC5411">
        <w:rPr>
          <w:rFonts w:ascii="Palatino Linotype" w:hAnsi="Palatino Linotype" w:cs="Tahoma"/>
        </w:rPr>
        <w:t>ISSEMyM</w:t>
      </w:r>
      <w:proofErr w:type="spellEnd"/>
      <w:r w:rsidRPr="00BC5411">
        <w:rPr>
          <w:rFonts w:ascii="Palatino Linotype" w:hAnsi="Palatino Linotype" w:cs="Tahoma"/>
        </w:rPr>
        <w:t>), regular el régimen de seguridad social en favor de los servidores públicos del estado y municipios, consecuentemente, el Sujeto Obligado resulta incompetente para tener en sus archivos la información relativa a la opinión de cumplimiento de sus obligaciones fiscales en materia de Seguridad Social” emitida por el Instituto Mexicano del Seguro Social (IMSS), por lo que no resulta procedente ordenar su entrega.</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lastRenderedPageBreak/>
        <w:t xml:space="preserve">En </w:t>
      </w:r>
      <w:r w:rsidRPr="00BC5411">
        <w:rPr>
          <w:rFonts w:ascii="Palatino Linotype" w:hAnsi="Palatino Linotype" w:cs="Tahoma"/>
        </w:rPr>
        <w:t>relación</w:t>
      </w:r>
      <w:r w:rsidRPr="00BC5411">
        <w:rPr>
          <w:rFonts w:ascii="Palatino Linotype" w:hAnsi="Palatino Linotype" w:cs="Tahoma"/>
          <w:lang w:val="es-ES"/>
        </w:rPr>
        <w:t xml:space="preserve"> con la opinión de cumplimiento emitida por el </w:t>
      </w:r>
      <w:r w:rsidRPr="00BC5411">
        <w:rPr>
          <w:rFonts w:ascii="Palatino Linotype" w:hAnsi="Palatino Linotype" w:cs="Tahoma"/>
          <w:b/>
          <w:lang w:val="es-ES"/>
        </w:rPr>
        <w:t>Instituto del Fondo Nacional de la Vivienda para los Trabajadores (INFONAVIT)</w:t>
      </w:r>
      <w:r w:rsidRPr="00BC5411">
        <w:rPr>
          <w:rFonts w:ascii="Palatino Linotype" w:hAnsi="Palatino Linotype" w:cs="Tahoma"/>
          <w:lang w:val="es-ES"/>
        </w:rPr>
        <w:t>, partiremos que de conformidad con el artículo 123 apartado A, fracción XII de la Constitución Política de los Estados Unidos Mexicanos, el cual establece las bases que rigen las relaciones laborales entre las empresas y los particulares, se cita a continuación, para mayor referencia:</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b/>
          <w:i/>
          <w:iCs/>
        </w:rPr>
        <w:t>Artículo 123</w:t>
      </w:r>
      <w:r w:rsidRPr="00BC5411">
        <w:rPr>
          <w:rFonts w:ascii="Palatino Linotype" w:hAnsi="Palatino Linotype" w:cs="Tahoma"/>
          <w:i/>
          <w:iCs/>
        </w:rPr>
        <w:t>. Toda persona tiene derecho al trabajo digno y socialmente útil; al efecto, se promoverán la creación de empleos y la organización social de trabajo, conforme a la ley.</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El Congreso de la Unión, sin contravenir a las bases siguientes deberá expedir leyes sobre el trabajo, las cuales regirán:</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b/>
          <w:i/>
          <w:iCs/>
        </w:rPr>
        <w:t>A.</w:t>
      </w:r>
      <w:r w:rsidRPr="00BC5411">
        <w:rPr>
          <w:rFonts w:ascii="Palatino Linotype" w:hAnsi="Palatino Linotype" w:cs="Tahoma"/>
          <w:i/>
          <w:iCs/>
        </w:rPr>
        <w:t xml:space="preserve"> Entre los obreros, jornaleros, empleados domésticos, artesanos y de una manera general, todo contrato de trabajo:</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I a XI…</w:t>
      </w:r>
    </w:p>
    <w:p w:rsidR="00420C58" w:rsidRPr="00BC5411" w:rsidRDefault="00420C58" w:rsidP="00420C58">
      <w:pPr>
        <w:spacing w:line="360" w:lineRule="auto"/>
        <w:ind w:left="567" w:right="539"/>
        <w:contextualSpacing/>
        <w:jc w:val="both"/>
        <w:rPr>
          <w:rFonts w:ascii="Palatino Linotype" w:hAnsi="Palatino Linotype" w:cs="Tahoma"/>
          <w:i/>
          <w:iCs/>
          <w:u w:val="single"/>
        </w:rPr>
      </w:pPr>
      <w:r w:rsidRPr="00BC5411">
        <w:rPr>
          <w:rFonts w:ascii="Palatino Linotype" w:hAnsi="Palatino Linotype" w:cs="Tahoma"/>
          <w:i/>
          <w:iCs/>
        </w:rPr>
        <w:t xml:space="preserve">XII. Toda empresa agrícola, industrial, minera o de cualquier otra clase de trabajo, estará obligada, según lo determinen las leyes reglamentarias a proporcionar a los trabajadores habitaciones cómodas e higiénicas. </w:t>
      </w:r>
      <w:r w:rsidRPr="00BC5411">
        <w:rPr>
          <w:rFonts w:ascii="Palatino Linotype" w:hAnsi="Palatino Linotype" w:cs="Tahoma"/>
          <w:i/>
          <w:iCs/>
          <w:u w:val="single"/>
        </w:rPr>
        <w:t>Esta obligación se cumplirá mediante las aportaciones que las empresas hagan a un fondo nacional de la vivienda a fin de constituir depósitos en favor de sus trabajadores y establecer un sistema de financiamiento que permita otorgar a éstos crédito barato y suficiente para que adquieran en propiedad tales habitaciones.</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u w:val="single"/>
        </w:rPr>
        <w:lastRenderedPageBreak/>
        <w:t>Se considera de utilidad social la expedición de una ley para la creación de un organismo integrado por representantes del Gobierno Federal, de los trabajadores y de los patrones, que administre los recursos del fondo nacional de la vivienda. Dicha ley regulará las formas y procedimientos conforme a los cuales los trabajadores podrán adquirir en propiedad las habitaciones antes mencionadas.</w:t>
      </w:r>
      <w:r w:rsidRPr="00BC5411">
        <w:rPr>
          <w:rFonts w:ascii="Palatino Linotype" w:hAnsi="Palatino Linotype" w:cs="Tahoma"/>
          <w:i/>
          <w:iCs/>
        </w:rPr>
        <w:t>”</w:t>
      </w:r>
    </w:p>
    <w:p w:rsidR="00C62EA3" w:rsidRPr="00BC5411" w:rsidRDefault="00C62EA3" w:rsidP="00420C58">
      <w:pPr>
        <w:spacing w:line="360" w:lineRule="auto"/>
        <w:ind w:left="567" w:right="539"/>
        <w:contextualSpacing/>
        <w:jc w:val="both"/>
        <w:rPr>
          <w:rFonts w:ascii="Palatino Linotype" w:hAnsi="Palatino Linotype" w:cs="Tahoma"/>
          <w:i/>
          <w:iC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Precepto legal que concatenado con el contenido de los artículos 2 y 3 de Ley del Instituto del Fondo Nacional de la Vivienda para los Trabajadores, que establece a dicho Instituto como el organismo de servicio social con personalidad jurídica y patrimonio propio, cuyos objetivos son entre otros, administrar los recursos del Fondo Nacional de Vivienda, se cita para pronta referencia:</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b/>
          <w:i/>
          <w:iCs/>
        </w:rPr>
        <w:t>Artículo 3o.-</w:t>
      </w:r>
      <w:r w:rsidRPr="00BC5411">
        <w:rPr>
          <w:rFonts w:ascii="Palatino Linotype" w:hAnsi="Palatino Linotype" w:cs="Tahoma"/>
          <w:i/>
          <w:iCs/>
        </w:rPr>
        <w:t xml:space="preserve"> El Instituto tiene por objeto:</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I.- Administrar los recursos del Fondo Nacional de la Vivienda;</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II.- Establecer y operar un sistema de financiamiento que permita a los trabajadores obtener crédito barato y suficiente para:</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a).- La adquisición en propiedad de habitaciones cómodas e higiénicas,</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b).- La construcción, reparación, ampliación o mejoramiento de sus habitaciones, y</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c).- El pago de pasivos contraídos por los conceptos anteriores;</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d).- La adquisición en propiedad de suelo destinado para la construcción de sus habitaciones;</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lastRenderedPageBreak/>
        <w:t>III.- Coordinar y financiar programas de construcción de habitaciones destinadas a ser adquiridas en propiedad por los trabajadores; y</w:t>
      </w:r>
    </w:p>
    <w:p w:rsidR="00420C58" w:rsidRPr="00BC5411" w:rsidRDefault="00420C58" w:rsidP="00420C58">
      <w:pPr>
        <w:spacing w:line="360" w:lineRule="auto"/>
        <w:ind w:left="567" w:right="539"/>
        <w:contextualSpacing/>
        <w:jc w:val="both"/>
        <w:rPr>
          <w:rFonts w:ascii="Palatino Linotype" w:hAnsi="Palatino Linotype" w:cs="Tahoma"/>
          <w:i/>
          <w:iCs/>
        </w:rPr>
      </w:pPr>
      <w:r w:rsidRPr="00BC5411">
        <w:rPr>
          <w:rFonts w:ascii="Palatino Linotype" w:hAnsi="Palatino Linotype" w:cs="Tahoma"/>
          <w:i/>
          <w:iCs/>
        </w:rPr>
        <w:t>IV.- Lo demás a que se refiere la fracción XII del Apartado A del Artículo 123 Constitucional y el</w:t>
      </w:r>
      <w:r w:rsidR="00015F91" w:rsidRPr="00BC5411">
        <w:rPr>
          <w:rFonts w:ascii="Palatino Linotype" w:hAnsi="Palatino Linotype" w:cs="Tahoma"/>
          <w:i/>
          <w:iCs/>
        </w:rPr>
        <w:t xml:space="preserve"> </w:t>
      </w:r>
      <w:r w:rsidRPr="00BC5411">
        <w:rPr>
          <w:rFonts w:ascii="Palatino Linotype" w:hAnsi="Palatino Linotype" w:cs="Tahoma"/>
          <w:i/>
          <w:iCs/>
        </w:rPr>
        <w:t>Título Cuarto, Capítulo III de la Ley Federal del Trabajo, así como lo que esta ley establece.</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De los preceptos de Ley citados, podemos concluir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solicitar la entrega de la misma, a Entes de Gobierno, no resulta procedente, derivado de no encuadrar en los supuestos de los ordenamientos citados.</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rPr>
      </w:pPr>
      <w:r w:rsidRPr="00BC5411">
        <w:rPr>
          <w:rFonts w:ascii="Palatino Linotype" w:hAnsi="Palatino Linotype" w:cs="Tahoma"/>
        </w:rPr>
        <w:t xml:space="preserve">En lo que corresponde a la opinión de cumplimiento del Servicio de Administración </w:t>
      </w:r>
      <w:r w:rsidRPr="00BC5411">
        <w:rPr>
          <w:rFonts w:ascii="Palatino Linotype" w:hAnsi="Palatino Linotype" w:cs="Tahoma"/>
          <w:lang w:val="es-ES"/>
        </w:rPr>
        <w:t>Tributaria</w:t>
      </w:r>
      <w:r w:rsidRPr="00BC5411">
        <w:rPr>
          <w:rFonts w:ascii="Palatino Linotype" w:hAnsi="Palatino Linotype" w:cs="Tahoma"/>
        </w:rPr>
        <w:t xml:space="preserve"> (SAT), marcado con el punto 4 en el Considerando Tercero, es de señalar que éste es un órgano desconcentrado de la Secretaría de Hacienda y Crédito Público (SHCP), esta como máxima autoridad fiscal encargada de la determinación y recaudación de impuestos en México. En ese orden de ideas, debemos traer a colación los artículos 27 apartado A, fracción VI, 29, 32-D último </w:t>
      </w:r>
      <w:r w:rsidRPr="00BC5411">
        <w:rPr>
          <w:rFonts w:ascii="Palatino Linotype" w:hAnsi="Palatino Linotype" w:cs="Tahoma"/>
        </w:rPr>
        <w:lastRenderedPageBreak/>
        <w:t>párrafo, 32-G del Código Fiscal de la Federación, así como los artículos 94 fracción I y 96 de la Ley del Impuesto sobre la Renta que señalan lo siguiente:</w:t>
      </w:r>
    </w:p>
    <w:p w:rsidR="00420C58" w:rsidRPr="00BC5411" w:rsidRDefault="00420C58" w:rsidP="00420C58">
      <w:pPr>
        <w:spacing w:line="360" w:lineRule="auto"/>
        <w:jc w:val="both"/>
        <w:rPr>
          <w:rFonts w:ascii="Palatino Linotype" w:hAnsi="Palatino Linotype" w:cs="Tahoma"/>
          <w:b/>
          <w:lang w:val="es-ES"/>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r w:rsidRPr="00BC5411">
        <w:rPr>
          <w:rFonts w:ascii="Palatino Linotype" w:hAnsi="Palatino Linotype" w:cs="Tahoma"/>
          <w:b/>
          <w:i/>
        </w:rPr>
        <w:t>Artículo 27.</w:t>
      </w:r>
      <w:r w:rsidRPr="00BC5411">
        <w:rPr>
          <w:rFonts w:ascii="Palatino Linotype" w:hAnsi="Palatino Linotype" w:cs="Tahoma"/>
          <w:i/>
        </w:rPr>
        <w:t xml:space="preserve"> En materia del Registro Federal de Contribuyentes, se estará a lo siguiente:</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A. Sujetos y sus obligaciones específicas: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I a V…</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VI. Las unidades administrativas y los órganos administrativos desconcentrados de las dependencias y las demás áreas u órganos de la Federación, de las Entidades Federativas, de los municipios, de los organismos descentralizados y de los órganos constitucionales autónomos, que cuenten con autorización del ente público al que pertenezcan, que tengan el carácter de retenedor o de contribuyente, de conformidad con las leyes fiscales, en forma separada del ente público al que pertenezcan, deberán dar cumplimiento a las obligaciones previstas en las fracciones I, II y III del apartado B del presente artículo.</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r w:rsidRPr="00BC5411">
        <w:rPr>
          <w:rFonts w:ascii="Palatino Linotype" w:hAnsi="Palatino Linotype" w:cs="Tahoma"/>
          <w:i/>
        </w:rPr>
        <w:cr/>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Artículo 29</w:t>
      </w:r>
      <w:r w:rsidRPr="00BC5411">
        <w:rPr>
          <w:rFonts w:ascii="Palatino Linotype" w:hAnsi="Palatino Linotype" w:cs="Tahoma"/>
          <w:i/>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w:t>
      </w:r>
      <w:r w:rsidRPr="00BC5411">
        <w:rPr>
          <w:rFonts w:ascii="Palatino Linotype" w:hAnsi="Palatino Linotype" w:cs="Tahoma"/>
          <w:i/>
        </w:rPr>
        <w:lastRenderedPageBreak/>
        <w:t>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Los contribuyentes a que se refiere el párrafo anterior deberán cumplir con las obligaciones siguientes: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w:t>
      </w:r>
      <w:r w:rsidRPr="00BC5411">
        <w:rPr>
          <w:rFonts w:ascii="Palatino Linotype" w:hAnsi="Palatino Linotype" w:cs="Tahoma"/>
          <w:i/>
        </w:rPr>
        <w:t xml:space="preserve"> Contar con un certificado de firma electrónica avanzada vigente, tener obligaciones fiscales en el Registro Federal de Contribuyentes y cumplir con los requisitos que determine el Servicio de Administración Tributaria mediante las reglas de carácter general.</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II.</w:t>
      </w:r>
      <w:r w:rsidRPr="00BC5411">
        <w:rPr>
          <w:rFonts w:ascii="Palatino Linotype" w:hAnsi="Palatino Linotype" w:cs="Tahoma"/>
          <w:i/>
        </w:rPr>
        <w:t xml:space="preserve"> Tramitar ante el Servicio de Administración Tributaria el certificado para el uso de los sellos digitales.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lastRenderedPageBreak/>
        <w:t>Los contribuyentes podrán tramitar la obtención de un certificado de sello digital para ser utilizado por todos sus establecimientos o locales, o bien, tramitar la obtención de un certificado de sello digital por cada uno de sus establecimientos. El Servicio de Administración Tributaria establecerá mediante reglas de carácter general los requisitos de control e identificación a que se sujetará el uso del sello digital de los contribuyentes.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La tramitación de un certificado de sello digital sólo podrá efectuarse mediante formato electrónico que cuente con la firma electrónica avanzada de la persona solicitante.</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III.</w:t>
      </w:r>
      <w:r w:rsidRPr="00BC5411">
        <w:rPr>
          <w:rFonts w:ascii="Palatino Linotype" w:hAnsi="Palatino Linotype" w:cs="Tahoma"/>
          <w:i/>
        </w:rPr>
        <w:t xml:space="preserve"> Cumplir los requisitos establecidos en el artículo 29-A de este Código, y los que el Servicio de Administración Tributaria establezca al efecto mediante reglas de carácter general, inclusive los complementos del comprobante fiscal digital por Internet, que se publicarán en el Portal de Internet del Servicio de Administración Tributaria.</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IV.</w:t>
      </w:r>
      <w:r w:rsidRPr="00BC5411">
        <w:rPr>
          <w:rFonts w:ascii="Palatino Linotype" w:hAnsi="Palatino Linotype" w:cs="Tahoma"/>
          <w:i/>
        </w:rPr>
        <w:t xml:space="preserve"> Remitir al Servicio de Administración Tributaria, antes de su expedición, el comprobante fiscal digital por Internet respectivo a través de los mecanismos digitales que para tal efecto determine dicho órgano desconcentrado mediante reglas de carácter general, con el objeto de que éste proceda a:</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w:t>
      </w:r>
      <w:r w:rsidRPr="00BC5411">
        <w:rPr>
          <w:rFonts w:ascii="Palatino Linotype" w:hAnsi="Palatino Linotype" w:cs="Tahoma"/>
          <w:i/>
        </w:rPr>
        <w:t xml:space="preserve"> Validar el cumplimiento de los requisitos establecidos en el artículo 29-A de este Código y de los contenidos en los complementos de los comprobantes fiscales digitales por Internet, que el Servicio de Administración Tributaria establezca mediante reglas de carácter general.</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lastRenderedPageBreak/>
        <w:t>b)</w:t>
      </w:r>
      <w:r w:rsidRPr="00BC5411">
        <w:rPr>
          <w:rFonts w:ascii="Palatino Linotype" w:hAnsi="Palatino Linotype" w:cs="Tahoma"/>
          <w:i/>
        </w:rPr>
        <w:t xml:space="preserve"> Asignar el folio del comprobante fiscal digital.</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c)</w:t>
      </w:r>
      <w:r w:rsidRPr="00BC5411">
        <w:rPr>
          <w:rFonts w:ascii="Palatino Linotype" w:hAnsi="Palatino Linotype" w:cs="Tahoma"/>
          <w:i/>
        </w:rPr>
        <w:t xml:space="preserve"> Incorporar el sello digital del Servicio de Administración Tributaria </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V.</w:t>
      </w:r>
      <w:r w:rsidRPr="00BC5411">
        <w:rPr>
          <w:rFonts w:ascii="Palatino Linotype" w:hAnsi="Palatino Linotype" w:cs="Tahoma"/>
          <w:i/>
        </w:rPr>
        <w:t xml:space="preserve"> Una vez que se incorpore el sello digital del Servicio de Administración Tributaria al comprobante fiscal digital por Internet, deberán entregar o poner a disposición de sus clientes, a través de los medios electrónicos que disponga el citado órgano desconcentrado mediante reglas de carácter general, el archivo electrónico del comprobante fiscal digital por Internet de que se trate y, cuando les sea solicitada por el cliente, su representación impresa, la cual únicamente presume la existencia de dicho comprobante fiscal.</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VI.</w:t>
      </w:r>
      <w:r w:rsidRPr="00BC5411">
        <w:rPr>
          <w:rFonts w:ascii="Palatino Linotype" w:hAnsi="Palatino Linotype" w:cs="Tahoma"/>
          <w:i/>
        </w:rPr>
        <w:t xml:space="preserve"> Cumplir con las especificaciones que en materia de informática determine el Servicio de Administración Tributaria mediante reglas de carácter general.</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 xml:space="preserve">En el caso de las devoluciones, descuentos o bonificaciones a que se refiere el artículo 25 de la Ley del Impuesto sobre la Renta, se deberán expedir comprobantes fiscales digitales por Internet. En el supuesto de que se emitan comprobantes que amparen egresos sin contar con la justificación y soporte documental que acredite las devoluciones, descuentos o bonificaciones ante las </w:t>
      </w:r>
      <w:r w:rsidRPr="00BC5411">
        <w:rPr>
          <w:rFonts w:ascii="Palatino Linotype" w:hAnsi="Palatino Linotype" w:cs="Tahoma"/>
          <w:i/>
        </w:rPr>
        <w:lastRenderedPageBreak/>
        <w:t>autoridades fiscales, éstos no podrán disminuirse de los comprobantes fiscales de ingresos del contribuyente, lo cual podrá ser verificado por éstas en el ejercicio de las facultades establecidas en este Código.</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El Servicio de Administración Tributaria, mediante reglas de carácter general, podrá establecer facilidades administrativas para que los contribuyentes emitan sus comprobantes fiscales digitales por medios propios, a través de proveedores de servicios o con los medios electrónicos que en dichas reglas determine. De igual forma, a través de las citadas reglas podrá establecer las características de los comprobantes que servirán para amparar el transporte y la legal tenencia y estancia de las mercancías durante el mismo, así como de los comprobantes que amparen operaciones realizadas con el público en general.</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Tratándose de actos o actividades que tengan efectos fiscales en los que no haya obligación de emitir comprobante fiscal digital por Internet, el Servicio de Administración Tributaria podrá, mediante reglas de carácter general, establecer las características de los documentos digitales que amparen dichas operaciones</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Artículo 32-D.</w:t>
      </w:r>
      <w:r w:rsidRPr="00BC5411">
        <w:rPr>
          <w:rFonts w:ascii="Palatino Linotype" w:hAnsi="Palatino Linotype" w:cs="Tahoma"/>
          <w:i/>
        </w:rPr>
        <w:t xml:space="preserve">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w:t>
      </w:r>
      <w:r w:rsidRPr="00BC5411">
        <w:rPr>
          <w:rFonts w:ascii="Palatino Linotype" w:hAnsi="Palatino Linotype" w:cs="Tahoma"/>
          <w:i/>
        </w:rPr>
        <w:lastRenderedPageBreak/>
        <w:t>reciban y ejerzan recursos públicos federales, en ningún caso contratarán adquisiciones, arrendamientos, servicios u obra pública con las personas físicas, morales o entes jurídicos que:</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I a IX…</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además de cumplir con lo establecido en las fracciones anteriores.</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Artículo 32-G.</w:t>
      </w:r>
      <w:r w:rsidRPr="00BC5411">
        <w:rPr>
          <w:rFonts w:ascii="Palatino Linotype" w:hAnsi="Palatino Linotype" w:cs="Tahoma"/>
          <w:i/>
        </w:rPr>
        <w:t xml:space="preserve"> La Federación, las Entidades Federativas, el Distrito Federal, y sus Organismos Descentralizados, así como los Municipios, tendrán la obligación de presentar ante las autoridades fiscales, a través de los medios y formatos electrónicos que señale el Servicio de Administración, la información relativa a:</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w:t>
      </w:r>
      <w:r w:rsidRPr="00BC5411">
        <w:rPr>
          <w:rFonts w:ascii="Palatino Linotype" w:hAnsi="Palatino Linotype" w:cs="Tahoma"/>
          <w:i/>
        </w:rPr>
        <w:t xml:space="preserve"> Las personas a las que en el mes inmediato anterior les hubieren efectuado retenciones de impuesto sobre la renta, así como de los residentes en el extranjero </w:t>
      </w:r>
      <w:r w:rsidRPr="00BC5411">
        <w:rPr>
          <w:rFonts w:ascii="Palatino Linotype" w:hAnsi="Palatino Linotype" w:cs="Tahoma"/>
          <w:i/>
        </w:rPr>
        <w:lastRenderedPageBreak/>
        <w:t>a los que les hayan efectuado pagos de acuerdo con lo previsto en el Título V de la Ley del Impuesto sobre la Renta.</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II.</w:t>
      </w:r>
      <w:r w:rsidRPr="00BC5411">
        <w:rPr>
          <w:rFonts w:ascii="Palatino Linotype" w:hAnsi="Palatino Linotype" w:cs="Tahoma"/>
          <w:i/>
        </w:rPr>
        <w:t xml:space="preserve"> Los proveedores a los que les hubiere efectuado pagos, desglosando el valor de los actos o actividades por tasa a la cual trasladaron o les fue trasladado el impuesto al valor agregado y el impuesto especial sobre producción y servicios, incluyendo actividades por las que el contribuyente no está obligado al pago.</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La información a que se refiere el párrafo anterior se deberá presentar a más tardar el día 17 del mes posterior al que corresponda dicha información”</w:t>
      </w:r>
    </w:p>
    <w:p w:rsidR="00420C58" w:rsidRPr="00BC5411" w:rsidRDefault="00420C58" w:rsidP="00420C58">
      <w:pPr>
        <w:spacing w:line="360" w:lineRule="auto"/>
        <w:ind w:left="567" w:right="539"/>
        <w:jc w:val="both"/>
        <w:rPr>
          <w:rFonts w:ascii="Palatino Linotype" w:hAnsi="Palatino Linotype" w:cs="Tahoma"/>
        </w:rPr>
      </w:pPr>
      <w:r w:rsidRPr="00BC5411">
        <w:rPr>
          <w:rFonts w:ascii="Palatino Linotype" w:hAnsi="Palatino Linotype" w:cs="Tahoma"/>
        </w:rPr>
        <w:t>(Énfasis añadido)</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center"/>
        <w:rPr>
          <w:rFonts w:ascii="Palatino Linotype" w:hAnsi="Palatino Linotype" w:cs="Tahoma"/>
          <w:b/>
          <w:i/>
        </w:rPr>
      </w:pPr>
      <w:r w:rsidRPr="00BC5411">
        <w:rPr>
          <w:rFonts w:ascii="Palatino Linotype" w:hAnsi="Palatino Linotype" w:cs="Tahoma"/>
          <w:b/>
          <w:i/>
        </w:rPr>
        <w:t>Ley del Impuesto sobre la Renta</w:t>
      </w:r>
    </w:p>
    <w:p w:rsidR="00420C58" w:rsidRPr="00BC5411" w:rsidRDefault="00420C58" w:rsidP="00420C58">
      <w:pPr>
        <w:spacing w:line="360" w:lineRule="auto"/>
        <w:ind w:left="567" w:right="539"/>
        <w:jc w:val="center"/>
        <w:rPr>
          <w:rFonts w:ascii="Palatino Linotype" w:hAnsi="Palatino Linotype" w:cs="Tahoma"/>
          <w:b/>
          <w:i/>
        </w:rPr>
      </w:pPr>
      <w:r w:rsidRPr="00BC5411">
        <w:rPr>
          <w:rFonts w:ascii="Palatino Linotype" w:hAnsi="Palatino Linotype" w:cs="Tahoma"/>
          <w:b/>
          <w:i/>
        </w:rPr>
        <w:t>CAPÍTULO I</w:t>
      </w:r>
    </w:p>
    <w:p w:rsidR="00420C58" w:rsidRPr="00BC5411" w:rsidRDefault="00420C58" w:rsidP="00420C58">
      <w:pPr>
        <w:spacing w:line="360" w:lineRule="auto"/>
        <w:ind w:left="567" w:right="539"/>
        <w:jc w:val="center"/>
        <w:rPr>
          <w:rFonts w:ascii="Palatino Linotype" w:hAnsi="Palatino Linotype" w:cs="Tahoma"/>
          <w:b/>
          <w:i/>
        </w:rPr>
      </w:pPr>
      <w:r w:rsidRPr="00BC5411">
        <w:rPr>
          <w:rFonts w:ascii="Palatino Linotype" w:hAnsi="Palatino Linotype" w:cs="Tahoma"/>
          <w:b/>
          <w:i/>
        </w:rPr>
        <w:t>DE LOS INGRESOS POR SALARIOS Y EN GENERAL POR LA</w:t>
      </w:r>
    </w:p>
    <w:p w:rsidR="00420C58" w:rsidRPr="00BC5411" w:rsidRDefault="00420C58" w:rsidP="00420C58">
      <w:pPr>
        <w:spacing w:line="360" w:lineRule="auto"/>
        <w:ind w:left="567" w:right="539"/>
        <w:jc w:val="center"/>
        <w:rPr>
          <w:rFonts w:ascii="Palatino Linotype" w:hAnsi="Palatino Linotype" w:cs="Tahoma"/>
          <w:b/>
          <w:i/>
        </w:rPr>
      </w:pPr>
      <w:r w:rsidRPr="00BC5411">
        <w:rPr>
          <w:rFonts w:ascii="Palatino Linotype" w:hAnsi="Palatino Linotype" w:cs="Tahoma"/>
          <w:b/>
          <w:i/>
        </w:rPr>
        <w:t>PRESTACIÓN DE UN SERVICIO PERSONAL SUBORDINADO</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Artículo 94</w:t>
      </w:r>
      <w:r w:rsidRPr="00BC5411">
        <w:rPr>
          <w:rFonts w:ascii="Palatino Linotype" w:hAnsi="Palatino Linotype" w:cs="Tahoma"/>
          <w:i/>
        </w:rPr>
        <w:t>. Se consideran ingresos por la prestación de un servicio personal subordinado, los salarios y demás prestaciones que deriven de una relación laboral, incluyendo la participación de los trabajadores en las utilidades de las empresas y las prestaciones percibidas como consecuencia de la terminación de la relación laboral. Para los efectos de este impuesto, se asimilan a estos ingresos los siguientes: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lastRenderedPageBreak/>
        <w:t>I</w:t>
      </w:r>
      <w:r w:rsidRPr="00BC5411">
        <w:rPr>
          <w:rFonts w:ascii="Palatino Linotype" w:hAnsi="Palatino Linotype" w:cs="Tahoma"/>
          <w:i/>
        </w:rPr>
        <w:t>. Las remuneraciones y demás prestaciones, obtenidas por los funcionarios y trabajadores de la Federación, de las entidades federativas y de los municipios, aun cuando sean por concepto de gastos no sujetos a comprobación, así como los obtenidos por los miembros de las fuerzas armadas.</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II a VII</w:t>
      </w:r>
      <w:r w:rsidRPr="00BC5411">
        <w:rPr>
          <w:rFonts w:ascii="Palatino Linotype" w:hAnsi="Palatino Linotype" w:cs="Tahoma"/>
          <w:i/>
        </w:rPr>
        <w:t>…</w:t>
      </w:r>
    </w:p>
    <w:p w:rsidR="00420C58" w:rsidRPr="00BC5411" w:rsidRDefault="00420C58" w:rsidP="00420C58">
      <w:pPr>
        <w:spacing w:line="360" w:lineRule="auto"/>
        <w:ind w:left="567" w:right="539"/>
        <w:jc w:val="both"/>
        <w:rPr>
          <w:rFonts w:ascii="Palatino Linotype" w:hAnsi="Palatino Linotype" w:cs="Tahoma"/>
          <w:i/>
        </w:rPr>
      </w:pP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b/>
          <w:i/>
        </w:rPr>
        <w:t>Artículo 96</w:t>
      </w:r>
      <w:r w:rsidRPr="00BC5411">
        <w:rPr>
          <w:rFonts w:ascii="Palatino Linotype" w:hAnsi="Palatino Linotype" w:cs="Tahoma"/>
          <w:i/>
        </w:rPr>
        <w:t>. Quienes hagan pagos por los conceptos a que se refiere este Capítulo están obligados a efectuar retenciones y enteros mensuales que tendrán el carácter de pagos provisionales a cuenta del impuesto anual. No se efectuará retención a las personas que en el mes únicamente perciban un salario mínimo general correspondiente al área geográfica del contribuyente.</w:t>
      </w:r>
    </w:p>
    <w:p w:rsidR="00420C58" w:rsidRPr="00BC5411" w:rsidRDefault="00420C58" w:rsidP="00420C58">
      <w:pPr>
        <w:spacing w:line="360" w:lineRule="auto"/>
        <w:ind w:left="567" w:right="539"/>
        <w:jc w:val="both"/>
        <w:rPr>
          <w:rFonts w:ascii="Palatino Linotype" w:hAnsi="Palatino Linotype" w:cs="Tahoma"/>
          <w:i/>
        </w:rPr>
      </w:pPr>
      <w:r w:rsidRPr="00BC5411">
        <w:rPr>
          <w:rFonts w:ascii="Palatino Linotype" w:hAnsi="Palatino Linotype" w:cs="Tahoma"/>
          <w:i/>
        </w:rPr>
        <w:t>…</w:t>
      </w:r>
    </w:p>
    <w:p w:rsidR="00420C58" w:rsidRPr="00BC5411" w:rsidRDefault="00420C58" w:rsidP="00420C58">
      <w:pPr>
        <w:ind w:left="567" w:right="567"/>
        <w:rPr>
          <w:rFonts w:ascii="Palatino Linotype" w:eastAsia="Calibri" w:hAnsi="Palatino Linotype"/>
        </w:rPr>
      </w:pPr>
      <w:r w:rsidRPr="00BC5411">
        <w:rPr>
          <w:rFonts w:ascii="Palatino Linotype" w:eastAsia="Calibri" w:hAnsi="Palatino Linotype"/>
        </w:rPr>
        <w:t>(Énfasis añadido)</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 xml:space="preserve">De </w:t>
      </w:r>
      <w:r w:rsidRPr="00BC5411">
        <w:rPr>
          <w:rFonts w:ascii="Palatino Linotype" w:hAnsi="Palatino Linotype" w:cs="Tahoma"/>
        </w:rPr>
        <w:t>conformidad</w:t>
      </w:r>
      <w:r w:rsidRPr="00BC5411">
        <w:rPr>
          <w:rFonts w:ascii="Palatino Linotype" w:hAnsi="Palatino Linotype" w:cs="Tahoma"/>
          <w:lang w:val="es-ES"/>
        </w:rPr>
        <w:t xml:space="preserve"> con los artículos citados, se advierte que los Municipios al administrar libremente su hacienda pública municipal, encargándose en lo relativo al pago de los salarios y/o remuneraciones de sus servidores públicos, realiza la retención del Impuesto Sobre la Renta, que debe enterar al Servicio de Administración Tributaria (SAT), de igual manera se encuentran obligados a generar, los Comprobantes Fiscales Digitales por Internet (CFDI), por el pago de los sueldos y salarios a sus trabajadores y por lo que se encuentran obligados de presentar ante el Servicio de Administración Tributaria (SAT), la información </w:t>
      </w:r>
      <w:r w:rsidRPr="00BC5411">
        <w:rPr>
          <w:rFonts w:ascii="Palatino Linotype" w:hAnsi="Palatino Linotype" w:cs="Tahoma"/>
          <w:lang w:val="es-ES"/>
        </w:rPr>
        <w:lastRenderedPageBreak/>
        <w:t>relativa de las personas a las que les fue efectuada la retención del impuesto sobre la renta.</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Si bien es cierto, de conformidad con el último párrafo del artículo 32-D del Código Fiscal de la Federación señala que para participar como proveedores de los sujetos señalados en el primer párrafo de este artículo, los contribuyentes estarán obligados a autorizar al Servicio de Administración Tributaria y a las autoridades fiscales federales en materia de seguridad social, para que hagan público el resultado de la opinión del cumplimiento, a través del procedimiento que establezcan dicho órgano desconcentrado y autoridades fiscales federales, mediante reglas de carácter general, circunstancia que al encontrarse sujeta a la rendición de cuentas de la administración pública, resulta de interés a la sociedad el conocer si se encuentra al corriente en sus obligaciones fiscales, consecuentemente podemos concluir que resulta dable ordenar la entrega de la opinión de cumplimiento emitida por el Servicio de Administración Tributaria (SAT), a favor del Sujeto Obligado.</w:t>
      </w:r>
    </w:p>
    <w:p w:rsidR="00590722" w:rsidRPr="00BC5411" w:rsidRDefault="00590722" w:rsidP="00590722">
      <w:pPr>
        <w:pStyle w:val="Prrafodelista"/>
        <w:rPr>
          <w:rFonts w:ascii="Palatino Linotype" w:hAnsi="Palatino Linotype" w:cs="Tahoma"/>
          <w:lang w:val="es-ES"/>
        </w:rPr>
      </w:pPr>
    </w:p>
    <w:p w:rsidR="00420C58" w:rsidRPr="00BC5411" w:rsidRDefault="00590722"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Por otro lado, r</w:t>
      </w:r>
      <w:r w:rsidR="00420C58" w:rsidRPr="00BC5411">
        <w:rPr>
          <w:rFonts w:ascii="Palatino Linotype" w:hAnsi="Palatino Linotype" w:cs="Tahoma"/>
          <w:lang w:val="es-ES"/>
        </w:rPr>
        <w:t xml:space="preserve">elativo a </w:t>
      </w:r>
      <w:r w:rsidRPr="00BC5411">
        <w:rPr>
          <w:rFonts w:ascii="Palatino Linotype" w:hAnsi="Palatino Linotype" w:cs="Tahoma"/>
          <w:lang w:val="es-ES"/>
        </w:rPr>
        <w:t xml:space="preserve">los </w:t>
      </w:r>
      <w:r w:rsidR="00420C58" w:rsidRPr="00BC5411">
        <w:rPr>
          <w:rFonts w:ascii="Palatino Linotype" w:hAnsi="Palatino Linotype" w:cs="Tahoma"/>
          <w:b/>
          <w:lang w:val="es-ES"/>
        </w:rPr>
        <w:t>documentos de trabajo por Municipio y por sus órganos paramunicipales, que contenga los datos de identificación de ISR, recuperado por mes, del periodo del uno de enero de dos mil diecinueve al treinta y uno de octubre de dos mil veintiuno</w:t>
      </w:r>
      <w:r w:rsidR="00420C58" w:rsidRPr="00BC5411">
        <w:rPr>
          <w:rFonts w:ascii="Palatino Linotype" w:hAnsi="Palatino Linotype" w:cs="Tahoma"/>
          <w:lang w:val="es-ES"/>
        </w:rPr>
        <w:t xml:space="preserve">; el </w:t>
      </w:r>
      <w:r w:rsidRPr="00BC5411">
        <w:rPr>
          <w:rFonts w:ascii="Palatino Linotype" w:hAnsi="Palatino Linotype" w:cs="Tahoma"/>
          <w:lang w:val="es-ES"/>
        </w:rPr>
        <w:t xml:space="preserve">hoy </w:t>
      </w:r>
      <w:r w:rsidRPr="00BC5411">
        <w:rPr>
          <w:rFonts w:ascii="Palatino Linotype" w:hAnsi="Palatino Linotype" w:cs="Tahoma"/>
          <w:b/>
          <w:lang w:val="es-ES"/>
        </w:rPr>
        <w:t>RECURRENTE</w:t>
      </w:r>
      <w:r w:rsidR="00420C58" w:rsidRPr="00BC5411">
        <w:rPr>
          <w:rFonts w:ascii="Palatino Linotype" w:hAnsi="Palatino Linotype" w:cs="Tahoma"/>
          <w:lang w:val="es-ES"/>
        </w:rPr>
        <w:t xml:space="preserve"> solicita un documento de tipo específico que contenga desagregada la información en diversos apartados, atentos a ello, se le hace del conocimiento al particular que de conformidad con los artículos 12 y 24 de la Ley de Transparencia local, se establece </w:t>
      </w:r>
      <w:r w:rsidR="00420C58" w:rsidRPr="00BC5411">
        <w:rPr>
          <w:rFonts w:ascii="Palatino Linotype" w:hAnsi="Palatino Linotype" w:cs="Tahoma"/>
          <w:lang w:val="es-ES"/>
        </w:rPr>
        <w:lastRenderedPageBreak/>
        <w:t>la obligación de los Sujetos Obligados de hacer pública toda la información que generen, administren, procesen o posean en sus archivos, en ejercicio de sus atribuciones, dicha obligación no los constriñe a que, deba procesarse la misma a efecto de generar un documento que deba entregarse conforme a los intereses de los particulares, sino que debe entregarse el soporte documental en el cual obre.</w:t>
      </w:r>
    </w:p>
    <w:p w:rsidR="00420C58" w:rsidRPr="00BC5411" w:rsidRDefault="00420C58" w:rsidP="00420C58">
      <w:pPr>
        <w:spacing w:line="360" w:lineRule="auto"/>
        <w:jc w:val="both"/>
        <w:rPr>
          <w:rFonts w:ascii="Palatino Linotype" w:hAnsi="Palatino Linotype" w:cs="Tahoma"/>
          <w:lang w:val="es-ES"/>
        </w:rPr>
      </w:pPr>
    </w:p>
    <w:p w:rsidR="00907E97" w:rsidRPr="00BC5411" w:rsidRDefault="008E5A82"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noProof/>
          <w:lang w:val="es-MX" w:eastAsia="es-MX"/>
        </w:rPr>
        <mc:AlternateContent>
          <mc:Choice Requires="wps">
            <w:drawing>
              <wp:anchor distT="0" distB="0" distL="114300" distR="114300" simplePos="0" relativeHeight="251663360" behindDoc="0" locked="0" layoutInCell="1" allowOverlap="1">
                <wp:simplePos x="0" y="0"/>
                <wp:positionH relativeFrom="margin">
                  <wp:posOffset>-635</wp:posOffset>
                </wp:positionH>
                <wp:positionV relativeFrom="paragraph">
                  <wp:posOffset>2004695</wp:posOffset>
                </wp:positionV>
                <wp:extent cx="5772150" cy="28575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772150" cy="2857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75100168" id="Conector recto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57.85pt" to="454.45pt,3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" strokecolor="black [3200]" strokeweight="1.5pt">
                <v:stroke joinstyle="miter"/>
                <w10:wrap anchorx="margin"/>
              </v:line>
            </w:pict>
          </mc:Fallback>
        </mc:AlternateContent>
      </w:r>
      <w:r w:rsidR="00420C58" w:rsidRPr="00BC5411">
        <w:rPr>
          <w:rFonts w:ascii="Palatino Linotype" w:hAnsi="Palatino Linotype" w:cs="Tahoma"/>
          <w:lang w:val="es-ES"/>
        </w:rPr>
        <w:t xml:space="preserve">Acotado lo anterior, </w:t>
      </w:r>
      <w:r w:rsidR="00907E97" w:rsidRPr="00BC5411">
        <w:rPr>
          <w:rFonts w:ascii="Palatino Linotype" w:hAnsi="Palatino Linotype" w:cs="Tahoma"/>
          <w:lang w:val="es-ES"/>
        </w:rPr>
        <w:t xml:space="preserve">vía informe justificado a través del archivo electrónico denominado, el </w:t>
      </w:r>
      <w:r w:rsidR="00907E97" w:rsidRPr="00BC5411">
        <w:rPr>
          <w:rFonts w:ascii="Palatino Linotype" w:hAnsi="Palatino Linotype" w:cs="Tahoma"/>
          <w:b/>
          <w:lang w:val="es-ES"/>
        </w:rPr>
        <w:t>SUJETO OBLIGADO</w:t>
      </w:r>
      <w:r w:rsidR="00907E97" w:rsidRPr="00BC5411">
        <w:rPr>
          <w:rFonts w:ascii="Palatino Linotype" w:hAnsi="Palatino Linotype" w:cs="Tahoma"/>
          <w:lang w:val="es-ES"/>
        </w:rPr>
        <w:t>, modificó su respuesta al remitir</w:t>
      </w:r>
      <w:r w:rsidR="00781A1D" w:rsidRPr="00BC5411">
        <w:rPr>
          <w:rFonts w:ascii="Palatino Linotype" w:hAnsi="Palatino Linotype" w:cs="Tahoma"/>
          <w:lang w:val="es-ES"/>
        </w:rPr>
        <w:t xml:space="preserve"> el soporte documental donde consta o se advierte el ISR enterado e ISR retenido, mismo que además abarca la temporalidad requerida establecida en la solicitud de información y que fue del 01 de enero de 2019, hasta el 31 de octubre de 2021, como se aprecia</w:t>
      </w:r>
      <w:r w:rsidRPr="00BC5411">
        <w:rPr>
          <w:rFonts w:ascii="Palatino Linotype" w:hAnsi="Palatino Linotype" w:cs="Tahoma"/>
          <w:lang w:val="es-ES"/>
        </w:rPr>
        <w:t xml:space="preserve"> de un ejemplo de los ejercicios fiscales adjuntos</w:t>
      </w:r>
      <w:r w:rsidR="00781A1D" w:rsidRPr="00BC5411">
        <w:rPr>
          <w:rFonts w:ascii="Palatino Linotype" w:hAnsi="Palatino Linotype" w:cs="Tahoma"/>
          <w:lang w:val="es-ES"/>
        </w:rPr>
        <w:t>:</w:t>
      </w:r>
    </w:p>
    <w:p w:rsidR="00907E97" w:rsidRPr="00BC5411" w:rsidRDefault="00781A1D" w:rsidP="008E5A82">
      <w:pPr>
        <w:jc w:val="center"/>
        <w:rPr>
          <w:rFonts w:ascii="Palatino Linotype" w:hAnsi="Palatino Linotype" w:cs="Tahoma"/>
          <w:lang w:val="es-ES"/>
        </w:rPr>
      </w:pPr>
      <w:r w:rsidRPr="00BC5411">
        <w:rPr>
          <w:rFonts w:ascii="Palatino Linotype" w:hAnsi="Palatino Linotype" w:cs="Tahoma"/>
          <w:noProof/>
          <w:lang w:val="es-MX" w:eastAsia="es-MX"/>
        </w:rPr>
        <w:lastRenderedPageBreak/>
        <w:drawing>
          <wp:inline distT="0" distB="0" distL="0" distR="0">
            <wp:extent cx="4659293" cy="4838700"/>
            <wp:effectExtent l="19050" t="19050" r="2730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0748" cy="4840211"/>
                    </a:xfrm>
                    <a:prstGeom prst="rect">
                      <a:avLst/>
                    </a:prstGeom>
                    <a:noFill/>
                    <a:ln>
                      <a:solidFill>
                        <a:schemeClr val="tx1"/>
                      </a:solidFill>
                    </a:ln>
                  </pic:spPr>
                </pic:pic>
              </a:graphicData>
            </a:graphic>
          </wp:inline>
        </w:drawing>
      </w:r>
    </w:p>
    <w:p w:rsidR="00781A1D" w:rsidRPr="00BC5411" w:rsidRDefault="00781A1D" w:rsidP="00781A1D">
      <w:pPr>
        <w:rPr>
          <w:rFonts w:ascii="Palatino Linotype" w:hAnsi="Palatino Linotype" w:cs="Tahoma"/>
          <w:lang w:val="es-ES"/>
        </w:rPr>
      </w:pPr>
    </w:p>
    <w:p w:rsidR="00907E97" w:rsidRPr="00BC5411" w:rsidRDefault="008E5A82"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De modo tal que se da cuenta de</w:t>
      </w:r>
      <w:r w:rsidRPr="00BC5411">
        <w:rPr>
          <w:rFonts w:ascii="Palatino Linotype" w:eastAsia="Calibri" w:hAnsi="Palatino Linotype" w:cs="Tahoma"/>
          <w:lang w:eastAsia="en-US"/>
        </w:rPr>
        <w:t xml:space="preserve"> las retenciones, pagos y diferencia a cargo, respecto al Impuesto sobre la Renta, en virtud de su</w:t>
      </w:r>
      <w:r w:rsidR="00562C0A" w:rsidRPr="00BC5411">
        <w:rPr>
          <w:rFonts w:ascii="Palatino Linotype" w:eastAsia="Calibri" w:hAnsi="Palatino Linotype" w:cs="Tahoma"/>
          <w:lang w:eastAsia="en-US"/>
        </w:rPr>
        <w:t>eldos y/o asimilados a salarios, por lo que, al dar cuenta sobre las retenciones, pagos y diferencia a cargo, respecto al Impuesto sobre la Renta, en virtud de sueldos y/o asimilados a salarios, se tiene también por colmado el punto en comento.</w:t>
      </w:r>
    </w:p>
    <w:p w:rsidR="00907E97" w:rsidRPr="00BC5411" w:rsidRDefault="00907E97" w:rsidP="00907E97">
      <w:pPr>
        <w:pStyle w:val="Prrafodelista"/>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lastRenderedPageBreak/>
        <w:t>Finalmente, respecto de la lectura de</w:t>
      </w:r>
      <w:r w:rsidR="008E5A82" w:rsidRPr="00BC5411">
        <w:rPr>
          <w:rFonts w:ascii="Palatino Linotype" w:hAnsi="Palatino Linotype" w:cs="Tahoma"/>
          <w:lang w:val="es-ES"/>
        </w:rPr>
        <w:t xml:space="preserve"> </w:t>
      </w:r>
      <w:r w:rsidRPr="00BC5411">
        <w:rPr>
          <w:rFonts w:ascii="Palatino Linotype" w:hAnsi="Palatino Linotype" w:cs="Tahoma"/>
          <w:lang w:val="es-ES"/>
        </w:rPr>
        <w:t>l</w:t>
      </w:r>
      <w:r w:rsidR="008E5A82" w:rsidRPr="00BC5411">
        <w:rPr>
          <w:rFonts w:ascii="Palatino Linotype" w:hAnsi="Palatino Linotype" w:cs="Tahoma"/>
          <w:lang w:val="es-ES"/>
        </w:rPr>
        <w:t>a solicitud de información</w:t>
      </w:r>
      <w:r w:rsidRPr="00BC5411">
        <w:rPr>
          <w:rFonts w:ascii="Palatino Linotype" w:hAnsi="Palatino Linotype" w:cs="Tahoma"/>
          <w:lang w:val="es-ES"/>
        </w:rPr>
        <w:t>, se acredita que el Recurrente solicita al Sujeto Obligado realice un procesamiento de información, a efecto de poder comprobarse que los servidores públicos no están siendo afectados por errores en el cálculo de impuestos, por lo que a manera de muestra calculen los impuestos anuales de los años 2017, 2018, 2019 y 2020, una vez hecho el procesamiento de la información, deberá realizar un documento de tipo específico que la contenga desagregada conforme a los apartados señalados.</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Atentos a lo anterior, ya ha quedado precisado en párrafos previos que los sujetos obligados tienen la obligación o deber de atender las solicitudes de acceso a la información pública que se les hagan de su conocimiento y proporcionar la información pública que obren en su poder en el estado que se encuentra y no hacer un procesamiento de la misma, ni presentarla conforme al interés del solicitante; como así lo establece el artículo 12 de la Ley de Transparencia y Acceso a la Información Pública del Estado de México y Municipios.</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w:t>
      </w:r>
      <w:r w:rsidRPr="00BC5411">
        <w:rPr>
          <w:rFonts w:ascii="Palatino Linotype" w:hAnsi="Palatino Linotype" w:cs="Tahoma"/>
          <w:lang w:val="es-ES"/>
        </w:rPr>
        <w:lastRenderedPageBreak/>
        <w:t>encuentran, sin necesidad de concretarse al interés o términos específicos del solicitante.</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eastAsia="Calibri" w:hAnsi="Palatino Linotype" w:cs="Tahoma"/>
          <w:iCs/>
          <w:lang w:val="es-ES" w:eastAsia="es-ES_tradnl"/>
        </w:rPr>
      </w:pPr>
      <w:r w:rsidRPr="00BC5411">
        <w:rPr>
          <w:rFonts w:ascii="Palatino Linotype" w:eastAsia="Calibri" w:hAnsi="Palatino Linotype" w:cs="Tahoma"/>
          <w:bCs/>
          <w:lang w:eastAsia="en-US"/>
        </w:rPr>
        <w:t>De</w:t>
      </w:r>
      <w:r w:rsidRPr="00BC5411">
        <w:rPr>
          <w:rFonts w:ascii="Palatino Linotype" w:eastAsia="Calibri" w:hAnsi="Palatino Linotype" w:cs="Tahoma"/>
          <w:iCs/>
          <w:lang w:val="es-ES" w:eastAsia="es-ES_tradnl"/>
        </w:rPr>
        <w:t xml:space="preserve"> tales circunstancias, los sujetos obligados únicamente están constreñidos a </w:t>
      </w:r>
      <w:r w:rsidRPr="00BC5411">
        <w:rPr>
          <w:rFonts w:ascii="Palatino Linotype" w:hAnsi="Palatino Linotype" w:cs="Tahoma"/>
          <w:lang w:val="es-ES"/>
        </w:rPr>
        <w:t>proporcionar</w:t>
      </w:r>
      <w:r w:rsidRPr="00BC5411">
        <w:rPr>
          <w:rFonts w:ascii="Palatino Linotype" w:eastAsia="Calibri" w:hAnsi="Palatino Linotype" w:cs="Tahoma"/>
          <w:iCs/>
          <w:lang w:val="es-ES" w:eastAsia="es-ES_tradnl"/>
        </w:rPr>
        <w:t xml:space="preserve"> la documentación que obre en sus archivos; por lo que, no están obligados a generar o elaborar documentos </w:t>
      </w:r>
      <w:r w:rsidRPr="00BC5411">
        <w:rPr>
          <w:rFonts w:ascii="Palatino Linotype" w:eastAsia="Calibri" w:hAnsi="Palatino Linotype" w:cs="Tahoma"/>
          <w:i/>
          <w:iCs/>
          <w:lang w:val="es-ES" w:eastAsia="es-ES_tradnl"/>
        </w:rPr>
        <w:t>Ad hoc,</w:t>
      </w:r>
      <w:r w:rsidRPr="00BC5411">
        <w:rPr>
          <w:rFonts w:ascii="Palatino Linotype" w:eastAsia="Calibri" w:hAnsi="Palatino Linotype" w:cs="Tahoma"/>
          <w:iCs/>
          <w:lang w:val="es-ES" w:eastAsia="es-ES_tradnl"/>
        </w:rPr>
        <w:t xml:space="preserve"> robustece lo anterior el Criterio 3/17 del Instituto Nacional de Transparencia, Acceso a la Información y Protección de Datos Personales que a continuación se cita:</w:t>
      </w:r>
    </w:p>
    <w:p w:rsidR="00420C58" w:rsidRPr="00BC5411" w:rsidRDefault="00420C58" w:rsidP="00420C58">
      <w:pPr>
        <w:tabs>
          <w:tab w:val="left" w:pos="4962"/>
        </w:tabs>
        <w:spacing w:line="360" w:lineRule="auto"/>
        <w:jc w:val="both"/>
        <w:rPr>
          <w:rFonts w:ascii="Palatino Linotype" w:eastAsia="Calibri" w:hAnsi="Palatino Linotype" w:cs="Tahoma"/>
          <w:iCs/>
          <w:lang w:val="es-ES" w:eastAsia="es-ES_tradnl"/>
        </w:rPr>
      </w:pPr>
    </w:p>
    <w:p w:rsidR="00420C58" w:rsidRPr="00BC5411" w:rsidRDefault="00420C58" w:rsidP="00420C58">
      <w:pPr>
        <w:spacing w:line="360" w:lineRule="auto"/>
        <w:ind w:left="567" w:right="567"/>
        <w:jc w:val="both"/>
        <w:rPr>
          <w:rFonts w:ascii="Palatino Linotype" w:eastAsia="Arial" w:hAnsi="Palatino Linotype" w:cs="Arial"/>
          <w:i/>
        </w:rPr>
      </w:pPr>
      <w:r w:rsidRPr="00BC5411">
        <w:rPr>
          <w:rFonts w:ascii="Palatino Linotype" w:eastAsia="Arial" w:hAnsi="Palatino Linotype" w:cs="Arial"/>
          <w:b/>
          <w:i/>
        </w:rPr>
        <w:t xml:space="preserve">No existe obligación de elaborar </w:t>
      </w:r>
      <w:r w:rsidRPr="00BC5411">
        <w:rPr>
          <w:rFonts w:ascii="Palatino Linotype" w:eastAsia="Arial" w:hAnsi="Palatino Linotype" w:cs="Arial"/>
          <w:b/>
          <w:i/>
          <w:spacing w:val="-3"/>
        </w:rPr>
        <w:t>d</w:t>
      </w:r>
      <w:r w:rsidRPr="00BC5411">
        <w:rPr>
          <w:rFonts w:ascii="Palatino Linotype" w:eastAsia="Arial" w:hAnsi="Palatino Linotype" w:cs="Arial"/>
          <w:b/>
          <w:i/>
        </w:rPr>
        <w:t>ocum</w:t>
      </w:r>
      <w:r w:rsidRPr="00BC5411">
        <w:rPr>
          <w:rFonts w:ascii="Palatino Linotype" w:eastAsia="Arial" w:hAnsi="Palatino Linotype" w:cs="Arial"/>
          <w:b/>
          <w:i/>
          <w:spacing w:val="1"/>
        </w:rPr>
        <w:t>e</w:t>
      </w:r>
      <w:r w:rsidRPr="00BC5411">
        <w:rPr>
          <w:rFonts w:ascii="Palatino Linotype" w:eastAsia="Arial" w:hAnsi="Palatino Linotype" w:cs="Arial"/>
          <w:b/>
          <w:i/>
        </w:rPr>
        <w:t>n</w:t>
      </w:r>
      <w:r w:rsidRPr="00BC5411">
        <w:rPr>
          <w:rFonts w:ascii="Palatino Linotype" w:eastAsia="Arial" w:hAnsi="Palatino Linotype" w:cs="Arial"/>
          <w:b/>
          <w:i/>
          <w:spacing w:val="-1"/>
        </w:rPr>
        <w:t>t</w:t>
      </w:r>
      <w:r w:rsidRPr="00BC5411">
        <w:rPr>
          <w:rFonts w:ascii="Palatino Linotype" w:eastAsia="Arial" w:hAnsi="Palatino Linotype" w:cs="Arial"/>
          <w:b/>
          <w:i/>
        </w:rPr>
        <w:t xml:space="preserve">os </w:t>
      </w:r>
      <w:r w:rsidRPr="00BC5411">
        <w:rPr>
          <w:rFonts w:ascii="Palatino Linotype" w:eastAsia="Arial" w:hAnsi="Palatino Linotype" w:cs="Arial"/>
          <w:b/>
          <w:i/>
          <w:spacing w:val="-1"/>
        </w:rPr>
        <w:t xml:space="preserve">ad </w:t>
      </w:r>
      <w:r w:rsidRPr="00BC5411">
        <w:rPr>
          <w:rFonts w:ascii="Palatino Linotype" w:eastAsia="Arial" w:hAnsi="Palatino Linotype" w:cs="Arial"/>
          <w:b/>
          <w:i/>
        </w:rPr>
        <w:t>hoc para atender las sol</w:t>
      </w:r>
      <w:r w:rsidRPr="00BC5411">
        <w:rPr>
          <w:rFonts w:ascii="Palatino Linotype" w:eastAsia="Arial" w:hAnsi="Palatino Linotype" w:cs="Arial"/>
          <w:b/>
          <w:i/>
          <w:spacing w:val="-2"/>
        </w:rPr>
        <w:t>i</w:t>
      </w:r>
      <w:r w:rsidRPr="00BC5411">
        <w:rPr>
          <w:rFonts w:ascii="Palatino Linotype" w:eastAsia="Arial" w:hAnsi="Palatino Linotype" w:cs="Arial"/>
          <w:b/>
          <w:i/>
          <w:spacing w:val="1"/>
        </w:rPr>
        <w:t>c</w:t>
      </w:r>
      <w:r w:rsidRPr="00BC5411">
        <w:rPr>
          <w:rFonts w:ascii="Palatino Linotype" w:eastAsia="Arial" w:hAnsi="Palatino Linotype" w:cs="Arial"/>
          <w:b/>
          <w:i/>
        </w:rPr>
        <w:t xml:space="preserve">itudes de </w:t>
      </w:r>
      <w:r w:rsidRPr="00BC5411">
        <w:rPr>
          <w:rFonts w:ascii="Palatino Linotype" w:eastAsia="Arial" w:hAnsi="Palatino Linotype" w:cs="Arial"/>
          <w:b/>
          <w:i/>
          <w:spacing w:val="1"/>
        </w:rPr>
        <w:t>ac</w:t>
      </w:r>
      <w:r w:rsidRPr="00BC5411">
        <w:rPr>
          <w:rFonts w:ascii="Palatino Linotype" w:eastAsia="Arial" w:hAnsi="Palatino Linotype" w:cs="Arial"/>
          <w:b/>
          <w:i/>
          <w:spacing w:val="-1"/>
        </w:rPr>
        <w:t>c</w:t>
      </w:r>
      <w:r w:rsidRPr="00BC5411">
        <w:rPr>
          <w:rFonts w:ascii="Palatino Linotype" w:eastAsia="Arial" w:hAnsi="Palatino Linotype" w:cs="Arial"/>
          <w:b/>
          <w:i/>
          <w:spacing w:val="1"/>
        </w:rPr>
        <w:t>es</w:t>
      </w:r>
      <w:r w:rsidRPr="00BC5411">
        <w:rPr>
          <w:rFonts w:ascii="Palatino Linotype" w:eastAsia="Arial" w:hAnsi="Palatino Linotype" w:cs="Arial"/>
          <w:b/>
          <w:i/>
        </w:rPr>
        <w:t>o a la informa</w:t>
      </w:r>
      <w:r w:rsidRPr="00BC5411">
        <w:rPr>
          <w:rFonts w:ascii="Palatino Linotype" w:eastAsia="Arial" w:hAnsi="Palatino Linotype" w:cs="Arial"/>
          <w:b/>
          <w:i/>
          <w:spacing w:val="1"/>
        </w:rPr>
        <w:t>c</w:t>
      </w:r>
      <w:r w:rsidRPr="00BC5411">
        <w:rPr>
          <w:rFonts w:ascii="Palatino Linotype" w:eastAsia="Arial" w:hAnsi="Palatino Linotype" w:cs="Arial"/>
          <w:b/>
          <w:i/>
        </w:rPr>
        <w:t>ió</w:t>
      </w:r>
      <w:r w:rsidRPr="00BC5411">
        <w:rPr>
          <w:rFonts w:ascii="Palatino Linotype" w:eastAsia="Arial" w:hAnsi="Palatino Linotype" w:cs="Arial"/>
          <w:b/>
          <w:i/>
          <w:spacing w:val="-2"/>
        </w:rPr>
        <w:t>n</w:t>
      </w:r>
      <w:r w:rsidRPr="00BC5411">
        <w:rPr>
          <w:rFonts w:ascii="Palatino Linotype" w:eastAsia="Arial" w:hAnsi="Palatino Linotype" w:cs="Arial"/>
          <w:b/>
          <w:i/>
        </w:rPr>
        <w:t xml:space="preserve">. </w:t>
      </w:r>
      <w:r w:rsidRPr="00BC5411">
        <w:rPr>
          <w:rFonts w:ascii="Palatino Linotype" w:eastAsia="Arial" w:hAnsi="Palatino Linotype" w:cs="Arial"/>
          <w:i/>
          <w:spacing w:val="18"/>
        </w:rPr>
        <w:t>L</w:t>
      </w:r>
      <w:r w:rsidRPr="00BC5411">
        <w:rPr>
          <w:rFonts w:ascii="Palatino Linotype" w:eastAsia="Arial" w:hAnsi="Palatino Linotype" w:cs="Arial"/>
          <w:i/>
          <w:spacing w:val="-1"/>
        </w:rPr>
        <w:t xml:space="preserve">os </w:t>
      </w:r>
      <w:r w:rsidRPr="00BC5411">
        <w:rPr>
          <w:rFonts w:ascii="Palatino Linotype" w:eastAsia="Arial" w:hAnsi="Palatino Linotype" w:cs="Arial"/>
          <w:i/>
          <w:spacing w:val="1"/>
        </w:rPr>
        <w:t>a</w:t>
      </w:r>
      <w:r w:rsidRPr="00BC5411">
        <w:rPr>
          <w:rFonts w:ascii="Palatino Linotype" w:eastAsia="Arial" w:hAnsi="Palatino Linotype" w:cs="Arial"/>
          <w:i/>
        </w:rPr>
        <w:t>rt</w:t>
      </w:r>
      <w:r w:rsidRPr="00BC5411">
        <w:rPr>
          <w:rFonts w:ascii="Palatino Linotype" w:eastAsia="Arial" w:hAnsi="Palatino Linotype" w:cs="Arial"/>
          <w:i/>
          <w:spacing w:val="-2"/>
        </w:rPr>
        <w:t>í</w:t>
      </w:r>
      <w:r w:rsidRPr="00BC5411">
        <w:rPr>
          <w:rFonts w:ascii="Palatino Linotype" w:eastAsia="Arial" w:hAnsi="Palatino Linotype" w:cs="Arial"/>
          <w:i/>
        </w:rPr>
        <w:t>c</w:t>
      </w:r>
      <w:r w:rsidRPr="00BC5411">
        <w:rPr>
          <w:rFonts w:ascii="Palatino Linotype" w:eastAsia="Arial" w:hAnsi="Palatino Linotype" w:cs="Arial"/>
          <w:i/>
          <w:spacing w:val="1"/>
        </w:rPr>
        <w:t>u</w:t>
      </w:r>
      <w:r w:rsidRPr="00BC5411">
        <w:rPr>
          <w:rFonts w:ascii="Palatino Linotype" w:eastAsia="Arial" w:hAnsi="Palatino Linotype" w:cs="Arial"/>
          <w:i/>
        </w:rPr>
        <w:t>los</w:t>
      </w:r>
      <w:r w:rsidRPr="00BC5411">
        <w:rPr>
          <w:rFonts w:ascii="Palatino Linotype" w:eastAsia="Arial" w:hAnsi="Palatino Linotype" w:cs="Arial"/>
          <w:i/>
          <w:spacing w:val="8"/>
        </w:rPr>
        <w:t xml:space="preserve"> 129 </w:t>
      </w:r>
      <w:r w:rsidRPr="00BC5411">
        <w:rPr>
          <w:rFonts w:ascii="Palatino Linotype" w:eastAsia="Arial" w:hAnsi="Palatino Linotype" w:cs="Arial"/>
          <w:i/>
          <w:spacing w:val="1"/>
        </w:rPr>
        <w:t>d</w:t>
      </w:r>
      <w:r w:rsidRPr="00BC5411">
        <w:rPr>
          <w:rFonts w:ascii="Palatino Linotype" w:eastAsia="Arial" w:hAnsi="Palatino Linotype" w:cs="Arial"/>
          <w:i/>
        </w:rPr>
        <w:t xml:space="preserve">e la </w:t>
      </w:r>
      <w:r w:rsidRPr="00BC5411">
        <w:rPr>
          <w:rFonts w:ascii="Palatino Linotype" w:eastAsia="Arial" w:hAnsi="Palatino Linotype" w:cs="Arial"/>
          <w:i/>
          <w:spacing w:val="-1"/>
        </w:rPr>
        <w:t>L</w:t>
      </w:r>
      <w:r w:rsidRPr="00BC5411">
        <w:rPr>
          <w:rFonts w:ascii="Palatino Linotype" w:eastAsia="Arial" w:hAnsi="Palatino Linotype" w:cs="Arial"/>
          <w:i/>
          <w:spacing w:val="1"/>
        </w:rPr>
        <w:t>e</w:t>
      </w:r>
      <w:r w:rsidRPr="00BC5411">
        <w:rPr>
          <w:rFonts w:ascii="Palatino Linotype" w:eastAsia="Arial" w:hAnsi="Palatino Linotype" w:cs="Arial"/>
          <w:i/>
        </w:rPr>
        <w:t xml:space="preserve">y General </w:t>
      </w:r>
      <w:r w:rsidRPr="00BC5411">
        <w:rPr>
          <w:rFonts w:ascii="Palatino Linotype" w:eastAsia="Arial" w:hAnsi="Palatino Linotype" w:cs="Arial"/>
          <w:i/>
          <w:spacing w:val="-1"/>
        </w:rPr>
        <w:t>d</w:t>
      </w:r>
      <w:r w:rsidRPr="00BC5411">
        <w:rPr>
          <w:rFonts w:ascii="Palatino Linotype" w:eastAsia="Arial" w:hAnsi="Palatino Linotype" w:cs="Arial"/>
          <w:i/>
        </w:rPr>
        <w:t xml:space="preserve">e </w:t>
      </w:r>
      <w:r w:rsidRPr="00BC5411">
        <w:rPr>
          <w:rFonts w:ascii="Palatino Linotype" w:eastAsia="Arial" w:hAnsi="Palatino Linotype" w:cs="Arial"/>
          <w:i/>
          <w:spacing w:val="2"/>
        </w:rPr>
        <w:t>T</w:t>
      </w:r>
      <w:r w:rsidRPr="00BC5411">
        <w:rPr>
          <w:rFonts w:ascii="Palatino Linotype" w:eastAsia="Arial" w:hAnsi="Palatino Linotype" w:cs="Arial"/>
          <w:i/>
        </w:rPr>
        <w:t>r</w:t>
      </w:r>
      <w:r w:rsidRPr="00BC5411">
        <w:rPr>
          <w:rFonts w:ascii="Palatino Linotype" w:eastAsia="Arial" w:hAnsi="Palatino Linotype" w:cs="Arial"/>
          <w:i/>
          <w:spacing w:val="-2"/>
        </w:rPr>
        <w:t>a</w:t>
      </w:r>
      <w:r w:rsidRPr="00BC5411">
        <w:rPr>
          <w:rFonts w:ascii="Palatino Linotype" w:eastAsia="Arial" w:hAnsi="Palatino Linotype" w:cs="Arial"/>
          <w:i/>
          <w:spacing w:val="1"/>
        </w:rPr>
        <w:t>n</w:t>
      </w:r>
      <w:r w:rsidRPr="00BC5411">
        <w:rPr>
          <w:rFonts w:ascii="Palatino Linotype" w:eastAsia="Arial" w:hAnsi="Palatino Linotype" w:cs="Arial"/>
          <w:i/>
        </w:rPr>
        <w:t>s</w:t>
      </w:r>
      <w:r w:rsidRPr="00BC5411">
        <w:rPr>
          <w:rFonts w:ascii="Palatino Linotype" w:eastAsia="Arial" w:hAnsi="Palatino Linotype" w:cs="Arial"/>
          <w:i/>
          <w:spacing w:val="1"/>
        </w:rPr>
        <w:t>pa</w:t>
      </w:r>
      <w:r w:rsidRPr="00BC5411">
        <w:rPr>
          <w:rFonts w:ascii="Palatino Linotype" w:eastAsia="Arial" w:hAnsi="Palatino Linotype" w:cs="Arial"/>
          <w:i/>
        </w:rPr>
        <w:t>r</w:t>
      </w:r>
      <w:r w:rsidRPr="00BC5411">
        <w:rPr>
          <w:rFonts w:ascii="Palatino Linotype" w:eastAsia="Arial" w:hAnsi="Palatino Linotype" w:cs="Arial"/>
          <w:i/>
          <w:spacing w:val="-2"/>
        </w:rPr>
        <w:t>e</w:t>
      </w:r>
      <w:r w:rsidRPr="00BC5411">
        <w:rPr>
          <w:rFonts w:ascii="Palatino Linotype" w:eastAsia="Arial" w:hAnsi="Palatino Linotype" w:cs="Arial"/>
          <w:i/>
          <w:spacing w:val="1"/>
        </w:rPr>
        <w:t>n</w:t>
      </w:r>
      <w:r w:rsidRPr="00BC5411">
        <w:rPr>
          <w:rFonts w:ascii="Palatino Linotype" w:eastAsia="Arial" w:hAnsi="Palatino Linotype" w:cs="Arial"/>
          <w:i/>
        </w:rPr>
        <w:t>cia y Acc</w:t>
      </w:r>
      <w:r w:rsidRPr="00BC5411">
        <w:rPr>
          <w:rFonts w:ascii="Palatino Linotype" w:eastAsia="Arial" w:hAnsi="Palatino Linotype" w:cs="Arial"/>
          <w:i/>
          <w:spacing w:val="1"/>
        </w:rPr>
        <w:t>e</w:t>
      </w:r>
      <w:r w:rsidRPr="00BC5411">
        <w:rPr>
          <w:rFonts w:ascii="Palatino Linotype" w:eastAsia="Arial" w:hAnsi="Palatino Linotype" w:cs="Arial"/>
          <w:i/>
        </w:rPr>
        <w:t>so a la I</w:t>
      </w:r>
      <w:r w:rsidRPr="00BC5411">
        <w:rPr>
          <w:rFonts w:ascii="Palatino Linotype" w:eastAsia="Arial" w:hAnsi="Palatino Linotype" w:cs="Arial"/>
          <w:i/>
          <w:spacing w:val="-1"/>
        </w:rPr>
        <w:t>n</w:t>
      </w:r>
      <w:r w:rsidRPr="00BC5411">
        <w:rPr>
          <w:rFonts w:ascii="Palatino Linotype" w:eastAsia="Arial" w:hAnsi="Palatino Linotype" w:cs="Arial"/>
          <w:i/>
        </w:rPr>
        <w:t>f</w:t>
      </w:r>
      <w:r w:rsidRPr="00BC5411">
        <w:rPr>
          <w:rFonts w:ascii="Palatino Linotype" w:eastAsia="Arial" w:hAnsi="Palatino Linotype" w:cs="Arial"/>
          <w:i/>
          <w:spacing w:val="1"/>
        </w:rPr>
        <w:t>o</w:t>
      </w:r>
      <w:r w:rsidRPr="00BC5411">
        <w:rPr>
          <w:rFonts w:ascii="Palatino Linotype" w:eastAsia="Arial" w:hAnsi="Palatino Linotype" w:cs="Arial"/>
          <w:i/>
          <w:spacing w:val="-3"/>
        </w:rPr>
        <w:t>r</w:t>
      </w:r>
      <w:r w:rsidRPr="00BC5411">
        <w:rPr>
          <w:rFonts w:ascii="Palatino Linotype" w:eastAsia="Arial" w:hAnsi="Palatino Linotype" w:cs="Arial"/>
          <w:i/>
          <w:spacing w:val="1"/>
        </w:rPr>
        <w:t>ma</w:t>
      </w:r>
      <w:r w:rsidRPr="00BC5411">
        <w:rPr>
          <w:rFonts w:ascii="Palatino Linotype" w:eastAsia="Arial" w:hAnsi="Palatino Linotype" w:cs="Arial"/>
          <w:i/>
        </w:rPr>
        <w:t>ci</w:t>
      </w:r>
      <w:r w:rsidRPr="00BC5411">
        <w:rPr>
          <w:rFonts w:ascii="Palatino Linotype" w:eastAsia="Arial" w:hAnsi="Palatino Linotype" w:cs="Arial"/>
          <w:i/>
          <w:spacing w:val="-2"/>
        </w:rPr>
        <w:t>ó</w:t>
      </w:r>
      <w:r w:rsidRPr="00BC5411">
        <w:rPr>
          <w:rFonts w:ascii="Palatino Linotype" w:eastAsia="Arial" w:hAnsi="Palatino Linotype" w:cs="Arial"/>
          <w:i/>
        </w:rPr>
        <w:t xml:space="preserve">n </w:t>
      </w:r>
      <w:r w:rsidRPr="00BC5411">
        <w:rPr>
          <w:rFonts w:ascii="Palatino Linotype" w:eastAsia="Arial" w:hAnsi="Palatino Linotype" w:cs="Arial"/>
          <w:i/>
          <w:spacing w:val="-2"/>
        </w:rPr>
        <w:t>P</w:t>
      </w:r>
      <w:r w:rsidRPr="00BC5411">
        <w:rPr>
          <w:rFonts w:ascii="Palatino Linotype" w:eastAsia="Arial" w:hAnsi="Palatino Linotype" w:cs="Arial"/>
          <w:i/>
          <w:spacing w:val="1"/>
        </w:rPr>
        <w:t>úb</w:t>
      </w:r>
      <w:r w:rsidRPr="00BC5411">
        <w:rPr>
          <w:rFonts w:ascii="Palatino Linotype" w:eastAsia="Arial" w:hAnsi="Palatino Linotype" w:cs="Arial"/>
          <w:i/>
        </w:rPr>
        <w:t>l</w:t>
      </w:r>
      <w:r w:rsidRPr="00BC5411">
        <w:rPr>
          <w:rFonts w:ascii="Palatino Linotype" w:eastAsia="Arial" w:hAnsi="Palatino Linotype" w:cs="Arial"/>
          <w:i/>
          <w:spacing w:val="-1"/>
        </w:rPr>
        <w:t>i</w:t>
      </w:r>
      <w:r w:rsidRPr="00BC5411">
        <w:rPr>
          <w:rFonts w:ascii="Palatino Linotype" w:eastAsia="Arial" w:hAnsi="Palatino Linotype" w:cs="Arial"/>
          <w:i/>
        </w:rPr>
        <w:t xml:space="preserve">ca y </w:t>
      </w:r>
      <w:r w:rsidRPr="00BC5411">
        <w:rPr>
          <w:rFonts w:ascii="Palatino Linotype" w:eastAsia="Arial" w:hAnsi="Palatino Linotype" w:cs="Arial"/>
          <w:i/>
          <w:spacing w:val="8"/>
        </w:rPr>
        <w:t xml:space="preserve">130, párrafo cuarto, </w:t>
      </w:r>
      <w:r w:rsidRPr="00BC5411">
        <w:rPr>
          <w:rFonts w:ascii="Palatino Linotype" w:eastAsia="Arial" w:hAnsi="Palatino Linotype" w:cs="Arial"/>
          <w:i/>
          <w:spacing w:val="1"/>
        </w:rPr>
        <w:t>d</w:t>
      </w:r>
      <w:r w:rsidRPr="00BC5411">
        <w:rPr>
          <w:rFonts w:ascii="Palatino Linotype" w:eastAsia="Arial" w:hAnsi="Palatino Linotype" w:cs="Arial"/>
          <w:i/>
        </w:rPr>
        <w:t xml:space="preserve">e la </w:t>
      </w:r>
      <w:r w:rsidRPr="00BC5411">
        <w:rPr>
          <w:rFonts w:ascii="Palatino Linotype" w:eastAsia="Arial" w:hAnsi="Palatino Linotype" w:cs="Arial"/>
          <w:i/>
          <w:spacing w:val="-1"/>
        </w:rPr>
        <w:t>L</w:t>
      </w:r>
      <w:r w:rsidRPr="00BC5411">
        <w:rPr>
          <w:rFonts w:ascii="Palatino Linotype" w:eastAsia="Arial" w:hAnsi="Palatino Linotype" w:cs="Arial"/>
          <w:i/>
          <w:spacing w:val="1"/>
        </w:rPr>
        <w:t>e</w:t>
      </w:r>
      <w:r w:rsidRPr="00BC5411">
        <w:rPr>
          <w:rFonts w:ascii="Palatino Linotype" w:eastAsia="Arial" w:hAnsi="Palatino Linotype" w:cs="Arial"/>
          <w:i/>
        </w:rPr>
        <w:t>y Fe</w:t>
      </w:r>
      <w:r w:rsidRPr="00BC5411">
        <w:rPr>
          <w:rFonts w:ascii="Palatino Linotype" w:eastAsia="Arial" w:hAnsi="Palatino Linotype" w:cs="Arial"/>
          <w:i/>
          <w:spacing w:val="1"/>
        </w:rPr>
        <w:t>de</w:t>
      </w:r>
      <w:r w:rsidRPr="00BC5411">
        <w:rPr>
          <w:rFonts w:ascii="Palatino Linotype" w:eastAsia="Arial" w:hAnsi="Palatino Linotype" w:cs="Arial"/>
          <w:i/>
        </w:rPr>
        <w:t xml:space="preserve">ral </w:t>
      </w:r>
      <w:r w:rsidRPr="00BC5411">
        <w:rPr>
          <w:rFonts w:ascii="Palatino Linotype" w:eastAsia="Arial" w:hAnsi="Palatino Linotype" w:cs="Arial"/>
          <w:i/>
          <w:spacing w:val="-1"/>
        </w:rPr>
        <w:t>d</w:t>
      </w:r>
      <w:r w:rsidRPr="00BC5411">
        <w:rPr>
          <w:rFonts w:ascii="Palatino Linotype" w:eastAsia="Arial" w:hAnsi="Palatino Linotype" w:cs="Arial"/>
          <w:i/>
        </w:rPr>
        <w:t xml:space="preserve">e </w:t>
      </w:r>
      <w:r w:rsidRPr="00BC5411">
        <w:rPr>
          <w:rFonts w:ascii="Palatino Linotype" w:eastAsia="Arial" w:hAnsi="Palatino Linotype" w:cs="Arial"/>
          <w:i/>
          <w:spacing w:val="2"/>
        </w:rPr>
        <w:t>T</w:t>
      </w:r>
      <w:r w:rsidRPr="00BC5411">
        <w:rPr>
          <w:rFonts w:ascii="Palatino Linotype" w:eastAsia="Arial" w:hAnsi="Palatino Linotype" w:cs="Arial"/>
          <w:i/>
        </w:rPr>
        <w:t>r</w:t>
      </w:r>
      <w:r w:rsidRPr="00BC5411">
        <w:rPr>
          <w:rFonts w:ascii="Palatino Linotype" w:eastAsia="Arial" w:hAnsi="Palatino Linotype" w:cs="Arial"/>
          <w:i/>
          <w:spacing w:val="-2"/>
        </w:rPr>
        <w:t>a</w:t>
      </w:r>
      <w:r w:rsidRPr="00BC5411">
        <w:rPr>
          <w:rFonts w:ascii="Palatino Linotype" w:eastAsia="Arial" w:hAnsi="Palatino Linotype" w:cs="Arial"/>
          <w:i/>
          <w:spacing w:val="1"/>
        </w:rPr>
        <w:t>n</w:t>
      </w:r>
      <w:r w:rsidRPr="00BC5411">
        <w:rPr>
          <w:rFonts w:ascii="Palatino Linotype" w:eastAsia="Arial" w:hAnsi="Palatino Linotype" w:cs="Arial"/>
          <w:i/>
        </w:rPr>
        <w:t>s</w:t>
      </w:r>
      <w:r w:rsidRPr="00BC5411">
        <w:rPr>
          <w:rFonts w:ascii="Palatino Linotype" w:eastAsia="Arial" w:hAnsi="Palatino Linotype" w:cs="Arial"/>
          <w:i/>
          <w:spacing w:val="1"/>
        </w:rPr>
        <w:t>pa</w:t>
      </w:r>
      <w:r w:rsidRPr="00BC5411">
        <w:rPr>
          <w:rFonts w:ascii="Palatino Linotype" w:eastAsia="Arial" w:hAnsi="Palatino Linotype" w:cs="Arial"/>
          <w:i/>
        </w:rPr>
        <w:t>r</w:t>
      </w:r>
      <w:r w:rsidRPr="00BC5411">
        <w:rPr>
          <w:rFonts w:ascii="Palatino Linotype" w:eastAsia="Arial" w:hAnsi="Palatino Linotype" w:cs="Arial"/>
          <w:i/>
          <w:spacing w:val="-2"/>
        </w:rPr>
        <w:t>e</w:t>
      </w:r>
      <w:r w:rsidRPr="00BC5411">
        <w:rPr>
          <w:rFonts w:ascii="Palatino Linotype" w:eastAsia="Arial" w:hAnsi="Palatino Linotype" w:cs="Arial"/>
          <w:i/>
          <w:spacing w:val="1"/>
        </w:rPr>
        <w:t>n</w:t>
      </w:r>
      <w:r w:rsidRPr="00BC5411">
        <w:rPr>
          <w:rFonts w:ascii="Palatino Linotype" w:eastAsia="Arial" w:hAnsi="Palatino Linotype" w:cs="Arial"/>
          <w:i/>
        </w:rPr>
        <w:t>cia y Acc</w:t>
      </w:r>
      <w:r w:rsidRPr="00BC5411">
        <w:rPr>
          <w:rFonts w:ascii="Palatino Linotype" w:eastAsia="Arial" w:hAnsi="Palatino Linotype" w:cs="Arial"/>
          <w:i/>
          <w:spacing w:val="1"/>
        </w:rPr>
        <w:t>e</w:t>
      </w:r>
      <w:r w:rsidRPr="00BC5411">
        <w:rPr>
          <w:rFonts w:ascii="Palatino Linotype" w:eastAsia="Arial" w:hAnsi="Palatino Linotype" w:cs="Arial"/>
          <w:i/>
        </w:rPr>
        <w:t>so a la I</w:t>
      </w:r>
      <w:r w:rsidRPr="00BC5411">
        <w:rPr>
          <w:rFonts w:ascii="Palatino Linotype" w:eastAsia="Arial" w:hAnsi="Palatino Linotype" w:cs="Arial"/>
          <w:i/>
          <w:spacing w:val="-1"/>
        </w:rPr>
        <w:t>n</w:t>
      </w:r>
      <w:r w:rsidRPr="00BC5411">
        <w:rPr>
          <w:rFonts w:ascii="Palatino Linotype" w:eastAsia="Arial" w:hAnsi="Palatino Linotype" w:cs="Arial"/>
          <w:i/>
        </w:rPr>
        <w:t>f</w:t>
      </w:r>
      <w:r w:rsidRPr="00BC5411">
        <w:rPr>
          <w:rFonts w:ascii="Palatino Linotype" w:eastAsia="Arial" w:hAnsi="Palatino Linotype" w:cs="Arial"/>
          <w:i/>
          <w:spacing w:val="1"/>
        </w:rPr>
        <w:t>o</w:t>
      </w:r>
      <w:r w:rsidRPr="00BC5411">
        <w:rPr>
          <w:rFonts w:ascii="Palatino Linotype" w:eastAsia="Arial" w:hAnsi="Palatino Linotype" w:cs="Arial"/>
          <w:i/>
          <w:spacing w:val="-3"/>
        </w:rPr>
        <w:t>r</w:t>
      </w:r>
      <w:r w:rsidRPr="00BC5411">
        <w:rPr>
          <w:rFonts w:ascii="Palatino Linotype" w:eastAsia="Arial" w:hAnsi="Palatino Linotype" w:cs="Arial"/>
          <w:i/>
          <w:spacing w:val="1"/>
        </w:rPr>
        <w:t>ma</w:t>
      </w:r>
      <w:r w:rsidRPr="00BC5411">
        <w:rPr>
          <w:rFonts w:ascii="Palatino Linotype" w:eastAsia="Arial" w:hAnsi="Palatino Linotype" w:cs="Arial"/>
          <w:i/>
        </w:rPr>
        <w:t>ci</w:t>
      </w:r>
      <w:r w:rsidRPr="00BC5411">
        <w:rPr>
          <w:rFonts w:ascii="Palatino Linotype" w:eastAsia="Arial" w:hAnsi="Palatino Linotype" w:cs="Arial"/>
          <w:i/>
          <w:spacing w:val="-2"/>
        </w:rPr>
        <w:t>ó</w:t>
      </w:r>
      <w:r w:rsidRPr="00BC5411">
        <w:rPr>
          <w:rFonts w:ascii="Palatino Linotype" w:eastAsia="Arial" w:hAnsi="Palatino Linotype" w:cs="Arial"/>
          <w:i/>
        </w:rPr>
        <w:t xml:space="preserve">n </w:t>
      </w:r>
      <w:r w:rsidRPr="00BC5411">
        <w:rPr>
          <w:rFonts w:ascii="Palatino Linotype" w:eastAsia="Arial" w:hAnsi="Palatino Linotype" w:cs="Arial"/>
          <w:i/>
          <w:spacing w:val="-2"/>
        </w:rPr>
        <w:t>P</w:t>
      </w:r>
      <w:r w:rsidRPr="00BC5411">
        <w:rPr>
          <w:rFonts w:ascii="Palatino Linotype" w:eastAsia="Arial" w:hAnsi="Palatino Linotype" w:cs="Arial"/>
          <w:i/>
          <w:spacing w:val="1"/>
        </w:rPr>
        <w:t>úb</w:t>
      </w:r>
      <w:r w:rsidRPr="00BC5411">
        <w:rPr>
          <w:rFonts w:ascii="Palatino Linotype" w:eastAsia="Arial" w:hAnsi="Palatino Linotype" w:cs="Arial"/>
          <w:i/>
        </w:rPr>
        <w:t>l</w:t>
      </w:r>
      <w:r w:rsidRPr="00BC5411">
        <w:rPr>
          <w:rFonts w:ascii="Palatino Linotype" w:eastAsia="Arial" w:hAnsi="Palatino Linotype" w:cs="Arial"/>
          <w:i/>
          <w:spacing w:val="-1"/>
        </w:rPr>
        <w:t>i</w:t>
      </w:r>
      <w:r w:rsidRPr="00BC5411">
        <w:rPr>
          <w:rFonts w:ascii="Palatino Linotype" w:eastAsia="Arial" w:hAnsi="Palatino Linotype" w:cs="Arial"/>
          <w:i/>
        </w:rPr>
        <w:t xml:space="preserve">ca, </w:t>
      </w:r>
      <w:r w:rsidRPr="00BC5411">
        <w:rPr>
          <w:rFonts w:ascii="Palatino Linotype" w:eastAsia="Arial" w:hAnsi="Palatino Linotype" w:cs="Arial"/>
          <w:i/>
          <w:spacing w:val="-1"/>
        </w:rPr>
        <w:t>señalan q</w:t>
      </w:r>
      <w:r w:rsidRPr="00BC5411">
        <w:rPr>
          <w:rFonts w:ascii="Palatino Linotype" w:eastAsia="Arial" w:hAnsi="Palatino Linotype" w:cs="Arial"/>
          <w:i/>
          <w:spacing w:val="1"/>
        </w:rPr>
        <w:t>u</w:t>
      </w:r>
      <w:r w:rsidRPr="00BC5411">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BC5411">
        <w:rPr>
          <w:rFonts w:ascii="Palatino Linotype" w:eastAsia="Arial" w:hAnsi="Palatino Linotype" w:cs="Arial"/>
          <w:i/>
          <w:spacing w:val="-1"/>
        </w:rPr>
        <w:t xml:space="preserve"> sin necesidad de</w:t>
      </w:r>
      <w:r w:rsidRPr="00BC5411">
        <w:rPr>
          <w:rFonts w:ascii="Palatino Linotype" w:eastAsia="Arial" w:hAnsi="Palatino Linotype" w:cs="Arial"/>
          <w:i/>
          <w:spacing w:val="1"/>
        </w:rPr>
        <w:t xml:space="preserve"> e</w:t>
      </w:r>
      <w:r w:rsidRPr="00BC5411">
        <w:rPr>
          <w:rFonts w:ascii="Palatino Linotype" w:eastAsia="Arial" w:hAnsi="Palatino Linotype" w:cs="Arial"/>
          <w:i/>
        </w:rPr>
        <w:t>la</w:t>
      </w:r>
      <w:r w:rsidRPr="00BC5411">
        <w:rPr>
          <w:rFonts w:ascii="Palatino Linotype" w:eastAsia="Arial" w:hAnsi="Palatino Linotype" w:cs="Arial"/>
          <w:i/>
          <w:spacing w:val="1"/>
        </w:rPr>
        <w:t>bo</w:t>
      </w:r>
      <w:r w:rsidRPr="00BC5411">
        <w:rPr>
          <w:rFonts w:ascii="Palatino Linotype" w:eastAsia="Arial" w:hAnsi="Palatino Linotype" w:cs="Arial"/>
          <w:i/>
        </w:rPr>
        <w:t xml:space="preserve">rar </w:t>
      </w:r>
      <w:r w:rsidRPr="00BC5411">
        <w:rPr>
          <w:rFonts w:ascii="Palatino Linotype" w:eastAsia="Arial" w:hAnsi="Palatino Linotype" w:cs="Arial"/>
          <w:i/>
          <w:spacing w:val="1"/>
        </w:rPr>
        <w:t>do</w:t>
      </w:r>
      <w:r w:rsidRPr="00BC5411">
        <w:rPr>
          <w:rFonts w:ascii="Palatino Linotype" w:eastAsia="Arial" w:hAnsi="Palatino Linotype" w:cs="Arial"/>
          <w:i/>
          <w:spacing w:val="-2"/>
        </w:rPr>
        <w:t>c</w:t>
      </w:r>
      <w:r w:rsidRPr="00BC5411">
        <w:rPr>
          <w:rFonts w:ascii="Palatino Linotype" w:eastAsia="Arial" w:hAnsi="Palatino Linotype" w:cs="Arial"/>
          <w:i/>
          <w:spacing w:val="1"/>
        </w:rPr>
        <w:t>u</w:t>
      </w:r>
      <w:r w:rsidRPr="00BC5411">
        <w:rPr>
          <w:rFonts w:ascii="Palatino Linotype" w:eastAsia="Arial" w:hAnsi="Palatino Linotype" w:cs="Arial"/>
          <w:i/>
          <w:spacing w:val="-1"/>
        </w:rPr>
        <w:t>m</w:t>
      </w:r>
      <w:r w:rsidRPr="00BC5411">
        <w:rPr>
          <w:rFonts w:ascii="Palatino Linotype" w:eastAsia="Arial" w:hAnsi="Palatino Linotype" w:cs="Arial"/>
          <w:i/>
          <w:spacing w:val="1"/>
        </w:rPr>
        <w:t>en</w:t>
      </w:r>
      <w:r w:rsidRPr="00BC5411">
        <w:rPr>
          <w:rFonts w:ascii="Palatino Linotype" w:eastAsia="Arial" w:hAnsi="Palatino Linotype" w:cs="Arial"/>
          <w:i/>
          <w:spacing w:val="-2"/>
        </w:rPr>
        <w:t>t</w:t>
      </w:r>
      <w:r w:rsidRPr="00BC5411">
        <w:rPr>
          <w:rFonts w:ascii="Palatino Linotype" w:eastAsia="Arial" w:hAnsi="Palatino Linotype" w:cs="Arial"/>
          <w:i/>
          <w:spacing w:val="1"/>
        </w:rPr>
        <w:t>o</w:t>
      </w:r>
      <w:r w:rsidRPr="00BC5411">
        <w:rPr>
          <w:rFonts w:ascii="Palatino Linotype" w:eastAsia="Arial" w:hAnsi="Palatino Linotype" w:cs="Arial"/>
          <w:i/>
        </w:rPr>
        <w:t xml:space="preserve">s </w:t>
      </w:r>
      <w:r w:rsidRPr="00BC5411">
        <w:rPr>
          <w:rFonts w:ascii="Palatino Linotype" w:eastAsia="Arial" w:hAnsi="Palatino Linotype" w:cs="Arial"/>
          <w:i/>
          <w:spacing w:val="1"/>
        </w:rPr>
        <w:t>a</w:t>
      </w:r>
      <w:r w:rsidRPr="00BC5411">
        <w:rPr>
          <w:rFonts w:ascii="Palatino Linotype" w:eastAsia="Arial" w:hAnsi="Palatino Linotype" w:cs="Arial"/>
          <w:i/>
        </w:rPr>
        <w:t>d</w:t>
      </w:r>
      <w:r w:rsidRPr="00BC5411">
        <w:rPr>
          <w:rFonts w:ascii="Palatino Linotype" w:eastAsia="Arial" w:hAnsi="Palatino Linotype" w:cs="Arial"/>
          <w:i/>
          <w:spacing w:val="1"/>
        </w:rPr>
        <w:t xml:space="preserve"> ho</w:t>
      </w:r>
      <w:r w:rsidRPr="00BC5411">
        <w:rPr>
          <w:rFonts w:ascii="Palatino Linotype" w:eastAsia="Arial" w:hAnsi="Palatino Linotype" w:cs="Arial"/>
          <w:i/>
        </w:rPr>
        <w:t xml:space="preserve">c </w:t>
      </w:r>
      <w:r w:rsidRPr="00BC5411">
        <w:rPr>
          <w:rFonts w:ascii="Palatino Linotype" w:eastAsia="Arial" w:hAnsi="Palatino Linotype" w:cs="Arial"/>
          <w:i/>
          <w:spacing w:val="1"/>
        </w:rPr>
        <w:t>pa</w:t>
      </w:r>
      <w:r w:rsidRPr="00BC5411">
        <w:rPr>
          <w:rFonts w:ascii="Palatino Linotype" w:eastAsia="Arial" w:hAnsi="Palatino Linotype" w:cs="Arial"/>
          <w:i/>
        </w:rPr>
        <w:t xml:space="preserve">ra </w:t>
      </w:r>
      <w:r w:rsidRPr="00BC5411">
        <w:rPr>
          <w:rFonts w:ascii="Palatino Linotype" w:eastAsia="Arial" w:hAnsi="Palatino Linotype" w:cs="Arial"/>
          <w:i/>
          <w:spacing w:val="1"/>
        </w:rPr>
        <w:t>a</w:t>
      </w:r>
      <w:r w:rsidRPr="00BC5411">
        <w:rPr>
          <w:rFonts w:ascii="Palatino Linotype" w:eastAsia="Arial" w:hAnsi="Palatino Linotype" w:cs="Arial"/>
          <w:i/>
        </w:rPr>
        <w:t>t</w:t>
      </w:r>
      <w:r w:rsidRPr="00BC5411">
        <w:rPr>
          <w:rFonts w:ascii="Palatino Linotype" w:eastAsia="Arial" w:hAnsi="Palatino Linotype" w:cs="Arial"/>
          <w:i/>
          <w:spacing w:val="-1"/>
        </w:rPr>
        <w:t>e</w:t>
      </w:r>
      <w:r w:rsidRPr="00BC5411">
        <w:rPr>
          <w:rFonts w:ascii="Palatino Linotype" w:eastAsia="Arial" w:hAnsi="Palatino Linotype" w:cs="Arial"/>
          <w:i/>
          <w:spacing w:val="1"/>
        </w:rPr>
        <w:t>n</w:t>
      </w:r>
      <w:r w:rsidRPr="00BC5411">
        <w:rPr>
          <w:rFonts w:ascii="Palatino Linotype" w:eastAsia="Arial" w:hAnsi="Palatino Linotype" w:cs="Arial"/>
          <w:i/>
          <w:spacing w:val="-1"/>
        </w:rPr>
        <w:t>d</w:t>
      </w:r>
      <w:r w:rsidRPr="00BC5411">
        <w:rPr>
          <w:rFonts w:ascii="Palatino Linotype" w:eastAsia="Arial" w:hAnsi="Palatino Linotype" w:cs="Arial"/>
          <w:i/>
          <w:spacing w:val="1"/>
        </w:rPr>
        <w:t>e</w:t>
      </w:r>
      <w:r w:rsidRPr="00BC5411">
        <w:rPr>
          <w:rFonts w:ascii="Palatino Linotype" w:eastAsia="Arial" w:hAnsi="Palatino Linotype" w:cs="Arial"/>
          <w:i/>
        </w:rPr>
        <w:t>r l</w:t>
      </w:r>
      <w:r w:rsidRPr="00BC5411">
        <w:rPr>
          <w:rFonts w:ascii="Palatino Linotype" w:eastAsia="Arial" w:hAnsi="Palatino Linotype" w:cs="Arial"/>
          <w:i/>
          <w:spacing w:val="-2"/>
        </w:rPr>
        <w:t>a</w:t>
      </w:r>
      <w:r w:rsidRPr="00BC5411">
        <w:rPr>
          <w:rFonts w:ascii="Palatino Linotype" w:eastAsia="Arial" w:hAnsi="Palatino Linotype" w:cs="Arial"/>
          <w:i/>
        </w:rPr>
        <w:t>s s</w:t>
      </w:r>
      <w:r w:rsidRPr="00BC5411">
        <w:rPr>
          <w:rFonts w:ascii="Palatino Linotype" w:eastAsia="Arial" w:hAnsi="Palatino Linotype" w:cs="Arial"/>
          <w:i/>
          <w:spacing w:val="1"/>
        </w:rPr>
        <w:t>o</w:t>
      </w:r>
      <w:r w:rsidRPr="00BC5411">
        <w:rPr>
          <w:rFonts w:ascii="Palatino Linotype" w:eastAsia="Arial" w:hAnsi="Palatino Linotype" w:cs="Arial"/>
          <w:i/>
        </w:rPr>
        <w:t>l</w:t>
      </w:r>
      <w:r w:rsidRPr="00BC5411">
        <w:rPr>
          <w:rFonts w:ascii="Palatino Linotype" w:eastAsia="Arial" w:hAnsi="Palatino Linotype" w:cs="Arial"/>
          <w:i/>
          <w:spacing w:val="-1"/>
        </w:rPr>
        <w:t>i</w:t>
      </w:r>
      <w:r w:rsidRPr="00BC5411">
        <w:rPr>
          <w:rFonts w:ascii="Palatino Linotype" w:eastAsia="Arial" w:hAnsi="Palatino Linotype" w:cs="Arial"/>
          <w:i/>
        </w:rPr>
        <w:t>cit</w:t>
      </w:r>
      <w:r w:rsidRPr="00BC5411">
        <w:rPr>
          <w:rFonts w:ascii="Palatino Linotype" w:eastAsia="Arial" w:hAnsi="Palatino Linotype" w:cs="Arial"/>
          <w:i/>
          <w:spacing w:val="1"/>
        </w:rPr>
        <w:t>ude</w:t>
      </w:r>
      <w:r w:rsidRPr="00BC5411">
        <w:rPr>
          <w:rFonts w:ascii="Palatino Linotype" w:eastAsia="Arial" w:hAnsi="Palatino Linotype" w:cs="Arial"/>
          <w:i/>
        </w:rPr>
        <w:t xml:space="preserve">s </w:t>
      </w:r>
      <w:r w:rsidRPr="00BC5411">
        <w:rPr>
          <w:rFonts w:ascii="Palatino Linotype" w:eastAsia="Arial" w:hAnsi="Palatino Linotype" w:cs="Arial"/>
          <w:i/>
          <w:spacing w:val="-1"/>
        </w:rPr>
        <w:t>d</w:t>
      </w:r>
      <w:r w:rsidRPr="00BC5411">
        <w:rPr>
          <w:rFonts w:ascii="Palatino Linotype" w:eastAsia="Arial" w:hAnsi="Palatino Linotype" w:cs="Arial"/>
          <w:i/>
        </w:rPr>
        <w:t>e i</w:t>
      </w:r>
      <w:r w:rsidRPr="00BC5411">
        <w:rPr>
          <w:rFonts w:ascii="Palatino Linotype" w:eastAsia="Arial" w:hAnsi="Palatino Linotype" w:cs="Arial"/>
          <w:i/>
          <w:spacing w:val="-2"/>
        </w:rPr>
        <w:t>n</w:t>
      </w:r>
      <w:r w:rsidRPr="00BC5411">
        <w:rPr>
          <w:rFonts w:ascii="Palatino Linotype" w:eastAsia="Arial" w:hAnsi="Palatino Linotype" w:cs="Arial"/>
          <w:i/>
        </w:rPr>
        <w:t>f</w:t>
      </w:r>
      <w:r w:rsidRPr="00BC5411">
        <w:rPr>
          <w:rFonts w:ascii="Palatino Linotype" w:eastAsia="Arial" w:hAnsi="Palatino Linotype" w:cs="Arial"/>
          <w:i/>
          <w:spacing w:val="1"/>
        </w:rPr>
        <w:t>o</w:t>
      </w:r>
      <w:r w:rsidRPr="00BC5411">
        <w:rPr>
          <w:rFonts w:ascii="Palatino Linotype" w:eastAsia="Arial" w:hAnsi="Palatino Linotype" w:cs="Arial"/>
          <w:i/>
        </w:rPr>
        <w:t>r</w:t>
      </w:r>
      <w:r w:rsidRPr="00BC5411">
        <w:rPr>
          <w:rFonts w:ascii="Palatino Linotype" w:eastAsia="Arial" w:hAnsi="Palatino Linotype" w:cs="Arial"/>
          <w:i/>
          <w:spacing w:val="-1"/>
        </w:rPr>
        <w:t>m</w:t>
      </w:r>
      <w:r w:rsidRPr="00BC5411">
        <w:rPr>
          <w:rFonts w:ascii="Palatino Linotype" w:eastAsia="Arial" w:hAnsi="Palatino Linotype" w:cs="Arial"/>
          <w:i/>
          <w:spacing w:val="1"/>
        </w:rPr>
        <w:t>a</w:t>
      </w:r>
      <w:r w:rsidRPr="00BC5411">
        <w:rPr>
          <w:rFonts w:ascii="Palatino Linotype" w:eastAsia="Arial" w:hAnsi="Palatino Linotype" w:cs="Arial"/>
          <w:i/>
        </w:rPr>
        <w:t>ció</w:t>
      </w:r>
      <w:r w:rsidRPr="00BC5411">
        <w:rPr>
          <w:rFonts w:ascii="Palatino Linotype" w:eastAsia="Arial" w:hAnsi="Palatino Linotype" w:cs="Arial"/>
          <w:i/>
          <w:spacing w:val="1"/>
        </w:rPr>
        <w:t>n</w:t>
      </w:r>
      <w:r w:rsidRPr="00BC5411">
        <w:rPr>
          <w:rFonts w:ascii="Palatino Linotype" w:eastAsia="Arial" w:hAnsi="Palatino Linotype" w:cs="Arial"/>
          <w:i/>
        </w:rPr>
        <w:t>.</w:t>
      </w:r>
    </w:p>
    <w:p w:rsidR="00420C58" w:rsidRPr="00BC5411" w:rsidRDefault="00420C58" w:rsidP="00420C58">
      <w:pPr>
        <w:spacing w:line="360" w:lineRule="auto"/>
        <w:jc w:val="both"/>
        <w:rPr>
          <w:rFonts w:ascii="Palatino Linotype" w:eastAsia="Calibri" w:hAnsi="Palatino Linotype" w:cs="Tahoma"/>
          <w:lang w:eastAsia="es-ES_tradnl"/>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lastRenderedPageBreak/>
        <w:t xml:space="preserve">Por lo que, se concluye que los sujetos obligados únicamente proporcionan los </w:t>
      </w:r>
      <w:r w:rsidRPr="00BC5411">
        <w:rPr>
          <w:rFonts w:ascii="Palatino Linotype" w:eastAsia="Calibri" w:hAnsi="Palatino Linotype" w:cs="Tahoma"/>
          <w:bCs/>
          <w:lang w:eastAsia="en-US"/>
        </w:rPr>
        <w:t>documentos</w:t>
      </w:r>
      <w:r w:rsidRPr="00BC5411">
        <w:rPr>
          <w:rFonts w:ascii="Palatino Linotype" w:hAnsi="Palatino Linotype" w:cs="Tahoma"/>
          <w:lang w:val="es-ES"/>
        </w:rPr>
        <w:t xml:space="preserve"> que den cuenta de la información solicitada, como obren en sus archivos, sin tener que elaborarlos a las necesidades del Recurrente</w:t>
      </w:r>
      <w:r w:rsidR="00590722" w:rsidRPr="00BC5411">
        <w:rPr>
          <w:rFonts w:ascii="Palatino Linotype" w:hAnsi="Palatino Linotype" w:cs="Tahoma"/>
          <w:lang w:val="es-ES"/>
        </w:rPr>
        <w:t>.</w:t>
      </w:r>
    </w:p>
    <w:p w:rsidR="00B047FA" w:rsidRPr="00BC5411" w:rsidRDefault="00B047FA" w:rsidP="00B047FA">
      <w:pPr>
        <w:spacing w:line="360" w:lineRule="auto"/>
        <w:contextualSpacing/>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 xml:space="preserve">En esa tesitura, al apreciarse que el Recurrente no desea acceder a un soporte documental, sino que el </w:t>
      </w:r>
      <w:r w:rsidR="00590722" w:rsidRPr="00BC5411">
        <w:rPr>
          <w:rFonts w:ascii="Palatino Linotype" w:hAnsi="Palatino Linotype" w:cs="Tahoma"/>
          <w:b/>
          <w:lang w:val="es-ES"/>
        </w:rPr>
        <w:t>SUJETO OBLIGADO</w:t>
      </w:r>
      <w:r w:rsidR="00590722" w:rsidRPr="00BC5411">
        <w:rPr>
          <w:rFonts w:ascii="Palatino Linotype" w:hAnsi="Palatino Linotype" w:cs="Tahoma"/>
          <w:lang w:val="es-ES"/>
        </w:rPr>
        <w:t xml:space="preserve"> </w:t>
      </w:r>
      <w:r w:rsidRPr="00BC5411">
        <w:rPr>
          <w:rFonts w:ascii="Palatino Linotype" w:hAnsi="Palatino Linotype" w:cs="Tahoma"/>
          <w:lang w:val="es-ES"/>
        </w:rPr>
        <w:t>realice un procesamiento y cálculo de la información, una vez realizados, genere un documento que contenga desagregada la información, en apartados específicos; lo cual no resulta exigible, consecuentemente, no resulta dable ordenar su entrega.</w:t>
      </w:r>
    </w:p>
    <w:p w:rsidR="00420C58" w:rsidRPr="00BC5411" w:rsidRDefault="00420C58" w:rsidP="00420C58">
      <w:pPr>
        <w:spacing w:line="360" w:lineRule="auto"/>
        <w:jc w:val="both"/>
        <w:rPr>
          <w:rFonts w:ascii="Palatino Linotype" w:hAnsi="Palatino Linotype" w:cs="Tahoma"/>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Finalmente, con relación a las modalidad de entrega de la información “…</w:t>
      </w:r>
      <w:proofErr w:type="spellStart"/>
      <w:r w:rsidRPr="00BC5411">
        <w:rPr>
          <w:rFonts w:ascii="Palatino Linotype" w:hAnsi="Palatino Linotype" w:cs="Tahoma"/>
          <w:lang w:val="es-ES"/>
        </w:rPr>
        <w:t>usb</w:t>
      </w:r>
      <w:proofErr w:type="spellEnd"/>
      <w:r w:rsidRPr="00BC5411">
        <w:rPr>
          <w:rFonts w:ascii="Palatino Linotype" w:hAnsi="Palatino Linotype" w:cs="Tahoma"/>
          <w:lang w:val="es-ES"/>
        </w:rPr>
        <w:t xml:space="preserve">, </w:t>
      </w:r>
      <w:proofErr w:type="spellStart"/>
      <w:r w:rsidRPr="00BC5411">
        <w:rPr>
          <w:rFonts w:ascii="Palatino Linotype" w:hAnsi="Palatino Linotype" w:cs="Tahoma"/>
          <w:lang w:val="es-ES"/>
        </w:rPr>
        <w:t>sd</w:t>
      </w:r>
      <w:proofErr w:type="spellEnd"/>
      <w:r w:rsidRPr="00BC5411">
        <w:rPr>
          <w:rFonts w:ascii="Palatino Linotype" w:hAnsi="Palatino Linotype" w:cs="Tahoma"/>
          <w:lang w:val="es-ES"/>
        </w:rPr>
        <w:t xml:space="preserve"> y </w:t>
      </w:r>
      <w:proofErr w:type="spellStart"/>
      <w:r w:rsidRPr="00BC5411">
        <w:rPr>
          <w:rFonts w:ascii="Palatino Linotype" w:hAnsi="Palatino Linotype" w:cs="Tahoma"/>
          <w:lang w:val="es-ES"/>
        </w:rPr>
        <w:t>cd-rom</w:t>
      </w:r>
      <w:proofErr w:type="spellEnd"/>
      <w:r w:rsidRPr="00BC5411">
        <w:rPr>
          <w:rFonts w:ascii="Palatino Linotype" w:hAnsi="Palatino Linotype" w:cs="Tahoma"/>
          <w:lang w:val="es-ES"/>
        </w:rPr>
        <w:t>.” es menester señalar que se encuentran reguladas por el Código Financiero del Estado de México y Municipios en su artículo 148, fracciones III y IV, aplicable al Sujeto Obligado al estar incluido en el Título Cuarto “De los Ingresos de los Municipios”, Capítulo segundo “De los Derechos”, Sección cuarta “De los Derechos por Servicios Prestados por Autoridades Fiscales, Administrativas y de Acceso a la Información Pública”.</w:t>
      </w:r>
    </w:p>
    <w:p w:rsidR="00420C58" w:rsidRPr="00BC5411" w:rsidRDefault="00420C58" w:rsidP="00420C58">
      <w:pPr>
        <w:spacing w:line="360" w:lineRule="auto"/>
        <w:jc w:val="both"/>
        <w:rPr>
          <w:rFonts w:ascii="Palatino Linotype" w:hAnsi="Palatino Linotype" w:cs="Tahoma"/>
          <w:b/>
          <w:lang w:val="es-ES"/>
        </w:rPr>
      </w:pPr>
    </w:p>
    <w:p w:rsidR="00420C58" w:rsidRPr="00BC5411" w:rsidRDefault="00420C58" w:rsidP="00821B43">
      <w:pPr>
        <w:numPr>
          <w:ilvl w:val="0"/>
          <w:numId w:val="1"/>
        </w:numPr>
        <w:spacing w:line="360" w:lineRule="auto"/>
        <w:ind w:left="0" w:firstLine="0"/>
        <w:contextualSpacing/>
        <w:jc w:val="both"/>
        <w:rPr>
          <w:rFonts w:ascii="Palatino Linotype" w:hAnsi="Palatino Linotype" w:cs="Tahoma"/>
          <w:lang w:val="es-ES"/>
        </w:rPr>
      </w:pPr>
      <w:r w:rsidRPr="00BC5411">
        <w:rPr>
          <w:rFonts w:ascii="Palatino Linotype" w:hAnsi="Palatino Linotype" w:cs="Tahoma"/>
          <w:lang w:val="es-ES"/>
        </w:rPr>
        <w:t xml:space="preserve">Así, se tiene que en el derecho de acceso a la información el cobro por su entrega en medios magnéticos o disco compacto es un derecho que cobra el Estado y sus organismos y su destino es cubrir el gasto público y demás obligaciones a su cargo. No </w:t>
      </w:r>
      <w:r w:rsidR="00015F91" w:rsidRPr="00BC5411">
        <w:rPr>
          <w:rFonts w:ascii="Palatino Linotype" w:hAnsi="Palatino Linotype" w:cs="Tahoma"/>
          <w:lang w:val="es-ES"/>
        </w:rPr>
        <w:t>obstante,</w:t>
      </w:r>
      <w:r w:rsidRPr="00BC5411">
        <w:rPr>
          <w:rFonts w:ascii="Palatino Linotype" w:hAnsi="Palatino Linotype" w:cs="Tahoma"/>
          <w:lang w:val="es-ES"/>
        </w:rPr>
        <w:t xml:space="preserve"> lo anterior, en el caso en particular </w:t>
      </w:r>
      <w:r w:rsidRPr="00BC5411">
        <w:rPr>
          <w:rFonts w:ascii="Palatino Linotype" w:hAnsi="Palatino Linotype" w:cs="Tahoma"/>
          <w:b/>
          <w:lang w:val="es-ES"/>
        </w:rPr>
        <w:t xml:space="preserve">su cobró no resultará </w:t>
      </w:r>
      <w:r w:rsidRPr="00BC5411">
        <w:rPr>
          <w:rFonts w:ascii="Palatino Linotype" w:hAnsi="Palatino Linotype" w:cs="Tahoma"/>
          <w:b/>
          <w:lang w:val="es-ES"/>
        </w:rPr>
        <w:lastRenderedPageBreak/>
        <w:t>procedente para el caso de que el solicitante proporcione el medio en el que requiera le sea entregada la información pública</w:t>
      </w:r>
      <w:r w:rsidRPr="00BC5411">
        <w:rPr>
          <w:rFonts w:ascii="Palatino Linotype" w:hAnsi="Palatino Linotype" w:cs="Tahoma"/>
          <w:lang w:val="es-ES"/>
        </w:rPr>
        <w:t>.</w:t>
      </w:r>
    </w:p>
    <w:p w:rsidR="005C7272" w:rsidRPr="00BC5411" w:rsidRDefault="005C7272" w:rsidP="005C7272">
      <w:pPr>
        <w:pStyle w:val="Prrafodelista"/>
        <w:rPr>
          <w:rFonts w:ascii="Palatino Linotype" w:hAnsi="Palatino Linotype" w:cs="Tahoma"/>
          <w:lang w:val="es-ES"/>
        </w:rPr>
      </w:pPr>
    </w:p>
    <w:p w:rsidR="00B12329" w:rsidRPr="00BC5411" w:rsidRDefault="005C7272"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s="Tahoma"/>
          <w:lang w:val="es-ES"/>
        </w:rPr>
        <w:t xml:space="preserve">Por último, no pasa desapercibido, </w:t>
      </w:r>
      <w:r w:rsidR="00B12329" w:rsidRPr="00BC5411">
        <w:rPr>
          <w:rFonts w:ascii="Palatino Linotype" w:hAnsi="Palatino Linotype"/>
          <w:color w:val="000000" w:themeColor="text1"/>
        </w:rPr>
        <w:t xml:space="preserve">que el particular, a través de su solicitud de información, señaló que requería la información no sólo del </w:t>
      </w:r>
      <w:r w:rsidR="00B12329" w:rsidRPr="00BC5411">
        <w:rPr>
          <w:rFonts w:ascii="Palatino Linotype" w:hAnsi="Palatino Linotype"/>
          <w:b/>
          <w:color w:val="000000" w:themeColor="text1"/>
        </w:rPr>
        <w:t xml:space="preserve">SUJETO OBLIGADO, </w:t>
      </w:r>
      <w:r w:rsidR="00B12329" w:rsidRPr="00BC5411">
        <w:rPr>
          <w:rFonts w:ascii="Palatino Linotype" w:hAnsi="Palatino Linotype"/>
          <w:color w:val="000000" w:themeColor="text1"/>
        </w:rPr>
        <w:t>sino también del Ayuntamiento; por lo tanto, conviene traer a contexto los artículos 3, fracción XLI, y 23 de la Ley de Transparencia y Acceso a la Información Pública del Estado de México y Municipios, reconocen como Sujetos Obligados a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Ley de Transparencia.</w:t>
      </w:r>
    </w:p>
    <w:p w:rsidR="00B12329" w:rsidRPr="00BC5411" w:rsidRDefault="00B12329" w:rsidP="00B12329">
      <w:pPr>
        <w:pStyle w:val="Prrafodelista"/>
        <w:tabs>
          <w:tab w:val="left" w:pos="426"/>
        </w:tabs>
        <w:spacing w:before="240" w:after="240" w:line="360" w:lineRule="auto"/>
        <w:ind w:left="0" w:right="51"/>
        <w:jc w:val="both"/>
        <w:rPr>
          <w:rFonts w:ascii="Palatino Linotype" w:hAnsi="Palatino Linotype"/>
          <w:color w:val="000000" w:themeColor="text1"/>
        </w:rPr>
      </w:pPr>
    </w:p>
    <w:p w:rsidR="00B12329" w:rsidRPr="00BC5411" w:rsidRDefault="00B12329"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olor w:val="000000" w:themeColor="text1"/>
        </w:rPr>
        <w:t>En ese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 Estatal y demás ordenamientos jurídicos de la materia emitidos por el Sistema Nacional de Transparencia, Acceso a la Información Pública y Protección de Datos Personales y por el propio Instituto, en los términos que las mismas determinen.</w:t>
      </w:r>
    </w:p>
    <w:p w:rsidR="00B12329" w:rsidRPr="00BC5411" w:rsidRDefault="00B12329"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olor w:val="000000" w:themeColor="text1"/>
        </w:rPr>
        <w:lastRenderedPageBreak/>
        <w:t>Por cuanto hace al Municipio de Jilotepec, el Padrón de Sujetos Obligados</w:t>
      </w:r>
      <w:r w:rsidRPr="00BC5411">
        <w:rPr>
          <w:rStyle w:val="Refdenotaalpie"/>
          <w:rFonts w:ascii="Palatino Linotype" w:hAnsi="Palatino Linotype"/>
          <w:color w:val="000000" w:themeColor="text1"/>
        </w:rPr>
        <w:footnoteReference w:id="5"/>
      </w:r>
      <w:r w:rsidRPr="00BC5411">
        <w:rPr>
          <w:rFonts w:ascii="Palatino Linotype" w:hAnsi="Palatino Linotype"/>
          <w:color w:val="000000" w:themeColor="text1"/>
        </w:rPr>
        <w:t xml:space="preserve"> reconoce a los siguientes entes públicos:</w:t>
      </w:r>
    </w:p>
    <w:p w:rsidR="00B12329" w:rsidRPr="00BC5411" w:rsidRDefault="00B12329" w:rsidP="00B12329">
      <w:pPr>
        <w:pStyle w:val="Prrafodelista"/>
        <w:tabs>
          <w:tab w:val="left" w:pos="426"/>
        </w:tabs>
        <w:spacing w:before="240" w:after="240" w:line="360" w:lineRule="auto"/>
        <w:ind w:left="0" w:right="51"/>
        <w:jc w:val="both"/>
        <w:rPr>
          <w:rFonts w:ascii="Palatino Linotype" w:hAnsi="Palatino Linotype"/>
          <w:color w:val="000000" w:themeColor="text1"/>
        </w:rPr>
      </w:pPr>
    </w:p>
    <w:p w:rsidR="00B12329"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 xml:space="preserve">“VIII. </w:t>
      </w:r>
      <w:r w:rsidRPr="00BC5411">
        <w:rPr>
          <w:rFonts w:ascii="Palatino Linotype" w:hAnsi="Palatino Linotype"/>
          <w:b/>
          <w:i/>
        </w:rPr>
        <w:t>SUJETOS OBLIGADOS DE COMPETENCIA MUNICIPAL</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172.</w:t>
      </w:r>
      <w:r w:rsidRPr="00BC5411">
        <w:rPr>
          <w:rFonts w:ascii="Palatino Linotype" w:hAnsi="Palatino Linotype"/>
          <w:b/>
          <w:i/>
        </w:rPr>
        <w:t xml:space="preserve"> Jilotepec</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 xml:space="preserve">265. </w:t>
      </w:r>
      <w:r w:rsidRPr="00BC5411">
        <w:rPr>
          <w:rFonts w:ascii="Palatino Linotype" w:hAnsi="Palatino Linotype"/>
          <w:b/>
          <w:i/>
        </w:rPr>
        <w:t>Organismo Público Descentralizado para la prestación de los servicios de Agua Potable, Alcantarillado y Saneamiento del Municipio de Jilotepec</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 xml:space="preserve"> 297. </w:t>
      </w:r>
      <w:r w:rsidRPr="00BC5411">
        <w:rPr>
          <w:rFonts w:ascii="Palatino Linotype" w:hAnsi="Palatino Linotype"/>
          <w:b/>
          <w:i/>
        </w:rPr>
        <w:t>Sistema Municipal para el Desarrollo Integral de la Familia de Jilotepec</w:t>
      </w:r>
    </w:p>
    <w:p w:rsidR="00512EAB" w:rsidRPr="00BC5411" w:rsidRDefault="00512EAB" w:rsidP="00512EAB">
      <w:pPr>
        <w:pStyle w:val="Prrafodelista"/>
        <w:tabs>
          <w:tab w:val="left" w:pos="426"/>
        </w:tabs>
        <w:spacing w:before="240" w:after="240" w:line="360" w:lineRule="auto"/>
        <w:ind w:left="709" w:right="616"/>
        <w:jc w:val="both"/>
        <w:rPr>
          <w:rFonts w:ascii="Palatino Linotype" w:hAnsi="Palatino Linotype"/>
          <w:i/>
        </w:rPr>
      </w:pPr>
      <w:r w:rsidRPr="00BC5411">
        <w:rPr>
          <w:rFonts w:ascii="Palatino Linotype" w:hAnsi="Palatino Linotype"/>
          <w:i/>
        </w:rPr>
        <w:t>…”</w:t>
      </w:r>
    </w:p>
    <w:p w:rsidR="00B12329" w:rsidRPr="00BC5411" w:rsidRDefault="00B12329" w:rsidP="00B12329">
      <w:pPr>
        <w:pStyle w:val="Prrafodelista"/>
        <w:tabs>
          <w:tab w:val="left" w:pos="426"/>
        </w:tabs>
        <w:spacing w:before="240" w:after="240" w:line="360" w:lineRule="auto"/>
        <w:ind w:left="0" w:right="51"/>
        <w:jc w:val="both"/>
        <w:rPr>
          <w:rFonts w:ascii="Palatino Linotype" w:hAnsi="Palatino Linotype"/>
          <w:color w:val="000000" w:themeColor="text1"/>
        </w:rPr>
      </w:pPr>
    </w:p>
    <w:p w:rsidR="00B12329" w:rsidRPr="00BC5411" w:rsidRDefault="00B12329"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olor w:val="000000" w:themeColor="text1"/>
        </w:rPr>
        <w:t xml:space="preserve">En </w:t>
      </w:r>
      <w:r w:rsidR="00512EAB" w:rsidRPr="00BC5411">
        <w:rPr>
          <w:rFonts w:ascii="Palatino Linotype" w:hAnsi="Palatino Linotype"/>
          <w:color w:val="000000" w:themeColor="text1"/>
        </w:rPr>
        <w:t>consecuencia,</w:t>
      </w:r>
      <w:r w:rsidRPr="00BC5411">
        <w:rPr>
          <w:rFonts w:ascii="Palatino Linotype" w:hAnsi="Palatino Linotype"/>
          <w:color w:val="000000" w:themeColor="text1"/>
        </w:rPr>
        <w:t xml:space="preserve"> se advierte que el </w:t>
      </w:r>
      <w:r w:rsidR="00512EAB" w:rsidRPr="00BC5411">
        <w:rPr>
          <w:rFonts w:ascii="Palatino Linotype" w:hAnsi="Palatino Linotype"/>
          <w:color w:val="000000" w:themeColor="text1"/>
        </w:rPr>
        <w:t>Ayuntamiento de Jilotepec, es un Sujeto</w:t>
      </w:r>
      <w:r w:rsidRPr="00BC5411">
        <w:rPr>
          <w:rFonts w:ascii="Palatino Linotype" w:hAnsi="Palatino Linotype"/>
          <w:color w:val="000000" w:themeColor="text1"/>
        </w:rPr>
        <w:t xml:space="preserve"> Obligado diverso </w:t>
      </w:r>
      <w:r w:rsidR="00512EAB" w:rsidRPr="00BC5411">
        <w:rPr>
          <w:rFonts w:ascii="Palatino Linotype" w:hAnsi="Palatino Linotype"/>
          <w:color w:val="000000" w:themeColor="text1"/>
        </w:rPr>
        <w:t>de</w:t>
      </w:r>
      <w:r w:rsidRPr="00BC5411">
        <w:rPr>
          <w:rFonts w:ascii="Palatino Linotype" w:hAnsi="Palatino Linotype"/>
          <w:color w:val="000000" w:themeColor="text1"/>
        </w:rPr>
        <w:t xml:space="preserve">l </w:t>
      </w:r>
      <w:r w:rsidR="00512EAB" w:rsidRPr="00BC5411">
        <w:rPr>
          <w:rFonts w:ascii="Palatino Linotype" w:hAnsi="Palatino Linotype" w:cs="Arial"/>
        </w:rPr>
        <w:t>Organismo Público Descentralizado para la Prestación de Los Servicios de Agua Potable Alcantarillado y Saneamiento del Municipio de Jilotepec</w:t>
      </w:r>
      <w:r w:rsidRPr="00BC5411">
        <w:rPr>
          <w:rFonts w:ascii="Palatino Linotype" w:hAnsi="Palatino Linotype"/>
          <w:color w:val="000000" w:themeColor="text1"/>
        </w:rPr>
        <w:t xml:space="preserve">; por lo tanto, el </w:t>
      </w:r>
      <w:r w:rsidRPr="00BC5411">
        <w:rPr>
          <w:rFonts w:ascii="Palatino Linotype" w:hAnsi="Palatino Linotype"/>
          <w:b/>
          <w:color w:val="000000" w:themeColor="text1"/>
        </w:rPr>
        <w:t>SUJETO OBLIGADO</w:t>
      </w:r>
      <w:r w:rsidRPr="00BC5411">
        <w:rPr>
          <w:rFonts w:ascii="Palatino Linotype" w:hAnsi="Palatino Linotype"/>
          <w:color w:val="000000" w:themeColor="text1"/>
        </w:rPr>
        <w:t xml:space="preserve"> no resultaría competente para poseer, generar o administrar información relacionada con las dependencias antes señaladas.</w:t>
      </w:r>
    </w:p>
    <w:p w:rsidR="00B12329" w:rsidRPr="00BC5411" w:rsidRDefault="00B12329"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olor w:val="000000" w:themeColor="text1"/>
        </w:rPr>
        <w:lastRenderedPageBreak/>
        <w:t xml:space="preserve">Establecido lo anterior, debemos señalar que la Ley de Transparencia y Acceso a la Información Pública del Estado de México y Municipios, en su artículo 167, establece que cuando las unidades de transparencia determinen la notoria incompetencia por parte de los sujetos obligados, dentro del ámbito de aplicación, para atender la solicitud de acceso a la información, deberán comunicarlo al solicitante, dentro de los </w:t>
      </w:r>
      <w:r w:rsidRPr="00BC5411">
        <w:rPr>
          <w:rFonts w:ascii="Palatino Linotype" w:hAnsi="Palatino Linotype"/>
          <w:b/>
          <w:color w:val="000000" w:themeColor="text1"/>
        </w:rPr>
        <w:t>tres días hábiles posteriores</w:t>
      </w:r>
      <w:r w:rsidRPr="00BC5411">
        <w:rPr>
          <w:rFonts w:ascii="Palatino Linotype" w:hAnsi="Palatino Linotype"/>
          <w:color w:val="000000" w:themeColor="text1"/>
        </w:rPr>
        <w:t xml:space="preserve"> a la recepción de la solicitud y, en su caso, </w:t>
      </w:r>
      <w:r w:rsidRPr="00BC5411">
        <w:rPr>
          <w:rFonts w:ascii="Palatino Linotype" w:hAnsi="Palatino Linotype"/>
          <w:b/>
          <w:color w:val="000000" w:themeColor="text1"/>
        </w:rPr>
        <w:t>orientar</w:t>
      </w:r>
      <w:r w:rsidRPr="00BC5411">
        <w:rPr>
          <w:rFonts w:ascii="Palatino Linotype" w:hAnsi="Palatino Linotype"/>
          <w:color w:val="000000" w:themeColor="text1"/>
        </w:rPr>
        <w:t xml:space="preserve"> al solicitante del o los sujetos obligados competentes.</w:t>
      </w:r>
    </w:p>
    <w:p w:rsidR="00B12329" w:rsidRPr="00BC5411" w:rsidRDefault="00B12329" w:rsidP="00B12329">
      <w:pPr>
        <w:pStyle w:val="Prrafodelista"/>
        <w:tabs>
          <w:tab w:val="left" w:pos="426"/>
        </w:tabs>
        <w:spacing w:before="240" w:after="240" w:line="360" w:lineRule="auto"/>
        <w:ind w:left="0" w:right="51"/>
        <w:jc w:val="both"/>
        <w:rPr>
          <w:rFonts w:ascii="Palatino Linotype" w:hAnsi="Palatino Linotype"/>
          <w:color w:val="000000" w:themeColor="text1"/>
        </w:rPr>
      </w:pPr>
    </w:p>
    <w:p w:rsidR="00B12329" w:rsidRPr="00BC5411" w:rsidRDefault="00B12329"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olor w:val="000000" w:themeColor="text1"/>
        </w:rPr>
        <w:t xml:space="preserve">En el presente asunto, como fuera expuesto en el apartado de </w:t>
      </w:r>
      <w:r w:rsidRPr="00BC5411">
        <w:rPr>
          <w:rFonts w:ascii="Palatino Linotype" w:hAnsi="Palatino Linotype"/>
          <w:i/>
          <w:color w:val="000000" w:themeColor="text1"/>
        </w:rPr>
        <w:t>Antecedentes</w:t>
      </w:r>
      <w:r w:rsidRPr="00BC5411">
        <w:rPr>
          <w:rFonts w:ascii="Palatino Linotype" w:hAnsi="Palatino Linotype"/>
          <w:color w:val="000000" w:themeColor="text1"/>
        </w:rPr>
        <w:t xml:space="preserve"> de la presente resolución, el </w:t>
      </w:r>
      <w:r w:rsidRPr="00BC5411">
        <w:rPr>
          <w:rFonts w:ascii="Palatino Linotype" w:hAnsi="Palatino Linotype"/>
          <w:b/>
          <w:color w:val="000000" w:themeColor="text1"/>
        </w:rPr>
        <w:t>SUJETO OBLIGADO</w:t>
      </w:r>
      <w:r w:rsidRPr="00BC5411">
        <w:rPr>
          <w:rFonts w:ascii="Palatino Linotype" w:hAnsi="Palatino Linotype"/>
          <w:color w:val="000000" w:themeColor="text1"/>
        </w:rPr>
        <w:t xml:space="preserve"> </w:t>
      </w:r>
      <w:r w:rsidR="00512EAB" w:rsidRPr="00BC5411">
        <w:rPr>
          <w:rFonts w:ascii="Palatino Linotype" w:hAnsi="Palatino Linotype"/>
          <w:color w:val="000000" w:themeColor="text1"/>
        </w:rPr>
        <w:t>si bien es cierto comunicó</w:t>
      </w:r>
      <w:r w:rsidRPr="00BC5411">
        <w:rPr>
          <w:rFonts w:ascii="Palatino Linotype" w:hAnsi="Palatino Linotype"/>
          <w:color w:val="000000" w:themeColor="text1"/>
        </w:rPr>
        <w:t xml:space="preserve"> su incompetencia parcial para poseer, generar o administrar información relacionada con el </w:t>
      </w:r>
      <w:r w:rsidR="00512EAB" w:rsidRPr="00BC5411">
        <w:rPr>
          <w:rFonts w:ascii="Palatino Linotype" w:hAnsi="Palatino Linotype"/>
          <w:color w:val="000000" w:themeColor="text1"/>
        </w:rPr>
        <w:t>Ayuntamiento en su respuesta</w:t>
      </w:r>
      <w:r w:rsidRPr="00BC5411">
        <w:rPr>
          <w:rFonts w:ascii="Palatino Linotype" w:hAnsi="Palatino Linotype"/>
          <w:color w:val="000000" w:themeColor="text1"/>
        </w:rPr>
        <w:t xml:space="preserve">, </w:t>
      </w:r>
      <w:r w:rsidR="00512EAB" w:rsidRPr="00BC5411">
        <w:rPr>
          <w:rFonts w:ascii="Palatino Linotype" w:hAnsi="Palatino Linotype"/>
          <w:color w:val="000000" w:themeColor="text1"/>
        </w:rPr>
        <w:t>la misma fue en un plazo que sobrepaso los tres días hábiles que determina la ley de la materia.</w:t>
      </w:r>
    </w:p>
    <w:p w:rsidR="00B12329" w:rsidRPr="00BC5411" w:rsidRDefault="00B12329" w:rsidP="00B12329">
      <w:pPr>
        <w:pStyle w:val="Prrafodelista"/>
        <w:tabs>
          <w:tab w:val="left" w:pos="426"/>
        </w:tabs>
        <w:spacing w:before="240" w:after="240" w:line="360" w:lineRule="auto"/>
        <w:ind w:left="0" w:right="51"/>
        <w:jc w:val="both"/>
        <w:rPr>
          <w:rFonts w:ascii="Palatino Linotype" w:hAnsi="Palatino Linotype"/>
          <w:color w:val="000000" w:themeColor="text1"/>
        </w:rPr>
      </w:pPr>
    </w:p>
    <w:p w:rsidR="005C7272" w:rsidRPr="00BC5411" w:rsidRDefault="00B12329" w:rsidP="00821B43">
      <w:pPr>
        <w:pStyle w:val="Prrafodelista"/>
        <w:numPr>
          <w:ilvl w:val="0"/>
          <w:numId w:val="1"/>
        </w:numPr>
        <w:tabs>
          <w:tab w:val="left" w:pos="426"/>
        </w:tabs>
        <w:spacing w:before="240" w:after="240" w:line="360" w:lineRule="auto"/>
        <w:ind w:left="0" w:right="51" w:firstLine="0"/>
        <w:jc w:val="both"/>
        <w:rPr>
          <w:rFonts w:ascii="Palatino Linotype" w:hAnsi="Palatino Linotype"/>
          <w:color w:val="000000" w:themeColor="text1"/>
        </w:rPr>
      </w:pPr>
      <w:r w:rsidRPr="00BC5411">
        <w:rPr>
          <w:rFonts w:ascii="Palatino Linotype" w:hAnsi="Palatino Linotype"/>
          <w:color w:val="000000" w:themeColor="text1"/>
        </w:rPr>
        <w:t>Derivado de lo anterior, y de conformidad con lo establecido en la fracción II del artículo 49 de la Ley de Transparencia y Acceso a la Información Pública del Estado de México y Municipios</w:t>
      </w:r>
      <w:r w:rsidRPr="00BC5411">
        <w:rPr>
          <w:rStyle w:val="Refdenotaalpie"/>
          <w:rFonts w:ascii="Palatino Linotype" w:hAnsi="Palatino Linotype"/>
          <w:color w:val="000000" w:themeColor="text1"/>
        </w:rPr>
        <w:footnoteReference w:id="6"/>
      </w:r>
      <w:r w:rsidRPr="00BC5411">
        <w:rPr>
          <w:rFonts w:ascii="Palatino Linotype" w:hAnsi="Palatino Linotype"/>
          <w:color w:val="000000" w:themeColor="text1"/>
        </w:rPr>
        <w:t xml:space="preserve">, el </w:t>
      </w:r>
      <w:r w:rsidRPr="00BC5411">
        <w:rPr>
          <w:rFonts w:ascii="Palatino Linotype" w:hAnsi="Palatino Linotype"/>
          <w:b/>
          <w:color w:val="000000" w:themeColor="text1"/>
        </w:rPr>
        <w:t>SUJETO OBLIGADO</w:t>
      </w:r>
      <w:r w:rsidRPr="00BC5411">
        <w:rPr>
          <w:rFonts w:ascii="Palatino Linotype" w:hAnsi="Palatino Linotype"/>
          <w:color w:val="000000" w:themeColor="text1"/>
        </w:rPr>
        <w:t xml:space="preserve"> deberá entregar al particular el Acuerdo que emita su Comité de Transparencia en el que se establezca, </w:t>
      </w:r>
      <w:r w:rsidRPr="00BC5411">
        <w:rPr>
          <w:rFonts w:ascii="Palatino Linotype" w:hAnsi="Palatino Linotype"/>
          <w:color w:val="000000" w:themeColor="text1"/>
        </w:rPr>
        <w:lastRenderedPageBreak/>
        <w:t xml:space="preserve">de manera fundada y motivada, la incompetencia del </w:t>
      </w:r>
      <w:r w:rsidR="004512D3" w:rsidRPr="00BC5411">
        <w:rPr>
          <w:rFonts w:ascii="Palatino Linotype" w:hAnsi="Palatino Linotype"/>
          <w:color w:val="000000" w:themeColor="text1"/>
        </w:rPr>
        <w:t xml:space="preserve">Organismo Público Descentralizado para la Prestación de Los Servicios de Agua Potable Alcantarillado y Saneamiento del Municipio de Jilotepec </w:t>
      </w:r>
      <w:r w:rsidRPr="00BC5411">
        <w:rPr>
          <w:rFonts w:ascii="Palatino Linotype" w:hAnsi="Palatino Linotype"/>
          <w:color w:val="000000" w:themeColor="text1"/>
        </w:rPr>
        <w:t xml:space="preserve">para poseer, generar o administrar información </w:t>
      </w:r>
      <w:r w:rsidR="004512D3" w:rsidRPr="00BC5411">
        <w:rPr>
          <w:rFonts w:ascii="Palatino Linotype" w:hAnsi="Palatino Linotype"/>
          <w:color w:val="000000" w:themeColor="text1"/>
        </w:rPr>
        <w:t>la información solicitada perteneciente al Ayuntamiento.</w:t>
      </w:r>
    </w:p>
    <w:p w:rsidR="00522B30" w:rsidRPr="00BC5411" w:rsidRDefault="00522B30" w:rsidP="00522B30">
      <w:pPr>
        <w:pStyle w:val="Prrafodelista"/>
        <w:rPr>
          <w:rFonts w:ascii="Palatino Linotype" w:hAnsi="Palatino Linotype"/>
          <w:color w:val="000000"/>
        </w:rPr>
      </w:pPr>
    </w:p>
    <w:p w:rsidR="009F09BC" w:rsidRPr="00BC5411" w:rsidRDefault="00140817" w:rsidP="00855290">
      <w:pPr>
        <w:pStyle w:val="Prrafodelista"/>
        <w:spacing w:line="360" w:lineRule="auto"/>
        <w:ind w:left="0"/>
        <w:jc w:val="both"/>
        <w:rPr>
          <w:rFonts w:ascii="Palatino Linotype" w:hAnsi="Palatino Linotype"/>
          <w:b/>
        </w:rPr>
      </w:pPr>
      <w:bookmarkStart w:id="149" w:name="_Toc531859120"/>
      <w:bookmarkStart w:id="150" w:name="_Toc2871952"/>
      <w:bookmarkStart w:id="151" w:name="_Toc20246253"/>
      <w:bookmarkStart w:id="152" w:name="_Toc24023250"/>
      <w:bookmarkStart w:id="153" w:name="_Toc26461369"/>
      <w:bookmarkStart w:id="154" w:name="_Toc29481474"/>
      <w:bookmarkStart w:id="155" w:name="_Toc36648201"/>
      <w:bookmarkStart w:id="156" w:name="_Toc36732268"/>
      <w:bookmarkStart w:id="157" w:name="_Toc38560292"/>
      <w:bookmarkStart w:id="158" w:name="_Toc83128590"/>
      <w:bookmarkStart w:id="159" w:name="_Toc473799824"/>
      <w:bookmarkStart w:id="160" w:name="_Toc487025370"/>
      <w:bookmarkStart w:id="161" w:name="_Toc493790438"/>
      <w:bookmarkStart w:id="162" w:name="_Toc495606558"/>
      <w:bookmarkStart w:id="163" w:name="_Toc497297048"/>
      <w:bookmarkStart w:id="164" w:name="_Toc498503756"/>
      <w:bookmarkStart w:id="165" w:name="_Toc499201876"/>
      <w:bookmarkStart w:id="166" w:name="_Toc524000321"/>
      <w:r w:rsidRPr="00BC5411">
        <w:rPr>
          <w:rFonts w:ascii="Palatino Linotype" w:hAnsi="Palatino Linotype"/>
          <w:b/>
        </w:rPr>
        <w:t>QUIN</w:t>
      </w:r>
      <w:r w:rsidR="009F09BC" w:rsidRPr="00BC5411">
        <w:rPr>
          <w:rFonts w:ascii="Palatino Linotype" w:hAnsi="Palatino Linotype"/>
          <w:b/>
        </w:rPr>
        <w:t xml:space="preserve">TO. De la </w:t>
      </w:r>
      <w:bookmarkEnd w:id="149"/>
      <w:bookmarkEnd w:id="150"/>
      <w:r w:rsidR="009F09BC" w:rsidRPr="00BC5411">
        <w:rPr>
          <w:rFonts w:ascii="Palatino Linotype" w:hAnsi="Palatino Linotype"/>
          <w:b/>
        </w:rPr>
        <w:t>versión pública</w:t>
      </w:r>
      <w:bookmarkEnd w:id="151"/>
      <w:bookmarkEnd w:id="152"/>
      <w:bookmarkEnd w:id="153"/>
      <w:bookmarkEnd w:id="154"/>
      <w:bookmarkEnd w:id="155"/>
      <w:bookmarkEnd w:id="156"/>
      <w:bookmarkEnd w:id="157"/>
      <w:bookmarkEnd w:id="158"/>
    </w:p>
    <w:p w:rsidR="009F09BC" w:rsidRPr="00BC5411" w:rsidRDefault="009F09BC" w:rsidP="00855290">
      <w:pPr>
        <w:spacing w:line="360" w:lineRule="auto"/>
        <w:rPr>
          <w:rFonts w:ascii="Palatino Linotype" w:hAnsi="Palatino Linotype"/>
          <w:lang w:val="es-MX" w:eastAsia="en-US"/>
        </w:rPr>
      </w:pPr>
    </w:p>
    <w:bookmarkEnd w:id="159"/>
    <w:bookmarkEnd w:id="160"/>
    <w:bookmarkEnd w:id="161"/>
    <w:bookmarkEnd w:id="162"/>
    <w:bookmarkEnd w:id="163"/>
    <w:bookmarkEnd w:id="164"/>
    <w:bookmarkEnd w:id="165"/>
    <w:bookmarkEnd w:id="166"/>
    <w:p w:rsidR="009F09BC" w:rsidRPr="00BC5411" w:rsidRDefault="00140817" w:rsidP="00821B43">
      <w:pPr>
        <w:pStyle w:val="Prrafodelista"/>
        <w:numPr>
          <w:ilvl w:val="0"/>
          <w:numId w:val="1"/>
        </w:numPr>
        <w:spacing w:line="360" w:lineRule="auto"/>
        <w:ind w:left="0" w:firstLine="0"/>
        <w:jc w:val="both"/>
        <w:rPr>
          <w:rFonts w:ascii="Palatino Linotype" w:hAnsi="Palatino Linotype"/>
        </w:rPr>
      </w:pPr>
      <w:r w:rsidRPr="00BC5411">
        <w:rPr>
          <w:rFonts w:ascii="Palatino Linotype" w:hAnsi="Palatino Linotype"/>
        </w:rPr>
        <w:t>Como ya se hiciera mención, d</w:t>
      </w:r>
      <w:r w:rsidR="004A4393" w:rsidRPr="00BC5411">
        <w:rPr>
          <w:rFonts w:ascii="Palatino Linotype" w:hAnsi="Palatino Linotype"/>
        </w:rPr>
        <w:t>ada la propia y especial naturaleza</w:t>
      </w:r>
      <w:r w:rsidRPr="00BC5411">
        <w:rPr>
          <w:rFonts w:ascii="Palatino Linotype" w:hAnsi="Palatino Linotype"/>
        </w:rPr>
        <w:t xml:space="preserve"> de la información</w:t>
      </w:r>
      <w:r w:rsidR="004A4393" w:rsidRPr="00BC5411">
        <w:rPr>
          <w:rFonts w:ascii="Palatino Linotype" w:hAnsi="Palatino Linotype"/>
        </w:rPr>
        <w:t xml:space="preserve"> </w:t>
      </w:r>
      <w:r w:rsidR="009F09BC" w:rsidRPr="00BC5411">
        <w:rPr>
          <w:rFonts w:ascii="Palatino Linotype" w:hAnsi="Palatino Linotype"/>
        </w:rPr>
        <w:t xml:space="preserve">que se ha tenido a bien ordenar, </w:t>
      </w:r>
      <w:r w:rsidR="000E4F3B" w:rsidRPr="00BC5411">
        <w:rPr>
          <w:rFonts w:ascii="Palatino Linotype" w:hAnsi="Palatino Linotype"/>
        </w:rPr>
        <w:t>eventualmente</w:t>
      </w:r>
      <w:r w:rsidR="004A4393" w:rsidRPr="00BC5411">
        <w:rPr>
          <w:rFonts w:ascii="Palatino Linotype" w:hAnsi="Palatino Linotype"/>
        </w:rPr>
        <w:t xml:space="preserve"> contiene</w:t>
      </w:r>
      <w:r w:rsidR="009F09BC" w:rsidRPr="00BC5411">
        <w:rPr>
          <w:rFonts w:ascii="Palatino Linotype" w:hAnsi="Palatino Linotype"/>
        </w:rPr>
        <w:t xml:space="preserve"> datos personales susceptibles de ser protegidos mediante una versión pública, la cual deberá estar soportada por el Acta del Comité de Transparencia que se emita para tal efecto, debiéndola poner a disposición del hoy </w:t>
      </w:r>
      <w:r w:rsidR="009F09BC" w:rsidRPr="00BC5411">
        <w:rPr>
          <w:rFonts w:ascii="Palatino Linotype" w:hAnsi="Palatino Linotype"/>
          <w:b/>
        </w:rPr>
        <w:t>RECURRENTE</w:t>
      </w:r>
      <w:r w:rsidR="009A2251" w:rsidRPr="00BC5411">
        <w:rPr>
          <w:rFonts w:ascii="Palatino Linotype" w:hAnsi="Palatino Linotype"/>
        </w:rPr>
        <w:t>.</w:t>
      </w:r>
    </w:p>
    <w:p w:rsidR="000E4F3B" w:rsidRPr="00BC5411" w:rsidRDefault="000E4F3B" w:rsidP="000E4F3B">
      <w:pPr>
        <w:pStyle w:val="Prrafodelista"/>
        <w:spacing w:line="360" w:lineRule="auto"/>
        <w:ind w:left="0"/>
        <w:jc w:val="both"/>
        <w:rPr>
          <w:rFonts w:ascii="Palatino Linotype" w:hAnsi="Palatino Linotype"/>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C5411">
        <w:rPr>
          <w:rFonts w:ascii="Palatino Linotype" w:eastAsia="MS Gothic" w:hAnsi="Palatino Linotype" w:cs="Times New Roman"/>
          <w:vertAlign w:val="superscript"/>
        </w:rPr>
        <w:footnoteReference w:id="7"/>
      </w:r>
      <w:r w:rsidRPr="00BC5411">
        <w:rPr>
          <w:rFonts w:ascii="Palatino Linotype" w:eastAsia="MS Gothic" w:hAnsi="Palatino Linotype" w:cs="Times New Roman"/>
        </w:rPr>
        <w:t xml:space="preserve"> aunque cualquier límite o restricción, </w:t>
      </w:r>
      <w:r w:rsidRPr="00BC5411">
        <w:rPr>
          <w:rFonts w:ascii="Palatino Linotype" w:eastAsia="MS Gothic" w:hAnsi="Palatino Linotype" w:cs="Times New Roman"/>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BC5411">
        <w:rPr>
          <w:rFonts w:ascii="Palatino Linotype" w:eastAsia="MS Gothic" w:hAnsi="Palatino Linotype" w:cs="Times New Roman"/>
          <w:vertAlign w:val="superscript"/>
        </w:rPr>
        <w:footnoteReference w:id="8"/>
      </w:r>
      <w:r w:rsidRPr="00BC5411">
        <w:rPr>
          <w:rFonts w:ascii="Palatino Linotype" w:eastAsia="MS Gothic" w:hAnsi="Palatino Linotype" w:cs="Times New Roman"/>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5"/>
        </w:numPr>
        <w:tabs>
          <w:tab w:val="left" w:pos="142"/>
          <w:tab w:val="left" w:pos="284"/>
          <w:tab w:val="left" w:pos="426"/>
        </w:tabs>
        <w:spacing w:line="360" w:lineRule="auto"/>
        <w:jc w:val="both"/>
        <w:outlineLvl w:val="2"/>
        <w:rPr>
          <w:rFonts w:ascii="Palatino Linotype" w:hAnsi="Palatino Linotype" w:cs="Arial"/>
          <w:b/>
        </w:rPr>
      </w:pPr>
      <w:bookmarkStart w:id="167" w:name="_Toc51863315"/>
      <w:bookmarkStart w:id="168" w:name="_Toc52444649"/>
      <w:bookmarkStart w:id="169" w:name="_Toc57154368"/>
      <w:bookmarkStart w:id="170" w:name="_Toc65170174"/>
      <w:bookmarkStart w:id="171" w:name="_Toc66371800"/>
      <w:bookmarkStart w:id="172" w:name="_Toc67584835"/>
      <w:bookmarkStart w:id="173" w:name="_Toc70070911"/>
      <w:bookmarkStart w:id="174" w:name="_Toc70593358"/>
      <w:bookmarkStart w:id="175" w:name="_Toc71290717"/>
      <w:bookmarkStart w:id="176" w:name="_Toc71291223"/>
      <w:bookmarkStart w:id="177" w:name="_Toc71674122"/>
      <w:bookmarkStart w:id="178" w:name="_Toc83128591"/>
      <w:r w:rsidRPr="00BC5411">
        <w:rPr>
          <w:rFonts w:ascii="Palatino Linotype" w:hAnsi="Palatino Linotype" w:cs="Arial"/>
          <w:b/>
        </w:rPr>
        <w:t>Requisitos previos.</w:t>
      </w:r>
      <w:bookmarkEnd w:id="167"/>
      <w:bookmarkEnd w:id="168"/>
      <w:bookmarkEnd w:id="169"/>
      <w:bookmarkEnd w:id="170"/>
      <w:bookmarkEnd w:id="171"/>
      <w:bookmarkEnd w:id="172"/>
      <w:bookmarkEnd w:id="173"/>
      <w:bookmarkEnd w:id="174"/>
      <w:bookmarkEnd w:id="175"/>
      <w:bookmarkEnd w:id="176"/>
      <w:bookmarkEnd w:id="177"/>
      <w:bookmarkEnd w:id="178"/>
    </w:p>
    <w:p w:rsidR="009F09BC" w:rsidRPr="00BC5411" w:rsidRDefault="009F09BC" w:rsidP="00855290">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9F09BC" w:rsidRPr="00BC5411" w:rsidRDefault="009F09BC" w:rsidP="00855290">
      <w:pPr>
        <w:pStyle w:val="Prrafodelista"/>
        <w:spacing w:line="360" w:lineRule="auto"/>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El último de estos requisitos previos consiste en que no se pueden emitir acuerdos de carácter general ni particular, según lo disponen los artículos 134 y 108 de la Ley Estatal y de la Ley General, respectivamente, esto es, </w:t>
      </w:r>
      <w:r w:rsidRPr="00BC5411">
        <w:rPr>
          <w:rFonts w:ascii="Palatino Linotype" w:eastAsia="MS Gothic" w:hAnsi="Palatino Linotype" w:cs="Times New Roman"/>
          <w:b/>
          <w:u w:val="single"/>
        </w:rPr>
        <w:t xml:space="preserve">no se puede hacer un acuerdo para clasificar de manera general todos los documentos de un </w:t>
      </w:r>
      <w:r w:rsidRPr="00BC5411">
        <w:rPr>
          <w:rFonts w:ascii="Palatino Linotype" w:eastAsia="MS Gothic" w:hAnsi="Palatino Linotype" w:cs="Times New Roman"/>
          <w:b/>
          <w:u w:val="single"/>
        </w:rPr>
        <w:lastRenderedPageBreak/>
        <w:t>expediente o área</w:t>
      </w:r>
      <w:r w:rsidRPr="00BC5411">
        <w:rPr>
          <w:rFonts w:ascii="Palatino Linotype" w:eastAsia="MS Gothic" w:hAnsi="Palatino Linotype" w:cs="Times New Roman"/>
          <w:b/>
        </w:rPr>
        <w:t xml:space="preserve">,  </w:t>
      </w:r>
      <w:r w:rsidRPr="00BC5411">
        <w:rPr>
          <w:rFonts w:ascii="Palatino Linotype" w:eastAsia="MS Gothic" w:hAnsi="Palatino Linotype" w:cs="Times New Roman"/>
        </w:rPr>
        <w:t>sin individualizar su análisis y tampoco se puede hacer un acuerdo por cada dato que se vaya a clasificar dentro de un documento con diez datos, por ejemplo, susceptibles de ser clasificados.</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5"/>
        </w:numPr>
        <w:tabs>
          <w:tab w:val="left" w:pos="142"/>
          <w:tab w:val="left" w:pos="284"/>
          <w:tab w:val="left" w:pos="426"/>
        </w:tabs>
        <w:spacing w:line="360" w:lineRule="auto"/>
        <w:jc w:val="both"/>
        <w:outlineLvl w:val="2"/>
        <w:rPr>
          <w:rFonts w:ascii="Palatino Linotype" w:hAnsi="Palatino Linotype" w:cs="Arial"/>
          <w:b/>
        </w:rPr>
      </w:pPr>
      <w:bookmarkStart w:id="179" w:name="_Toc51863316"/>
      <w:bookmarkStart w:id="180" w:name="_Toc52444650"/>
      <w:bookmarkStart w:id="181" w:name="_Toc57154369"/>
      <w:bookmarkStart w:id="182" w:name="_Toc65170175"/>
      <w:bookmarkStart w:id="183" w:name="_Toc66371801"/>
      <w:bookmarkStart w:id="184" w:name="_Toc67584836"/>
      <w:bookmarkStart w:id="185" w:name="_Toc70070912"/>
      <w:bookmarkStart w:id="186" w:name="_Toc70593359"/>
      <w:bookmarkStart w:id="187" w:name="_Toc71290718"/>
      <w:bookmarkStart w:id="188" w:name="_Toc71291224"/>
      <w:bookmarkStart w:id="189" w:name="_Toc71674123"/>
      <w:bookmarkStart w:id="190" w:name="_Toc83128592"/>
      <w:r w:rsidRPr="00BC5411">
        <w:rPr>
          <w:rFonts w:ascii="Palatino Linotype" w:hAnsi="Palatino Linotype" w:cs="Arial"/>
          <w:b/>
        </w:rPr>
        <w:t>Supuestos de clasificación.</w:t>
      </w:r>
      <w:bookmarkEnd w:id="179"/>
      <w:bookmarkEnd w:id="180"/>
      <w:bookmarkEnd w:id="181"/>
      <w:bookmarkEnd w:id="182"/>
      <w:bookmarkEnd w:id="183"/>
      <w:bookmarkEnd w:id="184"/>
      <w:bookmarkEnd w:id="185"/>
      <w:bookmarkEnd w:id="186"/>
      <w:bookmarkEnd w:id="187"/>
      <w:bookmarkEnd w:id="188"/>
      <w:bookmarkEnd w:id="189"/>
      <w:bookmarkEnd w:id="190"/>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Las disposiciones constitucionales y legales en la materia establecen los dos supuestos generales para clasificar la información: por reserva y por confidencialidad.</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Los artículos 143 y 116 de la Ley Estatal y de la Ley General, respectivamente, señalan los supuestos para que la información pueda ser clasificada como confidencial:</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BC5411">
        <w:rPr>
          <w:rFonts w:ascii="Palatino Linotype" w:hAnsi="Palatino Linotype" w:cs="Bookman Old Style"/>
          <w:bCs/>
          <w:i/>
          <w:color w:val="000000"/>
        </w:rPr>
        <w:t xml:space="preserve">“I. </w:t>
      </w:r>
      <w:r w:rsidRPr="00BC5411">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9F09BC" w:rsidRPr="00BC5411"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BC5411">
        <w:rPr>
          <w:rFonts w:ascii="Palatino Linotype" w:hAnsi="Palatino Linotype" w:cs="Bookman Old Style"/>
          <w:bCs/>
          <w:i/>
          <w:color w:val="000000"/>
        </w:rPr>
        <w:t xml:space="preserve">II. </w:t>
      </w:r>
      <w:r w:rsidRPr="00BC5411">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9F09BC" w:rsidRPr="00BC5411"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BC5411">
        <w:rPr>
          <w:rFonts w:ascii="Palatino Linotype" w:hAnsi="Palatino Linotype" w:cs="Bookman Old Style"/>
          <w:bCs/>
          <w:i/>
          <w:color w:val="000000"/>
        </w:rPr>
        <w:t xml:space="preserve">III. </w:t>
      </w:r>
      <w:r w:rsidRPr="00BC5411">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9F09BC" w:rsidRPr="00BC5411"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BC5411">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w:t>
      </w:r>
      <w:r w:rsidRPr="00BC5411">
        <w:rPr>
          <w:rFonts w:ascii="Palatino Linotype" w:hAnsi="Palatino Linotype" w:cs="Bookman Old Style"/>
          <w:i/>
          <w:color w:val="000000"/>
        </w:rPr>
        <w:lastRenderedPageBreak/>
        <w:t xml:space="preserve">públicos facultados para ello. </w:t>
      </w:r>
    </w:p>
    <w:p w:rsidR="009F09BC" w:rsidRPr="00BC5411" w:rsidRDefault="009F09BC" w:rsidP="00855290">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BC5411">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Como consecuencia de lo anterior, el </w:t>
      </w:r>
      <w:r w:rsidRPr="00BC5411">
        <w:rPr>
          <w:rFonts w:ascii="Palatino Linotype" w:eastAsia="MS Gothic" w:hAnsi="Palatino Linotype" w:cs="Times New Roman"/>
          <w:b/>
        </w:rPr>
        <w:t>SUJETO OBLIGADO</w:t>
      </w:r>
      <w:r w:rsidRPr="00BC5411">
        <w:rPr>
          <w:rFonts w:ascii="Palatino Linotype" w:eastAsia="MS Gothic" w:hAnsi="Palatino Linotype" w:cs="Times New Roman"/>
        </w:rPr>
        <w:t xml:space="preserve"> debe identificar claramente el tipo de información y hacer un juicio de subsunción o encaje</w:t>
      </w:r>
      <w:r w:rsidRPr="00BC5411">
        <w:rPr>
          <w:rFonts w:ascii="Palatino Linotype" w:eastAsia="MS Gothic" w:hAnsi="Palatino Linotype" w:cs="Times New Roman"/>
          <w:vertAlign w:val="superscript"/>
        </w:rPr>
        <w:footnoteReference w:id="9"/>
      </w:r>
      <w:r w:rsidRPr="00BC5411">
        <w:rPr>
          <w:rFonts w:ascii="Palatino Linotype" w:eastAsia="MS Gothic" w:hAnsi="Palatino Linotype" w:cs="Times New Roman"/>
        </w:rPr>
        <w:t xml:space="preserve"> para </w:t>
      </w:r>
      <w:r w:rsidRPr="00BC5411">
        <w:rPr>
          <w:rFonts w:ascii="Palatino Linotype" w:eastAsia="MS Gothic" w:hAnsi="Palatino Linotype" w:cs="Times New Roman"/>
        </w:rPr>
        <w:lastRenderedPageBreak/>
        <w:t>acreditar que el supuesto de hecho corresponde estrictamente con la hipótesis jurídica. Esto también lo debe de realizar el servidor público habilitado y el titular del área que administra la información.</w:t>
      </w:r>
    </w:p>
    <w:p w:rsidR="009F09BC" w:rsidRPr="00BC5411" w:rsidRDefault="009F09BC" w:rsidP="00855290">
      <w:pPr>
        <w:pStyle w:val="Prrafodelista"/>
        <w:spacing w:line="360" w:lineRule="auto"/>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9A2251" w:rsidRPr="00BC5411" w:rsidRDefault="009A2251" w:rsidP="00855290">
      <w:pPr>
        <w:pStyle w:val="Prrafodelista"/>
        <w:spacing w:line="360" w:lineRule="auto"/>
        <w:rPr>
          <w:rFonts w:ascii="Palatino Linotype" w:hAnsi="Palatino Linotype" w:cs="Arial"/>
        </w:rPr>
      </w:pP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w:t>
      </w:r>
      <w:r w:rsidRPr="00BC5411">
        <w:rPr>
          <w:rFonts w:ascii="Palatino Linotype" w:hAnsi="Palatino Linotype" w:cs="Arial"/>
          <w:b/>
          <w:i/>
        </w:rPr>
        <w:t>Quincuagésimo.</w:t>
      </w:r>
      <w:r w:rsidRPr="00BC541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b/>
          <w:i/>
        </w:rPr>
        <w:t>Quincuagésimo primero.</w:t>
      </w:r>
      <w:r w:rsidRPr="00BC5411">
        <w:rPr>
          <w:rFonts w:ascii="Palatino Linotype" w:hAnsi="Palatino Linotype" w:cs="Arial"/>
          <w:i/>
        </w:rPr>
        <w:t xml:space="preserve"> La leyenda en los documentos clasificados indicará:</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I. La fecha de sesión del Comité de Transparencia en donde se confirmó la clasificación, en su caso;</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II. El nombre del área;</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III. La palabra reservado o confidencial;</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IV. Las partes o secciones reservadas o confidenciales, en su caso;</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V. El fundamento legal;</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VI. El periodo de reserva, y</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VII. La rúbrica del titular del área.</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b/>
          <w:i/>
        </w:rPr>
        <w:lastRenderedPageBreak/>
        <w:t>Quincuagésimo segundo.</w:t>
      </w:r>
      <w:r w:rsidRPr="00BC541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9F09BC" w:rsidRPr="00BC5411" w:rsidRDefault="009F09BC" w:rsidP="00855290">
      <w:pPr>
        <w:pStyle w:val="Prrafodelista"/>
        <w:tabs>
          <w:tab w:val="left" w:pos="142"/>
          <w:tab w:val="left" w:pos="284"/>
          <w:tab w:val="left" w:pos="426"/>
        </w:tabs>
        <w:spacing w:line="360" w:lineRule="auto"/>
        <w:ind w:left="567" w:right="567"/>
        <w:jc w:val="both"/>
        <w:rPr>
          <w:rFonts w:ascii="Palatino Linotype" w:hAnsi="Palatino Linotype" w:cs="Arial"/>
          <w:i/>
        </w:rPr>
      </w:pPr>
      <w:r w:rsidRPr="00BC5411">
        <w:rPr>
          <w:rFonts w:ascii="Palatino Linotype" w:hAnsi="Palatino Linotype" w:cs="Arial"/>
          <w:b/>
          <w:i/>
        </w:rPr>
        <w:t>Quincuagésimo tercero.</w:t>
      </w:r>
      <w:r w:rsidRPr="00BC5411">
        <w:rPr>
          <w:rFonts w:ascii="Palatino Linotype" w:hAnsi="Palatino Linotype" w:cs="Arial"/>
          <w:i/>
        </w:rPr>
        <w:t xml:space="preserve"> El formato para señalar la clasificación parcial de un documento, es el siguiente:</w:t>
      </w:r>
    </w:p>
    <w:p w:rsidR="009F09BC" w:rsidRPr="00BC5411" w:rsidRDefault="009F09BC" w:rsidP="00855290">
      <w:pPr>
        <w:pStyle w:val="Prrafodelista"/>
        <w:tabs>
          <w:tab w:val="left" w:pos="142"/>
          <w:tab w:val="left" w:pos="284"/>
          <w:tab w:val="left" w:pos="426"/>
        </w:tabs>
        <w:spacing w:line="360" w:lineRule="auto"/>
        <w:ind w:left="0"/>
        <w:jc w:val="center"/>
        <w:rPr>
          <w:rFonts w:ascii="Palatino Linotype" w:hAnsi="Palatino Linotype" w:cs="Arial"/>
        </w:rPr>
      </w:pPr>
      <w:r w:rsidRPr="00BC5411">
        <w:rPr>
          <w:rFonts w:ascii="Palatino Linotype" w:hAnsi="Palatino Linotype" w:cs="Arial"/>
          <w:i/>
          <w:noProof/>
          <w:lang w:val="es-MX" w:eastAsia="es-MX"/>
        </w:rPr>
        <w:drawing>
          <wp:inline distT="0" distB="0" distL="0" distR="0" wp14:anchorId="2E6835A7" wp14:editId="6EDF19F0">
            <wp:extent cx="4337050" cy="3752850"/>
            <wp:effectExtent l="57150" t="57150" r="120650"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6412" cy="368307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Una vez hecho lo anterior, se remite la información al Titular de la Unidad de Transparencia, con el acuerdo de clasificación correspondiente, para que sea sometido al conocimiento del Comité de Transparencia.</w:t>
      </w:r>
    </w:p>
    <w:p w:rsidR="009F09BC" w:rsidRPr="00BC5411" w:rsidRDefault="009F09BC" w:rsidP="00855290">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191" w:name="_Toc51863317"/>
      <w:bookmarkStart w:id="192" w:name="_Toc52444651"/>
      <w:bookmarkStart w:id="193" w:name="_Toc57154370"/>
      <w:bookmarkStart w:id="194" w:name="_Toc65170176"/>
      <w:bookmarkStart w:id="195" w:name="_Toc66371802"/>
      <w:bookmarkStart w:id="196" w:name="_Toc67584837"/>
      <w:bookmarkStart w:id="197" w:name="_Toc70070913"/>
      <w:bookmarkStart w:id="198" w:name="_Toc70593360"/>
      <w:bookmarkStart w:id="199" w:name="_Toc71290719"/>
      <w:bookmarkStart w:id="200" w:name="_Toc71291225"/>
      <w:bookmarkStart w:id="201" w:name="_Toc71674124"/>
      <w:bookmarkStart w:id="202" w:name="_Toc83128593"/>
      <w:r w:rsidRPr="00BC5411">
        <w:rPr>
          <w:rFonts w:ascii="Palatino Linotype" w:hAnsi="Palatino Linotype" w:cs="Arial"/>
          <w:b/>
        </w:rPr>
        <w:t>III. La intervención del Comité de Transparencia.</w:t>
      </w:r>
      <w:bookmarkEnd w:id="191"/>
      <w:bookmarkEnd w:id="192"/>
      <w:bookmarkEnd w:id="193"/>
      <w:bookmarkEnd w:id="194"/>
      <w:bookmarkEnd w:id="195"/>
      <w:bookmarkEnd w:id="196"/>
      <w:bookmarkEnd w:id="197"/>
      <w:bookmarkEnd w:id="198"/>
      <w:bookmarkEnd w:id="199"/>
      <w:bookmarkEnd w:id="200"/>
      <w:bookmarkEnd w:id="201"/>
      <w:bookmarkEnd w:id="202"/>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b/>
        </w:rPr>
      </w:pPr>
      <w:r w:rsidRPr="00BC5411">
        <w:rPr>
          <w:rFonts w:ascii="Palatino Linotype" w:hAnsi="Palatino Linotype" w:cs="Arial"/>
          <w:b/>
        </w:rPr>
        <w:t>a) Formalidades para emitir el Acuerdo de Clasificación.</w:t>
      </w:r>
    </w:p>
    <w:p w:rsidR="00562C0A" w:rsidRPr="00BC5411" w:rsidRDefault="00562C0A" w:rsidP="00855290">
      <w:pPr>
        <w:pStyle w:val="Prrafodelista"/>
        <w:tabs>
          <w:tab w:val="left" w:pos="142"/>
          <w:tab w:val="left" w:pos="284"/>
          <w:tab w:val="left" w:pos="426"/>
        </w:tabs>
        <w:spacing w:line="360" w:lineRule="auto"/>
        <w:ind w:left="0"/>
        <w:jc w:val="both"/>
        <w:rPr>
          <w:rFonts w:ascii="Palatino Linotype" w:hAnsi="Palatino Linotype" w:cs="Arial"/>
          <w:b/>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BC5411">
        <w:rPr>
          <w:rFonts w:ascii="Palatino Linotype" w:eastAsia="MS Gothic" w:hAnsi="Palatino Linotype" w:cs="Times New Roman"/>
          <w:b/>
          <w:u w:val="single"/>
        </w:rPr>
        <w:t>confirmar, modificar o revocar</w:t>
      </w:r>
      <w:r w:rsidRPr="00BC5411">
        <w:rPr>
          <w:rFonts w:ascii="Palatino Linotype" w:eastAsia="MS Gothic" w:hAnsi="Palatino Linotype" w:cs="Times New Roman"/>
        </w:rPr>
        <w:t xml:space="preserve"> la clasificación de la información que ha hecho el titular del área que administra la información. Por lo tanto, el Comité </w:t>
      </w:r>
      <w:r w:rsidRPr="00BC5411">
        <w:rPr>
          <w:rFonts w:ascii="Palatino Linotype" w:eastAsia="MS Gothic" w:hAnsi="Palatino Linotype" w:cs="Times New Roman"/>
          <w:b/>
          <w:u w:val="single"/>
        </w:rPr>
        <w:t>no aprueba</w:t>
      </w:r>
      <w:r w:rsidRPr="00BC5411">
        <w:rPr>
          <w:rFonts w:ascii="Palatino Linotype" w:eastAsia="MS Gothic" w:hAnsi="Palatino Linotype" w:cs="Times New Roman"/>
        </w:rPr>
        <w:t xml:space="preserve"> la clasificación, sino que revisa lo que ha hecho el titular del área y confirma, modifica o revoca la decisión a través de un acuerdo.</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Evidentemente, esta decisión implica una restricción a un derecho humano, por lo tanto, puede generar un agravio al particular y, en consecuencia, es necesario que </w:t>
      </w:r>
      <w:r w:rsidRPr="00BC5411">
        <w:rPr>
          <w:rFonts w:ascii="Palatino Linotype" w:eastAsia="MS Gothic" w:hAnsi="Palatino Linotype" w:cs="Times New Roman"/>
          <w:b/>
          <w:u w:val="single"/>
        </w:rPr>
        <w:t>el acto reúna con los requisitos elementales</w:t>
      </w:r>
      <w:r w:rsidRPr="00BC5411">
        <w:rPr>
          <w:rFonts w:ascii="Palatino Linotype" w:eastAsia="MS Gothic" w:hAnsi="Palatino Linotype" w:cs="Times New Roman"/>
        </w:rPr>
        <w:t xml:space="preserve">, entre ellos, que la autoridad que va a emitir el acto de autoridad sea la legalmente facultada para ello, es decir, que cumpla con el principio de reserva de ley,  por lo que no está demás señalar que el artículo </w:t>
      </w:r>
      <w:r w:rsidRPr="00BC5411">
        <w:rPr>
          <w:rFonts w:ascii="Palatino Linotype" w:eastAsia="MS Gothic" w:hAnsi="Palatino Linotype" w:cs="Times New Roman"/>
        </w:rPr>
        <w:lastRenderedPageBreak/>
        <w:t>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6D15D0" w:rsidRPr="00BC5411" w:rsidRDefault="006D15D0" w:rsidP="00855290">
      <w:pPr>
        <w:pStyle w:val="Prrafodelista"/>
        <w:spacing w:line="360" w:lineRule="auto"/>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4"/>
        </w:numPr>
        <w:tabs>
          <w:tab w:val="left" w:pos="142"/>
          <w:tab w:val="left" w:pos="284"/>
          <w:tab w:val="left" w:pos="426"/>
        </w:tabs>
        <w:spacing w:line="360" w:lineRule="auto"/>
        <w:jc w:val="both"/>
        <w:rPr>
          <w:rFonts w:ascii="Palatino Linotype" w:hAnsi="Palatino Linotype" w:cs="Arial"/>
          <w:b/>
        </w:rPr>
      </w:pPr>
      <w:r w:rsidRPr="00BC5411">
        <w:rPr>
          <w:rFonts w:ascii="Palatino Linotype" w:hAnsi="Palatino Linotype" w:cs="Arial"/>
          <w:b/>
        </w:rPr>
        <w:t>Requisitos de fondo del Acuerdo de Clasificación.</w:t>
      </w: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w:t>
      </w:r>
      <w:r w:rsidRPr="00BC5411">
        <w:rPr>
          <w:rFonts w:ascii="Palatino Linotype" w:eastAsia="MS Gothic" w:hAnsi="Palatino Linotype" w:cs="Times New Roman"/>
        </w:rPr>
        <w:lastRenderedPageBreak/>
        <w:t>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54A61" w:rsidRPr="00BC5411" w:rsidRDefault="00E54A61" w:rsidP="00E54A61">
      <w:pPr>
        <w:pStyle w:val="Prrafodelista"/>
        <w:rPr>
          <w:rFonts w:ascii="Palatino Linotype" w:hAnsi="Palatino Linotype" w:cs="Arial"/>
        </w:rPr>
      </w:pPr>
    </w:p>
    <w:p w:rsidR="00E54A61" w:rsidRPr="00BC5411" w:rsidRDefault="00E54A61" w:rsidP="00E54A61">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BC5411">
        <w:rPr>
          <w:rFonts w:ascii="Palatino Linotype" w:eastAsia="MS Gothic" w:hAnsi="Palatino Linotype" w:cs="Times New Roman"/>
          <w:i/>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w:t>
      </w:r>
      <w:r w:rsidRPr="00BC5411">
        <w:rPr>
          <w:rFonts w:ascii="Palatino Linotype" w:eastAsia="MS Gothic" w:hAnsi="Palatino Linotype" w:cs="Times New Roman"/>
          <w:i/>
        </w:rPr>
        <w:lastRenderedPageBreak/>
        <w:t>normalmente a partir del análisis de las pruebas, lo cual se debe exteriorizar en una argumentación o juicio de hecho</w:t>
      </w:r>
      <w:r w:rsidRPr="00BC5411">
        <w:rPr>
          <w:rFonts w:ascii="Palatino Linotype" w:eastAsia="MS Gothic" w:hAnsi="Palatino Linotype" w:cs="Times New Roman"/>
        </w:rPr>
        <w:t>....”</w:t>
      </w:r>
      <w:r w:rsidRPr="00BC5411">
        <w:rPr>
          <w:rFonts w:ascii="Palatino Linotype" w:eastAsia="MS Gothic" w:hAnsi="Palatino Linotype" w:cs="Times New Roman"/>
          <w:vertAlign w:val="superscript"/>
        </w:rPr>
        <w:footnoteReference w:id="10"/>
      </w:r>
    </w:p>
    <w:p w:rsidR="009F09BC" w:rsidRPr="00BC5411" w:rsidRDefault="009F09BC" w:rsidP="00855290">
      <w:pPr>
        <w:pStyle w:val="Prrafodelista"/>
        <w:spacing w:line="360" w:lineRule="auto"/>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b/>
          <w:i/>
          <w:color w:val="000000"/>
        </w:rPr>
        <w:t>FUNDAMENTACIÓN Y MOTIVACIÓN.</w:t>
      </w:r>
      <w:r w:rsidRPr="00BC5411">
        <w:rPr>
          <w:rFonts w:ascii="Palatino Linotype" w:hAnsi="Palatino Linotype" w:cs="Arial"/>
          <w:i/>
          <w:color w:val="000000"/>
        </w:rPr>
        <w:t xml:space="preserve"> “La </w:t>
      </w:r>
      <w:r w:rsidRPr="00BC5411">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C5411">
        <w:rPr>
          <w:rFonts w:ascii="Palatino Linotype" w:hAnsi="Palatino Linotype" w:cs="Arial"/>
          <w:i/>
          <w:color w:val="000000"/>
        </w:rPr>
        <w:t>.”</w:t>
      </w: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i/>
          <w:color w:val="000000"/>
        </w:rPr>
        <w:t>SEGUNDO TRIBUNAL COLEGIADO DEL SEXTO CIRCUITO.</w:t>
      </w: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i/>
          <w:color w:val="000000"/>
        </w:rPr>
        <w:lastRenderedPageBreak/>
        <w:t>Amparo en revisión 333/88. Adilia Romero. 26 de octubre de 1988. Unanimidad de votos. Ponente: Arnoldo Nájera Virgen. Secretario: Enrique Crispín Campos Ramírez.</w:t>
      </w: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9F09BC" w:rsidRPr="00BC5411" w:rsidRDefault="009F09BC" w:rsidP="00855290">
      <w:pPr>
        <w:spacing w:line="360" w:lineRule="auto"/>
        <w:ind w:left="851" w:right="618"/>
        <w:contextualSpacing/>
        <w:jc w:val="both"/>
        <w:rPr>
          <w:rFonts w:ascii="Palatino Linotype" w:hAnsi="Palatino Linotype" w:cs="Arial"/>
          <w:i/>
          <w:color w:val="000000"/>
        </w:rPr>
      </w:pPr>
      <w:r w:rsidRPr="00BC5411">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BC5411">
        <w:rPr>
          <w:rFonts w:ascii="Palatino Linotype" w:hAnsi="Palatino Linotype" w:cs="Arial"/>
          <w:i/>
          <w:color w:val="000000"/>
        </w:rPr>
        <w:t>Baigts</w:t>
      </w:r>
      <w:proofErr w:type="spellEnd"/>
      <w:r w:rsidRPr="00BC5411">
        <w:rPr>
          <w:rFonts w:ascii="Palatino Linotype" w:hAnsi="Palatino Linotype" w:cs="Arial"/>
          <w:i/>
          <w:color w:val="000000"/>
        </w:rPr>
        <w:t xml:space="preserve"> Muñoz.</w:t>
      </w:r>
    </w:p>
    <w:p w:rsidR="00562C0A" w:rsidRPr="00BC5411" w:rsidRDefault="00562C0A" w:rsidP="00855290">
      <w:pPr>
        <w:spacing w:line="360" w:lineRule="auto"/>
        <w:ind w:left="851" w:right="618"/>
        <w:contextualSpacing/>
        <w:jc w:val="both"/>
        <w:rPr>
          <w:rFonts w:ascii="Palatino Linotype" w:hAnsi="Palatino Linotype" w:cs="Arial"/>
          <w:i/>
          <w:color w:val="000000"/>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lastRenderedPageBreak/>
        <w:t xml:space="preserve"> En ese mismo sentido, el numeral trigésimo tercero fracción V de los Lineamientos Generales, precisa que para motivar la clasificación se deben acreditar las circunstancias de tiempo, modo y lugar.</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21B43">
      <w:pPr>
        <w:pStyle w:val="Prrafodelista"/>
        <w:numPr>
          <w:ilvl w:val="0"/>
          <w:numId w:val="1"/>
        </w:numPr>
        <w:tabs>
          <w:tab w:val="left" w:pos="142"/>
          <w:tab w:val="left" w:pos="284"/>
          <w:tab w:val="left" w:pos="426"/>
        </w:tabs>
        <w:spacing w:line="360" w:lineRule="auto"/>
        <w:ind w:left="0" w:firstLine="0"/>
        <w:jc w:val="both"/>
        <w:rPr>
          <w:rFonts w:ascii="Palatino Linotype" w:hAnsi="Palatino Linotype" w:cs="Arial"/>
        </w:rPr>
      </w:pPr>
      <w:r w:rsidRPr="00BC5411">
        <w:rPr>
          <w:rFonts w:ascii="Palatino Linotype" w:eastAsia="MS Gothic" w:hAnsi="Palatino Linotype" w:cs="Times New Roman"/>
        </w:rPr>
        <w:t xml:space="preserve">Ahora bien, </w:t>
      </w:r>
      <w:r w:rsidRPr="00BC5411">
        <w:rPr>
          <w:rFonts w:ascii="Palatino Linotype" w:eastAsia="MS Gothic" w:hAnsi="Palatino Linotype" w:cs="Times New Roman"/>
          <w:b/>
          <w:u w:val="single"/>
        </w:rPr>
        <w:t>para cada caso además de fundar y motivar</w:t>
      </w:r>
      <w:r w:rsidRPr="00BC5411">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C5411">
        <w:rPr>
          <w:rFonts w:ascii="Palatino Linotype" w:eastAsia="MS Gothic" w:hAnsi="Palatino Linotype" w:cs="Times New Roman"/>
          <w:vertAlign w:val="superscript"/>
        </w:rPr>
        <w:footnoteReference w:id="11"/>
      </w:r>
      <w:r w:rsidRPr="00BC5411">
        <w:rPr>
          <w:rFonts w:ascii="Palatino Linotype" w:eastAsia="MS Gothic" w:hAnsi="Palatino Linotype" w:cs="Times New Roman"/>
        </w:rPr>
        <w:t xml:space="preserve"> del servidor público que no tienen ninguna injerencia en el tema de la transparencia y la rendición de cuentas, por ejemplo, </w:t>
      </w:r>
      <w:r w:rsidRPr="00BC5411">
        <w:rPr>
          <w:rFonts w:ascii="Palatino Linotype" w:eastAsia="MS Gothic" w:hAnsi="Palatino Linotype" w:cs="Times New Roman"/>
          <w:lang w:val="es-ES"/>
        </w:rPr>
        <w:t>Clave Única de Registro de Población (CURP), Registro Federal de Contribuyentes (R.F.C.), son datos  susceptibles de clasificarse como confidenciales mediante una versión pública que deje a la vista los datos que ofrezcan la información requerida.</w:t>
      </w:r>
    </w:p>
    <w:p w:rsidR="009F09BC" w:rsidRPr="00BC5411" w:rsidRDefault="009F09BC" w:rsidP="00855290">
      <w:pPr>
        <w:pStyle w:val="Prrafodelista"/>
        <w:tabs>
          <w:tab w:val="left" w:pos="142"/>
          <w:tab w:val="left" w:pos="284"/>
          <w:tab w:val="left" w:pos="426"/>
        </w:tabs>
        <w:spacing w:line="360" w:lineRule="auto"/>
        <w:ind w:left="0"/>
        <w:jc w:val="both"/>
        <w:rPr>
          <w:rFonts w:ascii="Palatino Linotype" w:hAnsi="Palatino Linotype" w:cs="Arial"/>
        </w:rPr>
      </w:pPr>
    </w:p>
    <w:p w:rsidR="00353521" w:rsidRPr="00BC5411" w:rsidRDefault="00353521" w:rsidP="00353521">
      <w:pPr>
        <w:pStyle w:val="Prrafodelista"/>
        <w:rPr>
          <w:rFonts w:ascii="Palatino Linotype" w:hAnsi="Palatino Linotype" w:cs="Arial"/>
        </w:rPr>
      </w:pPr>
    </w:p>
    <w:p w:rsidR="00353521" w:rsidRPr="00BC5411" w:rsidRDefault="00353521" w:rsidP="00353521">
      <w:pPr>
        <w:pStyle w:val="Prrafodelista"/>
        <w:tabs>
          <w:tab w:val="left" w:pos="142"/>
          <w:tab w:val="left" w:pos="284"/>
          <w:tab w:val="left" w:pos="426"/>
        </w:tabs>
        <w:spacing w:line="360" w:lineRule="auto"/>
        <w:ind w:left="0"/>
        <w:jc w:val="both"/>
        <w:rPr>
          <w:rFonts w:ascii="Palatino Linotype" w:hAnsi="Palatino Linotype" w:cs="Arial"/>
        </w:rPr>
      </w:pPr>
    </w:p>
    <w:p w:rsidR="00B047FA" w:rsidRPr="00BC5411" w:rsidRDefault="00B047FA" w:rsidP="00353521">
      <w:pPr>
        <w:pStyle w:val="Prrafodelista"/>
        <w:tabs>
          <w:tab w:val="left" w:pos="142"/>
          <w:tab w:val="left" w:pos="284"/>
          <w:tab w:val="left" w:pos="426"/>
        </w:tabs>
        <w:spacing w:line="360" w:lineRule="auto"/>
        <w:ind w:left="0"/>
        <w:jc w:val="both"/>
        <w:rPr>
          <w:rFonts w:ascii="Palatino Linotype" w:hAnsi="Palatino Linotype" w:cs="Arial"/>
        </w:rPr>
      </w:pPr>
    </w:p>
    <w:p w:rsidR="00B047FA" w:rsidRPr="00BC5411" w:rsidRDefault="00B047FA" w:rsidP="00353521">
      <w:pPr>
        <w:pStyle w:val="Prrafodelista"/>
        <w:tabs>
          <w:tab w:val="left" w:pos="142"/>
          <w:tab w:val="left" w:pos="284"/>
          <w:tab w:val="left" w:pos="426"/>
        </w:tabs>
        <w:spacing w:line="360" w:lineRule="auto"/>
        <w:ind w:left="0"/>
        <w:jc w:val="both"/>
        <w:rPr>
          <w:rFonts w:ascii="Palatino Linotype" w:hAnsi="Palatino Linotype" w:cs="Arial"/>
        </w:rPr>
      </w:pPr>
    </w:p>
    <w:p w:rsidR="00B047FA" w:rsidRPr="00BC5411" w:rsidRDefault="00B047FA" w:rsidP="00353521">
      <w:pPr>
        <w:pStyle w:val="Prrafodelista"/>
        <w:tabs>
          <w:tab w:val="left" w:pos="142"/>
          <w:tab w:val="left" w:pos="284"/>
          <w:tab w:val="left" w:pos="426"/>
        </w:tabs>
        <w:spacing w:line="360" w:lineRule="auto"/>
        <w:ind w:left="0"/>
        <w:jc w:val="both"/>
        <w:rPr>
          <w:rFonts w:ascii="Palatino Linotype" w:hAnsi="Palatino Linotype" w:cs="Arial"/>
        </w:rPr>
      </w:pPr>
    </w:p>
    <w:p w:rsidR="009F09BC" w:rsidRPr="00BC5411" w:rsidRDefault="009F09BC" w:rsidP="00855290">
      <w:pPr>
        <w:pStyle w:val="Ttulo1"/>
        <w:spacing w:before="0" w:line="360" w:lineRule="auto"/>
        <w:jc w:val="center"/>
        <w:rPr>
          <w:rFonts w:ascii="Palatino Linotype" w:eastAsia="Calibri" w:hAnsi="Palatino Linotype"/>
          <w:b/>
          <w:color w:val="000000" w:themeColor="text1"/>
          <w:sz w:val="24"/>
          <w:szCs w:val="24"/>
          <w:lang w:val="es-ES"/>
        </w:rPr>
      </w:pPr>
      <w:bookmarkStart w:id="203" w:name="_Toc504500693"/>
      <w:bookmarkStart w:id="204" w:name="_Toc534742545"/>
      <w:bookmarkStart w:id="205" w:name="_Toc2248738"/>
      <w:bookmarkStart w:id="206" w:name="_Toc34819440"/>
      <w:bookmarkStart w:id="207" w:name="_Toc51259595"/>
      <w:bookmarkStart w:id="208" w:name="_Toc83128595"/>
      <w:r w:rsidRPr="00BC5411">
        <w:rPr>
          <w:rFonts w:ascii="Palatino Linotype" w:eastAsia="Calibri" w:hAnsi="Palatino Linotype"/>
          <w:b/>
          <w:color w:val="000000" w:themeColor="text1"/>
          <w:sz w:val="24"/>
          <w:szCs w:val="24"/>
          <w:lang w:val="es-ES"/>
        </w:rPr>
        <w:lastRenderedPageBreak/>
        <w:t>R E S O L U T I V O S</w:t>
      </w:r>
      <w:bookmarkEnd w:id="203"/>
      <w:bookmarkEnd w:id="204"/>
      <w:bookmarkEnd w:id="205"/>
      <w:bookmarkEnd w:id="206"/>
      <w:bookmarkEnd w:id="207"/>
      <w:bookmarkEnd w:id="208"/>
      <w:r w:rsidRPr="00BC5411">
        <w:rPr>
          <w:rFonts w:ascii="Palatino Linotype" w:eastAsia="Calibri" w:hAnsi="Palatino Linotype"/>
          <w:b/>
          <w:color w:val="000000" w:themeColor="text1"/>
          <w:sz w:val="24"/>
          <w:szCs w:val="24"/>
          <w:lang w:val="es-ES"/>
        </w:rPr>
        <w:t xml:space="preserve"> </w:t>
      </w:r>
    </w:p>
    <w:p w:rsidR="009072B7" w:rsidRPr="00BC5411" w:rsidRDefault="009072B7" w:rsidP="00855290">
      <w:pPr>
        <w:spacing w:line="360" w:lineRule="auto"/>
        <w:rPr>
          <w:rFonts w:ascii="Palatino Linotype" w:hAnsi="Palatino Linotype"/>
          <w:lang w:val="es-ES"/>
        </w:rPr>
      </w:pPr>
    </w:p>
    <w:p w:rsidR="009F09BC" w:rsidRPr="00BC5411" w:rsidRDefault="009F09BC" w:rsidP="00855290">
      <w:pPr>
        <w:spacing w:line="360" w:lineRule="auto"/>
        <w:jc w:val="both"/>
        <w:rPr>
          <w:rFonts w:ascii="Palatino Linotype" w:eastAsia="Times New Roman" w:hAnsi="Palatino Linotype" w:cs="Arial"/>
          <w:lang w:val="es-ES"/>
        </w:rPr>
      </w:pPr>
      <w:r w:rsidRPr="00BC5411">
        <w:rPr>
          <w:rFonts w:ascii="Palatino Linotype" w:eastAsia="Times New Roman" w:hAnsi="Palatino Linotype" w:cs="Arial"/>
          <w:b/>
        </w:rPr>
        <w:t>PRIMERO</w:t>
      </w:r>
      <w:r w:rsidRPr="00BC5411">
        <w:rPr>
          <w:rFonts w:ascii="Palatino Linotype" w:eastAsia="Times New Roman" w:hAnsi="Palatino Linotype" w:cs="Arial"/>
          <w:lang w:val="es-ES"/>
        </w:rPr>
        <w:t xml:space="preserve">. </w:t>
      </w:r>
      <w:bookmarkStart w:id="209" w:name="_GoBack"/>
      <w:r w:rsidRPr="00BC5411">
        <w:rPr>
          <w:rFonts w:ascii="Palatino Linotype" w:eastAsia="Times New Roman" w:hAnsi="Palatino Linotype" w:cs="Arial"/>
          <w:lang w:val="es-ES"/>
        </w:rPr>
        <w:t>Resultan parcialmente fundadas las razones o motivos de inconformidad hechos valer en</w:t>
      </w:r>
      <w:r w:rsidR="009A2251" w:rsidRPr="00BC5411">
        <w:rPr>
          <w:rFonts w:ascii="Palatino Linotype" w:eastAsia="Times New Roman" w:hAnsi="Palatino Linotype" w:cs="Arial"/>
          <w:lang w:val="es-ES"/>
        </w:rPr>
        <w:t xml:space="preserve"> el</w:t>
      </w:r>
      <w:r w:rsidRPr="00BC5411">
        <w:rPr>
          <w:rFonts w:ascii="Palatino Linotype" w:eastAsia="Times New Roman" w:hAnsi="Palatino Linotype" w:cs="Arial"/>
          <w:lang w:val="es-ES"/>
        </w:rPr>
        <w:t xml:space="preserve"> Recurso de Revisión </w:t>
      </w:r>
      <w:r w:rsidR="00627608" w:rsidRPr="00BC5411">
        <w:rPr>
          <w:rFonts w:ascii="Palatino Linotype" w:hAnsi="Palatino Linotype"/>
          <w:b/>
        </w:rPr>
        <w:t>01003/INFOEM/IP/RR/2022</w:t>
      </w:r>
      <w:r w:rsidRPr="00BC5411">
        <w:rPr>
          <w:rFonts w:ascii="Palatino Linotype" w:hAnsi="Palatino Linotype"/>
        </w:rPr>
        <w:t>,</w:t>
      </w:r>
      <w:r w:rsidRPr="00BC5411">
        <w:rPr>
          <w:rFonts w:ascii="Palatino Linotype" w:eastAsia="Times New Roman" w:hAnsi="Palatino Linotype" w:cs="Arial"/>
          <w:b/>
          <w:lang w:val="es-ES"/>
        </w:rPr>
        <w:t xml:space="preserve"> </w:t>
      </w:r>
      <w:r w:rsidRPr="00BC5411">
        <w:rPr>
          <w:rFonts w:ascii="Palatino Linotype" w:eastAsia="Times New Roman" w:hAnsi="Palatino Linotype" w:cs="Arial"/>
          <w:lang w:val="es-ES"/>
        </w:rPr>
        <w:t xml:space="preserve">en términos de los Considerandos </w:t>
      </w:r>
      <w:r w:rsidRPr="00BC5411">
        <w:rPr>
          <w:rFonts w:ascii="Palatino Linotype" w:eastAsia="Times New Roman" w:hAnsi="Palatino Linotype" w:cs="Arial"/>
          <w:b/>
          <w:lang w:val="es-ES"/>
        </w:rPr>
        <w:t xml:space="preserve">CUARTO </w:t>
      </w:r>
      <w:r w:rsidRPr="00BC5411">
        <w:rPr>
          <w:rFonts w:ascii="Palatino Linotype" w:eastAsia="Times New Roman" w:hAnsi="Palatino Linotype" w:cs="Arial"/>
          <w:lang w:val="es-ES"/>
        </w:rPr>
        <w:t>y</w:t>
      </w:r>
      <w:r w:rsidRPr="00BC5411">
        <w:rPr>
          <w:rFonts w:ascii="Palatino Linotype" w:eastAsia="Times New Roman" w:hAnsi="Palatino Linotype" w:cs="Arial"/>
          <w:b/>
          <w:lang w:val="es-ES"/>
        </w:rPr>
        <w:t xml:space="preserve"> </w:t>
      </w:r>
      <w:r w:rsidR="00F81B92" w:rsidRPr="00BC5411">
        <w:rPr>
          <w:rFonts w:ascii="Palatino Linotype" w:eastAsia="Times New Roman" w:hAnsi="Palatino Linotype" w:cs="Arial"/>
          <w:b/>
          <w:lang w:val="es-ES"/>
        </w:rPr>
        <w:t>QUIN</w:t>
      </w:r>
      <w:r w:rsidRPr="00BC5411">
        <w:rPr>
          <w:rFonts w:ascii="Palatino Linotype" w:eastAsia="Times New Roman" w:hAnsi="Palatino Linotype" w:cs="Arial"/>
          <w:b/>
          <w:lang w:val="es-ES"/>
        </w:rPr>
        <w:t xml:space="preserve">TO </w:t>
      </w:r>
      <w:r w:rsidRPr="00BC5411">
        <w:rPr>
          <w:rFonts w:ascii="Palatino Linotype" w:eastAsia="Times New Roman" w:hAnsi="Palatino Linotype" w:cs="Arial"/>
          <w:lang w:val="es-ES"/>
        </w:rPr>
        <w:t xml:space="preserve">de la presente resolución. </w:t>
      </w:r>
    </w:p>
    <w:p w:rsidR="009072B7" w:rsidRPr="00BC5411" w:rsidRDefault="009072B7" w:rsidP="00855290">
      <w:pPr>
        <w:spacing w:line="360" w:lineRule="auto"/>
        <w:jc w:val="both"/>
        <w:rPr>
          <w:rFonts w:ascii="Palatino Linotype" w:eastAsia="Times New Roman" w:hAnsi="Palatino Linotype" w:cs="Arial"/>
          <w:lang w:val="es-ES"/>
        </w:rPr>
      </w:pPr>
    </w:p>
    <w:p w:rsidR="0065530D" w:rsidRPr="00BC5411" w:rsidRDefault="009F09BC" w:rsidP="005C7272">
      <w:pPr>
        <w:autoSpaceDE w:val="0"/>
        <w:autoSpaceDN w:val="0"/>
        <w:adjustRightInd w:val="0"/>
        <w:spacing w:line="360" w:lineRule="auto"/>
        <w:ind w:right="49"/>
        <w:jc w:val="both"/>
        <w:rPr>
          <w:rFonts w:ascii="Palatino Linotype" w:hAnsi="Palatino Linotype" w:cs="Arial"/>
          <w:lang w:val="es-ES"/>
        </w:rPr>
      </w:pPr>
      <w:bookmarkStart w:id="210" w:name="_Toc503891607"/>
      <w:bookmarkStart w:id="211" w:name="_Toc511647757"/>
      <w:bookmarkStart w:id="212" w:name="_Toc511647818"/>
      <w:bookmarkStart w:id="213" w:name="_Toc477891768"/>
      <w:bookmarkStart w:id="214" w:name="_Toc477891858"/>
      <w:bookmarkStart w:id="215" w:name="_Toc481576259"/>
      <w:bookmarkStart w:id="216" w:name="_Toc492590391"/>
      <w:bookmarkStart w:id="217" w:name="_Toc462653937"/>
      <w:bookmarkStart w:id="218" w:name="_Toc453696502"/>
      <w:bookmarkStart w:id="219" w:name="_Toc454301155"/>
      <w:r w:rsidRPr="00BC5411">
        <w:rPr>
          <w:rFonts w:ascii="Palatino Linotype" w:eastAsia="Times New Roman" w:hAnsi="Palatino Linotype" w:cs="Times New Roman"/>
          <w:b/>
        </w:rPr>
        <w:t>SEGUNDO.</w:t>
      </w:r>
      <w:bookmarkEnd w:id="210"/>
      <w:bookmarkEnd w:id="211"/>
      <w:bookmarkEnd w:id="212"/>
      <w:r w:rsidRPr="00BC5411">
        <w:rPr>
          <w:rFonts w:ascii="Palatino Linotype" w:eastAsia="Times New Roman" w:hAnsi="Palatino Linotype" w:cs="Times New Roman"/>
          <w:b/>
        </w:rPr>
        <w:t xml:space="preserve"> </w:t>
      </w:r>
      <w:bookmarkEnd w:id="213"/>
      <w:bookmarkEnd w:id="214"/>
      <w:bookmarkEnd w:id="215"/>
      <w:bookmarkEnd w:id="216"/>
      <w:bookmarkEnd w:id="217"/>
      <w:bookmarkEnd w:id="218"/>
      <w:bookmarkEnd w:id="219"/>
      <w:r w:rsidRPr="00BC5411">
        <w:rPr>
          <w:rFonts w:ascii="Palatino Linotype" w:eastAsia="MS Mincho" w:hAnsi="Palatino Linotype" w:cs="Times New Roman"/>
          <w:color w:val="000000" w:themeColor="text1"/>
        </w:rPr>
        <w:t xml:space="preserve">Se </w:t>
      </w:r>
      <w:r w:rsidR="00B047FA" w:rsidRPr="00BC5411">
        <w:rPr>
          <w:rFonts w:ascii="Palatino Linotype" w:eastAsia="MS Mincho" w:hAnsi="Palatino Linotype" w:cs="Times New Roman"/>
          <w:b/>
          <w:color w:val="000000" w:themeColor="text1"/>
        </w:rPr>
        <w:t>MODIFI</w:t>
      </w:r>
      <w:r w:rsidRPr="00BC5411">
        <w:rPr>
          <w:rFonts w:ascii="Palatino Linotype" w:eastAsia="MS Mincho" w:hAnsi="Palatino Linotype" w:cs="Times New Roman"/>
          <w:b/>
          <w:color w:val="000000" w:themeColor="text1"/>
        </w:rPr>
        <w:t xml:space="preserve">CA </w:t>
      </w:r>
      <w:r w:rsidRPr="00BC5411">
        <w:rPr>
          <w:rFonts w:ascii="Palatino Linotype" w:eastAsia="MS Mincho" w:hAnsi="Palatino Linotype" w:cs="Times New Roman"/>
          <w:color w:val="000000" w:themeColor="text1"/>
        </w:rPr>
        <w:t>la respuesta emitida por l</w:t>
      </w:r>
      <w:r w:rsidR="0086792A" w:rsidRPr="00BC5411">
        <w:rPr>
          <w:rFonts w:ascii="Palatino Linotype" w:eastAsia="MS Mincho" w:hAnsi="Palatino Linotype" w:cs="Times New Roman"/>
          <w:color w:val="000000" w:themeColor="text1"/>
        </w:rPr>
        <w:t>a</w:t>
      </w:r>
      <w:r w:rsidRPr="00BC5411">
        <w:rPr>
          <w:rFonts w:ascii="Palatino Linotype" w:eastAsia="MS Mincho" w:hAnsi="Palatino Linotype" w:cs="Times New Roman"/>
          <w:color w:val="000000" w:themeColor="text1"/>
        </w:rPr>
        <w:t xml:space="preserve"> </w:t>
      </w:r>
      <w:r w:rsidR="00627608" w:rsidRPr="00BC5411">
        <w:rPr>
          <w:rFonts w:ascii="Palatino Linotype" w:hAnsi="Palatino Linotype"/>
          <w:b/>
          <w:bCs/>
          <w:color w:val="000000"/>
        </w:rPr>
        <w:t>Organismo Público Descentralizado para la Prestación de Los Servicios de Agua Potable Alcantarillado y Saneamiento del Municipio de Jilotepec</w:t>
      </w:r>
      <w:r w:rsidRPr="00BC5411">
        <w:rPr>
          <w:rFonts w:ascii="Palatino Linotype" w:eastAsia="MS Mincho" w:hAnsi="Palatino Linotype" w:cs="Times New Roman"/>
          <w:b/>
          <w:color w:val="000000" w:themeColor="text1"/>
        </w:rPr>
        <w:t xml:space="preserve"> </w:t>
      </w:r>
      <w:r w:rsidRPr="00BC5411">
        <w:rPr>
          <w:rFonts w:ascii="Palatino Linotype" w:eastAsia="MS Mincho" w:hAnsi="Palatino Linotype" w:cs="Times New Roman"/>
          <w:color w:val="000000" w:themeColor="text1"/>
        </w:rPr>
        <w:t xml:space="preserve">y se </w:t>
      </w:r>
      <w:r w:rsidRPr="00BC5411">
        <w:rPr>
          <w:rFonts w:ascii="Palatino Linotype" w:eastAsia="MS Mincho" w:hAnsi="Palatino Linotype" w:cs="Times New Roman"/>
          <w:b/>
          <w:color w:val="000000" w:themeColor="text1"/>
        </w:rPr>
        <w:t>ORDENA</w:t>
      </w:r>
      <w:r w:rsidRPr="00BC5411">
        <w:rPr>
          <w:rFonts w:ascii="Palatino Linotype" w:eastAsia="MS Mincho" w:hAnsi="Palatino Linotype" w:cs="Times New Roman"/>
          <w:color w:val="000000" w:themeColor="text1"/>
        </w:rPr>
        <w:t xml:space="preserve"> entregar vía Sistema de Acceso a la Información Mexiquense </w:t>
      </w:r>
      <w:r w:rsidRPr="00BC5411">
        <w:rPr>
          <w:rFonts w:ascii="Palatino Linotype" w:eastAsia="MS Mincho" w:hAnsi="Palatino Linotype" w:cs="Times New Roman"/>
          <w:b/>
          <w:color w:val="000000" w:themeColor="text1"/>
        </w:rPr>
        <w:t>(SAIMEX)</w:t>
      </w:r>
      <w:r w:rsidRPr="00BC5411">
        <w:rPr>
          <w:rFonts w:ascii="Palatino Linotype" w:eastAsia="MS Mincho" w:hAnsi="Palatino Linotype" w:cs="Times New Roman"/>
          <w:color w:val="000000" w:themeColor="text1"/>
        </w:rPr>
        <w:t>,</w:t>
      </w:r>
      <w:r w:rsidR="0065530D" w:rsidRPr="00BC5411">
        <w:rPr>
          <w:rFonts w:ascii="Palatino Linotype" w:eastAsia="MS Mincho" w:hAnsi="Palatino Linotype" w:cs="Times New Roman"/>
          <w:color w:val="000000" w:themeColor="text1"/>
        </w:rPr>
        <w:t xml:space="preserve"> </w:t>
      </w:r>
      <w:r w:rsidR="0065530D" w:rsidRPr="00BC5411">
        <w:rPr>
          <w:rFonts w:ascii="Palatino Linotype" w:hAnsi="Palatino Linotype" w:cs="Arial"/>
        </w:rPr>
        <w:t xml:space="preserve">correo electrónico, medios magnéticos </w:t>
      </w:r>
      <w:r w:rsidR="00562C0A" w:rsidRPr="00BC5411">
        <w:rPr>
          <w:rFonts w:ascii="Palatino Linotype" w:hAnsi="Palatino Linotype" w:cs="Arial"/>
        </w:rPr>
        <w:t>o</w:t>
      </w:r>
      <w:r w:rsidR="0065530D" w:rsidRPr="00BC5411">
        <w:rPr>
          <w:rFonts w:ascii="Palatino Linotype" w:hAnsi="Palatino Linotype" w:cs="Arial"/>
        </w:rPr>
        <w:t xml:space="preserve"> CD-ROM</w:t>
      </w:r>
      <w:r w:rsidR="00E54A61" w:rsidRPr="00BC5411">
        <w:rPr>
          <w:rFonts w:ascii="Palatino Linotype" w:hAnsi="Palatino Linotype" w:cs="Arial"/>
        </w:rPr>
        <w:t xml:space="preserve"> (con costo)</w:t>
      </w:r>
      <w:r w:rsidR="0065530D" w:rsidRPr="00BC5411">
        <w:rPr>
          <w:rFonts w:ascii="Palatino Linotype" w:hAnsi="Palatino Linotype" w:cs="Arial"/>
          <w:lang w:val="es-ES"/>
        </w:rPr>
        <w:t xml:space="preserve">, el soporte documental </w:t>
      </w:r>
      <w:bookmarkEnd w:id="209"/>
      <w:r w:rsidR="00B047FA" w:rsidRPr="00BC5411">
        <w:rPr>
          <w:rFonts w:ascii="Palatino Linotype" w:hAnsi="Palatino Linotype" w:cs="Arial"/>
          <w:lang w:val="es-ES"/>
        </w:rPr>
        <w:t>siguiente</w:t>
      </w:r>
      <w:r w:rsidR="0065530D" w:rsidRPr="00BC5411">
        <w:rPr>
          <w:rFonts w:ascii="Palatino Linotype" w:hAnsi="Palatino Linotype" w:cs="Arial"/>
          <w:lang w:val="es-ES"/>
        </w:rPr>
        <w:t>:</w:t>
      </w:r>
    </w:p>
    <w:p w:rsidR="009072B7" w:rsidRPr="00BC5411" w:rsidRDefault="009072B7" w:rsidP="00855290">
      <w:pPr>
        <w:spacing w:line="360" w:lineRule="auto"/>
        <w:jc w:val="both"/>
        <w:rPr>
          <w:rFonts w:ascii="Palatino Linotype" w:eastAsia="MS Mincho" w:hAnsi="Palatino Linotype" w:cs="Times New Roman"/>
          <w:color w:val="000000" w:themeColor="text1"/>
        </w:rPr>
      </w:pPr>
    </w:p>
    <w:p w:rsidR="00E54A61" w:rsidRPr="00BC5411" w:rsidRDefault="00E54A61" w:rsidP="00821B43">
      <w:pPr>
        <w:pStyle w:val="Prrafodelista"/>
        <w:numPr>
          <w:ilvl w:val="0"/>
          <w:numId w:val="8"/>
        </w:numPr>
        <w:spacing w:line="360" w:lineRule="auto"/>
        <w:ind w:left="709" w:right="539"/>
        <w:contextualSpacing w:val="0"/>
        <w:jc w:val="both"/>
        <w:rPr>
          <w:rFonts w:ascii="Palatino Linotype" w:hAnsi="Palatino Linotype" w:cs="Arial"/>
        </w:rPr>
      </w:pPr>
      <w:bookmarkStart w:id="220" w:name="_Toc503891610"/>
      <w:bookmarkStart w:id="221" w:name="_Toc453696503"/>
      <w:bookmarkStart w:id="222" w:name="_Toc454301156"/>
      <w:bookmarkStart w:id="223" w:name="_Toc462653938"/>
      <w:bookmarkStart w:id="224" w:name="_Toc477891769"/>
      <w:bookmarkStart w:id="225" w:name="_Toc477891859"/>
      <w:bookmarkStart w:id="226" w:name="_Toc481576260"/>
      <w:bookmarkStart w:id="227" w:name="_Toc492590392"/>
      <w:r w:rsidRPr="00BC5411">
        <w:rPr>
          <w:rFonts w:ascii="Palatino Linotype" w:hAnsi="Palatino Linotype" w:cs="Arial"/>
        </w:rPr>
        <w:t>La opinión de no adeudo en el cumplimiento de obligaciones fiscales emitida por el Servicio de Administración Tributaria (SAT);</w:t>
      </w:r>
    </w:p>
    <w:p w:rsidR="00B047FA" w:rsidRPr="00BC5411" w:rsidRDefault="00B047FA" w:rsidP="00B047FA">
      <w:pPr>
        <w:pStyle w:val="Prrafodelista"/>
        <w:spacing w:line="360" w:lineRule="auto"/>
        <w:ind w:left="709" w:right="539"/>
        <w:contextualSpacing w:val="0"/>
        <w:jc w:val="both"/>
        <w:rPr>
          <w:rFonts w:ascii="Palatino Linotype" w:hAnsi="Palatino Linotype" w:cs="Arial"/>
        </w:rPr>
      </w:pPr>
    </w:p>
    <w:p w:rsidR="007D5CD5" w:rsidRPr="00BC5411" w:rsidRDefault="007D5CD5" w:rsidP="00821B43">
      <w:pPr>
        <w:pStyle w:val="Prrafodelista"/>
        <w:numPr>
          <w:ilvl w:val="0"/>
          <w:numId w:val="8"/>
        </w:numPr>
        <w:spacing w:line="360" w:lineRule="auto"/>
        <w:ind w:left="709" w:right="539"/>
        <w:contextualSpacing w:val="0"/>
        <w:jc w:val="both"/>
        <w:rPr>
          <w:rFonts w:ascii="Palatino Linotype" w:hAnsi="Palatino Linotype" w:cs="Arial"/>
        </w:rPr>
      </w:pPr>
      <w:r w:rsidRPr="00BC5411">
        <w:rPr>
          <w:rFonts w:ascii="Palatino Linotype" w:hAnsi="Palatino Linotype" w:cs="Arial"/>
        </w:rPr>
        <w:t>Acuerdo del Comité de Transparencia, mediante el cual, se manifieste la incompetencia para poseer, generar o administrar información relacionada con el Ayuntamiento de Jilotepec.</w:t>
      </w:r>
    </w:p>
    <w:p w:rsidR="00E54A61" w:rsidRPr="00BC5411" w:rsidRDefault="00E54A61" w:rsidP="00855290">
      <w:pPr>
        <w:spacing w:line="360" w:lineRule="auto"/>
        <w:jc w:val="both"/>
        <w:rPr>
          <w:rFonts w:ascii="Palatino Linotype" w:eastAsia="Calibri" w:hAnsi="Palatino Linotype" w:cs="Arial"/>
        </w:rPr>
      </w:pPr>
    </w:p>
    <w:p w:rsidR="009F09BC" w:rsidRPr="00BC5411" w:rsidRDefault="009F09BC" w:rsidP="00855290">
      <w:pPr>
        <w:spacing w:line="360" w:lineRule="auto"/>
        <w:jc w:val="both"/>
        <w:rPr>
          <w:rFonts w:ascii="Palatino Linotype" w:eastAsia="Calibri" w:hAnsi="Palatino Linotype" w:cs="Arial"/>
          <w:b/>
        </w:rPr>
      </w:pPr>
      <w:r w:rsidRPr="00BC541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w:t>
      </w:r>
      <w:r w:rsidRPr="00BC5411">
        <w:rPr>
          <w:rFonts w:ascii="Palatino Linotype" w:eastAsia="Calibri" w:hAnsi="Palatino Linotype" w:cs="Arial"/>
        </w:rPr>
        <w:lastRenderedPageBreak/>
        <w:t xml:space="preserve">en el que funde y motive las razones sobre los datos que se supriman o eliminen dentro del soporte documental respectivo objeto de las versiones públicas que se formulen y se pongan a disposición de </w:t>
      </w:r>
      <w:r w:rsidRPr="00BC5411">
        <w:rPr>
          <w:rFonts w:ascii="Palatino Linotype" w:eastAsia="Calibri" w:hAnsi="Palatino Linotype" w:cs="Arial"/>
          <w:b/>
        </w:rPr>
        <w:t>EL RECURRENTE.</w:t>
      </w:r>
    </w:p>
    <w:p w:rsidR="00E54A61" w:rsidRPr="00BC5411" w:rsidRDefault="00E54A61" w:rsidP="00855290">
      <w:pPr>
        <w:spacing w:line="360" w:lineRule="auto"/>
        <w:jc w:val="both"/>
        <w:rPr>
          <w:rFonts w:ascii="Palatino Linotype" w:eastAsia="Calibri" w:hAnsi="Palatino Linotype" w:cs="Arial"/>
          <w:b/>
        </w:rPr>
      </w:pPr>
    </w:p>
    <w:p w:rsidR="00E54A61" w:rsidRPr="00BC5411" w:rsidRDefault="00E54A61" w:rsidP="00E54A61">
      <w:pPr>
        <w:spacing w:line="360" w:lineRule="auto"/>
        <w:ind w:right="-93"/>
        <w:jc w:val="both"/>
        <w:rPr>
          <w:rFonts w:ascii="Palatino Linotype" w:eastAsia="Calibri" w:hAnsi="Palatino Linotype" w:cs="Tahoma"/>
          <w:bCs/>
          <w:szCs w:val="22"/>
          <w:lang w:eastAsia="en-US"/>
        </w:rPr>
      </w:pPr>
      <w:r w:rsidRPr="00BC5411">
        <w:rPr>
          <w:rFonts w:ascii="Palatino Linotype" w:eastAsia="Calibri" w:hAnsi="Palatino Linotype" w:cs="Tahoma"/>
          <w:bCs/>
          <w:szCs w:val="22"/>
          <w:lang w:eastAsia="en-US"/>
        </w:rPr>
        <w:t>Para la expedición de la información en medios magnéticos (con costo) y CD-ROM (con costo), el Sujeto Obligado deberá informar al Recurrente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rsidR="009072B7" w:rsidRPr="00BC5411" w:rsidRDefault="009072B7" w:rsidP="00855290">
      <w:pPr>
        <w:spacing w:line="360" w:lineRule="auto"/>
        <w:jc w:val="both"/>
        <w:rPr>
          <w:rFonts w:ascii="Palatino Linotype" w:eastAsia="Calibri" w:hAnsi="Palatino Linotype" w:cs="Arial"/>
          <w:b/>
        </w:rPr>
      </w:pPr>
    </w:p>
    <w:p w:rsidR="009F09BC" w:rsidRPr="00BC5411" w:rsidRDefault="009F09BC" w:rsidP="00855290">
      <w:pPr>
        <w:tabs>
          <w:tab w:val="left" w:pos="8080"/>
        </w:tabs>
        <w:spacing w:line="360" w:lineRule="auto"/>
        <w:ind w:right="49"/>
        <w:jc w:val="both"/>
        <w:rPr>
          <w:rFonts w:ascii="Palatino Linotype" w:eastAsia="Times New Roman" w:hAnsi="Palatino Linotype" w:cs="Times New Roman"/>
          <w:shd w:val="clear" w:color="auto" w:fill="FFFFFF"/>
        </w:rPr>
      </w:pPr>
      <w:bookmarkStart w:id="228" w:name="_Toc511647758"/>
      <w:bookmarkStart w:id="229" w:name="_Toc511647819"/>
      <w:r w:rsidRPr="00BC5411">
        <w:rPr>
          <w:rFonts w:ascii="Palatino Linotype" w:eastAsia="Times New Roman" w:hAnsi="Palatino Linotype" w:cs="Times New Roman"/>
          <w:b/>
        </w:rPr>
        <w:t>TERCERO.</w:t>
      </w:r>
      <w:bookmarkEnd w:id="220"/>
      <w:bookmarkEnd w:id="228"/>
      <w:bookmarkEnd w:id="229"/>
      <w:r w:rsidRPr="00BC5411">
        <w:rPr>
          <w:rFonts w:ascii="Palatino Linotype" w:eastAsia="Times New Roman" w:hAnsi="Palatino Linotype" w:cs="Times New Roman"/>
          <w:b/>
        </w:rPr>
        <w:t xml:space="preserve"> </w:t>
      </w:r>
      <w:bookmarkEnd w:id="221"/>
      <w:bookmarkEnd w:id="222"/>
      <w:bookmarkEnd w:id="223"/>
      <w:bookmarkEnd w:id="224"/>
      <w:bookmarkEnd w:id="225"/>
      <w:bookmarkEnd w:id="226"/>
      <w:bookmarkEnd w:id="227"/>
      <w:r w:rsidRPr="00BC5411">
        <w:rPr>
          <w:rFonts w:ascii="Palatino Linotype" w:eastAsia="Palatino Linotype" w:hAnsi="Palatino Linotype" w:cs="Palatino Linotype"/>
          <w:b/>
        </w:rPr>
        <w:t xml:space="preserve">Notifíquese </w:t>
      </w:r>
      <w:r w:rsidRPr="00BC5411">
        <w:rPr>
          <w:rFonts w:ascii="Palatino Linotype" w:eastAsia="Palatino Linotype" w:hAnsi="Palatino Linotype" w:cs="Palatino Linotype"/>
        </w:rPr>
        <w:t xml:space="preserve">al Titular de la Unidad de Transparencia del </w:t>
      </w:r>
      <w:r w:rsidRPr="00BC5411">
        <w:rPr>
          <w:rFonts w:ascii="Palatino Linotype" w:eastAsia="Palatino Linotype" w:hAnsi="Palatino Linotype" w:cs="Palatino Linotype"/>
          <w:b/>
        </w:rPr>
        <w:t>SUJETO OBLIGADO</w:t>
      </w:r>
      <w:r w:rsidR="00204057" w:rsidRPr="00BC5411">
        <w:rPr>
          <w:rFonts w:ascii="Palatino Linotype" w:eastAsia="Palatino Linotype" w:hAnsi="Palatino Linotype" w:cs="Palatino Linotype"/>
          <w:b/>
        </w:rPr>
        <w:t xml:space="preserve"> </w:t>
      </w:r>
      <w:r w:rsidR="00204057" w:rsidRPr="00BC5411">
        <w:rPr>
          <w:rFonts w:ascii="Palatino Linotype" w:eastAsia="Palatino Linotype" w:hAnsi="Palatino Linotype" w:cs="Palatino Linotype"/>
        </w:rPr>
        <w:t>vía</w:t>
      </w:r>
      <w:r w:rsidR="00204057" w:rsidRPr="00BC5411">
        <w:rPr>
          <w:rFonts w:ascii="Palatino Linotype" w:eastAsia="Palatino Linotype" w:hAnsi="Palatino Linotype" w:cs="Palatino Linotype"/>
          <w:b/>
        </w:rPr>
        <w:t xml:space="preserve"> SAIMEX</w:t>
      </w:r>
      <w:r w:rsidRPr="00BC541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BC5411">
        <w:rPr>
          <w:rFonts w:ascii="Palatino Linotype" w:eastAsia="Times New Roman" w:hAnsi="Palatino Linotype" w:cs="Times New Roman"/>
          <w:shd w:val="clear" w:color="auto" w:fill="FFFFFF"/>
        </w:rPr>
        <w:t xml:space="preserve">vigente, dé cumplimiento a lo ordenado dentro del plazo de </w:t>
      </w:r>
      <w:r w:rsidR="00782A12" w:rsidRPr="00BC5411">
        <w:rPr>
          <w:rFonts w:ascii="Palatino Linotype" w:eastAsia="Times New Roman" w:hAnsi="Palatino Linotype" w:cs="Times New Roman"/>
          <w:b/>
          <w:shd w:val="clear" w:color="auto" w:fill="FFFFFF"/>
        </w:rPr>
        <w:t>diez</w:t>
      </w:r>
      <w:r w:rsidRPr="00BC5411">
        <w:rPr>
          <w:rFonts w:ascii="Palatino Linotype" w:eastAsia="Times New Roman" w:hAnsi="Palatino Linotype" w:cs="Times New Roman"/>
          <w:b/>
          <w:shd w:val="clear" w:color="auto" w:fill="FFFFFF"/>
        </w:rPr>
        <w:t xml:space="preserve"> días hábiles</w:t>
      </w:r>
      <w:r w:rsidRPr="00BC5411">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BC5411" w:rsidRDefault="0057514F" w:rsidP="00855290">
      <w:pPr>
        <w:spacing w:line="360" w:lineRule="auto"/>
        <w:jc w:val="both"/>
        <w:rPr>
          <w:rFonts w:ascii="Palatino Linotype" w:hAnsi="Palatino Linotype" w:cs="Arial"/>
          <w:b/>
        </w:rPr>
      </w:pPr>
    </w:p>
    <w:p w:rsidR="0057514F" w:rsidRPr="00BC5411" w:rsidRDefault="0057514F" w:rsidP="00855290">
      <w:pPr>
        <w:spacing w:line="360" w:lineRule="auto"/>
        <w:jc w:val="both"/>
        <w:rPr>
          <w:rFonts w:ascii="Palatino Linotype" w:eastAsia="Calibri" w:hAnsi="Palatino Linotype" w:cs="Arial"/>
          <w:bCs/>
        </w:rPr>
      </w:pPr>
      <w:r w:rsidRPr="00BC5411">
        <w:rPr>
          <w:rFonts w:ascii="Palatino Linotype" w:hAnsi="Palatino Linotype" w:cs="Arial"/>
          <w:b/>
        </w:rPr>
        <w:t xml:space="preserve">CUARTO. </w:t>
      </w:r>
      <w:r w:rsidRPr="00BC5411">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BC5411">
        <w:rPr>
          <w:rFonts w:ascii="Palatino Linotype" w:eastAsia="Calibri" w:hAnsi="Palatino Linotype" w:cs="Arial"/>
          <w:bCs/>
        </w:rPr>
        <w:lastRenderedPageBreak/>
        <w:t xml:space="preserve">procedente, el </w:t>
      </w:r>
      <w:r w:rsidRPr="00BC5411">
        <w:rPr>
          <w:rFonts w:ascii="Palatino Linotype" w:eastAsia="Calibri" w:hAnsi="Palatino Linotype" w:cs="Arial"/>
          <w:b/>
          <w:bCs/>
        </w:rPr>
        <w:t>SUJETO OBLIGADO</w:t>
      </w:r>
      <w:r w:rsidRPr="00BC5411">
        <w:rPr>
          <w:rFonts w:ascii="Palatino Linotype" w:eastAsia="Calibri" w:hAnsi="Palatino Linotype" w:cs="Arial"/>
          <w:bCs/>
        </w:rPr>
        <w:t xml:space="preserve"> de manera fundada y motivada, podrá solicitar una ampliación de plazo para el cumplimiento de la presente resolución.</w:t>
      </w:r>
    </w:p>
    <w:p w:rsidR="009072B7" w:rsidRPr="00BC5411" w:rsidRDefault="009072B7" w:rsidP="00855290">
      <w:pPr>
        <w:spacing w:line="360" w:lineRule="auto"/>
        <w:jc w:val="both"/>
        <w:rPr>
          <w:rFonts w:ascii="Palatino Linotype" w:eastAsia="Calibri" w:hAnsi="Palatino Linotype" w:cs="Arial"/>
          <w:bCs/>
        </w:rPr>
      </w:pPr>
    </w:p>
    <w:p w:rsidR="009F09BC" w:rsidRPr="00BC5411" w:rsidRDefault="0057514F" w:rsidP="00855290">
      <w:pPr>
        <w:tabs>
          <w:tab w:val="left" w:pos="8080"/>
        </w:tabs>
        <w:spacing w:line="360" w:lineRule="auto"/>
        <w:ind w:right="49"/>
        <w:jc w:val="both"/>
        <w:rPr>
          <w:rFonts w:ascii="Palatino Linotype" w:eastAsia="Times New Roman" w:hAnsi="Palatino Linotype" w:cs="Times New Roman"/>
          <w:lang w:val="es-ES" w:eastAsia="es-MX"/>
        </w:rPr>
      </w:pPr>
      <w:bookmarkStart w:id="230" w:name="_Toc492590393"/>
      <w:bookmarkStart w:id="231" w:name="_Toc503891611"/>
      <w:bookmarkStart w:id="232" w:name="_Toc511647759"/>
      <w:bookmarkStart w:id="233" w:name="_Toc511647820"/>
      <w:r w:rsidRPr="00BC5411">
        <w:rPr>
          <w:rFonts w:ascii="Palatino Linotype" w:eastAsia="Times New Roman" w:hAnsi="Palatino Linotype" w:cs="Times New Roman"/>
          <w:b/>
        </w:rPr>
        <w:t>QUIN</w:t>
      </w:r>
      <w:r w:rsidR="009F09BC" w:rsidRPr="00BC5411">
        <w:rPr>
          <w:rFonts w:ascii="Palatino Linotype" w:eastAsia="Times New Roman" w:hAnsi="Palatino Linotype" w:cs="Times New Roman"/>
          <w:b/>
        </w:rPr>
        <w:t xml:space="preserve">TO. </w:t>
      </w:r>
      <w:r w:rsidR="009F09BC" w:rsidRPr="00BC5411">
        <w:rPr>
          <w:rFonts w:ascii="Palatino Linotype" w:eastAsia="Times New Roman" w:hAnsi="Palatino Linotype" w:cs="Times New Roman"/>
        </w:rPr>
        <w:t>Notifíquese</w:t>
      </w:r>
      <w:bookmarkEnd w:id="230"/>
      <w:bookmarkEnd w:id="231"/>
      <w:bookmarkEnd w:id="232"/>
      <w:bookmarkEnd w:id="233"/>
      <w:r w:rsidR="009F09BC" w:rsidRPr="00BC5411">
        <w:rPr>
          <w:rFonts w:ascii="Palatino Linotype" w:eastAsia="Times New Roman" w:hAnsi="Palatino Linotype" w:cs="Times New Roman"/>
        </w:rPr>
        <w:t xml:space="preserve"> a </w:t>
      </w:r>
      <w:r w:rsidR="009F09BC" w:rsidRPr="00BC5411">
        <w:rPr>
          <w:rFonts w:ascii="Palatino Linotype" w:eastAsia="Times New Roman" w:hAnsi="Palatino Linotype" w:cs="Times New Roman"/>
          <w:b/>
        </w:rPr>
        <w:t>EL RECURRENTE</w:t>
      </w:r>
      <w:r w:rsidR="009F09BC" w:rsidRPr="00BC5411">
        <w:rPr>
          <w:rFonts w:ascii="Palatino Linotype" w:eastAsia="Times New Roman" w:hAnsi="Palatino Linotype" w:cs="Times New Roman"/>
        </w:rPr>
        <w:t xml:space="preserve"> la presente</w:t>
      </w:r>
      <w:r w:rsidR="009F09BC" w:rsidRPr="00BC5411">
        <w:rPr>
          <w:rFonts w:ascii="Palatino Linotype" w:eastAsia="Times New Roman" w:hAnsi="Palatino Linotype" w:cs="Times New Roman"/>
          <w:lang w:val="es-ES" w:eastAsia="es-MX"/>
        </w:rPr>
        <w:t xml:space="preserve"> resolución</w:t>
      </w:r>
      <w:r w:rsidR="00204057" w:rsidRPr="00BC5411">
        <w:rPr>
          <w:rFonts w:ascii="Palatino Linotype" w:eastAsia="Times New Roman" w:hAnsi="Palatino Linotype" w:cs="Times New Roman"/>
          <w:lang w:val="es-ES" w:eastAsia="es-MX"/>
        </w:rPr>
        <w:t xml:space="preserve"> vía SAIMEX y correo electrónico</w:t>
      </w:r>
      <w:r w:rsidR="006D15D0" w:rsidRPr="00BC5411">
        <w:rPr>
          <w:rFonts w:ascii="Palatino Linotype" w:eastAsia="Times New Roman" w:hAnsi="Palatino Linotype" w:cs="Times New Roman"/>
          <w:lang w:val="es-ES" w:eastAsia="es-MX"/>
        </w:rPr>
        <w:t>.</w:t>
      </w:r>
    </w:p>
    <w:p w:rsidR="009072B7" w:rsidRPr="00BC5411" w:rsidRDefault="009072B7" w:rsidP="00855290">
      <w:pPr>
        <w:tabs>
          <w:tab w:val="left" w:pos="8080"/>
        </w:tabs>
        <w:spacing w:line="360" w:lineRule="auto"/>
        <w:ind w:right="49"/>
        <w:jc w:val="both"/>
        <w:rPr>
          <w:rFonts w:ascii="Palatino Linotype" w:eastAsia="Times New Roman" w:hAnsi="Palatino Linotype" w:cs="Arial"/>
          <w:b/>
          <w:lang w:val="es-ES"/>
        </w:rPr>
      </w:pPr>
    </w:p>
    <w:p w:rsidR="009F09BC" w:rsidRPr="00BC5411" w:rsidRDefault="0057514F" w:rsidP="00855290">
      <w:pPr>
        <w:shd w:val="clear" w:color="auto" w:fill="FFFFFF"/>
        <w:spacing w:line="360" w:lineRule="auto"/>
        <w:jc w:val="both"/>
        <w:rPr>
          <w:rFonts w:ascii="Palatino Linotype" w:hAnsi="Palatino Linotype"/>
          <w:color w:val="222222"/>
          <w:lang w:eastAsia="es-ES_tradnl"/>
        </w:rPr>
      </w:pPr>
      <w:r w:rsidRPr="00BC5411">
        <w:rPr>
          <w:rFonts w:ascii="Palatino Linotype" w:eastAsia="Calibri" w:hAnsi="Palatino Linotype" w:cs="Times New Roman"/>
          <w:b/>
          <w:lang w:val="es-MX" w:eastAsia="en-US"/>
        </w:rPr>
        <w:t>SEX</w:t>
      </w:r>
      <w:r w:rsidR="009F09BC" w:rsidRPr="00BC5411">
        <w:rPr>
          <w:rFonts w:ascii="Palatino Linotype" w:eastAsia="Calibri" w:hAnsi="Palatino Linotype" w:cs="Times New Roman"/>
          <w:b/>
          <w:lang w:val="es-MX" w:eastAsia="en-US"/>
        </w:rPr>
        <w:t>TO.</w:t>
      </w:r>
      <w:r w:rsidR="009F09BC" w:rsidRPr="00BC5411">
        <w:rPr>
          <w:rFonts w:ascii="Palatino Linotype" w:eastAsia="Calibri" w:hAnsi="Palatino Linotype" w:cs="Times New Roman"/>
          <w:lang w:val="es-MX" w:eastAsia="en-US"/>
        </w:rPr>
        <w:t xml:space="preserve"> </w:t>
      </w:r>
      <w:r w:rsidR="009F09BC" w:rsidRPr="00BC5411">
        <w:rPr>
          <w:rFonts w:ascii="Palatino Linotype" w:eastAsia="Times New Roman" w:hAnsi="Palatino Linotype" w:cs="Times New Roman"/>
          <w:lang w:val="es-ES" w:eastAsia="es-MX"/>
        </w:rPr>
        <w:t xml:space="preserve">Se hace del conocimiento de </w:t>
      </w:r>
      <w:r w:rsidR="009F09BC" w:rsidRPr="00BC5411">
        <w:rPr>
          <w:rFonts w:ascii="Palatino Linotype" w:eastAsia="Times New Roman" w:hAnsi="Palatino Linotype" w:cs="Times New Roman"/>
          <w:b/>
          <w:lang w:val="es-ES" w:eastAsia="es-MX"/>
        </w:rPr>
        <w:t>EL RECURRENTE</w:t>
      </w:r>
      <w:r w:rsidR="009F09BC" w:rsidRPr="00BC5411">
        <w:rPr>
          <w:rFonts w:ascii="Palatino Linotype" w:eastAsia="Times New Roman" w:hAnsi="Palatino Linotype" w:cs="Times New Roman"/>
          <w:lang w:val="es-ES" w:eastAsia="es-MX"/>
        </w:rPr>
        <w:t xml:space="preserve"> </w:t>
      </w:r>
      <w:r w:rsidR="00F30E97" w:rsidRPr="00BC5411">
        <w:rPr>
          <w:rFonts w:ascii="Palatino Linotype" w:hAnsi="Palatino Linotype"/>
          <w:color w:val="000000" w:themeColor="text1"/>
          <w:szCs w:val="17"/>
          <w:lang w:eastAsia="es-ES_tradnl"/>
        </w:rPr>
        <w:t xml:space="preserve">que </w:t>
      </w:r>
      <w:r w:rsidR="00F30E97" w:rsidRPr="00BC5411">
        <w:rPr>
          <w:rFonts w:ascii="Palatino Linotype" w:hAnsi="Palatino Linotype"/>
          <w:color w:val="222222"/>
          <w:lang w:eastAsia="es-ES_tradnl"/>
        </w:rPr>
        <w:t>de conformidad con lo establecido en el artículo 196 de la Ley de Transparencia y Acceso a la Información Pública del Estado de México y Municipios, podrá impugnarla vía Juicio de Amparo en los términos de las leyes aplicables.</w:t>
      </w:r>
    </w:p>
    <w:p w:rsidR="009072B7" w:rsidRPr="00BC5411" w:rsidRDefault="009072B7" w:rsidP="00855290">
      <w:pPr>
        <w:shd w:val="clear" w:color="auto" w:fill="FFFFFF"/>
        <w:spacing w:line="360" w:lineRule="auto"/>
        <w:jc w:val="both"/>
        <w:rPr>
          <w:rFonts w:ascii="Palatino Linotype" w:eastAsia="Times New Roman" w:hAnsi="Palatino Linotype" w:cs="Times New Roman"/>
          <w:lang w:val="es-ES" w:eastAsia="es-MX"/>
        </w:rPr>
      </w:pPr>
    </w:p>
    <w:p w:rsidR="00BC5411" w:rsidRDefault="00BC5411" w:rsidP="00BC5411">
      <w:pPr>
        <w:spacing w:before="240" w:after="240" w:line="360" w:lineRule="auto"/>
        <w:ind w:firstLine="1"/>
        <w:jc w:val="both"/>
        <w:rPr>
          <w:rFonts w:ascii="Palatino Linotype" w:hAnsi="Palatino Linotype"/>
        </w:rPr>
      </w:pPr>
      <w:r w:rsidRPr="00BC541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SÉPTIMA SESIÓN ORDINARIA CELEBRADA EL ONCE (11) DE MAYO DE DOS MIL VEINTIDÓS, ANTE EL SECRETARIO TÉCNICO DEL PLENO ALEXIS TAPIA RAMÍREZ.</w:t>
      </w:r>
      <w:r w:rsidRPr="00624AAD">
        <w:rPr>
          <w:rFonts w:ascii="Palatino Linotype" w:hAnsi="Palatino Linotype"/>
        </w:rPr>
        <w:t xml:space="preserve"> </w:t>
      </w: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jc w:val="both"/>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spacing w:line="360" w:lineRule="auto"/>
        <w:rPr>
          <w:rFonts w:ascii="Palatino Linotype" w:hAnsi="Palatino Linotype"/>
        </w:rPr>
      </w:pPr>
    </w:p>
    <w:p w:rsidR="009F09BC" w:rsidRPr="00855290" w:rsidRDefault="009F09BC" w:rsidP="00855290">
      <w:pPr>
        <w:tabs>
          <w:tab w:val="left" w:pos="3374"/>
        </w:tabs>
        <w:spacing w:line="360" w:lineRule="auto"/>
        <w:rPr>
          <w:rFonts w:ascii="Palatino Linotype" w:hAnsi="Palatino Linotype"/>
        </w:rPr>
      </w:pPr>
      <w:r w:rsidRPr="00855290">
        <w:rPr>
          <w:rFonts w:ascii="Palatino Linotype" w:hAnsi="Palatino Linotype"/>
        </w:rPr>
        <w:tab/>
      </w: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p w:rsidR="007C3761" w:rsidRPr="00855290" w:rsidRDefault="007C3761" w:rsidP="00855290">
      <w:pPr>
        <w:tabs>
          <w:tab w:val="left" w:pos="3374"/>
        </w:tabs>
        <w:spacing w:line="360" w:lineRule="auto"/>
        <w:rPr>
          <w:rFonts w:ascii="Palatino Linotype" w:hAnsi="Palatino Linotype"/>
        </w:rPr>
      </w:pPr>
    </w:p>
    <w:sectPr w:rsidR="007C3761" w:rsidRPr="00855290" w:rsidSect="006F1C39">
      <w:headerReference w:type="even" r:id="rId16"/>
      <w:headerReference w:type="default" r:id="rId17"/>
      <w:footerReference w:type="default" r:id="rId18"/>
      <w:headerReference w:type="first" r:id="rId19"/>
      <w:footerReference w:type="first" r:id="rId20"/>
      <w:pgSz w:w="12240" w:h="15840"/>
      <w:pgMar w:top="1843" w:right="1701" w:bottom="1702" w:left="1701"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1AC" w:rsidRDefault="001651AC" w:rsidP="003B7751">
      <w:r>
        <w:separator/>
      </w:r>
    </w:p>
  </w:endnote>
  <w:endnote w:type="continuationSeparator" w:id="0">
    <w:p w:rsidR="001651AC" w:rsidRDefault="001651AC"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9254700"/>
      <w:docPartObj>
        <w:docPartGallery w:val="Page Numbers (Bottom of Page)"/>
        <w:docPartUnique/>
      </w:docPartObj>
    </w:sdtPr>
    <w:sdtEndPr/>
    <w:sdtContent>
      <w:sdt>
        <w:sdtPr>
          <w:id w:val="917747924"/>
          <w:docPartObj>
            <w:docPartGallery w:val="Page Numbers (Top of Page)"/>
            <w:docPartUnique/>
          </w:docPartObj>
        </w:sdtPr>
        <w:sdtEndPr/>
        <w:sdtContent>
          <w:p w:rsidR="00512EAB" w:rsidRPr="002D6DD8" w:rsidRDefault="00512EA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96FC2">
              <w:rPr>
                <w:rFonts w:ascii="Palatino Linotype" w:hAnsi="Palatino Linotype"/>
                <w:bCs/>
                <w:noProof/>
                <w:sz w:val="20"/>
              </w:rPr>
              <w:t>68</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496FC2">
              <w:rPr>
                <w:rFonts w:ascii="Palatino Linotype" w:hAnsi="Palatino Linotype"/>
                <w:bCs/>
                <w:noProof/>
                <w:sz w:val="20"/>
              </w:rPr>
              <w:t>68</w:t>
            </w:r>
            <w:r>
              <w:rPr>
                <w:rFonts w:ascii="Palatino Linotype" w:hAnsi="Palatino Linotype"/>
                <w:bCs/>
                <w:noProof/>
                <w:sz w:val="20"/>
              </w:rPr>
              <w:fldChar w:fldCharType="end"/>
            </w:r>
          </w:p>
        </w:sdtContent>
      </w:sdt>
    </w:sdtContent>
  </w:sdt>
  <w:p w:rsidR="00512EAB" w:rsidRDefault="00512EA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EAB" w:rsidRPr="000B69FA" w:rsidRDefault="00512EAB"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1F5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51F58">
      <w:rPr>
        <w:rFonts w:ascii="Palatino Linotype" w:hAnsi="Palatino Linotype"/>
        <w:bCs/>
        <w:noProof/>
        <w:sz w:val="20"/>
      </w:rPr>
      <w:t>68</w:t>
    </w:r>
    <w:r>
      <w:rPr>
        <w:rFonts w:ascii="Palatino Linotype" w:hAnsi="Palatino Linotype"/>
        <w:bCs/>
        <w:noProof/>
        <w:sz w:val="20"/>
      </w:rPr>
      <w:fldChar w:fldCharType="end"/>
    </w:r>
  </w:p>
  <w:p w:rsidR="00512EAB" w:rsidRDefault="00512E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1AC" w:rsidRDefault="001651AC" w:rsidP="003B7751">
      <w:r>
        <w:separator/>
      </w:r>
    </w:p>
  </w:footnote>
  <w:footnote w:type="continuationSeparator" w:id="0">
    <w:p w:rsidR="001651AC" w:rsidRDefault="001651AC" w:rsidP="003B7751">
      <w:r>
        <w:continuationSeparator/>
      </w:r>
    </w:p>
  </w:footnote>
  <w:footnote w:id="1">
    <w:p w:rsidR="00512EAB" w:rsidRPr="009C43C2" w:rsidRDefault="00512EAB"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512EAB" w:rsidRPr="009C43C2" w:rsidRDefault="00512EAB"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512EAB" w:rsidRPr="009C43C2" w:rsidRDefault="00512EAB" w:rsidP="00B54047">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512EAB" w:rsidRDefault="00512EAB" w:rsidP="00B54047">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5">
    <w:p w:rsidR="00512EAB" w:rsidRDefault="00512EAB" w:rsidP="00B12329">
      <w:pPr>
        <w:pStyle w:val="Textonotapie"/>
      </w:pPr>
      <w:r>
        <w:rPr>
          <w:rStyle w:val="Refdenotaalpie"/>
        </w:rPr>
        <w:footnoteRef/>
      </w:r>
      <w:r>
        <w:t xml:space="preserve"> Consultable en </w:t>
      </w:r>
      <w:r w:rsidRPr="00C101C2">
        <w:t>https://www.infoem.org.mx/doc/acuerdos/Acuerdo_Padron_SO.pdf</w:t>
      </w:r>
    </w:p>
  </w:footnote>
  <w:footnote w:id="6">
    <w:p w:rsidR="00512EAB" w:rsidRDefault="00512EAB" w:rsidP="00B12329">
      <w:pPr>
        <w:pStyle w:val="Textonotapie"/>
        <w:jc w:val="both"/>
      </w:pPr>
      <w:r>
        <w:rPr>
          <w:rStyle w:val="Refdenotaalpie"/>
        </w:rPr>
        <w:footnoteRef/>
      </w:r>
      <w:r>
        <w:t xml:space="preserve"> “</w:t>
      </w:r>
      <w:r>
        <w:rPr>
          <w:b/>
        </w:rPr>
        <w:t>Artículo 49.</w:t>
      </w:r>
      <w:r>
        <w:t xml:space="preserve"> Los Comités de Transparencia tendrán las siguientes atribuciones:</w:t>
      </w:r>
    </w:p>
    <w:p w:rsidR="00512EAB" w:rsidRDefault="00512EAB" w:rsidP="00B12329">
      <w:pPr>
        <w:pStyle w:val="Textonotapie"/>
        <w:jc w:val="both"/>
      </w:pPr>
      <w:r>
        <w:t>(…)</w:t>
      </w:r>
    </w:p>
    <w:p w:rsidR="00512EAB" w:rsidRDefault="00512EAB" w:rsidP="00B12329">
      <w:pPr>
        <w:pStyle w:val="Textonotapie"/>
        <w:jc w:val="both"/>
      </w:pPr>
      <w:r>
        <w:rPr>
          <w:b/>
        </w:rPr>
        <w:t>II.</w:t>
      </w:r>
      <w:r>
        <w:t xml:space="preserve"> Confirmar, </w:t>
      </w:r>
      <w:r w:rsidRPr="00EF10EB">
        <w:t>modificar o revocar las determinaciones que en materia de ampliación del plazo de respuesta, clasificación de la información y declaración de inexistencia o de incompetencia realicen los titulares de las áreas de los sujetos obligados;</w:t>
      </w:r>
    </w:p>
    <w:p w:rsidR="00512EAB" w:rsidRPr="00EF10EB" w:rsidRDefault="00512EAB" w:rsidP="00B12329">
      <w:pPr>
        <w:pStyle w:val="Textonotapie"/>
        <w:jc w:val="both"/>
      </w:pPr>
      <w:r>
        <w:t>(…)”</w:t>
      </w:r>
    </w:p>
  </w:footnote>
  <w:footnote w:id="7">
    <w:p w:rsidR="00512EAB" w:rsidRDefault="00512EAB" w:rsidP="009F09BC">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512EAB" w:rsidRDefault="00512EAB" w:rsidP="009F09BC">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8">
    <w:p w:rsidR="00512EAB" w:rsidRDefault="00512EAB" w:rsidP="009F09BC">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rsidR="00512EAB" w:rsidRDefault="00512EAB"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12EAB" w:rsidRDefault="00512EAB" w:rsidP="009F09BC">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12EAB" w:rsidRDefault="00512EAB" w:rsidP="009F09BC">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512EAB" w:rsidRDefault="00512EAB" w:rsidP="009F09BC">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1">
    <w:p w:rsidR="00512EAB" w:rsidRDefault="00512EAB" w:rsidP="009F09B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512EAB" w:rsidRDefault="00512EAB" w:rsidP="009F09BC">
      <w:pPr>
        <w:pStyle w:val="Textonotapie"/>
        <w:jc w:val="both"/>
        <w:rPr>
          <w:rFonts w:ascii="Palatino Linotype" w:hAnsi="Palatino Linotype"/>
          <w:sz w:val="18"/>
        </w:rPr>
      </w:pPr>
      <w:r>
        <w:rPr>
          <w:rFonts w:ascii="Palatino Linotype" w:hAnsi="Palatino Linotype"/>
          <w:sz w:val="18"/>
        </w:rPr>
        <w:t xml:space="preserve"> (…)</w:t>
      </w:r>
    </w:p>
    <w:p w:rsidR="00512EAB" w:rsidRDefault="00512EAB" w:rsidP="009F09BC">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EAB" w:rsidRDefault="001651A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512EAB" w:rsidTr="006A04B6">
      <w:trPr>
        <w:trHeight w:val="227"/>
      </w:trPr>
      <w:tc>
        <w:tcPr>
          <w:tcW w:w="2976" w:type="dxa"/>
          <w:vAlign w:val="center"/>
          <w:hideMark/>
        </w:tcPr>
        <w:p w:rsidR="00512EAB" w:rsidRPr="00674A46" w:rsidRDefault="00512EAB"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512EAB" w:rsidRPr="00485ED8" w:rsidRDefault="00512EAB" w:rsidP="00E54AAE">
          <w:pPr>
            <w:pStyle w:val="Encabezado"/>
            <w:rPr>
              <w:rFonts w:ascii="Palatino Linotype" w:hAnsi="Palatino Linotype"/>
              <w:b/>
              <w:sz w:val="22"/>
              <w:szCs w:val="22"/>
            </w:rPr>
          </w:pPr>
          <w:r>
            <w:rPr>
              <w:rFonts w:ascii="Palatino Linotype" w:hAnsi="Palatino Linotype" w:cs="Arial"/>
              <w:b/>
              <w:bCs/>
              <w:sz w:val="22"/>
              <w:szCs w:val="22"/>
              <w:lang w:eastAsia="es-MX"/>
            </w:rPr>
            <w:t>01003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512EAB" w:rsidTr="006A04B6">
      <w:trPr>
        <w:trHeight w:val="242"/>
      </w:trPr>
      <w:tc>
        <w:tcPr>
          <w:tcW w:w="2976" w:type="dxa"/>
          <w:vAlign w:val="center"/>
          <w:hideMark/>
        </w:tcPr>
        <w:p w:rsidR="00512EAB" w:rsidRPr="00674A46" w:rsidRDefault="00512EAB"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512EAB" w:rsidRPr="00485ED8" w:rsidRDefault="00512EAB" w:rsidP="00156A8C">
          <w:pPr>
            <w:pStyle w:val="Encabezado"/>
            <w:jc w:val="both"/>
            <w:rPr>
              <w:rFonts w:ascii="Palatino Linotype" w:hAnsi="Palatino Linotype"/>
              <w:b/>
              <w:sz w:val="22"/>
              <w:szCs w:val="22"/>
            </w:rPr>
          </w:pPr>
          <w:r>
            <w:rPr>
              <w:rFonts w:ascii="Palatino Linotype" w:hAnsi="Palatino Linotype" w:cs="Arial"/>
              <w:b/>
            </w:rPr>
            <w:t>Organismo Público Descentralizado para la Prestación de Los Servicios de Agua Potable Alcantarillado y Saneamiento del Municipio de Jilotepec</w:t>
          </w:r>
        </w:p>
      </w:tc>
    </w:tr>
    <w:tr w:rsidR="00512EAB" w:rsidTr="006A04B6">
      <w:trPr>
        <w:trHeight w:val="342"/>
      </w:trPr>
      <w:tc>
        <w:tcPr>
          <w:tcW w:w="2976" w:type="dxa"/>
          <w:vAlign w:val="center"/>
          <w:hideMark/>
        </w:tcPr>
        <w:p w:rsidR="00512EAB" w:rsidRPr="00674A46" w:rsidRDefault="00F00FDA" w:rsidP="009F09BC">
          <w:pPr>
            <w:ind w:right="34"/>
            <w:jc w:val="right"/>
            <w:rPr>
              <w:rFonts w:ascii="Palatino Linotype" w:hAnsi="Palatino Linotype"/>
              <w:b/>
              <w:sz w:val="22"/>
              <w:szCs w:val="22"/>
            </w:rPr>
          </w:pPr>
          <w:r>
            <w:rPr>
              <w:rFonts w:ascii="Palatino Linotype" w:hAnsi="Palatino Linotype"/>
              <w:b/>
              <w:sz w:val="22"/>
              <w:szCs w:val="22"/>
            </w:rPr>
            <w:t>Comisionada</w:t>
          </w:r>
          <w:r w:rsidR="00512EAB" w:rsidRPr="00674A46">
            <w:rPr>
              <w:rFonts w:ascii="Palatino Linotype" w:hAnsi="Palatino Linotype"/>
              <w:b/>
              <w:sz w:val="22"/>
              <w:szCs w:val="22"/>
            </w:rPr>
            <w:t xml:space="preserve"> Ponente:</w:t>
          </w:r>
        </w:p>
      </w:tc>
      <w:tc>
        <w:tcPr>
          <w:tcW w:w="3543" w:type="dxa"/>
          <w:vAlign w:val="center"/>
          <w:hideMark/>
        </w:tcPr>
        <w:p w:rsidR="00512EAB" w:rsidRPr="00485ED8" w:rsidRDefault="00512EAB"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512EAB" w:rsidRPr="00AE046A" w:rsidRDefault="001651AC"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31.8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512EAB" w:rsidTr="006A04B6">
      <w:trPr>
        <w:trHeight w:val="227"/>
      </w:trPr>
      <w:tc>
        <w:tcPr>
          <w:tcW w:w="2977" w:type="dxa"/>
          <w:vAlign w:val="center"/>
          <w:hideMark/>
        </w:tcPr>
        <w:p w:rsidR="00512EAB" w:rsidRPr="00674A46" w:rsidRDefault="00512EAB"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512EAB" w:rsidRPr="00485ED8" w:rsidRDefault="00512EAB" w:rsidP="00627608">
          <w:pPr>
            <w:pStyle w:val="Encabezado"/>
            <w:rPr>
              <w:rFonts w:ascii="Palatino Linotype" w:hAnsi="Palatino Linotype"/>
              <w:b/>
              <w:sz w:val="22"/>
              <w:szCs w:val="22"/>
            </w:rPr>
          </w:pPr>
          <w:r>
            <w:rPr>
              <w:rFonts w:ascii="Palatino Linotype" w:hAnsi="Palatino Linotype" w:cs="Arial"/>
              <w:b/>
              <w:bCs/>
              <w:sz w:val="22"/>
              <w:szCs w:val="22"/>
              <w:lang w:eastAsia="es-MX"/>
            </w:rPr>
            <w:t>01003</w:t>
          </w:r>
          <w:r w:rsidRPr="00065792">
            <w:rPr>
              <w:rFonts w:ascii="Palatino Linotype" w:hAnsi="Palatino Linotype" w:cs="Arial"/>
              <w:b/>
              <w:bCs/>
              <w:sz w:val="22"/>
              <w:szCs w:val="22"/>
              <w:lang w:eastAsia="es-MX"/>
            </w:rPr>
            <w:t>/INFOEM/IP/RR/2022</w:t>
          </w:r>
        </w:p>
      </w:tc>
    </w:tr>
    <w:tr w:rsidR="00512EAB" w:rsidTr="006A04B6">
      <w:trPr>
        <w:trHeight w:val="242"/>
      </w:trPr>
      <w:tc>
        <w:tcPr>
          <w:tcW w:w="2977" w:type="dxa"/>
          <w:vAlign w:val="center"/>
          <w:hideMark/>
        </w:tcPr>
        <w:p w:rsidR="00512EAB" w:rsidRPr="00674A46" w:rsidRDefault="00512EAB"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512EAB" w:rsidRPr="00B75F20" w:rsidRDefault="00951F58" w:rsidP="009F09BC">
          <w:pPr>
            <w:pStyle w:val="Encabezado"/>
            <w:tabs>
              <w:tab w:val="left" w:pos="521"/>
            </w:tabs>
            <w:rPr>
              <w:rFonts w:ascii="Palatino Linotype" w:hAnsi="Palatino Linotype"/>
              <w:b/>
              <w:sz w:val="22"/>
              <w:szCs w:val="22"/>
            </w:rPr>
          </w:pPr>
          <w:r>
            <w:rPr>
              <w:rFonts w:ascii="Palatino Linotype" w:hAnsi="Palatino Linotype"/>
              <w:b/>
              <w:sz w:val="22"/>
              <w:szCs w:val="22"/>
            </w:rPr>
            <w:t>XXX XXXX XXXXX</w:t>
          </w:r>
        </w:p>
      </w:tc>
    </w:tr>
    <w:tr w:rsidR="00512EAB" w:rsidTr="006A04B6">
      <w:trPr>
        <w:trHeight w:val="342"/>
      </w:trPr>
      <w:tc>
        <w:tcPr>
          <w:tcW w:w="2977" w:type="dxa"/>
          <w:vAlign w:val="center"/>
        </w:tcPr>
        <w:p w:rsidR="00512EAB" w:rsidRPr="00674A46" w:rsidRDefault="00512EAB"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512EAB" w:rsidRPr="00674A46" w:rsidRDefault="00512EAB" w:rsidP="009F09BC">
          <w:pPr>
            <w:pStyle w:val="Encabezado"/>
            <w:jc w:val="both"/>
            <w:rPr>
              <w:rFonts w:ascii="Palatino Linotype" w:hAnsi="Palatino Linotype"/>
              <w:b/>
              <w:sz w:val="22"/>
              <w:szCs w:val="22"/>
            </w:rPr>
          </w:pPr>
          <w:r w:rsidRPr="00627608">
            <w:rPr>
              <w:rFonts w:ascii="Palatino Linotype" w:hAnsi="Palatino Linotype"/>
              <w:b/>
              <w:bCs/>
              <w:color w:val="000000"/>
              <w:sz w:val="22"/>
              <w:szCs w:val="22"/>
            </w:rPr>
            <w:t>Organismo Público Descentralizado para la Prestación de Los Servicios de Agua Potable Alcantarillado y Saneamiento del Municipio de Jilotepec</w:t>
          </w:r>
        </w:p>
      </w:tc>
    </w:tr>
    <w:tr w:rsidR="00512EAB" w:rsidTr="006A04B6">
      <w:trPr>
        <w:trHeight w:val="342"/>
      </w:trPr>
      <w:tc>
        <w:tcPr>
          <w:tcW w:w="2977" w:type="dxa"/>
          <w:vAlign w:val="center"/>
        </w:tcPr>
        <w:p w:rsidR="00512EAB" w:rsidRPr="00674A46" w:rsidRDefault="00512EAB"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512EAB" w:rsidRPr="00674A46" w:rsidRDefault="00512EAB"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512EAB" w:rsidRPr="00C222C0" w:rsidRDefault="001651AC">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1.8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4971E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282355F"/>
    <w:multiLevelType w:val="multilevel"/>
    <w:tmpl w:val="206E5C30"/>
    <w:lvl w:ilvl="0">
      <w:start w:val="1"/>
      <w:numFmt w:val="lowerLetter"/>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4">
    <w:nsid w:val="4658523C"/>
    <w:multiLevelType w:val="hybridMultilevel"/>
    <w:tmpl w:val="19205E8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CA55ED3"/>
    <w:multiLevelType w:val="hybridMultilevel"/>
    <w:tmpl w:val="20D62A94"/>
    <w:lvl w:ilvl="0" w:tplc="080A000B">
      <w:start w:val="1"/>
      <w:numFmt w:val="bullet"/>
      <w:lvlText w:val=""/>
      <w:lvlJc w:val="left"/>
      <w:pPr>
        <w:ind w:left="1724" w:hanging="360"/>
      </w:pPr>
      <w:rPr>
        <w:rFonts w:ascii="Wingdings" w:hAnsi="Wingdings"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BAF3DB4"/>
    <w:multiLevelType w:val="hybridMultilevel"/>
    <w:tmpl w:val="E88839D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7CFB773F"/>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8"/>
  </w:num>
  <w:num w:numId="3">
    <w:abstractNumId w:val="1"/>
  </w:num>
  <w:num w:numId="4">
    <w:abstractNumId w:val="5"/>
  </w:num>
  <w:num w:numId="5">
    <w:abstractNumId w:val="7"/>
  </w:num>
  <w:num w:numId="6">
    <w:abstractNumId w:val="0"/>
  </w:num>
  <w:num w:numId="7">
    <w:abstractNumId w:val="9"/>
  </w:num>
  <w:num w:numId="8">
    <w:abstractNumId w:val="3"/>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67B3"/>
    <w:rsid w:val="00010C43"/>
    <w:rsid w:val="00015F91"/>
    <w:rsid w:val="0001674C"/>
    <w:rsid w:val="00020780"/>
    <w:rsid w:val="00030FBC"/>
    <w:rsid w:val="000373F6"/>
    <w:rsid w:val="00051287"/>
    <w:rsid w:val="000642C4"/>
    <w:rsid w:val="00065792"/>
    <w:rsid w:val="0008243D"/>
    <w:rsid w:val="000D7E6D"/>
    <w:rsid w:val="000E1A02"/>
    <w:rsid w:val="000E4891"/>
    <w:rsid w:val="000E4F3B"/>
    <w:rsid w:val="00112D7E"/>
    <w:rsid w:val="00114502"/>
    <w:rsid w:val="00126C85"/>
    <w:rsid w:val="001352F5"/>
    <w:rsid w:val="00137203"/>
    <w:rsid w:val="00140817"/>
    <w:rsid w:val="00156A8C"/>
    <w:rsid w:val="001651AC"/>
    <w:rsid w:val="00177119"/>
    <w:rsid w:val="00192AC9"/>
    <w:rsid w:val="001A18E7"/>
    <w:rsid w:val="001C0503"/>
    <w:rsid w:val="001C4290"/>
    <w:rsid w:val="001D23C1"/>
    <w:rsid w:val="001D373F"/>
    <w:rsid w:val="001D5404"/>
    <w:rsid w:val="00204057"/>
    <w:rsid w:val="00223C06"/>
    <w:rsid w:val="00246A14"/>
    <w:rsid w:val="00272CA2"/>
    <w:rsid w:val="00277FAC"/>
    <w:rsid w:val="002901F4"/>
    <w:rsid w:val="00291500"/>
    <w:rsid w:val="002C0D3C"/>
    <w:rsid w:val="002C40FB"/>
    <w:rsid w:val="002C4997"/>
    <w:rsid w:val="002F7EE0"/>
    <w:rsid w:val="0030094A"/>
    <w:rsid w:val="00310233"/>
    <w:rsid w:val="00312281"/>
    <w:rsid w:val="00323FFD"/>
    <w:rsid w:val="003437D9"/>
    <w:rsid w:val="003522EE"/>
    <w:rsid w:val="00353521"/>
    <w:rsid w:val="00353F1D"/>
    <w:rsid w:val="00372672"/>
    <w:rsid w:val="00375B0E"/>
    <w:rsid w:val="003833B3"/>
    <w:rsid w:val="003A15C8"/>
    <w:rsid w:val="003B7751"/>
    <w:rsid w:val="003C13F1"/>
    <w:rsid w:val="003E66D2"/>
    <w:rsid w:val="00400588"/>
    <w:rsid w:val="00402466"/>
    <w:rsid w:val="00407FDA"/>
    <w:rsid w:val="004118FA"/>
    <w:rsid w:val="00420C58"/>
    <w:rsid w:val="00425842"/>
    <w:rsid w:val="00437672"/>
    <w:rsid w:val="004512D3"/>
    <w:rsid w:val="004525CB"/>
    <w:rsid w:val="00456CFF"/>
    <w:rsid w:val="0046395B"/>
    <w:rsid w:val="00496FC2"/>
    <w:rsid w:val="004A4393"/>
    <w:rsid w:val="004C139A"/>
    <w:rsid w:val="004E4EE6"/>
    <w:rsid w:val="004E6CE4"/>
    <w:rsid w:val="004F34D1"/>
    <w:rsid w:val="00512EAB"/>
    <w:rsid w:val="00522B30"/>
    <w:rsid w:val="0052774E"/>
    <w:rsid w:val="005432D0"/>
    <w:rsid w:val="00546076"/>
    <w:rsid w:val="00547ACE"/>
    <w:rsid w:val="005507B0"/>
    <w:rsid w:val="00554A21"/>
    <w:rsid w:val="00556E0A"/>
    <w:rsid w:val="00562C0A"/>
    <w:rsid w:val="00563F2E"/>
    <w:rsid w:val="0057514F"/>
    <w:rsid w:val="00581B22"/>
    <w:rsid w:val="00590722"/>
    <w:rsid w:val="00592F5C"/>
    <w:rsid w:val="005B076D"/>
    <w:rsid w:val="005B3B95"/>
    <w:rsid w:val="005C5021"/>
    <w:rsid w:val="005C7272"/>
    <w:rsid w:val="005D2F1C"/>
    <w:rsid w:val="005D4C57"/>
    <w:rsid w:val="00614B85"/>
    <w:rsid w:val="00624613"/>
    <w:rsid w:val="00627608"/>
    <w:rsid w:val="00647F7C"/>
    <w:rsid w:val="0065530D"/>
    <w:rsid w:val="00655C1F"/>
    <w:rsid w:val="00657639"/>
    <w:rsid w:val="00672571"/>
    <w:rsid w:val="00694BD0"/>
    <w:rsid w:val="006972C5"/>
    <w:rsid w:val="006A04B6"/>
    <w:rsid w:val="006A6390"/>
    <w:rsid w:val="006D15D0"/>
    <w:rsid w:val="006D6CC1"/>
    <w:rsid w:val="006E03FF"/>
    <w:rsid w:val="006E237E"/>
    <w:rsid w:val="006E7397"/>
    <w:rsid w:val="006E7C94"/>
    <w:rsid w:val="006F05BA"/>
    <w:rsid w:val="006F1C39"/>
    <w:rsid w:val="006F3EF7"/>
    <w:rsid w:val="00705EFD"/>
    <w:rsid w:val="00711062"/>
    <w:rsid w:val="00716BCA"/>
    <w:rsid w:val="00720371"/>
    <w:rsid w:val="007210B9"/>
    <w:rsid w:val="0073654B"/>
    <w:rsid w:val="00742823"/>
    <w:rsid w:val="00775EB2"/>
    <w:rsid w:val="00781A1D"/>
    <w:rsid w:val="00782A12"/>
    <w:rsid w:val="007851DB"/>
    <w:rsid w:val="007A6A1A"/>
    <w:rsid w:val="007C095D"/>
    <w:rsid w:val="007C3761"/>
    <w:rsid w:val="007D5CD5"/>
    <w:rsid w:val="00821B43"/>
    <w:rsid w:val="00831B89"/>
    <w:rsid w:val="00843EFF"/>
    <w:rsid w:val="008526F4"/>
    <w:rsid w:val="00853A73"/>
    <w:rsid w:val="00854AC5"/>
    <w:rsid w:val="00855290"/>
    <w:rsid w:val="008563C8"/>
    <w:rsid w:val="008573BF"/>
    <w:rsid w:val="00857482"/>
    <w:rsid w:val="0086792A"/>
    <w:rsid w:val="00873EB6"/>
    <w:rsid w:val="008A699B"/>
    <w:rsid w:val="008B0637"/>
    <w:rsid w:val="008C1ED7"/>
    <w:rsid w:val="008E330F"/>
    <w:rsid w:val="008E5A82"/>
    <w:rsid w:val="008E6050"/>
    <w:rsid w:val="008E6574"/>
    <w:rsid w:val="008F6D18"/>
    <w:rsid w:val="00905F49"/>
    <w:rsid w:val="009072B7"/>
    <w:rsid w:val="00907E97"/>
    <w:rsid w:val="00911A75"/>
    <w:rsid w:val="009126F1"/>
    <w:rsid w:val="0091762E"/>
    <w:rsid w:val="009335F9"/>
    <w:rsid w:val="00933A28"/>
    <w:rsid w:val="00945135"/>
    <w:rsid w:val="00951F58"/>
    <w:rsid w:val="009A1604"/>
    <w:rsid w:val="009A2251"/>
    <w:rsid w:val="009D5A32"/>
    <w:rsid w:val="009D65DE"/>
    <w:rsid w:val="009F09BC"/>
    <w:rsid w:val="00A03F8F"/>
    <w:rsid w:val="00A054B6"/>
    <w:rsid w:val="00A23E82"/>
    <w:rsid w:val="00A626EB"/>
    <w:rsid w:val="00AD316E"/>
    <w:rsid w:val="00AD63B4"/>
    <w:rsid w:val="00AF4BBC"/>
    <w:rsid w:val="00AF4EB9"/>
    <w:rsid w:val="00B047FA"/>
    <w:rsid w:val="00B07BF8"/>
    <w:rsid w:val="00B12329"/>
    <w:rsid w:val="00B47955"/>
    <w:rsid w:val="00B54047"/>
    <w:rsid w:val="00B77ECF"/>
    <w:rsid w:val="00BC5411"/>
    <w:rsid w:val="00BF3FB5"/>
    <w:rsid w:val="00C0715F"/>
    <w:rsid w:val="00C105CC"/>
    <w:rsid w:val="00C14F2A"/>
    <w:rsid w:val="00C21FAE"/>
    <w:rsid w:val="00C23EB6"/>
    <w:rsid w:val="00C41B2B"/>
    <w:rsid w:val="00C54D99"/>
    <w:rsid w:val="00C62EA3"/>
    <w:rsid w:val="00C674FC"/>
    <w:rsid w:val="00C85E64"/>
    <w:rsid w:val="00C87396"/>
    <w:rsid w:val="00C90814"/>
    <w:rsid w:val="00C91F0F"/>
    <w:rsid w:val="00CA1063"/>
    <w:rsid w:val="00CA3A63"/>
    <w:rsid w:val="00CC5B2F"/>
    <w:rsid w:val="00CE43D0"/>
    <w:rsid w:val="00CF0D2B"/>
    <w:rsid w:val="00CF1B6E"/>
    <w:rsid w:val="00D021A5"/>
    <w:rsid w:val="00D06ECC"/>
    <w:rsid w:val="00D16FC7"/>
    <w:rsid w:val="00D4403A"/>
    <w:rsid w:val="00D47231"/>
    <w:rsid w:val="00D6224B"/>
    <w:rsid w:val="00D81329"/>
    <w:rsid w:val="00DA6538"/>
    <w:rsid w:val="00DA6D37"/>
    <w:rsid w:val="00DA782E"/>
    <w:rsid w:val="00DB753F"/>
    <w:rsid w:val="00DF0719"/>
    <w:rsid w:val="00E02175"/>
    <w:rsid w:val="00E118BA"/>
    <w:rsid w:val="00E17429"/>
    <w:rsid w:val="00E43FC8"/>
    <w:rsid w:val="00E54A61"/>
    <w:rsid w:val="00E54AAE"/>
    <w:rsid w:val="00E56172"/>
    <w:rsid w:val="00E5636B"/>
    <w:rsid w:val="00E566C9"/>
    <w:rsid w:val="00E56AF3"/>
    <w:rsid w:val="00E57A52"/>
    <w:rsid w:val="00E61DA9"/>
    <w:rsid w:val="00E80237"/>
    <w:rsid w:val="00E819F3"/>
    <w:rsid w:val="00E92E04"/>
    <w:rsid w:val="00ED1D6B"/>
    <w:rsid w:val="00ED3A35"/>
    <w:rsid w:val="00ED6E75"/>
    <w:rsid w:val="00EF0CCB"/>
    <w:rsid w:val="00F00FDA"/>
    <w:rsid w:val="00F0370D"/>
    <w:rsid w:val="00F24A04"/>
    <w:rsid w:val="00F30E97"/>
    <w:rsid w:val="00F35B0C"/>
    <w:rsid w:val="00F42ADB"/>
    <w:rsid w:val="00F7371C"/>
    <w:rsid w:val="00F81B92"/>
    <w:rsid w:val="00F946B5"/>
    <w:rsid w:val="00FA3E72"/>
    <w:rsid w:val="00FC0A83"/>
    <w:rsid w:val="00FC38BE"/>
    <w:rsid w:val="00FD2FA4"/>
    <w:rsid w:val="00FE3FBE"/>
    <w:rsid w:val="00FE6761"/>
    <w:rsid w:val="00FF1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36CCB32-4DDF-4654-B5F3-6306847F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3"/>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82985">
      <w:bodyDiv w:val="1"/>
      <w:marLeft w:val="0"/>
      <w:marRight w:val="0"/>
      <w:marTop w:val="0"/>
      <w:marBottom w:val="0"/>
      <w:divBdr>
        <w:top w:val="none" w:sz="0" w:space="0" w:color="auto"/>
        <w:left w:val="none" w:sz="0" w:space="0" w:color="auto"/>
        <w:bottom w:val="none" w:sz="0" w:space="0" w:color="auto"/>
        <w:right w:val="none" w:sz="0" w:space="0" w:color="auto"/>
      </w:divBdr>
    </w:div>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60AE5-DE19-42CB-B126-C6A055F63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68</Pages>
  <Words>12033</Words>
  <Characters>66183</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16</cp:revision>
  <dcterms:created xsi:type="dcterms:W3CDTF">2022-04-05T17:31:00Z</dcterms:created>
  <dcterms:modified xsi:type="dcterms:W3CDTF">2022-05-31T19:01:00Z</dcterms:modified>
</cp:coreProperties>
</file>