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C9ECC" w14:textId="77777777" w:rsidR="00425265" w:rsidRDefault="00425265">
      <w:pPr>
        <w:widowControl w:val="0"/>
        <w:pBdr>
          <w:top w:val="nil"/>
          <w:left w:val="nil"/>
          <w:bottom w:val="nil"/>
          <w:right w:val="nil"/>
          <w:between w:val="nil"/>
        </w:pBdr>
        <w:spacing w:line="276" w:lineRule="auto"/>
      </w:pPr>
    </w:p>
    <w:p w14:paraId="7A84BE9D" w14:textId="77777777" w:rsidR="00425265" w:rsidRDefault="00425265">
      <w:pPr>
        <w:widowControl w:val="0"/>
        <w:pBdr>
          <w:top w:val="nil"/>
          <w:left w:val="nil"/>
          <w:bottom w:val="nil"/>
          <w:right w:val="nil"/>
          <w:between w:val="nil"/>
        </w:pBdr>
        <w:spacing w:line="276" w:lineRule="auto"/>
      </w:pPr>
    </w:p>
    <w:p w14:paraId="51918A51" w14:textId="77777777" w:rsidR="00425265" w:rsidRDefault="00425265">
      <w:pPr>
        <w:widowControl w:val="0"/>
        <w:pBdr>
          <w:top w:val="nil"/>
          <w:left w:val="nil"/>
          <w:bottom w:val="nil"/>
          <w:right w:val="nil"/>
          <w:between w:val="nil"/>
        </w:pBdr>
        <w:spacing w:line="276" w:lineRule="auto"/>
      </w:pPr>
    </w:p>
    <w:p w14:paraId="577413E0"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dieciocho de mayo de dos mil veintidós. </w:t>
      </w:r>
    </w:p>
    <w:p w14:paraId="1B2B5909" w14:textId="77777777" w:rsidR="00425265" w:rsidRPr="00343590" w:rsidRDefault="00425265">
      <w:pPr>
        <w:spacing w:line="360" w:lineRule="auto"/>
        <w:jc w:val="both"/>
        <w:rPr>
          <w:rFonts w:ascii="Palatino Linotype" w:eastAsia="Palatino Linotype" w:hAnsi="Palatino Linotype" w:cs="Palatino Linotype"/>
        </w:rPr>
      </w:pPr>
    </w:p>
    <w:p w14:paraId="69036DE2"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b/>
          <w:sz w:val="28"/>
          <w:szCs w:val="28"/>
        </w:rPr>
        <w:t>VISTO</w:t>
      </w:r>
      <w:r w:rsidRPr="00343590">
        <w:rPr>
          <w:rFonts w:ascii="Palatino Linotype" w:eastAsia="Palatino Linotype" w:hAnsi="Palatino Linotype" w:cs="Palatino Linotype"/>
        </w:rPr>
        <w:t xml:space="preserve"> el expediente formado con motivo de los Recursos de Revisión número </w:t>
      </w:r>
      <w:r w:rsidRPr="00343590">
        <w:rPr>
          <w:rFonts w:ascii="Palatino Linotype" w:eastAsia="Palatino Linotype" w:hAnsi="Palatino Linotype" w:cs="Palatino Linotype"/>
          <w:b/>
        </w:rPr>
        <w:t xml:space="preserve">02187/INFOEM/IP/RR/2022 y 02188/INFOEM/IP/RR/2022 </w:t>
      </w:r>
      <w:r w:rsidRPr="00343590">
        <w:rPr>
          <w:rFonts w:ascii="Palatino Linotype" w:eastAsia="Palatino Linotype" w:hAnsi="Palatino Linotype" w:cs="Palatino Linotype"/>
        </w:rPr>
        <w:t>promovidos por un particular de manera anónima</w:t>
      </w:r>
      <w:r w:rsidRPr="00343590">
        <w:rPr>
          <w:rFonts w:ascii="Palatino Linotype" w:eastAsia="Palatino Linotype" w:hAnsi="Palatino Linotype" w:cs="Palatino Linotype"/>
          <w:b/>
        </w:rPr>
        <w:t xml:space="preserve">, </w:t>
      </w:r>
      <w:r w:rsidRPr="00343590">
        <w:rPr>
          <w:rFonts w:ascii="Palatino Linotype" w:eastAsia="Palatino Linotype" w:hAnsi="Palatino Linotype" w:cs="Palatino Linotype"/>
        </w:rPr>
        <w:t xml:space="preserve">a quien en lo sucesivo se le denominara como </w:t>
      </w:r>
      <w:r w:rsidRPr="00343590">
        <w:rPr>
          <w:rFonts w:ascii="Palatino Linotype" w:eastAsia="Palatino Linotype" w:hAnsi="Palatino Linotype" w:cs="Palatino Linotype"/>
          <w:b/>
        </w:rPr>
        <w:t>EL RECURRENTE,</w:t>
      </w:r>
      <w:r w:rsidRPr="00343590">
        <w:rPr>
          <w:rFonts w:ascii="Palatino Linotype" w:eastAsia="Palatino Linotype" w:hAnsi="Palatino Linotype" w:cs="Palatino Linotype"/>
        </w:rPr>
        <w:t xml:space="preserve"> en contra de las respuestas del </w:t>
      </w:r>
      <w:r w:rsidRPr="00343590">
        <w:rPr>
          <w:rFonts w:ascii="Palatino Linotype" w:eastAsia="Palatino Linotype" w:hAnsi="Palatino Linotype" w:cs="Palatino Linotype"/>
          <w:b/>
        </w:rPr>
        <w:t xml:space="preserve">Ayuntamiento de Metepec, </w:t>
      </w:r>
      <w:r w:rsidRPr="00343590">
        <w:rPr>
          <w:rFonts w:ascii="Palatino Linotype" w:eastAsia="Palatino Linotype" w:hAnsi="Palatino Linotype" w:cs="Palatino Linotype"/>
        </w:rPr>
        <w:t xml:space="preserve">al cual en lo subsecuente se le denominará </w:t>
      </w:r>
      <w:r w:rsidRPr="00343590">
        <w:rPr>
          <w:rFonts w:ascii="Palatino Linotype" w:eastAsia="Palatino Linotype" w:hAnsi="Palatino Linotype" w:cs="Palatino Linotype"/>
          <w:b/>
        </w:rPr>
        <w:t xml:space="preserve">EL SUJETO OBLIGADO, </w:t>
      </w:r>
      <w:r w:rsidRPr="00343590">
        <w:rPr>
          <w:rFonts w:ascii="Palatino Linotype" w:eastAsia="Palatino Linotype" w:hAnsi="Palatino Linotype" w:cs="Palatino Linotype"/>
        </w:rPr>
        <w:t>se procede a dictar la presente resolución con base en lo siguiente:</w:t>
      </w:r>
    </w:p>
    <w:p w14:paraId="439B591C" w14:textId="77777777" w:rsidR="00425265" w:rsidRPr="00343590" w:rsidRDefault="00425265">
      <w:pPr>
        <w:spacing w:line="360" w:lineRule="auto"/>
        <w:jc w:val="both"/>
        <w:rPr>
          <w:rFonts w:ascii="Palatino Linotype" w:eastAsia="Palatino Linotype" w:hAnsi="Palatino Linotype" w:cs="Palatino Linotype"/>
        </w:rPr>
      </w:pPr>
    </w:p>
    <w:p w14:paraId="39B65120" w14:textId="77777777" w:rsidR="00425265" w:rsidRPr="00343590" w:rsidRDefault="000B4C53">
      <w:pPr>
        <w:spacing w:line="360" w:lineRule="auto"/>
        <w:jc w:val="center"/>
        <w:rPr>
          <w:rFonts w:ascii="Palatino Linotype" w:eastAsia="Palatino Linotype" w:hAnsi="Palatino Linotype" w:cs="Palatino Linotype"/>
          <w:b/>
        </w:rPr>
      </w:pPr>
      <w:r w:rsidRPr="00343590">
        <w:rPr>
          <w:rFonts w:ascii="Palatino Linotype" w:eastAsia="Palatino Linotype" w:hAnsi="Palatino Linotype" w:cs="Palatino Linotype"/>
          <w:b/>
          <w:sz w:val="28"/>
          <w:szCs w:val="28"/>
        </w:rPr>
        <w:t>ANTECEDENTES</w:t>
      </w:r>
    </w:p>
    <w:p w14:paraId="22531D2E" w14:textId="77777777" w:rsidR="00425265" w:rsidRPr="00343590" w:rsidRDefault="00425265">
      <w:pPr>
        <w:rPr>
          <w:rFonts w:ascii="Palatino Linotype" w:eastAsia="Palatino Linotype" w:hAnsi="Palatino Linotype" w:cs="Palatino Linotype"/>
          <w:b/>
        </w:rPr>
      </w:pPr>
    </w:p>
    <w:p w14:paraId="69933E68" w14:textId="77777777" w:rsidR="00425265" w:rsidRPr="00343590" w:rsidRDefault="000B4C53">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343590">
        <w:rPr>
          <w:rFonts w:ascii="Palatino Linotype" w:eastAsia="Palatino Linotype" w:hAnsi="Palatino Linotype" w:cs="Palatino Linotype"/>
          <w:b/>
          <w:sz w:val="28"/>
          <w:szCs w:val="28"/>
        </w:rPr>
        <w:t>I.</w:t>
      </w:r>
      <w:r w:rsidRPr="00343590">
        <w:rPr>
          <w:rFonts w:ascii="Palatino Linotype" w:eastAsia="Palatino Linotype" w:hAnsi="Palatino Linotype" w:cs="Palatino Linotype"/>
          <w:b/>
        </w:rPr>
        <w:t xml:space="preserve"> </w:t>
      </w:r>
      <w:r w:rsidRPr="00343590">
        <w:rPr>
          <w:rFonts w:ascii="Palatino Linotype" w:eastAsia="Palatino Linotype" w:hAnsi="Palatino Linotype" w:cs="Palatino Linotype"/>
          <w:b/>
          <w:sz w:val="28"/>
          <w:szCs w:val="28"/>
        </w:rPr>
        <w:t>De la Solicitud de Información</w:t>
      </w:r>
    </w:p>
    <w:p w14:paraId="50CE0DAC" w14:textId="77777777" w:rsidR="00425265" w:rsidRPr="00343590" w:rsidRDefault="000B4C53">
      <w:pPr>
        <w:spacing w:line="360" w:lineRule="auto"/>
        <w:jc w:val="both"/>
        <w:rPr>
          <w:rFonts w:ascii="Palatino Linotype" w:eastAsia="Palatino Linotype" w:hAnsi="Palatino Linotype" w:cs="Palatino Linotype"/>
        </w:rPr>
      </w:pPr>
      <w:bookmarkStart w:id="1" w:name="_heading=h.eccwy3be8vjo" w:colFirst="0" w:colLast="0"/>
      <w:bookmarkEnd w:id="1"/>
      <w:r w:rsidRPr="00343590">
        <w:rPr>
          <w:rFonts w:ascii="Palatino Linotype" w:eastAsia="Palatino Linotype" w:hAnsi="Palatino Linotype" w:cs="Palatino Linotype"/>
        </w:rPr>
        <w:t xml:space="preserve">En </w:t>
      </w:r>
      <w:r w:rsidRPr="00343590">
        <w:rPr>
          <w:rFonts w:ascii="Palatino Linotype" w:eastAsia="Palatino Linotype" w:hAnsi="Palatino Linotype" w:cs="Palatino Linotype"/>
          <w:b/>
        </w:rPr>
        <w:t>fecha cuatro de enero de dos mil veintidós</w:t>
      </w:r>
      <w:r w:rsidRPr="00343590">
        <w:rPr>
          <w:rFonts w:ascii="Palatino Linotype" w:eastAsia="Palatino Linotype" w:hAnsi="Palatino Linotype" w:cs="Palatino Linotype"/>
        </w:rPr>
        <w:t xml:space="preserve">, </w:t>
      </w:r>
      <w:r w:rsidRPr="00343590">
        <w:rPr>
          <w:rFonts w:ascii="Palatino Linotype" w:eastAsia="Palatino Linotype" w:hAnsi="Palatino Linotype" w:cs="Palatino Linotype"/>
          <w:b/>
        </w:rPr>
        <w:t>EL RECURRENTE</w:t>
      </w:r>
      <w:r w:rsidRPr="00343590">
        <w:rPr>
          <w:rFonts w:ascii="Palatino Linotype" w:eastAsia="Palatino Linotype" w:hAnsi="Palatino Linotype" w:cs="Palatino Linotype"/>
        </w:rPr>
        <w:t xml:space="preserve"> presentó a través del Sistema de Acceso a la Información Mexiquense, en lo subsecuente </w:t>
      </w:r>
      <w:r w:rsidRPr="00343590">
        <w:rPr>
          <w:rFonts w:ascii="Palatino Linotype" w:eastAsia="Palatino Linotype" w:hAnsi="Palatino Linotype" w:cs="Palatino Linotype"/>
          <w:b/>
        </w:rPr>
        <w:t>EL SAIMEX</w:t>
      </w:r>
      <w:r w:rsidRPr="00343590">
        <w:rPr>
          <w:rFonts w:ascii="Palatino Linotype" w:eastAsia="Palatino Linotype" w:hAnsi="Palatino Linotype" w:cs="Palatino Linotype"/>
        </w:rPr>
        <w:t xml:space="preserve"> ante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las solicitudes de Acceso a la Información Pública, a las cuales se le asignaron los números de expediente </w:t>
      </w:r>
      <w:r w:rsidRPr="00343590">
        <w:rPr>
          <w:rFonts w:ascii="Palatino Linotype" w:eastAsia="Palatino Linotype" w:hAnsi="Palatino Linotype" w:cs="Palatino Linotype"/>
          <w:b/>
        </w:rPr>
        <w:t xml:space="preserve">00398/METEPEC/IP/2022 y 00399/METEPEC/IP/2022 </w:t>
      </w:r>
      <w:r w:rsidRPr="00343590">
        <w:rPr>
          <w:rFonts w:ascii="Palatino Linotype" w:eastAsia="Palatino Linotype" w:hAnsi="Palatino Linotype" w:cs="Palatino Linotype"/>
        </w:rPr>
        <w:t>mediante las cuales el particular requirió, lo siguiente:</w:t>
      </w:r>
    </w:p>
    <w:p w14:paraId="0BEF5CEC" w14:textId="77777777" w:rsidR="00425265" w:rsidRPr="00343590" w:rsidRDefault="00425265">
      <w:pPr>
        <w:spacing w:line="360" w:lineRule="auto"/>
        <w:jc w:val="both"/>
        <w:rPr>
          <w:rFonts w:ascii="Palatino Linotype" w:eastAsia="Palatino Linotype" w:hAnsi="Palatino Linotype" w:cs="Palatino Linotype"/>
        </w:rPr>
      </w:pPr>
      <w:bookmarkStart w:id="2" w:name="_heading=h.ck4h1jecfd32" w:colFirst="0" w:colLast="0"/>
      <w:bookmarkEnd w:id="2"/>
    </w:p>
    <w:tbl>
      <w:tblPr>
        <w:tblStyle w:val="afffff4"/>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625"/>
      </w:tblGrid>
      <w:tr w:rsidR="00425265" w:rsidRPr="00343590" w14:paraId="315ADC08" w14:textId="77777777">
        <w:tc>
          <w:tcPr>
            <w:tcW w:w="3480" w:type="dxa"/>
            <w:shd w:val="clear" w:color="auto" w:fill="auto"/>
            <w:tcMar>
              <w:top w:w="100" w:type="dxa"/>
              <w:left w:w="100" w:type="dxa"/>
              <w:bottom w:w="100" w:type="dxa"/>
              <w:right w:w="100" w:type="dxa"/>
            </w:tcMar>
          </w:tcPr>
          <w:p w14:paraId="78CC909D" w14:textId="77777777" w:rsidR="00425265" w:rsidRPr="00343590" w:rsidRDefault="000B4C53">
            <w:pPr>
              <w:widowControl w:val="0"/>
              <w:pBdr>
                <w:top w:val="nil"/>
                <w:left w:val="nil"/>
                <w:bottom w:val="nil"/>
                <w:right w:val="nil"/>
                <w:between w:val="nil"/>
              </w:pBdr>
              <w:jc w:val="center"/>
              <w:rPr>
                <w:rFonts w:ascii="Palatino Linotype" w:eastAsia="Palatino Linotype" w:hAnsi="Palatino Linotype" w:cs="Palatino Linotype"/>
                <w:b/>
                <w:u w:val="single"/>
              </w:rPr>
            </w:pPr>
            <w:r w:rsidRPr="00343590">
              <w:rPr>
                <w:rFonts w:ascii="Palatino Linotype" w:eastAsia="Palatino Linotype" w:hAnsi="Palatino Linotype" w:cs="Palatino Linotype"/>
                <w:b/>
                <w:u w:val="single"/>
              </w:rPr>
              <w:t>Número de Folio de la Solicitud</w:t>
            </w:r>
          </w:p>
        </w:tc>
        <w:tc>
          <w:tcPr>
            <w:tcW w:w="5625" w:type="dxa"/>
            <w:shd w:val="clear" w:color="auto" w:fill="auto"/>
            <w:tcMar>
              <w:top w:w="100" w:type="dxa"/>
              <w:left w:w="100" w:type="dxa"/>
              <w:bottom w:w="100" w:type="dxa"/>
              <w:right w:w="100" w:type="dxa"/>
            </w:tcMar>
          </w:tcPr>
          <w:p w14:paraId="5AD4D0CB" w14:textId="77777777" w:rsidR="00425265" w:rsidRPr="00343590" w:rsidRDefault="000B4C53">
            <w:pPr>
              <w:widowControl w:val="0"/>
              <w:pBdr>
                <w:top w:val="nil"/>
                <w:left w:val="nil"/>
                <w:bottom w:val="nil"/>
                <w:right w:val="nil"/>
                <w:between w:val="nil"/>
              </w:pBdr>
              <w:jc w:val="center"/>
              <w:rPr>
                <w:rFonts w:ascii="Palatino Linotype" w:eastAsia="Palatino Linotype" w:hAnsi="Palatino Linotype" w:cs="Palatino Linotype"/>
                <w:b/>
                <w:u w:val="single"/>
              </w:rPr>
            </w:pPr>
            <w:r w:rsidRPr="00343590">
              <w:rPr>
                <w:rFonts w:ascii="Palatino Linotype" w:eastAsia="Palatino Linotype" w:hAnsi="Palatino Linotype" w:cs="Palatino Linotype"/>
                <w:b/>
                <w:u w:val="single"/>
              </w:rPr>
              <w:t xml:space="preserve">Solicitud </w:t>
            </w:r>
          </w:p>
        </w:tc>
      </w:tr>
      <w:tr w:rsidR="00425265" w:rsidRPr="00343590" w14:paraId="721588F7" w14:textId="77777777">
        <w:tc>
          <w:tcPr>
            <w:tcW w:w="3480" w:type="dxa"/>
            <w:shd w:val="clear" w:color="auto" w:fill="auto"/>
            <w:tcMar>
              <w:top w:w="100" w:type="dxa"/>
              <w:left w:w="100" w:type="dxa"/>
              <w:bottom w:w="100" w:type="dxa"/>
              <w:right w:w="100" w:type="dxa"/>
            </w:tcMar>
          </w:tcPr>
          <w:p w14:paraId="05B7E20C" w14:textId="77777777" w:rsidR="00425265" w:rsidRPr="00343590" w:rsidRDefault="000B4C53">
            <w:pPr>
              <w:widowControl w:val="0"/>
              <w:pBdr>
                <w:top w:val="nil"/>
                <w:left w:val="nil"/>
                <w:bottom w:val="nil"/>
                <w:right w:val="nil"/>
                <w:between w:val="nil"/>
              </w:pBdr>
              <w:rPr>
                <w:rFonts w:ascii="Palatino Linotype" w:eastAsia="Palatino Linotype" w:hAnsi="Palatino Linotype" w:cs="Palatino Linotype"/>
                <w:b/>
              </w:rPr>
            </w:pPr>
            <w:r w:rsidRPr="00343590">
              <w:rPr>
                <w:rFonts w:ascii="Palatino Linotype" w:eastAsia="Palatino Linotype" w:hAnsi="Palatino Linotype" w:cs="Palatino Linotype"/>
                <w:b/>
              </w:rPr>
              <w:t>00398/METEPEC/IP/2022</w:t>
            </w:r>
          </w:p>
        </w:tc>
        <w:tc>
          <w:tcPr>
            <w:tcW w:w="5625" w:type="dxa"/>
            <w:shd w:val="clear" w:color="auto" w:fill="auto"/>
            <w:tcMar>
              <w:top w:w="100" w:type="dxa"/>
              <w:left w:w="100" w:type="dxa"/>
              <w:bottom w:w="100" w:type="dxa"/>
              <w:right w:w="100" w:type="dxa"/>
            </w:tcMar>
          </w:tcPr>
          <w:p w14:paraId="7A67903E" w14:textId="51ECAF17" w:rsidR="00425265" w:rsidRPr="00343590" w:rsidRDefault="000B4C53">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343590">
              <w:rPr>
                <w:rFonts w:ascii="Palatino Linotype" w:eastAsia="Palatino Linotype" w:hAnsi="Palatino Linotype" w:cs="Palatino Linotype"/>
                <w:i/>
                <w:sz w:val="20"/>
                <w:szCs w:val="20"/>
              </w:rPr>
              <w:t xml:space="preserve">“Solicito conocer si existe parentesco entre Fernando Gustavo Flores Fernández y </w:t>
            </w:r>
            <w:r w:rsidR="00EE3E11">
              <w:rPr>
                <w:rFonts w:ascii="Palatino Linotype" w:eastAsia="Palatino Linotype" w:hAnsi="Palatino Linotype" w:cs="Palatino Linotype"/>
                <w:i/>
                <w:sz w:val="20"/>
                <w:szCs w:val="20"/>
              </w:rPr>
              <w:t xml:space="preserve">XXXXX XXXXXXX </w:t>
            </w:r>
            <w:proofErr w:type="spellStart"/>
            <w:r w:rsidR="00EE3E11">
              <w:rPr>
                <w:rFonts w:ascii="Palatino Linotype" w:eastAsia="Palatino Linotype" w:hAnsi="Palatino Linotype" w:cs="Palatino Linotype"/>
                <w:i/>
                <w:sz w:val="20"/>
                <w:szCs w:val="20"/>
              </w:rPr>
              <w:t>XXXXXXX</w:t>
            </w:r>
            <w:proofErr w:type="spellEnd"/>
            <w:r w:rsidR="00EE3E11">
              <w:rPr>
                <w:rFonts w:ascii="Palatino Linotype" w:eastAsia="Palatino Linotype" w:hAnsi="Palatino Linotype" w:cs="Palatino Linotype"/>
                <w:i/>
                <w:sz w:val="20"/>
                <w:szCs w:val="20"/>
              </w:rPr>
              <w:t xml:space="preserve"> XXXXXX XXXXX</w:t>
            </w:r>
            <w:r w:rsidRPr="00343590">
              <w:rPr>
                <w:rFonts w:ascii="Palatino Linotype" w:eastAsia="Palatino Linotype" w:hAnsi="Palatino Linotype" w:cs="Palatino Linotype"/>
                <w:i/>
                <w:sz w:val="20"/>
                <w:szCs w:val="20"/>
              </w:rPr>
              <w:t>. (...)(Sic)</w:t>
            </w:r>
          </w:p>
        </w:tc>
      </w:tr>
      <w:tr w:rsidR="00425265" w:rsidRPr="00343590" w14:paraId="7FB204D3" w14:textId="77777777">
        <w:tc>
          <w:tcPr>
            <w:tcW w:w="3480" w:type="dxa"/>
            <w:shd w:val="clear" w:color="auto" w:fill="auto"/>
            <w:tcMar>
              <w:top w:w="100" w:type="dxa"/>
              <w:left w:w="100" w:type="dxa"/>
              <w:bottom w:w="100" w:type="dxa"/>
              <w:right w:w="100" w:type="dxa"/>
            </w:tcMar>
          </w:tcPr>
          <w:p w14:paraId="3F34620B" w14:textId="77777777" w:rsidR="00425265" w:rsidRPr="00343590" w:rsidRDefault="000B4C53">
            <w:pPr>
              <w:widowControl w:val="0"/>
              <w:pBdr>
                <w:top w:val="nil"/>
                <w:left w:val="nil"/>
                <w:bottom w:val="nil"/>
                <w:right w:val="nil"/>
                <w:between w:val="nil"/>
              </w:pBdr>
              <w:rPr>
                <w:rFonts w:ascii="Palatino Linotype" w:eastAsia="Palatino Linotype" w:hAnsi="Palatino Linotype" w:cs="Palatino Linotype"/>
                <w:b/>
              </w:rPr>
            </w:pPr>
            <w:r w:rsidRPr="00343590">
              <w:rPr>
                <w:rFonts w:ascii="Palatino Linotype" w:eastAsia="Palatino Linotype" w:hAnsi="Palatino Linotype" w:cs="Palatino Linotype"/>
                <w:b/>
              </w:rPr>
              <w:t>00399/METEPEC/IP/2022</w:t>
            </w:r>
          </w:p>
        </w:tc>
        <w:tc>
          <w:tcPr>
            <w:tcW w:w="5625" w:type="dxa"/>
            <w:shd w:val="clear" w:color="auto" w:fill="auto"/>
            <w:tcMar>
              <w:top w:w="100" w:type="dxa"/>
              <w:left w:w="100" w:type="dxa"/>
              <w:bottom w:w="100" w:type="dxa"/>
              <w:right w:w="100" w:type="dxa"/>
            </w:tcMar>
          </w:tcPr>
          <w:p w14:paraId="57A212A4" w14:textId="4405740B" w:rsidR="00425265" w:rsidRPr="00343590" w:rsidRDefault="000B4C53">
            <w:pPr>
              <w:widowControl w:val="0"/>
              <w:pBdr>
                <w:top w:val="nil"/>
                <w:left w:val="nil"/>
                <w:bottom w:val="nil"/>
                <w:right w:val="nil"/>
                <w:between w:val="nil"/>
              </w:pBdr>
              <w:jc w:val="both"/>
              <w:rPr>
                <w:rFonts w:ascii="Palatino Linotype" w:eastAsia="Palatino Linotype" w:hAnsi="Palatino Linotype" w:cs="Palatino Linotype"/>
                <w:i/>
                <w:sz w:val="20"/>
                <w:szCs w:val="20"/>
              </w:rPr>
            </w:pPr>
            <w:r w:rsidRPr="00343590">
              <w:rPr>
                <w:rFonts w:ascii="Palatino Linotype" w:eastAsia="Palatino Linotype" w:hAnsi="Palatino Linotype" w:cs="Palatino Linotype"/>
                <w:i/>
                <w:sz w:val="20"/>
                <w:szCs w:val="20"/>
              </w:rPr>
              <w:t xml:space="preserve">“Dado que existe un claro lazo consanguíneo entre el Presidente Municipal F. Gustavo Flores Fernández y </w:t>
            </w:r>
            <w:r w:rsidR="00EE3E11">
              <w:rPr>
                <w:rFonts w:ascii="Palatino Linotype" w:eastAsia="Palatino Linotype" w:hAnsi="Palatino Linotype" w:cs="Palatino Linotype"/>
                <w:i/>
                <w:sz w:val="20"/>
                <w:szCs w:val="20"/>
              </w:rPr>
              <w:t>XXXXXXX XXXXXX XXXXXXXXX</w:t>
            </w:r>
            <w:r w:rsidRPr="00343590">
              <w:rPr>
                <w:rFonts w:ascii="Palatino Linotype" w:eastAsia="Palatino Linotype" w:hAnsi="Palatino Linotype" w:cs="Palatino Linotype"/>
                <w:i/>
                <w:sz w:val="20"/>
                <w:szCs w:val="20"/>
              </w:rPr>
              <w:t>, de conformidad con el artículo 44, fracción I, inciso b, se solicita conocer si ambos servidores públicos realizaron a la fecha su respectiva declaración de intereses. Solo se requiere saber si ya fue realizada o no, es decir, no se requiere copia de la declaración.” (Sic)</w:t>
            </w:r>
          </w:p>
        </w:tc>
      </w:tr>
    </w:tbl>
    <w:p w14:paraId="6B701E64" w14:textId="77777777" w:rsidR="00425265" w:rsidRPr="00343590" w:rsidRDefault="00425265">
      <w:pPr>
        <w:ind w:right="899"/>
        <w:jc w:val="both"/>
        <w:rPr>
          <w:rFonts w:ascii="Palatino Linotype" w:eastAsia="Palatino Linotype" w:hAnsi="Palatino Linotype" w:cs="Palatino Linotype"/>
          <w:sz w:val="22"/>
          <w:szCs w:val="22"/>
        </w:rPr>
      </w:pPr>
    </w:p>
    <w:p w14:paraId="474AD964" w14:textId="77777777" w:rsidR="00425265" w:rsidRPr="00343590" w:rsidRDefault="00425265">
      <w:pPr>
        <w:tabs>
          <w:tab w:val="left" w:pos="851"/>
        </w:tabs>
        <w:ind w:right="901"/>
        <w:jc w:val="both"/>
        <w:rPr>
          <w:rFonts w:ascii="Palatino Linotype" w:eastAsia="Palatino Linotype" w:hAnsi="Palatino Linotype" w:cs="Palatino Linotype"/>
          <w:sz w:val="22"/>
          <w:szCs w:val="22"/>
        </w:rPr>
      </w:pPr>
    </w:p>
    <w:p w14:paraId="1D829CEF" w14:textId="77777777" w:rsidR="00425265" w:rsidRPr="00343590" w:rsidRDefault="000B4C53">
      <w:pPr>
        <w:widowControl w:val="0"/>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rPr>
        <w:t xml:space="preserve">MODALIDAD DE ENTREGA: </w:t>
      </w:r>
      <w:r w:rsidRPr="00343590">
        <w:rPr>
          <w:rFonts w:ascii="Palatino Linotype" w:eastAsia="Palatino Linotype" w:hAnsi="Palatino Linotype" w:cs="Palatino Linotype"/>
        </w:rPr>
        <w:t xml:space="preserve">Vía </w:t>
      </w:r>
      <w:r w:rsidRPr="00343590">
        <w:rPr>
          <w:rFonts w:ascii="Palatino Linotype" w:eastAsia="Palatino Linotype" w:hAnsi="Palatino Linotype" w:cs="Palatino Linotype"/>
          <w:b/>
        </w:rPr>
        <w:t>SAIMEX</w:t>
      </w:r>
    </w:p>
    <w:p w14:paraId="36CB3ADE" w14:textId="77777777" w:rsidR="00425265" w:rsidRPr="00343590" w:rsidRDefault="00425265">
      <w:pPr>
        <w:widowControl w:val="0"/>
        <w:spacing w:line="360" w:lineRule="auto"/>
        <w:jc w:val="both"/>
        <w:rPr>
          <w:rFonts w:ascii="Palatino Linotype" w:eastAsia="Palatino Linotype" w:hAnsi="Palatino Linotype" w:cs="Palatino Linotype"/>
          <w:b/>
        </w:rPr>
      </w:pPr>
    </w:p>
    <w:p w14:paraId="2D9E1969" w14:textId="77777777" w:rsidR="00425265" w:rsidRPr="00343590" w:rsidRDefault="000B4C53">
      <w:pPr>
        <w:spacing w:line="360" w:lineRule="auto"/>
        <w:jc w:val="both"/>
        <w:rPr>
          <w:rFonts w:ascii="Palatino Linotype" w:eastAsia="Palatino Linotype" w:hAnsi="Palatino Linotype" w:cs="Palatino Linotype"/>
          <w:b/>
          <w:sz w:val="28"/>
          <w:szCs w:val="28"/>
        </w:rPr>
      </w:pPr>
      <w:r w:rsidRPr="00343590">
        <w:rPr>
          <w:rFonts w:ascii="Palatino Linotype" w:eastAsia="Palatino Linotype" w:hAnsi="Palatino Linotype" w:cs="Palatino Linotype"/>
          <w:b/>
          <w:sz w:val="28"/>
          <w:szCs w:val="28"/>
        </w:rPr>
        <w:t>II. Turno de requerimiento del Sujeto Obligado</w:t>
      </w:r>
    </w:p>
    <w:p w14:paraId="2541A4EB"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De las constancias que obran en los expedientes electrónicos del SAIMEX se advierten en fechas veintiuno de enero y cuatro de febrero de dos mil veintidós, los requerimientos realizados por la Titular de la Unidad de Transparencia a los servidores públicos habilitados que estimó competentes en términos de lo establecido por el artículo 162 de la Ley de Transparencia y Acceso a la Información Pública del Estado de México y Municipios. </w:t>
      </w:r>
    </w:p>
    <w:p w14:paraId="626081B1" w14:textId="77777777" w:rsidR="00425265" w:rsidRPr="00343590" w:rsidRDefault="00425265">
      <w:pPr>
        <w:widowControl w:val="0"/>
        <w:jc w:val="both"/>
        <w:rPr>
          <w:rFonts w:ascii="Palatino Linotype" w:eastAsia="Palatino Linotype" w:hAnsi="Palatino Linotype" w:cs="Palatino Linotype"/>
          <w:b/>
        </w:rPr>
      </w:pPr>
    </w:p>
    <w:p w14:paraId="2B5C5797" w14:textId="77777777" w:rsidR="00425265" w:rsidRPr="00343590" w:rsidRDefault="000B4C53">
      <w:pPr>
        <w:widowControl w:val="0"/>
        <w:spacing w:line="360" w:lineRule="auto"/>
        <w:jc w:val="both"/>
        <w:rPr>
          <w:rFonts w:ascii="Palatino Linotype" w:eastAsia="Palatino Linotype" w:hAnsi="Palatino Linotype" w:cs="Palatino Linotype"/>
          <w:b/>
          <w:sz w:val="28"/>
          <w:szCs w:val="28"/>
        </w:rPr>
      </w:pPr>
      <w:r w:rsidRPr="00343590">
        <w:rPr>
          <w:rFonts w:ascii="Palatino Linotype" w:eastAsia="Palatino Linotype" w:hAnsi="Palatino Linotype" w:cs="Palatino Linotype"/>
          <w:b/>
          <w:sz w:val="28"/>
          <w:szCs w:val="28"/>
        </w:rPr>
        <w:t xml:space="preserve">III. Prórroga </w:t>
      </w:r>
    </w:p>
    <w:p w14:paraId="1099121A" w14:textId="77777777" w:rsidR="00425265" w:rsidRPr="00343590" w:rsidRDefault="000B4C53">
      <w:pPr>
        <w:widowControl w:val="0"/>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Para el caso de la solicitud de acceso a la información número </w:t>
      </w:r>
      <w:r w:rsidRPr="00343590">
        <w:rPr>
          <w:rFonts w:ascii="Palatino Linotype" w:eastAsia="Palatino Linotype" w:hAnsi="Palatino Linotype" w:cs="Palatino Linotype"/>
          <w:b/>
          <w:sz w:val="22"/>
          <w:szCs w:val="22"/>
        </w:rPr>
        <w:t xml:space="preserve">00399/METEPEC/IP/2022 </w:t>
      </w:r>
      <w:r w:rsidRPr="00343590">
        <w:rPr>
          <w:rFonts w:ascii="Palatino Linotype" w:eastAsia="Palatino Linotype" w:hAnsi="Palatino Linotype" w:cs="Palatino Linotype"/>
        </w:rPr>
        <w:t xml:space="preserve">se advierte en fecha veintinueve de enero la notificación de la prórroga para dar </w:t>
      </w:r>
      <w:r w:rsidRPr="00343590">
        <w:rPr>
          <w:rFonts w:ascii="Palatino Linotype" w:eastAsia="Palatino Linotype" w:hAnsi="Palatino Linotype" w:cs="Palatino Linotype"/>
        </w:rPr>
        <w:lastRenderedPageBreak/>
        <w:t xml:space="preserve">respuesta por un plazo de siete días hábiles. </w:t>
      </w:r>
    </w:p>
    <w:p w14:paraId="5B58258B" w14:textId="77777777" w:rsidR="00425265" w:rsidRPr="00343590" w:rsidRDefault="00425265">
      <w:pPr>
        <w:widowControl w:val="0"/>
        <w:spacing w:line="360" w:lineRule="auto"/>
        <w:jc w:val="both"/>
        <w:rPr>
          <w:rFonts w:ascii="Palatino Linotype" w:eastAsia="Palatino Linotype" w:hAnsi="Palatino Linotype" w:cs="Palatino Linotype"/>
          <w:b/>
          <w:sz w:val="28"/>
          <w:szCs w:val="28"/>
        </w:rPr>
      </w:pPr>
    </w:p>
    <w:p w14:paraId="5FA524E1" w14:textId="77777777" w:rsidR="00425265" w:rsidRPr="00343590" w:rsidRDefault="000B4C53">
      <w:pPr>
        <w:widowControl w:val="0"/>
        <w:spacing w:line="360" w:lineRule="auto"/>
        <w:jc w:val="both"/>
        <w:rPr>
          <w:rFonts w:ascii="Palatino Linotype" w:eastAsia="Palatino Linotype" w:hAnsi="Palatino Linotype" w:cs="Palatino Linotype"/>
          <w:b/>
          <w:sz w:val="28"/>
          <w:szCs w:val="28"/>
        </w:rPr>
      </w:pPr>
      <w:r w:rsidRPr="00343590">
        <w:rPr>
          <w:rFonts w:ascii="Palatino Linotype" w:eastAsia="Palatino Linotype" w:hAnsi="Palatino Linotype" w:cs="Palatino Linotype"/>
          <w:b/>
          <w:sz w:val="28"/>
          <w:szCs w:val="28"/>
        </w:rPr>
        <w:t>IV.</w:t>
      </w:r>
      <w:r w:rsidR="00343590" w:rsidRPr="00343590">
        <w:rPr>
          <w:rFonts w:ascii="Palatino Linotype" w:eastAsia="Palatino Linotype" w:hAnsi="Palatino Linotype" w:cs="Palatino Linotype"/>
          <w:b/>
          <w:sz w:val="28"/>
          <w:szCs w:val="28"/>
        </w:rPr>
        <w:t xml:space="preserve"> </w:t>
      </w:r>
      <w:r w:rsidRPr="00343590">
        <w:rPr>
          <w:rFonts w:ascii="Palatino Linotype" w:eastAsia="Palatino Linotype" w:hAnsi="Palatino Linotype" w:cs="Palatino Linotype"/>
          <w:b/>
          <w:sz w:val="28"/>
          <w:szCs w:val="28"/>
        </w:rPr>
        <w:t>Respuesta del Sujeto Obligado</w:t>
      </w:r>
    </w:p>
    <w:p w14:paraId="5D84AE58" w14:textId="77777777" w:rsidR="00425265" w:rsidRPr="00343590" w:rsidRDefault="000B4C53">
      <w:pPr>
        <w:widowControl w:val="0"/>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En fecha nueve de febrero de dos mil veintidós,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dio respuesta a las solicitudes de información en el tenor siguiente: </w:t>
      </w:r>
    </w:p>
    <w:tbl>
      <w:tblPr>
        <w:tblStyle w:val="afffff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5625"/>
      </w:tblGrid>
      <w:tr w:rsidR="00425265" w:rsidRPr="00343590" w14:paraId="35FCBF37" w14:textId="77777777">
        <w:tc>
          <w:tcPr>
            <w:tcW w:w="3480" w:type="dxa"/>
            <w:shd w:val="clear" w:color="auto" w:fill="auto"/>
            <w:tcMar>
              <w:top w:w="100" w:type="dxa"/>
              <w:left w:w="100" w:type="dxa"/>
              <w:bottom w:w="100" w:type="dxa"/>
              <w:right w:w="100" w:type="dxa"/>
            </w:tcMar>
          </w:tcPr>
          <w:p w14:paraId="4621414E" w14:textId="77777777" w:rsidR="00425265" w:rsidRPr="00343590" w:rsidRDefault="000B4C53">
            <w:pPr>
              <w:widowControl w:val="0"/>
              <w:jc w:val="center"/>
              <w:rPr>
                <w:rFonts w:ascii="Palatino Linotype" w:eastAsia="Palatino Linotype" w:hAnsi="Palatino Linotype" w:cs="Palatino Linotype"/>
                <w:b/>
                <w:u w:val="single"/>
              </w:rPr>
            </w:pPr>
            <w:r w:rsidRPr="00343590">
              <w:rPr>
                <w:rFonts w:ascii="Palatino Linotype" w:eastAsia="Palatino Linotype" w:hAnsi="Palatino Linotype" w:cs="Palatino Linotype"/>
                <w:b/>
                <w:u w:val="single"/>
              </w:rPr>
              <w:t>Número de Folio de la Solicitud</w:t>
            </w:r>
          </w:p>
        </w:tc>
        <w:tc>
          <w:tcPr>
            <w:tcW w:w="5625" w:type="dxa"/>
            <w:shd w:val="clear" w:color="auto" w:fill="auto"/>
            <w:tcMar>
              <w:top w:w="100" w:type="dxa"/>
              <w:left w:w="100" w:type="dxa"/>
              <w:bottom w:w="100" w:type="dxa"/>
              <w:right w:w="100" w:type="dxa"/>
            </w:tcMar>
          </w:tcPr>
          <w:p w14:paraId="04D3374A" w14:textId="77777777" w:rsidR="00425265" w:rsidRPr="00343590" w:rsidRDefault="000B4C53">
            <w:pPr>
              <w:widowControl w:val="0"/>
              <w:jc w:val="center"/>
              <w:rPr>
                <w:rFonts w:ascii="Palatino Linotype" w:eastAsia="Palatino Linotype" w:hAnsi="Palatino Linotype" w:cs="Palatino Linotype"/>
                <w:b/>
                <w:u w:val="single"/>
              </w:rPr>
            </w:pPr>
            <w:r w:rsidRPr="00343590">
              <w:rPr>
                <w:rFonts w:ascii="Palatino Linotype" w:eastAsia="Palatino Linotype" w:hAnsi="Palatino Linotype" w:cs="Palatino Linotype"/>
                <w:b/>
                <w:u w:val="single"/>
              </w:rPr>
              <w:t xml:space="preserve">Solicitud </w:t>
            </w:r>
          </w:p>
        </w:tc>
      </w:tr>
      <w:tr w:rsidR="00425265" w:rsidRPr="00343590" w14:paraId="4AAF45C5" w14:textId="77777777">
        <w:tc>
          <w:tcPr>
            <w:tcW w:w="3480" w:type="dxa"/>
            <w:shd w:val="clear" w:color="auto" w:fill="auto"/>
            <w:tcMar>
              <w:top w:w="100" w:type="dxa"/>
              <w:left w:w="100" w:type="dxa"/>
              <w:bottom w:w="100" w:type="dxa"/>
              <w:right w:w="100" w:type="dxa"/>
            </w:tcMar>
          </w:tcPr>
          <w:p w14:paraId="3C4076B3" w14:textId="77777777" w:rsidR="00425265" w:rsidRPr="00343590" w:rsidRDefault="000B4C53">
            <w:pPr>
              <w:widowControl w:val="0"/>
              <w:rPr>
                <w:rFonts w:ascii="Palatino Linotype" w:eastAsia="Palatino Linotype" w:hAnsi="Palatino Linotype" w:cs="Palatino Linotype"/>
                <w:sz w:val="20"/>
                <w:szCs w:val="20"/>
              </w:rPr>
            </w:pPr>
            <w:r w:rsidRPr="00343590">
              <w:rPr>
                <w:rFonts w:ascii="Palatino Linotype" w:eastAsia="Palatino Linotype" w:hAnsi="Palatino Linotype" w:cs="Palatino Linotype"/>
                <w:b/>
              </w:rPr>
              <w:t>00398/METEPEC/IP/2022</w:t>
            </w:r>
          </w:p>
        </w:tc>
        <w:tc>
          <w:tcPr>
            <w:tcW w:w="5625" w:type="dxa"/>
            <w:shd w:val="clear" w:color="auto" w:fill="auto"/>
            <w:tcMar>
              <w:top w:w="100" w:type="dxa"/>
              <w:left w:w="100" w:type="dxa"/>
              <w:bottom w:w="100" w:type="dxa"/>
              <w:right w:w="100" w:type="dxa"/>
            </w:tcMar>
          </w:tcPr>
          <w:p w14:paraId="10168314" w14:textId="77777777" w:rsidR="00425265" w:rsidRPr="00343590" w:rsidRDefault="000B4C53">
            <w:pPr>
              <w:widowControl w:val="0"/>
              <w:numPr>
                <w:ilvl w:val="0"/>
                <w:numId w:val="4"/>
              </w:numPr>
              <w:jc w:val="both"/>
              <w:rPr>
                <w:rFonts w:ascii="Palatino Linotype" w:eastAsia="Palatino Linotype" w:hAnsi="Palatino Linotype" w:cs="Palatino Linotype"/>
                <w:i/>
                <w:sz w:val="20"/>
                <w:szCs w:val="20"/>
              </w:rPr>
            </w:pPr>
            <w:r w:rsidRPr="00343590">
              <w:rPr>
                <w:rFonts w:ascii="Palatino Linotype" w:eastAsia="Palatino Linotype" w:hAnsi="Palatino Linotype" w:cs="Palatino Linotype"/>
              </w:rPr>
              <w:t xml:space="preserve">Archivo denominado “2022. </w:t>
            </w:r>
            <w:proofErr w:type="spellStart"/>
            <w:r w:rsidRPr="00343590">
              <w:rPr>
                <w:rFonts w:ascii="Palatino Linotype" w:eastAsia="Palatino Linotype" w:hAnsi="Palatino Linotype" w:cs="Palatino Linotype"/>
              </w:rPr>
              <w:t>Año</w:t>
            </w:r>
            <w:proofErr w:type="spellEnd"/>
            <w:r w:rsidRPr="00343590">
              <w:rPr>
                <w:rFonts w:ascii="Palatino Linotype" w:eastAsia="Palatino Linotype" w:hAnsi="Palatino Linotype" w:cs="Palatino Linotype"/>
              </w:rPr>
              <w:t xml:space="preserve"> del </w:t>
            </w:r>
            <w:proofErr w:type="spellStart"/>
            <w:r w:rsidRPr="00343590">
              <w:rPr>
                <w:rFonts w:ascii="Palatino Linotype" w:eastAsia="Palatino Linotype" w:hAnsi="Palatino Linotype" w:cs="Palatino Linotype"/>
              </w:rPr>
              <w:t>Quincentenario</w:t>
            </w:r>
            <w:proofErr w:type="spellEnd"/>
            <w:r w:rsidRPr="00343590">
              <w:rPr>
                <w:rFonts w:ascii="Palatino Linotype" w:eastAsia="Palatino Linotype" w:hAnsi="Palatino Linotype" w:cs="Palatino Linotype"/>
              </w:rPr>
              <w:t xml:space="preserve"> de la </w:t>
            </w:r>
            <w:proofErr w:type="spellStart"/>
            <w:r w:rsidRPr="00343590">
              <w:rPr>
                <w:rFonts w:ascii="Palatino Linotype" w:eastAsia="Palatino Linotype" w:hAnsi="Palatino Linotype" w:cs="Palatino Linotype"/>
              </w:rPr>
              <w:t>Fundación</w:t>
            </w:r>
            <w:proofErr w:type="spellEnd"/>
            <w:r w:rsidRPr="00343590">
              <w:rPr>
                <w:rFonts w:ascii="Palatino Linotype" w:eastAsia="Palatino Linotype" w:hAnsi="Palatino Linotype" w:cs="Palatino Linotype"/>
              </w:rPr>
              <w:t xml:space="preserve"> de Toluca de Lerdo, (3).pdf “ el cual contiene la respuesta firmada por el Titular de la Unidad de Transparencia indicando que lo </w:t>
            </w:r>
            <w:proofErr w:type="spellStart"/>
            <w:r w:rsidRPr="00343590">
              <w:rPr>
                <w:rFonts w:ascii="Palatino Linotype" w:eastAsia="Palatino Linotype" w:hAnsi="Palatino Linotype" w:cs="Palatino Linotype"/>
              </w:rPr>
              <w:t>solciitado</w:t>
            </w:r>
            <w:proofErr w:type="spellEnd"/>
            <w:r w:rsidRPr="00343590">
              <w:rPr>
                <w:rFonts w:ascii="Palatino Linotype" w:eastAsia="Palatino Linotype" w:hAnsi="Palatino Linotype" w:cs="Palatino Linotype"/>
              </w:rPr>
              <w:t xml:space="preserve"> por el </w:t>
            </w:r>
            <w:proofErr w:type="spellStart"/>
            <w:r w:rsidRPr="00343590">
              <w:rPr>
                <w:rFonts w:ascii="Palatino Linotype" w:eastAsia="Palatino Linotype" w:hAnsi="Palatino Linotype" w:cs="Palatino Linotype"/>
              </w:rPr>
              <w:t>partiucular</w:t>
            </w:r>
            <w:proofErr w:type="spellEnd"/>
            <w:r w:rsidRPr="00343590">
              <w:rPr>
                <w:rFonts w:ascii="Palatino Linotype" w:eastAsia="Palatino Linotype" w:hAnsi="Palatino Linotype" w:cs="Palatino Linotype"/>
              </w:rPr>
              <w:t xml:space="preserve"> es un derecho de petición que no puede satisfacerse con un documento generado en </w:t>
            </w:r>
            <w:proofErr w:type="spellStart"/>
            <w:r w:rsidRPr="00343590">
              <w:rPr>
                <w:rFonts w:ascii="Palatino Linotype" w:eastAsia="Palatino Linotype" w:hAnsi="Palatino Linotype" w:cs="Palatino Linotype"/>
              </w:rPr>
              <w:t>atricucion</w:t>
            </w:r>
            <w:proofErr w:type="spellEnd"/>
            <w:r w:rsidRPr="00343590">
              <w:rPr>
                <w:rFonts w:ascii="Palatino Linotype" w:eastAsia="Palatino Linotype" w:hAnsi="Palatino Linotype" w:cs="Palatino Linotype"/>
              </w:rPr>
              <w:t xml:space="preserve"> de sus facultades sino con un </w:t>
            </w:r>
            <w:proofErr w:type="spellStart"/>
            <w:r w:rsidRPr="00343590">
              <w:rPr>
                <w:rFonts w:ascii="Palatino Linotype" w:eastAsia="Palatino Linotype" w:hAnsi="Palatino Linotype" w:cs="Palatino Linotype"/>
              </w:rPr>
              <w:t>pronuncimiento</w:t>
            </w:r>
            <w:proofErr w:type="spellEnd"/>
            <w:r w:rsidRPr="00343590">
              <w:rPr>
                <w:rFonts w:ascii="Palatino Linotype" w:eastAsia="Palatino Linotype" w:hAnsi="Palatino Linotype" w:cs="Palatino Linotype"/>
              </w:rPr>
              <w:t xml:space="preserve"> específico.  </w:t>
            </w:r>
          </w:p>
        </w:tc>
      </w:tr>
      <w:tr w:rsidR="00425265" w:rsidRPr="00343590" w14:paraId="3E038191" w14:textId="77777777">
        <w:tc>
          <w:tcPr>
            <w:tcW w:w="3480" w:type="dxa"/>
            <w:shd w:val="clear" w:color="auto" w:fill="auto"/>
            <w:tcMar>
              <w:top w:w="100" w:type="dxa"/>
              <w:left w:w="100" w:type="dxa"/>
              <w:bottom w:w="100" w:type="dxa"/>
              <w:right w:w="100" w:type="dxa"/>
            </w:tcMar>
          </w:tcPr>
          <w:p w14:paraId="4114768D" w14:textId="77777777" w:rsidR="00425265" w:rsidRPr="00343590" w:rsidRDefault="000B4C53">
            <w:pPr>
              <w:widowControl w:val="0"/>
              <w:rPr>
                <w:rFonts w:ascii="Palatino Linotype" w:eastAsia="Palatino Linotype" w:hAnsi="Palatino Linotype" w:cs="Palatino Linotype"/>
                <w:b/>
              </w:rPr>
            </w:pPr>
            <w:r w:rsidRPr="00343590">
              <w:rPr>
                <w:rFonts w:ascii="Palatino Linotype" w:eastAsia="Palatino Linotype" w:hAnsi="Palatino Linotype" w:cs="Palatino Linotype"/>
                <w:b/>
              </w:rPr>
              <w:t>00399/METEPEC/IP/2022</w:t>
            </w:r>
          </w:p>
        </w:tc>
        <w:tc>
          <w:tcPr>
            <w:tcW w:w="5625" w:type="dxa"/>
            <w:shd w:val="clear" w:color="auto" w:fill="auto"/>
            <w:tcMar>
              <w:top w:w="100" w:type="dxa"/>
              <w:left w:w="100" w:type="dxa"/>
              <w:bottom w:w="100" w:type="dxa"/>
              <w:right w:w="100" w:type="dxa"/>
            </w:tcMar>
          </w:tcPr>
          <w:p w14:paraId="4914CCD9" w14:textId="77777777" w:rsidR="00425265" w:rsidRPr="00343590" w:rsidRDefault="000B4C53">
            <w:pPr>
              <w:widowControl w:val="0"/>
              <w:numPr>
                <w:ilvl w:val="0"/>
                <w:numId w:val="2"/>
              </w:numPr>
              <w:ind w:hanging="360"/>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Documento denominado </w:t>
            </w:r>
            <w:r w:rsidRPr="00343590">
              <w:rPr>
                <w:rFonts w:ascii="Palatino Linotype" w:eastAsia="Palatino Linotype" w:hAnsi="Palatino Linotype" w:cs="Palatino Linotype"/>
                <w:i/>
              </w:rPr>
              <w:t xml:space="preserve">CIM CI 130 2022.pdf  </w:t>
            </w:r>
            <w:r w:rsidRPr="00343590">
              <w:rPr>
                <w:rFonts w:ascii="Palatino Linotype" w:eastAsia="Palatino Linotype" w:hAnsi="Palatino Linotype" w:cs="Palatino Linotype"/>
              </w:rPr>
              <w:t xml:space="preserve">de cuyo contenido se advierte la respuesta otorgada por la Contraloría Municipal en donde señala el titular de dicho departamento en fecha veinticinco de enero que no cuenta con información alguna en los términos solicitados. </w:t>
            </w:r>
          </w:p>
        </w:tc>
      </w:tr>
    </w:tbl>
    <w:p w14:paraId="278E5E43" w14:textId="77777777" w:rsidR="00425265" w:rsidRPr="00343590" w:rsidRDefault="00425265">
      <w:pPr>
        <w:widowControl w:val="0"/>
        <w:spacing w:line="360" w:lineRule="auto"/>
        <w:jc w:val="both"/>
        <w:rPr>
          <w:rFonts w:ascii="Palatino Linotype" w:eastAsia="Palatino Linotype" w:hAnsi="Palatino Linotype" w:cs="Palatino Linotype"/>
        </w:rPr>
      </w:pPr>
    </w:p>
    <w:p w14:paraId="1BC2E7DD" w14:textId="77777777" w:rsidR="00425265" w:rsidRPr="00343590" w:rsidRDefault="000B4C53">
      <w:pPr>
        <w:widowControl w:val="0"/>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sz w:val="28"/>
          <w:szCs w:val="28"/>
        </w:rPr>
        <w:t>V. Del Recurso de Revisión</w:t>
      </w:r>
      <w:r w:rsidRPr="00343590">
        <w:rPr>
          <w:rFonts w:ascii="Palatino Linotype" w:eastAsia="Palatino Linotype" w:hAnsi="Palatino Linotype" w:cs="Palatino Linotype"/>
          <w:b/>
        </w:rPr>
        <w:t>.</w:t>
      </w:r>
    </w:p>
    <w:p w14:paraId="1F45D39E" w14:textId="77777777" w:rsidR="00425265" w:rsidRPr="00343590" w:rsidRDefault="000B4C53">
      <w:pPr>
        <w:widowControl w:val="0"/>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Inconforme por las respuestas del</w:t>
      </w:r>
      <w:r w:rsidRPr="00343590">
        <w:rPr>
          <w:rFonts w:ascii="Palatino Linotype" w:eastAsia="Palatino Linotype" w:hAnsi="Palatino Linotype" w:cs="Palatino Linotype"/>
          <w:b/>
        </w:rPr>
        <w:t xml:space="preserve"> SUJETO OBLIGADO</w:t>
      </w:r>
      <w:r w:rsidRPr="00343590">
        <w:rPr>
          <w:rFonts w:ascii="Palatino Linotype" w:eastAsia="Palatino Linotype" w:hAnsi="Palatino Linotype" w:cs="Palatino Linotype"/>
        </w:rPr>
        <w:t xml:space="preserve">, en fecha veintiocho  de febrero de dos mil veintidós, </w:t>
      </w:r>
      <w:r w:rsidRPr="00343590">
        <w:rPr>
          <w:rFonts w:ascii="Palatino Linotype" w:eastAsia="Palatino Linotype" w:hAnsi="Palatino Linotype" w:cs="Palatino Linotype"/>
          <w:b/>
        </w:rPr>
        <w:t xml:space="preserve">EL RECURRENTE </w:t>
      </w:r>
      <w:r w:rsidRPr="00343590">
        <w:rPr>
          <w:rFonts w:ascii="Palatino Linotype" w:eastAsia="Palatino Linotype" w:hAnsi="Palatino Linotype" w:cs="Palatino Linotype"/>
        </w:rPr>
        <w:t xml:space="preserve">interpuso los Recursos de Revisión, los cuales fueron registrados en </w:t>
      </w:r>
      <w:r w:rsidRPr="00343590">
        <w:rPr>
          <w:rFonts w:ascii="Palatino Linotype" w:eastAsia="Palatino Linotype" w:hAnsi="Palatino Linotype" w:cs="Palatino Linotype"/>
          <w:b/>
        </w:rPr>
        <w:t>EL SAIMEX</w:t>
      </w:r>
      <w:r w:rsidRPr="00343590">
        <w:rPr>
          <w:rFonts w:ascii="Palatino Linotype" w:eastAsia="Palatino Linotype" w:hAnsi="Palatino Linotype" w:cs="Palatino Linotype"/>
        </w:rPr>
        <w:t xml:space="preserve"> y se les asignaron los números de expediente </w:t>
      </w:r>
      <w:r w:rsidRPr="00343590">
        <w:rPr>
          <w:rFonts w:ascii="Palatino Linotype" w:eastAsia="Palatino Linotype" w:hAnsi="Palatino Linotype" w:cs="Palatino Linotype"/>
          <w:b/>
        </w:rPr>
        <w:t>02187/INFOEM/IP/RR/2022 y 02188/INFOEM/IP/RR/2022,</w:t>
      </w:r>
      <w:r w:rsidRPr="00343590">
        <w:rPr>
          <w:rFonts w:ascii="Palatino Linotype" w:eastAsia="Palatino Linotype" w:hAnsi="Palatino Linotype" w:cs="Palatino Linotype"/>
        </w:rPr>
        <w:t xml:space="preserve"> donde los </w:t>
      </w:r>
      <w:r w:rsidRPr="00343590">
        <w:rPr>
          <w:rFonts w:ascii="Palatino Linotype" w:eastAsia="Palatino Linotype" w:hAnsi="Palatino Linotype" w:cs="Palatino Linotype"/>
        </w:rPr>
        <w:lastRenderedPageBreak/>
        <w:t xml:space="preserve">motivos de agravio son los mismos para ambos recursos y constan de lo siguiente: </w:t>
      </w:r>
    </w:p>
    <w:p w14:paraId="54D40F11" w14:textId="77777777" w:rsidR="00425265" w:rsidRPr="00343590" w:rsidRDefault="00425265">
      <w:pPr>
        <w:widowControl w:val="0"/>
        <w:spacing w:line="360" w:lineRule="auto"/>
        <w:jc w:val="both"/>
        <w:rPr>
          <w:rFonts w:ascii="Palatino Linotype" w:eastAsia="Palatino Linotype" w:hAnsi="Palatino Linotype" w:cs="Palatino Linotype"/>
        </w:rPr>
      </w:pPr>
    </w:p>
    <w:p w14:paraId="6652E1A1" w14:textId="77777777" w:rsidR="00425265" w:rsidRPr="00343590" w:rsidRDefault="000B4C53">
      <w:pPr>
        <w:widowControl w:val="0"/>
        <w:jc w:val="both"/>
        <w:rPr>
          <w:rFonts w:ascii="Palatino Linotype" w:eastAsia="Palatino Linotype" w:hAnsi="Palatino Linotype" w:cs="Palatino Linotype"/>
          <w:b/>
          <w:sz w:val="22"/>
          <w:szCs w:val="22"/>
          <w:u w:val="single"/>
        </w:rPr>
      </w:pPr>
      <w:r w:rsidRPr="00343590">
        <w:rPr>
          <w:rFonts w:ascii="Palatino Linotype" w:eastAsia="Palatino Linotype" w:hAnsi="Palatino Linotype" w:cs="Palatino Linotype"/>
          <w:b/>
          <w:sz w:val="22"/>
          <w:szCs w:val="22"/>
          <w:u w:val="single"/>
        </w:rPr>
        <w:t>Acto impugnado</w:t>
      </w:r>
    </w:p>
    <w:p w14:paraId="14A6D141" w14:textId="77777777" w:rsidR="00425265" w:rsidRPr="00343590" w:rsidRDefault="00425265">
      <w:pPr>
        <w:widowControl w:val="0"/>
        <w:jc w:val="both"/>
        <w:rPr>
          <w:rFonts w:ascii="Palatino Linotype" w:eastAsia="Palatino Linotype" w:hAnsi="Palatino Linotype" w:cs="Palatino Linotype"/>
          <w:b/>
          <w:sz w:val="22"/>
          <w:szCs w:val="22"/>
          <w:u w:val="single"/>
        </w:rPr>
      </w:pPr>
    </w:p>
    <w:p w14:paraId="5EB67670" w14:textId="77777777" w:rsidR="00425265" w:rsidRPr="00343590" w:rsidRDefault="000B4C53">
      <w:pPr>
        <w:widowControl w:val="0"/>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“La respuesta proporcionada por el Sujeto Obligado.” (Sic)</w:t>
      </w:r>
    </w:p>
    <w:p w14:paraId="18EAA000" w14:textId="77777777" w:rsidR="00425265" w:rsidRPr="00343590" w:rsidRDefault="00425265">
      <w:pPr>
        <w:widowControl w:val="0"/>
        <w:jc w:val="both"/>
        <w:rPr>
          <w:rFonts w:ascii="Palatino Linotype" w:eastAsia="Palatino Linotype" w:hAnsi="Palatino Linotype" w:cs="Palatino Linotype"/>
          <w:i/>
          <w:sz w:val="22"/>
          <w:szCs w:val="22"/>
        </w:rPr>
      </w:pPr>
    </w:p>
    <w:p w14:paraId="7C08D665" w14:textId="77777777" w:rsidR="00425265" w:rsidRPr="00343590" w:rsidRDefault="000B4C53">
      <w:pPr>
        <w:widowControl w:val="0"/>
        <w:rPr>
          <w:rFonts w:ascii="Palatino Linotype" w:eastAsia="Palatino Linotype" w:hAnsi="Palatino Linotype" w:cs="Palatino Linotype"/>
          <w:b/>
          <w:sz w:val="22"/>
          <w:szCs w:val="22"/>
          <w:u w:val="single"/>
        </w:rPr>
      </w:pPr>
      <w:r w:rsidRPr="00343590">
        <w:rPr>
          <w:rFonts w:ascii="Palatino Linotype" w:eastAsia="Palatino Linotype" w:hAnsi="Palatino Linotype" w:cs="Palatino Linotype"/>
          <w:b/>
          <w:sz w:val="22"/>
          <w:szCs w:val="22"/>
          <w:u w:val="single"/>
        </w:rPr>
        <w:t xml:space="preserve">Razones o motivos de Inconformidad </w:t>
      </w:r>
    </w:p>
    <w:p w14:paraId="7A15DBF2" w14:textId="77777777" w:rsidR="00425265" w:rsidRPr="00343590" w:rsidRDefault="00425265">
      <w:pPr>
        <w:widowControl w:val="0"/>
        <w:ind w:left="850" w:right="899"/>
        <w:jc w:val="both"/>
        <w:rPr>
          <w:rFonts w:ascii="Palatino Linotype" w:eastAsia="Palatino Linotype" w:hAnsi="Palatino Linotype" w:cs="Palatino Linotype"/>
          <w:b/>
          <w:sz w:val="22"/>
          <w:szCs w:val="22"/>
          <w:u w:val="single"/>
        </w:rPr>
      </w:pPr>
    </w:p>
    <w:p w14:paraId="33A3CB7A" w14:textId="77777777" w:rsidR="00425265" w:rsidRPr="00343590" w:rsidRDefault="000B4C53">
      <w:pPr>
        <w:widowControl w:val="0"/>
        <w:ind w:left="850" w:right="899"/>
        <w:jc w:val="both"/>
        <w:rPr>
          <w:rFonts w:ascii="Palatino Linotype" w:eastAsia="Palatino Linotype" w:hAnsi="Palatino Linotype" w:cs="Palatino Linotype"/>
          <w:b/>
          <w:sz w:val="22"/>
          <w:szCs w:val="22"/>
          <w:u w:val="single"/>
        </w:rPr>
      </w:pPr>
      <w:r w:rsidRPr="00343590">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w:t>
      </w:r>
      <w:r w:rsidRPr="00343590">
        <w:rPr>
          <w:rFonts w:ascii="Palatino Linotype" w:eastAsia="Palatino Linotype" w:hAnsi="Palatino Linotype" w:cs="Palatino Linotype"/>
          <w:i/>
          <w:sz w:val="22"/>
          <w:szCs w:val="22"/>
        </w:rPr>
        <w:lastRenderedPageBreak/>
        <w:t>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w:t>
      </w:r>
    </w:p>
    <w:p w14:paraId="2DC1C4D6" w14:textId="77777777" w:rsidR="00425265" w:rsidRPr="00343590" w:rsidRDefault="00425265">
      <w:pPr>
        <w:spacing w:line="360" w:lineRule="auto"/>
        <w:jc w:val="both"/>
        <w:rPr>
          <w:rFonts w:ascii="Palatino Linotype" w:eastAsia="Palatino Linotype" w:hAnsi="Palatino Linotype" w:cs="Palatino Linotype"/>
          <w:b/>
          <w:sz w:val="28"/>
          <w:szCs w:val="28"/>
        </w:rPr>
      </w:pPr>
    </w:p>
    <w:p w14:paraId="7DA92473" w14:textId="77777777" w:rsidR="00425265" w:rsidRPr="00343590" w:rsidRDefault="000B4C53">
      <w:pPr>
        <w:spacing w:line="360" w:lineRule="auto"/>
        <w:jc w:val="both"/>
        <w:rPr>
          <w:rFonts w:ascii="Palatino Linotype" w:eastAsia="Palatino Linotype" w:hAnsi="Palatino Linotype" w:cs="Palatino Linotype"/>
          <w:b/>
          <w:sz w:val="28"/>
          <w:szCs w:val="28"/>
        </w:rPr>
      </w:pPr>
      <w:r w:rsidRPr="00343590">
        <w:rPr>
          <w:rFonts w:ascii="Palatino Linotype" w:eastAsia="Palatino Linotype" w:hAnsi="Palatino Linotype" w:cs="Palatino Linotype"/>
          <w:b/>
          <w:sz w:val="28"/>
          <w:szCs w:val="28"/>
        </w:rPr>
        <w:t>V</w:t>
      </w:r>
      <w:r w:rsidR="00343590" w:rsidRPr="00343590">
        <w:rPr>
          <w:rFonts w:ascii="Palatino Linotype" w:eastAsia="Palatino Linotype" w:hAnsi="Palatino Linotype" w:cs="Palatino Linotype"/>
          <w:b/>
          <w:sz w:val="28"/>
          <w:szCs w:val="28"/>
        </w:rPr>
        <w:t>I</w:t>
      </w:r>
      <w:r w:rsidRPr="00343590">
        <w:rPr>
          <w:rFonts w:ascii="Palatino Linotype" w:eastAsia="Palatino Linotype" w:hAnsi="Palatino Linotype" w:cs="Palatino Linotype"/>
          <w:b/>
          <w:sz w:val="28"/>
          <w:szCs w:val="28"/>
        </w:rPr>
        <w:t xml:space="preserve">. Del turno del Recurso de Revisión. </w:t>
      </w:r>
    </w:p>
    <w:p w14:paraId="5CE84065"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El fecha veintiocho de febrero de dos mil veintidós, los recursos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la Comisionada  María del Rosario Mejía Ayala, a efecto de decretar su admisión o desechamiento.</w:t>
      </w:r>
    </w:p>
    <w:p w14:paraId="54FB3CD4" w14:textId="77777777" w:rsidR="00425265" w:rsidRPr="00343590" w:rsidRDefault="00425265">
      <w:pPr>
        <w:tabs>
          <w:tab w:val="center" w:pos="4252"/>
          <w:tab w:val="right" w:pos="8504"/>
        </w:tabs>
        <w:spacing w:line="360" w:lineRule="auto"/>
        <w:jc w:val="both"/>
        <w:rPr>
          <w:rFonts w:ascii="Palatino Linotype" w:eastAsia="Palatino Linotype" w:hAnsi="Palatino Linotype" w:cs="Palatino Linotype"/>
          <w:b/>
        </w:rPr>
      </w:pPr>
    </w:p>
    <w:p w14:paraId="45597E90" w14:textId="77777777" w:rsidR="00425265" w:rsidRPr="00343590" w:rsidRDefault="000B4C53">
      <w:pPr>
        <w:tabs>
          <w:tab w:val="center" w:pos="4252"/>
          <w:tab w:val="right" w:pos="8504"/>
        </w:tabs>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rPr>
        <w:t>a) Admisión del Recurso de Revisión</w:t>
      </w:r>
    </w:p>
    <w:p w14:paraId="15592338" w14:textId="77777777" w:rsidR="00425265" w:rsidRPr="00343590" w:rsidRDefault="000B4C53">
      <w:pPr>
        <w:tabs>
          <w:tab w:val="center" w:pos="4252"/>
          <w:tab w:val="right" w:pos="8504"/>
        </w:tabs>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De las constancias que obran en el expediente electrónico del</w:t>
      </w:r>
      <w:r w:rsidRPr="00343590">
        <w:rPr>
          <w:rFonts w:ascii="Palatino Linotype" w:eastAsia="Palatino Linotype" w:hAnsi="Palatino Linotype" w:cs="Palatino Linotype"/>
          <w:b/>
        </w:rPr>
        <w:t xml:space="preserve"> SAIMEX</w:t>
      </w:r>
      <w:r w:rsidRPr="00343590">
        <w:rPr>
          <w:rFonts w:ascii="Palatino Linotype" w:eastAsia="Palatino Linotype" w:hAnsi="Palatino Linotype" w:cs="Palatino Linotype"/>
        </w:rPr>
        <w:t xml:space="preserve">, se advierte que en fechas uno y cuatro de marzo de dos mil veintidós, se acordó la admisión a trámite de los Recursos de Revisión que nos ocupan; así como la integración de los expedientes respectivos, mismos que se pusieron a disposición de las partes, para que en un plazo máximo de siete días hábiles </w:t>
      </w:r>
      <w:r w:rsidRPr="00343590">
        <w:rPr>
          <w:rFonts w:ascii="Palatino Linotype" w:eastAsia="Palatino Linotype" w:hAnsi="Palatino Linotype" w:cs="Palatino Linotype"/>
          <w:b/>
        </w:rPr>
        <w:t xml:space="preserve">EL RECURRENTE </w:t>
      </w:r>
      <w:r w:rsidRPr="00343590">
        <w:rPr>
          <w:rFonts w:ascii="Palatino Linotype" w:eastAsia="Palatino Linotype" w:hAnsi="Palatino Linotype" w:cs="Palatino Linotype"/>
        </w:rPr>
        <w:t xml:space="preserve">manifestara lo que a su derecho </w:t>
      </w:r>
      <w:r w:rsidRPr="00343590">
        <w:rPr>
          <w:rFonts w:ascii="Palatino Linotype" w:eastAsia="Palatino Linotype" w:hAnsi="Palatino Linotype" w:cs="Palatino Linotype"/>
        </w:rPr>
        <w:lastRenderedPageBreak/>
        <w:t xml:space="preserve">conviniera, a efecto de presentar pruebas y alegatos; así como, para que </w:t>
      </w:r>
      <w:r w:rsidRPr="00343590">
        <w:rPr>
          <w:rFonts w:ascii="Palatino Linotype" w:eastAsia="Palatino Linotype" w:hAnsi="Palatino Linotype" w:cs="Palatino Linotype"/>
          <w:b/>
        </w:rPr>
        <w:t xml:space="preserve">EL SUJETO OBLIGADO </w:t>
      </w:r>
      <w:r w:rsidRPr="00343590">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17A8EB12" w14:textId="77777777" w:rsidR="00425265" w:rsidRPr="00343590" w:rsidRDefault="00425265">
      <w:pPr>
        <w:tabs>
          <w:tab w:val="center" w:pos="4252"/>
          <w:tab w:val="right" w:pos="8504"/>
        </w:tabs>
        <w:spacing w:line="360" w:lineRule="auto"/>
        <w:jc w:val="both"/>
        <w:rPr>
          <w:rFonts w:ascii="Palatino Linotype" w:eastAsia="Palatino Linotype" w:hAnsi="Palatino Linotype" w:cs="Palatino Linotype"/>
        </w:rPr>
      </w:pPr>
    </w:p>
    <w:p w14:paraId="464ECF34"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rPr>
        <w:t>b) Informe Justificado</w:t>
      </w:r>
    </w:p>
    <w:p w14:paraId="586FEA89" w14:textId="77777777" w:rsidR="00425265" w:rsidRPr="00343590" w:rsidRDefault="000B4C53">
      <w:pPr>
        <w:widowControl w:val="0"/>
        <w:tabs>
          <w:tab w:val="left" w:pos="0"/>
        </w:tabs>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Conforme a las constancias que obran en el expediente del </w:t>
      </w:r>
      <w:r w:rsidRPr="00343590">
        <w:rPr>
          <w:rFonts w:ascii="Palatino Linotype" w:eastAsia="Palatino Linotype" w:hAnsi="Palatino Linotype" w:cs="Palatino Linotype"/>
          <w:b/>
        </w:rPr>
        <w:t>SAIMEX,</w:t>
      </w:r>
      <w:r w:rsidRPr="00343590">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 la </w:t>
      </w:r>
      <w:r w:rsidRPr="00343590">
        <w:rPr>
          <w:rFonts w:ascii="Palatino Linotype" w:eastAsia="Palatino Linotype" w:hAnsi="Palatino Linotype" w:cs="Palatino Linotype"/>
          <w:b/>
        </w:rPr>
        <w:t>RECURRENTE</w:t>
      </w:r>
      <w:r w:rsidRPr="00343590">
        <w:rPr>
          <w:rFonts w:ascii="Palatino Linotype" w:eastAsia="Palatino Linotype" w:hAnsi="Palatino Linotype" w:cs="Palatino Linotype"/>
        </w:rPr>
        <w:t xml:space="preserve">, no realizó las manifestaciones que conforme a derecho le corresponden. Por su parte,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tampoco presentó el Informe Justificado correspondiente. </w:t>
      </w:r>
    </w:p>
    <w:p w14:paraId="58857225" w14:textId="77777777" w:rsidR="00425265" w:rsidRPr="00343590" w:rsidRDefault="00425265">
      <w:pPr>
        <w:spacing w:line="360" w:lineRule="auto"/>
        <w:jc w:val="both"/>
        <w:rPr>
          <w:rFonts w:ascii="Palatino Linotype" w:eastAsia="Palatino Linotype" w:hAnsi="Palatino Linotype" w:cs="Palatino Linotype"/>
          <w:b/>
        </w:rPr>
      </w:pPr>
    </w:p>
    <w:p w14:paraId="1278D042"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rPr>
        <w:t xml:space="preserve">c) Del </w:t>
      </w:r>
      <w:proofErr w:type="spellStart"/>
      <w:r w:rsidRPr="00343590">
        <w:rPr>
          <w:rFonts w:ascii="Palatino Linotype" w:eastAsia="Palatino Linotype" w:hAnsi="Palatino Linotype" w:cs="Palatino Linotype"/>
          <w:b/>
        </w:rPr>
        <w:t>returno</w:t>
      </w:r>
      <w:proofErr w:type="spellEnd"/>
      <w:r w:rsidRPr="00343590">
        <w:rPr>
          <w:rFonts w:ascii="Palatino Linotype" w:eastAsia="Palatino Linotype" w:hAnsi="Palatino Linotype" w:cs="Palatino Linotype"/>
          <w:b/>
        </w:rPr>
        <w:t xml:space="preserve"> del Recurso de Revisión</w:t>
      </w:r>
    </w:p>
    <w:p w14:paraId="3FDA2D26"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En la Novena Sesión Ordinaria de fecha nueve de marzo de dos mil veintidós, por acuerdo del Pleno de este Órgano Garante, fue </w:t>
      </w:r>
      <w:proofErr w:type="spellStart"/>
      <w:r w:rsidRPr="00343590">
        <w:rPr>
          <w:rFonts w:ascii="Palatino Linotype" w:eastAsia="Palatino Linotype" w:hAnsi="Palatino Linotype" w:cs="Palatino Linotype"/>
        </w:rPr>
        <w:t>returnado</w:t>
      </w:r>
      <w:proofErr w:type="spellEnd"/>
      <w:r w:rsidRPr="00343590">
        <w:rPr>
          <w:rFonts w:ascii="Palatino Linotype" w:eastAsia="Palatino Linotype" w:hAnsi="Palatino Linotype" w:cs="Palatino Linotype"/>
        </w:rPr>
        <w:t xml:space="preserve"> el Recurso de Revisión número</w:t>
      </w:r>
      <w:r w:rsidRPr="00343590">
        <w:rPr>
          <w:rFonts w:ascii="Palatino Linotype" w:eastAsia="Palatino Linotype" w:hAnsi="Palatino Linotype" w:cs="Palatino Linotype"/>
          <w:b/>
        </w:rPr>
        <w:t xml:space="preserve"> 02187/INFOEM/IP/RR/2022 </w:t>
      </w:r>
      <w:r w:rsidRPr="00343590">
        <w:rPr>
          <w:rFonts w:ascii="Palatino Linotype" w:eastAsia="Palatino Linotype" w:hAnsi="Palatino Linotype" w:cs="Palatino Linotype"/>
        </w:rPr>
        <w:t xml:space="preserve">a la </w:t>
      </w:r>
      <w:r w:rsidRPr="00343590">
        <w:rPr>
          <w:rFonts w:ascii="Palatino Linotype" w:eastAsia="Palatino Linotype" w:hAnsi="Palatino Linotype" w:cs="Palatino Linotype"/>
          <w:b/>
        </w:rPr>
        <w:t>Comisionada Sharon Cristina Morales Martínez</w:t>
      </w:r>
      <w:r w:rsidRPr="00343590">
        <w:rPr>
          <w:rFonts w:ascii="Palatino Linotype" w:eastAsia="Palatino Linotype" w:hAnsi="Palatino Linotype" w:cs="Palatino Linotype"/>
        </w:rPr>
        <w:t xml:space="preserve"> para su resolución y presentación al Pleno. </w:t>
      </w:r>
    </w:p>
    <w:p w14:paraId="3002D4FC" w14:textId="77777777" w:rsidR="00425265" w:rsidRPr="00343590" w:rsidRDefault="00425265">
      <w:pPr>
        <w:widowControl w:val="0"/>
        <w:tabs>
          <w:tab w:val="left" w:pos="0"/>
        </w:tabs>
        <w:spacing w:line="360" w:lineRule="auto"/>
        <w:jc w:val="both"/>
        <w:rPr>
          <w:rFonts w:ascii="Palatino Linotype" w:eastAsia="Palatino Linotype" w:hAnsi="Palatino Linotype" w:cs="Palatino Linotype"/>
        </w:rPr>
      </w:pPr>
    </w:p>
    <w:p w14:paraId="77B19AA4"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sz w:val="28"/>
          <w:szCs w:val="28"/>
        </w:rPr>
        <w:t xml:space="preserve">d) </w:t>
      </w:r>
      <w:r w:rsidRPr="00343590">
        <w:rPr>
          <w:rFonts w:ascii="Palatino Linotype" w:eastAsia="Palatino Linotype" w:hAnsi="Palatino Linotype" w:cs="Palatino Linotype"/>
          <w:b/>
        </w:rPr>
        <w:t xml:space="preserve">Acumulación </w:t>
      </w:r>
    </w:p>
    <w:p w14:paraId="73867046"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Por economía procesal y con la finalidad de evitar resoluciones contradictorias, en la </w:t>
      </w:r>
      <w:r w:rsidRPr="00343590">
        <w:rPr>
          <w:rFonts w:ascii="Palatino Linotype" w:eastAsia="Palatino Linotype" w:hAnsi="Palatino Linotype" w:cs="Palatino Linotype"/>
          <w:b/>
        </w:rPr>
        <w:t>Novena Sesión Ordinaria de fecha nueve de marzo de dos mil veintidós</w:t>
      </w:r>
      <w:r w:rsidRPr="00343590">
        <w:rPr>
          <w:rFonts w:ascii="Palatino Linotype" w:eastAsia="Palatino Linotype" w:hAnsi="Palatino Linotype" w:cs="Palatino Linotype"/>
        </w:rPr>
        <w:t xml:space="preserve">, el Pleno de este Instituto determinó acumular los Recursos de Revisión </w:t>
      </w:r>
      <w:r w:rsidRPr="00343590">
        <w:rPr>
          <w:rFonts w:ascii="Palatino Linotype" w:eastAsia="Palatino Linotype" w:hAnsi="Palatino Linotype" w:cs="Palatino Linotype"/>
          <w:b/>
        </w:rPr>
        <w:lastRenderedPageBreak/>
        <w:t>02187/INFOEM/IP/RR/2022 y 02188/INFOEM/IP/RR/2022</w:t>
      </w:r>
      <w:r w:rsidRPr="00343590">
        <w:rPr>
          <w:rFonts w:ascii="Palatino Linotype" w:eastAsia="Palatino Linotype" w:hAnsi="Palatino Linotype" w:cs="Palatino Linotype"/>
          <w:b/>
          <w:sz w:val="22"/>
          <w:szCs w:val="22"/>
        </w:rPr>
        <w:t xml:space="preserve">, </w:t>
      </w:r>
      <w:r w:rsidRPr="00343590">
        <w:rPr>
          <w:rFonts w:ascii="Palatino Linotype" w:eastAsia="Palatino Linotype" w:hAnsi="Palatino Linotype" w:cs="Palatino Linotype"/>
        </w:rPr>
        <w:t xml:space="preserve">acordando la elaboración del proyecto de resolución por parte de la </w:t>
      </w:r>
      <w:r w:rsidRPr="00343590">
        <w:rPr>
          <w:rFonts w:ascii="Palatino Linotype" w:eastAsia="Palatino Linotype" w:hAnsi="Palatino Linotype" w:cs="Palatino Linotype"/>
          <w:b/>
        </w:rPr>
        <w:t xml:space="preserve">Comisionada Sharon Cristina Morales </w:t>
      </w:r>
      <w:r w:rsidR="00343590" w:rsidRPr="00343590">
        <w:rPr>
          <w:rFonts w:ascii="Palatino Linotype" w:eastAsia="Palatino Linotype" w:hAnsi="Palatino Linotype" w:cs="Palatino Linotype"/>
          <w:b/>
        </w:rPr>
        <w:t>Martínez</w:t>
      </w:r>
      <w:r w:rsidRPr="00343590">
        <w:rPr>
          <w:rFonts w:ascii="Palatino Linotype" w:eastAsia="Palatino Linotype" w:hAnsi="Palatino Linotype" w:cs="Palatino Linotype"/>
        </w:rPr>
        <w:t>.</w:t>
      </w:r>
    </w:p>
    <w:p w14:paraId="078E2073" w14:textId="77777777" w:rsidR="00425265" w:rsidRPr="00343590" w:rsidRDefault="00425265">
      <w:pPr>
        <w:spacing w:line="360" w:lineRule="auto"/>
        <w:jc w:val="both"/>
        <w:rPr>
          <w:rFonts w:ascii="Palatino Linotype" w:eastAsia="Palatino Linotype" w:hAnsi="Palatino Linotype" w:cs="Palatino Linotype"/>
        </w:rPr>
      </w:pPr>
    </w:p>
    <w:p w14:paraId="727F885B"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rPr>
        <w:t xml:space="preserve">e) Ampliación del Recurso de Revisión </w:t>
      </w:r>
    </w:p>
    <w:p w14:paraId="219F0E2F"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En fecha veintidós de abril de dos mil veintidós, se notificó el acuerdo de ampliación de plazo para resolver el presente Recurso de Revisión, previsto en el artículo 181, tercer párrafo de la Ley de Transparencia y Acceso a la Información Pública del Estado de México y Municipios; y,</w:t>
      </w:r>
    </w:p>
    <w:p w14:paraId="6DEFF61E" w14:textId="77777777" w:rsidR="00425265" w:rsidRPr="00343590" w:rsidRDefault="00425265">
      <w:pPr>
        <w:spacing w:line="360" w:lineRule="auto"/>
        <w:jc w:val="both"/>
        <w:rPr>
          <w:rFonts w:ascii="Palatino Linotype" w:eastAsia="Palatino Linotype" w:hAnsi="Palatino Linotype" w:cs="Palatino Linotype"/>
          <w:b/>
        </w:rPr>
      </w:pPr>
    </w:p>
    <w:p w14:paraId="29C1BCF5"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rPr>
        <w:t>f) Cierre de Instrucción</w:t>
      </w:r>
    </w:p>
    <w:p w14:paraId="087AD7C0"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rPr>
        <w:t xml:space="preserve">Por lo que, una vez analizado el estado procesal que guardaba el expediente, en fecha diecisiete de mayo de dos mil veintidós, la </w:t>
      </w:r>
      <w:r w:rsidRPr="00343590">
        <w:rPr>
          <w:rFonts w:ascii="Palatino Linotype" w:eastAsia="Palatino Linotype" w:hAnsi="Palatino Linotype" w:cs="Palatino Linotype"/>
          <w:b/>
        </w:rPr>
        <w:t xml:space="preserve">Comisionada Sharon Christina Morales Martínez </w:t>
      </w:r>
      <w:r w:rsidRPr="00343590">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6BB3A4EF" w14:textId="77777777" w:rsidR="00425265" w:rsidRPr="00343590" w:rsidRDefault="00425265">
      <w:pPr>
        <w:spacing w:line="360" w:lineRule="auto"/>
        <w:jc w:val="both"/>
        <w:rPr>
          <w:rFonts w:ascii="Palatino Linotype" w:eastAsia="Palatino Linotype" w:hAnsi="Palatino Linotype" w:cs="Palatino Linotype"/>
        </w:rPr>
      </w:pPr>
    </w:p>
    <w:p w14:paraId="65CB49E7" w14:textId="77777777" w:rsidR="00425265" w:rsidRPr="00343590" w:rsidRDefault="000B4C53">
      <w:pPr>
        <w:jc w:val="center"/>
        <w:rPr>
          <w:rFonts w:ascii="Palatino Linotype" w:eastAsia="Palatino Linotype" w:hAnsi="Palatino Linotype" w:cs="Palatino Linotype"/>
          <w:b/>
          <w:sz w:val="28"/>
          <w:szCs w:val="28"/>
        </w:rPr>
      </w:pPr>
      <w:r w:rsidRPr="00343590">
        <w:rPr>
          <w:rFonts w:ascii="Palatino Linotype" w:eastAsia="Palatino Linotype" w:hAnsi="Palatino Linotype" w:cs="Palatino Linotype"/>
          <w:b/>
          <w:sz w:val="28"/>
          <w:szCs w:val="28"/>
        </w:rPr>
        <w:t>CONSIDERANDO</w:t>
      </w:r>
    </w:p>
    <w:p w14:paraId="42DEFE1B" w14:textId="77777777" w:rsidR="00425265" w:rsidRPr="00343590" w:rsidRDefault="00425265">
      <w:pPr>
        <w:jc w:val="center"/>
        <w:rPr>
          <w:rFonts w:ascii="Palatino Linotype" w:eastAsia="Palatino Linotype" w:hAnsi="Palatino Linotype" w:cs="Palatino Linotype"/>
          <w:b/>
          <w:sz w:val="28"/>
          <w:szCs w:val="28"/>
        </w:rPr>
      </w:pPr>
    </w:p>
    <w:p w14:paraId="7FC72DD1" w14:textId="77777777" w:rsidR="00425265" w:rsidRPr="00343590" w:rsidRDefault="000B4C53">
      <w:pPr>
        <w:widowControl w:val="0"/>
        <w:tabs>
          <w:tab w:val="left" w:pos="1701"/>
        </w:tabs>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b/>
          <w:sz w:val="28"/>
          <w:szCs w:val="28"/>
        </w:rPr>
        <w:t>PRIMERO.</w:t>
      </w:r>
      <w:r w:rsidRPr="00343590">
        <w:rPr>
          <w:rFonts w:ascii="Palatino Linotype" w:eastAsia="Palatino Linotype" w:hAnsi="Palatino Linotype" w:cs="Palatino Linotype"/>
          <w:b/>
        </w:rPr>
        <w:t xml:space="preserve"> Competencia</w:t>
      </w:r>
      <w:r w:rsidRPr="00343590">
        <w:rPr>
          <w:rFonts w:ascii="Palatino Linotype" w:eastAsia="Palatino Linotype" w:hAnsi="Palatino Linotype" w:cs="Palatino Linotype"/>
        </w:rPr>
        <w:t>.</w:t>
      </w:r>
      <w:r w:rsidRPr="00343590">
        <w:rPr>
          <w:rFonts w:ascii="Palatino Linotype" w:eastAsia="Palatino Linotype" w:hAnsi="Palatino Linotype" w:cs="Palatino Linotype"/>
          <w:b/>
        </w:rPr>
        <w:t xml:space="preserve"> </w:t>
      </w:r>
    </w:p>
    <w:p w14:paraId="1735AD3B" w14:textId="77777777" w:rsidR="00425265" w:rsidRPr="00343590" w:rsidRDefault="000B4C53">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343590">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Pr="00343590">
        <w:rPr>
          <w:rFonts w:ascii="Palatino Linotype" w:eastAsia="Palatino Linotype" w:hAnsi="Palatino Linotype" w:cs="Palatino Linotype"/>
        </w:rPr>
        <w:lastRenderedPageBreak/>
        <w:t>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1435F1E" w14:textId="77777777" w:rsidR="00425265" w:rsidRPr="00343590" w:rsidRDefault="00425265">
      <w:pPr>
        <w:widowControl w:val="0"/>
        <w:tabs>
          <w:tab w:val="left" w:pos="1701"/>
          <w:tab w:val="left" w:pos="2977"/>
        </w:tabs>
        <w:spacing w:line="360" w:lineRule="auto"/>
        <w:jc w:val="both"/>
        <w:rPr>
          <w:rFonts w:ascii="Palatino Linotype" w:eastAsia="Palatino Linotype" w:hAnsi="Palatino Linotype" w:cs="Palatino Linotype"/>
        </w:rPr>
      </w:pPr>
    </w:p>
    <w:p w14:paraId="10A4BB99"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sz w:val="28"/>
          <w:szCs w:val="28"/>
        </w:rPr>
        <w:t>SEGUNDO</w:t>
      </w:r>
      <w:r w:rsidRPr="00343590">
        <w:rPr>
          <w:rFonts w:ascii="Palatino Linotype" w:eastAsia="Palatino Linotype" w:hAnsi="Palatino Linotype" w:cs="Palatino Linotype"/>
          <w:b/>
        </w:rPr>
        <w:t xml:space="preserve">. Interés. </w:t>
      </w:r>
    </w:p>
    <w:p w14:paraId="1ABD8AD1" w14:textId="77777777" w:rsidR="00425265" w:rsidRPr="00343590" w:rsidRDefault="000B4C53">
      <w:pPr>
        <w:spacing w:line="360" w:lineRule="auto"/>
        <w:jc w:val="both"/>
        <w:rPr>
          <w:rFonts w:ascii="Palatino Linotype" w:eastAsia="Palatino Linotype" w:hAnsi="Palatino Linotype" w:cs="Palatino Linotype"/>
          <w:b/>
          <w:color w:val="000000"/>
        </w:rPr>
      </w:pPr>
      <w:r w:rsidRPr="00343590">
        <w:rPr>
          <w:rFonts w:ascii="Palatino Linotype" w:eastAsia="Palatino Linotype" w:hAnsi="Palatino Linotype" w:cs="Palatino Linotype"/>
          <w:color w:val="000000"/>
        </w:rPr>
        <w:t>Los Recursos de Revisión materia del presente estudio fueron interpuestos por parte legítima, en atención a que se present</w:t>
      </w:r>
      <w:r w:rsidRPr="00343590">
        <w:rPr>
          <w:rFonts w:ascii="Palatino Linotype" w:eastAsia="Palatino Linotype" w:hAnsi="Palatino Linotype" w:cs="Palatino Linotype"/>
        </w:rPr>
        <w:t>aron</w:t>
      </w:r>
      <w:r w:rsidRPr="00343590">
        <w:rPr>
          <w:rFonts w:ascii="Palatino Linotype" w:eastAsia="Palatino Linotype" w:hAnsi="Palatino Linotype" w:cs="Palatino Linotype"/>
          <w:color w:val="000000"/>
        </w:rPr>
        <w:t xml:space="preserve"> por </w:t>
      </w:r>
      <w:r w:rsidRPr="00343590">
        <w:rPr>
          <w:rFonts w:ascii="Palatino Linotype" w:eastAsia="Palatino Linotype" w:hAnsi="Palatino Linotype" w:cs="Palatino Linotype"/>
          <w:b/>
          <w:color w:val="000000"/>
        </w:rPr>
        <w:t>EL RECURRENTE,</w:t>
      </w:r>
      <w:r w:rsidRPr="00343590">
        <w:rPr>
          <w:rFonts w:ascii="Palatino Linotype" w:eastAsia="Palatino Linotype" w:hAnsi="Palatino Linotype" w:cs="Palatino Linotype"/>
          <w:color w:val="000000"/>
        </w:rPr>
        <w:t xml:space="preserve"> quien es la misma persona que formuló la solicitud de Acceso a la Información Pública al </w:t>
      </w:r>
      <w:r w:rsidRPr="00343590">
        <w:rPr>
          <w:rFonts w:ascii="Palatino Linotype" w:eastAsia="Palatino Linotype" w:hAnsi="Palatino Linotype" w:cs="Palatino Linotype"/>
          <w:b/>
          <w:color w:val="000000"/>
        </w:rPr>
        <w:t xml:space="preserve">SUJETO OBLIGADO, </w:t>
      </w:r>
      <w:r w:rsidRPr="00343590">
        <w:rPr>
          <w:rFonts w:ascii="Palatino Linotype" w:eastAsia="Palatino Linotype" w:hAnsi="Palatino Linotype" w:cs="Palatino Linotype"/>
          <w:color w:val="000000"/>
        </w:rPr>
        <w:t xml:space="preserve">pues para ello, es necesario que el particular ingrese al </w:t>
      </w:r>
      <w:r w:rsidRPr="00343590">
        <w:rPr>
          <w:rFonts w:ascii="Palatino Linotype" w:eastAsia="Palatino Linotype" w:hAnsi="Palatino Linotype" w:cs="Palatino Linotype"/>
          <w:b/>
          <w:color w:val="000000"/>
        </w:rPr>
        <w:t xml:space="preserve">SAIMEX </w:t>
      </w:r>
      <w:r w:rsidRPr="00343590">
        <w:rPr>
          <w:rFonts w:ascii="Palatino Linotype" w:eastAsia="Palatino Linotype" w:hAnsi="Palatino Linotype" w:cs="Palatino Linotype"/>
          <w:color w:val="000000"/>
        </w:rPr>
        <w:t>mediante la utilización de su clave de usuario y contraseña.</w:t>
      </w:r>
    </w:p>
    <w:p w14:paraId="748335AC" w14:textId="77777777" w:rsidR="00425265" w:rsidRPr="00343590" w:rsidRDefault="00425265">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68AF0373" w14:textId="77777777" w:rsidR="00425265" w:rsidRPr="00343590" w:rsidRDefault="000B4C53">
      <w:pPr>
        <w:tabs>
          <w:tab w:val="center" w:pos="4252"/>
          <w:tab w:val="right" w:pos="8504"/>
        </w:tabs>
        <w:spacing w:line="360" w:lineRule="auto"/>
        <w:ind w:left="-57"/>
        <w:jc w:val="both"/>
        <w:rPr>
          <w:rFonts w:ascii="Palatino Linotype" w:eastAsia="Palatino Linotype" w:hAnsi="Palatino Linotype" w:cs="Palatino Linotype"/>
        </w:rPr>
      </w:pPr>
      <w:r w:rsidRPr="00343590">
        <w:rPr>
          <w:rFonts w:ascii="Palatino Linotype" w:eastAsia="Palatino Linotype" w:hAnsi="Palatino Linotype" w:cs="Palatino Linotype"/>
          <w:b/>
          <w:sz w:val="28"/>
          <w:szCs w:val="28"/>
        </w:rPr>
        <w:t>TERCERO.</w:t>
      </w:r>
      <w:r w:rsidRPr="00343590">
        <w:rPr>
          <w:rFonts w:ascii="Palatino Linotype" w:eastAsia="Palatino Linotype" w:hAnsi="Palatino Linotype" w:cs="Palatino Linotype"/>
        </w:rPr>
        <w:t xml:space="preserve"> </w:t>
      </w:r>
      <w:r w:rsidRPr="00343590">
        <w:rPr>
          <w:rFonts w:ascii="Palatino Linotype" w:eastAsia="Palatino Linotype" w:hAnsi="Palatino Linotype" w:cs="Palatino Linotype"/>
          <w:b/>
          <w:sz w:val="28"/>
          <w:szCs w:val="28"/>
        </w:rPr>
        <w:t>TERCERO.</w:t>
      </w:r>
      <w:r w:rsidRPr="00343590">
        <w:rPr>
          <w:rFonts w:ascii="Palatino Linotype" w:eastAsia="Palatino Linotype" w:hAnsi="Palatino Linotype" w:cs="Palatino Linotype"/>
        </w:rPr>
        <w:t xml:space="preserve"> </w:t>
      </w:r>
      <w:r w:rsidRPr="00343590">
        <w:rPr>
          <w:rFonts w:ascii="Palatino Linotype" w:eastAsia="Palatino Linotype" w:hAnsi="Palatino Linotype" w:cs="Palatino Linotype"/>
          <w:b/>
        </w:rPr>
        <w:t>Justificación de la Acumulación de los Recursos.</w:t>
      </w:r>
      <w:r w:rsidRPr="00343590">
        <w:rPr>
          <w:rFonts w:ascii="Palatino Linotype" w:eastAsia="Palatino Linotype" w:hAnsi="Palatino Linotype" w:cs="Palatino Linotype"/>
        </w:rPr>
        <w:t xml:space="preserve"> </w:t>
      </w:r>
    </w:p>
    <w:p w14:paraId="1D245408" w14:textId="77777777" w:rsidR="00425265" w:rsidRPr="00343590" w:rsidRDefault="000B4C53">
      <w:pPr>
        <w:tabs>
          <w:tab w:val="center" w:pos="4252"/>
          <w:tab w:val="right" w:pos="8504"/>
        </w:tabs>
        <w:spacing w:line="360" w:lineRule="auto"/>
        <w:ind w:left="-57"/>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De las constancias que obran en los expedientes acumulados, se advierte que en los Recursos de Revisión número </w:t>
      </w:r>
      <w:r w:rsidRPr="00343590">
        <w:rPr>
          <w:rFonts w:ascii="Palatino Linotype" w:eastAsia="Palatino Linotype" w:hAnsi="Palatino Linotype" w:cs="Palatino Linotype"/>
          <w:b/>
        </w:rPr>
        <w:t>021877/INFOEM/IP/RR/2022 y 02188/INFOEM/IP/RR/2022</w:t>
      </w:r>
      <w:r w:rsidRPr="00343590">
        <w:rPr>
          <w:rFonts w:ascii="Palatino Linotype" w:eastAsia="Palatino Linotype" w:hAnsi="Palatino Linotype" w:cs="Palatino Linotype"/>
          <w:b/>
          <w:sz w:val="22"/>
          <w:szCs w:val="22"/>
        </w:rPr>
        <w:t>,</w:t>
      </w:r>
      <w:r w:rsidRPr="00343590">
        <w:rPr>
          <w:rFonts w:ascii="Palatino Linotype" w:eastAsia="Palatino Linotype" w:hAnsi="Palatino Linotype" w:cs="Palatino Linotype"/>
        </w:rPr>
        <w:t xml:space="preserve"> fueron presentados por el mismo </w:t>
      </w:r>
      <w:r w:rsidRPr="00343590">
        <w:rPr>
          <w:rFonts w:ascii="Palatino Linotype" w:eastAsia="Palatino Linotype" w:hAnsi="Palatino Linotype" w:cs="Palatino Linotype"/>
          <w:b/>
        </w:rPr>
        <w:t>RECURRENTE</w:t>
      </w:r>
      <w:r w:rsidRPr="00343590">
        <w:rPr>
          <w:rFonts w:ascii="Palatino Linotype" w:eastAsia="Palatino Linotype" w:hAnsi="Palatino Linotype" w:cs="Palatino Linotype"/>
        </w:rPr>
        <w:t xml:space="preserve"> respecto de los actos u omisiones del mismo </w:t>
      </w:r>
      <w:r w:rsidRPr="00343590">
        <w:rPr>
          <w:rFonts w:ascii="Palatino Linotype" w:eastAsia="Palatino Linotype" w:hAnsi="Palatino Linotype" w:cs="Palatino Linotype"/>
          <w:b/>
        </w:rPr>
        <w:t>SUJETO OBLIGADO</w:t>
      </w:r>
      <w:r w:rsidRPr="00343590">
        <w:rPr>
          <w:rFonts w:ascii="Palatino Linotype" w:eastAsia="Palatino Linotype" w:hAnsi="Palatino Linotype" w:cs="Palatino Linotype"/>
        </w:rPr>
        <w:t xml:space="preserve">, razón por la cual, resulta conveniente su trámite de forma unificada para homogéneamente resolver y evitar la </w:t>
      </w:r>
      <w:r w:rsidRPr="00343590">
        <w:rPr>
          <w:rFonts w:ascii="Palatino Linotype" w:eastAsia="Palatino Linotype" w:hAnsi="Palatino Linotype" w:cs="Palatino Linotype"/>
        </w:rPr>
        <w:lastRenderedPageBreak/>
        <w:t>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15B8770C" w14:textId="77777777" w:rsidR="00425265" w:rsidRPr="00343590" w:rsidRDefault="00425265">
      <w:pPr>
        <w:tabs>
          <w:tab w:val="left" w:pos="8222"/>
        </w:tabs>
        <w:ind w:left="851" w:right="1134"/>
        <w:jc w:val="center"/>
        <w:rPr>
          <w:rFonts w:ascii="Palatino Linotype" w:eastAsia="Palatino Linotype" w:hAnsi="Palatino Linotype" w:cs="Palatino Linotype"/>
          <w:b/>
          <w:i/>
          <w:sz w:val="22"/>
          <w:szCs w:val="22"/>
        </w:rPr>
      </w:pPr>
    </w:p>
    <w:p w14:paraId="60BBCD6A" w14:textId="77777777" w:rsidR="00425265" w:rsidRPr="00343590" w:rsidRDefault="000B4C53">
      <w:pPr>
        <w:tabs>
          <w:tab w:val="left" w:pos="8222"/>
        </w:tabs>
        <w:ind w:left="851" w:right="1134"/>
        <w:jc w:val="center"/>
        <w:rPr>
          <w:rFonts w:ascii="Palatino Linotype" w:eastAsia="Palatino Linotype" w:hAnsi="Palatino Linotype" w:cs="Palatino Linotype"/>
          <w:b/>
          <w:i/>
          <w:sz w:val="22"/>
          <w:szCs w:val="22"/>
        </w:rPr>
      </w:pPr>
      <w:r w:rsidRPr="00343590">
        <w:rPr>
          <w:rFonts w:ascii="Palatino Linotype" w:eastAsia="Palatino Linotype" w:hAnsi="Palatino Linotype" w:cs="Palatino Linotype"/>
          <w:b/>
          <w:i/>
          <w:sz w:val="22"/>
          <w:szCs w:val="22"/>
        </w:rPr>
        <w:t>“Código de Procedimientos Administrativos del Estado de México</w:t>
      </w:r>
    </w:p>
    <w:p w14:paraId="1FC45558" w14:textId="77777777" w:rsidR="00425265" w:rsidRPr="00343590" w:rsidRDefault="000B4C53">
      <w:pPr>
        <w:tabs>
          <w:tab w:val="left" w:pos="8222"/>
        </w:tabs>
        <w:ind w:left="851" w:right="1134"/>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w:t>
      </w:r>
      <w:r w:rsidRPr="00343590">
        <w:rPr>
          <w:rFonts w:ascii="Palatino Linotype" w:eastAsia="Palatino Linotype" w:hAnsi="Palatino Linotype" w:cs="Palatino Linotype"/>
          <w:b/>
          <w:i/>
          <w:sz w:val="22"/>
          <w:szCs w:val="22"/>
        </w:rPr>
        <w:t>Artículo 18</w:t>
      </w:r>
      <w:r w:rsidRPr="00343590">
        <w:rPr>
          <w:rFonts w:ascii="Palatino Linotype" w:eastAsia="Palatino Linotype" w:hAnsi="Palatino Linotype" w:cs="Palatino Linotype"/>
          <w:i/>
          <w:sz w:val="22"/>
          <w:szCs w:val="22"/>
        </w:rPr>
        <w:t xml:space="preserve">.- </w:t>
      </w:r>
      <w:r w:rsidRPr="00343590">
        <w:rPr>
          <w:rFonts w:ascii="Palatino Linotype" w:eastAsia="Palatino Linotype" w:hAnsi="Palatino Linotype" w:cs="Palatino Linotype"/>
          <w:b/>
          <w:i/>
          <w:sz w:val="22"/>
          <w:szCs w:val="22"/>
        </w:rPr>
        <w:t xml:space="preserve">La autoridad administrativa o el Tribunal </w:t>
      </w:r>
      <w:r w:rsidRPr="00343590">
        <w:rPr>
          <w:rFonts w:ascii="Palatino Linotype" w:eastAsia="Palatino Linotype" w:hAnsi="Palatino Linotype" w:cs="Palatino Linotype"/>
          <w:b/>
          <w:i/>
          <w:sz w:val="22"/>
          <w:szCs w:val="22"/>
          <w:u w:val="single"/>
        </w:rPr>
        <w:t>acordarán la acumulación de los expedientes</w:t>
      </w:r>
      <w:r w:rsidRPr="00343590">
        <w:rPr>
          <w:rFonts w:ascii="Palatino Linotype" w:eastAsia="Palatino Linotype" w:hAnsi="Palatino Linotype" w:cs="Palatino Linotype"/>
          <w:b/>
          <w:i/>
          <w:sz w:val="22"/>
          <w:szCs w:val="22"/>
        </w:rPr>
        <w:t xml:space="preserve"> del procedimiento y proceso administrativo que ante ellos se sigan, de oficio</w:t>
      </w:r>
      <w:r w:rsidRPr="00343590">
        <w:rPr>
          <w:rFonts w:ascii="Palatino Linotype" w:eastAsia="Palatino Linotype" w:hAnsi="Palatino Linotype" w:cs="Palatino Linotype"/>
          <w:i/>
          <w:sz w:val="22"/>
          <w:szCs w:val="22"/>
        </w:rPr>
        <w:t xml:space="preserve"> o a petición de parte, </w:t>
      </w:r>
      <w:r w:rsidRPr="00343590">
        <w:rPr>
          <w:rFonts w:ascii="Palatino Linotype" w:eastAsia="Palatino Linotype" w:hAnsi="Palatino Linotype" w:cs="Palatino Linotype"/>
          <w:b/>
          <w:i/>
          <w:sz w:val="22"/>
          <w:szCs w:val="22"/>
          <w:u w:val="single"/>
        </w:rPr>
        <w:t>cuando las partes</w:t>
      </w:r>
      <w:r w:rsidRPr="00343590">
        <w:rPr>
          <w:rFonts w:ascii="Palatino Linotype" w:eastAsia="Palatino Linotype" w:hAnsi="Palatino Linotype" w:cs="Palatino Linotype"/>
          <w:i/>
          <w:sz w:val="22"/>
          <w:szCs w:val="22"/>
        </w:rPr>
        <w:t xml:space="preserve"> o los actos administrativos </w:t>
      </w:r>
      <w:r w:rsidRPr="00343590">
        <w:rPr>
          <w:rFonts w:ascii="Palatino Linotype" w:eastAsia="Palatino Linotype" w:hAnsi="Palatino Linotype" w:cs="Palatino Linotype"/>
          <w:b/>
          <w:i/>
          <w:sz w:val="22"/>
          <w:szCs w:val="22"/>
          <w:u w:val="single"/>
        </w:rPr>
        <w:t>sean iguales</w:t>
      </w:r>
      <w:r w:rsidRPr="00343590">
        <w:rPr>
          <w:rFonts w:ascii="Palatino Linotype" w:eastAsia="Palatino Linotype" w:hAnsi="Palatino Linotype" w:cs="Palatino Linotype"/>
          <w:i/>
          <w:sz w:val="22"/>
          <w:szCs w:val="22"/>
        </w:rPr>
        <w:t xml:space="preserve">, se trate de actos conexos o </w:t>
      </w:r>
      <w:r w:rsidRPr="00343590">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343590">
        <w:rPr>
          <w:rFonts w:ascii="Palatino Linotype" w:eastAsia="Palatino Linotype" w:hAnsi="Palatino Linotype" w:cs="Palatino Linotype"/>
          <w:i/>
          <w:sz w:val="22"/>
          <w:szCs w:val="22"/>
        </w:rPr>
        <w:t>. La misma regla se aplicará, en lo conducente, para la separación de los expedientes.”</w:t>
      </w:r>
    </w:p>
    <w:p w14:paraId="4A0AD1C8" w14:textId="77777777" w:rsidR="00425265" w:rsidRPr="00343590" w:rsidRDefault="000B4C53">
      <w:pPr>
        <w:tabs>
          <w:tab w:val="left" w:pos="8222"/>
        </w:tabs>
        <w:ind w:left="851" w:right="1134"/>
        <w:jc w:val="center"/>
        <w:rPr>
          <w:rFonts w:ascii="Palatino Linotype" w:eastAsia="Palatino Linotype" w:hAnsi="Palatino Linotype" w:cs="Palatino Linotype"/>
          <w:b/>
          <w:i/>
          <w:sz w:val="22"/>
          <w:szCs w:val="22"/>
        </w:rPr>
      </w:pPr>
      <w:r w:rsidRPr="00343590">
        <w:rPr>
          <w:rFonts w:ascii="Palatino Linotype" w:eastAsia="Palatino Linotype" w:hAnsi="Palatino Linotype" w:cs="Palatino Linotype"/>
          <w:b/>
          <w:i/>
          <w:sz w:val="22"/>
          <w:szCs w:val="22"/>
        </w:rPr>
        <w:t xml:space="preserve">Ley de Transparencia y Acceso a la Información Pública del Estado de México y Municipios </w:t>
      </w:r>
    </w:p>
    <w:p w14:paraId="1C1EC412" w14:textId="77777777" w:rsidR="00425265" w:rsidRPr="00343590" w:rsidRDefault="000B4C53">
      <w:pPr>
        <w:tabs>
          <w:tab w:val="left" w:pos="8222"/>
        </w:tabs>
        <w:ind w:left="851" w:right="1134"/>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w:t>
      </w:r>
      <w:r w:rsidRPr="00343590">
        <w:rPr>
          <w:rFonts w:ascii="Palatino Linotype" w:eastAsia="Palatino Linotype" w:hAnsi="Palatino Linotype" w:cs="Palatino Linotype"/>
          <w:b/>
          <w:i/>
          <w:sz w:val="22"/>
          <w:szCs w:val="22"/>
        </w:rPr>
        <w:t xml:space="preserve">Artículo 195. </w:t>
      </w:r>
      <w:r w:rsidRPr="00343590">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635494EB" w14:textId="77777777" w:rsidR="00425265" w:rsidRPr="00343590" w:rsidRDefault="000B4C53">
      <w:pPr>
        <w:tabs>
          <w:tab w:val="left" w:pos="8222"/>
        </w:tabs>
        <w:ind w:left="851" w:right="1134"/>
        <w:jc w:val="both"/>
        <w:rPr>
          <w:rFonts w:ascii="Palatino Linotype" w:eastAsia="Palatino Linotype" w:hAnsi="Palatino Linotype" w:cs="Palatino Linotype"/>
          <w:sz w:val="22"/>
          <w:szCs w:val="22"/>
        </w:rPr>
      </w:pPr>
      <w:r w:rsidRPr="00343590">
        <w:rPr>
          <w:rFonts w:ascii="Palatino Linotype" w:eastAsia="Palatino Linotype" w:hAnsi="Palatino Linotype" w:cs="Palatino Linotype"/>
          <w:sz w:val="22"/>
          <w:szCs w:val="22"/>
        </w:rPr>
        <w:t>(Énfasis añadido)</w:t>
      </w:r>
    </w:p>
    <w:p w14:paraId="3EE1E5EB" w14:textId="77777777" w:rsidR="00425265" w:rsidRPr="00343590" w:rsidRDefault="00425265">
      <w:pPr>
        <w:jc w:val="both"/>
        <w:rPr>
          <w:rFonts w:ascii="Palatino Linotype" w:eastAsia="Palatino Linotype" w:hAnsi="Palatino Linotype" w:cs="Palatino Linotype"/>
          <w:b/>
        </w:rPr>
      </w:pPr>
    </w:p>
    <w:p w14:paraId="7B3E4D72" w14:textId="77777777" w:rsidR="00425265" w:rsidRPr="00343590" w:rsidRDefault="000B4C53">
      <w:pPr>
        <w:tabs>
          <w:tab w:val="center" w:pos="4252"/>
          <w:tab w:val="right" w:pos="8504"/>
        </w:tabs>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De lo dispuesto en los numerales citados en el párrafo que antecede, dicha acumulación procede cuando:</w:t>
      </w:r>
    </w:p>
    <w:p w14:paraId="202E0FE4" w14:textId="77777777" w:rsidR="00425265" w:rsidRPr="00343590" w:rsidRDefault="000B4C53">
      <w:pPr>
        <w:numPr>
          <w:ilvl w:val="0"/>
          <w:numId w:val="3"/>
        </w:numPr>
        <w:tabs>
          <w:tab w:val="center" w:pos="4252"/>
          <w:tab w:val="right" w:pos="8504"/>
        </w:tabs>
        <w:spacing w:line="360" w:lineRule="auto"/>
        <w:jc w:val="both"/>
      </w:pPr>
      <w:r w:rsidRPr="00343590">
        <w:rPr>
          <w:rFonts w:ascii="Palatino Linotype" w:eastAsia="Palatino Linotype" w:hAnsi="Palatino Linotype" w:cs="Palatino Linotype"/>
        </w:rPr>
        <w:t>El solicitante y la información referida sean las mismas;</w:t>
      </w:r>
    </w:p>
    <w:p w14:paraId="222472E0" w14:textId="77777777" w:rsidR="00425265" w:rsidRPr="00343590" w:rsidRDefault="000B4C53">
      <w:pPr>
        <w:numPr>
          <w:ilvl w:val="0"/>
          <w:numId w:val="3"/>
        </w:numPr>
        <w:tabs>
          <w:tab w:val="center" w:pos="4252"/>
          <w:tab w:val="right" w:pos="8504"/>
        </w:tabs>
        <w:spacing w:line="360" w:lineRule="auto"/>
        <w:jc w:val="both"/>
      </w:pPr>
      <w:r w:rsidRPr="00343590">
        <w:rPr>
          <w:rFonts w:ascii="Palatino Linotype" w:eastAsia="Palatino Linotype" w:hAnsi="Palatino Linotype" w:cs="Palatino Linotype"/>
        </w:rPr>
        <w:t>Las partes o los actos impugnados sean iguales;</w:t>
      </w:r>
    </w:p>
    <w:p w14:paraId="6B57B511" w14:textId="77777777" w:rsidR="00425265" w:rsidRPr="00343590" w:rsidRDefault="000B4C53">
      <w:pPr>
        <w:numPr>
          <w:ilvl w:val="0"/>
          <w:numId w:val="3"/>
        </w:numPr>
        <w:tabs>
          <w:tab w:val="center" w:pos="4252"/>
          <w:tab w:val="right" w:pos="8504"/>
        </w:tabs>
        <w:spacing w:line="360" w:lineRule="auto"/>
        <w:jc w:val="both"/>
      </w:pPr>
      <w:r w:rsidRPr="00343590">
        <w:rPr>
          <w:rFonts w:ascii="Palatino Linotype" w:eastAsia="Palatino Linotype" w:hAnsi="Palatino Linotype" w:cs="Palatino Linotype"/>
        </w:rPr>
        <w:t>Cuando se trate del mismo solicitante, el mismo Sujeto Obligado, y</w:t>
      </w:r>
    </w:p>
    <w:p w14:paraId="1ECA4823" w14:textId="77777777" w:rsidR="00425265" w:rsidRPr="00343590" w:rsidRDefault="000B4C53">
      <w:pPr>
        <w:numPr>
          <w:ilvl w:val="0"/>
          <w:numId w:val="3"/>
        </w:numPr>
        <w:tabs>
          <w:tab w:val="center" w:pos="4252"/>
          <w:tab w:val="right" w:pos="8504"/>
        </w:tabs>
        <w:spacing w:line="360" w:lineRule="auto"/>
        <w:ind w:left="357"/>
        <w:jc w:val="both"/>
      </w:pPr>
      <w:r w:rsidRPr="00343590">
        <w:rPr>
          <w:rFonts w:ascii="Palatino Linotype" w:eastAsia="Palatino Linotype" w:hAnsi="Palatino Linotype" w:cs="Palatino Linotype"/>
        </w:rPr>
        <w:t>Aun tratándose de solicitudes diversas, resulte conveniente la resolución unificada de los asuntos</w:t>
      </w:r>
      <w:r w:rsidRPr="00343590">
        <w:rPr>
          <w:rFonts w:ascii="Palatino Linotype" w:eastAsia="Palatino Linotype" w:hAnsi="Palatino Linotype" w:cs="Palatino Linotype"/>
          <w:i/>
        </w:rPr>
        <w:t>.</w:t>
      </w:r>
    </w:p>
    <w:p w14:paraId="513E1D0A" w14:textId="77777777" w:rsidR="00425265" w:rsidRPr="00343590" w:rsidRDefault="00425265">
      <w:pPr>
        <w:tabs>
          <w:tab w:val="center" w:pos="4252"/>
          <w:tab w:val="right" w:pos="8504"/>
        </w:tabs>
        <w:spacing w:line="360" w:lineRule="auto"/>
        <w:ind w:left="357"/>
        <w:jc w:val="both"/>
        <w:rPr>
          <w:rFonts w:ascii="Palatino Linotype" w:eastAsia="Palatino Linotype" w:hAnsi="Palatino Linotype" w:cs="Palatino Linotype"/>
          <w:i/>
        </w:rPr>
      </w:pPr>
    </w:p>
    <w:p w14:paraId="56ECD68F" w14:textId="77777777" w:rsidR="00425265" w:rsidRPr="00343590" w:rsidRDefault="00425265">
      <w:pPr>
        <w:tabs>
          <w:tab w:val="center" w:pos="4252"/>
          <w:tab w:val="right" w:pos="8504"/>
        </w:tabs>
        <w:spacing w:line="360" w:lineRule="auto"/>
        <w:ind w:left="357"/>
        <w:jc w:val="both"/>
      </w:pPr>
    </w:p>
    <w:p w14:paraId="56F00231" w14:textId="77777777" w:rsidR="00425265" w:rsidRPr="00343590" w:rsidRDefault="000B4C53">
      <w:pPr>
        <w:widowControl w:val="0"/>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De esta suerte, tal y como se mencionó anteriormente, los Recursos de Revisión que nos ocupan fueron interpuestos por el mismo </w:t>
      </w:r>
      <w:r w:rsidRPr="00343590">
        <w:rPr>
          <w:rFonts w:ascii="Palatino Linotype" w:eastAsia="Palatino Linotype" w:hAnsi="Palatino Linotype" w:cs="Palatino Linotype"/>
          <w:b/>
        </w:rPr>
        <w:t>RECURRENTE</w:t>
      </w:r>
      <w:r w:rsidRPr="00343590">
        <w:rPr>
          <w:rFonts w:ascii="Palatino Linotype" w:eastAsia="Palatino Linotype" w:hAnsi="Palatino Linotype" w:cs="Palatino Linotype"/>
        </w:rPr>
        <w:t xml:space="preserve"> ante el mismo </w:t>
      </w:r>
      <w:r w:rsidRPr="00343590">
        <w:rPr>
          <w:rFonts w:ascii="Palatino Linotype" w:eastAsia="Palatino Linotype" w:hAnsi="Palatino Linotype" w:cs="Palatino Linotype"/>
          <w:b/>
        </w:rPr>
        <w:t>SUJETO OBLIGADO</w:t>
      </w:r>
      <w:r w:rsidRPr="00343590">
        <w:rPr>
          <w:rFonts w:ascii="Palatino Linotype" w:eastAsia="Palatino Linotype" w:hAnsi="Palatino Linotype" w:cs="Palatino Linotype"/>
        </w:rPr>
        <w:t>, por lo que, resulta conveniente la resolución conjunta por economía procesal y con el fin de no emitir resoluciones contradictorias entre sí, en caso de resolverlos en forma separada por Ponentes diferentes.</w:t>
      </w:r>
    </w:p>
    <w:p w14:paraId="5090EE43" w14:textId="77777777" w:rsidR="00425265" w:rsidRPr="00343590" w:rsidRDefault="00425265">
      <w:pPr>
        <w:tabs>
          <w:tab w:val="center" w:pos="4252"/>
          <w:tab w:val="right" w:pos="8504"/>
        </w:tabs>
        <w:spacing w:line="360" w:lineRule="auto"/>
        <w:ind w:left="-57"/>
        <w:jc w:val="both"/>
        <w:rPr>
          <w:rFonts w:ascii="Palatino Linotype" w:eastAsia="Palatino Linotype" w:hAnsi="Palatino Linotype" w:cs="Palatino Linotype"/>
          <w:b/>
        </w:rPr>
      </w:pPr>
    </w:p>
    <w:p w14:paraId="63115FB9" w14:textId="77777777" w:rsidR="00425265" w:rsidRPr="00343590" w:rsidRDefault="000B4C53">
      <w:pPr>
        <w:tabs>
          <w:tab w:val="center" w:pos="4252"/>
          <w:tab w:val="right" w:pos="8504"/>
        </w:tabs>
        <w:spacing w:line="360" w:lineRule="auto"/>
        <w:ind w:left="-57"/>
        <w:jc w:val="both"/>
        <w:rPr>
          <w:rFonts w:ascii="Palatino Linotype" w:eastAsia="Palatino Linotype" w:hAnsi="Palatino Linotype" w:cs="Palatino Linotype"/>
          <w:color w:val="000000"/>
        </w:rPr>
      </w:pPr>
      <w:r w:rsidRPr="00343590">
        <w:rPr>
          <w:rFonts w:ascii="Palatino Linotype" w:eastAsia="Palatino Linotype" w:hAnsi="Palatino Linotype" w:cs="Palatino Linotype"/>
          <w:b/>
          <w:sz w:val="26"/>
          <w:szCs w:val="26"/>
        </w:rPr>
        <w:t>CUARTO.</w:t>
      </w:r>
      <w:r w:rsidRPr="00343590">
        <w:rPr>
          <w:rFonts w:ascii="Palatino Linotype" w:eastAsia="Palatino Linotype" w:hAnsi="Palatino Linotype" w:cs="Palatino Linotype"/>
          <w:b/>
        </w:rPr>
        <w:t xml:space="preserve"> </w:t>
      </w:r>
      <w:r w:rsidRPr="00343590">
        <w:rPr>
          <w:rFonts w:ascii="Palatino Linotype" w:eastAsia="Palatino Linotype" w:hAnsi="Palatino Linotype" w:cs="Palatino Linotype"/>
          <w:b/>
          <w:color w:val="000000"/>
        </w:rPr>
        <w:t>Oportunidad</w:t>
      </w:r>
      <w:r w:rsidRPr="00343590">
        <w:rPr>
          <w:rFonts w:ascii="Palatino Linotype" w:eastAsia="Palatino Linotype" w:hAnsi="Palatino Linotype" w:cs="Palatino Linotype"/>
          <w:color w:val="000000"/>
        </w:rPr>
        <w:t xml:space="preserve">. </w:t>
      </w:r>
    </w:p>
    <w:p w14:paraId="2C921ED0" w14:textId="77777777" w:rsidR="00425265" w:rsidRPr="00343590" w:rsidRDefault="000B4C53">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343590">
        <w:rPr>
          <w:rFonts w:ascii="Palatino Linotype" w:eastAsia="Palatino Linotype" w:hAnsi="Palatino Linotype" w:cs="Palatino Linotype"/>
        </w:rPr>
        <w:t>Los</w:t>
      </w:r>
      <w:r w:rsidRPr="00343590">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343590">
        <w:rPr>
          <w:rFonts w:ascii="Palatino Linotype" w:eastAsia="Palatino Linotype" w:hAnsi="Palatino Linotype" w:cs="Palatino Linotype"/>
          <w:b/>
        </w:rPr>
        <w:t xml:space="preserve">EL RECURRENTE </w:t>
      </w:r>
      <w:r w:rsidRPr="00343590">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7CB4ECE6" w14:textId="77777777" w:rsidR="00425265" w:rsidRPr="00343590" w:rsidRDefault="00425265">
      <w:pPr>
        <w:ind w:left="720" w:right="709"/>
        <w:jc w:val="both"/>
        <w:rPr>
          <w:rFonts w:ascii="Palatino Linotype" w:eastAsia="Palatino Linotype" w:hAnsi="Palatino Linotype" w:cs="Palatino Linotype"/>
          <w:i/>
          <w:sz w:val="22"/>
          <w:szCs w:val="22"/>
        </w:rPr>
      </w:pPr>
    </w:p>
    <w:p w14:paraId="43F11D81" w14:textId="77777777" w:rsidR="00425265" w:rsidRPr="00343590" w:rsidRDefault="000B4C53">
      <w:pPr>
        <w:ind w:left="851"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w:t>
      </w:r>
      <w:r w:rsidRPr="00343590">
        <w:rPr>
          <w:rFonts w:ascii="Palatino Linotype" w:eastAsia="Palatino Linotype" w:hAnsi="Palatino Linotype" w:cs="Palatino Linotype"/>
          <w:b/>
          <w:i/>
          <w:sz w:val="22"/>
          <w:szCs w:val="22"/>
        </w:rPr>
        <w:t>Artículo 178.</w:t>
      </w:r>
      <w:r w:rsidRPr="0034359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405B1B6" w14:textId="77777777" w:rsidR="00425265" w:rsidRPr="00343590" w:rsidRDefault="00425265">
      <w:pPr>
        <w:ind w:left="851" w:right="899"/>
        <w:jc w:val="both"/>
        <w:rPr>
          <w:rFonts w:ascii="Palatino Linotype" w:eastAsia="Palatino Linotype" w:hAnsi="Palatino Linotype" w:cs="Palatino Linotype"/>
          <w:i/>
          <w:sz w:val="22"/>
          <w:szCs w:val="22"/>
        </w:rPr>
      </w:pPr>
    </w:p>
    <w:p w14:paraId="397F5069" w14:textId="77777777" w:rsidR="00425265" w:rsidRPr="00343590" w:rsidRDefault="000B4C53">
      <w:pPr>
        <w:ind w:left="851"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43C95F2" w14:textId="77777777" w:rsidR="00425265" w:rsidRPr="00343590" w:rsidRDefault="00425265">
      <w:pPr>
        <w:ind w:left="851" w:right="899"/>
        <w:jc w:val="both"/>
        <w:rPr>
          <w:rFonts w:ascii="Palatino Linotype" w:eastAsia="Palatino Linotype" w:hAnsi="Palatino Linotype" w:cs="Palatino Linotype"/>
          <w:i/>
          <w:sz w:val="22"/>
          <w:szCs w:val="22"/>
        </w:rPr>
      </w:pPr>
    </w:p>
    <w:p w14:paraId="035161E6" w14:textId="77777777" w:rsidR="00425265" w:rsidRPr="00343590" w:rsidRDefault="000B4C53">
      <w:pPr>
        <w:ind w:left="851"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4256721" w14:textId="77777777" w:rsidR="00425265" w:rsidRPr="00343590" w:rsidRDefault="00425265">
      <w:pPr>
        <w:ind w:left="720" w:right="709"/>
        <w:jc w:val="both"/>
        <w:rPr>
          <w:rFonts w:ascii="Palatino Linotype" w:eastAsia="Palatino Linotype" w:hAnsi="Palatino Linotype" w:cs="Palatino Linotype"/>
          <w:i/>
          <w:sz w:val="22"/>
          <w:szCs w:val="22"/>
        </w:rPr>
      </w:pPr>
    </w:p>
    <w:p w14:paraId="09F24E23" w14:textId="77777777" w:rsidR="00425265" w:rsidRPr="00343590" w:rsidRDefault="000B4C53">
      <w:pPr>
        <w:spacing w:line="360" w:lineRule="auto"/>
        <w:jc w:val="both"/>
        <w:rPr>
          <w:rFonts w:ascii="Palatino Linotype" w:eastAsia="Palatino Linotype" w:hAnsi="Palatino Linotype" w:cs="Palatino Linotype"/>
        </w:rPr>
      </w:pPr>
      <w:bookmarkStart w:id="4" w:name="_heading=h.2et92p0" w:colFirst="0" w:colLast="0"/>
      <w:bookmarkEnd w:id="4"/>
      <w:r w:rsidRPr="00343590">
        <w:rPr>
          <w:rFonts w:ascii="Palatino Linotype" w:eastAsia="Palatino Linotype" w:hAnsi="Palatino Linotype" w:cs="Palatino Linotype"/>
        </w:rPr>
        <w:t xml:space="preserve">En esa tesitura, atendiendo a que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notificaron las respuestas a la solicitud de Acceso a la Información Pública el día </w:t>
      </w:r>
      <w:r w:rsidRPr="00343590">
        <w:rPr>
          <w:rFonts w:ascii="Palatino Linotype" w:eastAsia="Palatino Linotype" w:hAnsi="Palatino Linotype" w:cs="Palatino Linotype"/>
          <w:b/>
        </w:rPr>
        <w:t xml:space="preserve">nueve de febrero de dos mil </w:t>
      </w:r>
      <w:r w:rsidRPr="00343590">
        <w:rPr>
          <w:rFonts w:ascii="Palatino Linotype" w:eastAsia="Palatino Linotype" w:hAnsi="Palatino Linotype" w:cs="Palatino Linotype"/>
          <w:b/>
        </w:rPr>
        <w:lastRenderedPageBreak/>
        <w:t>veintidós</w:t>
      </w:r>
      <w:r w:rsidRPr="00343590">
        <w:rPr>
          <w:rFonts w:ascii="Palatino Linotype" w:eastAsia="Palatino Linotype" w:hAnsi="Palatino Linotype" w:cs="Palatino Linotype"/>
        </w:rPr>
        <w:t xml:space="preserve">; así, el plazo de quince días hábiles que el artículo 178 de la Ley de la materia otorga a </w:t>
      </w:r>
      <w:r w:rsidRPr="00343590">
        <w:rPr>
          <w:rFonts w:ascii="Palatino Linotype" w:eastAsia="Palatino Linotype" w:hAnsi="Palatino Linotype" w:cs="Palatino Linotype"/>
          <w:b/>
        </w:rPr>
        <w:t xml:space="preserve">EL RECURRENTE </w:t>
      </w:r>
      <w:r w:rsidRPr="00343590">
        <w:rPr>
          <w:rFonts w:ascii="Palatino Linotype" w:eastAsia="Palatino Linotype" w:hAnsi="Palatino Linotype" w:cs="Palatino Linotype"/>
        </w:rPr>
        <w:t xml:space="preserve">para presentar el respectivo Recurso de Revisión, transcurrió del </w:t>
      </w:r>
      <w:r w:rsidRPr="00343590">
        <w:rPr>
          <w:rFonts w:ascii="Palatino Linotype" w:eastAsia="Palatino Linotype" w:hAnsi="Palatino Linotype" w:cs="Palatino Linotype"/>
          <w:b/>
        </w:rPr>
        <w:t>diez de febrero al tres de marzo de dos mil veintidós.</w:t>
      </w:r>
      <w:r w:rsidRPr="00343590">
        <w:rPr>
          <w:rFonts w:ascii="Palatino Linotype" w:eastAsia="Palatino Linotype" w:hAnsi="Palatino Linotype" w:cs="Palatino Linotype"/>
        </w:rPr>
        <w:t xml:space="preserve"> Sin contemplar en el cómputo los días quince, dieciséis, diecinueve, veinte, veintiséis y veintisiete de febrero, por corresponder a sábados y domingos, considerados como días inhábiles, en términos del artículo 3, fracción X de la Ley de Transparencia y Acceso a la Información Pública del Estado de México y Municipios. 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Pr="00343590">
        <w:rPr>
          <w:rFonts w:ascii="Palatino Linotype" w:eastAsia="Palatino Linotype" w:hAnsi="Palatino Linotype" w:cs="Palatino Linotype"/>
          <w:vertAlign w:val="superscript"/>
        </w:rPr>
        <w:footnoteReference w:id="1"/>
      </w:r>
      <w:r w:rsidRPr="00343590">
        <w:rPr>
          <w:rFonts w:ascii="Palatino Linotype" w:eastAsia="Palatino Linotype" w:hAnsi="Palatino Linotype" w:cs="Palatino Linotype"/>
        </w:rPr>
        <w:t>.</w:t>
      </w:r>
    </w:p>
    <w:p w14:paraId="2FAC4379" w14:textId="77777777" w:rsidR="00425265" w:rsidRPr="00343590" w:rsidRDefault="00425265">
      <w:pPr>
        <w:spacing w:line="360" w:lineRule="auto"/>
        <w:jc w:val="both"/>
        <w:rPr>
          <w:rFonts w:ascii="Palatino Linotype" w:eastAsia="Palatino Linotype" w:hAnsi="Palatino Linotype" w:cs="Palatino Linotype"/>
        </w:rPr>
      </w:pPr>
      <w:bookmarkStart w:id="5" w:name="_heading=h.pams53xt1pwn" w:colFirst="0" w:colLast="0"/>
      <w:bookmarkEnd w:id="5"/>
    </w:p>
    <w:p w14:paraId="7EA5399E" w14:textId="77777777" w:rsidR="00425265" w:rsidRPr="00343590" w:rsidRDefault="000B4C53">
      <w:pPr>
        <w:spacing w:before="200" w:after="200" w:line="360" w:lineRule="auto"/>
        <w:jc w:val="both"/>
      </w:pPr>
      <w:r w:rsidRPr="00343590">
        <w:rPr>
          <w:rFonts w:ascii="Palatino Linotype" w:eastAsia="Palatino Linotype" w:hAnsi="Palatino Linotype" w:cs="Palatino Linotype"/>
        </w:rPr>
        <w:t xml:space="preserve">En ese tenor se advierte que </w:t>
      </w:r>
      <w:r w:rsidRPr="00343590">
        <w:rPr>
          <w:rFonts w:ascii="Palatino Linotype" w:eastAsia="Palatino Linotype" w:hAnsi="Palatino Linotype" w:cs="Palatino Linotype"/>
          <w:b/>
        </w:rPr>
        <w:t>EL RECURRENTE</w:t>
      </w:r>
      <w:r w:rsidRPr="00343590">
        <w:rPr>
          <w:rFonts w:ascii="Palatino Linotype" w:eastAsia="Palatino Linotype" w:hAnsi="Palatino Linotype" w:cs="Palatino Linotype"/>
        </w:rPr>
        <w:t xml:space="preserve"> presentó los medios de impugnación, el día veintiocho de febrero por lo que ambos se encuentran en el plazo establecido en el artículo 178, de la Ley de Transparencia y Acceso a la Información Pública del Estado de México y Municipios y por tanto su interposición es oportuna. </w:t>
      </w:r>
    </w:p>
    <w:p w14:paraId="23A0593D" w14:textId="77777777" w:rsidR="00425265" w:rsidRPr="00343590" w:rsidRDefault="00425265">
      <w:pPr>
        <w:spacing w:line="360" w:lineRule="auto"/>
        <w:ind w:right="49"/>
        <w:jc w:val="both"/>
        <w:rPr>
          <w:rFonts w:ascii="Palatino Linotype" w:eastAsia="Palatino Linotype" w:hAnsi="Palatino Linotype" w:cs="Palatino Linotype"/>
        </w:rPr>
      </w:pPr>
    </w:p>
    <w:p w14:paraId="598C2FEE" w14:textId="77777777" w:rsidR="00425265" w:rsidRPr="00343590" w:rsidRDefault="00425265">
      <w:pPr>
        <w:spacing w:line="360" w:lineRule="auto"/>
        <w:ind w:right="49"/>
        <w:jc w:val="both"/>
        <w:rPr>
          <w:rFonts w:ascii="Palatino Linotype" w:eastAsia="Palatino Linotype" w:hAnsi="Palatino Linotype" w:cs="Palatino Linotype"/>
        </w:rPr>
      </w:pPr>
    </w:p>
    <w:p w14:paraId="7217B532" w14:textId="77777777" w:rsidR="00425265" w:rsidRPr="00343590" w:rsidRDefault="00425265">
      <w:pPr>
        <w:spacing w:line="360" w:lineRule="auto"/>
        <w:ind w:right="49"/>
        <w:jc w:val="both"/>
        <w:rPr>
          <w:rFonts w:ascii="Palatino Linotype" w:eastAsia="Palatino Linotype" w:hAnsi="Palatino Linotype" w:cs="Palatino Linotype"/>
        </w:rPr>
      </w:pPr>
    </w:p>
    <w:p w14:paraId="128F230C" w14:textId="77777777" w:rsidR="00425265" w:rsidRPr="00343590" w:rsidRDefault="000B4C53">
      <w:pPr>
        <w:spacing w:line="360" w:lineRule="auto"/>
        <w:ind w:right="49"/>
        <w:jc w:val="both"/>
        <w:rPr>
          <w:rFonts w:ascii="Palatino Linotype" w:eastAsia="Palatino Linotype" w:hAnsi="Palatino Linotype" w:cs="Palatino Linotype"/>
          <w:b/>
        </w:rPr>
      </w:pPr>
      <w:r w:rsidRPr="00343590">
        <w:rPr>
          <w:rFonts w:ascii="Palatino Linotype" w:eastAsia="Palatino Linotype" w:hAnsi="Palatino Linotype" w:cs="Palatino Linotype"/>
          <w:b/>
          <w:sz w:val="28"/>
          <w:szCs w:val="28"/>
        </w:rPr>
        <w:lastRenderedPageBreak/>
        <w:t>QUINTO</w:t>
      </w:r>
      <w:r w:rsidRPr="00343590">
        <w:rPr>
          <w:rFonts w:ascii="Palatino Linotype" w:eastAsia="Palatino Linotype" w:hAnsi="Palatino Linotype" w:cs="Palatino Linotype"/>
          <w:b/>
        </w:rPr>
        <w:t xml:space="preserve">. Procedibilidad. </w:t>
      </w:r>
    </w:p>
    <w:p w14:paraId="18403BC8"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734238E0" w14:textId="77777777" w:rsidR="00425265" w:rsidRPr="00343590" w:rsidRDefault="00425265">
      <w:pPr>
        <w:spacing w:line="360" w:lineRule="auto"/>
        <w:ind w:right="49"/>
        <w:jc w:val="both"/>
        <w:rPr>
          <w:rFonts w:ascii="Palatino Linotype" w:eastAsia="Palatino Linotype" w:hAnsi="Palatino Linotype" w:cs="Palatino Linotype"/>
          <w:sz w:val="10"/>
          <w:szCs w:val="10"/>
        </w:rPr>
      </w:pPr>
    </w:p>
    <w:p w14:paraId="4E8CE5AE" w14:textId="77777777" w:rsidR="00425265" w:rsidRPr="00343590" w:rsidRDefault="000B4C53">
      <w:pPr>
        <w:tabs>
          <w:tab w:val="left" w:pos="851"/>
        </w:tabs>
        <w:ind w:left="851" w:right="901"/>
        <w:jc w:val="both"/>
        <w:rPr>
          <w:rFonts w:ascii="Palatino Linotype" w:eastAsia="Palatino Linotype" w:hAnsi="Palatino Linotype" w:cs="Palatino Linotype"/>
          <w:b/>
          <w:i/>
          <w:sz w:val="22"/>
          <w:szCs w:val="22"/>
        </w:rPr>
      </w:pPr>
      <w:r w:rsidRPr="00343590">
        <w:rPr>
          <w:rFonts w:ascii="Palatino Linotype" w:eastAsia="Palatino Linotype" w:hAnsi="Palatino Linotype" w:cs="Palatino Linotype"/>
          <w:b/>
          <w:i/>
          <w:sz w:val="22"/>
          <w:szCs w:val="22"/>
        </w:rPr>
        <w:t xml:space="preserve">“Artículo 180. </w:t>
      </w:r>
      <w:r w:rsidRPr="00343590">
        <w:rPr>
          <w:rFonts w:ascii="Palatino Linotype" w:eastAsia="Palatino Linotype" w:hAnsi="Palatino Linotype" w:cs="Palatino Linotype"/>
          <w:i/>
          <w:sz w:val="22"/>
          <w:szCs w:val="22"/>
        </w:rPr>
        <w:t xml:space="preserve">El recurso </w:t>
      </w:r>
      <w:r w:rsidRPr="00343590">
        <w:rPr>
          <w:rFonts w:ascii="Palatino Linotype" w:eastAsia="Palatino Linotype" w:hAnsi="Palatino Linotype" w:cs="Palatino Linotype"/>
          <w:i/>
          <w:color w:val="222222"/>
          <w:sz w:val="22"/>
          <w:szCs w:val="22"/>
        </w:rPr>
        <w:t>de</w:t>
      </w:r>
      <w:r w:rsidRPr="00343590">
        <w:rPr>
          <w:rFonts w:ascii="Palatino Linotype" w:eastAsia="Palatino Linotype" w:hAnsi="Palatino Linotype" w:cs="Palatino Linotype"/>
          <w:i/>
          <w:sz w:val="22"/>
          <w:szCs w:val="22"/>
        </w:rPr>
        <w:t xml:space="preserve"> revisión contendrá:</w:t>
      </w:r>
      <w:r w:rsidRPr="00343590">
        <w:rPr>
          <w:rFonts w:ascii="Palatino Linotype" w:eastAsia="Palatino Linotype" w:hAnsi="Palatino Linotype" w:cs="Palatino Linotype"/>
          <w:b/>
          <w:i/>
          <w:sz w:val="22"/>
          <w:szCs w:val="22"/>
        </w:rPr>
        <w:t xml:space="preserve"> </w:t>
      </w:r>
    </w:p>
    <w:p w14:paraId="0E542B3E" w14:textId="77777777" w:rsidR="00425265" w:rsidRPr="00343590" w:rsidRDefault="000B4C53">
      <w:pPr>
        <w:tabs>
          <w:tab w:val="left" w:pos="851"/>
        </w:tabs>
        <w:ind w:left="851" w:right="901"/>
        <w:jc w:val="both"/>
        <w:rPr>
          <w:rFonts w:ascii="Palatino Linotype" w:eastAsia="Palatino Linotype" w:hAnsi="Palatino Linotype" w:cs="Palatino Linotype"/>
          <w:b/>
          <w:i/>
          <w:sz w:val="22"/>
          <w:szCs w:val="22"/>
        </w:rPr>
      </w:pPr>
      <w:r w:rsidRPr="00343590">
        <w:rPr>
          <w:rFonts w:ascii="Palatino Linotype" w:eastAsia="Palatino Linotype" w:hAnsi="Palatino Linotype" w:cs="Palatino Linotype"/>
          <w:b/>
          <w:i/>
          <w:sz w:val="22"/>
          <w:szCs w:val="22"/>
        </w:rPr>
        <w:t>…</w:t>
      </w:r>
    </w:p>
    <w:p w14:paraId="4E0B93A2" w14:textId="77777777" w:rsidR="00425265" w:rsidRPr="00343590" w:rsidRDefault="000B4C53">
      <w:pPr>
        <w:tabs>
          <w:tab w:val="left" w:pos="851"/>
        </w:tabs>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 xml:space="preserve">II. El nombre del solicitante </w:t>
      </w:r>
      <w:r w:rsidRPr="00343590">
        <w:rPr>
          <w:rFonts w:ascii="Palatino Linotype" w:eastAsia="Palatino Linotype" w:hAnsi="Palatino Linotype" w:cs="Palatino Linotype"/>
          <w:b/>
          <w:i/>
          <w:color w:val="222222"/>
          <w:sz w:val="22"/>
          <w:szCs w:val="22"/>
        </w:rPr>
        <w:t>que</w:t>
      </w:r>
      <w:r w:rsidRPr="00343590">
        <w:rPr>
          <w:rFonts w:ascii="Palatino Linotype" w:eastAsia="Palatino Linotype" w:hAnsi="Palatino Linotype" w:cs="Palatino Linotype"/>
          <w:b/>
          <w:i/>
          <w:sz w:val="22"/>
          <w:szCs w:val="22"/>
        </w:rPr>
        <w:t xml:space="preserve"> recurre </w:t>
      </w:r>
      <w:r w:rsidRPr="00343590">
        <w:rPr>
          <w:rFonts w:ascii="Palatino Linotype" w:eastAsia="Palatino Linotype" w:hAnsi="Palatino Linotype" w:cs="Palatino Linotype"/>
          <w:i/>
          <w:sz w:val="22"/>
          <w:szCs w:val="22"/>
        </w:rPr>
        <w:t>o de su representante y, en su caso, …</w:t>
      </w:r>
    </w:p>
    <w:p w14:paraId="2D2B8AD7" w14:textId="77777777" w:rsidR="00425265" w:rsidRPr="00343590" w:rsidRDefault="000B4C53">
      <w:pPr>
        <w:tabs>
          <w:tab w:val="left" w:pos="851"/>
        </w:tabs>
        <w:ind w:left="851" w:right="901"/>
        <w:jc w:val="both"/>
        <w:rPr>
          <w:rFonts w:ascii="Palatino Linotype" w:eastAsia="Palatino Linotype" w:hAnsi="Palatino Linotype" w:cs="Palatino Linotype"/>
          <w:b/>
          <w:i/>
          <w:sz w:val="22"/>
          <w:szCs w:val="22"/>
        </w:rPr>
      </w:pPr>
      <w:r w:rsidRPr="00343590">
        <w:rPr>
          <w:rFonts w:ascii="Palatino Linotype" w:eastAsia="Palatino Linotype" w:hAnsi="Palatino Linotype" w:cs="Palatino Linotype"/>
          <w:b/>
          <w:i/>
          <w:sz w:val="22"/>
          <w:szCs w:val="22"/>
        </w:rPr>
        <w:t xml:space="preserve">En caso de </w:t>
      </w:r>
      <w:r w:rsidRPr="00343590">
        <w:rPr>
          <w:rFonts w:ascii="Palatino Linotype" w:eastAsia="Palatino Linotype" w:hAnsi="Palatino Linotype" w:cs="Palatino Linotype"/>
          <w:b/>
          <w:i/>
          <w:color w:val="222222"/>
          <w:sz w:val="22"/>
          <w:szCs w:val="22"/>
        </w:rPr>
        <w:t>que</w:t>
      </w:r>
      <w:r w:rsidRPr="00343590">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343590">
        <w:rPr>
          <w:rFonts w:ascii="Palatino Linotype" w:eastAsia="Palatino Linotype" w:hAnsi="Palatino Linotype" w:cs="Palatino Linotype"/>
          <w:i/>
          <w:sz w:val="22"/>
          <w:szCs w:val="22"/>
        </w:rPr>
        <w:t>, IV, VII y VIII.</w:t>
      </w:r>
      <w:r w:rsidRPr="00343590">
        <w:rPr>
          <w:rFonts w:ascii="Palatino Linotype" w:eastAsia="Palatino Linotype" w:hAnsi="Palatino Linotype" w:cs="Palatino Linotype"/>
          <w:b/>
          <w:i/>
          <w:sz w:val="22"/>
          <w:szCs w:val="22"/>
        </w:rPr>
        <w:t>”</w:t>
      </w:r>
    </w:p>
    <w:p w14:paraId="7A7A1D8A" w14:textId="77777777" w:rsidR="00425265" w:rsidRPr="00343590" w:rsidRDefault="000B4C53">
      <w:pPr>
        <w:tabs>
          <w:tab w:val="left" w:pos="851"/>
        </w:tabs>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(Énfasis añadido)</w:t>
      </w:r>
    </w:p>
    <w:p w14:paraId="39CC2341" w14:textId="77777777" w:rsidR="00425265" w:rsidRPr="00343590" w:rsidRDefault="00425265">
      <w:pPr>
        <w:tabs>
          <w:tab w:val="left" w:pos="851"/>
        </w:tabs>
        <w:ind w:right="901"/>
        <w:jc w:val="both"/>
        <w:rPr>
          <w:rFonts w:ascii="Palatino Linotype" w:eastAsia="Palatino Linotype" w:hAnsi="Palatino Linotype" w:cs="Palatino Linotype"/>
          <w:i/>
          <w:sz w:val="22"/>
          <w:szCs w:val="22"/>
        </w:rPr>
      </w:pPr>
    </w:p>
    <w:p w14:paraId="677152A5"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Es así que, derivado que los recursos de revisión materia del presente asunto, se interpusieron de manera electrónica, no es necesario que contenga determinados requisitos, entre ellos, el nombre</w:t>
      </w:r>
      <w:r w:rsidRPr="00343590">
        <w:rPr>
          <w:rFonts w:ascii="Palatino Linotype" w:eastAsia="Palatino Linotype" w:hAnsi="Palatino Linotype" w:cs="Palatino Linotype"/>
          <w:b/>
        </w:rPr>
        <w:t>;</w:t>
      </w:r>
      <w:r w:rsidRPr="00343590">
        <w:rPr>
          <w:rFonts w:ascii="Palatino Linotype" w:eastAsia="Palatino Linotype" w:hAnsi="Palatino Linotype" w:cs="Palatino Linotype"/>
        </w:rPr>
        <w:t xml:space="preserve"> por lo que, en el presente caso, al haber sido presentados los Recursos de Revisión vía </w:t>
      </w:r>
      <w:r w:rsidRPr="00343590">
        <w:rPr>
          <w:rFonts w:ascii="Palatino Linotype" w:eastAsia="Palatino Linotype" w:hAnsi="Palatino Linotype" w:cs="Palatino Linotype"/>
          <w:b/>
        </w:rPr>
        <w:t>SAIMEX</w:t>
      </w:r>
      <w:r w:rsidRPr="00343590">
        <w:rPr>
          <w:rFonts w:ascii="Palatino Linotype" w:eastAsia="Palatino Linotype" w:hAnsi="Palatino Linotype" w:cs="Palatino Linotype"/>
        </w:rPr>
        <w:t>, dicho requisito resulta innecesario.</w:t>
      </w:r>
    </w:p>
    <w:p w14:paraId="017C8293" w14:textId="77777777" w:rsidR="00425265" w:rsidRPr="00343590" w:rsidRDefault="00425265">
      <w:pPr>
        <w:spacing w:line="360" w:lineRule="auto"/>
        <w:jc w:val="both"/>
        <w:rPr>
          <w:rFonts w:ascii="Palatino Linotype" w:eastAsia="Palatino Linotype" w:hAnsi="Palatino Linotype" w:cs="Palatino Linotype"/>
          <w:b/>
        </w:rPr>
      </w:pPr>
    </w:p>
    <w:p w14:paraId="20A9F3D5"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343590">
        <w:rPr>
          <w:rFonts w:ascii="Palatino Linotype" w:eastAsia="Palatino Linotype" w:hAnsi="Palatino Linotype" w:cs="Palatino Linotype"/>
          <w:b/>
          <w:u w:val="single"/>
        </w:rPr>
        <w:t xml:space="preserve">el nombre no es un requisito </w:t>
      </w:r>
      <w:r w:rsidRPr="00343590">
        <w:rPr>
          <w:rFonts w:ascii="Palatino Linotype" w:eastAsia="Palatino Linotype" w:hAnsi="Palatino Linotype" w:cs="Palatino Linotype"/>
          <w:b/>
          <w:i/>
          <w:u w:val="single"/>
        </w:rPr>
        <w:t>sine qua non</w:t>
      </w:r>
      <w:r w:rsidRPr="00343590">
        <w:rPr>
          <w:rFonts w:ascii="Palatino Linotype" w:eastAsia="Palatino Linotype" w:hAnsi="Palatino Linotype" w:cs="Palatino Linotype"/>
        </w:rPr>
        <w:t xml:space="preserve"> para que los particulares ejerzan el derecho de acceso a la información pública, pues por el contrario la Ley de la materia prevé en </w:t>
      </w:r>
      <w:r w:rsidRPr="00343590">
        <w:rPr>
          <w:rFonts w:ascii="Palatino Linotype" w:eastAsia="Palatino Linotype" w:hAnsi="Palatino Linotype" w:cs="Palatino Linotype"/>
        </w:rPr>
        <w:lastRenderedPageBreak/>
        <w:t>su artículo 155, párrafo segundo la posibilidad de que las solicitudes de información sean anónimas, al utilizar un nombre incompleto o, inclusive un seudónimo.</w:t>
      </w:r>
    </w:p>
    <w:p w14:paraId="32FBEF39" w14:textId="77777777" w:rsidR="00425265" w:rsidRPr="00343590" w:rsidRDefault="00425265">
      <w:pPr>
        <w:spacing w:line="360" w:lineRule="auto"/>
        <w:jc w:val="both"/>
        <w:rPr>
          <w:rFonts w:ascii="Palatino Linotype" w:eastAsia="Palatino Linotype" w:hAnsi="Palatino Linotype" w:cs="Palatino Linotype"/>
        </w:rPr>
      </w:pPr>
    </w:p>
    <w:p w14:paraId="06152F92" w14:textId="77777777" w:rsidR="00425265" w:rsidRPr="00343590" w:rsidRDefault="000B4C53">
      <w:pPr>
        <w:spacing w:line="360" w:lineRule="auto"/>
        <w:jc w:val="both"/>
        <w:rPr>
          <w:rFonts w:ascii="Palatino Linotype" w:eastAsia="Palatino Linotype" w:hAnsi="Palatino Linotype" w:cs="Palatino Linotype"/>
          <w:sz w:val="22"/>
          <w:szCs w:val="22"/>
        </w:rPr>
      </w:pPr>
      <w:r w:rsidRPr="00343590">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5CEA54D" w14:textId="77777777" w:rsidR="00425265" w:rsidRPr="00343590" w:rsidRDefault="00425265">
      <w:pPr>
        <w:tabs>
          <w:tab w:val="left" w:pos="851"/>
        </w:tabs>
        <w:ind w:left="851" w:right="901"/>
        <w:jc w:val="both"/>
        <w:rPr>
          <w:rFonts w:ascii="Palatino Linotype" w:eastAsia="Palatino Linotype" w:hAnsi="Palatino Linotype" w:cs="Palatino Linotype"/>
          <w:sz w:val="22"/>
          <w:szCs w:val="22"/>
        </w:rPr>
      </w:pPr>
    </w:p>
    <w:p w14:paraId="13A87871"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Asimismo, se estima que el requisito relativo al nombre del</w:t>
      </w:r>
      <w:r w:rsidRPr="00343590">
        <w:rPr>
          <w:rFonts w:ascii="Palatino Linotype" w:eastAsia="Palatino Linotype" w:hAnsi="Palatino Linotype" w:cs="Palatino Linotype"/>
          <w:b/>
        </w:rPr>
        <w:t xml:space="preserve"> RECURRENTE</w:t>
      </w:r>
      <w:r w:rsidRPr="00343590">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43590">
        <w:rPr>
          <w:rFonts w:ascii="Palatino Linotype" w:eastAsia="Palatino Linotype" w:hAnsi="Palatino Linotype" w:cs="Palatino Linotype"/>
          <w:b/>
        </w:rPr>
        <w:t xml:space="preserve">EL RECURRENTE </w:t>
      </w:r>
      <w:r w:rsidRPr="00343590">
        <w:rPr>
          <w:rFonts w:ascii="Palatino Linotype" w:eastAsia="Palatino Linotype" w:hAnsi="Palatino Linotype" w:cs="Palatino Linotype"/>
        </w:rPr>
        <w:t xml:space="preserve"> es la misma persona que realizó la solicitud de acceso a la información pública que ahora se impugna.</w:t>
      </w:r>
    </w:p>
    <w:p w14:paraId="412153DA" w14:textId="77777777" w:rsidR="00425265" w:rsidRPr="00343590" w:rsidRDefault="00425265">
      <w:pPr>
        <w:tabs>
          <w:tab w:val="left" w:pos="851"/>
        </w:tabs>
        <w:ind w:left="851" w:right="901"/>
        <w:jc w:val="both"/>
        <w:rPr>
          <w:rFonts w:ascii="Palatino Linotype" w:eastAsia="Palatino Linotype" w:hAnsi="Palatino Linotype" w:cs="Palatino Linotype"/>
          <w:sz w:val="22"/>
          <w:szCs w:val="22"/>
        </w:rPr>
      </w:pPr>
    </w:p>
    <w:p w14:paraId="369AB301"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lastRenderedPageBreak/>
        <w:t xml:space="preserve">Es así que, para el estudio de la materia sobre la que se resuelven los presentes Recursos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7D1FAE9" w14:textId="77777777" w:rsidR="00425265" w:rsidRPr="00343590" w:rsidRDefault="00425265">
      <w:pPr>
        <w:spacing w:line="360" w:lineRule="auto"/>
        <w:ind w:right="49"/>
        <w:jc w:val="both"/>
        <w:rPr>
          <w:rFonts w:ascii="Palatino Linotype" w:eastAsia="Palatino Linotype" w:hAnsi="Palatino Linotype" w:cs="Palatino Linotype"/>
          <w:b/>
        </w:rPr>
      </w:pPr>
    </w:p>
    <w:p w14:paraId="7D93BCC5" w14:textId="77777777" w:rsidR="00425265" w:rsidRPr="00343590" w:rsidRDefault="000B4C53">
      <w:pPr>
        <w:spacing w:line="360" w:lineRule="auto"/>
        <w:jc w:val="both"/>
        <w:rPr>
          <w:rFonts w:ascii="Palatino Linotype" w:eastAsia="Palatino Linotype" w:hAnsi="Palatino Linotype" w:cs="Palatino Linotype"/>
          <w:b/>
        </w:rPr>
      </w:pPr>
      <w:r w:rsidRPr="00343590">
        <w:rPr>
          <w:rFonts w:ascii="Palatino Linotype" w:eastAsia="Palatino Linotype" w:hAnsi="Palatino Linotype" w:cs="Palatino Linotype"/>
          <w:b/>
          <w:sz w:val="28"/>
          <w:szCs w:val="28"/>
        </w:rPr>
        <w:t>SEXTO</w:t>
      </w:r>
      <w:r w:rsidRPr="00343590">
        <w:rPr>
          <w:rFonts w:ascii="Palatino Linotype" w:eastAsia="Palatino Linotype" w:hAnsi="Palatino Linotype" w:cs="Palatino Linotype"/>
          <w:b/>
        </w:rPr>
        <w:t xml:space="preserve">. Estudio y resolución del asunto. </w:t>
      </w:r>
    </w:p>
    <w:p w14:paraId="27BDC2A3"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En ese tenor, para un mejor análisis y comprensión del asunto que se resuelve, es conveniente recordar que las solicitudes del particular versan sobre lo siguiente: </w:t>
      </w:r>
    </w:p>
    <w:p w14:paraId="35E09E70" w14:textId="7BC3792B" w:rsidR="00425265" w:rsidRPr="00343590" w:rsidRDefault="000B4C53">
      <w:pPr>
        <w:numPr>
          <w:ilvl w:val="0"/>
          <w:numId w:val="1"/>
        </w:numPr>
        <w:spacing w:line="360" w:lineRule="auto"/>
        <w:ind w:right="-28"/>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Si existe parentesco entre Fernando Gustavo Flores Fernández y </w:t>
      </w:r>
      <w:r w:rsidR="00EE3E11">
        <w:rPr>
          <w:rFonts w:ascii="Palatino Linotype" w:eastAsia="Palatino Linotype" w:hAnsi="Palatino Linotype" w:cs="Palatino Linotype"/>
        </w:rPr>
        <w:t xml:space="preserve">XXXXX XXXXXXX </w:t>
      </w:r>
      <w:proofErr w:type="spellStart"/>
      <w:r w:rsidR="00EE3E11">
        <w:rPr>
          <w:rFonts w:ascii="Palatino Linotype" w:eastAsia="Palatino Linotype" w:hAnsi="Palatino Linotype" w:cs="Palatino Linotype"/>
        </w:rPr>
        <w:t>XXXXXXX</w:t>
      </w:r>
      <w:proofErr w:type="spellEnd"/>
      <w:r w:rsidR="00EE3E11">
        <w:rPr>
          <w:rFonts w:ascii="Palatino Linotype" w:eastAsia="Palatino Linotype" w:hAnsi="Palatino Linotype" w:cs="Palatino Linotype"/>
        </w:rPr>
        <w:t xml:space="preserve"> XXXXXX XXXXX</w:t>
      </w:r>
      <w:r w:rsidRPr="00343590">
        <w:rPr>
          <w:rFonts w:ascii="Palatino Linotype" w:eastAsia="Palatino Linotype" w:hAnsi="Palatino Linotype" w:cs="Palatino Linotype"/>
        </w:rPr>
        <w:t xml:space="preserve">. </w:t>
      </w:r>
    </w:p>
    <w:p w14:paraId="052B0383" w14:textId="12454E43" w:rsidR="00425265" w:rsidRPr="00343590" w:rsidRDefault="000B4C53">
      <w:pPr>
        <w:numPr>
          <w:ilvl w:val="0"/>
          <w:numId w:val="1"/>
        </w:numPr>
        <w:spacing w:line="360" w:lineRule="auto"/>
        <w:ind w:right="-28"/>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Dado que existe un claro lazo consanguíneo entre el Presidente Municipal F. Gustavo Flores Fernández y </w:t>
      </w:r>
      <w:r w:rsidR="00EE3E11">
        <w:rPr>
          <w:rFonts w:ascii="Palatino Linotype" w:eastAsia="Palatino Linotype" w:hAnsi="Palatino Linotype" w:cs="Palatino Linotype"/>
        </w:rPr>
        <w:t>XXXXXXX XXXXXX XXXXXXXXX</w:t>
      </w:r>
      <w:r w:rsidRPr="00343590">
        <w:rPr>
          <w:rFonts w:ascii="Palatino Linotype" w:eastAsia="Palatino Linotype" w:hAnsi="Palatino Linotype" w:cs="Palatino Linotype"/>
        </w:rPr>
        <w:t>, de conformidad con el artículo 44, fracción I, inciso b, se solicita conocer si ambos servidores públicos realizaron a la fecha su respectiva declaración de intereses. Solo se requiere saber si ya fue realizada o no, es decir, no se requiere copia de la declaración.</w:t>
      </w:r>
    </w:p>
    <w:p w14:paraId="5E325D61" w14:textId="77777777" w:rsidR="00425265" w:rsidRPr="00343590" w:rsidRDefault="00425265">
      <w:pPr>
        <w:spacing w:line="360" w:lineRule="auto"/>
        <w:ind w:left="720" w:right="-28"/>
        <w:jc w:val="both"/>
        <w:rPr>
          <w:rFonts w:ascii="Palatino Linotype" w:eastAsia="Palatino Linotype" w:hAnsi="Palatino Linotype" w:cs="Palatino Linotype"/>
        </w:rPr>
      </w:pPr>
    </w:p>
    <w:p w14:paraId="4D353332" w14:textId="77777777" w:rsidR="00425265" w:rsidRPr="00343590" w:rsidRDefault="000B4C53">
      <w:pPr>
        <w:spacing w:line="360" w:lineRule="auto"/>
        <w:ind w:right="-28"/>
        <w:jc w:val="both"/>
        <w:rPr>
          <w:rFonts w:ascii="Palatino Linotype" w:eastAsia="Palatino Linotype" w:hAnsi="Palatino Linotype" w:cs="Palatino Linotype"/>
        </w:rPr>
      </w:pPr>
      <w:r w:rsidRPr="00343590">
        <w:rPr>
          <w:rFonts w:ascii="Palatino Linotype" w:eastAsia="Palatino Linotype" w:hAnsi="Palatino Linotype" w:cs="Palatino Linotype"/>
        </w:rPr>
        <w:lastRenderedPageBreak/>
        <w:t xml:space="preserve">En primera instancia es importante señalar que lo peticionado por el  particular en su solicitud de información, consiste en cuestionamientos, lo cuales requieren de un pronunciamiento específico que implicaría que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lleve a cabo un documento a modo, por lo que es importante señalar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 </w:t>
      </w:r>
    </w:p>
    <w:p w14:paraId="0CF9E0A8" w14:textId="77777777" w:rsidR="00425265" w:rsidRPr="00343590" w:rsidRDefault="00425265">
      <w:pPr>
        <w:spacing w:line="360" w:lineRule="auto"/>
        <w:ind w:right="-28"/>
        <w:jc w:val="both"/>
        <w:rPr>
          <w:rFonts w:ascii="Palatino Linotype" w:eastAsia="Palatino Linotype" w:hAnsi="Palatino Linotype" w:cs="Palatino Linotype"/>
        </w:rPr>
      </w:pPr>
    </w:p>
    <w:p w14:paraId="692C3830" w14:textId="77777777" w:rsidR="00425265" w:rsidRPr="00343590" w:rsidRDefault="000B4C53">
      <w:pPr>
        <w:ind w:left="851" w:right="902"/>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w:t>
      </w:r>
      <w:r w:rsidRPr="00343590">
        <w:rPr>
          <w:rFonts w:ascii="Palatino Linotype" w:eastAsia="Palatino Linotype" w:hAnsi="Palatino Linotype" w:cs="Palatino Linotype"/>
          <w:b/>
          <w:i/>
          <w:sz w:val="22"/>
          <w:szCs w:val="22"/>
        </w:rPr>
        <w:t>Artículo 12.</w:t>
      </w:r>
      <w:r w:rsidRPr="0034359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0747B40" w14:textId="77777777" w:rsidR="00425265" w:rsidRPr="00343590" w:rsidRDefault="000B4C53">
      <w:pPr>
        <w:ind w:left="851" w:right="902"/>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FA94314" w14:textId="77777777" w:rsidR="00425265" w:rsidRPr="00343590" w:rsidRDefault="000B4C53">
      <w:pPr>
        <w:shd w:val="clear" w:color="auto" w:fill="FFFFFF"/>
        <w:jc w:val="both"/>
      </w:pPr>
      <w:r w:rsidRPr="00343590">
        <w:rPr>
          <w:rFonts w:ascii="Palatino Linotype" w:eastAsia="Palatino Linotype" w:hAnsi="Palatino Linotype" w:cs="Palatino Linotype"/>
          <w:sz w:val="22"/>
          <w:szCs w:val="22"/>
        </w:rPr>
        <w:t> </w:t>
      </w:r>
    </w:p>
    <w:p w14:paraId="4B7F47A2" w14:textId="77777777" w:rsidR="00425265" w:rsidRPr="00343590" w:rsidRDefault="000B4C53">
      <w:pPr>
        <w:shd w:val="clear" w:color="auto" w:fill="FFFFFF"/>
        <w:jc w:val="both"/>
      </w:pPr>
      <w:r w:rsidRPr="00343590">
        <w:rPr>
          <w:rFonts w:ascii="Palatino Linotype" w:eastAsia="Palatino Linotype" w:hAnsi="Palatino Linotype" w:cs="Palatino Linotype"/>
          <w:sz w:val="22"/>
          <w:szCs w:val="22"/>
        </w:rPr>
        <w:t> </w:t>
      </w:r>
    </w:p>
    <w:p w14:paraId="6CEBE4F2" w14:textId="77777777" w:rsidR="00425265" w:rsidRPr="00343590" w:rsidRDefault="000B4C53">
      <w:pPr>
        <w:shd w:val="clear" w:color="auto" w:fill="FFFFFF"/>
        <w:spacing w:line="360" w:lineRule="auto"/>
        <w:jc w:val="both"/>
        <w:rPr>
          <w:sz w:val="28"/>
          <w:szCs w:val="28"/>
        </w:rPr>
      </w:pPr>
      <w:r w:rsidRPr="00343590">
        <w:rPr>
          <w:rFonts w:ascii="Palatino Linotype" w:eastAsia="Palatino Linotype" w:hAnsi="Palatino Linotype" w:cs="Palatino Linotype"/>
        </w:rPr>
        <w:t>Robustece lo anterior el Criterio 03/17 emitido por el Instituto Nacional de Transparencia, Acceso a la Información y Protección de Datos Personales, que a continuación se cita:</w:t>
      </w:r>
    </w:p>
    <w:p w14:paraId="30BB029D" w14:textId="77777777" w:rsidR="00425265" w:rsidRPr="00343590" w:rsidRDefault="000B4C53">
      <w:pPr>
        <w:shd w:val="clear" w:color="auto" w:fill="FFFFFF"/>
        <w:ind w:left="567" w:right="567"/>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“No existe obligación de elaborar documentos ad hoc para atender las solicitudes de acceso a la información. </w:t>
      </w:r>
      <w:r w:rsidRPr="00343590">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w:t>
      </w:r>
      <w:r w:rsidRPr="00343590">
        <w:rPr>
          <w:rFonts w:ascii="Palatino Linotype" w:eastAsia="Palatino Linotype" w:hAnsi="Palatino Linotype" w:cs="Palatino Linotype"/>
          <w:i/>
          <w:sz w:val="22"/>
          <w:szCs w:val="22"/>
        </w:rPr>
        <w:lastRenderedPageBreak/>
        <w:t>garantizar el derecho de acceso a la información del particular, proporcionando la información con la que cuentan en el formato en que la misma obre en sus archivos; sin necesidad de elaborar documentos ad hoc para atenderlas solicitudes de información.” (Sic)</w:t>
      </w:r>
    </w:p>
    <w:p w14:paraId="11600DB1" w14:textId="77777777" w:rsidR="00425265" w:rsidRPr="00343590" w:rsidRDefault="00425265">
      <w:pPr>
        <w:shd w:val="clear" w:color="auto" w:fill="FFFFFF"/>
        <w:ind w:left="567" w:right="567"/>
        <w:jc w:val="both"/>
        <w:rPr>
          <w:sz w:val="28"/>
          <w:szCs w:val="28"/>
        </w:rPr>
      </w:pPr>
    </w:p>
    <w:p w14:paraId="2CF9EBCF"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Conforme a lo anterior, se advierte que las respuestas a los cuestionamientos realizados por </w:t>
      </w:r>
      <w:r w:rsidRPr="00343590">
        <w:rPr>
          <w:rFonts w:ascii="Palatino Linotype" w:eastAsia="Palatino Linotype" w:hAnsi="Palatino Linotype" w:cs="Palatino Linotype"/>
          <w:b/>
        </w:rPr>
        <w:t>EL RECURRENTE</w:t>
      </w:r>
      <w:r w:rsidRPr="00343590">
        <w:rPr>
          <w:rFonts w:ascii="Palatino Linotype" w:eastAsia="Palatino Linotype" w:hAnsi="Palatino Linotype" w:cs="Palatino Linotype"/>
        </w:rPr>
        <w:t xml:space="preserve">, en primera instancia, son una consulta y no así una solicitud de acceso a información pública que pueda ser atendida mediante una expresión documental; pues corresponde a varias preguntas que implicarían elaborar un documento </w:t>
      </w:r>
      <w:r w:rsidRPr="00343590">
        <w:rPr>
          <w:rFonts w:ascii="Palatino Linotype" w:eastAsia="Palatino Linotype" w:hAnsi="Palatino Linotype" w:cs="Palatino Linotype"/>
          <w:i/>
        </w:rPr>
        <w:t>ad hoc.</w:t>
      </w:r>
      <w:r w:rsidRPr="00343590">
        <w:rPr>
          <w:rFonts w:ascii="Palatino Linotype" w:eastAsia="Palatino Linotype" w:hAnsi="Palatino Linotype" w:cs="Palatino Linotype"/>
          <w:b/>
        </w:rPr>
        <w:t> </w:t>
      </w:r>
    </w:p>
    <w:p w14:paraId="0AD839FF" w14:textId="77777777" w:rsidR="00425265" w:rsidRPr="00343590" w:rsidRDefault="00425265">
      <w:pPr>
        <w:spacing w:line="360" w:lineRule="auto"/>
        <w:rPr>
          <w:rFonts w:ascii="Palatino Linotype" w:eastAsia="Palatino Linotype" w:hAnsi="Palatino Linotype" w:cs="Palatino Linotype"/>
        </w:rPr>
      </w:pPr>
    </w:p>
    <w:p w14:paraId="24359E4A"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Lo anterior, toma sustento la Jurisprudencia XXI.1o.P.A. J/27, de los Tribunales Colegiados de Circuito, localizada en la página 1406, del Semanario Judicial de la Federación y su Gaceta, Tomo XXXIII, marzo 2011, Novena Época, que establece lo siguiente:</w:t>
      </w:r>
    </w:p>
    <w:p w14:paraId="38064EA1" w14:textId="77777777" w:rsidR="00425265" w:rsidRPr="00343590" w:rsidRDefault="00425265"/>
    <w:p w14:paraId="650356D8" w14:textId="77777777" w:rsidR="00425265" w:rsidRPr="00343590" w:rsidRDefault="000B4C53">
      <w:pPr>
        <w:ind w:left="567" w:right="567"/>
        <w:jc w:val="both"/>
        <w:rPr>
          <w:sz w:val="28"/>
          <w:szCs w:val="28"/>
        </w:rPr>
      </w:pPr>
      <w:r w:rsidRPr="00343590">
        <w:rPr>
          <w:rFonts w:ascii="Palatino Linotype" w:eastAsia="Palatino Linotype" w:hAnsi="Palatino Linotype" w:cs="Palatino Linotype"/>
          <w:b/>
          <w:i/>
          <w:sz w:val="22"/>
          <w:szCs w:val="22"/>
        </w:rPr>
        <w:t xml:space="preserve">“DERECHO DE PETICIÓN. SUS ELEMENTOS. </w:t>
      </w:r>
      <w:r w:rsidRPr="00343590">
        <w:rPr>
          <w:rFonts w:ascii="Palatino Linotype" w:eastAsia="Palatino Linotype" w:hAnsi="Palatino Linotype" w:cs="Palatino Linotype"/>
          <w:i/>
          <w:sz w:val="22"/>
          <w:szCs w:val="22"/>
        </w:rPr>
        <w:t xml:space="preserve">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w:t>
      </w:r>
      <w:r w:rsidRPr="00343590">
        <w:rPr>
          <w:rFonts w:ascii="Palatino Linotype" w:eastAsia="Palatino Linotype" w:hAnsi="Palatino Linotype" w:cs="Palatino Linotype"/>
          <w:i/>
          <w:sz w:val="22"/>
          <w:szCs w:val="22"/>
        </w:rPr>
        <w:lastRenderedPageBreak/>
        <w:t>ordenamientos que resulten aplicables al caso, y la respuesta o trámite que se dé a la petición debe ser comunicada precisamente por la autoridad ante quien se ejercitó el derecho, y no por otra diversa.”(Sic)</w:t>
      </w:r>
    </w:p>
    <w:p w14:paraId="4C278CF0" w14:textId="77777777" w:rsidR="00425265" w:rsidRPr="00343590" w:rsidRDefault="00425265"/>
    <w:p w14:paraId="24569F51"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2A2AAEE2" w14:textId="77777777" w:rsidR="00425265" w:rsidRPr="00343590" w:rsidRDefault="00425265">
      <w:pPr>
        <w:spacing w:line="360" w:lineRule="auto"/>
        <w:jc w:val="both"/>
        <w:rPr>
          <w:rFonts w:ascii="Palatino Linotype" w:eastAsia="Palatino Linotype" w:hAnsi="Palatino Linotype" w:cs="Palatino Linotype"/>
        </w:rPr>
      </w:pPr>
    </w:p>
    <w:p w14:paraId="4283E061"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Así pues, en el caso de la solicitud </w:t>
      </w:r>
      <w:r w:rsidRPr="00343590">
        <w:rPr>
          <w:rFonts w:ascii="Palatino Linotype" w:eastAsia="Palatino Linotype" w:hAnsi="Palatino Linotype" w:cs="Palatino Linotype"/>
          <w:b/>
        </w:rPr>
        <w:t xml:space="preserve">00399/METEPEC/IP/2022 </w:t>
      </w:r>
      <w:r w:rsidRPr="00343590">
        <w:rPr>
          <w:rFonts w:ascii="Palatino Linotype" w:eastAsia="Palatino Linotype" w:hAnsi="Palatino Linotype" w:cs="Palatino Linotype"/>
        </w:rPr>
        <w:t xml:space="preserve">de la información requerida por el particular se puede apreciar que refiere un soporte documental como es la declaración de intereses ya que el ahora </w:t>
      </w:r>
      <w:r w:rsidRPr="00343590">
        <w:rPr>
          <w:rFonts w:ascii="Palatino Linotype" w:eastAsia="Palatino Linotype" w:hAnsi="Palatino Linotype" w:cs="Palatino Linotype"/>
          <w:b/>
        </w:rPr>
        <w:t>RECURRENTE</w:t>
      </w:r>
      <w:r w:rsidRPr="00343590">
        <w:rPr>
          <w:rFonts w:ascii="Palatino Linotype" w:eastAsia="Palatino Linotype" w:hAnsi="Palatino Linotype" w:cs="Palatino Linotype"/>
        </w:rPr>
        <w:t xml:space="preserve"> refiere lo siguiente:</w:t>
      </w:r>
    </w:p>
    <w:p w14:paraId="5843BFA1" w14:textId="77777777" w:rsidR="00425265" w:rsidRPr="00343590" w:rsidRDefault="000B4C53">
      <w:pPr>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“...de conformidad con el artículo 44, fracción I, inciso b, se solicita conocer si ambos servidores públicos realizaron a la fecha su respectiva declaración de intereses. Solo se requiere saber si ya fue realizada o no, es decir, no se requiere copia de la declaración.”(Sic)</w:t>
      </w:r>
    </w:p>
    <w:p w14:paraId="3A1B6DE3" w14:textId="77777777" w:rsidR="00425265" w:rsidRPr="00343590" w:rsidRDefault="000B4C53">
      <w:pPr>
        <w:spacing w:before="280" w:after="280"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Luego entonces, es procedente mencionar que, aun cuando la solicitud no señale expresamente que se requiere el documento en donde conste la información solicitada, pero dicha información obra en uno, los Sujetos Obligados deberán hacer entrega de ese soporte documental, como lo señala el criterio histórico 28/10 del El Instituto Nacional de Transparencia, Acceso a la Información y Protección de Datos Personales (INAI), el cual señala lo siguiente: </w:t>
      </w:r>
    </w:p>
    <w:p w14:paraId="4953749B" w14:textId="77777777" w:rsidR="00425265" w:rsidRPr="00343590" w:rsidRDefault="000B4C53">
      <w:pPr>
        <w:spacing w:before="62"/>
        <w:ind w:left="851"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 xml:space="preserve">“Cuando en una solicitud de información no se identifique un documento en específico, si ésta tiene una expresión documental, el sujeto obligado deberá entregar al particular el documento en específico. </w:t>
      </w:r>
      <w:r w:rsidRPr="00343590">
        <w:rPr>
          <w:rFonts w:ascii="Palatino Linotype" w:eastAsia="Palatino Linotype" w:hAnsi="Palatino Linotype" w:cs="Palatino Linotype"/>
          <w:i/>
          <w:sz w:val="22"/>
          <w:szCs w:val="22"/>
        </w:rPr>
        <w:t xml:space="preserve">La Ley Federal de </w:t>
      </w:r>
      <w:r w:rsidRPr="00343590">
        <w:rPr>
          <w:rFonts w:ascii="Palatino Linotype" w:eastAsia="Palatino Linotype" w:hAnsi="Palatino Linotype" w:cs="Palatino Linotype"/>
          <w:i/>
          <w:sz w:val="22"/>
          <w:szCs w:val="22"/>
        </w:rPr>
        <w:lastRenderedPageBreak/>
        <w:t xml:space="preserve">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343590">
        <w:rPr>
          <w:rFonts w:ascii="Palatino Linotype" w:eastAsia="Palatino Linotype" w:hAnsi="Palatino Linotype" w:cs="Palatino Linotype"/>
          <w:b/>
          <w:i/>
          <w:sz w:val="22"/>
          <w:szCs w:val="22"/>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343590">
        <w:rPr>
          <w:rFonts w:ascii="Palatino Linotype" w:eastAsia="Palatino Linotype" w:hAnsi="Palatino Linotype" w:cs="Palatino Linotype"/>
          <w:i/>
          <w:sz w:val="22"/>
          <w:szCs w:val="22"/>
        </w:rPr>
        <w:t>. Es decir, si la respuesta a la solicitud obra en algún documento en poder de la autoridad, pero el particular no hace referencia específica a tal documento, se deberá hacer entrega del mismo al solicitante.” (Sic)</w:t>
      </w:r>
    </w:p>
    <w:p w14:paraId="21AD41AA" w14:textId="77777777" w:rsidR="00425265" w:rsidRPr="00343590" w:rsidRDefault="000B4C53">
      <w:pPr>
        <w:spacing w:before="62"/>
        <w:ind w:left="851"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(Énfasis añadido)</w:t>
      </w:r>
    </w:p>
    <w:p w14:paraId="0EBCEB0E" w14:textId="77777777" w:rsidR="00425265" w:rsidRPr="00343590" w:rsidRDefault="00425265">
      <w:pPr>
        <w:spacing w:line="360" w:lineRule="auto"/>
        <w:ind w:right="49"/>
        <w:jc w:val="both"/>
        <w:rPr>
          <w:rFonts w:ascii="Palatino Linotype" w:eastAsia="Palatino Linotype" w:hAnsi="Palatino Linotype" w:cs="Palatino Linotype"/>
        </w:rPr>
      </w:pPr>
    </w:p>
    <w:p w14:paraId="009238D4" w14:textId="77777777" w:rsidR="00425265" w:rsidRPr="00343590" w:rsidRDefault="000B4C53">
      <w:pPr>
        <w:spacing w:line="360" w:lineRule="auto"/>
        <w:jc w:val="both"/>
        <w:rPr>
          <w:rFonts w:ascii="Palatino Linotype" w:eastAsia="Palatino Linotype" w:hAnsi="Palatino Linotype" w:cs="Palatino Linotype"/>
          <w:color w:val="222222"/>
        </w:rPr>
      </w:pPr>
      <w:r w:rsidRPr="00343590">
        <w:rPr>
          <w:rFonts w:ascii="Palatino Linotype" w:eastAsia="Palatino Linotype" w:hAnsi="Palatino Linotype" w:cs="Palatino Linotype"/>
          <w:color w:val="222222"/>
        </w:rPr>
        <w:t xml:space="preserve">Este criterio puede ser aplicado al caso que nos ocupa, toda vez que de la solicitud referida se desprende que el interés del particular es conocer si a la fecha de la solicitud los dos servidores públicos han presentado su declaración de intereses. </w:t>
      </w:r>
    </w:p>
    <w:p w14:paraId="049ACE19" w14:textId="77777777" w:rsidR="00425265" w:rsidRPr="00343590" w:rsidRDefault="00425265">
      <w:pPr>
        <w:spacing w:line="360" w:lineRule="auto"/>
        <w:jc w:val="both"/>
        <w:rPr>
          <w:rFonts w:ascii="Palatino Linotype" w:eastAsia="Palatino Linotype" w:hAnsi="Palatino Linotype" w:cs="Palatino Linotype"/>
          <w:color w:val="222222"/>
        </w:rPr>
      </w:pPr>
    </w:p>
    <w:p w14:paraId="41E14796"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Razón por la cual, es de precisar que el ordenamiento jurídico que norma el procedimiento para la declaración de situación patrimonial, la declaración de intereses y la presentación de la constancia de declaración fiscal de los servidores públicos del Estado de México es la Ley de Responsabilidades Administrativas, instrumento jurídico que permiten la rendición de cuentas, en razón de que las autoridades encargadas de interpretar y aplicar la Ley, llevan un sistema público de registro y seguimiento. </w:t>
      </w:r>
    </w:p>
    <w:p w14:paraId="7A8414CC" w14:textId="77777777" w:rsidR="00425265" w:rsidRPr="00343590" w:rsidRDefault="00425265">
      <w:pPr>
        <w:spacing w:line="360" w:lineRule="auto"/>
        <w:ind w:right="49"/>
        <w:jc w:val="both"/>
        <w:rPr>
          <w:rFonts w:ascii="Palatino Linotype" w:eastAsia="Palatino Linotype" w:hAnsi="Palatino Linotype" w:cs="Palatino Linotype"/>
        </w:rPr>
      </w:pPr>
    </w:p>
    <w:p w14:paraId="381EC5C1"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lastRenderedPageBreak/>
        <w:t xml:space="preserve">Por lo que si el documento en el que se plasma alguna situación o posible actualización de algún conflicto de interés, es en la Declaración de situación patrimonial y declaración de intereses, la cual están obligados a presentarla toros los servidores públicos </w:t>
      </w:r>
    </w:p>
    <w:p w14:paraId="0F954978" w14:textId="77777777" w:rsidR="00425265" w:rsidRPr="00343590" w:rsidRDefault="000B4C53">
      <w:pPr>
        <w:ind w:left="850" w:right="899"/>
        <w:jc w:val="both"/>
        <w:rPr>
          <w:rFonts w:ascii="Palatino Linotype" w:eastAsia="Palatino Linotype" w:hAnsi="Palatino Linotype" w:cs="Palatino Linotype"/>
          <w:b/>
          <w:i/>
          <w:sz w:val="22"/>
          <w:szCs w:val="22"/>
        </w:rPr>
      </w:pPr>
      <w:r w:rsidRPr="00343590">
        <w:rPr>
          <w:rFonts w:ascii="Palatino Linotype" w:eastAsia="Palatino Linotype" w:hAnsi="Palatino Linotype" w:cs="Palatino Linotype"/>
          <w:b/>
          <w:i/>
          <w:sz w:val="22"/>
          <w:szCs w:val="22"/>
        </w:rPr>
        <w:t xml:space="preserve">DE LA DECLARACIÓN DE INTERESES </w:t>
      </w:r>
    </w:p>
    <w:p w14:paraId="6D303797" w14:textId="77777777" w:rsidR="00425265" w:rsidRPr="00343590" w:rsidRDefault="000B4C53">
      <w:pPr>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Artículo 44.</w:t>
      </w:r>
      <w:r w:rsidRPr="00343590">
        <w:rPr>
          <w:rFonts w:ascii="Palatino Linotype" w:eastAsia="Palatino Linotype" w:hAnsi="Palatino Linotype" w:cs="Palatino Linotype"/>
          <w:i/>
          <w:sz w:val="22"/>
          <w:szCs w:val="22"/>
        </w:rPr>
        <w:t xml:space="preserve"> Se encuentran obligados a presentar declaración de intereses todos los servidores públicos que deban presentar la declaración de situación patrimonial, en términos de la presente Ley. </w:t>
      </w:r>
    </w:p>
    <w:p w14:paraId="6DD18221" w14:textId="77777777" w:rsidR="00425265" w:rsidRPr="00343590" w:rsidRDefault="000B4C53">
      <w:pPr>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Para tal efecto, la Secretaría de la Contraloría y los órganos internos de control se encargarán que las declaraciones sean integradas al sistema de evolución patrimonial, de declaración de intereses y presentación de la constancia de declaración fiscal</w:t>
      </w:r>
    </w:p>
    <w:p w14:paraId="197A29F2" w14:textId="77777777" w:rsidR="00425265" w:rsidRPr="00343590" w:rsidRDefault="00425265">
      <w:pPr>
        <w:spacing w:line="360" w:lineRule="auto"/>
        <w:ind w:right="49"/>
        <w:jc w:val="both"/>
        <w:rPr>
          <w:rFonts w:ascii="Palatino Linotype" w:eastAsia="Palatino Linotype" w:hAnsi="Palatino Linotype" w:cs="Palatino Linotype"/>
        </w:rPr>
      </w:pPr>
    </w:p>
    <w:p w14:paraId="7EA7E96C"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Del precepto anterior, se puede observar que será competencia de la Secretaría de la Contraloría y los órganos internos de control que las declaraciones sean integradas al sistema correspondiente </w:t>
      </w:r>
    </w:p>
    <w:p w14:paraId="0AB2E380" w14:textId="77777777" w:rsidR="00425265" w:rsidRPr="00343590" w:rsidRDefault="00425265">
      <w:pPr>
        <w:spacing w:line="360" w:lineRule="auto"/>
        <w:ind w:right="49"/>
        <w:jc w:val="both"/>
        <w:rPr>
          <w:rFonts w:ascii="Palatino Linotype" w:eastAsia="Palatino Linotype" w:hAnsi="Palatino Linotype" w:cs="Palatino Linotype"/>
        </w:rPr>
      </w:pPr>
    </w:p>
    <w:p w14:paraId="0BCE645E"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Así pues, si bien es cierto, la autoridad competente para conocer de la información relativa a las declaraciones de intereses es la Secretaría de la Contraloría, lo cierto también es que los Órganos Internos de control deberán coadyuvar en el proceso dentro de sus facultades. </w:t>
      </w:r>
    </w:p>
    <w:p w14:paraId="07ED2CD7" w14:textId="77777777" w:rsidR="00425265" w:rsidRPr="00343590" w:rsidRDefault="00425265">
      <w:pPr>
        <w:spacing w:line="360" w:lineRule="auto"/>
        <w:ind w:right="49"/>
        <w:jc w:val="both"/>
        <w:rPr>
          <w:rFonts w:ascii="Palatino Linotype" w:eastAsia="Palatino Linotype" w:hAnsi="Palatino Linotype" w:cs="Palatino Linotype"/>
        </w:rPr>
      </w:pPr>
    </w:p>
    <w:p w14:paraId="30DDDA8C"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En atención a ello cabe mencionar que la Ley Orgánica Municipal del Estado de México señala dentro de las facultades atribuidas al titular de la Contraloría Municipal la de coordinarse con la Secretaría de la Contraloría del Estado para el cumplimiento de sus </w:t>
      </w:r>
      <w:r w:rsidRPr="00343590">
        <w:rPr>
          <w:rFonts w:ascii="Palatino Linotype" w:eastAsia="Palatino Linotype" w:hAnsi="Palatino Linotype" w:cs="Palatino Linotype"/>
        </w:rPr>
        <w:lastRenderedPageBreak/>
        <w:t>funciones, ello se puede verificar del contenido de la fracción VIII del artículo 110 la cual a la letra dice:</w:t>
      </w:r>
    </w:p>
    <w:p w14:paraId="4A15E74E" w14:textId="77777777" w:rsidR="00425265" w:rsidRPr="00343590" w:rsidRDefault="00425265">
      <w:pPr>
        <w:spacing w:line="360" w:lineRule="auto"/>
        <w:ind w:right="49"/>
        <w:jc w:val="both"/>
        <w:rPr>
          <w:rFonts w:ascii="Palatino Linotype" w:eastAsia="Palatino Linotype" w:hAnsi="Palatino Linotype" w:cs="Palatino Linotype"/>
        </w:rPr>
      </w:pPr>
    </w:p>
    <w:p w14:paraId="455768E3" w14:textId="77777777" w:rsidR="00425265" w:rsidRPr="00343590" w:rsidRDefault="000B4C53">
      <w:pPr>
        <w:ind w:left="850" w:right="899"/>
        <w:jc w:val="both"/>
        <w:rPr>
          <w:rFonts w:ascii="Palatino Linotype" w:eastAsia="Palatino Linotype" w:hAnsi="Palatino Linotype" w:cs="Palatino Linotype"/>
          <w:b/>
          <w:i/>
          <w:sz w:val="22"/>
          <w:szCs w:val="22"/>
          <w:u w:val="single"/>
        </w:rPr>
      </w:pPr>
      <w:r w:rsidRPr="00343590">
        <w:rPr>
          <w:rFonts w:ascii="Palatino Linotype" w:eastAsia="Palatino Linotype" w:hAnsi="Palatino Linotype" w:cs="Palatino Linotype"/>
          <w:b/>
          <w:i/>
          <w:sz w:val="22"/>
          <w:szCs w:val="22"/>
        </w:rPr>
        <w:t>“</w:t>
      </w:r>
      <w:r w:rsidRPr="00343590">
        <w:rPr>
          <w:rFonts w:ascii="Palatino Linotype" w:eastAsia="Palatino Linotype" w:hAnsi="Palatino Linotype" w:cs="Palatino Linotype"/>
          <w:b/>
          <w:i/>
          <w:sz w:val="22"/>
          <w:szCs w:val="22"/>
          <w:u w:val="single"/>
        </w:rPr>
        <w:t xml:space="preserve">CAPÍTULO CUARTO </w:t>
      </w:r>
    </w:p>
    <w:p w14:paraId="455FA63B" w14:textId="77777777" w:rsidR="00425265" w:rsidRPr="00343590" w:rsidRDefault="000B4C53">
      <w:pPr>
        <w:ind w:left="850" w:right="899"/>
        <w:jc w:val="both"/>
        <w:rPr>
          <w:rFonts w:ascii="Palatino Linotype" w:eastAsia="Palatino Linotype" w:hAnsi="Palatino Linotype" w:cs="Palatino Linotype"/>
          <w:b/>
          <w:i/>
          <w:sz w:val="22"/>
          <w:szCs w:val="22"/>
          <w:u w:val="single"/>
        </w:rPr>
      </w:pPr>
      <w:r w:rsidRPr="00343590">
        <w:rPr>
          <w:rFonts w:ascii="Palatino Linotype" w:eastAsia="Palatino Linotype" w:hAnsi="Palatino Linotype" w:cs="Palatino Linotype"/>
          <w:b/>
          <w:i/>
          <w:sz w:val="22"/>
          <w:szCs w:val="22"/>
          <w:u w:val="single"/>
        </w:rPr>
        <w:t>De la Contraloría Municipal</w:t>
      </w:r>
    </w:p>
    <w:p w14:paraId="0178F024" w14:textId="77777777" w:rsidR="00425265" w:rsidRPr="00343590" w:rsidRDefault="000B4C53">
      <w:pPr>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Artículo 110.</w:t>
      </w:r>
      <w:r w:rsidRPr="00343590">
        <w:rPr>
          <w:rFonts w:ascii="Palatino Linotype" w:eastAsia="Palatino Linotype" w:hAnsi="Palatino Linotype" w:cs="Palatino Linotype"/>
          <w:i/>
          <w:sz w:val="22"/>
          <w:szCs w:val="22"/>
        </w:rPr>
        <w:t>- Las funciones de contraloría interna estarán a cargo del órgano que establezca el Ayuntamiento</w:t>
      </w:r>
    </w:p>
    <w:p w14:paraId="17A14C3A" w14:textId="77777777" w:rsidR="00425265" w:rsidRPr="00343590" w:rsidRDefault="000B4C53">
      <w:pPr>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VIII. Coordinarse con el Órgano Superior de Fiscalización del Estado de México y la Contraloría del Poder Legislativo y con la Secretaría de la Contraloría del Estado para el cumplimiento de sus funciones;”</w:t>
      </w:r>
    </w:p>
    <w:p w14:paraId="21F61AED" w14:textId="77777777" w:rsidR="00425265" w:rsidRPr="00343590" w:rsidRDefault="00425265">
      <w:pPr>
        <w:spacing w:line="360" w:lineRule="auto"/>
        <w:ind w:right="49"/>
        <w:jc w:val="both"/>
        <w:rPr>
          <w:rFonts w:ascii="Palatino Linotype" w:eastAsia="Palatino Linotype" w:hAnsi="Palatino Linotype" w:cs="Palatino Linotype"/>
        </w:rPr>
      </w:pPr>
    </w:p>
    <w:p w14:paraId="7973AA82"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Asimismo de la petición del particular se advierte que este no requiere la declaración de intereses sino únicamente saber si la misma fue presentada a la fecha de sus solicitudes. </w:t>
      </w:r>
    </w:p>
    <w:p w14:paraId="65612C75" w14:textId="77777777" w:rsidR="00425265" w:rsidRPr="00343590" w:rsidRDefault="00425265">
      <w:pPr>
        <w:spacing w:line="360" w:lineRule="auto"/>
        <w:ind w:right="49"/>
        <w:jc w:val="both"/>
        <w:rPr>
          <w:rFonts w:ascii="Palatino Linotype" w:eastAsia="Palatino Linotype" w:hAnsi="Palatino Linotype" w:cs="Palatino Linotype"/>
        </w:rPr>
      </w:pPr>
    </w:p>
    <w:p w14:paraId="5BF36409"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Por lo que en respuesta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señaló mediante oficio firmado por el Contralor Municipal que no tiene registro alguno de la información solicitada, tal y como se puede apreciar a continuación: </w:t>
      </w:r>
    </w:p>
    <w:p w14:paraId="23519DD0" w14:textId="786BCCE3" w:rsidR="00425265" w:rsidRPr="00343590" w:rsidRDefault="00EE3E11">
      <w:pPr>
        <w:spacing w:line="360" w:lineRule="auto"/>
        <w:ind w:right="49"/>
        <w:jc w:val="center"/>
        <w:rPr>
          <w:rFonts w:ascii="Palatino Linotype" w:eastAsia="Palatino Linotype" w:hAnsi="Palatino Linotype" w:cs="Palatino Linotype"/>
        </w:rPr>
      </w:pPr>
      <w:r>
        <w:rPr>
          <w:noProof/>
        </w:rPr>
        <w:lastRenderedPageBreak/>
        <w:drawing>
          <wp:inline distT="0" distB="0" distL="0" distR="0" wp14:anchorId="5AA00EAF" wp14:editId="496030E8">
            <wp:extent cx="4800600" cy="314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00600" cy="3143250"/>
                    </a:xfrm>
                    <a:prstGeom prst="rect">
                      <a:avLst/>
                    </a:prstGeom>
                  </pic:spPr>
                </pic:pic>
              </a:graphicData>
            </a:graphic>
          </wp:inline>
        </w:drawing>
      </w:r>
    </w:p>
    <w:p w14:paraId="0D2007A9"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Aunado a lo anterior, el Artículo 34 de la Ley de responsabilidades administrativas del Estado de México y municipios  indica que la declaración de situación patrimonial deberá presentarse en los siguientes momentos:</w:t>
      </w:r>
    </w:p>
    <w:p w14:paraId="20D2A2BB" w14:textId="77777777" w:rsidR="00425265" w:rsidRPr="00343590" w:rsidRDefault="000B4C53">
      <w:pPr>
        <w:spacing w:line="360" w:lineRule="auto"/>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 xml:space="preserve">Artículo 34. La declaración de situación patrimonial, deberá presentarse en los siguientes plazos: </w:t>
      </w:r>
    </w:p>
    <w:p w14:paraId="4BB9AC96" w14:textId="77777777" w:rsidR="00425265" w:rsidRPr="00343590" w:rsidRDefault="000B4C53">
      <w:pPr>
        <w:spacing w:line="360" w:lineRule="auto"/>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 xml:space="preserve">I. Declaración inicial, dentro de los sesenta días naturales siguientes a la toma de posesión con motivo del: a) Ingreso al servicio público por primera vez b) Reingreso al servicio público después de sesenta días naturales de la conclusión de su último encargo. </w:t>
      </w:r>
    </w:p>
    <w:p w14:paraId="2D1EC95D" w14:textId="77777777" w:rsidR="00425265" w:rsidRPr="00343590" w:rsidRDefault="000B4C53">
      <w:pPr>
        <w:spacing w:line="360" w:lineRule="auto"/>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 xml:space="preserve">II. Declaración de modificación patrimonial, durante el mes de mayo de cada año. </w:t>
      </w:r>
    </w:p>
    <w:p w14:paraId="111FCA95" w14:textId="77777777" w:rsidR="00425265" w:rsidRPr="00343590" w:rsidRDefault="000B4C53">
      <w:pPr>
        <w:spacing w:line="360" w:lineRule="auto"/>
        <w:ind w:left="850" w:right="899"/>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 xml:space="preserve">III. Declaración de conclusión del encargo, dentro de los sesenta días naturales siguientes a la conclusión. </w:t>
      </w:r>
    </w:p>
    <w:p w14:paraId="0BAB68C9" w14:textId="77777777" w:rsidR="00425265" w:rsidRPr="00343590" w:rsidRDefault="00425265">
      <w:pPr>
        <w:spacing w:line="360" w:lineRule="auto"/>
        <w:ind w:left="850" w:right="899"/>
        <w:jc w:val="both"/>
        <w:rPr>
          <w:rFonts w:ascii="Palatino Linotype" w:eastAsia="Palatino Linotype" w:hAnsi="Palatino Linotype" w:cs="Palatino Linotype"/>
          <w:i/>
          <w:sz w:val="22"/>
          <w:szCs w:val="22"/>
        </w:rPr>
      </w:pPr>
    </w:p>
    <w:p w14:paraId="49DF9267" w14:textId="77777777" w:rsidR="00425265" w:rsidRPr="00343590" w:rsidRDefault="000B4C53">
      <w:pPr>
        <w:spacing w:line="360" w:lineRule="auto"/>
        <w:ind w:right="-92"/>
        <w:jc w:val="both"/>
        <w:rPr>
          <w:rFonts w:ascii="Palatino Linotype" w:eastAsia="Palatino Linotype" w:hAnsi="Palatino Linotype" w:cs="Palatino Linotype"/>
        </w:rPr>
      </w:pPr>
      <w:r w:rsidRPr="00343590">
        <w:rPr>
          <w:rFonts w:ascii="Palatino Linotype" w:eastAsia="Palatino Linotype" w:hAnsi="Palatino Linotype" w:cs="Palatino Linotype"/>
        </w:rPr>
        <w:lastRenderedPageBreak/>
        <w:t xml:space="preserve">De manera que si la solicitud de información fue realizada en fecha cuatro de enero de dos mil veintidós, es posible que a tal fecha no haya sido presentada la declaración de intereses pues la ley de la materia prevé un plazo de sesenta días naturales para llevarla a cabo, situación que actualiza un hecho negativo. </w:t>
      </w:r>
    </w:p>
    <w:p w14:paraId="210059C7" w14:textId="77777777" w:rsidR="00425265" w:rsidRPr="00343590" w:rsidRDefault="00425265">
      <w:pPr>
        <w:spacing w:after="280" w:line="360" w:lineRule="auto"/>
        <w:jc w:val="both"/>
        <w:rPr>
          <w:rFonts w:ascii="Palatino Linotype" w:eastAsia="Palatino Linotype" w:hAnsi="Palatino Linotype" w:cs="Palatino Linotype"/>
        </w:rPr>
      </w:pPr>
    </w:p>
    <w:p w14:paraId="2580F166" w14:textId="77777777" w:rsidR="00425265" w:rsidRPr="00343590" w:rsidRDefault="000B4C53">
      <w:pPr>
        <w:spacing w:after="280" w:line="360" w:lineRule="auto"/>
        <w:jc w:val="both"/>
      </w:pPr>
      <w:r w:rsidRPr="00343590">
        <w:rPr>
          <w:rFonts w:ascii="Palatino Linotype" w:eastAsia="Palatino Linotype" w:hAnsi="Palatino Linotype" w:cs="Palatino Linotype"/>
        </w:rPr>
        <w:t xml:space="preserve">Aquello indica que la información solicitada por su naturaleza no puede fácticamente obrar en los archivos del </w:t>
      </w:r>
      <w:r w:rsidRPr="00343590">
        <w:rPr>
          <w:rFonts w:ascii="Palatino Linotype" w:eastAsia="Palatino Linotype" w:hAnsi="Palatino Linotype" w:cs="Palatino Linotype"/>
          <w:b/>
        </w:rPr>
        <w:t>SUJETO OBLIGADO</w:t>
      </w:r>
      <w:r w:rsidRPr="00343590">
        <w:rPr>
          <w:rFonts w:ascii="Palatino Linotype" w:eastAsia="Palatino Linotype" w:hAnsi="Palatino Linotype" w:cs="Palatino Linotype"/>
        </w:rPr>
        <w:t>, dado que no puede probarse que este no generó dicha información, ni tampoco la posee, ni la administra y no cuenta con la misma.</w:t>
      </w:r>
    </w:p>
    <w:p w14:paraId="5EB9A22E" w14:textId="77777777" w:rsidR="00425265" w:rsidRPr="00343590" w:rsidRDefault="000B4C53">
      <w:pPr>
        <w:spacing w:before="280" w:after="280" w:line="360" w:lineRule="auto"/>
        <w:jc w:val="both"/>
      </w:pPr>
      <w:r w:rsidRPr="00343590">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128FAD88" w14:textId="77777777" w:rsidR="00425265" w:rsidRPr="00343590" w:rsidRDefault="000B4C53">
      <w:pPr>
        <w:spacing w:before="280" w:after="280" w:line="360" w:lineRule="auto"/>
        <w:jc w:val="both"/>
      </w:pPr>
      <w:r w:rsidRPr="00343590">
        <w:rPr>
          <w:rFonts w:ascii="Palatino Linotype" w:eastAsia="Palatino Linotype" w:hAnsi="Palatino Linotype" w:cs="Palatino Linotype"/>
        </w:rPr>
        <w:t xml:space="preserve">Por ello, de conformidad con lo establecido en el artículo 12 de la Ley de Transparencia y Acceso a la Información Pública del Estado de México y Municipios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2D0106AF" w14:textId="77777777" w:rsidR="00425265" w:rsidRPr="00343590" w:rsidRDefault="000B4C53">
      <w:pPr>
        <w:ind w:left="851" w:right="902"/>
        <w:jc w:val="both"/>
        <w:rPr>
          <w:sz w:val="22"/>
          <w:szCs w:val="22"/>
        </w:rPr>
      </w:pPr>
      <w:r w:rsidRPr="00343590">
        <w:rPr>
          <w:rFonts w:ascii="Palatino Linotype" w:eastAsia="Palatino Linotype" w:hAnsi="Palatino Linotype" w:cs="Palatino Linotype"/>
          <w:b/>
          <w:i/>
          <w:sz w:val="22"/>
          <w:szCs w:val="22"/>
        </w:rPr>
        <w:t>“HECHOS NEGATIVOS, NO SON SUSCEPTIBLES DE DEMOSTRACIÓN.</w:t>
      </w:r>
    </w:p>
    <w:p w14:paraId="1B6A3DF8" w14:textId="77777777" w:rsidR="00425265" w:rsidRPr="00343590" w:rsidRDefault="000B4C53">
      <w:pPr>
        <w:ind w:left="851" w:right="902"/>
        <w:jc w:val="both"/>
        <w:rPr>
          <w:sz w:val="22"/>
          <w:szCs w:val="22"/>
        </w:rPr>
      </w:pPr>
      <w:r w:rsidRPr="00343590">
        <w:rPr>
          <w:rFonts w:ascii="Palatino Linotype" w:eastAsia="Palatino Linotype" w:hAnsi="Palatino Linotype" w:cs="Palatino Linotype"/>
          <w:i/>
          <w:sz w:val="22"/>
          <w:szCs w:val="22"/>
        </w:rPr>
        <w:lastRenderedPageBreak/>
        <w:t>Tratándose de un hecho negativo, el Juez no tiene por qué invocar prueba alguna de la que se desprenda, ya que es bien sabido que esta clase de hechos no son susceptibles de demostración.</w:t>
      </w:r>
    </w:p>
    <w:p w14:paraId="55D81721" w14:textId="77777777" w:rsidR="00425265" w:rsidRPr="00343590" w:rsidRDefault="000B4C53">
      <w:pPr>
        <w:ind w:left="851" w:right="902"/>
        <w:jc w:val="both"/>
        <w:rPr>
          <w:sz w:val="22"/>
          <w:szCs w:val="22"/>
        </w:rPr>
      </w:pPr>
      <w:r w:rsidRPr="00343590">
        <w:rPr>
          <w:rFonts w:ascii="Palatino Linotype" w:eastAsia="Palatino Linotype" w:hAnsi="Palatino Linotype" w:cs="Palatino Linotype"/>
          <w:i/>
          <w:sz w:val="22"/>
          <w:szCs w:val="22"/>
        </w:rPr>
        <w:t>Amparo en revisión 2022/61. José García Florín (Menor). 9 de octubre de 1961. Cinco votos. Ponente: José Rivera Pérez Campos.”</w:t>
      </w:r>
    </w:p>
    <w:p w14:paraId="5DFC2421" w14:textId="77777777" w:rsidR="00425265" w:rsidRPr="00343590" w:rsidRDefault="000B4C53">
      <w:pPr>
        <w:spacing w:before="280" w:after="280" w:line="360" w:lineRule="auto"/>
        <w:jc w:val="both"/>
      </w:pPr>
      <w:r w:rsidRPr="00343590">
        <w:rPr>
          <w:rFonts w:ascii="Palatino Linotype" w:eastAsia="Palatino Linotype" w:hAnsi="Palatino Linotype" w:cs="Palatino Linotype"/>
        </w:rPr>
        <w:t>De igual forma, es aplicable el criterio 7/2017, emitido en la Segunda Época por el Instituto Nacional de Transparencia, Acceso a la Información y Protección de Datos Personales (INAI), el cual señala lo siguiente:</w:t>
      </w:r>
    </w:p>
    <w:p w14:paraId="2D02E958" w14:textId="77777777" w:rsidR="00425265" w:rsidRPr="00343590" w:rsidRDefault="000B4C53">
      <w:pPr>
        <w:ind w:left="851" w:right="902"/>
        <w:jc w:val="both"/>
        <w:rPr>
          <w:sz w:val="22"/>
          <w:szCs w:val="22"/>
        </w:rPr>
      </w:pPr>
      <w:r w:rsidRPr="00343590">
        <w:rPr>
          <w:rFonts w:ascii="Palatino Linotype" w:eastAsia="Palatino Linotype" w:hAnsi="Palatino Linotype" w:cs="Palatino Linotype"/>
          <w:i/>
          <w:sz w:val="22"/>
          <w:szCs w:val="22"/>
        </w:rPr>
        <w:t>“Casos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63BEA943" w14:textId="77777777" w:rsidR="00425265" w:rsidRPr="00343590" w:rsidRDefault="000B4C53">
      <w:pPr>
        <w:spacing w:before="280" w:after="280" w:line="360" w:lineRule="auto"/>
        <w:jc w:val="both"/>
      </w:pPr>
      <w:r w:rsidRPr="00343590">
        <w:rPr>
          <w:rFonts w:ascii="Palatino Linotype" w:eastAsia="Palatino Linotype" w:hAnsi="Palatino Linotype" w:cs="Palatino Linotype"/>
        </w:rPr>
        <w:t xml:space="preserve">Aunado a ello, no se omite comentar que al haber existido un pronunciamiento por parte del </w:t>
      </w:r>
      <w:r w:rsidRPr="00343590">
        <w:rPr>
          <w:rFonts w:ascii="Palatino Linotype" w:eastAsia="Palatino Linotype" w:hAnsi="Palatino Linotype" w:cs="Palatino Linotype"/>
          <w:b/>
        </w:rPr>
        <w:t xml:space="preserve">SUJETO OBLIGADO </w:t>
      </w:r>
      <w:r w:rsidRPr="00343590">
        <w:rPr>
          <w:rFonts w:ascii="Palatino Linotype" w:eastAsia="Palatino Linotype" w:hAnsi="Palatino Linotype" w:cs="Palatino Linotype"/>
        </w:rPr>
        <w:t>competente,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4705671" w14:textId="77777777" w:rsidR="00425265" w:rsidRPr="00343590" w:rsidRDefault="000B4C53">
      <w:pPr>
        <w:spacing w:before="280" w:after="280" w:line="360" w:lineRule="auto"/>
        <w:jc w:val="both"/>
      </w:pPr>
      <w:r w:rsidRPr="00343590">
        <w:rPr>
          <w:rFonts w:ascii="Palatino Linotype" w:eastAsia="Palatino Linotype" w:hAnsi="Palatino Linotype" w:cs="Palatino Linotype"/>
        </w:rPr>
        <w:lastRenderedPageBreak/>
        <w:t>Sirve de sustento a lo anterior, el criterio 31/10 emitido por el entonces Instituto Federal de Acceso a la Información y Protección de Datos, ahora Instituto Nacional de Acceso a la Información y Protección de Datos,  el cual refiere: </w:t>
      </w:r>
    </w:p>
    <w:p w14:paraId="04B1047F" w14:textId="77777777" w:rsidR="00425265" w:rsidRPr="00343590" w:rsidRDefault="000B4C53">
      <w:pPr>
        <w:ind w:left="851" w:right="104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43590">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43590">
        <w:rPr>
          <w:rFonts w:ascii="Palatino Linotype" w:eastAsia="Palatino Linotype" w:hAnsi="Palatino Linotype" w:cs="Palatino Linotype"/>
          <w:b/>
          <w:i/>
          <w:sz w:val="22"/>
          <w:szCs w:val="22"/>
        </w:rPr>
        <w:t>”</w:t>
      </w:r>
      <w:r w:rsidRPr="00343590">
        <w:rPr>
          <w:rFonts w:ascii="Palatino Linotype" w:eastAsia="Palatino Linotype" w:hAnsi="Palatino Linotype" w:cs="Palatino Linotype"/>
          <w:i/>
          <w:sz w:val="22"/>
          <w:szCs w:val="22"/>
        </w:rPr>
        <w:t xml:space="preserve"> (Sic)</w:t>
      </w:r>
    </w:p>
    <w:p w14:paraId="16062EA4" w14:textId="77777777" w:rsidR="00425265" w:rsidRPr="00343590" w:rsidRDefault="00425265">
      <w:pPr>
        <w:spacing w:line="360" w:lineRule="auto"/>
        <w:jc w:val="both"/>
        <w:rPr>
          <w:rFonts w:ascii="Palatino Linotype" w:eastAsia="Palatino Linotype" w:hAnsi="Palatino Linotype" w:cs="Palatino Linotype"/>
        </w:rPr>
      </w:pPr>
    </w:p>
    <w:p w14:paraId="06380D64"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Así mismo es de mencionar que la información relativa a las declaraciones de los servidores públicos según lo señalado por el Artículo 92 de la Ley de Transparencia y Acceso a la Información Pública del Estado de México y Municipios debe ser publicada en el portal de IPOMEX de los Sujetos Obligados, que puede ser consultado en la liga electrónica: </w:t>
      </w:r>
      <w:hyperlink r:id="rId9">
        <w:r w:rsidRPr="00343590">
          <w:rPr>
            <w:rFonts w:ascii="Palatino Linotype" w:eastAsia="Palatino Linotype" w:hAnsi="Palatino Linotype" w:cs="Palatino Linotype"/>
            <w:color w:val="1155CC"/>
            <w:u w:val="single"/>
          </w:rPr>
          <w:t>https://www.ipomex.org.mx/ipo3/lgt/indice/METEPEC/art_92_xiii.web</w:t>
        </w:r>
      </w:hyperlink>
    </w:p>
    <w:p w14:paraId="2F667791" w14:textId="77777777" w:rsidR="00425265" w:rsidRPr="00343590" w:rsidRDefault="00425265">
      <w:pPr>
        <w:spacing w:line="360" w:lineRule="auto"/>
        <w:jc w:val="both"/>
        <w:rPr>
          <w:rFonts w:ascii="Palatino Linotype" w:eastAsia="Palatino Linotype" w:hAnsi="Palatino Linotype" w:cs="Palatino Linotype"/>
        </w:rPr>
      </w:pPr>
    </w:p>
    <w:p w14:paraId="0905BF09"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Así bien no se omite comentar que las declaraciones de </w:t>
      </w:r>
      <w:proofErr w:type="spellStart"/>
      <w:r w:rsidRPr="00343590">
        <w:rPr>
          <w:rFonts w:ascii="Palatino Linotype" w:eastAsia="Palatino Linotype" w:hAnsi="Palatino Linotype" w:cs="Palatino Linotype"/>
        </w:rPr>
        <w:t>lso</w:t>
      </w:r>
      <w:proofErr w:type="spellEnd"/>
      <w:r w:rsidRPr="00343590">
        <w:rPr>
          <w:rFonts w:ascii="Palatino Linotype" w:eastAsia="Palatino Linotype" w:hAnsi="Palatino Linotype" w:cs="Palatino Linotype"/>
        </w:rPr>
        <w:t xml:space="preserve"> servidores públicos como soporte documental es  información generada y administrada por un tercero que es la Secretaría de la Contraloría. </w:t>
      </w:r>
    </w:p>
    <w:p w14:paraId="3C7E6914"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lastRenderedPageBreak/>
        <w:t xml:space="preserve">pue esta es la encargada de recibir y registrar la declaración de situación patrimonial, la declaración de intereses, la presentación de la constancia de declaración fiscal y determinar el conflicto de intereses de los servidores públicos del Estado y municipios. </w:t>
      </w:r>
    </w:p>
    <w:p w14:paraId="5891EF91" w14:textId="77777777" w:rsidR="00425265" w:rsidRPr="00343590" w:rsidRDefault="00425265">
      <w:pPr>
        <w:spacing w:line="360" w:lineRule="auto"/>
        <w:ind w:right="49"/>
        <w:jc w:val="both"/>
        <w:rPr>
          <w:rFonts w:ascii="Palatino Linotype" w:eastAsia="Palatino Linotype" w:hAnsi="Palatino Linotype" w:cs="Palatino Linotype"/>
        </w:rPr>
      </w:pPr>
    </w:p>
    <w:p w14:paraId="71A07C91"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De tal manera que, conforme a la Página Oficial de la Secretaría de la Contraloría del Estado de México, en el apartado de Declaración Patrimonial y de Intereses en la dirección IP https://portal.secogem.gob.mx/declaranet, se observa que dicha dependencia ofrece el portal </w:t>
      </w:r>
      <w:proofErr w:type="spellStart"/>
      <w:r w:rsidRPr="00343590">
        <w:rPr>
          <w:rFonts w:ascii="Palatino Linotype" w:eastAsia="Palatino Linotype" w:hAnsi="Palatino Linotype" w:cs="Palatino Linotype"/>
        </w:rPr>
        <w:t>Decl@ranet</w:t>
      </w:r>
      <w:proofErr w:type="spellEnd"/>
      <w:r w:rsidRPr="00343590">
        <w:rPr>
          <w:rFonts w:ascii="Palatino Linotype" w:eastAsia="Palatino Linotype" w:hAnsi="Palatino Linotype" w:cs="Palatino Linotype"/>
        </w:rPr>
        <w:t>, con la finalidad de facilitar a los servidores públicos del Estado de México, presenten su Declaración de Situación Patrimonial, Declaración de Intereses o Posible Conflicto de Intereses y presentación de Constancia de Declaración Fiscal, tal y como se observa en la siguiente captura de pantalla:</w:t>
      </w:r>
    </w:p>
    <w:p w14:paraId="34D7C049" w14:textId="77777777" w:rsidR="00425265" w:rsidRPr="00343590" w:rsidRDefault="000B4C53">
      <w:pPr>
        <w:spacing w:line="360" w:lineRule="auto"/>
        <w:jc w:val="center"/>
        <w:rPr>
          <w:rFonts w:ascii="Palatino Linotype" w:eastAsia="Palatino Linotype" w:hAnsi="Palatino Linotype" w:cs="Palatino Linotype"/>
        </w:rPr>
      </w:pPr>
      <w:r w:rsidRPr="00343590">
        <w:rPr>
          <w:rFonts w:ascii="Palatino Linotype" w:eastAsia="Palatino Linotype" w:hAnsi="Palatino Linotype" w:cs="Palatino Linotype"/>
          <w:noProof/>
        </w:rPr>
        <w:drawing>
          <wp:inline distT="0" distB="0" distL="0" distR="0" wp14:anchorId="778F53B4" wp14:editId="508B0C83">
            <wp:extent cx="5125403" cy="2376144"/>
            <wp:effectExtent l="0" t="0" r="0" b="0"/>
            <wp:docPr id="1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b="13528"/>
                    <a:stretch>
                      <a:fillRect/>
                    </a:stretch>
                  </pic:blipFill>
                  <pic:spPr>
                    <a:xfrm>
                      <a:off x="0" y="0"/>
                      <a:ext cx="5125403" cy="2376144"/>
                    </a:xfrm>
                    <a:prstGeom prst="rect">
                      <a:avLst/>
                    </a:prstGeom>
                    <a:ln/>
                  </pic:spPr>
                </pic:pic>
              </a:graphicData>
            </a:graphic>
          </wp:inline>
        </w:drawing>
      </w:r>
    </w:p>
    <w:p w14:paraId="53F882DD" w14:textId="77777777" w:rsidR="00425265" w:rsidRPr="00343590" w:rsidRDefault="00425265">
      <w:pPr>
        <w:spacing w:line="360" w:lineRule="auto"/>
        <w:jc w:val="both"/>
        <w:rPr>
          <w:rFonts w:ascii="Palatino Linotype" w:eastAsia="Palatino Linotype" w:hAnsi="Palatino Linotype" w:cs="Palatino Linotype"/>
        </w:rPr>
      </w:pPr>
    </w:p>
    <w:p w14:paraId="7FC14A06"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Por lo que si la intención del particular es conocer el soporte documental donde conste dicha declaración puede dirigir su solicitud a la Secretaría de la Contraloría. </w:t>
      </w:r>
    </w:p>
    <w:p w14:paraId="3541BE0B" w14:textId="77777777" w:rsidR="00425265" w:rsidRPr="00343590" w:rsidRDefault="00425265">
      <w:pPr>
        <w:spacing w:line="360" w:lineRule="auto"/>
        <w:jc w:val="both"/>
        <w:rPr>
          <w:rFonts w:ascii="Palatino Linotype" w:eastAsia="Palatino Linotype" w:hAnsi="Palatino Linotype" w:cs="Palatino Linotype"/>
        </w:rPr>
      </w:pPr>
      <w:bookmarkStart w:id="6" w:name="_GoBack"/>
      <w:bookmarkEnd w:id="6"/>
    </w:p>
    <w:p w14:paraId="36247B32"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lastRenderedPageBreak/>
        <w:t xml:space="preserve">Por otra parte en el caso de la solicitud de información número </w:t>
      </w:r>
      <w:r w:rsidRPr="00343590">
        <w:rPr>
          <w:rFonts w:ascii="Palatino Linotype" w:eastAsia="Palatino Linotype" w:hAnsi="Palatino Linotype" w:cs="Palatino Linotype"/>
          <w:b/>
        </w:rPr>
        <w:t xml:space="preserve">00398/METEPEC/IP/2022  </w:t>
      </w:r>
      <w:r w:rsidRPr="00343590">
        <w:rPr>
          <w:rFonts w:ascii="Palatino Linotype" w:eastAsia="Palatino Linotype" w:hAnsi="Palatino Linotype" w:cs="Palatino Linotype"/>
        </w:rPr>
        <w:t xml:space="preserve">en donde el particular desea conocer si existe parentesco entre las dos personas referidas, no se advierte soporte documental alguno que pueda satisfacer dicho requerimiento, ya que de la publicación que acompaña la solicitud se observa que el parentesco se refiere a un servidor público y una figura pública que no tiene la misma calidad, razón por la cual en el caso que nos ocupa la información no es parte de aquella que es generada, poseída o administrada por </w:t>
      </w:r>
      <w:r w:rsidRPr="00343590">
        <w:rPr>
          <w:rFonts w:ascii="Palatino Linotype" w:eastAsia="Palatino Linotype" w:hAnsi="Palatino Linotype" w:cs="Palatino Linotype"/>
          <w:b/>
        </w:rPr>
        <w:t>EL SUJETO OBLIGADO</w:t>
      </w:r>
      <w:r w:rsidRPr="00343590">
        <w:rPr>
          <w:rFonts w:ascii="Palatino Linotype" w:eastAsia="Palatino Linotype" w:hAnsi="Palatino Linotype" w:cs="Palatino Linotype"/>
        </w:rPr>
        <w:t xml:space="preserve"> en ejercicio de sus atribuciones y corresponde a un claro derecho de petición como lo refiere el ente recurrido en su respuesta, misma que se inserta a continuación:  </w:t>
      </w:r>
    </w:p>
    <w:p w14:paraId="309706C8" w14:textId="77777777" w:rsidR="00425265" w:rsidRPr="00343590" w:rsidRDefault="000B4C53">
      <w:pPr>
        <w:spacing w:line="360" w:lineRule="auto"/>
        <w:jc w:val="center"/>
        <w:rPr>
          <w:rFonts w:ascii="Palatino Linotype" w:eastAsia="Palatino Linotype" w:hAnsi="Palatino Linotype" w:cs="Palatino Linotype"/>
        </w:rPr>
      </w:pPr>
      <w:r w:rsidRPr="00343590">
        <w:rPr>
          <w:rFonts w:ascii="Palatino Linotype" w:eastAsia="Palatino Linotype" w:hAnsi="Palatino Linotype" w:cs="Palatino Linotype"/>
          <w:noProof/>
        </w:rPr>
        <w:drawing>
          <wp:inline distT="114300" distB="114300" distL="114300" distR="114300" wp14:anchorId="016BDBA1" wp14:editId="21D56165">
            <wp:extent cx="5048250" cy="2173774"/>
            <wp:effectExtent l="0" t="0" r="0" b="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b="54080"/>
                    <a:stretch>
                      <a:fillRect/>
                    </a:stretch>
                  </pic:blipFill>
                  <pic:spPr>
                    <a:xfrm>
                      <a:off x="0" y="0"/>
                      <a:ext cx="5048250" cy="2173774"/>
                    </a:xfrm>
                    <a:prstGeom prst="rect">
                      <a:avLst/>
                    </a:prstGeom>
                    <a:ln/>
                  </pic:spPr>
                </pic:pic>
              </a:graphicData>
            </a:graphic>
          </wp:inline>
        </w:drawing>
      </w:r>
    </w:p>
    <w:p w14:paraId="2CEBE36D" w14:textId="77777777" w:rsidR="00425265" w:rsidRPr="00343590" w:rsidRDefault="000B4C53">
      <w:pPr>
        <w:spacing w:line="360" w:lineRule="auto"/>
        <w:jc w:val="center"/>
        <w:rPr>
          <w:rFonts w:ascii="Palatino Linotype" w:eastAsia="Palatino Linotype" w:hAnsi="Palatino Linotype" w:cs="Palatino Linotype"/>
        </w:rPr>
      </w:pPr>
      <w:r w:rsidRPr="00343590">
        <w:rPr>
          <w:rFonts w:ascii="Palatino Linotype" w:eastAsia="Palatino Linotype" w:hAnsi="Palatino Linotype" w:cs="Palatino Linotype"/>
          <w:noProof/>
        </w:rPr>
        <w:drawing>
          <wp:inline distT="114300" distB="114300" distL="114300" distR="114300" wp14:anchorId="1206121F" wp14:editId="0DF1F79C">
            <wp:extent cx="5048250" cy="1011724"/>
            <wp:effectExtent l="0" t="0" r="0" b="0"/>
            <wp:docPr id="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49138" b="29506"/>
                    <a:stretch>
                      <a:fillRect/>
                    </a:stretch>
                  </pic:blipFill>
                  <pic:spPr>
                    <a:xfrm>
                      <a:off x="0" y="0"/>
                      <a:ext cx="5048250" cy="1011724"/>
                    </a:xfrm>
                    <a:prstGeom prst="rect">
                      <a:avLst/>
                    </a:prstGeom>
                    <a:ln/>
                  </pic:spPr>
                </pic:pic>
              </a:graphicData>
            </a:graphic>
          </wp:inline>
        </w:drawing>
      </w:r>
    </w:p>
    <w:p w14:paraId="70808BFC" w14:textId="77777777" w:rsidR="00425265" w:rsidRPr="00343590" w:rsidRDefault="000B4C53">
      <w:pPr>
        <w:spacing w:line="360" w:lineRule="auto"/>
        <w:jc w:val="center"/>
        <w:rPr>
          <w:rFonts w:ascii="Palatino Linotype" w:eastAsia="Palatino Linotype" w:hAnsi="Palatino Linotype" w:cs="Palatino Linotype"/>
        </w:rPr>
      </w:pPr>
      <w:r w:rsidRPr="00343590">
        <w:rPr>
          <w:rFonts w:ascii="Palatino Linotype" w:eastAsia="Palatino Linotype" w:hAnsi="Palatino Linotype" w:cs="Palatino Linotype"/>
          <w:noProof/>
        </w:rPr>
        <w:lastRenderedPageBreak/>
        <w:drawing>
          <wp:inline distT="114300" distB="114300" distL="114300" distR="114300" wp14:anchorId="16B4CA51" wp14:editId="30C24ED2">
            <wp:extent cx="5048250" cy="1255226"/>
            <wp:effectExtent l="0" t="0" r="0" b="0"/>
            <wp:docPr id="1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73484"/>
                    <a:stretch>
                      <a:fillRect/>
                    </a:stretch>
                  </pic:blipFill>
                  <pic:spPr>
                    <a:xfrm>
                      <a:off x="0" y="0"/>
                      <a:ext cx="5048250" cy="1255226"/>
                    </a:xfrm>
                    <a:prstGeom prst="rect">
                      <a:avLst/>
                    </a:prstGeom>
                    <a:ln/>
                  </pic:spPr>
                </pic:pic>
              </a:graphicData>
            </a:graphic>
          </wp:inline>
        </w:drawing>
      </w:r>
    </w:p>
    <w:p w14:paraId="0E873604" w14:textId="77777777" w:rsidR="00425265" w:rsidRPr="00343590" w:rsidRDefault="000B4C53">
      <w:pPr>
        <w:spacing w:line="360" w:lineRule="auto"/>
        <w:jc w:val="center"/>
        <w:rPr>
          <w:rFonts w:ascii="Palatino Linotype" w:eastAsia="Palatino Linotype" w:hAnsi="Palatino Linotype" w:cs="Palatino Linotype"/>
        </w:rPr>
      </w:pPr>
      <w:r w:rsidRPr="00343590">
        <w:rPr>
          <w:rFonts w:ascii="Palatino Linotype" w:eastAsia="Palatino Linotype" w:hAnsi="Palatino Linotype" w:cs="Palatino Linotype"/>
          <w:noProof/>
        </w:rPr>
        <w:drawing>
          <wp:inline distT="114300" distB="114300" distL="114300" distR="114300" wp14:anchorId="295691C4" wp14:editId="7922C243">
            <wp:extent cx="4406385" cy="3655911"/>
            <wp:effectExtent l="0" t="0" r="0" b="0"/>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406385" cy="3655911"/>
                    </a:xfrm>
                    <a:prstGeom prst="rect">
                      <a:avLst/>
                    </a:prstGeom>
                    <a:ln/>
                  </pic:spPr>
                </pic:pic>
              </a:graphicData>
            </a:graphic>
          </wp:inline>
        </w:drawing>
      </w:r>
    </w:p>
    <w:p w14:paraId="742FE77B" w14:textId="77777777" w:rsidR="00425265" w:rsidRPr="00343590" w:rsidRDefault="00425265">
      <w:pPr>
        <w:spacing w:line="360" w:lineRule="auto"/>
        <w:ind w:right="49"/>
        <w:jc w:val="both"/>
        <w:rPr>
          <w:rFonts w:ascii="Palatino Linotype" w:eastAsia="Palatino Linotype" w:hAnsi="Palatino Linotype" w:cs="Palatino Linotype"/>
        </w:rPr>
      </w:pPr>
    </w:p>
    <w:p w14:paraId="6CD04414"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Como se puede apreciar de las imágenes antes insertas y de lo señalado en líneas previas, el Derecho de Acceso a la Información Pública subsiste sólo si la información solicitada consta en un soporte documental en cualquiera de sus formas, a saber: expedientes, reportes, estudios, actas, resoluciones, oficios, correspondencia, acuerdos, directivas, directrices, circulares, contratos, convenios, instructivos, notas, </w:t>
      </w:r>
      <w:r w:rsidRPr="00343590">
        <w:rPr>
          <w:rFonts w:ascii="Palatino Linotype" w:eastAsia="Palatino Linotype" w:hAnsi="Palatino Linotype" w:cs="Palatino Linotype"/>
        </w:rPr>
        <w:lastRenderedPageBreak/>
        <w:t xml:space="preserve">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0CD0B0C6" w14:textId="77777777" w:rsidR="00425265" w:rsidRPr="00343590" w:rsidRDefault="00425265">
      <w:pPr>
        <w:spacing w:line="360" w:lineRule="auto"/>
        <w:ind w:right="49"/>
        <w:jc w:val="both"/>
        <w:rPr>
          <w:rFonts w:ascii="Palatino Linotype" w:eastAsia="Palatino Linotype" w:hAnsi="Palatino Linotype" w:cs="Palatino Linotype"/>
        </w:rPr>
      </w:pPr>
    </w:p>
    <w:p w14:paraId="3D1A58FF"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w:t>
      </w:r>
      <w:r w:rsidRPr="00343590">
        <w:rPr>
          <w:rFonts w:ascii="Palatino Linotype" w:eastAsia="Palatino Linotype" w:hAnsi="Palatino Linotype" w:cs="Palatino Linotype"/>
          <w:b/>
          <w:i/>
          <w:sz w:val="22"/>
          <w:szCs w:val="22"/>
        </w:rPr>
        <w:t>Artículo 3.</w:t>
      </w:r>
      <w:r w:rsidRPr="00343590">
        <w:rPr>
          <w:rFonts w:ascii="Palatino Linotype" w:eastAsia="Palatino Linotype" w:hAnsi="Palatino Linotype" w:cs="Palatino Linotype"/>
          <w:i/>
          <w:sz w:val="22"/>
          <w:szCs w:val="22"/>
        </w:rPr>
        <w:t xml:space="preserve"> Para los efectos de la presente Ley se entenderá por:</w:t>
      </w:r>
    </w:p>
    <w:p w14:paraId="36D509E6"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w:t>
      </w:r>
    </w:p>
    <w:p w14:paraId="25E99F89"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t>XI. Documento</w:t>
      </w:r>
      <w:r w:rsidRPr="00343590">
        <w:rPr>
          <w:rFonts w:ascii="Palatino Linotype" w:eastAsia="Palatino Linotype" w:hAnsi="Palatino Linotype" w:cs="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E9A2297"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w:t>
      </w:r>
    </w:p>
    <w:p w14:paraId="4A2DA9D6" w14:textId="77777777" w:rsidR="00425265" w:rsidRPr="00343590" w:rsidRDefault="00425265">
      <w:pPr>
        <w:tabs>
          <w:tab w:val="left" w:pos="851"/>
        </w:tabs>
        <w:spacing w:line="360" w:lineRule="auto"/>
        <w:ind w:left="851" w:right="901"/>
        <w:jc w:val="both"/>
        <w:rPr>
          <w:rFonts w:ascii="Palatino Linotype" w:eastAsia="Palatino Linotype" w:hAnsi="Palatino Linotype" w:cs="Palatino Linotype"/>
          <w:i/>
          <w:sz w:val="22"/>
          <w:szCs w:val="22"/>
        </w:rPr>
      </w:pPr>
    </w:p>
    <w:p w14:paraId="54D94C4F"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F515D2C" w14:textId="77777777" w:rsidR="00425265" w:rsidRPr="00343590" w:rsidRDefault="00425265">
      <w:pPr>
        <w:spacing w:line="360" w:lineRule="auto"/>
        <w:ind w:right="49"/>
        <w:jc w:val="both"/>
        <w:rPr>
          <w:rFonts w:ascii="Palatino Linotype" w:eastAsia="Palatino Linotype" w:hAnsi="Palatino Linotype" w:cs="Palatino Linotype"/>
        </w:rPr>
      </w:pPr>
    </w:p>
    <w:p w14:paraId="5F703F18"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b/>
          <w:i/>
          <w:sz w:val="22"/>
          <w:szCs w:val="22"/>
        </w:rPr>
      </w:pPr>
      <w:r w:rsidRPr="00343590">
        <w:rPr>
          <w:rFonts w:ascii="Palatino Linotype" w:eastAsia="Palatino Linotype" w:hAnsi="Palatino Linotype" w:cs="Palatino Linotype"/>
          <w:b/>
        </w:rPr>
        <w:t>“</w:t>
      </w:r>
      <w:r w:rsidRPr="00343590">
        <w:rPr>
          <w:rFonts w:ascii="Palatino Linotype" w:eastAsia="Palatino Linotype" w:hAnsi="Palatino Linotype" w:cs="Palatino Linotype"/>
          <w:b/>
          <w:i/>
          <w:sz w:val="22"/>
          <w:szCs w:val="22"/>
        </w:rPr>
        <w:t>CRITERIO 0002-11</w:t>
      </w:r>
    </w:p>
    <w:p w14:paraId="70315AF3"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b/>
          <w:i/>
          <w:sz w:val="22"/>
          <w:szCs w:val="22"/>
        </w:rPr>
        <w:lastRenderedPageBreak/>
        <w:t xml:space="preserve">INFORMACIÓN PÚBLICA, CONCEPTO DE, EN MATERIA DE TRANSPARENCIA. INTERPRETACIÓN SISTEMÁTICA DE LOS ARTÍCULOS 2°, FRACCIÓN V, XV, Y XVI, 3°, 4°, 11 Y 41. </w:t>
      </w:r>
      <w:r w:rsidRPr="00343590">
        <w:rPr>
          <w:rFonts w:ascii="Palatino Linotype" w:eastAsia="Palatino Linotype" w:hAnsi="Palatino Linotype" w:cs="Palatino Linotype"/>
          <w:i/>
          <w:sz w:val="22"/>
          <w:szCs w:val="22"/>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7B1750"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D3A156D"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854EDBC"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D3117F2" w14:textId="77777777" w:rsidR="00425265" w:rsidRPr="00343590" w:rsidRDefault="000B4C53">
      <w:pPr>
        <w:tabs>
          <w:tab w:val="left" w:pos="851"/>
        </w:tabs>
        <w:spacing w:line="360" w:lineRule="auto"/>
        <w:ind w:left="851" w:right="901"/>
        <w:jc w:val="both"/>
        <w:rPr>
          <w:rFonts w:ascii="Palatino Linotype" w:eastAsia="Palatino Linotype" w:hAnsi="Palatino Linotype" w:cs="Palatino Linotype"/>
          <w:i/>
          <w:sz w:val="22"/>
          <w:szCs w:val="22"/>
        </w:rPr>
      </w:pPr>
      <w:r w:rsidRPr="00343590">
        <w:rPr>
          <w:rFonts w:ascii="Palatino Linotype" w:eastAsia="Palatino Linotype" w:hAnsi="Palatino Linotype" w:cs="Palatino Linotype"/>
          <w:i/>
          <w:sz w:val="22"/>
          <w:szCs w:val="22"/>
        </w:rPr>
        <w:t xml:space="preserve"> 3) Que se trate de información registrada en cualquier soporte documental, que en ejercicio de las atribuciones conferidas, se encuentre en posesión de los Sujetos Obligados.” (SIC)</w:t>
      </w:r>
    </w:p>
    <w:p w14:paraId="4F705FCD" w14:textId="77777777" w:rsidR="00425265" w:rsidRPr="00343590" w:rsidRDefault="00425265">
      <w:pPr>
        <w:spacing w:line="360" w:lineRule="auto"/>
        <w:ind w:right="49"/>
        <w:jc w:val="both"/>
        <w:rPr>
          <w:rFonts w:ascii="Palatino Linotype" w:eastAsia="Palatino Linotype" w:hAnsi="Palatino Linotype" w:cs="Palatino Linotype"/>
        </w:rPr>
      </w:pPr>
    </w:p>
    <w:p w14:paraId="251820DA"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Razón por la cual, toda vez que la información solicitada no corresponde al ejercicio de derecho de acceso a la información, puesto que no se puede verificar en ningún soporte documental producto del actuar de las autoridades con motivo de sus atribuciones o facultades, este Instituto se ve impedido para pronunciarse sobre dicha petición. </w:t>
      </w:r>
    </w:p>
    <w:p w14:paraId="29B11BD2" w14:textId="77777777" w:rsidR="00425265" w:rsidRPr="00343590" w:rsidRDefault="00425265">
      <w:pPr>
        <w:spacing w:line="360" w:lineRule="auto"/>
        <w:ind w:right="49"/>
        <w:jc w:val="both"/>
        <w:rPr>
          <w:rFonts w:ascii="Palatino Linotype" w:eastAsia="Palatino Linotype" w:hAnsi="Palatino Linotype" w:cs="Palatino Linotype"/>
        </w:rPr>
      </w:pPr>
    </w:p>
    <w:p w14:paraId="0A850BDA"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Es así que, los argumentos expuestos permiten a este Órgano Garante determina que resulta procedente </w:t>
      </w:r>
      <w:r w:rsidRPr="00343590">
        <w:rPr>
          <w:rFonts w:ascii="Palatino Linotype" w:eastAsia="Palatino Linotype" w:hAnsi="Palatino Linotype" w:cs="Palatino Linotype"/>
          <w:b/>
        </w:rPr>
        <w:t>sobreseer</w:t>
      </w:r>
      <w:r w:rsidRPr="00343590">
        <w:rPr>
          <w:rFonts w:ascii="Palatino Linotype" w:eastAsia="Palatino Linotype" w:hAnsi="Palatino Linotype" w:cs="Palatino Linotype"/>
        </w:rPr>
        <w:t xml:space="preserve"> el recurso de revisión </w:t>
      </w:r>
      <w:r w:rsidRPr="00343590">
        <w:rPr>
          <w:rFonts w:ascii="Palatino Linotype" w:eastAsia="Palatino Linotype" w:hAnsi="Palatino Linotype" w:cs="Palatino Linotype"/>
          <w:b/>
        </w:rPr>
        <w:t xml:space="preserve">02188/INFOEM/IP/RR/2022 </w:t>
      </w:r>
      <w:r w:rsidRPr="00343590">
        <w:rPr>
          <w:rFonts w:ascii="Palatino Linotype" w:eastAsia="Palatino Linotype" w:hAnsi="Palatino Linotype" w:cs="Palatino Linotype"/>
        </w:rPr>
        <w:t>por improcedente, toda vez que se actualiza la fracción V</w:t>
      </w:r>
      <w:r w:rsidRPr="00343590">
        <w:rPr>
          <w:rFonts w:ascii="Palatino Linotype" w:eastAsia="Palatino Linotype" w:hAnsi="Palatino Linotype" w:cs="Palatino Linotype"/>
          <w:vertAlign w:val="superscript"/>
        </w:rPr>
        <w:footnoteReference w:id="2"/>
      </w:r>
      <w:r w:rsidRPr="00343590">
        <w:rPr>
          <w:rFonts w:ascii="Palatino Linotype" w:eastAsia="Palatino Linotype" w:hAnsi="Palatino Linotype" w:cs="Palatino Linotype"/>
        </w:rPr>
        <w:t xml:space="preserve"> del ordinal 192 de la Ley de Transparencia y Acceso a la Información Pública del Estado de México y Municipios, en correlación con el diverso 191, fracción IV, del mismo ordenamiento, toda vez que para acceder a dicha información debe realizar un trámite específico. </w:t>
      </w:r>
    </w:p>
    <w:p w14:paraId="2D246564" w14:textId="77777777" w:rsidR="00425265" w:rsidRPr="00343590" w:rsidRDefault="00425265">
      <w:pPr>
        <w:spacing w:line="360" w:lineRule="auto"/>
        <w:ind w:right="49"/>
        <w:jc w:val="both"/>
        <w:rPr>
          <w:rFonts w:ascii="Palatino Linotype" w:eastAsia="Palatino Linotype" w:hAnsi="Palatino Linotype" w:cs="Palatino Linotype"/>
        </w:rPr>
      </w:pPr>
    </w:p>
    <w:p w14:paraId="685273D5" w14:textId="77777777" w:rsidR="00425265" w:rsidRPr="00343590" w:rsidRDefault="000B4C53">
      <w:pPr>
        <w:spacing w:line="360" w:lineRule="auto"/>
        <w:jc w:val="both"/>
        <w:rPr>
          <w:rFonts w:ascii="Palatino Linotype" w:eastAsia="Palatino Linotype" w:hAnsi="Palatino Linotype" w:cs="Palatino Linotype"/>
        </w:rPr>
      </w:pPr>
      <w:bookmarkStart w:id="7" w:name="_heading=h.30j0zll" w:colFirst="0" w:colLast="0"/>
      <w:bookmarkEnd w:id="7"/>
      <w:r w:rsidRPr="00343590">
        <w:rPr>
          <w:rFonts w:ascii="Palatino Linotype" w:eastAsia="Palatino Linotype" w:hAnsi="Palatino Linotype" w:cs="Palatino Linotype"/>
        </w:rPr>
        <w:t xml:space="preserve">Expuesto lo anterior este Organismo Garante determina </w:t>
      </w:r>
      <w:r w:rsidRPr="00343590">
        <w:rPr>
          <w:rFonts w:ascii="Palatino Linotype" w:eastAsia="Palatino Linotype" w:hAnsi="Palatino Linotype" w:cs="Palatino Linotype"/>
          <w:b/>
        </w:rPr>
        <w:t xml:space="preserve">SOBRESEER </w:t>
      </w:r>
      <w:r w:rsidRPr="00343590">
        <w:rPr>
          <w:rFonts w:ascii="Palatino Linotype" w:eastAsia="Palatino Linotype" w:hAnsi="Palatino Linotype" w:cs="Palatino Linotype"/>
        </w:rPr>
        <w:t>el Recurso de Revisión número</w:t>
      </w:r>
      <w:r w:rsidRPr="00343590">
        <w:rPr>
          <w:rFonts w:ascii="Palatino Linotype" w:eastAsia="Palatino Linotype" w:hAnsi="Palatino Linotype" w:cs="Palatino Linotype"/>
          <w:b/>
        </w:rPr>
        <w:t xml:space="preserve"> 02188/INFOEM/IP/RR/2022</w:t>
      </w:r>
      <w:r w:rsidR="00343590" w:rsidRPr="00343590">
        <w:rPr>
          <w:rFonts w:ascii="Palatino Linotype" w:eastAsia="Palatino Linotype" w:hAnsi="Palatino Linotype" w:cs="Palatino Linotype"/>
          <w:b/>
        </w:rPr>
        <w:t>,</w:t>
      </w:r>
      <w:r w:rsidRPr="00343590">
        <w:rPr>
          <w:rFonts w:ascii="Palatino Linotype" w:eastAsia="Palatino Linotype" w:hAnsi="Palatino Linotype" w:cs="Palatino Linotype"/>
        </w:rPr>
        <w:t xml:space="preserve"> por improcedente  y </w:t>
      </w:r>
      <w:r w:rsidRPr="00343590">
        <w:rPr>
          <w:rFonts w:ascii="Palatino Linotype" w:eastAsia="Palatino Linotype" w:hAnsi="Palatino Linotype" w:cs="Palatino Linotype"/>
          <w:b/>
        </w:rPr>
        <w:t xml:space="preserve">CONFIRMAR </w:t>
      </w:r>
      <w:r w:rsidRPr="00343590">
        <w:rPr>
          <w:rFonts w:ascii="Palatino Linotype" w:eastAsia="Palatino Linotype" w:hAnsi="Palatino Linotype" w:cs="Palatino Linotype"/>
        </w:rPr>
        <w:t xml:space="preserve">la respuesta del </w:t>
      </w:r>
      <w:r w:rsidRPr="00343590">
        <w:rPr>
          <w:rFonts w:ascii="Palatino Linotype" w:eastAsia="Palatino Linotype" w:hAnsi="Palatino Linotype" w:cs="Palatino Linotype"/>
          <w:b/>
        </w:rPr>
        <w:t>SUJETO OBLIGADO</w:t>
      </w:r>
      <w:r w:rsidRPr="00343590">
        <w:rPr>
          <w:rFonts w:ascii="Palatino Linotype" w:eastAsia="Palatino Linotype" w:hAnsi="Palatino Linotype" w:cs="Palatino Linotype"/>
        </w:rPr>
        <w:t xml:space="preserve"> a la solicitud de información relacionada con el Recurso de Revisión número </w:t>
      </w:r>
      <w:r w:rsidRPr="00343590">
        <w:rPr>
          <w:rFonts w:ascii="Palatino Linotype" w:eastAsia="Palatino Linotype" w:hAnsi="Palatino Linotype" w:cs="Palatino Linotype"/>
          <w:b/>
        </w:rPr>
        <w:t xml:space="preserve">02187/INFOEM/IP/RR/2022 </w:t>
      </w:r>
      <w:r w:rsidRPr="00343590">
        <w:rPr>
          <w:rFonts w:ascii="Palatino Linotype" w:eastAsia="Palatino Linotype" w:hAnsi="Palatino Linotype" w:cs="Palatino Linotype"/>
        </w:rPr>
        <w:t xml:space="preserve">por resultar </w:t>
      </w:r>
      <w:r w:rsidRPr="00343590">
        <w:rPr>
          <w:rFonts w:ascii="Palatino Linotype" w:eastAsia="Palatino Linotype" w:hAnsi="Palatino Linotype" w:cs="Palatino Linotype"/>
          <w:b/>
        </w:rPr>
        <w:t>infundadas</w:t>
      </w:r>
      <w:r w:rsidRPr="00343590">
        <w:rPr>
          <w:rFonts w:ascii="Palatino Linotype" w:eastAsia="Palatino Linotype" w:hAnsi="Palatino Linotype" w:cs="Palatino Linotype"/>
        </w:rPr>
        <w:t xml:space="preserve"> las razones o motivos de inconformidad expuestos por el particular en términos del presente estudio. </w:t>
      </w:r>
    </w:p>
    <w:p w14:paraId="3E32AFA9" w14:textId="77777777" w:rsidR="00425265" w:rsidRPr="00343590" w:rsidRDefault="00425265">
      <w:pPr>
        <w:spacing w:line="360" w:lineRule="auto"/>
        <w:jc w:val="both"/>
        <w:rPr>
          <w:rFonts w:ascii="Palatino Linotype" w:eastAsia="Palatino Linotype" w:hAnsi="Palatino Linotype" w:cs="Palatino Linotype"/>
        </w:rPr>
      </w:pPr>
      <w:bookmarkStart w:id="8" w:name="_heading=h.p64hy08aejqz" w:colFirst="0" w:colLast="0"/>
      <w:bookmarkEnd w:id="8"/>
    </w:p>
    <w:p w14:paraId="3989B4D8" w14:textId="77777777" w:rsidR="00425265" w:rsidRPr="00343590" w:rsidRDefault="000B4C53">
      <w:pPr>
        <w:spacing w:line="360" w:lineRule="auto"/>
        <w:jc w:val="both"/>
        <w:rPr>
          <w:rFonts w:ascii="Palatino Linotype" w:eastAsia="Palatino Linotype" w:hAnsi="Palatino Linotype" w:cs="Palatino Linotype"/>
        </w:rPr>
      </w:pPr>
      <w:bookmarkStart w:id="9" w:name="_heading=h.i5k737kunscn" w:colFirst="0" w:colLast="0"/>
      <w:bookmarkEnd w:id="9"/>
      <w:r w:rsidRPr="00343590">
        <w:rPr>
          <w:rFonts w:ascii="Palatino Linotype" w:eastAsia="Palatino Linotype" w:hAnsi="Palatino Linotype" w:cs="Palatino Linotype"/>
        </w:rPr>
        <w:t xml:space="preserve">Por último, no escapa de la óptica de este Órgano Garante que en sus motivos de inconformidad el particular solicitó que se diera vista al Órgano Interno de Control,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w:t>
      </w:r>
      <w:r w:rsidRPr="00343590">
        <w:rPr>
          <w:rFonts w:ascii="Palatino Linotype" w:eastAsia="Palatino Linotype" w:hAnsi="Palatino Linotype" w:cs="Palatino Linotype"/>
        </w:rPr>
        <w:lastRenderedPageBreak/>
        <w:t>caso de así considerarlo, acuda ante la instancia competente y realice las denuncias o quejas que considere pertinentes.</w:t>
      </w:r>
    </w:p>
    <w:p w14:paraId="72EBA320" w14:textId="77777777" w:rsidR="00425265" w:rsidRPr="00343590" w:rsidRDefault="00425265">
      <w:pPr>
        <w:spacing w:line="360" w:lineRule="auto"/>
        <w:jc w:val="both"/>
        <w:rPr>
          <w:rFonts w:ascii="Palatino Linotype" w:eastAsia="Palatino Linotype" w:hAnsi="Palatino Linotype" w:cs="Palatino Linotype"/>
        </w:rPr>
      </w:pPr>
      <w:bookmarkStart w:id="10" w:name="_heading=h.m3t41dcidcz8" w:colFirst="0" w:colLast="0"/>
      <w:bookmarkEnd w:id="10"/>
    </w:p>
    <w:p w14:paraId="54DDE89A" w14:textId="77777777" w:rsidR="00425265" w:rsidRPr="00343590" w:rsidRDefault="000B4C53">
      <w:pPr>
        <w:widowControl w:val="0"/>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 xml:space="preserve">Así, con fundamento en lo previsto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 </w:t>
      </w:r>
    </w:p>
    <w:p w14:paraId="60313E06" w14:textId="77777777" w:rsidR="00425265" w:rsidRPr="00343590" w:rsidRDefault="00425265">
      <w:pPr>
        <w:spacing w:line="360" w:lineRule="auto"/>
        <w:jc w:val="both"/>
        <w:rPr>
          <w:rFonts w:ascii="Palatino Linotype" w:eastAsia="Palatino Linotype" w:hAnsi="Palatino Linotype" w:cs="Palatino Linotype"/>
        </w:rPr>
      </w:pPr>
    </w:p>
    <w:p w14:paraId="5C256377" w14:textId="77777777" w:rsidR="00425265" w:rsidRPr="00343590" w:rsidRDefault="000B4C53">
      <w:pPr>
        <w:spacing w:line="360" w:lineRule="auto"/>
        <w:jc w:val="center"/>
        <w:rPr>
          <w:rFonts w:ascii="Palatino Linotype" w:eastAsia="Palatino Linotype" w:hAnsi="Palatino Linotype" w:cs="Palatino Linotype"/>
          <w:b/>
          <w:sz w:val="26"/>
          <w:szCs w:val="26"/>
        </w:rPr>
      </w:pPr>
      <w:r w:rsidRPr="00343590">
        <w:rPr>
          <w:rFonts w:ascii="Palatino Linotype" w:eastAsia="Palatino Linotype" w:hAnsi="Palatino Linotype" w:cs="Palatino Linotype"/>
          <w:b/>
          <w:sz w:val="26"/>
          <w:szCs w:val="26"/>
        </w:rPr>
        <w:t>RESUELVE</w:t>
      </w:r>
    </w:p>
    <w:p w14:paraId="2165ACAA" w14:textId="77777777" w:rsidR="00425265" w:rsidRPr="00343590" w:rsidRDefault="00425265">
      <w:pPr>
        <w:spacing w:line="360" w:lineRule="auto"/>
        <w:jc w:val="center"/>
        <w:rPr>
          <w:rFonts w:ascii="Palatino Linotype" w:eastAsia="Palatino Linotype" w:hAnsi="Palatino Linotype" w:cs="Palatino Linotype"/>
          <w:b/>
          <w:sz w:val="26"/>
          <w:szCs w:val="26"/>
        </w:rPr>
      </w:pPr>
    </w:p>
    <w:p w14:paraId="549DC6D4" w14:textId="77777777" w:rsidR="00425265" w:rsidRPr="00343590" w:rsidRDefault="000B4C53">
      <w:pPr>
        <w:spacing w:line="360" w:lineRule="auto"/>
        <w:ind w:right="49"/>
        <w:jc w:val="both"/>
        <w:rPr>
          <w:rFonts w:ascii="Palatino Linotype" w:eastAsia="Palatino Linotype" w:hAnsi="Palatino Linotype" w:cs="Palatino Linotype"/>
          <w:b/>
          <w:sz w:val="26"/>
          <w:szCs w:val="26"/>
        </w:rPr>
      </w:pPr>
      <w:r w:rsidRPr="00343590">
        <w:rPr>
          <w:rFonts w:ascii="Palatino Linotype" w:eastAsia="Palatino Linotype" w:hAnsi="Palatino Linotype" w:cs="Palatino Linotype"/>
          <w:b/>
          <w:sz w:val="26"/>
          <w:szCs w:val="26"/>
        </w:rPr>
        <w:t>PRIMERO.</w:t>
      </w:r>
      <w:r w:rsidRPr="00343590">
        <w:rPr>
          <w:rFonts w:ascii="Palatino Linotype" w:eastAsia="Palatino Linotype" w:hAnsi="Palatino Linotype" w:cs="Palatino Linotype"/>
        </w:rPr>
        <w:t xml:space="preserve"> Se </w:t>
      </w:r>
      <w:r w:rsidRPr="00343590">
        <w:rPr>
          <w:rFonts w:ascii="Palatino Linotype" w:eastAsia="Palatino Linotype" w:hAnsi="Palatino Linotype" w:cs="Palatino Linotype"/>
          <w:b/>
        </w:rPr>
        <w:t>SOBRESEE</w:t>
      </w:r>
      <w:r w:rsidRPr="00343590">
        <w:rPr>
          <w:rFonts w:ascii="Palatino Linotype" w:eastAsia="Palatino Linotype" w:hAnsi="Palatino Linotype" w:cs="Palatino Linotype"/>
        </w:rPr>
        <w:t xml:space="preserve"> por improcedente el Recurso de Revisión </w:t>
      </w:r>
      <w:r w:rsidRPr="00343590">
        <w:rPr>
          <w:rFonts w:ascii="Palatino Linotype" w:eastAsia="Palatino Linotype" w:hAnsi="Palatino Linotype" w:cs="Palatino Linotype"/>
          <w:b/>
        </w:rPr>
        <w:t xml:space="preserve">02188/INFOEM/IP/RR/2022 </w:t>
      </w:r>
      <w:r w:rsidRPr="00343590">
        <w:rPr>
          <w:rFonts w:ascii="Palatino Linotype" w:eastAsia="Palatino Linotype" w:hAnsi="Palatino Linotype" w:cs="Palatino Linotype"/>
        </w:rPr>
        <w:t xml:space="preserve">en términos del Considerando </w:t>
      </w:r>
      <w:r w:rsidRPr="00343590">
        <w:rPr>
          <w:rFonts w:ascii="Palatino Linotype" w:eastAsia="Palatino Linotype" w:hAnsi="Palatino Linotype" w:cs="Palatino Linotype"/>
          <w:b/>
        </w:rPr>
        <w:t xml:space="preserve">SEXTO </w:t>
      </w:r>
      <w:r w:rsidRPr="00343590">
        <w:rPr>
          <w:rFonts w:ascii="Palatino Linotype" w:eastAsia="Palatino Linotype" w:hAnsi="Palatino Linotype" w:cs="Palatino Linotype"/>
        </w:rPr>
        <w:t>de la presente resolución.</w:t>
      </w:r>
      <w:r w:rsidRPr="00343590">
        <w:rPr>
          <w:rFonts w:ascii="Palatino Linotype" w:eastAsia="Palatino Linotype" w:hAnsi="Palatino Linotype" w:cs="Palatino Linotype"/>
          <w:b/>
          <w:sz w:val="26"/>
          <w:szCs w:val="26"/>
        </w:rPr>
        <w:t xml:space="preserve"> </w:t>
      </w:r>
    </w:p>
    <w:p w14:paraId="43E1A163" w14:textId="77777777" w:rsidR="00425265" w:rsidRPr="00343590" w:rsidRDefault="00425265">
      <w:pPr>
        <w:spacing w:line="360" w:lineRule="auto"/>
        <w:ind w:right="49"/>
        <w:jc w:val="both"/>
        <w:rPr>
          <w:rFonts w:ascii="Palatino Linotype" w:eastAsia="Palatino Linotype" w:hAnsi="Palatino Linotype" w:cs="Palatino Linotype"/>
          <w:b/>
          <w:sz w:val="26"/>
          <w:szCs w:val="26"/>
        </w:rPr>
      </w:pPr>
    </w:p>
    <w:p w14:paraId="41F91BCC" w14:textId="77777777" w:rsidR="00425265" w:rsidRPr="00343590" w:rsidRDefault="000B4C53">
      <w:pPr>
        <w:spacing w:line="360" w:lineRule="auto"/>
        <w:ind w:right="49"/>
        <w:jc w:val="both"/>
        <w:rPr>
          <w:rFonts w:ascii="Palatino Linotype" w:eastAsia="Palatino Linotype" w:hAnsi="Palatino Linotype" w:cs="Palatino Linotype"/>
        </w:rPr>
      </w:pPr>
      <w:r w:rsidRPr="00343590">
        <w:rPr>
          <w:rFonts w:ascii="Palatino Linotype" w:eastAsia="Palatino Linotype" w:hAnsi="Palatino Linotype" w:cs="Palatino Linotype"/>
          <w:b/>
        </w:rPr>
        <w:t xml:space="preserve">SEGUNDO.  </w:t>
      </w:r>
      <w:r w:rsidRPr="00343590">
        <w:rPr>
          <w:rFonts w:ascii="Palatino Linotype" w:eastAsia="Palatino Linotype" w:hAnsi="Palatino Linotype" w:cs="Palatino Linotype"/>
        </w:rPr>
        <w:t xml:space="preserve">Resultan </w:t>
      </w:r>
      <w:r w:rsidRPr="00343590">
        <w:rPr>
          <w:rFonts w:ascii="Palatino Linotype" w:eastAsia="Palatino Linotype" w:hAnsi="Palatino Linotype" w:cs="Palatino Linotype"/>
          <w:b/>
        </w:rPr>
        <w:t>infundados</w:t>
      </w:r>
      <w:r w:rsidRPr="00343590">
        <w:rPr>
          <w:rFonts w:ascii="Palatino Linotype" w:eastAsia="Palatino Linotype" w:hAnsi="Palatino Linotype" w:cs="Palatino Linotype"/>
        </w:rPr>
        <w:t xml:space="preserve"> los motivos de inconformidad hechos valer por </w:t>
      </w:r>
      <w:r w:rsidRPr="00343590">
        <w:rPr>
          <w:rFonts w:ascii="Palatino Linotype" w:eastAsia="Palatino Linotype" w:hAnsi="Palatino Linotype" w:cs="Palatino Linotype"/>
          <w:b/>
        </w:rPr>
        <w:t>EL RECURRENTE</w:t>
      </w:r>
      <w:r w:rsidRPr="00343590">
        <w:rPr>
          <w:rFonts w:ascii="Palatino Linotype" w:eastAsia="Palatino Linotype" w:hAnsi="Palatino Linotype" w:cs="Palatino Linotype"/>
        </w:rPr>
        <w:t xml:space="preserve"> en el Recurso de Revisión</w:t>
      </w:r>
      <w:r w:rsidRPr="00343590">
        <w:rPr>
          <w:rFonts w:ascii="Palatino Linotype" w:eastAsia="Palatino Linotype" w:hAnsi="Palatino Linotype" w:cs="Palatino Linotype"/>
          <w:b/>
          <w:sz w:val="22"/>
          <w:szCs w:val="22"/>
        </w:rPr>
        <w:t xml:space="preserve"> </w:t>
      </w:r>
      <w:r w:rsidRPr="00343590">
        <w:rPr>
          <w:rFonts w:ascii="Palatino Linotype" w:eastAsia="Palatino Linotype" w:hAnsi="Palatino Linotype" w:cs="Palatino Linotype"/>
          <w:b/>
        </w:rPr>
        <w:t xml:space="preserve">02187/INFOEM/IP/RR/2022 </w:t>
      </w:r>
      <w:r w:rsidRPr="00343590">
        <w:rPr>
          <w:rFonts w:ascii="Palatino Linotype" w:eastAsia="Palatino Linotype" w:hAnsi="Palatino Linotype" w:cs="Palatino Linotype"/>
        </w:rPr>
        <w:t xml:space="preserve">en términos del considerando </w:t>
      </w:r>
      <w:r w:rsidRPr="00343590">
        <w:rPr>
          <w:rFonts w:ascii="Palatino Linotype" w:eastAsia="Palatino Linotype" w:hAnsi="Palatino Linotype" w:cs="Palatino Linotype"/>
          <w:b/>
        </w:rPr>
        <w:t>SEXTO</w:t>
      </w:r>
      <w:r w:rsidRPr="00343590">
        <w:rPr>
          <w:rFonts w:ascii="Palatino Linotype" w:eastAsia="Palatino Linotype" w:hAnsi="Palatino Linotype" w:cs="Palatino Linotype"/>
        </w:rPr>
        <w:t>.</w:t>
      </w:r>
    </w:p>
    <w:p w14:paraId="0CAC29DE" w14:textId="77777777" w:rsidR="00425265" w:rsidRPr="00343590" w:rsidRDefault="00425265">
      <w:pPr>
        <w:spacing w:line="360" w:lineRule="auto"/>
        <w:jc w:val="both"/>
        <w:rPr>
          <w:rFonts w:ascii="Palatino Linotype" w:eastAsia="Palatino Linotype" w:hAnsi="Palatino Linotype" w:cs="Palatino Linotype"/>
          <w:b/>
        </w:rPr>
      </w:pPr>
    </w:p>
    <w:p w14:paraId="43CEEB70" w14:textId="77777777" w:rsidR="00425265" w:rsidRPr="00343590" w:rsidRDefault="000B4C53">
      <w:pPr>
        <w:spacing w:line="360" w:lineRule="auto"/>
        <w:jc w:val="both"/>
        <w:rPr>
          <w:rFonts w:ascii="Palatino Linotype" w:eastAsia="Palatino Linotype" w:hAnsi="Palatino Linotype" w:cs="Palatino Linotype"/>
          <w:sz w:val="26"/>
          <w:szCs w:val="26"/>
        </w:rPr>
      </w:pPr>
      <w:r w:rsidRPr="00343590">
        <w:rPr>
          <w:rFonts w:ascii="Palatino Linotype" w:eastAsia="Palatino Linotype" w:hAnsi="Palatino Linotype" w:cs="Palatino Linotype"/>
          <w:b/>
        </w:rPr>
        <w:t xml:space="preserve">TERCERO. </w:t>
      </w:r>
      <w:r w:rsidRPr="00343590">
        <w:rPr>
          <w:rFonts w:ascii="Palatino Linotype" w:eastAsia="Palatino Linotype" w:hAnsi="Palatino Linotype" w:cs="Palatino Linotype"/>
        </w:rPr>
        <w:t xml:space="preserve">Se </w:t>
      </w:r>
      <w:r w:rsidRPr="00343590">
        <w:rPr>
          <w:rFonts w:ascii="Palatino Linotype" w:eastAsia="Palatino Linotype" w:hAnsi="Palatino Linotype" w:cs="Palatino Linotype"/>
          <w:b/>
        </w:rPr>
        <w:t xml:space="preserve">CONFIRMA </w:t>
      </w:r>
      <w:r w:rsidRPr="00343590">
        <w:rPr>
          <w:rFonts w:ascii="Palatino Linotype" w:eastAsia="Palatino Linotype" w:hAnsi="Palatino Linotype" w:cs="Palatino Linotype"/>
        </w:rPr>
        <w:t xml:space="preserve">la respuesta del </w:t>
      </w:r>
      <w:r w:rsidRPr="00343590">
        <w:rPr>
          <w:rFonts w:ascii="Palatino Linotype" w:eastAsia="Palatino Linotype" w:hAnsi="Palatino Linotype" w:cs="Palatino Linotype"/>
          <w:b/>
        </w:rPr>
        <w:t xml:space="preserve">SUJETO OBLIGADO </w:t>
      </w:r>
      <w:r w:rsidRPr="00343590">
        <w:rPr>
          <w:rFonts w:ascii="Palatino Linotype" w:eastAsia="Palatino Linotype" w:hAnsi="Palatino Linotype" w:cs="Palatino Linotype"/>
        </w:rPr>
        <w:t xml:space="preserve">a la solicitud de información recaída en el Recurso de Revisión número </w:t>
      </w:r>
      <w:r w:rsidRPr="00343590">
        <w:rPr>
          <w:rFonts w:ascii="Palatino Linotype" w:eastAsia="Palatino Linotype" w:hAnsi="Palatino Linotype" w:cs="Palatino Linotype"/>
          <w:b/>
        </w:rPr>
        <w:t xml:space="preserve">02187/INFOEM/IP/RR/2022, </w:t>
      </w:r>
      <w:r w:rsidRPr="00343590">
        <w:rPr>
          <w:rFonts w:ascii="Palatino Linotype" w:eastAsia="Palatino Linotype" w:hAnsi="Palatino Linotype" w:cs="Palatino Linotype"/>
        </w:rPr>
        <w:t xml:space="preserve">en términos del considerando </w:t>
      </w:r>
      <w:r w:rsidRPr="00343590">
        <w:rPr>
          <w:rFonts w:ascii="Palatino Linotype" w:eastAsia="Palatino Linotype" w:hAnsi="Palatino Linotype" w:cs="Palatino Linotype"/>
          <w:b/>
          <w:sz w:val="26"/>
          <w:szCs w:val="26"/>
        </w:rPr>
        <w:t xml:space="preserve">SEXTO </w:t>
      </w:r>
      <w:r w:rsidRPr="00343590">
        <w:rPr>
          <w:rFonts w:ascii="Palatino Linotype" w:eastAsia="Palatino Linotype" w:hAnsi="Palatino Linotype" w:cs="Palatino Linotype"/>
          <w:sz w:val="26"/>
          <w:szCs w:val="26"/>
        </w:rPr>
        <w:t xml:space="preserve">de la presente resolución. </w:t>
      </w:r>
    </w:p>
    <w:p w14:paraId="742AED98" w14:textId="77777777" w:rsidR="00425265" w:rsidRPr="00343590" w:rsidRDefault="00425265">
      <w:pPr>
        <w:spacing w:line="360" w:lineRule="auto"/>
        <w:jc w:val="both"/>
        <w:rPr>
          <w:rFonts w:ascii="Palatino Linotype" w:eastAsia="Palatino Linotype" w:hAnsi="Palatino Linotype" w:cs="Palatino Linotype"/>
        </w:rPr>
      </w:pPr>
    </w:p>
    <w:p w14:paraId="2DE9CC1E"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b/>
        </w:rPr>
        <w:t>CUARTO. Notifíquese</w:t>
      </w:r>
      <w:r w:rsidRPr="00343590">
        <w:rPr>
          <w:rFonts w:ascii="Palatino Linotype" w:eastAsia="Palatino Linotype" w:hAnsi="Palatino Linotype" w:cs="Palatino Linotype"/>
          <w:b/>
          <w:i/>
        </w:rPr>
        <w:t xml:space="preserve"> </w:t>
      </w:r>
      <w:r w:rsidRPr="00343590">
        <w:rPr>
          <w:rFonts w:ascii="Palatino Linotype" w:eastAsia="Palatino Linotype" w:hAnsi="Palatino Linotype" w:cs="Palatino Linotype"/>
        </w:rPr>
        <w:t>al Titular de la Unidad de Transparencia del</w:t>
      </w:r>
      <w:r w:rsidRPr="00343590">
        <w:rPr>
          <w:rFonts w:ascii="Palatino Linotype" w:eastAsia="Palatino Linotype" w:hAnsi="Palatino Linotype" w:cs="Palatino Linotype"/>
          <w:b/>
        </w:rPr>
        <w:t xml:space="preserve"> </w:t>
      </w:r>
      <w:r w:rsidRPr="00343590">
        <w:rPr>
          <w:rFonts w:ascii="Palatino Linotype" w:eastAsia="Palatino Linotype" w:hAnsi="Palatino Linotype" w:cs="Palatino Linotype"/>
        </w:rPr>
        <w:t>Sujeto Obligado por medio del Sistema de Acceso a la Información Mexiquense (</w:t>
      </w:r>
      <w:r w:rsidRPr="00343590">
        <w:rPr>
          <w:rFonts w:ascii="Palatino Linotype" w:eastAsia="Palatino Linotype" w:hAnsi="Palatino Linotype" w:cs="Palatino Linotype"/>
          <w:b/>
        </w:rPr>
        <w:t>SAIMEX),</w:t>
      </w:r>
      <w:r w:rsidRPr="00343590">
        <w:rPr>
          <w:rFonts w:ascii="Palatino Linotype" w:eastAsia="Palatino Linotype" w:hAnsi="Palatino Linotype" w:cs="Palatino Linotype"/>
        </w:rPr>
        <w:t xml:space="preserve"> para su conocimiento. </w:t>
      </w:r>
    </w:p>
    <w:p w14:paraId="7D4863F3" w14:textId="77777777" w:rsidR="00425265" w:rsidRPr="00343590" w:rsidRDefault="00425265">
      <w:pPr>
        <w:spacing w:line="360" w:lineRule="auto"/>
        <w:jc w:val="both"/>
        <w:rPr>
          <w:rFonts w:ascii="Palatino Linotype" w:eastAsia="Palatino Linotype" w:hAnsi="Palatino Linotype" w:cs="Palatino Linotype"/>
        </w:rPr>
      </w:pPr>
    </w:p>
    <w:p w14:paraId="5D2F654D"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b/>
        </w:rPr>
        <w:t xml:space="preserve">QUINTO. Notifíquese </w:t>
      </w:r>
      <w:r w:rsidRPr="00343590">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7E4E16E8" w14:textId="77777777" w:rsidR="00425265" w:rsidRPr="00343590" w:rsidRDefault="00425265">
      <w:pPr>
        <w:spacing w:line="360" w:lineRule="auto"/>
        <w:jc w:val="both"/>
        <w:rPr>
          <w:rFonts w:ascii="Palatino Linotype" w:eastAsia="Palatino Linotype" w:hAnsi="Palatino Linotype" w:cs="Palatino Linotype"/>
        </w:rPr>
      </w:pPr>
    </w:p>
    <w:p w14:paraId="14D1BD9E" w14:textId="77777777" w:rsidR="00425265" w:rsidRPr="00343590" w:rsidRDefault="000B4C53">
      <w:pPr>
        <w:spacing w:line="360" w:lineRule="auto"/>
        <w:jc w:val="both"/>
        <w:rPr>
          <w:rFonts w:ascii="Palatino Linotype" w:eastAsia="Palatino Linotype" w:hAnsi="Palatino Linotype" w:cs="Palatino Linotype"/>
        </w:rPr>
      </w:pPr>
      <w:r w:rsidRPr="0034359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OCTAVA SESIÓN ORDINARIA CELEBRADA EL DIECIOCHO DE MAYO DE DOS MIL VEINTIDÓS, ANTE EL SECRETARIO TÉCNICO DEL PLENO, ALEXIS TAPIA RAMÍREZ.</w:t>
      </w:r>
    </w:p>
    <w:p w14:paraId="4D640946" w14:textId="77777777" w:rsidR="00425265" w:rsidRDefault="000B4C53">
      <w:pPr>
        <w:spacing w:line="360" w:lineRule="auto"/>
        <w:jc w:val="both"/>
        <w:rPr>
          <w:rFonts w:ascii="Palatino Linotype" w:eastAsia="Palatino Linotype" w:hAnsi="Palatino Linotype" w:cs="Palatino Linotype"/>
          <w:sz w:val="14"/>
          <w:szCs w:val="14"/>
        </w:rPr>
      </w:pPr>
      <w:r w:rsidRPr="00343590">
        <w:rPr>
          <w:rFonts w:ascii="Palatino Linotype" w:eastAsia="Palatino Linotype" w:hAnsi="Palatino Linotype" w:cs="Palatino Linotype"/>
          <w:sz w:val="14"/>
          <w:szCs w:val="14"/>
        </w:rPr>
        <w:t>SCMM/BLA/DEMF/PMRE</w:t>
      </w:r>
    </w:p>
    <w:p w14:paraId="11C4A916" w14:textId="77777777" w:rsidR="00425265" w:rsidRDefault="000B4C53">
      <w:pPr>
        <w:rPr>
          <w:rFonts w:ascii="Palatino Linotype" w:eastAsia="Palatino Linotype" w:hAnsi="Palatino Linotype" w:cs="Palatino Linotype"/>
        </w:rPr>
      </w:pPr>
      <w:r>
        <w:br w:type="page"/>
      </w:r>
    </w:p>
    <w:p w14:paraId="40975EA0" w14:textId="77777777" w:rsidR="00425265" w:rsidRDefault="00425265">
      <w:pPr>
        <w:spacing w:line="360" w:lineRule="auto"/>
        <w:jc w:val="both"/>
        <w:rPr>
          <w:rFonts w:ascii="Palatino Linotype" w:eastAsia="Palatino Linotype" w:hAnsi="Palatino Linotype" w:cs="Palatino Linotype"/>
        </w:rPr>
      </w:pPr>
    </w:p>
    <w:p w14:paraId="0A15EB5B" w14:textId="77777777" w:rsidR="00425265" w:rsidRDefault="00425265">
      <w:pPr>
        <w:spacing w:line="360" w:lineRule="auto"/>
        <w:jc w:val="both"/>
        <w:rPr>
          <w:rFonts w:ascii="Palatino Linotype" w:eastAsia="Palatino Linotype" w:hAnsi="Palatino Linotype" w:cs="Palatino Linotype"/>
        </w:rPr>
      </w:pPr>
    </w:p>
    <w:p w14:paraId="05F2C3A0" w14:textId="77777777" w:rsidR="00425265" w:rsidRDefault="00425265">
      <w:pPr>
        <w:spacing w:line="360" w:lineRule="auto"/>
        <w:jc w:val="both"/>
        <w:rPr>
          <w:rFonts w:ascii="Palatino Linotype" w:eastAsia="Palatino Linotype" w:hAnsi="Palatino Linotype" w:cs="Palatino Linotype"/>
        </w:rPr>
      </w:pPr>
    </w:p>
    <w:p w14:paraId="4D478221" w14:textId="77777777" w:rsidR="00425265" w:rsidRDefault="00425265">
      <w:pPr>
        <w:spacing w:line="360" w:lineRule="auto"/>
        <w:jc w:val="both"/>
        <w:rPr>
          <w:rFonts w:ascii="Palatino Linotype" w:eastAsia="Palatino Linotype" w:hAnsi="Palatino Linotype" w:cs="Palatino Linotype"/>
        </w:rPr>
      </w:pPr>
    </w:p>
    <w:p w14:paraId="4B57FDE2" w14:textId="77777777" w:rsidR="00425265" w:rsidRDefault="00425265">
      <w:pPr>
        <w:spacing w:line="360" w:lineRule="auto"/>
        <w:jc w:val="both"/>
        <w:rPr>
          <w:rFonts w:ascii="Palatino Linotype" w:eastAsia="Palatino Linotype" w:hAnsi="Palatino Linotype" w:cs="Palatino Linotype"/>
        </w:rPr>
      </w:pPr>
    </w:p>
    <w:p w14:paraId="09B3B566" w14:textId="77777777" w:rsidR="00425265" w:rsidRDefault="00425265">
      <w:pPr>
        <w:spacing w:line="360" w:lineRule="auto"/>
        <w:jc w:val="both"/>
        <w:rPr>
          <w:rFonts w:ascii="Palatino Linotype" w:eastAsia="Palatino Linotype" w:hAnsi="Palatino Linotype" w:cs="Palatino Linotype"/>
        </w:rPr>
      </w:pPr>
    </w:p>
    <w:p w14:paraId="4E42CBEB" w14:textId="77777777" w:rsidR="00425265" w:rsidRDefault="00425265">
      <w:pPr>
        <w:spacing w:line="360" w:lineRule="auto"/>
        <w:jc w:val="both"/>
        <w:rPr>
          <w:rFonts w:ascii="Palatino Linotype" w:eastAsia="Palatino Linotype" w:hAnsi="Palatino Linotype" w:cs="Palatino Linotype"/>
        </w:rPr>
      </w:pPr>
    </w:p>
    <w:p w14:paraId="7395C33F" w14:textId="77777777" w:rsidR="00425265" w:rsidRDefault="00425265">
      <w:pPr>
        <w:spacing w:line="360" w:lineRule="auto"/>
        <w:jc w:val="both"/>
        <w:rPr>
          <w:rFonts w:ascii="Palatino Linotype" w:eastAsia="Palatino Linotype" w:hAnsi="Palatino Linotype" w:cs="Palatino Linotype"/>
        </w:rPr>
      </w:pPr>
    </w:p>
    <w:p w14:paraId="53702FA9" w14:textId="77777777" w:rsidR="00425265" w:rsidRDefault="00425265">
      <w:pPr>
        <w:spacing w:line="360" w:lineRule="auto"/>
        <w:jc w:val="both"/>
        <w:rPr>
          <w:rFonts w:ascii="Palatino Linotype" w:eastAsia="Palatino Linotype" w:hAnsi="Palatino Linotype" w:cs="Palatino Linotype"/>
        </w:rPr>
      </w:pPr>
    </w:p>
    <w:p w14:paraId="11E15644" w14:textId="77777777" w:rsidR="00425265" w:rsidRDefault="00425265">
      <w:pPr>
        <w:spacing w:line="360" w:lineRule="auto"/>
        <w:jc w:val="both"/>
        <w:rPr>
          <w:rFonts w:ascii="Palatino Linotype" w:eastAsia="Palatino Linotype" w:hAnsi="Palatino Linotype" w:cs="Palatino Linotype"/>
        </w:rPr>
      </w:pPr>
    </w:p>
    <w:p w14:paraId="0CB72973" w14:textId="77777777" w:rsidR="00425265" w:rsidRDefault="00425265">
      <w:pPr>
        <w:spacing w:line="360" w:lineRule="auto"/>
        <w:jc w:val="both"/>
        <w:rPr>
          <w:rFonts w:ascii="Palatino Linotype" w:eastAsia="Palatino Linotype" w:hAnsi="Palatino Linotype" w:cs="Palatino Linotype"/>
        </w:rPr>
      </w:pPr>
    </w:p>
    <w:p w14:paraId="69BDE3D6" w14:textId="77777777" w:rsidR="00425265" w:rsidRDefault="00425265">
      <w:pPr>
        <w:spacing w:line="360" w:lineRule="auto"/>
        <w:jc w:val="both"/>
        <w:rPr>
          <w:rFonts w:ascii="Palatino Linotype" w:eastAsia="Palatino Linotype" w:hAnsi="Palatino Linotype" w:cs="Palatino Linotype"/>
        </w:rPr>
      </w:pPr>
    </w:p>
    <w:p w14:paraId="34DA7863" w14:textId="77777777" w:rsidR="00425265" w:rsidRDefault="00425265">
      <w:pPr>
        <w:spacing w:line="360" w:lineRule="auto"/>
        <w:jc w:val="both"/>
        <w:rPr>
          <w:rFonts w:ascii="Palatino Linotype" w:eastAsia="Palatino Linotype" w:hAnsi="Palatino Linotype" w:cs="Palatino Linotype"/>
        </w:rPr>
      </w:pPr>
    </w:p>
    <w:p w14:paraId="3C493A2B" w14:textId="77777777" w:rsidR="00425265" w:rsidRDefault="00425265">
      <w:pPr>
        <w:spacing w:line="360" w:lineRule="auto"/>
        <w:jc w:val="both"/>
        <w:rPr>
          <w:rFonts w:ascii="Palatino Linotype" w:eastAsia="Palatino Linotype" w:hAnsi="Palatino Linotype" w:cs="Palatino Linotype"/>
        </w:rPr>
      </w:pPr>
    </w:p>
    <w:p w14:paraId="6049530B" w14:textId="77777777" w:rsidR="00425265" w:rsidRDefault="00425265">
      <w:pPr>
        <w:spacing w:line="360" w:lineRule="auto"/>
        <w:jc w:val="both"/>
        <w:rPr>
          <w:rFonts w:ascii="Palatino Linotype" w:eastAsia="Palatino Linotype" w:hAnsi="Palatino Linotype" w:cs="Palatino Linotype"/>
        </w:rPr>
      </w:pPr>
    </w:p>
    <w:p w14:paraId="7803BB83" w14:textId="77777777" w:rsidR="00425265" w:rsidRDefault="00425265">
      <w:pPr>
        <w:spacing w:line="360" w:lineRule="auto"/>
        <w:jc w:val="both"/>
        <w:rPr>
          <w:rFonts w:ascii="Palatino Linotype" w:eastAsia="Palatino Linotype" w:hAnsi="Palatino Linotype" w:cs="Palatino Linotype"/>
        </w:rPr>
      </w:pPr>
    </w:p>
    <w:p w14:paraId="423D8DB8" w14:textId="77777777" w:rsidR="00425265" w:rsidRDefault="00425265">
      <w:pPr>
        <w:spacing w:line="360" w:lineRule="auto"/>
        <w:jc w:val="both"/>
        <w:rPr>
          <w:rFonts w:ascii="Palatino Linotype" w:eastAsia="Palatino Linotype" w:hAnsi="Palatino Linotype" w:cs="Palatino Linotype"/>
        </w:rPr>
      </w:pPr>
    </w:p>
    <w:p w14:paraId="4E72B2DF" w14:textId="77777777" w:rsidR="00425265" w:rsidRDefault="00425265">
      <w:pPr>
        <w:spacing w:line="360" w:lineRule="auto"/>
        <w:jc w:val="both"/>
        <w:rPr>
          <w:rFonts w:ascii="Palatino Linotype" w:eastAsia="Palatino Linotype" w:hAnsi="Palatino Linotype" w:cs="Palatino Linotype"/>
        </w:rPr>
      </w:pPr>
    </w:p>
    <w:sectPr w:rsidR="00425265">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39125" w14:textId="77777777" w:rsidR="00C9080A" w:rsidRDefault="00C9080A">
      <w:r>
        <w:separator/>
      </w:r>
    </w:p>
  </w:endnote>
  <w:endnote w:type="continuationSeparator" w:id="0">
    <w:p w14:paraId="41DC409D" w14:textId="77777777" w:rsidR="00C9080A" w:rsidRDefault="00C90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A2705" w14:textId="77777777" w:rsidR="00425265" w:rsidRDefault="000B4C5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E3E11">
      <w:rPr>
        <w:rFonts w:ascii="Palatino Linotype" w:eastAsia="Palatino Linotype" w:hAnsi="Palatino Linotype" w:cs="Palatino Linotype"/>
        <w:noProof/>
        <w:color w:val="000000"/>
        <w:sz w:val="22"/>
        <w:szCs w:val="22"/>
      </w:rPr>
      <w:t>30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E3E11">
      <w:rPr>
        <w:rFonts w:ascii="Palatino Linotype" w:eastAsia="Palatino Linotype" w:hAnsi="Palatino Linotype" w:cs="Palatino Linotype"/>
        <w:noProof/>
        <w:color w:val="000000"/>
        <w:sz w:val="22"/>
        <w:szCs w:val="22"/>
      </w:rPr>
      <w:t>33</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3382C" w14:textId="77777777" w:rsidR="00425265" w:rsidRDefault="000B4C5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E3E1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E3E11">
      <w:rPr>
        <w:rFonts w:ascii="Palatino Linotype" w:eastAsia="Palatino Linotype" w:hAnsi="Palatino Linotype" w:cs="Palatino Linotype"/>
        <w:noProof/>
        <w:color w:val="000000"/>
        <w:sz w:val="22"/>
        <w:szCs w:val="22"/>
      </w:rPr>
      <w:t>33</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BAD56A" w14:textId="77777777" w:rsidR="00C9080A" w:rsidRDefault="00C9080A">
      <w:r>
        <w:separator/>
      </w:r>
    </w:p>
  </w:footnote>
  <w:footnote w:type="continuationSeparator" w:id="0">
    <w:p w14:paraId="0D935CFA" w14:textId="77777777" w:rsidR="00C9080A" w:rsidRDefault="00C9080A">
      <w:r>
        <w:continuationSeparator/>
      </w:r>
    </w:p>
  </w:footnote>
  <w:footnote w:id="1">
    <w:p w14:paraId="4F452B69" w14:textId="77777777" w:rsidR="00425265" w:rsidRDefault="000B4C53">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2B9F3BA7" w14:textId="77777777" w:rsidR="00425265" w:rsidRDefault="000B4C53">
      <w:pPr>
        <w:jc w:val="both"/>
        <w:rPr>
          <w:rFonts w:ascii="Palatino Linotype" w:eastAsia="Palatino Linotype" w:hAnsi="Palatino Linotype" w:cs="Palatino Linotype"/>
          <w:sz w:val="20"/>
          <w:szCs w:val="20"/>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sz w:val="20"/>
          <w:szCs w:val="20"/>
        </w:rPr>
        <w:t>V. Admitido el recurso de revisión, aparezca alguna causal de improcedencia en los términos de la presente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5CE6C" w14:textId="77777777" w:rsidR="00425265" w:rsidRDefault="00C9080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2177B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3D1F5" w14:textId="77777777" w:rsidR="00425265" w:rsidRDefault="00C9080A">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082FD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138.05pt;margin-top:-111.95pt;width:540pt;height:10in;z-index:-251659776;mso-position-horizontal:absolute;mso-position-horizontal-relative:margin;mso-position-vertical:absolute;mso-position-vertical-relative:margin">
          <v:imagedata r:id="rId1" o:title="image1" croptop="-8531f" cropbottom="8531f" cropleft="19205f" cropright="-19205f"/>
          <w10:wrap anchorx="margin" anchory="margin"/>
        </v:shape>
      </w:pict>
    </w:r>
  </w:p>
  <w:tbl>
    <w:tblPr>
      <w:tblStyle w:val="afffff6"/>
      <w:tblW w:w="9534" w:type="dxa"/>
      <w:tblInd w:w="-142" w:type="dxa"/>
      <w:tblLayout w:type="fixed"/>
      <w:tblLook w:val="0400" w:firstRow="0" w:lastRow="0" w:firstColumn="0" w:lastColumn="0" w:noHBand="0" w:noVBand="1"/>
    </w:tblPr>
    <w:tblGrid>
      <w:gridCol w:w="3261"/>
      <w:gridCol w:w="2551"/>
      <w:gridCol w:w="3722"/>
    </w:tblGrid>
    <w:tr w:rsidR="00425265" w14:paraId="2BFBC956" w14:textId="77777777">
      <w:tc>
        <w:tcPr>
          <w:tcW w:w="3261" w:type="dxa"/>
          <w:vMerge w:val="restart"/>
        </w:tcPr>
        <w:p w14:paraId="762A6962"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EF254DD" wp14:editId="21AE7A67">
                <wp:extent cx="1692162" cy="852673"/>
                <wp:effectExtent l="0" t="0" r="0" b="0"/>
                <wp:docPr id="1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419DC72"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7F2AE763" w14:textId="77777777" w:rsidR="00425265" w:rsidRDefault="000B4C53">
          <w:pPr>
            <w:jc w:val="both"/>
            <w:rPr>
              <w:rFonts w:ascii="Palatino Linotype" w:eastAsia="Palatino Linotype" w:hAnsi="Palatino Linotype" w:cs="Palatino Linotype"/>
              <w:b/>
            </w:rPr>
          </w:pPr>
          <w:r>
            <w:rPr>
              <w:rFonts w:ascii="Palatino Linotype" w:eastAsia="Palatino Linotype" w:hAnsi="Palatino Linotype" w:cs="Palatino Linotype"/>
              <w:b/>
            </w:rPr>
            <w:t>02187/INFOEM/IP/RR/2022 y acumulado</w:t>
          </w:r>
        </w:p>
      </w:tc>
    </w:tr>
    <w:tr w:rsidR="00425265" w14:paraId="68F6C2C3" w14:textId="77777777">
      <w:tc>
        <w:tcPr>
          <w:tcW w:w="3261" w:type="dxa"/>
          <w:vMerge/>
        </w:tcPr>
        <w:p w14:paraId="7567B232" w14:textId="77777777" w:rsidR="00425265" w:rsidRDefault="004252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262C0CB8"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02F0BFB2" w14:textId="77777777" w:rsidR="00425265" w:rsidRDefault="000B4C53">
          <w:pPr>
            <w:jc w:val="both"/>
            <w:rPr>
              <w:rFonts w:ascii="Palatino Linotype" w:eastAsia="Palatino Linotype" w:hAnsi="Palatino Linotype" w:cs="Palatino Linotype"/>
              <w:b/>
            </w:rPr>
          </w:pPr>
          <w:r>
            <w:rPr>
              <w:rFonts w:ascii="Palatino Linotype" w:eastAsia="Palatino Linotype" w:hAnsi="Palatino Linotype" w:cs="Palatino Linotype"/>
              <w:b/>
            </w:rPr>
            <w:t>Ayuntamiento de Metepec</w:t>
          </w:r>
        </w:p>
      </w:tc>
    </w:tr>
    <w:tr w:rsidR="00425265" w14:paraId="0E19E2AE" w14:textId="77777777">
      <w:trPr>
        <w:trHeight w:val="228"/>
      </w:trPr>
      <w:tc>
        <w:tcPr>
          <w:tcW w:w="3261" w:type="dxa"/>
          <w:vMerge/>
        </w:tcPr>
        <w:p w14:paraId="5D9AAE66" w14:textId="77777777" w:rsidR="00425265" w:rsidRDefault="004252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2215DB1"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5141297" w14:textId="77777777" w:rsidR="00425265" w:rsidRDefault="000B4C53">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1219ED0E" w14:textId="77777777" w:rsidR="00425265" w:rsidRDefault="00425265">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65E46" w14:textId="77777777" w:rsidR="00425265" w:rsidRDefault="00C9080A">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3D9A8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afffff7"/>
      <w:tblW w:w="9900" w:type="dxa"/>
      <w:tblInd w:w="-833" w:type="dxa"/>
      <w:tblLayout w:type="fixed"/>
      <w:tblLook w:val="0400" w:firstRow="0" w:lastRow="0" w:firstColumn="0" w:lastColumn="0" w:noHBand="0" w:noVBand="1"/>
    </w:tblPr>
    <w:tblGrid>
      <w:gridCol w:w="3805"/>
      <w:gridCol w:w="3000"/>
      <w:gridCol w:w="3095"/>
    </w:tblGrid>
    <w:tr w:rsidR="00425265" w14:paraId="46F5AFC1" w14:textId="77777777">
      <w:tc>
        <w:tcPr>
          <w:tcW w:w="3805" w:type="dxa"/>
          <w:vMerge w:val="restart"/>
          <w:shd w:val="clear" w:color="auto" w:fill="auto"/>
        </w:tcPr>
        <w:p w14:paraId="31DB5782" w14:textId="77777777" w:rsidR="00425265" w:rsidRDefault="000B4C53">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6D041E83" wp14:editId="52137390">
                <wp:extent cx="1692162" cy="852673"/>
                <wp:effectExtent l="0" t="0" r="0" b="0"/>
                <wp:docPr id="1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46B8D2EB"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3B806028" w14:textId="77777777" w:rsidR="00425265" w:rsidRDefault="000B4C53">
          <w:pPr>
            <w:jc w:val="both"/>
            <w:rPr>
              <w:rFonts w:ascii="Palatino Linotype" w:eastAsia="Palatino Linotype" w:hAnsi="Palatino Linotype" w:cs="Palatino Linotype"/>
              <w:b/>
            </w:rPr>
          </w:pPr>
          <w:r>
            <w:rPr>
              <w:rFonts w:ascii="Palatino Linotype" w:eastAsia="Palatino Linotype" w:hAnsi="Palatino Linotype" w:cs="Palatino Linotype"/>
              <w:b/>
            </w:rPr>
            <w:t>02187/INFOEM/IP/RR/2022 y acumulado</w:t>
          </w:r>
        </w:p>
      </w:tc>
    </w:tr>
    <w:tr w:rsidR="00425265" w14:paraId="153D4DD3" w14:textId="77777777">
      <w:tc>
        <w:tcPr>
          <w:tcW w:w="3805" w:type="dxa"/>
          <w:vMerge/>
          <w:shd w:val="clear" w:color="auto" w:fill="auto"/>
        </w:tcPr>
        <w:p w14:paraId="5A64550E" w14:textId="77777777" w:rsidR="00425265" w:rsidRDefault="004252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61FE109"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20090624" w14:textId="77777777" w:rsidR="00425265" w:rsidRDefault="00425265">
          <w:pPr>
            <w:jc w:val="both"/>
            <w:rPr>
              <w:rFonts w:ascii="Palatino Linotype" w:eastAsia="Palatino Linotype" w:hAnsi="Palatino Linotype" w:cs="Palatino Linotype"/>
              <w:b/>
            </w:rPr>
          </w:pPr>
        </w:p>
      </w:tc>
    </w:tr>
    <w:tr w:rsidR="00425265" w14:paraId="0A75653D" w14:textId="77777777">
      <w:trPr>
        <w:trHeight w:val="228"/>
      </w:trPr>
      <w:tc>
        <w:tcPr>
          <w:tcW w:w="3805" w:type="dxa"/>
          <w:vMerge/>
          <w:shd w:val="clear" w:color="auto" w:fill="auto"/>
        </w:tcPr>
        <w:p w14:paraId="6BDF5AB6" w14:textId="77777777" w:rsidR="00425265" w:rsidRDefault="004252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2A7E7C2"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2E72F031" w14:textId="77777777" w:rsidR="00425265" w:rsidRDefault="000B4C5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Metepec </w:t>
          </w:r>
        </w:p>
      </w:tc>
    </w:tr>
    <w:tr w:rsidR="00425265" w14:paraId="091A634E" w14:textId="77777777">
      <w:tc>
        <w:tcPr>
          <w:tcW w:w="3805" w:type="dxa"/>
          <w:vMerge/>
          <w:shd w:val="clear" w:color="auto" w:fill="auto"/>
        </w:tcPr>
        <w:p w14:paraId="54B99C0B" w14:textId="77777777" w:rsidR="00425265" w:rsidRDefault="00425265">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A42564" w14:textId="77777777" w:rsidR="00425265" w:rsidRDefault="000B4C5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073B4D8A" w14:textId="77777777" w:rsidR="00425265" w:rsidRDefault="000B4C53">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4605557" w14:textId="77777777" w:rsidR="00425265" w:rsidRDefault="00425265">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A6494A"/>
    <w:multiLevelType w:val="multilevel"/>
    <w:tmpl w:val="A8A8A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A81A73"/>
    <w:multiLevelType w:val="multilevel"/>
    <w:tmpl w:val="CC9E5A26"/>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69407DA"/>
    <w:multiLevelType w:val="multilevel"/>
    <w:tmpl w:val="E0244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044D16"/>
    <w:multiLevelType w:val="multilevel"/>
    <w:tmpl w:val="283CD1A8"/>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265"/>
    <w:rsid w:val="000B4C53"/>
    <w:rsid w:val="00343590"/>
    <w:rsid w:val="00425265"/>
    <w:rsid w:val="004F61E1"/>
    <w:rsid w:val="00882D4E"/>
    <w:rsid w:val="00A11C5E"/>
    <w:rsid w:val="00C9080A"/>
    <w:rsid w:val="00EE3E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EA0692"/>
  <w15:docId w15:val="{3141C512-5EF9-4FB0-A43F-FE6DE790E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895"/>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f1"/>
    <w:tblPr>
      <w:tblStyleRowBandSize w:val="1"/>
      <w:tblStyleColBandSize w:val="1"/>
      <w:tblCellMar>
        <w:top w:w="100" w:type="dxa"/>
        <w:left w:w="100" w:type="dxa"/>
        <w:bottom w:w="100" w:type="dxa"/>
        <w:right w:w="100" w:type="dxa"/>
      </w:tblCellMar>
    </w:tblPr>
  </w:style>
  <w:style w:type="table" w:customStyle="1" w:styleId="a0">
    <w:basedOn w:val="TableNormalf1"/>
    <w:tblPr>
      <w:tblStyleRowBandSize w:val="1"/>
      <w:tblStyleColBandSize w:val="1"/>
      <w:tblCellMar>
        <w:left w:w="115" w:type="dxa"/>
        <w:right w:w="115" w:type="dxa"/>
      </w:tblCellMar>
    </w:tblPr>
  </w:style>
  <w:style w:type="table" w:customStyle="1" w:styleId="a1">
    <w:basedOn w:val="TableNormalf1"/>
    <w:tblPr>
      <w:tblStyleRowBandSize w:val="1"/>
      <w:tblStyleColBandSize w:val="1"/>
      <w:tblCellMar>
        <w:left w:w="115" w:type="dxa"/>
        <w:right w:w="115" w:type="dxa"/>
      </w:tblCellMar>
    </w:tblPr>
  </w:style>
  <w:style w:type="table" w:customStyle="1" w:styleId="a2">
    <w:basedOn w:val="TableNormalf1"/>
    <w:tblPr>
      <w:tblStyleRowBandSize w:val="1"/>
      <w:tblStyleColBandSize w:val="1"/>
      <w:tblCellMar>
        <w:left w:w="115" w:type="dxa"/>
        <w:right w:w="115" w:type="dxa"/>
      </w:tblCellMar>
    </w:tblPr>
  </w:style>
  <w:style w:type="table" w:customStyle="1" w:styleId="a3">
    <w:basedOn w:val="TableNormalf1"/>
    <w:tblPr>
      <w:tblStyleRowBandSize w:val="1"/>
      <w:tblStyleColBandSize w:val="1"/>
      <w:tblCellMar>
        <w:left w:w="115" w:type="dxa"/>
        <w:right w:w="115" w:type="dxa"/>
      </w:tblCellMar>
    </w:tblPr>
  </w:style>
  <w:style w:type="table" w:customStyle="1" w:styleId="a4">
    <w:basedOn w:val="TableNormalf1"/>
    <w:tblPr>
      <w:tblStyleRowBandSize w:val="1"/>
      <w:tblStyleColBandSize w:val="1"/>
      <w:tblCellMar>
        <w:left w:w="115" w:type="dxa"/>
        <w:right w:w="115" w:type="dxa"/>
      </w:tblCellMar>
    </w:tblPr>
  </w:style>
  <w:style w:type="table" w:customStyle="1" w:styleId="a5">
    <w:basedOn w:val="TableNormalf1"/>
    <w:rPr>
      <w:rFonts w:ascii="Arial" w:eastAsia="Arial" w:hAnsi="Arial" w:cs="Arial"/>
      <w:sz w:val="22"/>
      <w:szCs w:val="22"/>
    </w:rPr>
    <w:tblPr>
      <w:tblStyleRowBandSize w:val="1"/>
      <w:tblStyleColBandSize w:val="1"/>
      <w:tblCellMar>
        <w:left w:w="115" w:type="dxa"/>
        <w:right w:w="115" w:type="dxa"/>
      </w:tblCellMar>
    </w:tblPr>
  </w:style>
  <w:style w:type="table" w:customStyle="1" w:styleId="a6">
    <w:basedOn w:val="TableNormalf1"/>
    <w:tblPr>
      <w:tblStyleRowBandSize w:val="1"/>
      <w:tblStyleColBandSize w:val="1"/>
      <w:tblCellMar>
        <w:left w:w="115" w:type="dxa"/>
        <w:right w:w="115" w:type="dxa"/>
      </w:tblCellMar>
    </w:tblPr>
  </w:style>
  <w:style w:type="table" w:customStyle="1" w:styleId="a7">
    <w:basedOn w:val="TableNormalf1"/>
    <w:tblPr>
      <w:tblStyleRowBandSize w:val="1"/>
      <w:tblStyleColBandSize w:val="1"/>
      <w:tblCellMar>
        <w:left w:w="115" w:type="dxa"/>
        <w:right w:w="115" w:type="dxa"/>
      </w:tblCellMar>
    </w:tblPr>
  </w:style>
  <w:style w:type="table" w:customStyle="1" w:styleId="a8">
    <w:basedOn w:val="TableNormalf1"/>
    <w:rPr>
      <w:rFonts w:ascii="Arial" w:eastAsia="Arial" w:hAnsi="Arial" w:cs="Arial"/>
      <w:sz w:val="22"/>
      <w:szCs w:val="22"/>
    </w:rPr>
    <w:tblPr>
      <w:tblStyleRowBandSize w:val="1"/>
      <w:tblStyleColBandSize w:val="1"/>
      <w:tblCellMar>
        <w:left w:w="115" w:type="dxa"/>
        <w:right w:w="115" w:type="dxa"/>
      </w:tblCellMar>
    </w:tblPr>
  </w:style>
  <w:style w:type="table" w:customStyle="1" w:styleId="a9">
    <w:basedOn w:val="TableNormalf1"/>
    <w:rPr>
      <w:rFonts w:ascii="Arial" w:eastAsia="Arial" w:hAnsi="Arial" w:cs="Arial"/>
      <w:sz w:val="22"/>
      <w:szCs w:val="22"/>
    </w:rPr>
    <w:tblPr>
      <w:tblStyleRowBandSize w:val="1"/>
      <w:tblStyleColBandSize w:val="1"/>
      <w:tblCellMar>
        <w:left w:w="115" w:type="dxa"/>
        <w:right w:w="115" w:type="dxa"/>
      </w:tblCellMar>
    </w:tblPr>
  </w:style>
  <w:style w:type="table" w:customStyle="1" w:styleId="aa">
    <w:basedOn w:val="TableNormale"/>
    <w:rPr>
      <w:rFonts w:ascii="Arial" w:eastAsia="Arial" w:hAnsi="Arial" w:cs="Arial"/>
      <w:sz w:val="22"/>
      <w:szCs w:val="22"/>
    </w:rPr>
    <w:tblPr>
      <w:tblStyleRowBandSize w:val="1"/>
      <w:tblStyleColBandSize w:val="1"/>
      <w:tblCellMar>
        <w:left w:w="115" w:type="dxa"/>
        <w:right w:w="115" w:type="dxa"/>
      </w:tblCellMar>
    </w:tblPr>
  </w:style>
  <w:style w:type="table" w:customStyle="1" w:styleId="ab">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c">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d">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e">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e"/>
    <w:tblPr>
      <w:tblStyleRowBandSize w:val="1"/>
      <w:tblStyleColBandSize w:val="1"/>
      <w:tblCellMar>
        <w:top w:w="100" w:type="dxa"/>
        <w:left w:w="100" w:type="dxa"/>
        <w:bottom w:w="100" w:type="dxa"/>
        <w:right w:w="100" w:type="dxa"/>
      </w:tblCellMar>
    </w:tblPr>
  </w:style>
  <w:style w:type="table" w:customStyle="1" w:styleId="af4">
    <w:basedOn w:val="TableNormale"/>
    <w:tblPr>
      <w:tblStyleRowBandSize w:val="1"/>
      <w:tblStyleColBandSize w:val="1"/>
      <w:tblCellMar>
        <w:top w:w="100" w:type="dxa"/>
        <w:left w:w="100" w:type="dxa"/>
        <w:bottom w:w="100" w:type="dxa"/>
        <w:right w:w="100" w:type="dxa"/>
      </w:tblCellMar>
    </w:tblPr>
  </w:style>
  <w:style w:type="table" w:customStyle="1" w:styleId="af5">
    <w:basedOn w:val="TableNormale"/>
    <w:tblPr>
      <w:tblStyleRowBandSize w:val="1"/>
      <w:tblStyleColBandSize w:val="1"/>
      <w:tblCellMar>
        <w:top w:w="100" w:type="dxa"/>
        <w:left w:w="100" w:type="dxa"/>
        <w:bottom w:w="100" w:type="dxa"/>
        <w:right w:w="100" w:type="dxa"/>
      </w:tblCellMar>
    </w:tblPr>
  </w:style>
  <w:style w:type="table" w:customStyle="1" w:styleId="af6">
    <w:basedOn w:val="TableNormale"/>
    <w:tblPr>
      <w:tblStyleRowBandSize w:val="1"/>
      <w:tblStyleColBandSize w:val="1"/>
      <w:tblCellMar>
        <w:top w:w="100" w:type="dxa"/>
        <w:left w:w="100" w:type="dxa"/>
        <w:bottom w:w="100" w:type="dxa"/>
        <w:right w:w="100" w:type="dxa"/>
      </w:tblCellMar>
    </w:tblPr>
  </w:style>
  <w:style w:type="table" w:customStyle="1" w:styleId="af7">
    <w:basedOn w:val="TableNormale"/>
    <w:tblPr>
      <w:tblStyleRowBandSize w:val="1"/>
      <w:tblStyleColBandSize w:val="1"/>
      <w:tblCellMar>
        <w:top w:w="100" w:type="dxa"/>
        <w:left w:w="100" w:type="dxa"/>
        <w:bottom w:w="100" w:type="dxa"/>
        <w:right w:w="100" w:type="dxa"/>
      </w:tblCellMar>
    </w:tblPr>
  </w:style>
  <w:style w:type="table" w:customStyle="1" w:styleId="af8">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a">
    <w:basedOn w:val="TableNormale"/>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b">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c">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d">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e">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0">
    <w:basedOn w:val="TableNormala"/>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6">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7">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8">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9">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a">
    <w:basedOn w:val="TableNormal9"/>
    <w:rPr>
      <w:rFonts w:ascii="Arial" w:eastAsia="Arial" w:hAnsi="Arial" w:cs="Arial"/>
      <w:sz w:val="22"/>
      <w:szCs w:val="22"/>
    </w:rPr>
    <w:tblPr>
      <w:tblStyleRowBandSize w:val="1"/>
      <w:tblStyleColBandSize w:val="1"/>
      <w:tblCellMar>
        <w:left w:w="115" w:type="dxa"/>
        <w:right w:w="115" w:type="dxa"/>
      </w:tblCellMar>
    </w:tblPr>
  </w:style>
  <w:style w:type="table" w:customStyle="1" w:styleId="af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0">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6">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7">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8">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9">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a">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b">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c">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d">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e">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6">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7">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8">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9">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a">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b">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c">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d">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e">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0">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1">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2">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3">
    <w:basedOn w:val="TableNormal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4">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5">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6">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afffff7">
    <w:basedOn w:val="TableNormal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pomex.org.mx/ipo3/lgt/indice/METEPEC/art_92_xiii.web"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3tL5ye8WmsPlutVuWIFbknLTP/g==">AMUW2mUljvzKOz7bll4sqSkqq+/4i0+qBYAPhXy1yWJGJOa4K6K/xIFMHD6rxUKZjHBsUvR2RziM8pfaKgfF1lII/VEGr7R0nznpuJ3uT53DniBw9GmD30quhoIz/6OGyx8i9GpVhJnPae14spue41fTw4Rv0p2N82wwwYyzHfcX55gftXYvRfQAcESn1S0F/kyAujsoC/C5qvJj8GJs6FSzyYAbi0mgcykHUHpabzjn9mQeGvIaF3miSKgjQEf/OAIQjsYbVj1X5JSrj5ufm5/VBcphG4KElnE7XP4f3Xwwj2KCiFbyuI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33</Pages>
  <Words>7206</Words>
  <Characters>39635</Characters>
  <Application>Microsoft Office Word</Application>
  <DocSecurity>0</DocSecurity>
  <Lines>330</Lines>
  <Paragraphs>93</Paragraphs>
  <ScaleCrop>false</ScaleCrop>
  <Company/>
  <LinksUpToDate>false</LinksUpToDate>
  <CharactersWithSpaces>46748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cp:lastModifiedBy>
  <cp:revision>6</cp:revision>
  <cp:lastPrinted>2022-05-23T05:41:00Z</cp:lastPrinted>
  <dcterms:created xsi:type="dcterms:W3CDTF">2022-05-13T01:48:00Z</dcterms:created>
  <dcterms:modified xsi:type="dcterms:W3CDTF">2022-06-14T18:23:00Z</dcterms:modified>
</cp:coreProperties>
</file>