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A9D1D"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diecisiete de agosto de dos mil veintidós. </w:t>
      </w:r>
    </w:p>
    <w:p w14:paraId="1B0A44E5" w14:textId="77777777" w:rsidR="000A28F9" w:rsidRDefault="000A28F9">
      <w:pPr>
        <w:spacing w:line="360" w:lineRule="auto"/>
        <w:jc w:val="both"/>
        <w:rPr>
          <w:rFonts w:ascii="Palatino Linotype" w:eastAsia="Palatino Linotype" w:hAnsi="Palatino Linotype" w:cs="Palatino Linotype"/>
        </w:rPr>
      </w:pPr>
    </w:p>
    <w:p w14:paraId="7401B31F" w14:textId="6AA88EDC"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08707/INFOEM/IP/RR/2022, </w:t>
      </w:r>
      <w:r>
        <w:rPr>
          <w:rFonts w:ascii="Palatino Linotype" w:eastAsia="Palatino Linotype" w:hAnsi="Palatino Linotype" w:cs="Palatino Linotype"/>
        </w:rPr>
        <w:t xml:space="preserve">promovido por la </w:t>
      </w:r>
      <w:r>
        <w:rPr>
          <w:rFonts w:ascii="Palatino Linotype" w:eastAsia="Palatino Linotype" w:hAnsi="Palatino Linotype" w:cs="Palatino Linotype"/>
          <w:b/>
        </w:rPr>
        <w:t xml:space="preserve">C. </w:t>
      </w:r>
      <w:bookmarkStart w:id="0" w:name="_GoBack"/>
      <w:r w:rsidR="002B1CE0">
        <w:rPr>
          <w:rFonts w:ascii="Palatino Linotype" w:eastAsia="Palatino Linotype" w:hAnsi="Palatino Linotype" w:cs="Palatino Linotype"/>
          <w:b/>
        </w:rPr>
        <w:t>XXXXXX XXXXXX</w:t>
      </w:r>
      <w:bookmarkEnd w:id="0"/>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denominara como</w:t>
      </w:r>
      <w:r>
        <w:rPr>
          <w:rFonts w:ascii="Palatino Linotype" w:eastAsia="Palatino Linotype" w:hAnsi="Palatino Linotype" w:cs="Palatino Linotype"/>
          <w:b/>
        </w:rPr>
        <w:t xml:space="preserve"> LA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Tenancingo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0041935E" w14:textId="77777777" w:rsidR="000A28F9" w:rsidRDefault="000A28F9">
      <w:pPr>
        <w:spacing w:line="360" w:lineRule="auto"/>
        <w:jc w:val="both"/>
        <w:rPr>
          <w:rFonts w:ascii="Palatino Linotype" w:eastAsia="Palatino Linotype" w:hAnsi="Palatino Linotype" w:cs="Palatino Linotype"/>
          <w:b/>
        </w:rPr>
      </w:pPr>
    </w:p>
    <w:p w14:paraId="6EBF2E39" w14:textId="77777777" w:rsidR="000A28F9" w:rsidRDefault="00D309E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375D3FF0" w14:textId="77777777" w:rsidR="000A28F9" w:rsidRDefault="000A28F9">
      <w:pPr>
        <w:rPr>
          <w:rFonts w:ascii="Palatino Linotype" w:eastAsia="Palatino Linotype" w:hAnsi="Palatino Linotype" w:cs="Palatino Linotype"/>
          <w:b/>
        </w:rPr>
      </w:pPr>
    </w:p>
    <w:p w14:paraId="0F6AAC63" w14:textId="77777777" w:rsidR="000A28F9" w:rsidRDefault="00D309E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0A640F69" w14:textId="77777777" w:rsidR="000A28F9" w:rsidRDefault="00D309EA">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Pr>
          <w:rFonts w:ascii="Palatino Linotype" w:eastAsia="Palatino Linotype" w:hAnsi="Palatino Linotype" w:cs="Palatino Linotype"/>
        </w:rPr>
        <w:t xml:space="preserve"> En fecha dieciocho de abril de dos mil veintidós,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00412/TENANCIN/IP/2022, </w:t>
      </w:r>
      <w:r>
        <w:rPr>
          <w:rFonts w:ascii="Palatino Linotype" w:eastAsia="Palatino Linotype" w:hAnsi="Palatino Linotype" w:cs="Palatino Linotype"/>
        </w:rPr>
        <w:t>requirió, lo siguiente:</w:t>
      </w:r>
    </w:p>
    <w:p w14:paraId="3BAFE086" w14:textId="77777777" w:rsidR="000A28F9" w:rsidRDefault="00D309EA">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“solicito los recibos en versión pública del pago de prima vacacional, del presidente municipal, sindica y los siete regidores, así también como del secretario del ayuntamiento, tesorero, contralor, secretaria técnica.” (sic)</w:t>
      </w:r>
    </w:p>
    <w:p w14:paraId="6545430D" w14:textId="77777777" w:rsidR="000A28F9" w:rsidRDefault="000A28F9">
      <w:pPr>
        <w:tabs>
          <w:tab w:val="left" w:pos="851"/>
        </w:tabs>
        <w:ind w:right="901"/>
        <w:jc w:val="both"/>
        <w:rPr>
          <w:rFonts w:ascii="Palatino Linotype" w:eastAsia="Palatino Linotype" w:hAnsi="Palatino Linotype" w:cs="Palatino Linotype"/>
          <w:sz w:val="22"/>
          <w:szCs w:val="22"/>
        </w:rPr>
      </w:pPr>
    </w:p>
    <w:p w14:paraId="2D2A49C7" w14:textId="77777777" w:rsidR="000A28F9" w:rsidRDefault="00D309EA">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4A5D1B07" w14:textId="77777777" w:rsidR="000A28F9" w:rsidRDefault="000A28F9">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70E2BD2C" w14:textId="77777777" w:rsidR="000A28F9" w:rsidRDefault="00D309E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 Turno de requerimiento del Sujeto Obligado</w:t>
      </w:r>
    </w:p>
    <w:p w14:paraId="458034D3"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advierte en fecha dieciocho de abril del dos mil veintidós el  turno de requerimiento hecho al servidor público habilitado que estimó competente, en términos de lo establecido por el artículo 162 de la Ley de Transparencia y Acceso a la Información Pública del Estado de México y Municipios.</w:t>
      </w:r>
    </w:p>
    <w:p w14:paraId="62775599" w14:textId="77777777" w:rsidR="000A28F9" w:rsidRDefault="00D309E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171BAB59" w14:textId="77777777" w:rsidR="000A28F9" w:rsidRDefault="00D309E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1B8923DD"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nueve de mayo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7731A767" w14:textId="77777777" w:rsidR="000A28F9" w:rsidRDefault="00D309E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F01D9E" w14:textId="77777777" w:rsidR="000A28F9" w:rsidRDefault="00D309EA">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SE REMITE RESPUESTA A LA SOLICITUD.”(Sic)</w:t>
      </w:r>
    </w:p>
    <w:p w14:paraId="04AD1257" w14:textId="77777777" w:rsidR="000A28F9" w:rsidRDefault="000A28F9">
      <w:pPr>
        <w:spacing w:line="360" w:lineRule="auto"/>
        <w:jc w:val="both"/>
        <w:rPr>
          <w:rFonts w:ascii="Palatino Linotype" w:eastAsia="Palatino Linotype" w:hAnsi="Palatino Linotype" w:cs="Palatino Linotype"/>
        </w:rPr>
      </w:pPr>
    </w:p>
    <w:p w14:paraId="7EA54235"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 su respuesta dos archivos, el primero de ellos de nombre </w:t>
      </w:r>
      <w:r>
        <w:rPr>
          <w:rFonts w:ascii="Palatino Linotype" w:eastAsia="Palatino Linotype" w:hAnsi="Palatino Linotype" w:cs="Palatino Linotype"/>
          <w:i/>
        </w:rPr>
        <w:t>412-RESP-TESO.pdf</w:t>
      </w:r>
      <w:r>
        <w:rPr>
          <w:rFonts w:ascii="Palatino Linotype" w:eastAsia="Palatino Linotype" w:hAnsi="Palatino Linotype" w:cs="Palatino Linotype"/>
        </w:rPr>
        <w:t xml:space="preserve"> de cuyo contenido se advierte el documento firmado por la Tesorería Municipal en fecha veinticinco de abril de dos mil veintidós, mediante el cual solicita la aprobación del cambio de modalidad a consulta directa de la información solicitada </w:t>
      </w:r>
    </w:p>
    <w:p w14:paraId="24E9EAB5" w14:textId="77777777" w:rsidR="000A28F9" w:rsidRDefault="000A28F9">
      <w:pPr>
        <w:spacing w:line="360" w:lineRule="auto"/>
        <w:jc w:val="both"/>
        <w:rPr>
          <w:rFonts w:ascii="Palatino Linotype" w:eastAsia="Palatino Linotype" w:hAnsi="Palatino Linotype" w:cs="Palatino Linotype"/>
        </w:rPr>
      </w:pPr>
    </w:p>
    <w:p w14:paraId="3CDDFA8B"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segundo documento denominado </w:t>
      </w:r>
      <w:r>
        <w:rPr>
          <w:rFonts w:ascii="Palatino Linotype" w:eastAsia="Palatino Linotype" w:hAnsi="Palatino Linotype" w:cs="Palatino Linotype"/>
          <w:i/>
        </w:rPr>
        <w:t>novena sesion extraordinaria.pdf</w:t>
      </w:r>
      <w:r>
        <w:rPr>
          <w:rFonts w:ascii="Palatino Linotype" w:eastAsia="Palatino Linotype" w:hAnsi="Palatino Linotype" w:cs="Palatino Linotype"/>
        </w:rPr>
        <w:t xml:space="preserve"> contiene el acta de la Novena Sesión Extraordinaria del Comité de Transparencia del </w:t>
      </w:r>
      <w:r>
        <w:rPr>
          <w:rFonts w:ascii="Palatino Linotype" w:eastAsia="Palatino Linotype" w:hAnsi="Palatino Linotype" w:cs="Palatino Linotype"/>
          <w:b/>
        </w:rPr>
        <w:t xml:space="preserve">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xml:space="preserve"> celebrada en fecha nueve de mayo de dos mil veintidós mediante la cual se aprobó el cambio de modalidad a consulta directa de diversas solicitudes, entre ellas la que nos ocupa. </w:t>
      </w:r>
    </w:p>
    <w:p w14:paraId="2AE189B4" w14:textId="77777777" w:rsidR="000A28F9" w:rsidRDefault="000A28F9">
      <w:pPr>
        <w:spacing w:line="360" w:lineRule="auto"/>
        <w:jc w:val="both"/>
        <w:rPr>
          <w:rFonts w:ascii="Palatino Linotype" w:eastAsia="Palatino Linotype" w:hAnsi="Palatino Linotype" w:cs="Palatino Linotype"/>
        </w:rPr>
      </w:pPr>
    </w:p>
    <w:p w14:paraId="296C84C0" w14:textId="77777777" w:rsidR="000A28F9" w:rsidRDefault="00D309EA">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432D82BB" w14:textId="77777777" w:rsidR="000A28F9" w:rsidRDefault="00D309E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diecinueve de mayo de dos mil veintidós,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08707/INFOEM/IP/RR/2022, </w:t>
      </w:r>
      <w:r>
        <w:rPr>
          <w:rFonts w:ascii="Palatino Linotype" w:eastAsia="Palatino Linotype" w:hAnsi="Palatino Linotype" w:cs="Palatino Linotype"/>
        </w:rPr>
        <w:t xml:space="preserve">donde los motivos de agravio de </w:t>
      </w: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fueron los siguientes:</w:t>
      </w:r>
    </w:p>
    <w:p w14:paraId="43FD16A0" w14:textId="77777777" w:rsidR="000A28F9" w:rsidRDefault="000A28F9">
      <w:pPr>
        <w:widowControl w:val="0"/>
        <w:spacing w:line="360" w:lineRule="auto"/>
        <w:jc w:val="both"/>
        <w:rPr>
          <w:rFonts w:ascii="Palatino Linotype" w:eastAsia="Palatino Linotype" w:hAnsi="Palatino Linotype" w:cs="Palatino Linotype"/>
        </w:rPr>
      </w:pPr>
    </w:p>
    <w:p w14:paraId="5F59D808" w14:textId="77777777" w:rsidR="000A28F9" w:rsidRDefault="00D309EA">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14C197EE" w14:textId="77777777" w:rsidR="000A28F9" w:rsidRDefault="00D309EA">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sujeto obligado hizo cambio de modalidad”(sic)</w:t>
      </w:r>
    </w:p>
    <w:p w14:paraId="61EE43F3" w14:textId="77777777" w:rsidR="000A28F9" w:rsidRDefault="000A28F9">
      <w:pPr>
        <w:ind w:right="899"/>
        <w:jc w:val="both"/>
        <w:rPr>
          <w:rFonts w:ascii="Palatino Linotype" w:eastAsia="Palatino Linotype" w:hAnsi="Palatino Linotype" w:cs="Palatino Linotype"/>
        </w:rPr>
      </w:pPr>
    </w:p>
    <w:p w14:paraId="0CB1ADDA" w14:textId="77777777" w:rsidR="000A28F9" w:rsidRDefault="00D309EA">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17673F3E" w14:textId="77777777" w:rsidR="000A28F9" w:rsidRDefault="00D309EA">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“Es evidente que no están cumpliendo con sus obligaciones el sujeto obligado.”(sic)</w:t>
      </w:r>
    </w:p>
    <w:p w14:paraId="6EF1E617" w14:textId="77777777" w:rsidR="000A28F9" w:rsidRDefault="000A28F9">
      <w:pPr>
        <w:spacing w:line="360" w:lineRule="auto"/>
        <w:jc w:val="both"/>
        <w:rPr>
          <w:rFonts w:ascii="Palatino Linotype" w:eastAsia="Palatino Linotype" w:hAnsi="Palatino Linotype" w:cs="Palatino Linotype"/>
        </w:rPr>
      </w:pPr>
    </w:p>
    <w:p w14:paraId="511505E1" w14:textId="77777777" w:rsidR="000A28F9" w:rsidRDefault="000A28F9">
      <w:pPr>
        <w:spacing w:line="360" w:lineRule="auto"/>
        <w:jc w:val="both"/>
        <w:rPr>
          <w:rFonts w:ascii="Palatino Linotype" w:eastAsia="Palatino Linotype" w:hAnsi="Palatino Linotype" w:cs="Palatino Linotype"/>
        </w:rPr>
      </w:pPr>
    </w:p>
    <w:p w14:paraId="2E8F5697" w14:textId="77777777" w:rsidR="000A28F9" w:rsidRDefault="00D309EA">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4BF9AE21"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diecinueve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Pr>
          <w:rFonts w:ascii="Palatino Linotype" w:eastAsia="Palatino Linotype" w:hAnsi="Palatino Linotype" w:cs="Palatino Linotype"/>
        </w:rPr>
        <w:lastRenderedPageBreak/>
        <w:t xml:space="preserve">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449A0892" w14:textId="77777777" w:rsidR="000A28F9" w:rsidRDefault="000A28F9">
      <w:pPr>
        <w:spacing w:line="360" w:lineRule="auto"/>
        <w:jc w:val="both"/>
        <w:rPr>
          <w:rFonts w:ascii="Palatino Linotype" w:eastAsia="Palatino Linotype" w:hAnsi="Palatino Linotype" w:cs="Palatino Linotype"/>
        </w:rPr>
      </w:pPr>
    </w:p>
    <w:p w14:paraId="6447A80C" w14:textId="77777777" w:rsidR="000A28F9" w:rsidRDefault="00D309EA">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2C06BA7D" w14:textId="77777777" w:rsidR="000A28F9" w:rsidRDefault="00D309EA">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veintitrés de mayo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92D16FE" w14:textId="77777777" w:rsidR="000A28F9" w:rsidRDefault="000A28F9">
      <w:pPr>
        <w:tabs>
          <w:tab w:val="center" w:pos="4252"/>
          <w:tab w:val="right" w:pos="8504"/>
        </w:tabs>
        <w:spacing w:line="360" w:lineRule="auto"/>
        <w:jc w:val="both"/>
        <w:rPr>
          <w:rFonts w:ascii="Palatino Linotype" w:eastAsia="Palatino Linotype" w:hAnsi="Palatino Linotype" w:cs="Palatino Linotype"/>
        </w:rPr>
      </w:pPr>
    </w:p>
    <w:p w14:paraId="71D7CFFC" w14:textId="77777777" w:rsidR="000A28F9" w:rsidRDefault="00D309E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7F52DBD9" w14:textId="77777777" w:rsidR="000A28F9" w:rsidRDefault="00D309EA">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presentar su informe justificado correspondiente. </w:t>
      </w:r>
    </w:p>
    <w:p w14:paraId="28C903DA" w14:textId="77777777" w:rsidR="000A28F9" w:rsidRDefault="000A28F9">
      <w:pPr>
        <w:widowControl w:val="0"/>
        <w:tabs>
          <w:tab w:val="left" w:pos="0"/>
        </w:tabs>
        <w:spacing w:line="360" w:lineRule="auto"/>
        <w:jc w:val="both"/>
        <w:rPr>
          <w:rFonts w:ascii="Palatino Linotype" w:eastAsia="Palatino Linotype" w:hAnsi="Palatino Linotype" w:cs="Palatino Linotype"/>
          <w:b/>
        </w:rPr>
      </w:pPr>
    </w:p>
    <w:p w14:paraId="42A58AF3" w14:textId="77777777" w:rsidR="000A28F9" w:rsidRDefault="00D309EA">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c) De la ampliación </w:t>
      </w:r>
    </w:p>
    <w:p w14:paraId="63D0746D" w14:textId="77777777" w:rsidR="000A28F9" w:rsidRDefault="00D309EA">
      <w:pPr>
        <w:spacing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En fecha siete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4F0F65DE" w14:textId="77777777" w:rsidR="000A28F9" w:rsidRDefault="000A28F9">
      <w:pPr>
        <w:shd w:val="clear" w:color="auto" w:fill="FFFFFF"/>
        <w:spacing w:line="360" w:lineRule="auto"/>
        <w:jc w:val="both"/>
        <w:rPr>
          <w:rFonts w:ascii="Palatino Linotype" w:eastAsia="Palatino Linotype" w:hAnsi="Palatino Linotype" w:cs="Palatino Linotype"/>
        </w:rPr>
      </w:pPr>
    </w:p>
    <w:p w14:paraId="1CC3E18C" w14:textId="77777777" w:rsidR="000A28F9"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B080EB"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4E6EAC" w14:textId="77777777" w:rsidR="00D309EA" w:rsidRDefault="00D309EA">
      <w:pPr>
        <w:shd w:val="clear" w:color="auto" w:fill="FFFFFF"/>
        <w:spacing w:line="360" w:lineRule="auto"/>
        <w:jc w:val="both"/>
        <w:rPr>
          <w:rFonts w:ascii="Palatino Linotype" w:eastAsia="Palatino Linotype" w:hAnsi="Palatino Linotype" w:cs="Palatino Linotype"/>
        </w:rPr>
      </w:pPr>
    </w:p>
    <w:p w14:paraId="5AF871E8"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36BEAE"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3DD42E"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atentos a los siguientes criterios: </w:t>
      </w:r>
    </w:p>
    <w:p w14:paraId="5A01C0AD"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Pr>
          <w:rFonts w:ascii="Palatino Linotype" w:eastAsia="Palatino Linotype" w:hAnsi="Palatino Linotype" w:cs="Palatino Linotype"/>
        </w:rPr>
        <w:br/>
        <w:t>b)     Actividad Procesal del interesado: Acciones u omisiones del interesado.</w:t>
      </w:r>
      <w:r>
        <w:rPr>
          <w:rFonts w:ascii="Palatino Linotype" w:eastAsia="Palatino Linotype" w:hAnsi="Palatino Linotype" w:cs="Palatino Linotype"/>
        </w:rPr>
        <w:br/>
        <w:t>c)      Conducta de la Autoridad: Las Acciones u omisiones realizadas en el procedimiento. Así como si la autoridad actuó con la debida diligencia.</w:t>
      </w:r>
      <w:r>
        <w:rPr>
          <w:rFonts w:ascii="Palatino Linotype" w:eastAsia="Palatino Linotype" w:hAnsi="Palatino Linotype" w:cs="Palatino Linotype"/>
        </w:rPr>
        <w:br/>
        <w:t>d) La afectación generada en la situación jurídica de la persona involucrada en el proceso: Violación a sus derechos humanos.</w:t>
      </w:r>
      <w:r>
        <w:rPr>
          <w:rFonts w:ascii="Palatino Linotype" w:eastAsia="Palatino Linotype" w:hAnsi="Palatino Linotype" w:cs="Palatino Linotype"/>
        </w:rPr>
        <w:br/>
      </w:r>
      <w:r>
        <w:rPr>
          <w:rFonts w:ascii="Palatino Linotype" w:eastAsia="Palatino Linotype" w:hAnsi="Palatino Linotype" w:cs="Palatino Linotype"/>
        </w:rPr>
        <w:br/>
      </w: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499022"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Pr>
          <w:rFonts w:ascii="Palatino Linotype" w:eastAsia="Palatino Linotype" w:hAnsi="Palatino Linotype" w:cs="Palatino Linotype"/>
        </w:rPr>
        <w:br/>
      </w:r>
      <w:r>
        <w:rPr>
          <w:rFonts w:ascii="Palatino Linotype" w:eastAsia="Palatino Linotype" w:hAnsi="Palatino Linotype" w:cs="Palatino Linotype"/>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Pr>
          <w:rFonts w:ascii="Palatino Linotype" w:eastAsia="Palatino Linotype" w:hAnsi="Palatino Linotype" w:cs="Palatino Linotype"/>
        </w:rPr>
        <w:lastRenderedPageBreak/>
        <w:t>términos legales previamente establecidos por la Ley, por tratarse de causas de fuerza mayor.</w:t>
      </w:r>
    </w:p>
    <w:p w14:paraId="712B0F50"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p>
    <w:p w14:paraId="1BF75B4A"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DIMENSIÓN Y EFECTOS DE ESTE CONCEPTO CUANDO SE ADUCE EXCESIVA CARGA DE TRABAJO.” consultable en el Seminario Judicial de la Federación y su gaceta, con el registro digital 2002351.</w:t>
      </w:r>
    </w:p>
    <w:p w14:paraId="7B75D6A8" w14:textId="77777777" w:rsidR="00D309EA" w:rsidRDefault="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CONCEPTO Y ELEMENTOS QUE LO INTEGRAN A LA LUZ DEL DERECHO INTERNACIONAL DE LOS DERECHOS HUMANOS.”, visible en el Seminario Judicial de la Federación y su gaceta, con el registro digital 2002350.</w:t>
      </w:r>
    </w:p>
    <w:p w14:paraId="72B8F4BF" w14:textId="77777777" w:rsidR="000A28F9" w:rsidRDefault="00D309EA" w:rsidP="00D309EA">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Por ello, este organismo garante comprometido con la tutela de los derechos humanos confiados, señala que este exceso del plazo legal para resolver el presente asunto, resulta de carácter excepcional.</w:t>
      </w:r>
    </w:p>
    <w:p w14:paraId="3C923E32" w14:textId="77777777" w:rsidR="00D309EA" w:rsidRDefault="00D309EA" w:rsidP="00D309EA">
      <w:pPr>
        <w:shd w:val="clear" w:color="auto" w:fill="FFFFFF"/>
        <w:spacing w:line="360" w:lineRule="auto"/>
        <w:jc w:val="both"/>
        <w:rPr>
          <w:rFonts w:ascii="Palatino Linotype" w:eastAsia="Palatino Linotype" w:hAnsi="Palatino Linotype" w:cs="Palatino Linotype"/>
        </w:rPr>
      </w:pPr>
    </w:p>
    <w:p w14:paraId="5168D2EA" w14:textId="77777777" w:rsidR="00D309EA" w:rsidRDefault="00D309EA" w:rsidP="00D309EA">
      <w:pPr>
        <w:shd w:val="clear" w:color="auto" w:fill="FFFFFF"/>
        <w:spacing w:line="360" w:lineRule="auto"/>
        <w:jc w:val="both"/>
        <w:rPr>
          <w:rFonts w:ascii="Palatino Linotype" w:eastAsia="Palatino Linotype" w:hAnsi="Palatino Linotype" w:cs="Palatino Linotype"/>
        </w:rPr>
      </w:pPr>
    </w:p>
    <w:p w14:paraId="3D70312D" w14:textId="77777777" w:rsidR="00D309EA" w:rsidRDefault="00D309EA" w:rsidP="00D309EA">
      <w:pPr>
        <w:shd w:val="clear" w:color="auto" w:fill="FFFFFF"/>
        <w:spacing w:line="360" w:lineRule="auto"/>
        <w:jc w:val="both"/>
        <w:rPr>
          <w:rFonts w:ascii="Palatino Linotype" w:eastAsia="Palatino Linotype" w:hAnsi="Palatino Linotype" w:cs="Palatino Linotype"/>
        </w:rPr>
      </w:pPr>
    </w:p>
    <w:p w14:paraId="141B60D8" w14:textId="77777777" w:rsidR="000A28F9" w:rsidRDefault="00D309E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 Cierre de Instrucción</w:t>
      </w:r>
    </w:p>
    <w:p w14:paraId="795EFB9B" w14:textId="77777777" w:rsidR="000A28F9" w:rsidRPr="00D309EA" w:rsidRDefault="00D309EA" w:rsidP="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w:t>
      </w:r>
      <w:r w:rsidRPr="00D309EA">
        <w:rPr>
          <w:rFonts w:ascii="Palatino Linotype" w:eastAsia="Palatino Linotype" w:hAnsi="Palatino Linotype" w:cs="Palatino Linotype"/>
          <w:b/>
        </w:rPr>
        <w:t>once de agosto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BE771E7" w14:textId="77777777" w:rsidR="000A28F9" w:rsidRDefault="000A28F9">
      <w:pPr>
        <w:jc w:val="center"/>
        <w:rPr>
          <w:rFonts w:ascii="Palatino Linotype" w:eastAsia="Palatino Linotype" w:hAnsi="Palatino Linotype" w:cs="Palatino Linotype"/>
          <w:b/>
          <w:sz w:val="28"/>
          <w:szCs w:val="28"/>
        </w:rPr>
      </w:pPr>
    </w:p>
    <w:p w14:paraId="090989DB" w14:textId="77777777" w:rsidR="000A28F9" w:rsidRDefault="00D309E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4DFA4F5B" w14:textId="77777777" w:rsidR="000A28F9" w:rsidRDefault="000A28F9">
      <w:pPr>
        <w:jc w:val="center"/>
        <w:rPr>
          <w:rFonts w:ascii="Palatino Linotype" w:eastAsia="Palatino Linotype" w:hAnsi="Palatino Linotype" w:cs="Palatino Linotype"/>
          <w:b/>
          <w:sz w:val="28"/>
          <w:szCs w:val="28"/>
        </w:rPr>
      </w:pPr>
    </w:p>
    <w:p w14:paraId="16C323C3" w14:textId="77777777" w:rsidR="000A28F9" w:rsidRDefault="00D309EA">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573FB12D" w14:textId="77777777" w:rsidR="000A28F9" w:rsidRDefault="00D309EA">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17CF42C" w14:textId="77777777" w:rsidR="000A28F9" w:rsidRDefault="000A28F9">
      <w:pPr>
        <w:spacing w:line="360" w:lineRule="auto"/>
        <w:jc w:val="both"/>
        <w:rPr>
          <w:rFonts w:ascii="Palatino Linotype" w:eastAsia="Palatino Linotype" w:hAnsi="Palatino Linotype" w:cs="Palatino Linotype"/>
          <w:b/>
          <w:sz w:val="28"/>
          <w:szCs w:val="28"/>
        </w:rPr>
      </w:pPr>
    </w:p>
    <w:p w14:paraId="71B01A3E" w14:textId="77777777" w:rsidR="000A28F9" w:rsidRDefault="00D309E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0BEBA9B3" w14:textId="77777777" w:rsidR="000A28F9" w:rsidRDefault="00D309EA">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lastRenderedPageBreak/>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LA</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6AD9DE2A" w14:textId="77777777" w:rsidR="000A28F9" w:rsidRDefault="000A28F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32CDC8E" w14:textId="77777777" w:rsidR="000A28F9" w:rsidRDefault="00D309EA">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2B16119F" w14:textId="77777777" w:rsidR="000A28F9" w:rsidRDefault="00D309EA">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8AED908" w14:textId="77777777" w:rsidR="000A28F9" w:rsidRDefault="000A28F9">
      <w:pPr>
        <w:ind w:left="720" w:right="709"/>
        <w:jc w:val="both"/>
        <w:rPr>
          <w:rFonts w:ascii="Palatino Linotype" w:eastAsia="Palatino Linotype" w:hAnsi="Palatino Linotype" w:cs="Palatino Linotype"/>
          <w:i/>
          <w:sz w:val="22"/>
          <w:szCs w:val="22"/>
        </w:rPr>
      </w:pPr>
    </w:p>
    <w:p w14:paraId="36C8BA55" w14:textId="77777777" w:rsidR="000A28F9" w:rsidRDefault="00D309E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A13215" w14:textId="77777777" w:rsidR="000A28F9" w:rsidRDefault="000A28F9">
      <w:pPr>
        <w:ind w:left="851" w:right="899"/>
        <w:jc w:val="both"/>
        <w:rPr>
          <w:rFonts w:ascii="Palatino Linotype" w:eastAsia="Palatino Linotype" w:hAnsi="Palatino Linotype" w:cs="Palatino Linotype"/>
          <w:i/>
          <w:sz w:val="22"/>
          <w:szCs w:val="22"/>
        </w:rPr>
      </w:pPr>
    </w:p>
    <w:p w14:paraId="3C0B3C5A" w14:textId="77777777" w:rsidR="000A28F9" w:rsidRDefault="00D309E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1711AE" w14:textId="77777777" w:rsidR="000A28F9" w:rsidRDefault="000A28F9">
      <w:pPr>
        <w:ind w:left="851" w:right="899"/>
        <w:jc w:val="both"/>
        <w:rPr>
          <w:rFonts w:ascii="Palatino Linotype" w:eastAsia="Palatino Linotype" w:hAnsi="Palatino Linotype" w:cs="Palatino Linotype"/>
          <w:i/>
          <w:sz w:val="22"/>
          <w:szCs w:val="22"/>
        </w:rPr>
      </w:pPr>
    </w:p>
    <w:p w14:paraId="0E0DF08B" w14:textId="77777777" w:rsidR="000A28F9" w:rsidRDefault="00D309E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7D1BE0A" w14:textId="77777777" w:rsidR="000A28F9" w:rsidRDefault="000A28F9">
      <w:pPr>
        <w:ind w:left="720" w:right="709"/>
        <w:jc w:val="both"/>
        <w:rPr>
          <w:rFonts w:ascii="Palatino Linotype" w:eastAsia="Palatino Linotype" w:hAnsi="Palatino Linotype" w:cs="Palatino Linotype"/>
          <w:i/>
          <w:sz w:val="22"/>
          <w:szCs w:val="22"/>
        </w:rPr>
      </w:pPr>
    </w:p>
    <w:p w14:paraId="547472A7" w14:textId="77777777" w:rsidR="000A28F9" w:rsidRDefault="00D309EA">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nueve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así el plazo de quince días hábiles que el artículo 178 de la Ley de la materia otorga 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diez al treinta de mayo de dos mil veintidós, </w:t>
      </w:r>
      <w:r>
        <w:rPr>
          <w:rFonts w:ascii="Palatino Linotype" w:eastAsia="Palatino Linotype" w:hAnsi="Palatino Linotype" w:cs="Palatino Linotype"/>
        </w:rPr>
        <w:t xml:space="preserve">sin contemplar en el cómputo los días catorce, quince, veintiuno, veintidós, veintiocho y veintinueve  de mayo, por corresponder a sábados y domingos, considerados como días inhábiles, en términos del artículo 3, fracción X de la Ley de Transparencia y Acceso a la Información Pública del Estado de México y Municipios. </w:t>
      </w:r>
    </w:p>
    <w:p w14:paraId="125F5586" w14:textId="77777777" w:rsidR="000A28F9" w:rsidRDefault="000A28F9">
      <w:pPr>
        <w:spacing w:line="360" w:lineRule="auto"/>
        <w:jc w:val="both"/>
        <w:rPr>
          <w:rFonts w:ascii="Palatino Linotype" w:eastAsia="Palatino Linotype" w:hAnsi="Palatino Linotype" w:cs="Palatino Linotype"/>
        </w:rPr>
      </w:pPr>
      <w:bookmarkStart w:id="5" w:name="_heading=h.eun8cwjpndvv" w:colFirst="0" w:colLast="0"/>
      <w:bookmarkEnd w:id="5"/>
    </w:p>
    <w:p w14:paraId="6E60BBE3" w14:textId="77777777" w:rsidR="000A28F9" w:rsidRDefault="00D309EA">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presentó el medio de impugnación, el día diecinueve de mayo, luego entonces su interposición se considera oportuna.  </w:t>
      </w:r>
    </w:p>
    <w:p w14:paraId="1014D4E0" w14:textId="77777777" w:rsidR="000A28F9" w:rsidRDefault="000A28F9">
      <w:pPr>
        <w:spacing w:line="360" w:lineRule="auto"/>
        <w:ind w:right="49"/>
        <w:jc w:val="both"/>
        <w:rPr>
          <w:rFonts w:ascii="Palatino Linotype" w:eastAsia="Palatino Linotype" w:hAnsi="Palatino Linotype" w:cs="Palatino Linotype"/>
        </w:rPr>
      </w:pPr>
    </w:p>
    <w:p w14:paraId="0A374DF3" w14:textId="77777777" w:rsidR="000A28F9" w:rsidRDefault="00D309EA">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06B61C14"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35FD29B" w14:textId="77777777" w:rsidR="000A28F9" w:rsidRDefault="000A28F9">
      <w:pPr>
        <w:ind w:right="49"/>
        <w:jc w:val="both"/>
        <w:rPr>
          <w:rFonts w:ascii="Palatino Linotype" w:eastAsia="Palatino Linotype" w:hAnsi="Palatino Linotype" w:cs="Palatino Linotype"/>
        </w:rPr>
      </w:pPr>
    </w:p>
    <w:p w14:paraId="5E1F45A5" w14:textId="77777777" w:rsidR="000A28F9" w:rsidRDefault="00D309E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70BFB3C3" w14:textId="77777777" w:rsidR="000A28F9" w:rsidRDefault="00D309E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5604478" w14:textId="77777777" w:rsidR="000A28F9" w:rsidRDefault="00D309E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592F5030" w14:textId="77777777" w:rsidR="000A28F9" w:rsidRDefault="00D309EA">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07241BCE" w14:textId="77777777" w:rsidR="000A28F9" w:rsidRDefault="00D309EA">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F4B6390" w14:textId="77777777" w:rsidR="000A28F9" w:rsidRDefault="00D309E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Por lo que, derivado que el Recurso de Revisión materia del presente asunto, se interpuso de manera electrónica, no es necesario que contenga determinados requisitos, entre ellos, el nombre completo de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5A3747DA" w14:textId="77777777" w:rsidR="000A28F9" w:rsidRDefault="000A28F9">
      <w:pPr>
        <w:spacing w:line="360" w:lineRule="auto"/>
        <w:jc w:val="both"/>
        <w:rPr>
          <w:rFonts w:ascii="Palatino Linotype" w:eastAsia="Palatino Linotype" w:hAnsi="Palatino Linotype" w:cs="Palatino Linotype"/>
        </w:rPr>
      </w:pPr>
    </w:p>
    <w:p w14:paraId="15CC6D69"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E8E083E" w14:textId="77777777" w:rsidR="000A28F9" w:rsidRDefault="000A28F9">
      <w:pPr>
        <w:spacing w:line="360" w:lineRule="auto"/>
        <w:jc w:val="both"/>
        <w:rPr>
          <w:rFonts w:ascii="Palatino Linotype" w:eastAsia="Palatino Linotype" w:hAnsi="Palatino Linotype" w:cs="Palatino Linotype"/>
        </w:rPr>
      </w:pPr>
    </w:p>
    <w:p w14:paraId="09DF2E15" w14:textId="77777777" w:rsidR="000A28F9" w:rsidRDefault="00D309EA" w:rsidP="00D309E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1F7A342"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se estima que el requisito relativo al nombre del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es la misma persona que realizó la solicitud de acceso a la información pública que ahora se impugna.</w:t>
      </w:r>
    </w:p>
    <w:p w14:paraId="243F0DB2" w14:textId="77777777" w:rsidR="000A28F9" w:rsidRDefault="000A28F9">
      <w:pPr>
        <w:spacing w:line="360" w:lineRule="auto"/>
        <w:jc w:val="both"/>
        <w:rPr>
          <w:rFonts w:ascii="Palatino Linotype" w:eastAsia="Palatino Linotype" w:hAnsi="Palatino Linotype" w:cs="Palatino Linotype"/>
        </w:rPr>
      </w:pPr>
    </w:p>
    <w:p w14:paraId="21FD1CAA" w14:textId="77777777" w:rsidR="000A28F9" w:rsidRDefault="00D309EA" w:rsidP="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64165AD" w14:textId="77777777" w:rsidR="00D309EA" w:rsidRDefault="00D309EA" w:rsidP="00D309EA">
      <w:pPr>
        <w:spacing w:line="360" w:lineRule="auto"/>
        <w:jc w:val="both"/>
        <w:rPr>
          <w:rFonts w:ascii="Palatino Linotype" w:eastAsia="Palatino Linotype" w:hAnsi="Palatino Linotype" w:cs="Palatino Linotype"/>
        </w:rPr>
      </w:pPr>
    </w:p>
    <w:p w14:paraId="15E64F01" w14:textId="77777777" w:rsidR="000A28F9" w:rsidRDefault="000A28F9">
      <w:pPr>
        <w:spacing w:line="360" w:lineRule="auto"/>
        <w:jc w:val="both"/>
        <w:rPr>
          <w:rFonts w:ascii="Palatino Linotype" w:eastAsia="Palatino Linotype" w:hAnsi="Palatino Linotype" w:cs="Palatino Linotype"/>
        </w:rPr>
      </w:pPr>
    </w:p>
    <w:p w14:paraId="3F7192D5" w14:textId="77777777" w:rsidR="000A28F9" w:rsidRDefault="00D309E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Estudio y resolución del asunto. </w:t>
      </w:r>
    </w:p>
    <w:p w14:paraId="031ADB6F" w14:textId="77777777" w:rsidR="000A28F9" w:rsidRDefault="00D309E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3860F3F0" w14:textId="77777777" w:rsidR="000A28F9" w:rsidRDefault="00D309EA">
      <w:pPr>
        <w:tabs>
          <w:tab w:val="left" w:pos="851"/>
        </w:tabs>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“los recibos en versión pública del pago de prima vacacional, del presidente municipal, sindica y los siete regidores, así también como del secretario del ayuntamiento, tesorero, contralor, secretaria técnica. ” (Sic)</w:t>
      </w:r>
    </w:p>
    <w:p w14:paraId="7A7B0405" w14:textId="77777777" w:rsidR="000A28F9" w:rsidRDefault="000A28F9">
      <w:pPr>
        <w:spacing w:before="200" w:line="360" w:lineRule="auto"/>
        <w:ind w:right="-28"/>
        <w:jc w:val="both"/>
        <w:rPr>
          <w:rFonts w:ascii="Palatino Linotype" w:eastAsia="Palatino Linotype" w:hAnsi="Palatino Linotype" w:cs="Palatino Linotype"/>
        </w:rPr>
      </w:pPr>
    </w:p>
    <w:p w14:paraId="5C562FBF"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como fue precisado en el antecedente respectivo,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en respuesta dos archivos, el primero de ellos de nombre </w:t>
      </w:r>
      <w:r>
        <w:rPr>
          <w:rFonts w:ascii="Palatino Linotype" w:eastAsia="Palatino Linotype" w:hAnsi="Palatino Linotype" w:cs="Palatino Linotype"/>
          <w:i/>
        </w:rPr>
        <w:t>412-RESP-TESO.pdf</w:t>
      </w:r>
      <w:r>
        <w:rPr>
          <w:rFonts w:ascii="Palatino Linotype" w:eastAsia="Palatino Linotype" w:hAnsi="Palatino Linotype" w:cs="Palatino Linotype"/>
        </w:rPr>
        <w:t xml:space="preserve"> de cuyo contenido se advierte el documento firmado por la Tesorería Municipal en fecha veinticinco de abril de dos mil veintidós, mediante el cual solicita la aprobación del cambio de modalidad a consulta directa de la información solicitada </w:t>
      </w:r>
    </w:p>
    <w:p w14:paraId="71729D02" w14:textId="77777777" w:rsidR="000A28F9" w:rsidRDefault="000A28F9">
      <w:pPr>
        <w:spacing w:line="360" w:lineRule="auto"/>
        <w:jc w:val="both"/>
        <w:rPr>
          <w:rFonts w:ascii="Palatino Linotype" w:eastAsia="Palatino Linotype" w:hAnsi="Palatino Linotype" w:cs="Palatino Linotype"/>
        </w:rPr>
      </w:pPr>
    </w:p>
    <w:p w14:paraId="54FE41C6"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segundo documento denominado </w:t>
      </w:r>
      <w:r>
        <w:rPr>
          <w:rFonts w:ascii="Palatino Linotype" w:eastAsia="Palatino Linotype" w:hAnsi="Palatino Linotype" w:cs="Palatino Linotype"/>
          <w:i/>
        </w:rPr>
        <w:t>novena sesion extraordinaria.pdf</w:t>
      </w:r>
      <w:r>
        <w:rPr>
          <w:rFonts w:ascii="Palatino Linotype" w:eastAsia="Palatino Linotype" w:hAnsi="Palatino Linotype" w:cs="Palatino Linotype"/>
        </w:rPr>
        <w:t xml:space="preserve"> contiene el acta de la Novena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celebrada en fecha nueve de mayo de dos mil veintidós mediante la cual se aprobó el cambio de modalidad a consulta directa de diversas solicitudes, entre ellas la que nos ocupa. </w:t>
      </w:r>
    </w:p>
    <w:p w14:paraId="392E2012" w14:textId="77777777" w:rsidR="000A28F9" w:rsidRDefault="000A28F9">
      <w:pPr>
        <w:spacing w:line="360" w:lineRule="auto"/>
        <w:jc w:val="both"/>
        <w:rPr>
          <w:rFonts w:ascii="Palatino Linotype" w:eastAsia="Palatino Linotype" w:hAnsi="Palatino Linotype" w:cs="Palatino Linotype"/>
        </w:rPr>
      </w:pPr>
    </w:p>
    <w:p w14:paraId="399135E5"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del ente recurrido, la partiuclar interpuso el presente medio de impugnación, en donde se inconforma del cmabio de modalidad realziado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Lo que, en consecuencia actualiza la causal de improcedencia establecida en el artículo 179 fracción VII de la Ley de Transparencia y </w:t>
      </w:r>
      <w:r>
        <w:rPr>
          <w:rFonts w:ascii="Palatino Linotype" w:eastAsia="Palatino Linotype" w:hAnsi="Palatino Linotype" w:cs="Palatino Linotype"/>
        </w:rPr>
        <w:lastRenderedPageBreak/>
        <w:t xml:space="preserve">Acceso a la Información pública que establece la entrega de información en una modalidad diversa a la solicitada, como se aprecia a continuación: </w:t>
      </w:r>
    </w:p>
    <w:p w14:paraId="12CD667D" w14:textId="77777777" w:rsidR="000A28F9" w:rsidRDefault="00D309EA">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w:t>
      </w:r>
    </w:p>
    <w:p w14:paraId="6CE18A25" w14:textId="77777777" w:rsidR="000A28F9" w:rsidRDefault="000A28F9">
      <w:pPr>
        <w:ind w:left="850" w:right="899"/>
        <w:jc w:val="both"/>
        <w:rPr>
          <w:rFonts w:ascii="Palatino Linotype" w:eastAsia="Palatino Linotype" w:hAnsi="Palatino Linotype" w:cs="Palatino Linotype"/>
          <w:b/>
          <w:i/>
          <w:sz w:val="22"/>
          <w:szCs w:val="22"/>
        </w:rPr>
      </w:pPr>
    </w:p>
    <w:p w14:paraId="237DAB40" w14:textId="77777777" w:rsidR="000A28F9" w:rsidRDefault="00D309EA">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w:t>
      </w:r>
    </w:p>
    <w:p w14:paraId="271F68D4" w14:textId="77777777" w:rsidR="000A28F9" w:rsidRDefault="00D309EA">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al solicitado;;” </w:t>
      </w:r>
    </w:p>
    <w:p w14:paraId="7B0557CA" w14:textId="77777777" w:rsidR="000A28F9" w:rsidRDefault="00D309EA">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1705EB3A" w14:textId="77777777" w:rsidR="000A28F9" w:rsidRDefault="000A28F9">
      <w:pPr>
        <w:spacing w:line="360" w:lineRule="auto"/>
        <w:jc w:val="both"/>
        <w:rPr>
          <w:rFonts w:ascii="Palatino Linotype" w:eastAsia="Palatino Linotype" w:hAnsi="Palatino Linotype" w:cs="Palatino Linotype"/>
        </w:rPr>
      </w:pPr>
    </w:p>
    <w:p w14:paraId="591DD9E0"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Luego entonces, lo procedente es analizar la totalidad de las constancias que obran en el expediente electrónico del SAIMEX, para determinar si con estas se puede satisfacer el Derecho de Acceso a la Información del particular.</w:t>
      </w:r>
    </w:p>
    <w:p w14:paraId="693C3CFD" w14:textId="77777777" w:rsidR="000A28F9" w:rsidRDefault="000A28F9">
      <w:pPr>
        <w:spacing w:line="360" w:lineRule="auto"/>
        <w:jc w:val="both"/>
        <w:rPr>
          <w:rFonts w:ascii="Palatino Linotype" w:eastAsia="Palatino Linotype" w:hAnsi="Palatino Linotype" w:cs="Palatino Linotype"/>
        </w:rPr>
      </w:pPr>
    </w:p>
    <w:p w14:paraId="46FCB537" w14:textId="77777777" w:rsidR="000A28F9" w:rsidRDefault="00D309E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situación que se actualiza en el caso en concreto.  </w:t>
      </w:r>
    </w:p>
    <w:p w14:paraId="67C0C9C2"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importante referir,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b/>
          <w:u w:val="single"/>
        </w:rPr>
        <w:t>Vía SAIMEX</w:t>
      </w:r>
      <w:r>
        <w:rPr>
          <w:rFonts w:ascii="Palatino Linotype" w:eastAsia="Palatino Linotype" w:hAnsi="Palatino Linotype" w:cs="Palatino Linotype"/>
        </w:rPr>
        <w:t>, tal y como se muestra en las siguientes capturas de pantalla:</w:t>
      </w:r>
    </w:p>
    <w:p w14:paraId="6A08FBF4" w14:textId="77777777" w:rsidR="000A28F9" w:rsidRDefault="000A28F9">
      <w:pPr>
        <w:widowControl w:val="0"/>
        <w:tabs>
          <w:tab w:val="left" w:pos="1701"/>
          <w:tab w:val="left" w:pos="1843"/>
        </w:tabs>
        <w:spacing w:line="360" w:lineRule="auto"/>
        <w:jc w:val="both"/>
        <w:rPr>
          <w:rFonts w:ascii="Palatino Linotype" w:eastAsia="Palatino Linotype" w:hAnsi="Palatino Linotype" w:cs="Palatino Linotype"/>
        </w:rPr>
      </w:pPr>
    </w:p>
    <w:p w14:paraId="75B6AFBB" w14:textId="77777777" w:rsidR="000A28F9" w:rsidRDefault="00D309EA">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64A23363" wp14:editId="3D9A4FC1">
            <wp:extent cx="5791835" cy="1955800"/>
            <wp:effectExtent l="0" t="0" r="0" b="0"/>
            <wp:docPr id="3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19558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63F28371" wp14:editId="69A96834">
                <wp:simplePos x="0" y="0"/>
                <wp:positionH relativeFrom="column">
                  <wp:posOffset>4457700</wp:posOffset>
                </wp:positionH>
                <wp:positionV relativeFrom="paragraph">
                  <wp:posOffset>76200</wp:posOffset>
                </wp:positionV>
                <wp:extent cx="333195" cy="246931"/>
                <wp:effectExtent l="0" t="0" r="0" b="0"/>
                <wp:wrapNone/>
                <wp:docPr id="378" name="Flecha izquierda 378"/>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5686"/>
                            </a:srgbClr>
                          </a:outerShdw>
                        </a:effectLst>
                      </wps:spPr>
                      <wps:txbx>
                        <w:txbxContent>
                          <w:p w14:paraId="26120894" w14:textId="77777777" w:rsidR="000A28F9" w:rsidRDefault="000A28F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4457700</wp:posOffset>
                </wp:positionH>
                <wp:positionV relativeFrom="paragraph">
                  <wp:posOffset>76200</wp:posOffset>
                </wp:positionV>
                <wp:extent cx="333195" cy="246931"/>
                <wp:effectExtent b="0" l="0" r="0" t="0"/>
                <wp:wrapNone/>
                <wp:docPr id="37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33195" cy="246931"/>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230F9126" wp14:editId="274014C1">
                <wp:simplePos x="0" y="0"/>
                <wp:positionH relativeFrom="column">
                  <wp:posOffset>1358900</wp:posOffset>
                </wp:positionH>
                <wp:positionV relativeFrom="paragraph">
                  <wp:posOffset>1409700</wp:posOffset>
                </wp:positionV>
                <wp:extent cx="333195" cy="246931"/>
                <wp:effectExtent l="0" t="0" r="0" b="0"/>
                <wp:wrapNone/>
                <wp:docPr id="377" name="Flecha izquierda 377"/>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5686"/>
                            </a:srgbClr>
                          </a:outerShdw>
                        </a:effectLst>
                      </wps:spPr>
                      <wps:txbx>
                        <w:txbxContent>
                          <w:p w14:paraId="504F2029" w14:textId="77777777" w:rsidR="000A28F9" w:rsidRDefault="000A28F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1358900</wp:posOffset>
                </wp:positionH>
                <wp:positionV relativeFrom="paragraph">
                  <wp:posOffset>1409700</wp:posOffset>
                </wp:positionV>
                <wp:extent cx="333195" cy="246931"/>
                <wp:effectExtent b="0" l="0" r="0" t="0"/>
                <wp:wrapNone/>
                <wp:docPr id="37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33195" cy="246931"/>
                        </a:xfrm>
                        <a:prstGeom prst="rect"/>
                        <a:ln/>
                      </pic:spPr>
                    </pic:pic>
                  </a:graphicData>
                </a:graphic>
              </wp:anchor>
            </w:drawing>
          </mc:Fallback>
        </mc:AlternateContent>
      </w:r>
    </w:p>
    <w:p w14:paraId="7C808EF1" w14:textId="77777777" w:rsidR="000A28F9" w:rsidRDefault="000A28F9">
      <w:pPr>
        <w:spacing w:line="360" w:lineRule="auto"/>
        <w:jc w:val="both"/>
        <w:rPr>
          <w:rFonts w:ascii="Palatino Linotype" w:eastAsia="Palatino Linotype" w:hAnsi="Palatino Linotype" w:cs="Palatino Linotype"/>
          <w:strike/>
        </w:rPr>
      </w:pPr>
    </w:p>
    <w:p w14:paraId="6AF8B70C"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 imagen anterior, se advierte que el ciudadano requirió la información </w:t>
      </w:r>
      <w:r>
        <w:rPr>
          <w:rFonts w:ascii="Palatino Linotype" w:eastAsia="Palatino Linotype" w:hAnsi="Palatino Linotype" w:cs="Palatino Linotype"/>
          <w:b/>
        </w:rPr>
        <w:t>Vía SAIMEX</w:t>
      </w:r>
      <w:r>
        <w:rPr>
          <w:rFonts w:ascii="Palatino Linotype" w:eastAsia="Palatino Linotype" w:hAnsi="Palatino Linotype" w:cs="Palatino Linotype"/>
        </w:rPr>
        <w:t xml:space="preserve">; por otra parte, si bien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menciona que la información no puede ser remitida por tal vía debido a la cantidad</w:t>
      </w:r>
      <w:r>
        <w:rPr>
          <w:rFonts w:ascii="Palatino Linotype" w:eastAsia="Palatino Linotype" w:hAnsi="Palatino Linotype" w:cs="Palatino Linotype"/>
        </w:rPr>
        <w:t xml:space="preserve">, razón por la cual, cambia la modalidad de entrega a consulta directa (in situ). </w:t>
      </w:r>
    </w:p>
    <w:p w14:paraId="62933F2B" w14:textId="77777777" w:rsidR="000A28F9" w:rsidRDefault="000A28F9">
      <w:pPr>
        <w:spacing w:line="360" w:lineRule="auto"/>
        <w:jc w:val="both"/>
        <w:rPr>
          <w:rFonts w:ascii="Palatino Linotype" w:eastAsia="Palatino Linotype" w:hAnsi="Palatino Linotype" w:cs="Palatino Linotype"/>
        </w:rPr>
      </w:pPr>
    </w:p>
    <w:p w14:paraId="45EB3F8B"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esta caso en particular, el solicitante eligió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que le es imposible remitir los documentos por la modalidad solicitada, para determinar cambiar la modalidad de entrega; lo cierto es que, al hacerlo, </w:t>
      </w:r>
      <w:r>
        <w:rPr>
          <w:rFonts w:ascii="Palatino Linotype" w:eastAsia="Palatino Linotype" w:hAnsi="Palatino Linotype" w:cs="Palatino Linotype"/>
          <w:b/>
        </w:rPr>
        <w:t>no acreditó de forma fehaciente dicha imposibilidad.</w:t>
      </w:r>
    </w:p>
    <w:p w14:paraId="6CF1990D"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Ya que no acreditó que la información solicitada excediera las capacidades tanto administrativas respecto de su unidad como técnicas, en lo relativo al sistema </w:t>
      </w:r>
      <w:r>
        <w:rPr>
          <w:rFonts w:ascii="Palatino Linotype" w:eastAsia="Palatino Linotype" w:hAnsi="Palatino Linotype" w:cs="Palatino Linotype"/>
        </w:rPr>
        <w:lastRenderedPageBreak/>
        <w:t xml:space="preserve">electrónico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w:t>
      </w:r>
    </w:p>
    <w:p w14:paraId="0B897499" w14:textId="77777777" w:rsidR="000A28F9" w:rsidRDefault="000A28F9">
      <w:pPr>
        <w:spacing w:line="360" w:lineRule="auto"/>
        <w:ind w:right="49"/>
        <w:jc w:val="both"/>
        <w:rPr>
          <w:rFonts w:ascii="Palatino Linotype" w:eastAsia="Palatino Linotype" w:hAnsi="Palatino Linotype" w:cs="Palatino Linotype"/>
        </w:rPr>
      </w:pPr>
    </w:p>
    <w:p w14:paraId="334AC236"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pretende sustentar el cambio de modalidad en el artículo 158 de la Ley de Transparencia y Acceso a la Información pública del Estado de México y Municipios, el cual señala lo siguiente: </w:t>
      </w:r>
    </w:p>
    <w:p w14:paraId="56096709" w14:textId="77777777" w:rsidR="000A28F9" w:rsidRDefault="000A28F9">
      <w:pPr>
        <w:tabs>
          <w:tab w:val="left" w:pos="709"/>
        </w:tabs>
        <w:spacing w:line="360" w:lineRule="auto"/>
        <w:jc w:val="both"/>
        <w:rPr>
          <w:rFonts w:ascii="Palatino Linotype" w:eastAsia="Palatino Linotype" w:hAnsi="Palatino Linotype" w:cs="Palatino Linotype"/>
        </w:rPr>
      </w:pPr>
    </w:p>
    <w:p w14:paraId="41C2A0CE" w14:textId="77777777" w:rsidR="000A28F9" w:rsidRDefault="00D309EA">
      <w:pPr>
        <w:widowControl w:val="0"/>
        <w:ind w:left="709"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158.</w:t>
      </w:r>
    </w:p>
    <w:p w14:paraId="629FE530" w14:textId="77777777" w:rsidR="000A28F9" w:rsidRDefault="00D309EA">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B2840EC" w14:textId="77777777" w:rsidR="000A28F9" w:rsidRDefault="00D309EA">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424F7972" w14:textId="77777777" w:rsidR="000A28F9" w:rsidRDefault="00D309EA">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DF2F0D6" w14:textId="77777777" w:rsidR="000A28F9" w:rsidRDefault="000A28F9">
      <w:pPr>
        <w:widowControl w:val="0"/>
        <w:spacing w:line="360" w:lineRule="auto"/>
        <w:jc w:val="both"/>
        <w:rPr>
          <w:rFonts w:ascii="Palatino Linotype" w:eastAsia="Palatino Linotype" w:hAnsi="Palatino Linotype" w:cs="Palatino Linotype"/>
        </w:rPr>
      </w:pPr>
    </w:p>
    <w:p w14:paraId="6C0E4D8E" w14:textId="77777777" w:rsidR="000A28F9" w:rsidRDefault="00D309E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Pr>
          <w:rFonts w:ascii="Palatino Linotype" w:eastAsia="Palatino Linotype" w:hAnsi="Palatino Linotype" w:cs="Palatino Linotype"/>
          <w:b/>
        </w:rPr>
        <w:lastRenderedPageBreak/>
        <w:t>SUJETO OBLIGADO</w:t>
      </w:r>
      <w:r>
        <w:rPr>
          <w:rFonts w:ascii="Palatino Linotype" w:eastAsia="Palatino Linotype" w:hAnsi="Palatino Linotype" w:cs="Palatino Linotype"/>
        </w:rPr>
        <w:t>, en términos del ordinal 158 citado con anterioridad.</w:t>
      </w:r>
    </w:p>
    <w:p w14:paraId="7BC23EB0" w14:textId="77777777" w:rsidR="000A28F9" w:rsidRDefault="000A28F9">
      <w:pPr>
        <w:widowControl w:val="0"/>
        <w:spacing w:line="360" w:lineRule="auto"/>
        <w:jc w:val="both"/>
        <w:rPr>
          <w:rFonts w:ascii="Palatino Linotype" w:eastAsia="Palatino Linotype" w:hAnsi="Palatino Linotype" w:cs="Palatino Linotype"/>
        </w:rPr>
      </w:pPr>
    </w:p>
    <w:p w14:paraId="65EBDAC0" w14:textId="77777777" w:rsidR="000A28F9" w:rsidRDefault="00D309E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además el acta de la Novena Sesión Extraordinaria del Comité de Transparencia, de fecha nueve de mayo, mediante la cual se aprobó el cambio de modalidad de la información solicitada. En donde, si bien es cierto, hace referencia a la solicitud de información que dio origen al Recurso de Revisión materia del presente estudio, lo cierto también es que en dicha acta se aprueban los cambios de modalidad referentes a diversas solicitudes, indicando que la totalidad de la información solicitada asciende a un peso mayor a 250 MB, lo cual supera la capacidad del sistema, sin que se aprecie pronunciamiento respecto del tamaño de información respecto de cada una de las solicitudes, pues de la información solicitada no se advierte que esta pueda superar la cantidad de 8 mil  fojas  o en su caso los 250 MB. </w:t>
      </w:r>
    </w:p>
    <w:p w14:paraId="2433D87C" w14:textId="77777777" w:rsidR="000A28F9" w:rsidRDefault="000A28F9">
      <w:pPr>
        <w:widowControl w:val="0"/>
        <w:spacing w:line="360" w:lineRule="auto"/>
        <w:jc w:val="both"/>
        <w:rPr>
          <w:rFonts w:ascii="Palatino Linotype" w:eastAsia="Palatino Linotype" w:hAnsi="Palatino Linotype" w:cs="Palatino Linotype"/>
        </w:rPr>
      </w:pPr>
    </w:p>
    <w:p w14:paraId="7404D3A0"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lo que,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7837A55F" w14:textId="77777777" w:rsidR="000A28F9" w:rsidRDefault="000A28F9">
      <w:pPr>
        <w:spacing w:line="360" w:lineRule="auto"/>
        <w:ind w:right="51"/>
        <w:jc w:val="both"/>
        <w:rPr>
          <w:rFonts w:ascii="Palatino Linotype" w:eastAsia="Palatino Linotype" w:hAnsi="Palatino Linotype" w:cs="Palatino Linotype"/>
        </w:rPr>
      </w:pPr>
    </w:p>
    <w:p w14:paraId="09D01E48"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102671DF" w14:textId="77777777" w:rsidR="000A28F9" w:rsidRDefault="000A28F9">
      <w:pPr>
        <w:ind w:left="850" w:right="900"/>
        <w:jc w:val="both"/>
        <w:rPr>
          <w:rFonts w:ascii="Palatino Linotype" w:eastAsia="Palatino Linotype" w:hAnsi="Palatino Linotype" w:cs="Palatino Linotype"/>
          <w:i/>
          <w:sz w:val="22"/>
          <w:szCs w:val="22"/>
        </w:rPr>
      </w:pPr>
    </w:p>
    <w:p w14:paraId="2DEB36F4" w14:textId="77777777" w:rsidR="000A28F9" w:rsidRDefault="00D309EA">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u w:val="single"/>
        </w:rPr>
        <w:t xml:space="preserve">debida fundamentación y motivación legal, deben entenderse, por lo primero, la cita del precepto legal aplicable al caso, y por lo segundo, las razones, motivos o circunstancias </w:t>
      </w:r>
      <w:r>
        <w:rPr>
          <w:rFonts w:ascii="Palatino Linotype" w:eastAsia="Palatino Linotype" w:hAnsi="Palatino Linotype" w:cs="Palatino Linotype"/>
          <w:b/>
          <w:i/>
          <w:sz w:val="22"/>
          <w:szCs w:val="22"/>
          <w:u w:val="single"/>
        </w:rPr>
        <w:lastRenderedPageBreak/>
        <w:t>especiales que llevaron a la autoridad a concluir que el caso particular encuadra en el supuesto previsto por la norma legal invocada como fundamento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14:paraId="33A7F84C" w14:textId="77777777" w:rsidR="000A28F9" w:rsidRDefault="000A28F9">
      <w:pPr>
        <w:ind w:left="850" w:right="900"/>
        <w:jc w:val="both"/>
        <w:rPr>
          <w:rFonts w:ascii="Palatino Linotype" w:eastAsia="Palatino Linotype" w:hAnsi="Palatino Linotype" w:cs="Palatino Linotype"/>
          <w:i/>
          <w:sz w:val="22"/>
          <w:szCs w:val="22"/>
        </w:rPr>
      </w:pPr>
    </w:p>
    <w:p w14:paraId="4DED444A" w14:textId="77777777" w:rsidR="000A28F9" w:rsidRDefault="00D309E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261AC11" w14:textId="77777777" w:rsidR="000A28F9" w:rsidRDefault="000A28F9">
      <w:pPr>
        <w:spacing w:line="360" w:lineRule="auto"/>
        <w:ind w:right="51"/>
        <w:jc w:val="both"/>
        <w:rPr>
          <w:rFonts w:ascii="Palatino Linotype" w:eastAsia="Palatino Linotype" w:hAnsi="Palatino Linotype" w:cs="Palatino Linotype"/>
        </w:rPr>
      </w:pPr>
    </w:p>
    <w:p w14:paraId="1812D235" w14:textId="77777777" w:rsidR="000A28F9" w:rsidRDefault="00D309E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517006A" w14:textId="77777777" w:rsidR="000A28F9" w:rsidRDefault="000A28F9">
      <w:pPr>
        <w:ind w:left="850" w:right="900"/>
        <w:jc w:val="both"/>
        <w:rPr>
          <w:rFonts w:ascii="Palatino Linotype" w:eastAsia="Palatino Linotype" w:hAnsi="Palatino Linotype" w:cs="Palatino Linotype"/>
          <w:b/>
          <w:i/>
          <w:sz w:val="22"/>
          <w:szCs w:val="22"/>
        </w:rPr>
      </w:pPr>
    </w:p>
    <w:p w14:paraId="7E77AF15" w14:textId="77777777" w:rsidR="000A28F9" w:rsidRDefault="00D309EA">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w:t>
      </w:r>
      <w:r>
        <w:rPr>
          <w:rFonts w:ascii="Palatino Linotype" w:eastAsia="Palatino Linotype" w:hAnsi="Palatino Linotype" w:cs="Palatino Linotype"/>
          <w:b/>
          <w:i/>
          <w:sz w:val="22"/>
          <w:szCs w:val="22"/>
          <w:u w:val="single"/>
        </w:rPr>
        <w:lastRenderedPageBreak/>
        <w:t>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w:t>
      </w: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(Sic)</w:t>
      </w:r>
    </w:p>
    <w:p w14:paraId="5084AAE5" w14:textId="77777777" w:rsidR="000A28F9" w:rsidRDefault="000A28F9">
      <w:pPr>
        <w:ind w:left="850" w:right="900"/>
        <w:jc w:val="both"/>
        <w:rPr>
          <w:rFonts w:ascii="Palatino Linotype" w:eastAsia="Palatino Linotype" w:hAnsi="Palatino Linotype" w:cs="Palatino Linotype"/>
          <w:i/>
          <w:sz w:val="22"/>
          <w:szCs w:val="22"/>
        </w:rPr>
      </w:pPr>
    </w:p>
    <w:p w14:paraId="0C9CED2F" w14:textId="77777777" w:rsidR="000A28F9" w:rsidRDefault="000A28F9">
      <w:pPr>
        <w:ind w:left="850" w:right="900"/>
        <w:jc w:val="both"/>
        <w:rPr>
          <w:rFonts w:ascii="Palatino Linotype" w:eastAsia="Palatino Linotype" w:hAnsi="Palatino Linotype" w:cs="Palatino Linotype"/>
          <w:i/>
          <w:sz w:val="22"/>
          <w:szCs w:val="22"/>
        </w:rPr>
      </w:pPr>
    </w:p>
    <w:p w14:paraId="7B43DD51"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58E63EF" w14:textId="77777777" w:rsidR="000A28F9" w:rsidRDefault="000A28F9">
      <w:pPr>
        <w:spacing w:line="360" w:lineRule="auto"/>
        <w:ind w:right="49"/>
        <w:jc w:val="both"/>
        <w:rPr>
          <w:rFonts w:ascii="Palatino Linotype" w:eastAsia="Palatino Linotype" w:hAnsi="Palatino Linotype" w:cs="Palatino Linotype"/>
        </w:rPr>
      </w:pPr>
    </w:p>
    <w:p w14:paraId="729CBD3C"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bien,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021498EB" w14:textId="77777777" w:rsidR="000A28F9" w:rsidRDefault="000A28F9">
      <w:pPr>
        <w:spacing w:line="360" w:lineRule="auto"/>
        <w:jc w:val="both"/>
        <w:rPr>
          <w:rFonts w:ascii="Palatino Linotype" w:eastAsia="Palatino Linotype" w:hAnsi="Palatino Linotype" w:cs="Palatino Linotype"/>
        </w:rPr>
      </w:pPr>
    </w:p>
    <w:p w14:paraId="6B3B150F"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dicho cambio de modalidad decidido unilateralmente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 improcedente por no haberse realizado en apego a los establecido por la Ley de Transparencia y Acceso a la Información Pública del Estado de México y Municipios. </w:t>
      </w:r>
    </w:p>
    <w:p w14:paraId="54A3C84D" w14:textId="77777777" w:rsidR="000A28F9" w:rsidRDefault="00D309E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cabe destacar que de acuerdo con la normatividad que rige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articulo 220 K, fracción IV, de la Ley del Trabajo de los Servidores Públicos del Estado y Municipios, establece que los servidores públicos </w:t>
      </w:r>
      <w:r>
        <w:rPr>
          <w:rFonts w:ascii="Palatino Linotype" w:eastAsia="Palatino Linotype" w:hAnsi="Palatino Linotype" w:cs="Palatino Linotype"/>
        </w:rPr>
        <w:lastRenderedPageBreak/>
        <w:t xml:space="preserve">tienen derecho a recibir una prima vacacional, se podría deducir que de ella se recibe una remuneración y existe un documento donde consta la prestación recibida, para mayor referencia se adjuntan los preceptos legales: </w:t>
      </w:r>
    </w:p>
    <w:p w14:paraId="2A481973" w14:textId="77777777" w:rsidR="000A28F9" w:rsidRDefault="000A28F9">
      <w:pPr>
        <w:spacing w:line="360" w:lineRule="auto"/>
        <w:jc w:val="both"/>
        <w:rPr>
          <w:rFonts w:ascii="Palatino Linotype" w:eastAsia="Palatino Linotype" w:hAnsi="Palatino Linotype" w:cs="Palatino Linotype"/>
        </w:rPr>
      </w:pPr>
    </w:p>
    <w:p w14:paraId="2B0524B3" w14:textId="77777777" w:rsidR="000A28F9" w:rsidRDefault="00D309E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7F5DAB49" w14:textId="77777777" w:rsidR="000A28F9" w:rsidRDefault="00D309E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780FB91" w14:textId="77777777" w:rsidR="000A28F9" w:rsidRDefault="00D309EA">
      <w:pPr>
        <w:ind w:left="850" w:right="901"/>
        <w:jc w:val="both"/>
        <w:rPr>
          <w:rFonts w:ascii="Palatino Linotype" w:eastAsia="Palatino Linotype" w:hAnsi="Palatino Linotype" w:cs="Palatino Linotype"/>
          <w:i/>
          <w:sz w:val="22"/>
          <w:szCs w:val="22"/>
        </w:rPr>
      </w:pPr>
      <w:bookmarkStart w:id="6" w:name="_heading=h.1t3h5sf" w:colFirst="0" w:colLast="0"/>
      <w:bookmarkEnd w:id="6"/>
      <w:r>
        <w:rPr>
          <w:rFonts w:ascii="Palatino Linotype" w:eastAsia="Palatino Linotype" w:hAnsi="Palatino Linotype" w:cs="Palatino Linotype"/>
          <w:b/>
          <w:i/>
          <w:sz w:val="22"/>
          <w:szCs w:val="22"/>
        </w:rPr>
        <w:t>IV. Recibos o las constancias de deposito o del medio de información magnética o electrónica que sean utilizadas para el pago de</w:t>
      </w:r>
      <w:r>
        <w:rPr>
          <w:rFonts w:ascii="Palatino Linotype" w:eastAsia="Palatino Linotype" w:hAnsi="Palatino Linotype" w:cs="Palatino Linotype"/>
          <w:i/>
          <w:sz w:val="22"/>
          <w:szCs w:val="22"/>
        </w:rPr>
        <w:t xml:space="preserve"> salarios, </w:t>
      </w:r>
      <w:r>
        <w:rPr>
          <w:rFonts w:ascii="Palatino Linotype" w:eastAsia="Palatino Linotype" w:hAnsi="Palatino Linotype" w:cs="Palatino Linotype"/>
          <w:b/>
          <w:i/>
          <w:sz w:val="22"/>
          <w:szCs w:val="22"/>
        </w:rPr>
        <w:t>prima vacacional</w:t>
      </w:r>
      <w:r>
        <w:rPr>
          <w:rFonts w:ascii="Palatino Linotype" w:eastAsia="Palatino Linotype" w:hAnsi="Palatino Linotype" w:cs="Palatino Linotype"/>
          <w:i/>
          <w:sz w:val="22"/>
          <w:szCs w:val="22"/>
        </w:rPr>
        <w:t xml:space="preserve">, aguinaldo y demás prestaciones establecidas en la presente ley; y </w:t>
      </w:r>
    </w:p>
    <w:p w14:paraId="3A3FC0D1" w14:textId="77777777" w:rsidR="000A28F9" w:rsidRDefault="00D309E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AD4F548" w14:textId="77777777" w:rsidR="000A28F9" w:rsidRDefault="00D309E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6D29F74" w14:textId="77777777" w:rsidR="000A28F9" w:rsidRDefault="00D309E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93BE5E1" w14:textId="77777777" w:rsidR="000A28F9" w:rsidRDefault="00D309EA">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14:paraId="79EEC02D" w14:textId="77777777" w:rsidR="000A28F9" w:rsidRDefault="000A28F9">
      <w:pPr>
        <w:spacing w:line="360" w:lineRule="auto"/>
        <w:jc w:val="both"/>
        <w:rPr>
          <w:rFonts w:ascii="Palatino Linotype" w:eastAsia="Palatino Linotype" w:hAnsi="Palatino Linotype" w:cs="Palatino Linotype"/>
        </w:rPr>
      </w:pPr>
    </w:p>
    <w:p w14:paraId="574F7D93"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artículos de la ley antes citada, refieren que los Servidores Públicos por la prestación de sus servicios deben de recibir una prima vacacional. Siendo que toda institución o dependencia pública del Estado de México debe conservar las constancias documentales del pago de las prestaciones realizadas a su personal, cuando sea por depósito o mediante información electrónica, debiendo conservar dicha </w:t>
      </w:r>
      <w:r>
        <w:rPr>
          <w:rFonts w:ascii="Palatino Linotype" w:eastAsia="Palatino Linotype" w:hAnsi="Palatino Linotype" w:cs="Palatino Linotype"/>
        </w:rPr>
        <w:lastRenderedPageBreak/>
        <w:t xml:space="preserve">documentación durante el último año y un año después de que se extinga la relación laboral a través de los sistemas de digitalización o de información magnética o electrónica. </w:t>
      </w:r>
    </w:p>
    <w:p w14:paraId="1F915ABA" w14:textId="77777777" w:rsidR="000A28F9" w:rsidRDefault="000A28F9">
      <w:pPr>
        <w:spacing w:line="360" w:lineRule="auto"/>
        <w:ind w:right="49"/>
        <w:jc w:val="both"/>
        <w:rPr>
          <w:rFonts w:ascii="Palatino Linotype" w:eastAsia="Palatino Linotype" w:hAnsi="Palatino Linotype" w:cs="Palatino Linotype"/>
        </w:rPr>
      </w:pPr>
    </w:p>
    <w:p w14:paraId="265261BF"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sentido,es necesario señalar la fracción II del artículo 4 de la Ley de Fiscalización Superior del Estado de México, la cual señala: </w:t>
      </w:r>
    </w:p>
    <w:p w14:paraId="417C9D80" w14:textId="77777777" w:rsidR="000A28F9" w:rsidRDefault="000A28F9">
      <w:pPr>
        <w:jc w:val="both"/>
        <w:rPr>
          <w:rFonts w:ascii="Palatino Linotype" w:eastAsia="Palatino Linotype" w:hAnsi="Palatino Linotype" w:cs="Palatino Linotype"/>
        </w:rPr>
      </w:pPr>
    </w:p>
    <w:p w14:paraId="64B30B6B" w14:textId="77777777" w:rsidR="000A28F9" w:rsidRDefault="00D309EA">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Son sujetos de fiscalización:</w:t>
      </w:r>
    </w:p>
    <w:p w14:paraId="43C9F27F" w14:textId="77777777" w:rsidR="000A28F9" w:rsidRDefault="00D309EA">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3568B7D2" w14:textId="77777777" w:rsidR="000A28F9" w:rsidRDefault="00D309EA">
      <w:pPr>
        <w:numPr>
          <w:ilvl w:val="0"/>
          <w:numId w:val="1"/>
        </w:numPr>
        <w:ind w:left="851" w:right="901" w:firstLine="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municipios del Estado de México;</w:t>
      </w:r>
    </w:p>
    <w:p w14:paraId="0D60CA49" w14:textId="77777777" w:rsidR="000A28F9" w:rsidRDefault="00D309EA">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53D0193" w14:textId="77777777" w:rsidR="000A28F9" w:rsidRDefault="000A28F9">
      <w:pPr>
        <w:rPr>
          <w:rFonts w:ascii="Palatino Linotype" w:eastAsia="Palatino Linotype" w:hAnsi="Palatino Linotype" w:cs="Palatino Linotype"/>
        </w:rPr>
      </w:pPr>
    </w:p>
    <w:p w14:paraId="207240F1" w14:textId="77777777" w:rsidR="000A28F9" w:rsidRDefault="000A28F9">
      <w:pPr>
        <w:spacing w:line="360" w:lineRule="auto"/>
        <w:ind w:right="49"/>
        <w:jc w:val="both"/>
        <w:rPr>
          <w:rFonts w:ascii="Palatino Linotype" w:eastAsia="Palatino Linotype" w:hAnsi="Palatino Linotype" w:cs="Palatino Linotype"/>
        </w:rPr>
      </w:pPr>
    </w:p>
    <w:p w14:paraId="5A321D8A"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bien, al Órgano Superior de Fiscalización de esta entidad federativa, le asiste la facultad de emitir los </w:t>
      </w:r>
      <w:r>
        <w:rPr>
          <w:rFonts w:ascii="Palatino Linotype" w:eastAsia="Palatino Linotype" w:hAnsi="Palatino Linotype" w:cs="Palatino Linotype"/>
          <w:b/>
        </w:rPr>
        <w:t>Lineamientos para la Integración del Informe Trimestral</w:t>
      </w:r>
      <w:r>
        <w:rPr>
          <w:rFonts w:ascii="Palatino Linotype" w:eastAsia="Palatino Linotype" w:hAnsi="Palatino Linotype" w:cs="Palatino Linotype"/>
        </w:rPr>
        <w:t xml:space="preserve">, en términos la fracción XI del artículo 8 de la Ley de Fiscalización Superior del Estado de México, que señalan: </w:t>
      </w:r>
    </w:p>
    <w:p w14:paraId="4FA4159E" w14:textId="77777777" w:rsidR="000A28F9" w:rsidRDefault="000A28F9">
      <w:pPr>
        <w:ind w:left="567" w:right="618"/>
        <w:jc w:val="both"/>
        <w:rPr>
          <w:rFonts w:ascii="Palatino Linotype" w:eastAsia="Palatino Linotype" w:hAnsi="Palatino Linotype" w:cs="Palatino Linotype"/>
          <w:b/>
          <w:i/>
        </w:rPr>
      </w:pPr>
    </w:p>
    <w:p w14:paraId="64DE2A1C" w14:textId="77777777" w:rsidR="000A28F9" w:rsidRDefault="00D309EA">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8. </w:t>
      </w:r>
      <w:r>
        <w:rPr>
          <w:rFonts w:ascii="Palatino Linotype" w:eastAsia="Palatino Linotype" w:hAnsi="Palatino Linotype" w:cs="Palatino Linotype"/>
          <w:i/>
          <w:sz w:val="22"/>
          <w:szCs w:val="22"/>
        </w:rPr>
        <w:t>El Órgano Superior tendrá las siguientes atribuciones:</w:t>
      </w:r>
    </w:p>
    <w:p w14:paraId="3A025A99" w14:textId="77777777" w:rsidR="000A28F9" w:rsidRDefault="00D309EA">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75A850A" w14:textId="77777777" w:rsidR="000A28F9" w:rsidRDefault="00D309EA">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 Establecer los lineamientos, criterios, procedimientos, métodos y sistemas para las acciones de control y evaluación, necesarios para la fiscalización de las cuentas públicas y los informes trimestrales;</w:t>
      </w:r>
    </w:p>
    <w:p w14:paraId="36AE81DD" w14:textId="77777777" w:rsidR="000A28F9" w:rsidRDefault="00D309EA">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p>
    <w:p w14:paraId="5FB8BBB9"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forma, el Órgano Superior de Fiscalización del Estado de México (OSFEM), emite anualmente los Lineamientos para definir los criterios, formatos y </w:t>
      </w:r>
      <w:r>
        <w:rPr>
          <w:rFonts w:ascii="Palatino Linotype" w:eastAsia="Palatino Linotype" w:hAnsi="Palatino Linotype" w:cs="Palatino Linotype"/>
        </w:rPr>
        <w:lastRenderedPageBreak/>
        <w:t>documentación necesaria para presentar los informes, dentro de los cuales destaca información de comprobantes fiscales digitales por internet (</w:t>
      </w:r>
      <w:r>
        <w:rPr>
          <w:rFonts w:ascii="Palatino Linotype" w:eastAsia="Palatino Linotype" w:hAnsi="Palatino Linotype" w:cs="Palatino Linotype"/>
          <w:b/>
        </w:rPr>
        <w:t>CFDI</w:t>
      </w:r>
      <w:r>
        <w:rPr>
          <w:rFonts w:ascii="Palatino Linotype" w:eastAsia="Palatino Linotype" w:hAnsi="Palatino Linotype" w:cs="Palatino Linotype"/>
        </w:rPr>
        <w:t>).</w:t>
      </w:r>
    </w:p>
    <w:p w14:paraId="4D068A23" w14:textId="77777777" w:rsidR="000A28F9" w:rsidRDefault="000A28F9">
      <w:pPr>
        <w:spacing w:line="360" w:lineRule="auto"/>
        <w:rPr>
          <w:rFonts w:ascii="Palatino Linotype" w:eastAsia="Palatino Linotype" w:hAnsi="Palatino Linotype" w:cs="Palatino Linotype"/>
        </w:rPr>
      </w:pPr>
    </w:p>
    <w:p w14:paraId="0EEE4A11" w14:textId="77777777" w:rsidR="000A28F9" w:rsidRDefault="00D309EA">
      <w:pPr>
        <w:spacing w:line="360" w:lineRule="auto"/>
        <w:jc w:val="both"/>
        <w:rPr>
          <w:rFonts w:ascii="Palatino Linotype" w:eastAsia="Palatino Linotype" w:hAnsi="Palatino Linotype" w:cs="Palatino Linotype"/>
        </w:rPr>
      </w:pPr>
      <w:bookmarkStart w:id="7" w:name="_heading=h.4d34og8" w:colFirst="0" w:colLast="0"/>
      <w:bookmarkEnd w:id="7"/>
      <w:r>
        <w:rPr>
          <w:rFonts w:ascii="Palatino Linotype" w:eastAsia="Palatino Linotype" w:hAnsi="Palatino Linotype" w:cs="Palatino Linotype"/>
        </w:rPr>
        <w:t>Atento a lo anterior, en las Políticas para la Integración del Informe Trimestral de los Sujetos de Fiscalización Municipales para el Ejercicio 2021</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se destaca que, dentro de los informes trimestrales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la obligación de rendir, se contempla precisamente la presentación de la Información referente a los </w:t>
      </w:r>
      <w:r>
        <w:rPr>
          <w:rFonts w:ascii="Palatino Linotype" w:eastAsia="Palatino Linotype" w:hAnsi="Palatino Linotype" w:cs="Palatino Linotype"/>
          <w:b/>
          <w:i/>
        </w:rPr>
        <w:t>Comprobantes Fiscales Digitales por Internet (CFDI)</w:t>
      </w:r>
      <w:r>
        <w:rPr>
          <w:rFonts w:ascii="Palatino Linotype" w:eastAsia="Palatino Linotype" w:hAnsi="Palatino Linotype" w:cs="Palatino Linotype"/>
        </w:rPr>
        <w:t xml:space="preserve">, dicho formato constituye un soporte documental de que la información solicitada por la recurrente, que obra en los archivos del Sujeto Obligado, tal y como se muestra en las siguientes imágenes: </w:t>
      </w:r>
    </w:p>
    <w:p w14:paraId="669C307C" w14:textId="77777777" w:rsidR="000A28F9" w:rsidRDefault="000A28F9">
      <w:pPr>
        <w:spacing w:line="360" w:lineRule="auto"/>
        <w:jc w:val="both"/>
        <w:rPr>
          <w:rFonts w:ascii="Palatino Linotype" w:eastAsia="Palatino Linotype" w:hAnsi="Palatino Linotype" w:cs="Palatino Linotype"/>
        </w:rPr>
      </w:pPr>
    </w:p>
    <w:p w14:paraId="10FCFBBD" w14:textId="77777777" w:rsidR="000A28F9" w:rsidRDefault="00D309EA">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6069018F" wp14:editId="376DB5CC">
            <wp:extent cx="5702026" cy="1661160"/>
            <wp:effectExtent l="0" t="0" r="0" b="0"/>
            <wp:docPr id="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733" t="36674" r="817"/>
                    <a:stretch>
                      <a:fillRect/>
                    </a:stretch>
                  </pic:blipFill>
                  <pic:spPr>
                    <a:xfrm>
                      <a:off x="0" y="0"/>
                      <a:ext cx="5702026" cy="1661160"/>
                    </a:xfrm>
                    <a:prstGeom prst="rect">
                      <a:avLst/>
                    </a:prstGeom>
                    <a:ln/>
                  </pic:spPr>
                </pic:pic>
              </a:graphicData>
            </a:graphic>
          </wp:inline>
        </w:drawing>
      </w:r>
      <w:r>
        <w:rPr>
          <w:noProof/>
        </w:rPr>
        <mc:AlternateContent>
          <mc:Choice Requires="wpg">
            <w:drawing>
              <wp:anchor distT="0" distB="0" distL="114300" distR="114300" simplePos="0" relativeHeight="251660288" behindDoc="0" locked="0" layoutInCell="1" hidden="0" allowOverlap="1" wp14:anchorId="06E42DB4" wp14:editId="7AB9F6A7">
                <wp:simplePos x="0" y="0"/>
                <wp:positionH relativeFrom="column">
                  <wp:posOffset>1</wp:posOffset>
                </wp:positionH>
                <wp:positionV relativeFrom="paragraph">
                  <wp:posOffset>1295400</wp:posOffset>
                </wp:positionV>
                <wp:extent cx="5822990" cy="405184"/>
                <wp:effectExtent l="0" t="0" r="0" b="0"/>
                <wp:wrapNone/>
                <wp:docPr id="379" name="Rectángulo 379"/>
                <wp:cNvGraphicFramePr/>
                <a:graphic xmlns:a="http://schemas.openxmlformats.org/drawingml/2006/main">
                  <a:graphicData uri="http://schemas.microsoft.com/office/word/2010/wordprocessingShape">
                    <wps:wsp>
                      <wps:cNvSpPr/>
                      <wps:spPr>
                        <a:xfrm>
                          <a:off x="2447205" y="3590108"/>
                          <a:ext cx="5797590" cy="379784"/>
                        </a:xfrm>
                        <a:prstGeom prst="rect">
                          <a:avLst/>
                        </a:prstGeom>
                        <a:noFill/>
                        <a:ln w="25400" cap="flat" cmpd="sng">
                          <a:solidFill>
                            <a:schemeClr val="accent2"/>
                          </a:solidFill>
                          <a:prstDash val="solid"/>
                          <a:round/>
                          <a:headEnd type="none" w="sm" len="sm"/>
                          <a:tailEnd type="none" w="sm" len="sm"/>
                        </a:ln>
                      </wps:spPr>
                      <wps:txbx>
                        <w:txbxContent>
                          <w:p w14:paraId="1C411B70" w14:textId="77777777" w:rsidR="000A28F9" w:rsidRDefault="000A28F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1295400</wp:posOffset>
                </wp:positionV>
                <wp:extent cx="5822990" cy="405184"/>
                <wp:effectExtent b="0" l="0" r="0" t="0"/>
                <wp:wrapNone/>
                <wp:docPr id="379"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822990" cy="405184"/>
                        </a:xfrm>
                        <a:prstGeom prst="rect"/>
                        <a:ln/>
                      </pic:spPr>
                    </pic:pic>
                  </a:graphicData>
                </a:graphic>
              </wp:anchor>
            </w:drawing>
          </mc:Fallback>
        </mc:AlternateContent>
      </w:r>
    </w:p>
    <w:p w14:paraId="54522A58" w14:textId="77777777" w:rsidR="000A28F9" w:rsidRDefault="000A28F9">
      <w:pPr>
        <w:spacing w:line="360" w:lineRule="auto"/>
        <w:jc w:val="both"/>
        <w:rPr>
          <w:rFonts w:ascii="Palatino Linotype" w:eastAsia="Palatino Linotype" w:hAnsi="Palatino Linotype" w:cs="Palatino Linotype"/>
        </w:rPr>
      </w:pPr>
      <w:bookmarkStart w:id="8" w:name="_heading=h.2s8eyo1" w:colFirst="0" w:colLast="0"/>
      <w:bookmarkEnd w:id="8"/>
    </w:p>
    <w:p w14:paraId="6F2F6402" w14:textId="77777777" w:rsidR="000A28F9" w:rsidRDefault="00D309EA">
      <w:pPr>
        <w:spacing w:line="360" w:lineRule="auto"/>
        <w:jc w:val="both"/>
        <w:rPr>
          <w:rFonts w:ascii="Palatino Linotype" w:eastAsia="Palatino Linotype" w:hAnsi="Palatino Linotype" w:cs="Palatino Linotype"/>
        </w:rPr>
      </w:pPr>
      <w:bookmarkStart w:id="9" w:name="_heading=h.pcy4384j7rsv" w:colFirst="0" w:colLast="0"/>
      <w:bookmarkEnd w:id="9"/>
      <w:r>
        <w:rPr>
          <w:rFonts w:ascii="Palatino Linotype" w:eastAsia="Palatino Linotype" w:hAnsi="Palatino Linotype" w:cs="Palatino Linotype"/>
        </w:rPr>
        <w:t xml:space="preserve">De la imagen insertada, se obtiene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el deber de generar los Comprobantes Fiscales Digitales por Internet (CFDI), documentos en el que se reflejan las </w:t>
      </w:r>
      <w:r>
        <w:rPr>
          <w:rFonts w:ascii="Palatino Linotype" w:eastAsia="Palatino Linotype" w:hAnsi="Palatino Linotype" w:cs="Palatino Linotype"/>
          <w:b/>
        </w:rPr>
        <w:t>primas vacacionales</w:t>
      </w:r>
      <w:r>
        <w:rPr>
          <w:rFonts w:ascii="Palatino Linotype" w:eastAsia="Palatino Linotype" w:hAnsi="Palatino Linotype" w:cs="Palatino Linotype"/>
        </w:rPr>
        <w:t>.</w:t>
      </w:r>
    </w:p>
    <w:p w14:paraId="081C8C1A" w14:textId="77777777" w:rsidR="000A28F9" w:rsidRDefault="00D309EA">
      <w:pPr>
        <w:widowControl w:val="0"/>
        <w:tabs>
          <w:tab w:val="left" w:pos="1418"/>
        </w:tabs>
        <w:spacing w:line="360" w:lineRule="auto"/>
        <w:jc w:val="both"/>
        <w:rPr>
          <w:rFonts w:ascii="Palatino Linotype" w:eastAsia="Palatino Linotype" w:hAnsi="Palatino Linotype" w:cs="Palatino Linotype"/>
        </w:rPr>
      </w:pPr>
      <w:bookmarkStart w:id="10" w:name="_heading=h.17dp8vu" w:colFirst="0" w:colLast="0"/>
      <w:bookmarkEnd w:id="10"/>
      <w:r>
        <w:rPr>
          <w:rFonts w:ascii="Palatino Linotype" w:eastAsia="Palatino Linotype" w:hAnsi="Palatino Linotype" w:cs="Palatino Linotype"/>
        </w:rPr>
        <w:lastRenderedPageBreak/>
        <w:t xml:space="preserve">En esa virtud, y toda vez que el ente recurrido no solo genera posee y administra la información solicitada sino que también lo hace en un medio digital, es dable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en versión pública de los Comprobantes Fiscales Digitales por Internet (CFDI) por concepto de las primas vacacionales de los servidores públicos referidos en la solicitud de información </w:t>
      </w:r>
    </w:p>
    <w:p w14:paraId="4A378029" w14:textId="77777777" w:rsidR="000A28F9" w:rsidRDefault="000A28F9">
      <w:pPr>
        <w:widowControl w:val="0"/>
        <w:tabs>
          <w:tab w:val="left" w:pos="1418"/>
        </w:tabs>
        <w:spacing w:line="360" w:lineRule="auto"/>
        <w:jc w:val="both"/>
        <w:rPr>
          <w:rFonts w:ascii="Palatino Linotype" w:eastAsia="Palatino Linotype" w:hAnsi="Palatino Linotype" w:cs="Palatino Linotype"/>
        </w:rPr>
      </w:pPr>
      <w:bookmarkStart w:id="11" w:name="_heading=h.6pz7h4fvhuc9" w:colFirst="0" w:colLast="0"/>
      <w:bookmarkEnd w:id="11"/>
    </w:p>
    <w:p w14:paraId="4E3C8002"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necesario precisar que la entrega de los documentos que en su caso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entregue, deberá ser 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esto es, que omitirá, eliminará o suprimirá la información personal de los funcionarios públicos referidos, 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salud de dichas personas.    </w:t>
      </w:r>
    </w:p>
    <w:p w14:paraId="0207A1C6" w14:textId="77777777" w:rsidR="000A28F9" w:rsidRDefault="000A28F9">
      <w:pPr>
        <w:spacing w:line="360" w:lineRule="auto"/>
        <w:jc w:val="both"/>
        <w:rPr>
          <w:rFonts w:ascii="Palatino Linotype" w:eastAsia="Palatino Linotype" w:hAnsi="Palatino Linotype" w:cs="Palatino Linotype"/>
        </w:rPr>
      </w:pPr>
    </w:p>
    <w:p w14:paraId="79D5E29F" w14:textId="77777777" w:rsidR="000A28F9" w:rsidRDefault="00D309EA">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w:t>
      </w:r>
      <w:r>
        <w:rPr>
          <w:rFonts w:ascii="Palatino Linotype" w:eastAsia="Palatino Linotype" w:hAnsi="Palatino Linotype" w:cs="Palatino Linotype"/>
          <w:b/>
        </w:rPr>
        <w:t>de las personas físicas</w:t>
      </w:r>
      <w:r>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r>
        <w:rPr>
          <w:rFonts w:ascii="Palatino Linotype" w:eastAsia="Palatino Linotype" w:hAnsi="Palatino Linotype" w:cs="Palatino Linotype"/>
        </w:rPr>
        <w:lastRenderedPageBreak/>
        <w:t>homoclave; la cual para su obtención es necesario acreditar personalidad, fecha de nacimiento entre otros con documentos oficiales.</w:t>
      </w:r>
    </w:p>
    <w:p w14:paraId="1D63E8B9" w14:textId="77777777" w:rsidR="000A28F9" w:rsidRDefault="000A28F9">
      <w:pPr>
        <w:spacing w:line="360" w:lineRule="auto"/>
        <w:ind w:right="-91"/>
        <w:jc w:val="both"/>
        <w:rPr>
          <w:rFonts w:ascii="Palatino Linotype" w:eastAsia="Palatino Linotype" w:hAnsi="Palatino Linotype" w:cs="Palatino Linotype"/>
        </w:rPr>
      </w:pPr>
    </w:p>
    <w:p w14:paraId="1CE3CE76" w14:textId="77777777" w:rsidR="000A28F9" w:rsidRDefault="00D309EA">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14:paraId="6A7442C1" w14:textId="77777777" w:rsidR="000A28F9" w:rsidRDefault="000A28F9">
      <w:pPr>
        <w:ind w:left="567" w:right="618"/>
        <w:jc w:val="both"/>
        <w:rPr>
          <w:rFonts w:ascii="Palatino Linotype" w:eastAsia="Palatino Linotype" w:hAnsi="Palatino Linotype" w:cs="Palatino Linotype"/>
          <w:b/>
          <w:i/>
        </w:rPr>
      </w:pPr>
    </w:p>
    <w:p w14:paraId="0931E7AB" w14:textId="77777777" w:rsidR="000A28F9" w:rsidRDefault="00D309EA">
      <w:pPr>
        <w:ind w:left="850"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“Registro Federal de Contribuyentes (RFC) de las personas físicas es un dato personal confidencial. </w:t>
      </w:r>
      <w:r>
        <w:rPr>
          <w:rFonts w:ascii="Palatino Linotype" w:eastAsia="Palatino Linotype" w:hAnsi="Palatino Linotype" w:cs="Palatino Linotype"/>
          <w:i/>
          <w:sz w:val="22"/>
          <w:szCs w:val="22"/>
        </w:rPr>
        <w:t>De conformidad con lo establecido en el artículo 18,</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fracción II de la Ley Federal de Transparencia y Acceso a la Información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Gubernamental </w:t>
      </w:r>
      <w:r>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Pr>
          <w:rFonts w:ascii="Palatino Linotype" w:eastAsia="Palatino Linotype" w:hAnsi="Palatino Linotype" w:cs="Palatino Linotype"/>
          <w:i/>
          <w:sz w:val="22"/>
          <w:szCs w:val="22"/>
        </w:rPr>
        <w:t xml:space="preserve">. Para </w:t>
      </w:r>
      <w:r>
        <w:rPr>
          <w:rFonts w:ascii="Palatino Linotype" w:eastAsia="Palatino Linotype" w:hAnsi="Palatino Linotype" w:cs="Palatino Linotype"/>
          <w:i/>
          <w:sz w:val="22"/>
          <w:szCs w:val="22"/>
          <w:u w:val="single"/>
        </w:rPr>
        <w:t>obtener el RFC es necesario</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acreditar previamente mediante documentos oficiales (pasaporte, acta de</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nacimiento, etc.) la identidad de la persona, su fecha y lugar de nacimiento, entre</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 xml:space="preserve">otros. </w:t>
      </w:r>
      <w:r>
        <w:rPr>
          <w:rFonts w:ascii="Palatino Linotype" w:eastAsia="Palatino Linotype" w:hAnsi="Palatino Linotype" w:cs="Palatino Linotype"/>
          <w:i/>
          <w:sz w:val="22"/>
          <w:szCs w:val="22"/>
        </w:rPr>
        <w:t>De acuerdo con la legislación tributaria, las personas físicas tramitan su</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inscripción en el Registro Federal de Contribuyentes con el único propósito de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realizar mediante esa clave de identificación, operaciones o actividades de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naturaleza tributaria. En este sentido, el artículo 79 del Código Fiscal de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Federación prevé que la utilización de una clave de registro no asignada por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autoridad constituye como una infracción en materia fiscal. De acuerdo con lo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antes apuntado, el RFC vinculado al nombre de su titular, permite identificar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edad de la persona, así como su homoclave, siendo esta última única e irrepetible,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por lo que es posible concluir que el RFC constituye un dato personal y, por tanto,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información confidencial, de conformidad con los previsto en el artículo 18,</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fracción II de la Ley Federal de Transparencia y Acceso a la Información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Gubernamental.”</w:t>
      </w:r>
    </w:p>
    <w:p w14:paraId="5A9140C5" w14:textId="77777777" w:rsidR="000A28F9" w:rsidRDefault="00D309EA">
      <w:pPr>
        <w:ind w:left="850" w:right="90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116EA182"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el Registro Federal de Contribuyentes se vincula al nombre de su titular, permitiendo identificar la edad de la persona, fecha de </w:t>
      </w:r>
      <w:r>
        <w:rPr>
          <w:rFonts w:ascii="Palatino Linotype" w:eastAsia="Palatino Linotype" w:hAnsi="Palatino Linotype" w:cs="Palatino Linotype"/>
        </w:rPr>
        <w:lastRenderedPageBreak/>
        <w:t>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5C36A6D5" w14:textId="77777777" w:rsidR="000A28F9" w:rsidRDefault="000A28F9">
      <w:pPr>
        <w:spacing w:line="360" w:lineRule="auto"/>
        <w:jc w:val="both"/>
        <w:rPr>
          <w:rFonts w:ascii="Palatino Linotype" w:eastAsia="Palatino Linotype" w:hAnsi="Palatino Linotype" w:cs="Palatino Linotype"/>
        </w:rPr>
      </w:pPr>
    </w:p>
    <w:p w14:paraId="37AB1278" w14:textId="77777777" w:rsidR="000A28F9" w:rsidRDefault="00D309EA">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r>
        <w:rPr>
          <w:rFonts w:ascii="Palatino Linotype" w:eastAsia="Palatino Linotype" w:hAnsi="Palatino Linotype" w:cs="Palatino Linotype"/>
          <w:b/>
        </w:rPr>
        <w:t xml:space="preserve">Clave Única de Registro de Población,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8F05E4F" w14:textId="77777777" w:rsidR="000A28F9" w:rsidRDefault="000A28F9">
      <w:pPr>
        <w:spacing w:line="360" w:lineRule="auto"/>
        <w:ind w:right="-93"/>
        <w:rPr>
          <w:rFonts w:ascii="Palatino Linotype" w:eastAsia="Palatino Linotype" w:hAnsi="Palatino Linotype" w:cs="Palatino Linotype"/>
        </w:rPr>
      </w:pPr>
    </w:p>
    <w:p w14:paraId="785ED8EF" w14:textId="77777777" w:rsidR="000A28F9" w:rsidRDefault="00D309EA">
      <w:pPr>
        <w:spacing w:line="360" w:lineRule="auto"/>
        <w:ind w:right="-93"/>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69B539AA" w14:textId="77777777" w:rsidR="000A28F9" w:rsidRDefault="000A28F9">
      <w:pPr>
        <w:ind w:left="850" w:right="901"/>
        <w:jc w:val="both"/>
        <w:rPr>
          <w:rFonts w:ascii="Palatino Linotype" w:eastAsia="Palatino Linotype" w:hAnsi="Palatino Linotype" w:cs="Palatino Linotype"/>
          <w:b/>
          <w:i/>
          <w:sz w:val="22"/>
          <w:szCs w:val="22"/>
        </w:rPr>
      </w:pPr>
    </w:p>
    <w:p w14:paraId="68721DE0" w14:textId="77777777" w:rsidR="000A28F9" w:rsidRDefault="00D309E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7CF10286" w14:textId="77777777" w:rsidR="000A28F9" w:rsidRDefault="00D309EA">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44FABAF3" w14:textId="77777777" w:rsidR="000A28F9" w:rsidRDefault="000A28F9">
      <w:pPr>
        <w:ind w:right="-93"/>
        <w:rPr>
          <w:rFonts w:ascii="Palatino Linotype" w:eastAsia="Palatino Linotype" w:hAnsi="Palatino Linotype" w:cs="Palatino Linotype"/>
        </w:rPr>
      </w:pPr>
    </w:p>
    <w:p w14:paraId="61E2E83F"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w:t>
      </w:r>
      <w:r>
        <w:rPr>
          <w:rFonts w:ascii="Palatino Linotype" w:eastAsia="Palatino Linotype" w:hAnsi="Palatino Linotype" w:cs="Palatino Linotype"/>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 </w:t>
      </w:r>
    </w:p>
    <w:p w14:paraId="58F4AF46" w14:textId="77777777" w:rsidR="000A28F9" w:rsidRDefault="000A28F9">
      <w:pPr>
        <w:spacing w:line="360" w:lineRule="auto"/>
        <w:jc w:val="both"/>
        <w:rPr>
          <w:rFonts w:ascii="Palatino Linotype" w:eastAsia="Palatino Linotype" w:hAnsi="Palatino Linotype" w:cs="Palatino Linotype"/>
        </w:rPr>
      </w:pPr>
    </w:p>
    <w:p w14:paraId="3DF4E9F8" w14:textId="77777777" w:rsidR="000A28F9" w:rsidRDefault="00D309EA">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77C0AB41" w14:textId="77777777" w:rsidR="000A28F9" w:rsidRDefault="000A28F9">
      <w:pPr>
        <w:spacing w:line="360" w:lineRule="auto"/>
        <w:ind w:right="-91"/>
        <w:jc w:val="both"/>
        <w:rPr>
          <w:rFonts w:ascii="Palatino Linotype" w:eastAsia="Palatino Linotype" w:hAnsi="Palatino Linotype" w:cs="Palatino Linotype"/>
        </w:rPr>
      </w:pPr>
    </w:p>
    <w:p w14:paraId="3576C67D" w14:textId="77777777" w:rsidR="000A28F9" w:rsidRDefault="00D309E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 xml:space="preserve">“Criterio 003-10 Clave Única de Registro de Población (CURP) es un dato personal confidencial. </w:t>
      </w:r>
      <w:r>
        <w:rPr>
          <w:rFonts w:ascii="Palatino Linotype" w:eastAsia="Palatino Linotype" w:hAnsi="Palatino Linotype" w:cs="Palatino Linotype"/>
          <w:i/>
          <w:sz w:val="22"/>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28A97637" w14:textId="77777777" w:rsidR="000A28F9" w:rsidRDefault="000A28F9">
      <w:pPr>
        <w:ind w:left="851" w:right="899"/>
        <w:jc w:val="both"/>
        <w:rPr>
          <w:rFonts w:ascii="Palatino Linotype" w:eastAsia="Palatino Linotype" w:hAnsi="Palatino Linotype" w:cs="Palatino Linotype"/>
          <w:i/>
          <w:sz w:val="22"/>
          <w:szCs w:val="22"/>
        </w:rPr>
      </w:pPr>
    </w:p>
    <w:p w14:paraId="0828D66E" w14:textId="77777777" w:rsidR="000A28F9" w:rsidRDefault="00D309EA">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la Clave Única de Registro de Población, se encuentra vinculado al nombre de la persona, permitiendo identificar la edad, fecha de </w:t>
      </w:r>
      <w:r>
        <w:rPr>
          <w:rFonts w:ascii="Palatino Linotype" w:eastAsia="Palatino Linotype" w:hAnsi="Palatino Linotype" w:cs="Palatino Linotype"/>
        </w:rPr>
        <w:lastRenderedPageBreak/>
        <w:t>nacimiento, sexo, lugar de nacimiento, así como su homoclave;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21B6E127" w14:textId="77777777" w:rsidR="000A28F9" w:rsidRDefault="000A28F9">
      <w:pPr>
        <w:spacing w:line="360" w:lineRule="auto"/>
        <w:jc w:val="both"/>
        <w:rPr>
          <w:rFonts w:ascii="Palatino Linotype" w:eastAsia="Palatino Linotype" w:hAnsi="Palatino Linotype" w:cs="Palatino Linotype"/>
        </w:rPr>
      </w:pPr>
    </w:p>
    <w:p w14:paraId="7FE84891" w14:textId="77777777" w:rsidR="000A28F9" w:rsidRDefault="00D309EA">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0D34D3BF" w14:textId="77777777" w:rsidR="000A28F9" w:rsidRDefault="000A28F9">
      <w:pPr>
        <w:spacing w:line="360" w:lineRule="auto"/>
        <w:ind w:right="-93"/>
        <w:jc w:val="both"/>
        <w:rPr>
          <w:rFonts w:ascii="Palatino Linotype" w:eastAsia="Palatino Linotype" w:hAnsi="Palatino Linotype" w:cs="Palatino Linotype"/>
        </w:rPr>
      </w:pPr>
    </w:p>
    <w:p w14:paraId="3EABFD9C" w14:textId="77777777" w:rsidR="000A28F9" w:rsidRDefault="00D309EA">
      <w:pPr>
        <w:spacing w:line="360" w:lineRule="auto"/>
        <w:jc w:val="both"/>
        <w:rPr>
          <w:rFonts w:ascii="Palatino Linotype" w:eastAsia="Palatino Linotype" w:hAnsi="Palatino Linotype" w:cs="Palatino Linotype"/>
        </w:rPr>
      </w:pPr>
      <w:bookmarkStart w:id="12" w:name="_heading=h.3rdcrjn" w:colFirst="0" w:colLast="0"/>
      <w:bookmarkEnd w:id="12"/>
      <w:r>
        <w:rPr>
          <w:rFonts w:ascii="Palatino Linotype" w:eastAsia="Palatino Linotype" w:hAnsi="Palatino Linotype" w:cs="Palatino Linotype"/>
        </w:rPr>
        <w:t xml:space="preserve">Por ende, en el presente caso,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w:t>
      </w:r>
      <w:r>
        <w:rPr>
          <w:rFonts w:ascii="Palatino Linotype" w:eastAsia="Palatino Linotype" w:hAnsi="Palatino Linotype" w:cs="Palatino Linotype"/>
        </w:rPr>
        <w:lastRenderedPageBreak/>
        <w:t>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2D1E7D" w14:textId="77777777" w:rsidR="000A28F9" w:rsidRDefault="000A28F9">
      <w:pPr>
        <w:ind w:left="850" w:right="902"/>
        <w:jc w:val="center"/>
        <w:rPr>
          <w:rFonts w:ascii="Palatino Linotype" w:eastAsia="Palatino Linotype" w:hAnsi="Palatino Linotype" w:cs="Palatino Linotype"/>
          <w:b/>
          <w:i/>
          <w:sz w:val="22"/>
          <w:szCs w:val="22"/>
        </w:rPr>
      </w:pPr>
    </w:p>
    <w:p w14:paraId="48F792ED" w14:textId="77777777" w:rsidR="000A28F9" w:rsidRDefault="00D309EA">
      <w:pPr>
        <w:ind w:left="850"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5CCC6F0E"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29CD4793"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14:paraId="433FA3ED"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7B80868C"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0CB6A5B2"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55FF4274"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CA53D19" w14:textId="77777777" w:rsidR="000A28F9" w:rsidRDefault="000A28F9">
      <w:pPr>
        <w:ind w:left="851" w:right="902"/>
        <w:jc w:val="both"/>
        <w:rPr>
          <w:rFonts w:ascii="Palatino Linotype" w:eastAsia="Palatino Linotype" w:hAnsi="Palatino Linotype" w:cs="Palatino Linotype"/>
          <w:i/>
          <w:sz w:val="22"/>
          <w:szCs w:val="22"/>
        </w:rPr>
      </w:pPr>
    </w:p>
    <w:p w14:paraId="2A25C392" w14:textId="77777777" w:rsidR="000A28F9" w:rsidRDefault="00D309EA">
      <w:pPr>
        <w:ind w:left="850"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5CC8991"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12C624C5"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7D49AB"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80167D"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FEB8C6F"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Pr>
          <w:rFonts w:ascii="Palatino Linotype" w:eastAsia="Palatino Linotype" w:hAnsi="Palatino Linotype" w:cs="Palatino Linotype"/>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773BB0"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B39C613"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2709966"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14B9B75F"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33BC7EC5"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61581B70"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C2189A8"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DAAB012"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318BAB"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FC7CC9A"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F011399"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759C4C1"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9DDD071"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Pr>
          <w:rFonts w:ascii="Palatino Linotype" w:eastAsia="Palatino Linotype" w:hAnsi="Palatino Linotype" w:cs="Palatino Linotype"/>
          <w:i/>
          <w:sz w:val="22"/>
          <w:szCs w:val="22"/>
        </w:rPr>
        <w:lastRenderedPageBreak/>
        <w:t>siguiendo los procedimientos establecidos en el Capítulo IX de los presentes lineamientos.</w:t>
      </w:r>
    </w:p>
    <w:p w14:paraId="7D925EF5"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351CA06"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3C02D1C" w14:textId="77777777" w:rsidR="000A28F9" w:rsidRDefault="00D309E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eastAsia="Palatino Linotype" w:hAnsi="Palatino Linotype" w:cs="Palatino Linotype"/>
          <w:b/>
          <w:i/>
          <w:sz w:val="22"/>
          <w:szCs w:val="22"/>
        </w:rPr>
        <w:t>”</w:t>
      </w:r>
    </w:p>
    <w:p w14:paraId="1E8F586D" w14:textId="77777777" w:rsidR="000A28F9" w:rsidRDefault="000A28F9">
      <w:pPr>
        <w:spacing w:line="360" w:lineRule="auto"/>
        <w:jc w:val="both"/>
        <w:rPr>
          <w:rFonts w:ascii="Palatino Linotype" w:eastAsia="Palatino Linotype" w:hAnsi="Palatino Linotype" w:cs="Palatino Linotype"/>
        </w:rPr>
      </w:pPr>
    </w:p>
    <w:p w14:paraId="7C400B7C"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que emita el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059599" w14:textId="77777777" w:rsidR="000A28F9" w:rsidRDefault="000A28F9">
      <w:pPr>
        <w:spacing w:line="360" w:lineRule="auto"/>
        <w:jc w:val="both"/>
        <w:rPr>
          <w:rFonts w:ascii="Palatino Linotype" w:eastAsia="Palatino Linotype" w:hAnsi="Palatino Linotype" w:cs="Palatino Linotype"/>
        </w:rPr>
      </w:pPr>
    </w:p>
    <w:p w14:paraId="3148EAAC"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último no escapa de la óptica de este Órgano Garante que el particular fue omiso en señalar la temporalidad sobre la cual requiere la información, por lo cual, es conveniente citar el criterio 09/13 del Instituto Nacional de Transparencia, Acceso a la Información y Protección de Datos Personales mismo que es del tenor siguiente: </w:t>
      </w:r>
    </w:p>
    <w:p w14:paraId="555F8507" w14:textId="77777777" w:rsidR="000A28F9" w:rsidRDefault="000A28F9">
      <w:pPr>
        <w:ind w:left="850" w:right="332"/>
        <w:jc w:val="both"/>
        <w:rPr>
          <w:rFonts w:ascii="Palatino Linotype" w:eastAsia="Palatino Linotype" w:hAnsi="Palatino Linotype" w:cs="Palatino Linotype"/>
          <w:b/>
          <w:i/>
          <w:sz w:val="22"/>
          <w:szCs w:val="22"/>
        </w:rPr>
      </w:pPr>
    </w:p>
    <w:p w14:paraId="4C7F2E64" w14:textId="77777777" w:rsidR="000A28F9" w:rsidRDefault="00D309EA">
      <w:pPr>
        <w:ind w:left="850" w:right="33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“Periodo de búsqueda de la información, cuando no se precisa en la solicitud de información.</w:t>
      </w:r>
      <w:r>
        <w:rPr>
          <w:rFonts w:ascii="Palatino Linotype" w:eastAsia="Palatino Linotype" w:hAnsi="Palatino Linotype" w:cs="Palatino Linotype"/>
          <w:i/>
          <w:sz w:val="22"/>
          <w:szCs w:val="22"/>
        </w:rPr>
        <w:t xml:space="preserve"> </w:t>
      </w:r>
    </w:p>
    <w:p w14:paraId="46238BCB" w14:textId="77777777" w:rsidR="000A28F9" w:rsidRDefault="00D309EA">
      <w:pPr>
        <w:ind w:left="850" w:right="33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Pr>
          <w:rFonts w:ascii="Palatino Linotype" w:eastAsia="Palatino Linotype" w:hAnsi="Palatino Linotype" w:cs="Palatino Linotype"/>
          <w:b/>
          <w:i/>
          <w:sz w:val="22"/>
          <w:szCs w:val="22"/>
        </w:rPr>
        <w:t>deberá interpretarse que su requerimiento se refiere al del año inmediato anterior contado a partir de la fecha en que se presentó la solicitud</w:t>
      </w:r>
      <w:r>
        <w:rPr>
          <w:rFonts w:ascii="Palatino Linotype" w:eastAsia="Palatino Linotype" w:hAnsi="Palatino Linotype" w:cs="Palatino Linotype"/>
          <w:i/>
          <w:sz w:val="22"/>
          <w:szCs w:val="22"/>
        </w:rPr>
        <w:t>. Lo anterior permite que los sujetos obligados cuenten con mayores elementos para precisar y localizar la información solicitada.”</w:t>
      </w:r>
    </w:p>
    <w:p w14:paraId="5CB6BFF0" w14:textId="77777777" w:rsidR="000A28F9" w:rsidRDefault="00D309EA">
      <w:pPr>
        <w:ind w:left="850" w:right="33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9EE482E" w14:textId="77777777" w:rsidR="000A28F9" w:rsidRDefault="00D309EA">
      <w:pPr>
        <w:shd w:val="clear" w:color="auto" w:fill="FFFFFF"/>
        <w:spacing w:line="392"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 </w:t>
      </w:r>
    </w:p>
    <w:p w14:paraId="7553FF6C" w14:textId="77777777" w:rsidR="000A28F9" w:rsidRDefault="00D309EA">
      <w:pPr>
        <w:shd w:val="clear" w:color="auto" w:fill="FFFFFF"/>
        <w:spacing w:line="392"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Del criterio citado se deriva que en el caso de no existir un plazo específico mencionado en la solicitud, este se entenderá como un año anterior a la fecha de la solicitud. Con esa consideración en mente, la información que se ordena deberá comprender del dieciocho de abril de dos mil veintiuno al dieciocho de abril de dos mil veintidós. </w:t>
      </w:r>
    </w:p>
    <w:p w14:paraId="327AD5F6" w14:textId="77777777" w:rsidR="000A28F9" w:rsidRDefault="000A28F9">
      <w:pPr>
        <w:widowControl w:val="0"/>
        <w:tabs>
          <w:tab w:val="left" w:pos="1418"/>
        </w:tabs>
        <w:spacing w:line="360" w:lineRule="auto"/>
        <w:jc w:val="both"/>
        <w:rPr>
          <w:rFonts w:ascii="Palatino Linotype" w:eastAsia="Palatino Linotype" w:hAnsi="Palatino Linotype" w:cs="Palatino Linotype"/>
        </w:rPr>
      </w:pPr>
      <w:bookmarkStart w:id="13" w:name="_heading=h.8repug4lj06t" w:colFirst="0" w:colLast="0"/>
      <w:bookmarkEnd w:id="13"/>
    </w:p>
    <w:p w14:paraId="2D6EFE6F" w14:textId="77777777" w:rsidR="000A28F9" w:rsidRDefault="00D309EA">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Llegado a este punto y por las razones expuestas a lo largo del presente estudio, este Instituto determina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por resultar parcialmente fundados los motivos de inconformidad de la particular y ordenarle haga entrega en versión pública, de Los Comprobantes Fiscales Digitales por Internet (CFDI), por concepto de las primas vacacionales, del presidente municipal, síndico, </w:t>
      </w:r>
      <w:r>
        <w:rPr>
          <w:rFonts w:ascii="Palatino Linotype" w:eastAsia="Palatino Linotype" w:hAnsi="Palatino Linotype" w:cs="Palatino Linotype"/>
        </w:rPr>
        <w:lastRenderedPageBreak/>
        <w:t xml:space="preserve">regidores, secretario del ayuntamiento, tesorero, contralor y secretaria técnica del Municipio de Tenancingo, del periodo comprendido del dieciocho de abril de dos mil veintiuno al dieciocho de abril de dos mil veintidós. </w:t>
      </w:r>
    </w:p>
    <w:p w14:paraId="1623A76B" w14:textId="77777777" w:rsidR="000A28F9" w:rsidRDefault="000A28F9">
      <w:pPr>
        <w:spacing w:line="360" w:lineRule="auto"/>
        <w:jc w:val="both"/>
        <w:rPr>
          <w:rFonts w:ascii="Palatino Linotype" w:eastAsia="Palatino Linotype" w:hAnsi="Palatino Linotype" w:cs="Palatino Linotype"/>
        </w:rPr>
      </w:pPr>
    </w:p>
    <w:p w14:paraId="70DA6519"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56556E3" w14:textId="77777777" w:rsidR="000A28F9" w:rsidRDefault="000A28F9">
      <w:pPr>
        <w:spacing w:line="360" w:lineRule="auto"/>
        <w:jc w:val="center"/>
        <w:rPr>
          <w:rFonts w:ascii="Palatino Linotype" w:eastAsia="Palatino Linotype" w:hAnsi="Palatino Linotype" w:cs="Palatino Linotype"/>
          <w:b/>
          <w:sz w:val="26"/>
          <w:szCs w:val="26"/>
        </w:rPr>
      </w:pPr>
    </w:p>
    <w:p w14:paraId="1BC2FE09" w14:textId="77777777" w:rsidR="000A28F9" w:rsidRDefault="00D309EA">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22986242" w14:textId="77777777" w:rsidR="000A28F9" w:rsidRDefault="000A28F9">
      <w:pPr>
        <w:spacing w:line="360" w:lineRule="auto"/>
        <w:ind w:right="49"/>
        <w:jc w:val="both"/>
        <w:rPr>
          <w:rFonts w:ascii="Palatino Linotype" w:eastAsia="Palatino Linotype" w:hAnsi="Palatino Linotype" w:cs="Palatino Linotype"/>
          <w:b/>
        </w:rPr>
      </w:pPr>
    </w:p>
    <w:p w14:paraId="4AFE404A" w14:textId="77777777" w:rsidR="000A28F9" w:rsidRDefault="00D309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08707/INFOEM/IP/RR/2022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16F52735" w14:textId="77777777" w:rsidR="000A28F9" w:rsidRDefault="000A28F9">
      <w:pPr>
        <w:spacing w:line="360" w:lineRule="auto"/>
        <w:ind w:right="49"/>
        <w:jc w:val="both"/>
        <w:rPr>
          <w:rFonts w:ascii="Palatino Linotype" w:eastAsia="Palatino Linotype" w:hAnsi="Palatino Linotype" w:cs="Palatino Linotype"/>
        </w:rPr>
      </w:pPr>
    </w:p>
    <w:p w14:paraId="55EDEB4D"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en versión pública, de lo siguiente: </w:t>
      </w:r>
    </w:p>
    <w:p w14:paraId="2368DB04" w14:textId="77777777" w:rsidR="000A28F9" w:rsidRDefault="000A28F9">
      <w:pPr>
        <w:ind w:left="850" w:right="332"/>
        <w:jc w:val="both"/>
        <w:rPr>
          <w:rFonts w:ascii="Palatino Linotype" w:eastAsia="Palatino Linotype" w:hAnsi="Palatino Linotype" w:cs="Palatino Linotype"/>
          <w:i/>
          <w:sz w:val="22"/>
          <w:szCs w:val="22"/>
        </w:rPr>
      </w:pPr>
    </w:p>
    <w:p w14:paraId="08A6ED77" w14:textId="77777777" w:rsidR="000A28F9" w:rsidRDefault="00D309EA">
      <w:pPr>
        <w:ind w:left="108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Comprobantes Fiscales Digitales por Internet (CFDI), por concepto de las primas vacacionales, del presidente municipal, síndico, regidores, secretario del </w:t>
      </w:r>
      <w:r>
        <w:rPr>
          <w:rFonts w:ascii="Palatino Linotype" w:eastAsia="Palatino Linotype" w:hAnsi="Palatino Linotype" w:cs="Palatino Linotype"/>
          <w:i/>
          <w:sz w:val="22"/>
          <w:szCs w:val="22"/>
        </w:rPr>
        <w:lastRenderedPageBreak/>
        <w:t>ayuntamiento, tesorero, contralor y secretaria técnica del Municipio de Tenancingo, del periodo comprendido del dieciocho de abril de dos mil veintiuno al dieciocho de abril de dos mil veintidós</w:t>
      </w:r>
    </w:p>
    <w:p w14:paraId="06F0ACE0" w14:textId="77777777" w:rsidR="000A28F9" w:rsidRDefault="000A28F9">
      <w:pPr>
        <w:ind w:left="1080" w:right="899"/>
        <w:jc w:val="both"/>
        <w:rPr>
          <w:rFonts w:ascii="Palatino Linotype" w:eastAsia="Palatino Linotype" w:hAnsi="Palatino Linotype" w:cs="Palatino Linotype"/>
          <w:i/>
          <w:sz w:val="22"/>
          <w:szCs w:val="22"/>
        </w:rPr>
      </w:pPr>
    </w:p>
    <w:p w14:paraId="5A24BB28" w14:textId="77777777" w:rsidR="000A28F9" w:rsidRDefault="00D309EA">
      <w:pPr>
        <w:widowControl w:val="0"/>
        <w:ind w:left="108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que emita el Comité de Transparencia, con motivo de la versión pública.</w:t>
      </w:r>
    </w:p>
    <w:p w14:paraId="4E2CC6B2" w14:textId="77777777" w:rsidR="000A28F9" w:rsidRDefault="000A28F9">
      <w:pPr>
        <w:tabs>
          <w:tab w:val="left" w:pos="709"/>
        </w:tabs>
        <w:ind w:right="899"/>
        <w:jc w:val="both"/>
        <w:rPr>
          <w:rFonts w:ascii="Palatino Linotype" w:eastAsia="Palatino Linotype" w:hAnsi="Palatino Linotype" w:cs="Palatino Linotype"/>
          <w:i/>
          <w:sz w:val="20"/>
          <w:szCs w:val="20"/>
        </w:rPr>
      </w:pPr>
    </w:p>
    <w:p w14:paraId="26CF7A59" w14:textId="77777777" w:rsidR="000A28F9" w:rsidRDefault="000A28F9">
      <w:pPr>
        <w:spacing w:line="360" w:lineRule="auto"/>
        <w:jc w:val="both"/>
        <w:rPr>
          <w:rFonts w:ascii="Palatino Linotype" w:eastAsia="Palatino Linotype" w:hAnsi="Palatino Linotype" w:cs="Palatino Linotype"/>
          <w:b/>
        </w:rPr>
      </w:pPr>
    </w:p>
    <w:p w14:paraId="00958074"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26D86A3" w14:textId="77777777" w:rsidR="000A28F9" w:rsidRDefault="000A28F9">
      <w:pPr>
        <w:spacing w:line="360" w:lineRule="auto"/>
        <w:jc w:val="both"/>
        <w:rPr>
          <w:rFonts w:ascii="Palatino Linotype" w:eastAsia="Palatino Linotype" w:hAnsi="Palatino Linotype" w:cs="Palatino Linotype"/>
          <w:sz w:val="22"/>
          <w:szCs w:val="22"/>
        </w:rPr>
      </w:pPr>
    </w:p>
    <w:p w14:paraId="3ED2B9F0"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33FD4C" w14:textId="77777777" w:rsidR="000A28F9" w:rsidRDefault="000A28F9">
      <w:pPr>
        <w:spacing w:line="360" w:lineRule="auto"/>
        <w:jc w:val="both"/>
        <w:rPr>
          <w:rFonts w:ascii="Palatino Linotype" w:eastAsia="Palatino Linotype" w:hAnsi="Palatino Linotype" w:cs="Palatino Linotype"/>
          <w:sz w:val="22"/>
          <w:szCs w:val="22"/>
        </w:rPr>
      </w:pPr>
    </w:p>
    <w:p w14:paraId="26891451" w14:textId="77777777" w:rsidR="000A28F9" w:rsidRDefault="00D309EA">
      <w:pPr>
        <w:spacing w:line="360" w:lineRule="auto"/>
        <w:jc w:val="both"/>
        <w:rPr>
          <w:rFonts w:ascii="Calibri" w:eastAsia="Calibri" w:hAnsi="Calibri" w:cs="Calibri"/>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DD3ABE" w14:textId="77777777" w:rsidR="000A28F9" w:rsidRDefault="00D309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DE AGOSTO DE DOS MIL VEINTIDÓS, ANTE EL SECRETARIO TÉCNICO DEL PLENO, ALEXIS TAPIA RAMÍREZ.</w:t>
      </w:r>
    </w:p>
    <w:p w14:paraId="09238AA1" w14:textId="77777777" w:rsidR="000A28F9" w:rsidRDefault="00D309EA">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338A02DA" w14:textId="77777777" w:rsidR="000A28F9" w:rsidRDefault="00D309EA">
      <w:pPr>
        <w:rPr>
          <w:rFonts w:ascii="Palatino Linotype" w:eastAsia="Palatino Linotype" w:hAnsi="Palatino Linotype" w:cs="Palatino Linotype"/>
        </w:rPr>
      </w:pPr>
      <w:r>
        <w:br w:type="page"/>
      </w:r>
    </w:p>
    <w:p w14:paraId="509C4028" w14:textId="77777777" w:rsidR="000A28F9" w:rsidRDefault="000A28F9">
      <w:pPr>
        <w:spacing w:line="360" w:lineRule="auto"/>
        <w:jc w:val="both"/>
        <w:rPr>
          <w:rFonts w:ascii="Palatino Linotype" w:eastAsia="Palatino Linotype" w:hAnsi="Palatino Linotype" w:cs="Palatino Linotype"/>
        </w:rPr>
      </w:pPr>
    </w:p>
    <w:p w14:paraId="15562C01" w14:textId="77777777" w:rsidR="000A28F9" w:rsidRDefault="000A28F9">
      <w:pPr>
        <w:spacing w:line="360" w:lineRule="auto"/>
        <w:jc w:val="both"/>
        <w:rPr>
          <w:rFonts w:ascii="Palatino Linotype" w:eastAsia="Palatino Linotype" w:hAnsi="Palatino Linotype" w:cs="Palatino Linotype"/>
        </w:rPr>
      </w:pPr>
    </w:p>
    <w:p w14:paraId="25E2E44D" w14:textId="77777777" w:rsidR="000A28F9" w:rsidRDefault="000A28F9">
      <w:pPr>
        <w:spacing w:line="360" w:lineRule="auto"/>
        <w:jc w:val="both"/>
        <w:rPr>
          <w:rFonts w:ascii="Palatino Linotype" w:eastAsia="Palatino Linotype" w:hAnsi="Palatino Linotype" w:cs="Palatino Linotype"/>
        </w:rPr>
      </w:pPr>
    </w:p>
    <w:p w14:paraId="0C5D31D2" w14:textId="77777777" w:rsidR="000A28F9" w:rsidRDefault="000A28F9">
      <w:pPr>
        <w:spacing w:line="360" w:lineRule="auto"/>
        <w:jc w:val="both"/>
        <w:rPr>
          <w:rFonts w:ascii="Palatino Linotype" w:eastAsia="Palatino Linotype" w:hAnsi="Palatino Linotype" w:cs="Palatino Linotype"/>
        </w:rPr>
      </w:pPr>
    </w:p>
    <w:p w14:paraId="6E4D0294" w14:textId="77777777" w:rsidR="000A28F9" w:rsidRDefault="000A28F9">
      <w:pPr>
        <w:spacing w:line="360" w:lineRule="auto"/>
        <w:jc w:val="both"/>
        <w:rPr>
          <w:rFonts w:ascii="Palatino Linotype" w:eastAsia="Palatino Linotype" w:hAnsi="Palatino Linotype" w:cs="Palatino Linotype"/>
        </w:rPr>
      </w:pPr>
    </w:p>
    <w:p w14:paraId="1B68D7F0" w14:textId="77777777" w:rsidR="000A28F9" w:rsidRDefault="000A28F9">
      <w:pPr>
        <w:spacing w:line="360" w:lineRule="auto"/>
        <w:jc w:val="both"/>
        <w:rPr>
          <w:rFonts w:ascii="Palatino Linotype" w:eastAsia="Palatino Linotype" w:hAnsi="Palatino Linotype" w:cs="Palatino Linotype"/>
        </w:rPr>
      </w:pPr>
    </w:p>
    <w:p w14:paraId="2030C285" w14:textId="77777777" w:rsidR="000A28F9" w:rsidRDefault="000A28F9">
      <w:pPr>
        <w:spacing w:line="360" w:lineRule="auto"/>
        <w:jc w:val="both"/>
        <w:rPr>
          <w:rFonts w:ascii="Palatino Linotype" w:eastAsia="Palatino Linotype" w:hAnsi="Palatino Linotype" w:cs="Palatino Linotype"/>
        </w:rPr>
      </w:pPr>
    </w:p>
    <w:p w14:paraId="09A321DD" w14:textId="77777777" w:rsidR="000A28F9" w:rsidRDefault="000A28F9">
      <w:pPr>
        <w:spacing w:line="360" w:lineRule="auto"/>
        <w:jc w:val="both"/>
        <w:rPr>
          <w:rFonts w:ascii="Palatino Linotype" w:eastAsia="Palatino Linotype" w:hAnsi="Palatino Linotype" w:cs="Palatino Linotype"/>
        </w:rPr>
      </w:pPr>
    </w:p>
    <w:p w14:paraId="5256E1F1" w14:textId="77777777" w:rsidR="000A28F9" w:rsidRDefault="000A28F9">
      <w:pPr>
        <w:spacing w:line="360" w:lineRule="auto"/>
        <w:jc w:val="both"/>
        <w:rPr>
          <w:rFonts w:ascii="Palatino Linotype" w:eastAsia="Palatino Linotype" w:hAnsi="Palatino Linotype" w:cs="Palatino Linotype"/>
        </w:rPr>
      </w:pPr>
      <w:bookmarkStart w:id="14" w:name="_heading=h.30j0zll" w:colFirst="0" w:colLast="0"/>
      <w:bookmarkEnd w:id="14"/>
    </w:p>
    <w:p w14:paraId="6A26BF67" w14:textId="77777777" w:rsidR="000A28F9" w:rsidRDefault="000A28F9">
      <w:pPr>
        <w:spacing w:line="360" w:lineRule="auto"/>
        <w:jc w:val="both"/>
        <w:rPr>
          <w:rFonts w:ascii="Palatino Linotype" w:eastAsia="Palatino Linotype" w:hAnsi="Palatino Linotype" w:cs="Palatino Linotype"/>
        </w:rPr>
      </w:pPr>
    </w:p>
    <w:p w14:paraId="6B89BEFD" w14:textId="77777777" w:rsidR="000A28F9" w:rsidRDefault="000A28F9">
      <w:pPr>
        <w:spacing w:line="360" w:lineRule="auto"/>
        <w:jc w:val="both"/>
        <w:rPr>
          <w:rFonts w:ascii="Palatino Linotype" w:eastAsia="Palatino Linotype" w:hAnsi="Palatino Linotype" w:cs="Palatino Linotype"/>
        </w:rPr>
      </w:pPr>
    </w:p>
    <w:p w14:paraId="1E70D152" w14:textId="77777777" w:rsidR="000A28F9" w:rsidRDefault="000A28F9">
      <w:pPr>
        <w:spacing w:line="360" w:lineRule="auto"/>
        <w:jc w:val="both"/>
        <w:rPr>
          <w:rFonts w:ascii="Palatino Linotype" w:eastAsia="Palatino Linotype" w:hAnsi="Palatino Linotype" w:cs="Palatino Linotype"/>
        </w:rPr>
      </w:pPr>
    </w:p>
    <w:p w14:paraId="691AEF5C" w14:textId="77777777" w:rsidR="000A28F9" w:rsidRDefault="000A28F9">
      <w:pPr>
        <w:spacing w:line="360" w:lineRule="auto"/>
        <w:jc w:val="both"/>
        <w:rPr>
          <w:rFonts w:ascii="Palatino Linotype" w:eastAsia="Palatino Linotype" w:hAnsi="Palatino Linotype" w:cs="Palatino Linotype"/>
        </w:rPr>
      </w:pPr>
    </w:p>
    <w:p w14:paraId="495D7B95" w14:textId="77777777" w:rsidR="000A28F9" w:rsidRDefault="000A28F9">
      <w:pPr>
        <w:spacing w:line="360" w:lineRule="auto"/>
        <w:jc w:val="both"/>
        <w:rPr>
          <w:rFonts w:ascii="Palatino Linotype" w:eastAsia="Palatino Linotype" w:hAnsi="Palatino Linotype" w:cs="Palatino Linotype"/>
        </w:rPr>
      </w:pPr>
    </w:p>
    <w:p w14:paraId="225AD0D5" w14:textId="77777777" w:rsidR="000A28F9" w:rsidRDefault="000A28F9">
      <w:pPr>
        <w:spacing w:line="360" w:lineRule="auto"/>
        <w:jc w:val="both"/>
        <w:rPr>
          <w:rFonts w:ascii="Palatino Linotype" w:eastAsia="Palatino Linotype" w:hAnsi="Palatino Linotype" w:cs="Palatino Linotype"/>
        </w:rPr>
      </w:pPr>
    </w:p>
    <w:p w14:paraId="110A3CB8" w14:textId="77777777" w:rsidR="000A28F9" w:rsidRDefault="000A28F9">
      <w:pPr>
        <w:spacing w:line="360" w:lineRule="auto"/>
        <w:jc w:val="both"/>
        <w:rPr>
          <w:rFonts w:ascii="Palatino Linotype" w:eastAsia="Palatino Linotype" w:hAnsi="Palatino Linotype" w:cs="Palatino Linotype"/>
        </w:rPr>
      </w:pPr>
    </w:p>
    <w:p w14:paraId="50C8214E" w14:textId="77777777" w:rsidR="000A28F9" w:rsidRDefault="000A28F9">
      <w:pPr>
        <w:spacing w:line="360" w:lineRule="auto"/>
        <w:jc w:val="both"/>
        <w:rPr>
          <w:rFonts w:ascii="Palatino Linotype" w:eastAsia="Palatino Linotype" w:hAnsi="Palatino Linotype" w:cs="Palatino Linotype"/>
        </w:rPr>
      </w:pPr>
    </w:p>
    <w:p w14:paraId="28B28B99" w14:textId="77777777" w:rsidR="000A28F9" w:rsidRDefault="000A28F9">
      <w:pPr>
        <w:spacing w:line="360" w:lineRule="auto"/>
        <w:jc w:val="both"/>
        <w:rPr>
          <w:rFonts w:ascii="Palatino Linotype" w:eastAsia="Palatino Linotype" w:hAnsi="Palatino Linotype" w:cs="Palatino Linotype"/>
        </w:rPr>
      </w:pPr>
    </w:p>
    <w:sectPr w:rsidR="000A28F9">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198DB" w14:textId="77777777" w:rsidR="007C42C3" w:rsidRDefault="007C42C3">
      <w:r>
        <w:separator/>
      </w:r>
    </w:p>
  </w:endnote>
  <w:endnote w:type="continuationSeparator" w:id="0">
    <w:p w14:paraId="6660D305" w14:textId="77777777" w:rsidR="007C42C3" w:rsidRDefault="007C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BA81" w14:textId="77777777" w:rsidR="000A28F9" w:rsidRDefault="00D309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B054C">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B054C">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2BE5" w14:textId="77777777" w:rsidR="000A28F9" w:rsidRDefault="00D309E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B054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B054C">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F08C3" w14:textId="77777777" w:rsidR="007C42C3" w:rsidRDefault="007C42C3">
      <w:r>
        <w:separator/>
      </w:r>
    </w:p>
  </w:footnote>
  <w:footnote w:type="continuationSeparator" w:id="0">
    <w:p w14:paraId="36272D9B" w14:textId="77777777" w:rsidR="007C42C3" w:rsidRDefault="007C42C3">
      <w:r>
        <w:continuationSeparator/>
      </w:r>
    </w:p>
  </w:footnote>
  <w:footnote w:id="1">
    <w:p w14:paraId="3F46006D" w14:textId="77777777" w:rsidR="000A28F9" w:rsidRDefault="00D309EA">
      <w:pPr>
        <w:rPr>
          <w:rFonts w:ascii="Cambria" w:eastAsia="Cambria" w:hAnsi="Cambria" w:cs="Cambria"/>
          <w:sz w:val="20"/>
          <w:szCs w:val="20"/>
        </w:rPr>
      </w:pPr>
      <w:r>
        <w:rPr>
          <w:vertAlign w:val="superscript"/>
        </w:rPr>
        <w:footnoteRef/>
      </w:r>
      <w:r>
        <w:rPr>
          <w:rFonts w:ascii="Palatino Linotype" w:eastAsia="Palatino Linotype" w:hAnsi="Palatino Linotype" w:cs="Palatino Linotype"/>
          <w:i/>
          <w:sz w:val="18"/>
          <w:szCs w:val="18"/>
        </w:rPr>
        <w:t xml:space="preserve"> </w:t>
      </w:r>
      <w:hyperlink r:id="rId1">
        <w:r>
          <w:rPr>
            <w:rFonts w:ascii="Palatino Linotype" w:eastAsia="Palatino Linotype" w:hAnsi="Palatino Linotype" w:cs="Palatino Linotype"/>
            <w:i/>
            <w:color w:val="035899"/>
            <w:sz w:val="18"/>
            <w:szCs w:val="18"/>
          </w:rPr>
          <w:t>https://www.osfem.gob.mx/04_Iconografia/Ent_Fisc/Doc_Apoy/doc/2021/01_PresentacionPoliticasPresupuesto.pdf</w:t>
        </w:r>
      </w:hyperlink>
      <w:r>
        <w:rPr>
          <w:rFonts w:ascii="Palatino Linotype" w:eastAsia="Palatino Linotype" w:hAnsi="Palatino Linotype" w:cs="Palatino Linotype"/>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8A7C" w14:textId="77777777" w:rsidR="000A28F9" w:rsidRDefault="007C42C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C4A0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D794" w14:textId="77777777" w:rsidR="000A28F9" w:rsidRDefault="007C42C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F102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ff9"/>
      <w:tblW w:w="9534" w:type="dxa"/>
      <w:tblInd w:w="-142" w:type="dxa"/>
      <w:tblLayout w:type="fixed"/>
      <w:tblLook w:val="0400" w:firstRow="0" w:lastRow="0" w:firstColumn="0" w:lastColumn="0" w:noHBand="0" w:noVBand="1"/>
    </w:tblPr>
    <w:tblGrid>
      <w:gridCol w:w="3261"/>
      <w:gridCol w:w="2551"/>
      <w:gridCol w:w="3722"/>
    </w:tblGrid>
    <w:tr w:rsidR="000A28F9" w14:paraId="1A6343BD" w14:textId="77777777">
      <w:tc>
        <w:tcPr>
          <w:tcW w:w="3261" w:type="dxa"/>
          <w:vMerge w:val="restart"/>
        </w:tcPr>
        <w:p w14:paraId="35FF4393"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A74C102" wp14:editId="4C1D4ECE">
                <wp:extent cx="1692162" cy="852673"/>
                <wp:effectExtent l="0" t="0" r="0" b="0"/>
                <wp:docPr id="3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CD02D28"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9610755" w14:textId="77777777" w:rsidR="000A28F9" w:rsidRDefault="00D309EA">
          <w:pPr>
            <w:jc w:val="both"/>
            <w:rPr>
              <w:rFonts w:ascii="Palatino Linotype" w:eastAsia="Palatino Linotype" w:hAnsi="Palatino Linotype" w:cs="Palatino Linotype"/>
              <w:b/>
            </w:rPr>
          </w:pPr>
          <w:r>
            <w:rPr>
              <w:rFonts w:ascii="Palatino Linotype" w:eastAsia="Palatino Linotype" w:hAnsi="Palatino Linotype" w:cs="Palatino Linotype"/>
              <w:b/>
            </w:rPr>
            <w:t>08707/INFOEM/IP/RR/2022</w:t>
          </w:r>
        </w:p>
      </w:tc>
    </w:tr>
    <w:tr w:rsidR="000A28F9" w14:paraId="255E1FA5" w14:textId="77777777">
      <w:tc>
        <w:tcPr>
          <w:tcW w:w="3261" w:type="dxa"/>
          <w:vMerge/>
        </w:tcPr>
        <w:p w14:paraId="6D2A66E0" w14:textId="77777777" w:rsidR="000A28F9" w:rsidRDefault="000A28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EB98894"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EB94A23" w14:textId="77777777" w:rsidR="000A28F9" w:rsidRDefault="00D309E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0A28F9" w14:paraId="32360EC3" w14:textId="77777777">
      <w:trPr>
        <w:trHeight w:val="790"/>
      </w:trPr>
      <w:tc>
        <w:tcPr>
          <w:tcW w:w="3261" w:type="dxa"/>
          <w:vMerge/>
        </w:tcPr>
        <w:p w14:paraId="26F0CB65" w14:textId="77777777" w:rsidR="000A28F9" w:rsidRDefault="000A28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EB79BFB"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4E7F886" w14:textId="77777777" w:rsidR="000A28F9" w:rsidRDefault="00D309E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EE11FC3" w14:textId="77777777" w:rsidR="000A28F9" w:rsidRDefault="000A28F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2995" w14:textId="77777777" w:rsidR="000A28F9" w:rsidRDefault="007C42C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B650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ff8"/>
      <w:tblW w:w="9900" w:type="dxa"/>
      <w:tblInd w:w="-833" w:type="dxa"/>
      <w:tblLayout w:type="fixed"/>
      <w:tblLook w:val="0400" w:firstRow="0" w:lastRow="0" w:firstColumn="0" w:lastColumn="0" w:noHBand="0" w:noVBand="1"/>
    </w:tblPr>
    <w:tblGrid>
      <w:gridCol w:w="3805"/>
      <w:gridCol w:w="3000"/>
      <w:gridCol w:w="3095"/>
    </w:tblGrid>
    <w:tr w:rsidR="000A28F9" w14:paraId="0813DDCE" w14:textId="77777777">
      <w:tc>
        <w:tcPr>
          <w:tcW w:w="3805" w:type="dxa"/>
          <w:vMerge w:val="restart"/>
          <w:shd w:val="clear" w:color="auto" w:fill="auto"/>
        </w:tcPr>
        <w:p w14:paraId="16F62002" w14:textId="77777777" w:rsidR="000A28F9" w:rsidRDefault="00D309E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F21B253" wp14:editId="1AC2D3DA">
                <wp:extent cx="1692162" cy="852673"/>
                <wp:effectExtent l="0" t="0" r="0" b="0"/>
                <wp:docPr id="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B36AF42"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BEE8291" w14:textId="77777777" w:rsidR="000A28F9" w:rsidRDefault="00D309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08707/INFOEM/IP/RR/2022 </w:t>
          </w:r>
        </w:p>
      </w:tc>
    </w:tr>
    <w:tr w:rsidR="000A28F9" w14:paraId="6E94B3AE" w14:textId="77777777">
      <w:tc>
        <w:tcPr>
          <w:tcW w:w="3805" w:type="dxa"/>
          <w:vMerge/>
          <w:shd w:val="clear" w:color="auto" w:fill="auto"/>
        </w:tcPr>
        <w:p w14:paraId="7D30D550" w14:textId="77777777" w:rsidR="000A28F9" w:rsidRDefault="000A28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5746814"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DC9B795" w14:textId="472938C4" w:rsidR="000A28F9" w:rsidRDefault="002B1CE0">
          <w:pPr>
            <w:jc w:val="both"/>
            <w:rPr>
              <w:rFonts w:ascii="Palatino Linotype" w:eastAsia="Palatino Linotype" w:hAnsi="Palatino Linotype" w:cs="Palatino Linotype"/>
              <w:b/>
            </w:rPr>
          </w:pPr>
          <w:r>
            <w:rPr>
              <w:rFonts w:ascii="Palatino Linotype" w:eastAsia="Palatino Linotype" w:hAnsi="Palatino Linotype" w:cs="Palatino Linotype"/>
              <w:b/>
            </w:rPr>
            <w:t>XXXXXX XXXXXX</w:t>
          </w:r>
        </w:p>
      </w:tc>
    </w:tr>
    <w:tr w:rsidR="000A28F9" w14:paraId="3B656161" w14:textId="77777777">
      <w:trPr>
        <w:trHeight w:val="228"/>
      </w:trPr>
      <w:tc>
        <w:tcPr>
          <w:tcW w:w="3805" w:type="dxa"/>
          <w:vMerge/>
          <w:shd w:val="clear" w:color="auto" w:fill="auto"/>
        </w:tcPr>
        <w:p w14:paraId="59BE116C" w14:textId="77777777" w:rsidR="000A28F9" w:rsidRDefault="000A28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BAF35C5"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BAEC918" w14:textId="77777777" w:rsidR="000A28F9" w:rsidRDefault="00D309E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0A28F9" w14:paraId="68AC6E38" w14:textId="77777777">
      <w:tc>
        <w:tcPr>
          <w:tcW w:w="3805" w:type="dxa"/>
          <w:vMerge/>
          <w:shd w:val="clear" w:color="auto" w:fill="auto"/>
        </w:tcPr>
        <w:p w14:paraId="3B55A0E7" w14:textId="77777777" w:rsidR="000A28F9" w:rsidRDefault="000A28F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F0A8F83" w14:textId="77777777" w:rsidR="000A28F9" w:rsidRDefault="00D309E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3308D60" w14:textId="77777777" w:rsidR="000A28F9" w:rsidRDefault="00D309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A0D4C16" w14:textId="77777777" w:rsidR="000A28F9" w:rsidRDefault="000A28F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04F52"/>
    <w:multiLevelType w:val="multilevel"/>
    <w:tmpl w:val="9126E18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F9"/>
    <w:rsid w:val="000A28F9"/>
    <w:rsid w:val="001B054C"/>
    <w:rsid w:val="002B1CE0"/>
    <w:rsid w:val="00461A73"/>
    <w:rsid w:val="00626427"/>
    <w:rsid w:val="006A2E84"/>
    <w:rsid w:val="007C42C3"/>
    <w:rsid w:val="009B51FE"/>
    <w:rsid w:val="00D309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338E1"/>
  <w15:docId w15:val="{35864471-607E-4AA2-BC12-93795CFA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b"/>
    <w:tblPr>
      <w:tblStyleRowBandSize w:val="1"/>
      <w:tblStyleColBandSize w:val="1"/>
      <w:tblCellMar>
        <w:top w:w="100" w:type="dxa"/>
        <w:left w:w="100" w:type="dxa"/>
        <w:bottom w:w="100" w:type="dxa"/>
        <w:right w:w="100" w:type="dxa"/>
      </w:tblCellMar>
    </w:tblPr>
  </w:style>
  <w:style w:type="table" w:customStyle="1" w:styleId="a0">
    <w:basedOn w:val="TableNormalffb"/>
    <w:tblPr>
      <w:tblStyleRowBandSize w:val="1"/>
      <w:tblStyleColBandSize w:val="1"/>
      <w:tblCellMar>
        <w:left w:w="115" w:type="dxa"/>
        <w:right w:w="115" w:type="dxa"/>
      </w:tblCellMar>
    </w:tblPr>
  </w:style>
  <w:style w:type="table" w:customStyle="1" w:styleId="a1">
    <w:basedOn w:val="TableNormalffb"/>
    <w:tblPr>
      <w:tblStyleRowBandSize w:val="1"/>
      <w:tblStyleColBandSize w:val="1"/>
      <w:tblCellMar>
        <w:left w:w="115" w:type="dxa"/>
        <w:right w:w="115" w:type="dxa"/>
      </w:tblCellMar>
    </w:tblPr>
  </w:style>
  <w:style w:type="table" w:customStyle="1" w:styleId="a2">
    <w:basedOn w:val="TableNormalffb"/>
    <w:tblPr>
      <w:tblStyleRowBandSize w:val="1"/>
      <w:tblStyleColBandSize w:val="1"/>
      <w:tblCellMar>
        <w:left w:w="115" w:type="dxa"/>
        <w:right w:w="115" w:type="dxa"/>
      </w:tblCellMar>
    </w:tblPr>
  </w:style>
  <w:style w:type="table" w:customStyle="1" w:styleId="a3">
    <w:basedOn w:val="TableNormalffb"/>
    <w:tblPr>
      <w:tblStyleRowBandSize w:val="1"/>
      <w:tblStyleColBandSize w:val="1"/>
      <w:tblCellMar>
        <w:left w:w="115" w:type="dxa"/>
        <w:right w:w="115" w:type="dxa"/>
      </w:tblCellMar>
    </w:tblPr>
  </w:style>
  <w:style w:type="table" w:customStyle="1" w:styleId="a4">
    <w:basedOn w:val="TableNormalffb"/>
    <w:tblPr>
      <w:tblStyleRowBandSize w:val="1"/>
      <w:tblStyleColBandSize w:val="1"/>
      <w:tblCellMar>
        <w:left w:w="115" w:type="dxa"/>
        <w:right w:w="115" w:type="dxa"/>
      </w:tblCellMar>
    </w:tblPr>
  </w:style>
  <w:style w:type="table" w:customStyle="1" w:styleId="a5">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b"/>
    <w:tblPr>
      <w:tblStyleRowBandSize w:val="1"/>
      <w:tblStyleColBandSize w:val="1"/>
      <w:tblCellMar>
        <w:left w:w="115" w:type="dxa"/>
        <w:right w:w="115" w:type="dxa"/>
      </w:tblCellMar>
    </w:tblPr>
  </w:style>
  <w:style w:type="table" w:customStyle="1" w:styleId="a7">
    <w:basedOn w:val="TableNormalffb"/>
    <w:tblPr>
      <w:tblStyleRowBandSize w:val="1"/>
      <w:tblStyleColBandSize w:val="1"/>
      <w:tblCellMar>
        <w:left w:w="115" w:type="dxa"/>
        <w:right w:w="115" w:type="dxa"/>
      </w:tblCellMar>
    </w:tblPr>
  </w:style>
  <w:style w:type="table" w:customStyle="1" w:styleId="a8">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a"/>
    <w:tblPr>
      <w:tblStyleRowBandSize w:val="1"/>
      <w:tblStyleColBandSize w:val="1"/>
      <w:tblCellMar>
        <w:left w:w="115" w:type="dxa"/>
        <w:right w:w="115" w:type="dxa"/>
      </w:tblCellMar>
    </w:tblPr>
  </w:style>
  <w:style w:type="table" w:customStyle="1" w:styleId="afff3">
    <w:basedOn w:val="TableNormalfa"/>
    <w:tblPr>
      <w:tblStyleRowBandSize w:val="1"/>
      <w:tblStyleColBandSize w:val="1"/>
      <w:tblCellMar>
        <w:top w:w="100" w:type="dxa"/>
        <w:left w:w="100" w:type="dxa"/>
        <w:bottom w:w="100" w:type="dxa"/>
        <w:right w:w="100" w:type="dxa"/>
      </w:tblCellMar>
    </w:tblPr>
  </w:style>
  <w:style w:type="table" w:customStyle="1" w:styleId="a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a"/>
    <w:tblPr>
      <w:tblStyleRowBandSize w:val="1"/>
      <w:tblStyleColBandSize w:val="1"/>
      <w:tblCellMar>
        <w:top w:w="100" w:type="dxa"/>
        <w:left w:w="100" w:type="dxa"/>
        <w:bottom w:w="100" w:type="dxa"/>
        <w:right w:w="100" w:type="dxa"/>
      </w:tblCellMar>
    </w:tblPr>
  </w:style>
  <w:style w:type="table" w:customStyle="1" w:styleId="a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a"/>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1/01_PresentacionPoliticasPresupues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NPBQHXzA7sRdp49pIyZRaKP5dw==">AMUW2mWeueyhJDdp/c/e8tOwTqUD0oyvQN3JeL5Y7jXIyE2HFuroV2qCvV2d3Vr8sPYo8v/yNquoosft+fTm0SPL+L9txUFBsum95eGxn0hvnSxQZU6jqZdE7RjabcgLxTWxpbE6Ncbg3fL9JBsbtxCkae6OAQwH/n714sWayuRYe/ZKCOFAHJfSqb7Zm5q4A9f5Xt9kOKR7Rjw9gSDkLkAk/9cqjMT2FjSjPKZjSCBmeDmaAjCgGJMMdKYyoKKLzqDxTVwe9X13XUDze7NUJAEjUNeF0AupeI+G8BJKpDhxpamG8FBlVlB55ZwaSyAWKNSKjffWWnNa6wQ0hpK25Fr5ZjtUKdj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8126</Words>
  <Characters>44696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5</cp:revision>
  <cp:lastPrinted>2022-08-19T03:13:00Z</cp:lastPrinted>
  <dcterms:created xsi:type="dcterms:W3CDTF">2022-08-11T19:04:00Z</dcterms:created>
  <dcterms:modified xsi:type="dcterms:W3CDTF">2022-08-31T16:23:00Z</dcterms:modified>
</cp:coreProperties>
</file>