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C1F290" w14:textId="4752CBBC"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w:t>
      </w:r>
      <w:r w:rsidR="00607694">
        <w:rPr>
          <w:rFonts w:ascii="Palatino Linotype" w:eastAsia="Palatino Linotype" w:hAnsi="Palatino Linotype" w:cs="Palatino Linotype"/>
        </w:rPr>
        <w:t xml:space="preserve"> de México, a cuatro</w:t>
      </w:r>
      <w:r>
        <w:rPr>
          <w:rFonts w:ascii="Palatino Linotype" w:eastAsia="Palatino Linotype" w:hAnsi="Palatino Linotype" w:cs="Palatino Linotype"/>
        </w:rPr>
        <w:t xml:space="preserve"> de febrero del dos mil veintidós.</w:t>
      </w:r>
    </w:p>
    <w:p w14:paraId="11833A2F" w14:textId="1F160DCB"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relativo al recurso de revisión </w:t>
      </w:r>
      <w:r>
        <w:rPr>
          <w:rFonts w:ascii="Palatino Linotype" w:eastAsia="Palatino Linotype" w:hAnsi="Palatino Linotype" w:cs="Palatino Linotype"/>
          <w:b/>
        </w:rPr>
        <w:t>05459/INFOEM/IP/RR/2021</w:t>
      </w:r>
      <w:r>
        <w:rPr>
          <w:rFonts w:ascii="Palatino Linotype" w:eastAsia="Palatino Linotype" w:hAnsi="Palatino Linotype" w:cs="Palatino Linotype"/>
        </w:rPr>
        <w:t>, interpuesto por</w:t>
      </w:r>
      <w:r w:rsidR="007522CF">
        <w:rPr>
          <w:rFonts w:ascii="Palatino Linotype" w:eastAsia="Palatino Linotype" w:hAnsi="Palatino Linotype" w:cs="Palatino Linotype"/>
        </w:rPr>
        <w:t xml:space="preserve"> </w:t>
      </w:r>
      <w:r w:rsidR="007522CF">
        <w:rPr>
          <w:rFonts w:ascii="Palatino Linotype" w:eastAsia="Palatino Linotype" w:hAnsi="Palatino Linotype" w:cs="Palatino Linotype"/>
          <w:b/>
        </w:rPr>
        <w:t>XXXXXXXXXXXXXXX</w:t>
      </w:r>
      <w:r>
        <w:rPr>
          <w:rFonts w:ascii="Palatino Linotype" w:eastAsia="Palatino Linotype" w:hAnsi="Palatino Linotype" w:cs="Palatino Linotype"/>
        </w:rPr>
        <w:t xml:space="preserve">, a través de </w:t>
      </w:r>
      <w:r w:rsidR="007522CF">
        <w:rPr>
          <w:rFonts w:ascii="Palatino Linotype" w:eastAsia="Palatino Linotype" w:hAnsi="Palatino Linotype" w:cs="Palatino Linotype"/>
          <w:b/>
        </w:rPr>
        <w:t>XXXXXXXXXX</w:t>
      </w:r>
      <w:r>
        <w:rPr>
          <w:rFonts w:ascii="Palatino Linotype" w:eastAsia="Palatino Linotype" w:hAnsi="Palatino Linotype" w:cs="Palatino Linotype"/>
        </w:rPr>
        <w:t xml:space="preserve">, quien se ostenta como su representante y a quien en lo sucesivo se le denominará </w:t>
      </w:r>
      <w:r>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contra de la respuesta a su solicitud de información con número de folio </w:t>
      </w:r>
      <w:r>
        <w:rPr>
          <w:rFonts w:ascii="Palatino Linotype" w:eastAsia="Palatino Linotype" w:hAnsi="Palatino Linotype" w:cs="Palatino Linotype"/>
          <w:b/>
        </w:rPr>
        <w:t>00070/STMEM/IP/2021</w:t>
      </w:r>
      <w:r>
        <w:rPr>
          <w:rFonts w:ascii="Palatino Linotype" w:eastAsia="Palatino Linotype" w:hAnsi="Palatino Linotype" w:cs="Palatino Linotype"/>
        </w:rPr>
        <w:t xml:space="preserve">, emitida por el </w:t>
      </w:r>
      <w:r>
        <w:rPr>
          <w:rFonts w:ascii="Palatino Linotype" w:eastAsia="Palatino Linotype" w:hAnsi="Palatino Linotype" w:cs="Palatino Linotype"/>
          <w:b/>
        </w:rPr>
        <w:t>Sistema de Transporte Masivo y Teleférico del Estado de México</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EL SUJETO OBLIGADO</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se procede a dictar la presente resolución, con base en lo siguiente.</w:t>
      </w:r>
    </w:p>
    <w:p w14:paraId="725BD591" w14:textId="77777777" w:rsidR="00E52C20" w:rsidRDefault="00BD10BA">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t>I.</w:t>
      </w:r>
      <w:r>
        <w:rPr>
          <w:rFonts w:ascii="Palatino Linotype" w:eastAsia="Palatino Linotype" w:hAnsi="Palatino Linotype" w:cs="Palatino Linotype"/>
          <w:b/>
          <w:color w:val="000000"/>
          <w:sz w:val="24"/>
          <w:szCs w:val="24"/>
        </w:rPr>
        <w:tab/>
        <w:t xml:space="preserve"> A N T E C E D E N T E S </w:t>
      </w:r>
    </w:p>
    <w:p w14:paraId="481D1A3B" w14:textId="77777777" w:rsidR="00E52C20" w:rsidRDefault="00BD10B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 Solicitud de acceso a la información.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 xml:space="preserve">  veintiocho de octubre de dos mil veintiuno</w:t>
      </w:r>
      <w:r>
        <w:rPr>
          <w:rFonts w:ascii="Palatino Linotype" w:eastAsia="Palatino Linotype" w:hAnsi="Palatino Linotype" w:cs="Palatino Linotype"/>
        </w:rPr>
        <w:t xml:space="preserve">, el ahora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formuló solicitud de acceso a la información pública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del Sistema de Acceso a la Información Mexiquense, en lo subsecuente </w:t>
      </w:r>
      <w:r>
        <w:rPr>
          <w:rFonts w:ascii="Palatino Linotype" w:eastAsia="Palatino Linotype" w:hAnsi="Palatino Linotype" w:cs="Palatino Linotype"/>
          <w:b/>
        </w:rPr>
        <w:t>EL SAIMEX,</w:t>
      </w:r>
      <w:r>
        <w:rPr>
          <w:rFonts w:ascii="Palatino Linotype" w:eastAsia="Palatino Linotype" w:hAnsi="Palatino Linotype" w:cs="Palatino Linotype"/>
        </w:rPr>
        <w:t xml:space="preserve"> requiriendo lo siguiente:</w:t>
      </w:r>
    </w:p>
    <w:p w14:paraId="1F841B55" w14:textId="77777777" w:rsidR="00E52C20" w:rsidRDefault="00BD10BA">
      <w:pPr>
        <w:pBdr>
          <w:top w:val="nil"/>
          <w:left w:val="nil"/>
          <w:bottom w:val="nil"/>
          <w:right w:val="nil"/>
          <w:between w:val="nil"/>
        </w:pBdr>
        <w:ind w:left="720"/>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“solicito se informe que normatividad se llevo acabo para la busqueda de la información solicitada y que se responde atraves de oficios al copiar y pegar y manejar en un solo sentido que no se cuenta con la información. apesar que es resposablidad de este sujeto obligado, asi las cosas se ratifica se entreguen los documentos soporte y que se relaciona con las inspecciones y obligaciones que tiene este sujeto obligado en realizarlas,. toda vez que no se pidio los procedimientos instaurados por el o no cumplimiento de la norma ; lo que se solicito fue las visitas y bitacoras entregadas por las concesionarias a el sitramytem.” (sic)</w:t>
      </w:r>
    </w:p>
    <w:p w14:paraId="2A1953D0" w14:textId="77777777" w:rsidR="00E52C20" w:rsidRDefault="00BD10B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El solicitante indicó como modalidad de entrega a través del </w:t>
      </w:r>
      <w:r>
        <w:rPr>
          <w:rFonts w:ascii="Palatino Linotype" w:eastAsia="Palatino Linotype" w:hAnsi="Palatino Linotype" w:cs="Palatino Linotype"/>
          <w:b/>
        </w:rPr>
        <w:t>SAIMEX.</w:t>
      </w:r>
    </w:p>
    <w:p w14:paraId="28B1146D" w14:textId="37D6B0FB"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Requerimiento de Aclaración.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tres de noviembre de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solicitó al recurrente que, en un término de diez días hábiles, aclarara o complementara su solicitud, al referido requerimiento se acompañó el oficio UT/213C03010301200/127/2021, el cual a continuación se ilustra:</w:t>
      </w:r>
      <w:r w:rsidR="007413ED" w:rsidRPr="007413ED">
        <w:rPr>
          <w:rFonts w:ascii="Palatino Linotype" w:eastAsia="Palatino Linotype" w:hAnsi="Palatino Linotype" w:cs="Palatino Linotype"/>
          <w:noProof/>
          <w:lang w:val="es-419" w:eastAsia="es-419"/>
        </w:rPr>
        <w:t xml:space="preserve"> </w:t>
      </w:r>
    </w:p>
    <w:p w14:paraId="2C69667A" w14:textId="772BB386" w:rsidR="00E52C20" w:rsidRDefault="007522CF">
      <w:pPr>
        <w:spacing w:before="240" w:after="240" w:line="360" w:lineRule="auto"/>
        <w:jc w:val="center"/>
        <w:rPr>
          <w:rFonts w:ascii="Palatino Linotype" w:eastAsia="Palatino Linotype" w:hAnsi="Palatino Linotype" w:cs="Palatino Linotype"/>
          <w:b/>
        </w:rPr>
      </w:pPr>
      <w:r w:rsidRPr="007522CF">
        <w:rPr>
          <w:rFonts w:ascii="Palatino Linotype" w:eastAsia="Palatino Linotype" w:hAnsi="Palatino Linotype" w:cs="Palatino Linotype"/>
          <w:b/>
          <w:noProof/>
          <w:lang w:val="es-419" w:eastAsia="es-419"/>
        </w:rPr>
        <w:drawing>
          <wp:inline distT="0" distB="0" distL="0" distR="0" wp14:anchorId="1ED8B850" wp14:editId="22A5DA8D">
            <wp:extent cx="4381500" cy="5286375"/>
            <wp:effectExtent l="0" t="0" r="0" b="9525"/>
            <wp:docPr id="15" name="Imagen 15" descr="C:\Users\Usuario\Pictures\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Pictures\5459.jpg"/>
                    <pic:cNvPicPr>
                      <a:picLocks noChangeAspect="1" noChangeArrowheads="1"/>
                    </pic:cNvPicPr>
                  </pic:nvPicPr>
                  <pic:blipFill rotWithShape="1">
                    <a:blip r:embed="rId8">
                      <a:extLst>
                        <a:ext uri="{28A0092B-C50C-407E-A947-70E740481C1C}">
                          <a14:useLocalDpi xmlns:a14="http://schemas.microsoft.com/office/drawing/2010/main" val="0"/>
                        </a:ext>
                      </a:extLst>
                    </a:blip>
                    <a:srcRect b="12322"/>
                    <a:stretch/>
                  </pic:blipFill>
                  <pic:spPr bwMode="auto">
                    <a:xfrm>
                      <a:off x="0" y="0"/>
                      <a:ext cx="4381500" cy="5286375"/>
                    </a:xfrm>
                    <a:prstGeom prst="rect">
                      <a:avLst/>
                    </a:prstGeom>
                    <a:noFill/>
                    <a:ln>
                      <a:noFill/>
                    </a:ln>
                    <a:extLst>
                      <a:ext uri="{53640926-AAD7-44D8-BBD7-CCE9431645EC}">
                        <a14:shadowObscured xmlns:a14="http://schemas.microsoft.com/office/drawing/2010/main"/>
                      </a:ext>
                    </a:extLst>
                  </pic:spPr>
                </pic:pic>
              </a:graphicData>
            </a:graphic>
          </wp:inline>
        </w:drawing>
      </w:r>
    </w:p>
    <w:p w14:paraId="628D17BB"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Respuesta al Requerimiento de Aclaración.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tres de noviembre de dos mil veintiuno</w:t>
      </w:r>
      <w:r>
        <w:rPr>
          <w:rFonts w:ascii="Palatino Linotype" w:eastAsia="Palatino Linotype" w:hAnsi="Palatino Linotype" w:cs="Palatino Linotype"/>
        </w:rPr>
        <w:t>, el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a través del SAIMEX, realizó la aclaración solicitad en los términos siguientes:</w:t>
      </w:r>
    </w:p>
    <w:p w14:paraId="59D450BA" w14:textId="77777777" w:rsidR="00E52C20" w:rsidRDefault="00BD10BA">
      <w:pPr>
        <w:spacing w:before="240" w:after="240" w:line="360" w:lineRule="auto"/>
        <w:ind w:left="720"/>
        <w:jc w:val="both"/>
        <w:rPr>
          <w:rFonts w:ascii="Palatino Linotype" w:eastAsia="Palatino Linotype" w:hAnsi="Palatino Linotype" w:cs="Palatino Linotype"/>
          <w:b/>
        </w:rPr>
      </w:pPr>
      <w:r>
        <w:rPr>
          <w:rFonts w:ascii="Palatino Linotype" w:eastAsia="Palatino Linotype" w:hAnsi="Palatino Linotype" w:cs="Palatino Linotype"/>
          <w:i/>
          <w:color w:val="000000"/>
        </w:rPr>
        <w:t xml:space="preserve">“Se re quiere se de cumplimiento y atención a todos y cada uno de los puntos señalados en la solicitud de origen y </w:t>
      </w:r>
      <w:r>
        <w:rPr>
          <w:rFonts w:ascii="Palatino Linotype" w:eastAsia="Palatino Linotype" w:hAnsi="Palatino Linotype" w:cs="Palatino Linotype"/>
          <w:b/>
          <w:i/>
          <w:color w:val="000000"/>
          <w:u w:val="single"/>
        </w:rPr>
        <w:t>que se relaciona con la resolución emitida por el infoem</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 xml:space="preserve">que les ordene me den la información </w:t>
      </w:r>
      <w:r>
        <w:rPr>
          <w:rFonts w:ascii="Palatino Linotype" w:eastAsia="Palatino Linotype" w:hAnsi="Palatino Linotype" w:cs="Palatino Linotype"/>
          <w:i/>
          <w:color w:val="000000"/>
        </w:rPr>
        <w:t xml:space="preserve">sobre no se da la información </w:t>
      </w:r>
      <w:r>
        <w:rPr>
          <w:rFonts w:ascii="Palatino Linotype" w:eastAsia="Palatino Linotype" w:hAnsi="Palatino Linotype" w:cs="Palatino Linotype"/>
          <w:b/>
          <w:i/>
          <w:color w:val="000000"/>
        </w:rPr>
        <w:t>sobre las bitacoras que la empresa entrega diariamente al sistema para su valoración y revisión</w:t>
      </w:r>
      <w:r>
        <w:rPr>
          <w:rFonts w:ascii="Palatino Linotype" w:eastAsia="Palatino Linotype" w:hAnsi="Palatino Linotype" w:cs="Palatino Linotype"/>
          <w:i/>
          <w:color w:val="000000"/>
        </w:rPr>
        <w:t xml:space="preserve"> y </w:t>
      </w:r>
      <w:r>
        <w:rPr>
          <w:rFonts w:ascii="Palatino Linotype" w:eastAsia="Palatino Linotype" w:hAnsi="Palatino Linotype" w:cs="Palatino Linotype"/>
          <w:b/>
          <w:i/>
          <w:color w:val="000000"/>
          <w:u w:val="single"/>
        </w:rPr>
        <w:t>que previamente en una solicitud de información se ordena or el pleno del infoem su entrega</w:t>
      </w:r>
      <w:r>
        <w:rPr>
          <w:rFonts w:ascii="Palatino Linotype" w:eastAsia="Palatino Linotype" w:hAnsi="Palatino Linotype" w:cs="Palatino Linotype"/>
          <w:i/>
          <w:color w:val="000000"/>
        </w:rPr>
        <w:t>.”</w:t>
      </w:r>
      <w:r>
        <w:rPr>
          <w:rFonts w:ascii="Palatino Linotype" w:eastAsia="Palatino Linotype" w:hAnsi="Palatino Linotype" w:cs="Palatino Linotype"/>
          <w:i/>
        </w:rPr>
        <w:t xml:space="preserve"> (sic)</w:t>
      </w:r>
      <w:r>
        <w:rPr>
          <w:rFonts w:ascii="Palatino Linotype" w:eastAsia="Palatino Linotype" w:hAnsi="Palatino Linotype" w:cs="Palatino Linotype"/>
          <w:b/>
        </w:rPr>
        <w:t xml:space="preserve">     </w:t>
      </w:r>
    </w:p>
    <w:p w14:paraId="4129C9B6"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nueve de noviembre del año dos mil veintiuno</w:t>
      </w:r>
      <w:r>
        <w:rPr>
          <w:rFonts w:ascii="Palatino Linotype" w:eastAsia="Palatino Linotype" w:hAnsi="Palatino Linotype" w:cs="Palatino Linotype"/>
        </w:rPr>
        <w:t xml:space="preserv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notificó la respuesta al particular, de la siguiente manera:</w:t>
      </w:r>
      <w:r>
        <w:rPr>
          <w:noProof/>
          <w:lang w:val="es-419" w:eastAsia="es-419"/>
        </w:rPr>
        <mc:AlternateContent>
          <mc:Choice Requires="wpg">
            <w:drawing>
              <wp:anchor distT="0" distB="0" distL="114300" distR="114300" simplePos="0" relativeHeight="251658240" behindDoc="0" locked="0" layoutInCell="1" hidden="0" allowOverlap="1" wp14:anchorId="2F9AC12F" wp14:editId="5EF1E716">
                <wp:simplePos x="0" y="0"/>
                <wp:positionH relativeFrom="column">
                  <wp:posOffset>114300</wp:posOffset>
                </wp:positionH>
                <wp:positionV relativeFrom="paragraph">
                  <wp:posOffset>965200</wp:posOffset>
                </wp:positionV>
                <wp:extent cx="5322115" cy="2945144"/>
                <wp:effectExtent l="0" t="0" r="0" b="0"/>
                <wp:wrapNone/>
                <wp:docPr id="17" name="Conector recto de flecha 17"/>
                <wp:cNvGraphicFramePr/>
                <a:graphic xmlns:a="http://schemas.openxmlformats.org/drawingml/2006/main">
                  <a:graphicData uri="http://schemas.microsoft.com/office/word/2010/wordprocessingShape">
                    <wps:wsp>
                      <wps:cNvCnPr/>
                      <wps:spPr>
                        <a:xfrm>
                          <a:off x="2697643" y="2320128"/>
                          <a:ext cx="5296715" cy="2919744"/>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965200</wp:posOffset>
                </wp:positionV>
                <wp:extent cx="5322115" cy="2945144"/>
                <wp:effectExtent b="0" l="0" r="0" t="0"/>
                <wp:wrapNone/>
                <wp:docPr id="17"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5322115" cy="2945144"/>
                        </a:xfrm>
                        <a:prstGeom prst="rect"/>
                        <a:ln/>
                      </pic:spPr>
                    </pic:pic>
                  </a:graphicData>
                </a:graphic>
              </wp:anchor>
            </w:drawing>
          </mc:Fallback>
        </mc:AlternateContent>
      </w:r>
    </w:p>
    <w:p w14:paraId="7B2C124C" w14:textId="77777777" w:rsidR="00E52C20" w:rsidRDefault="00E52C20">
      <w:pPr>
        <w:spacing w:before="240" w:after="240" w:line="360" w:lineRule="auto"/>
        <w:jc w:val="both"/>
        <w:rPr>
          <w:rFonts w:ascii="Palatino Linotype" w:eastAsia="Palatino Linotype" w:hAnsi="Palatino Linotype" w:cs="Palatino Linotype"/>
        </w:rPr>
      </w:pPr>
    </w:p>
    <w:p w14:paraId="64C6DCE0" w14:textId="6DFE1E57" w:rsidR="00E52C20" w:rsidRDefault="007522CF">
      <w:pPr>
        <w:spacing w:before="240" w:after="240" w:line="360" w:lineRule="auto"/>
        <w:jc w:val="both"/>
        <w:rPr>
          <w:rFonts w:ascii="Palatino Linotype" w:eastAsia="Palatino Linotype" w:hAnsi="Palatino Linotype" w:cs="Palatino Linotype"/>
        </w:rPr>
      </w:pPr>
      <w:r w:rsidRPr="007522CF">
        <w:rPr>
          <w:rFonts w:ascii="Palatino Linotype" w:eastAsia="Palatino Linotype" w:hAnsi="Palatino Linotype" w:cs="Palatino Linotype"/>
          <w:noProof/>
          <w:lang w:val="es-419" w:eastAsia="es-419"/>
        </w:rPr>
        <w:lastRenderedPageBreak/>
        <w:drawing>
          <wp:inline distT="0" distB="0" distL="0" distR="0" wp14:anchorId="7E132D4C" wp14:editId="1BD4C49B">
            <wp:extent cx="5553075" cy="6967699"/>
            <wp:effectExtent l="0" t="0" r="0" b="5080"/>
            <wp:docPr id="16" name="Imagen 16" descr="C:\Users\Usuario\Desktop\5459_2021_GRP_STMTEM_ SOBRE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5459_2021_GRP_STMTEM_ SOBRESE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48736"/>
                    <a:stretch/>
                  </pic:blipFill>
                  <pic:spPr bwMode="auto">
                    <a:xfrm>
                      <a:off x="0" y="0"/>
                      <a:ext cx="5565433" cy="6983205"/>
                    </a:xfrm>
                    <a:prstGeom prst="rect">
                      <a:avLst/>
                    </a:prstGeom>
                    <a:noFill/>
                    <a:ln>
                      <a:noFill/>
                    </a:ln>
                    <a:extLst>
                      <a:ext uri="{53640926-AAD7-44D8-BBD7-CCE9431645EC}">
                        <a14:shadowObscured xmlns:a14="http://schemas.microsoft.com/office/drawing/2010/main"/>
                      </a:ext>
                    </a:extLst>
                  </pic:spPr>
                </pic:pic>
              </a:graphicData>
            </a:graphic>
          </wp:inline>
        </w:drawing>
      </w:r>
    </w:p>
    <w:p w14:paraId="3C14738A"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5. Recurso de revisión. </w:t>
      </w:r>
      <w:r>
        <w:rPr>
          <w:rFonts w:ascii="Palatino Linotype" w:eastAsia="Palatino Linotype" w:hAnsi="Palatino Linotype" w:cs="Palatino Linotype"/>
        </w:rPr>
        <w:t xml:space="preserve">El recurso de revisión se interpuso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con fecha </w:t>
      </w:r>
      <w:r>
        <w:rPr>
          <w:rFonts w:ascii="Palatino Linotype" w:eastAsia="Palatino Linotype" w:hAnsi="Palatino Linotype" w:cs="Palatino Linotype"/>
          <w:b/>
        </w:rPr>
        <w:t>diez de noviembre de dos mil veintiuno</w:t>
      </w:r>
      <w:r>
        <w:rPr>
          <w:rFonts w:ascii="Palatino Linotype" w:eastAsia="Palatino Linotype" w:hAnsi="Palatino Linotype" w:cs="Palatino Linotype"/>
        </w:rPr>
        <w:t>, por parte del solicitante de información, quien expresó las siguientes manifestaciones:</w:t>
      </w:r>
    </w:p>
    <w:p w14:paraId="77A139C4" w14:textId="77777777" w:rsidR="00E52C20" w:rsidRDefault="00BD10BA">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7F31FCB9" w14:textId="77777777" w:rsidR="00E52C20" w:rsidRDefault="00BD10BA">
      <w:pPr>
        <w:spacing w:line="360" w:lineRule="auto"/>
        <w:ind w:left="99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Respuesta nula.</w:t>
      </w:r>
      <w:r>
        <w:rPr>
          <w:rFonts w:ascii="Palatino Linotype" w:eastAsia="Palatino Linotype" w:hAnsi="Palatino Linotype" w:cs="Palatino Linotype"/>
          <w:b/>
          <w:i/>
        </w:rPr>
        <w:t xml:space="preserve">”  </w:t>
      </w:r>
      <w:r>
        <w:rPr>
          <w:rFonts w:ascii="Palatino Linotype" w:eastAsia="Palatino Linotype" w:hAnsi="Palatino Linotype" w:cs="Palatino Linotype"/>
          <w:i/>
        </w:rPr>
        <w:t>(sic)</w:t>
      </w:r>
    </w:p>
    <w:p w14:paraId="3BB95465" w14:textId="77777777" w:rsidR="00E52C20" w:rsidRDefault="00BD10BA">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4FE78507" w14:textId="77777777" w:rsidR="00E52C20" w:rsidRDefault="00BD10BA">
      <w:pPr>
        <w:ind w:left="720"/>
        <w:jc w:val="both"/>
        <w:rPr>
          <w:rFonts w:ascii="Palatino Linotype" w:eastAsia="Palatino Linotype" w:hAnsi="Palatino Linotype" w:cs="Palatino Linotype"/>
          <w:i/>
        </w:rPr>
      </w:pPr>
      <w:r>
        <w:rPr>
          <w:rFonts w:ascii="Palatino Linotype" w:eastAsia="Palatino Linotype" w:hAnsi="Palatino Linotype" w:cs="Palatino Linotype"/>
          <w:i/>
        </w:rPr>
        <w:t xml:space="preserve">“se niega la información de las inspeccción es y bitacoras que este instituto debio remitir y que obran en las areas responsables de su cumplimiento dando asi la negligencia oportuna a la información publica y </w:t>
      </w:r>
      <w:r>
        <w:rPr>
          <w:rFonts w:ascii="Palatino Linotype" w:eastAsia="Palatino Linotype" w:hAnsi="Palatino Linotype" w:cs="Palatino Linotype"/>
          <w:b/>
          <w:i/>
          <w:u w:val="single"/>
        </w:rPr>
        <w:t>asi mismo no dio cumplimiento a la resolusión 03304/INFOEM/IP/RR/2021.</w:t>
      </w:r>
      <w:r>
        <w:rPr>
          <w:rFonts w:ascii="Palatino Linotype" w:eastAsia="Palatino Linotype" w:hAnsi="Palatino Linotype" w:cs="Palatino Linotype"/>
          <w:b/>
          <w:i/>
          <w:color w:val="000000"/>
          <w:u w:val="single"/>
        </w:rPr>
        <w:t>”</w:t>
      </w:r>
      <w:r>
        <w:rPr>
          <w:rFonts w:ascii="Palatino Linotype" w:eastAsia="Palatino Linotype" w:hAnsi="Palatino Linotype" w:cs="Palatino Linotype"/>
          <w:i/>
        </w:rPr>
        <w:t xml:space="preserve"> (sic)</w:t>
      </w:r>
    </w:p>
    <w:p w14:paraId="7FE72B51"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Turno. </w:t>
      </w:r>
      <w:r>
        <w:rPr>
          <w:rFonts w:ascii="Palatino Linotype" w:eastAsia="Palatino Linotype" w:hAnsi="Palatino Linotype" w:cs="Palatino Linotype"/>
        </w:rPr>
        <w:t xml:space="preserve">De conformidad con el artículo 185 fracción VII de la Ley de Transparencia y Acceso a la Información Pública del Estado de México y Municipios vigente, el día </w:t>
      </w:r>
      <w:r>
        <w:rPr>
          <w:rFonts w:ascii="Palatino Linotype" w:eastAsia="Palatino Linotype" w:hAnsi="Palatino Linotype" w:cs="Palatino Linotype"/>
          <w:b/>
        </w:rPr>
        <w:t>diez de noviembre de dos mil veintiuno</w:t>
      </w:r>
      <w:r>
        <w:rPr>
          <w:rFonts w:ascii="Palatino Linotype" w:eastAsia="Palatino Linotype" w:hAnsi="Palatino Linotype" w:cs="Palatino Linotype"/>
        </w:rPr>
        <w:t xml:space="preserve"> el presente recurso de revisión se envió electrónicamente al Instituto de Transparencia, Acceso a la Información Pública y Protección de Datos Personales del Estado de México y Municipios, que por razón de turno fue asignado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6275B118"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7. Admisión. </w:t>
      </w:r>
      <w:r>
        <w:rPr>
          <w:rFonts w:ascii="Palatino Linotype" w:eastAsia="Palatino Linotype" w:hAnsi="Palatino Linotype" w:cs="Palatino Linotype"/>
        </w:rPr>
        <w:t xml:space="preserve">Mediante auto de fecha </w:t>
      </w:r>
      <w:r>
        <w:rPr>
          <w:rFonts w:ascii="Palatino Linotype" w:eastAsia="Palatino Linotype" w:hAnsi="Palatino Linotype" w:cs="Palatino Linotype"/>
          <w:b/>
        </w:rPr>
        <w:t>dieciséis de noviembre de dos mil veintiuno</w:t>
      </w:r>
      <w:r>
        <w:rPr>
          <w:rFonts w:ascii="Palatino Linotype" w:eastAsia="Palatino Linotype" w:hAnsi="Palatino Linotype" w:cs="Palatino Linotype"/>
        </w:rPr>
        <w:t xml:space="preserve">, este Órgano Garante, admitió a trámite el recurso de revisión respectivo, poniéndose a disposición de las partes, para que, en un plazo no mayor a siete días hábiles, manifestaran lo que a su derecho corresponda, a efecto de ofrecer pruebas, informe justificado y alegatos, lo anterior con fundamento en el artículo 185 fracciones I, II y </w:t>
      </w:r>
      <w:r>
        <w:rPr>
          <w:rFonts w:ascii="Palatino Linotype" w:eastAsia="Palatino Linotype" w:hAnsi="Palatino Linotype" w:cs="Palatino Linotype"/>
        </w:rPr>
        <w:lastRenderedPageBreak/>
        <w:t xml:space="preserve">IV de la Ley de Transparencia y Acceso a la Información Pública del Estado de México y Municipios. </w:t>
      </w:r>
    </w:p>
    <w:p w14:paraId="5817CA7F" w14:textId="77777777" w:rsidR="00E52C20" w:rsidRDefault="00BD10BA">
      <w:pPr>
        <w:spacing w:before="240" w:after="240" w:line="360" w:lineRule="auto"/>
        <w:ind w:right="49"/>
        <w:jc w:val="both"/>
        <w:rPr>
          <w:rFonts w:ascii="Palatino Linotype" w:eastAsia="Palatino Linotype" w:hAnsi="Palatino Linotype" w:cs="Palatino Linotype"/>
          <w:highlight w:val="white"/>
        </w:rPr>
      </w:pPr>
      <w:bookmarkStart w:id="0" w:name="_heading=h.gjdgxs" w:colFirst="0" w:colLast="0"/>
      <w:bookmarkEnd w:id="0"/>
      <w:r>
        <w:rPr>
          <w:rFonts w:ascii="Palatino Linotype" w:eastAsia="Palatino Linotype" w:hAnsi="Palatino Linotype" w:cs="Palatino Linotype"/>
          <w:b/>
        </w:rPr>
        <w:t>8. Manifestaciones.</w:t>
      </w:r>
      <w:r>
        <w:rPr>
          <w:rFonts w:ascii="Palatino Linotype" w:eastAsia="Palatino Linotype" w:hAnsi="Palatino Linotype" w:cs="Palatino Linotype"/>
        </w:rPr>
        <w:t xml:space="preserve"> De las constancias que obran en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se advierte que, tanto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fue omiso en realizar manifestaciones, alegatos y ofrecer las pruebas que a su derecho conviniera, por lo que respecta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el mismo, en fecha trece de enero del dos mil veintidós, remitió de forma física a este Órgano Garante, su Informe Justificado, en el cual, ratifica su respuesta, mismo q</w:t>
      </w:r>
      <w:r>
        <w:rPr>
          <w:rFonts w:ascii="Palatino Linotype" w:eastAsia="Palatino Linotype" w:hAnsi="Palatino Linotype" w:cs="Palatino Linotype"/>
          <w:highlight w:val="white"/>
        </w:rPr>
        <w:t>ue fue puesto a la vista del</w:t>
      </w:r>
      <w:r>
        <w:rPr>
          <w:rFonts w:ascii="Palatino Linotype" w:eastAsia="Palatino Linotype" w:hAnsi="Palatino Linotype" w:cs="Palatino Linotype"/>
          <w:b/>
          <w:highlight w:val="white"/>
        </w:rPr>
        <w:t xml:space="preserve"> RECURRENTE</w:t>
      </w:r>
      <w:r>
        <w:rPr>
          <w:rFonts w:ascii="Palatino Linotype" w:eastAsia="Palatino Linotype" w:hAnsi="Palatino Linotype" w:cs="Palatino Linotype"/>
          <w:highlight w:val="white"/>
        </w:rPr>
        <w:t>.</w:t>
      </w:r>
      <w:r>
        <w:rPr>
          <w:rFonts w:ascii="Palatino Linotype" w:eastAsia="Palatino Linotype" w:hAnsi="Palatino Linotype" w:cs="Palatino Linotype"/>
          <w:b/>
          <w:highlight w:val="white"/>
        </w:rPr>
        <w:t xml:space="preserve">   </w:t>
      </w:r>
      <w:r>
        <w:rPr>
          <w:rFonts w:ascii="Palatino Linotype" w:eastAsia="Palatino Linotype" w:hAnsi="Palatino Linotype" w:cs="Palatino Linotype"/>
          <w:highlight w:val="white"/>
        </w:rPr>
        <w:t xml:space="preserve"> </w:t>
      </w:r>
    </w:p>
    <w:p w14:paraId="23C04FBE" w14:textId="77777777" w:rsidR="00E52C20" w:rsidRDefault="00BD10B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9. Ampliación del plazo. </w:t>
      </w:r>
      <w:r>
        <w:rPr>
          <w:rFonts w:ascii="Palatino Linotype" w:eastAsia="Palatino Linotype" w:hAnsi="Palatino Linotype" w:cs="Palatino Linotype"/>
        </w:rPr>
        <w:t>En f</w:t>
      </w:r>
      <w:r>
        <w:rPr>
          <w:rFonts w:ascii="Palatino Linotype" w:eastAsia="Palatino Linotype" w:hAnsi="Palatino Linotype" w:cs="Palatino Linotype"/>
          <w:highlight w:val="white"/>
        </w:rPr>
        <w:t xml:space="preserve">echa </w:t>
      </w:r>
      <w:r>
        <w:rPr>
          <w:rFonts w:ascii="Palatino Linotype" w:eastAsia="Palatino Linotype" w:hAnsi="Palatino Linotype" w:cs="Palatino Linotype"/>
          <w:b/>
          <w:highlight w:val="white"/>
        </w:rPr>
        <w:t xml:space="preserve">veintiuno </w:t>
      </w:r>
      <w:r>
        <w:rPr>
          <w:rFonts w:ascii="Palatino Linotype" w:eastAsia="Palatino Linotype" w:hAnsi="Palatino Linotype" w:cs="Palatino Linotype"/>
          <w:b/>
        </w:rPr>
        <w:t>de enero de dos mil veintidós,</w:t>
      </w:r>
      <w:r>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plazo para la resolución del presente recurso de revisión.</w:t>
      </w:r>
    </w:p>
    <w:p w14:paraId="23BFEB31" w14:textId="77777777" w:rsidR="00E52C20" w:rsidRDefault="00BD10B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10. Cierre de Instrucción. </w:t>
      </w:r>
      <w:r>
        <w:rPr>
          <w:rFonts w:ascii="Palatino Linotype" w:eastAsia="Palatino Linotype" w:hAnsi="Palatino Linotype" w:cs="Palatino Linotype"/>
        </w:rPr>
        <w:t>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b/>
          <w:color w:val="222222"/>
        </w:rPr>
        <w:t>dos de febrero</w:t>
      </w:r>
      <w:r>
        <w:rPr>
          <w:rFonts w:ascii="Palatino Linotype" w:eastAsia="Palatino Linotype" w:hAnsi="Palatino Linotype" w:cs="Palatino Linotype"/>
          <w:color w:val="FF0000"/>
        </w:rPr>
        <w:t xml:space="preserve"> </w:t>
      </w:r>
      <w:r>
        <w:rPr>
          <w:rFonts w:ascii="Palatino Linotype" w:eastAsia="Palatino Linotype" w:hAnsi="Palatino Linotype" w:cs="Palatino Linotype"/>
          <w:b/>
        </w:rPr>
        <w:t>de dos mil veintidós</w:t>
      </w:r>
      <w:r>
        <w:rPr>
          <w:rFonts w:ascii="Palatino Linotype" w:eastAsia="Palatino Linotype" w:hAnsi="Palatino Linotype" w:cs="Palatino Linotype"/>
        </w:rPr>
        <w:t xml:space="preserve"> se procedió a decretar el cierre de instrucción respectivo. </w:t>
      </w:r>
      <w:r>
        <w:rPr>
          <w:rFonts w:ascii="Palatino Linotype" w:eastAsia="Palatino Linotype" w:hAnsi="Palatino Linotype" w:cs="Palatino Linotype"/>
          <w:b/>
        </w:rPr>
        <w:t xml:space="preserve"> </w:t>
      </w:r>
    </w:p>
    <w:p w14:paraId="14AE6F00" w14:textId="77777777" w:rsidR="00E52C20" w:rsidRDefault="00BD10BA">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el siguiente: </w:t>
      </w:r>
    </w:p>
    <w:p w14:paraId="02E50F52" w14:textId="77777777" w:rsidR="00E52C20" w:rsidRDefault="00BD10BA">
      <w:pPr>
        <w:pStyle w:val="Ttulo2"/>
        <w:jc w:val="center"/>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color w:val="000000"/>
          <w:sz w:val="24"/>
          <w:szCs w:val="24"/>
        </w:rPr>
        <w:lastRenderedPageBreak/>
        <w:t>II.</w:t>
      </w:r>
      <w:r>
        <w:rPr>
          <w:rFonts w:ascii="Palatino Linotype" w:eastAsia="Palatino Linotype" w:hAnsi="Palatino Linotype" w:cs="Palatino Linotype"/>
          <w:b/>
          <w:color w:val="000000"/>
          <w:sz w:val="24"/>
          <w:szCs w:val="24"/>
        </w:rPr>
        <w:tab/>
        <w:t>C O N S I D E R A N D O</w:t>
      </w:r>
    </w:p>
    <w:p w14:paraId="288978BC" w14:textId="77777777" w:rsidR="00E52C20" w:rsidRDefault="00E52C20">
      <w:pPr>
        <w:rPr>
          <w:rFonts w:ascii="Palatino Linotype" w:eastAsia="Palatino Linotype" w:hAnsi="Palatino Linotype" w:cs="Palatino Linotype"/>
        </w:rPr>
      </w:pPr>
    </w:p>
    <w:p w14:paraId="3CE983C4" w14:textId="77777777" w:rsidR="00E52C20" w:rsidRDefault="00BD10B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highlight w:val="white"/>
        </w:rPr>
        <w:t>el 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fracción IV y V de la Constitución Política del Estado Libre y Soberano de México; 1, 2, fracción II; 13,  29, 36, fracciones I y II; 176, 178, 179, 181 párrafo 3 y 185 de la Ley Transparencia y Acceso a la Información Pública del Estado de México y Municipios; </w:t>
      </w:r>
      <w:r>
        <w:rPr>
          <w:rFonts w:ascii="Palatino Linotype" w:eastAsia="Palatino Linotype" w:hAnsi="Palatino Linotype" w:cs="Palatino Linotype"/>
        </w:rPr>
        <w:t xml:space="preserve">9 fracciones I, XXIV y 11 </w:t>
      </w:r>
      <w:r>
        <w:rPr>
          <w:rFonts w:ascii="Palatino Linotype" w:eastAsia="Palatino Linotype" w:hAnsi="Palatino Linotype" w:cs="Palatino Linotype"/>
          <w:highlight w:val="white"/>
        </w:rPr>
        <w:t>del Reglamento Interior del Instituto de Transparencia, Acceso a la Información Pública y Protección de Datos Personales del Estado de México y Municipios.</w:t>
      </w:r>
    </w:p>
    <w:p w14:paraId="6570BAE9"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Procediblidad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0BF6C24"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contados a partir de la fecha en que </w:t>
      </w:r>
      <w:r>
        <w:rPr>
          <w:rFonts w:ascii="Palatino Linotype" w:eastAsia="Palatino Linotype" w:hAnsi="Palatino Linotype" w:cs="Palatino Linotype"/>
          <w:b/>
        </w:rPr>
        <w:t>EL SUJETO OBLIGADO</w:t>
      </w:r>
      <w:r>
        <w:rPr>
          <w:rFonts w:ascii="Palatino Linotype" w:eastAsia="Palatino Linotype" w:hAnsi="Palatino Linotype" w:cs="Palatino Linotype"/>
        </w:rPr>
        <w:t xml:space="preserve"> emitió la respuesta, toda vez que ésta fue pronunciada el día </w:t>
      </w:r>
      <w:r>
        <w:rPr>
          <w:rFonts w:ascii="Palatino Linotype" w:eastAsia="Palatino Linotype" w:hAnsi="Palatino Linotype" w:cs="Palatino Linotype"/>
          <w:b/>
        </w:rPr>
        <w:lastRenderedPageBreak/>
        <w:t>nueve de noviembre de dos mil veintiuno,</w:t>
      </w:r>
      <w:r>
        <w:rPr>
          <w:rFonts w:ascii="Palatino Linotype" w:eastAsia="Palatino Linotype" w:hAnsi="Palatino Linotype" w:cs="Palatino Linotype"/>
        </w:rPr>
        <w:t xml:space="preserve"> mientras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interpuso el recurso de revisión el </w:t>
      </w:r>
      <w:r>
        <w:rPr>
          <w:rFonts w:ascii="Palatino Linotype" w:eastAsia="Palatino Linotype" w:hAnsi="Palatino Linotype" w:cs="Palatino Linotype"/>
          <w:b/>
        </w:rPr>
        <w:t>diez de noviembre del mismo año</w:t>
      </w:r>
      <w:r>
        <w:rPr>
          <w:rFonts w:ascii="Palatino Linotype" w:eastAsia="Palatino Linotype" w:hAnsi="Palatino Linotype" w:cs="Palatino Linotype"/>
        </w:rPr>
        <w:t>.</w:t>
      </w:r>
    </w:p>
    <w:p w14:paraId="3AA45F58"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al considerar la fecha en que se formuló la solicitud y la fecha en la que respondió a ésta </w:t>
      </w:r>
      <w:r>
        <w:rPr>
          <w:rFonts w:ascii="Palatino Linotype" w:eastAsia="Palatino Linotype" w:hAnsi="Palatino Linotype" w:cs="Palatino Linotype"/>
          <w:b/>
        </w:rPr>
        <w:t>EL SUJETO OBLIGADO</w:t>
      </w:r>
      <w:r>
        <w:rPr>
          <w:rFonts w:ascii="Palatino Linotype" w:eastAsia="Palatino Linotype" w:hAnsi="Palatino Linotype" w:cs="Palatino Linotype"/>
        </w:rPr>
        <w:t>; así como, en la que se interpuso el recurso de revisión, éste se encuentra dentro de los márgenes temporales previstos en el citado precepto legal.</w:t>
      </w:r>
    </w:p>
    <w:p w14:paraId="4EEA8AA2"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del formato de interposición del recurso, se advierte que el artículo 180 de la Ley de Transparencia y Acceso a la Información Pública del Estado de México y Municipios, establece los siguientes elementos formales para la presentación del recurso:</w:t>
      </w:r>
    </w:p>
    <w:p w14:paraId="16D556A0" w14:textId="77777777" w:rsidR="00E52C20" w:rsidRDefault="00BD10BA">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180.</w:t>
      </w:r>
      <w:r>
        <w:rPr>
          <w:rFonts w:ascii="Palatino Linotype" w:eastAsia="Palatino Linotype" w:hAnsi="Palatino Linotype" w:cs="Palatino Linotype"/>
          <w:i/>
          <w:sz w:val="22"/>
          <w:szCs w:val="22"/>
        </w:rPr>
        <w:t xml:space="preserve"> El recurso de revisión contendrá:</w:t>
      </w:r>
    </w:p>
    <w:p w14:paraId="1168EF93" w14:textId="77777777" w:rsidR="00E52C20" w:rsidRDefault="00BD10BA">
      <w:pPr>
        <w:numPr>
          <w:ilvl w:val="0"/>
          <w:numId w:val="1"/>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sujeto obligado ante la cual se presentó la solicitud; </w:t>
      </w:r>
    </w:p>
    <w:p w14:paraId="01BB9DC4" w14:textId="77777777" w:rsidR="00E52C20" w:rsidRDefault="00BD10BA">
      <w:pPr>
        <w:numPr>
          <w:ilvl w:val="0"/>
          <w:numId w:val="1"/>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nombre del solicitante que recurre o de su representante y, en su caso, del tercero interesado, así como la dirección o medio que señale para recibir notificaciones; </w:t>
      </w:r>
    </w:p>
    <w:p w14:paraId="15A026FF" w14:textId="77777777" w:rsidR="00E52C20" w:rsidRDefault="00BD10BA">
      <w:pPr>
        <w:numPr>
          <w:ilvl w:val="0"/>
          <w:numId w:val="1"/>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número de folio de respuesta de la solicitud de acceso; </w:t>
      </w:r>
    </w:p>
    <w:p w14:paraId="3C04C05C" w14:textId="77777777" w:rsidR="00E52C20" w:rsidRDefault="00BD10BA">
      <w:pPr>
        <w:numPr>
          <w:ilvl w:val="0"/>
          <w:numId w:val="1"/>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 fecha en que fue notificada la respuesta al solicitante o tuvo conocimiento del acto reclamado, o de presentación de la solicitud, en caso de falta de respuesta; </w:t>
      </w:r>
    </w:p>
    <w:p w14:paraId="1D544AFD" w14:textId="77777777" w:rsidR="00E52C20" w:rsidRDefault="00BD10BA">
      <w:pPr>
        <w:numPr>
          <w:ilvl w:val="0"/>
          <w:numId w:val="1"/>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El acto que se recurre; </w:t>
      </w:r>
    </w:p>
    <w:p w14:paraId="45CD7CEA" w14:textId="77777777" w:rsidR="00E52C20" w:rsidRDefault="00BD10BA">
      <w:pPr>
        <w:numPr>
          <w:ilvl w:val="0"/>
          <w:numId w:val="1"/>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Las razones o motivos de inconformidad; </w:t>
      </w:r>
    </w:p>
    <w:p w14:paraId="773DEEE7" w14:textId="77777777" w:rsidR="00E52C20" w:rsidRDefault="00BD10BA">
      <w:pPr>
        <w:numPr>
          <w:ilvl w:val="0"/>
          <w:numId w:val="1"/>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 copia de la respuesta que se impugna y, en su caso, de la notificación correspondiente, en el caso de respuesta de la solicitud; y</w:t>
      </w:r>
    </w:p>
    <w:p w14:paraId="1E030237" w14:textId="77777777" w:rsidR="00E52C20" w:rsidRDefault="00BD10BA">
      <w:pPr>
        <w:numPr>
          <w:ilvl w:val="0"/>
          <w:numId w:val="1"/>
        </w:numPr>
        <w:pBdr>
          <w:top w:val="nil"/>
          <w:left w:val="nil"/>
          <w:bottom w:val="nil"/>
          <w:right w:val="nil"/>
          <w:between w:val="nil"/>
        </w:pBdr>
        <w:spacing w:after="120"/>
        <w:ind w:right="902" w:hanging="39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 xml:space="preserve">Firma del recurrente, en su caso, cuando se presente por escrito, requisito sin el cual se dará trámite al recurso. Adicionalmente, se </w:t>
      </w:r>
      <w:r>
        <w:rPr>
          <w:rFonts w:ascii="Palatino Linotype" w:eastAsia="Palatino Linotype" w:hAnsi="Palatino Linotype" w:cs="Palatino Linotype"/>
          <w:i/>
          <w:color w:val="000000"/>
          <w:sz w:val="22"/>
          <w:szCs w:val="22"/>
        </w:rPr>
        <w:lastRenderedPageBreak/>
        <w:t>podrán anexar las pruebas y demás elementos que considere procedentes someter a juicio del Instituto. En ningún caso será necesario que el particular ratifique el recurso de revisión interpuesto.</w:t>
      </w:r>
    </w:p>
    <w:p w14:paraId="7478B9D7" w14:textId="77777777" w:rsidR="00E52C20" w:rsidRDefault="00E52C20">
      <w:pPr>
        <w:spacing w:after="120"/>
        <w:ind w:left="851" w:right="902"/>
        <w:jc w:val="both"/>
        <w:rPr>
          <w:rFonts w:ascii="Palatino Linotype" w:eastAsia="Palatino Linotype" w:hAnsi="Palatino Linotype" w:cs="Palatino Linotype"/>
          <w:sz w:val="22"/>
          <w:szCs w:val="22"/>
        </w:rPr>
      </w:pPr>
    </w:p>
    <w:p w14:paraId="567E6058" w14:textId="77777777" w:rsidR="00E52C20" w:rsidRDefault="00BD10BA">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caso de que el recurso se interponga de manera electrónica no será indispensable que contengan los requisitos establecidos en las fracciones II, IV, VII y VIII.”</w:t>
      </w:r>
    </w:p>
    <w:p w14:paraId="4942F7E5" w14:textId="77777777" w:rsidR="00E52C20" w:rsidRDefault="00BD10B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rPr>
        <w:t xml:space="preserve">Sobre el particular, de la revisión al expediente electrónico del SAIMEX se desprende que la parte solicitante, en ejercicio de su derecho de acceso a la información pública, y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cumplió con todos y cada uno de los elementos formales exigidos por el artículo 180 de la Ley de Transparencia y Acceso a la Información Pública del Estado de México y Municipios, </w:t>
      </w:r>
    </w:p>
    <w:p w14:paraId="292CE38F" w14:textId="77777777" w:rsidR="00E52C20" w:rsidRDefault="00BD10BA">
      <w:pPr>
        <w:spacing w:before="240" w:after="240" w:line="360" w:lineRule="auto"/>
        <w:ind w:right="-91"/>
        <w:jc w:val="both"/>
        <w:rPr>
          <w:rFonts w:ascii="Palatino Linotype" w:eastAsia="Palatino Linotype" w:hAnsi="Palatino Linotype" w:cs="Palatino Linotype"/>
        </w:rPr>
      </w:pPr>
      <w:r>
        <w:rPr>
          <w:rFonts w:ascii="Palatino Linotype" w:eastAsia="Palatino Linotype" w:hAnsi="Palatino Linotype" w:cs="Palatino Linotype"/>
          <w:color w:val="000000"/>
        </w:rPr>
        <w:t>Asimismo, resulta procedente la interposición del recurso de revisión al rubro anotado, toda vez que de acuerdo con lo manifestado por el</w:t>
      </w:r>
      <w:r>
        <w:rPr>
          <w:rFonts w:ascii="Palatino Linotype" w:eastAsia="Palatino Linotype" w:hAnsi="Palatino Linotype" w:cs="Palatino Linotype"/>
          <w:b/>
          <w:color w:val="000000"/>
        </w:rPr>
        <w:t xml:space="preserve"> RECURRENTE </w:t>
      </w:r>
      <w:r>
        <w:rPr>
          <w:rFonts w:ascii="Palatino Linotype" w:eastAsia="Palatino Linotype" w:hAnsi="Palatino Linotype" w:cs="Palatino Linotype"/>
          <w:color w:val="000000"/>
        </w:rPr>
        <w:t>se actualiza las hipótesis previstas en el artículo 179, fracción V de la ley de la materia, que a la letra dice:</w:t>
      </w:r>
    </w:p>
    <w:p w14:paraId="3A22B6D9" w14:textId="77777777" w:rsidR="00E52C20" w:rsidRDefault="00BD10BA">
      <w:pPr>
        <w:spacing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b/>
          <w:sz w:val="22"/>
          <w:szCs w:val="22"/>
        </w:rPr>
        <w:t>.-</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0CD6AC3" w14:textId="77777777" w:rsidR="00E52C20" w:rsidRDefault="00BD10BA">
      <w:pPr>
        <w:pBdr>
          <w:top w:val="nil"/>
          <w:left w:val="nil"/>
          <w:bottom w:val="nil"/>
          <w:right w:val="nil"/>
          <w:between w:val="nil"/>
        </w:pBdr>
        <w:ind w:left="720" w:firstLine="720"/>
        <w:jc w:val="both"/>
      </w:pPr>
      <w:r>
        <w:t>…</w:t>
      </w:r>
    </w:p>
    <w:p w14:paraId="4385A311" w14:textId="77777777" w:rsidR="00E52C20" w:rsidRDefault="00BD10BA">
      <w:pPr>
        <w:pBdr>
          <w:top w:val="nil"/>
          <w:left w:val="nil"/>
          <w:bottom w:val="nil"/>
          <w:right w:val="nil"/>
          <w:between w:val="nil"/>
        </w:pBdr>
        <w:ind w:left="720" w:firstLine="720"/>
        <w:jc w:val="both"/>
        <w:rPr>
          <w:rFonts w:ascii="Palatino Linotype" w:eastAsia="Palatino Linotype" w:hAnsi="Palatino Linotype" w:cs="Palatino Linotype"/>
          <w:i/>
        </w:rPr>
      </w:pPr>
      <w:r>
        <w:rPr>
          <w:rFonts w:ascii="Palatino Linotype" w:eastAsia="Palatino Linotype" w:hAnsi="Palatino Linotype" w:cs="Palatino Linotype"/>
          <w:i/>
        </w:rPr>
        <w:t>VII. La falta de respuesta a una solicitud de acceso a la información;</w:t>
      </w:r>
    </w:p>
    <w:p w14:paraId="78CD900D" w14:textId="77777777" w:rsidR="00E52C20" w:rsidRDefault="00BD10BA">
      <w:pPr>
        <w:pBdr>
          <w:top w:val="nil"/>
          <w:left w:val="nil"/>
          <w:bottom w:val="nil"/>
          <w:right w:val="nil"/>
          <w:between w:val="nil"/>
        </w:pBdr>
        <w:ind w:left="720" w:firstLine="72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11C2A81" w14:textId="77777777" w:rsidR="00E52C20" w:rsidRDefault="00E52C20">
      <w:pPr>
        <w:pBdr>
          <w:top w:val="nil"/>
          <w:left w:val="nil"/>
          <w:bottom w:val="nil"/>
          <w:right w:val="nil"/>
          <w:between w:val="nil"/>
        </w:pBdr>
        <w:ind w:left="720" w:firstLine="720"/>
        <w:jc w:val="both"/>
        <w:rPr>
          <w:rFonts w:ascii="Palatino Linotype" w:eastAsia="Palatino Linotype" w:hAnsi="Palatino Linotype" w:cs="Palatino Linotype"/>
          <w:i/>
          <w:color w:val="000000"/>
          <w:sz w:val="22"/>
          <w:szCs w:val="22"/>
        </w:rPr>
      </w:pPr>
    </w:p>
    <w:p w14:paraId="30973A02" w14:textId="77777777" w:rsidR="00E52C20" w:rsidRDefault="00BD10BA">
      <w:pPr>
        <w:shd w:val="clear" w:color="auto" w:fill="FFFFFF"/>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Causales de improcedencia.  </w:t>
      </w:r>
      <w:r>
        <w:rPr>
          <w:rFonts w:ascii="Palatino Linotype" w:eastAsia="Palatino Linotype" w:hAnsi="Palatino Linotype" w:cs="Palatino Linotype"/>
        </w:rPr>
        <w:t xml:space="preserve">Este Instituto realiza el estudio oficioso de las causales de improcedencia, por tratarse de una cuestión de orden público y de estudio preferente acorde con el Criterio orientador en la Tesis de Jurisprudencia </w:t>
      </w:r>
      <w:r>
        <w:rPr>
          <w:rFonts w:ascii="Palatino Linotype" w:eastAsia="Palatino Linotype" w:hAnsi="Palatino Linotype" w:cs="Palatino Linotype"/>
        </w:rPr>
        <w:lastRenderedPageBreak/>
        <w:t>“IMPROCEDENCIA.”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r>
        <w:rPr>
          <w:rFonts w:ascii="Palatino Linotype" w:eastAsia="Palatino Linotype" w:hAnsi="Palatino Linotype" w:cs="Palatino Linotype"/>
          <w:b/>
        </w:rPr>
        <w:t>.</w:t>
      </w:r>
    </w:p>
    <w:p w14:paraId="34991979" w14:textId="77777777" w:rsidR="00E52C20" w:rsidRDefault="00E52C20">
      <w:pPr>
        <w:shd w:val="clear" w:color="auto" w:fill="FFFFFF"/>
        <w:spacing w:before="240" w:after="240" w:line="360" w:lineRule="auto"/>
        <w:jc w:val="both"/>
        <w:rPr>
          <w:rFonts w:ascii="Palatino Linotype" w:eastAsia="Palatino Linotype" w:hAnsi="Palatino Linotype" w:cs="Palatino Linotype"/>
          <w:b/>
        </w:rPr>
      </w:pPr>
    </w:p>
    <w:p w14:paraId="70730584" w14:textId="77777777" w:rsidR="00E52C20" w:rsidRDefault="00BD10B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el presente caso, en el análisis oficioso del Recurso de Revisión no se previó una causal de improcedencia; sin embargo, una vez admitido el Recurso de Revisión y en su estudio a detalle, este Organismo Garante advierte que surgió una causal de improcedencia, prevista en el artículo 191 fracción III de la Ley de Transparencia y Acceso a la Información Pública del Estado de México y Municipios; artículo que a la letra dispone:</w:t>
      </w:r>
    </w:p>
    <w:p w14:paraId="07A79740" w14:textId="77777777" w:rsidR="00E52C20" w:rsidRDefault="00BD10BA">
      <w:pPr>
        <w:shd w:val="clear" w:color="auto" w:fill="FFFFFF"/>
        <w:spacing w:before="240" w:after="240" w:line="276" w:lineRule="auto"/>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191. El recurso será desechado por improcedente cuando:</w:t>
      </w:r>
    </w:p>
    <w:p w14:paraId="4362188A" w14:textId="77777777" w:rsidR="00E52C20" w:rsidRDefault="00BD10BA">
      <w:pPr>
        <w:shd w:val="clear" w:color="auto" w:fill="FFFFFF"/>
        <w:spacing w:before="240" w:after="240" w:line="276" w:lineRule="auto"/>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al II…</w:t>
      </w:r>
    </w:p>
    <w:p w14:paraId="25543901" w14:textId="77777777" w:rsidR="00E52C20" w:rsidRDefault="00BD10BA">
      <w:pPr>
        <w:shd w:val="clear" w:color="auto" w:fill="FFFFFF"/>
        <w:spacing w:before="240" w:after="240" w:line="276" w:lineRule="auto"/>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III. No actualice alguno de los supuestos previstos en la presente Ley; </w:t>
      </w:r>
    </w:p>
    <w:p w14:paraId="2B1BB128" w14:textId="77777777" w:rsidR="00E52C20" w:rsidRDefault="00BD10BA">
      <w:pPr>
        <w:shd w:val="clear" w:color="auto" w:fill="FFFFFF"/>
        <w:spacing w:before="240" w:after="240" w:line="276" w:lineRule="auto"/>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(Énfasis añadido)</w:t>
      </w:r>
    </w:p>
    <w:p w14:paraId="6068248B" w14:textId="77777777" w:rsidR="00E52C20" w:rsidRDefault="00BD10B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atención de lo anterior, se procede a analizar las cuestiones de hecho que dieron lugar a la improcedencia en concordancia con el apartado de causales de sobreseimiento.</w:t>
      </w:r>
    </w:p>
    <w:p w14:paraId="164EE09C" w14:textId="77777777" w:rsidR="00E52C20" w:rsidRDefault="00BD10BA">
      <w:pPr>
        <w:shd w:val="clear" w:color="auto" w:fill="FFFFFF"/>
        <w:spacing w:before="240"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lastRenderedPageBreak/>
        <w:t>CUARTO. Análisis de las causales de Sobreseimiento del Recurso de Revisión.</w:t>
      </w:r>
      <w:r>
        <w:rPr>
          <w:rFonts w:ascii="Palatino Linotype" w:eastAsia="Palatino Linotype" w:hAnsi="Palatino Linotype" w:cs="Palatino Linotype"/>
        </w:rPr>
        <w:t xml:space="preserve"> En este contexto este Órgano Colegiado advierte que, el artículo 192 de la Ley de Transparencia y Acceso a la Información Pública del Estado de México y Municipios, que dispone que  el Recurso de Revisión será sobreseído en todo o en partes, cuando, una vez admitido, se actualice alguno de los siguientes supuestos:</w:t>
      </w:r>
    </w:p>
    <w:p w14:paraId="6B0B7AAA" w14:textId="77777777" w:rsidR="00E52C20" w:rsidRDefault="00BD10BA">
      <w:pPr>
        <w:spacing w:before="120" w:after="120" w:line="276" w:lineRule="auto"/>
        <w:ind w:left="709" w:right="70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192.</w:t>
      </w:r>
      <w:r>
        <w:rPr>
          <w:rFonts w:ascii="Palatino Linotype" w:eastAsia="Palatino Linotype" w:hAnsi="Palatino Linotype" w:cs="Palatino Linotype"/>
          <w:i/>
          <w:sz w:val="22"/>
          <w:szCs w:val="22"/>
        </w:rPr>
        <w:t xml:space="preserve"> El recurso será sobreseído, en todo o en parte, cuando una vez admitido, se actualicen alguno de los siguientes supuestos:</w:t>
      </w:r>
    </w:p>
    <w:p w14:paraId="326DBC3A" w14:textId="77777777" w:rsidR="00E52C20" w:rsidRDefault="00BD10BA">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 El Recurrente se desista expresamente;</w:t>
      </w:r>
    </w:p>
    <w:p w14:paraId="36DAC946" w14:textId="77777777" w:rsidR="00E52C20" w:rsidRDefault="00BD10BA">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 El Recurrente fallezca o, tratándose de personas morales se disuelva;</w:t>
      </w:r>
    </w:p>
    <w:p w14:paraId="026851DC" w14:textId="77777777" w:rsidR="00E52C20" w:rsidRDefault="00BD10BA">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III. El Sujeto Obligado modifique la respuesta o la revoque, de tal manera que el recurso de revisión quede sin materia;</w:t>
      </w:r>
    </w:p>
    <w:p w14:paraId="771906B6" w14:textId="77777777" w:rsidR="00E52C20" w:rsidRDefault="00BD10BA">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IV. Admitido el recurso de revisión, aparezca alguna causal de improcedencia; y,</w:t>
      </w:r>
    </w:p>
    <w:p w14:paraId="16237141" w14:textId="77777777" w:rsidR="00E52C20" w:rsidRDefault="00BD10BA">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V. Cuando por cualquier motivo quede sin materia el recurso de revisión.</w:t>
      </w:r>
    </w:p>
    <w:p w14:paraId="68BC7BD7" w14:textId="77777777" w:rsidR="00E52C20" w:rsidRDefault="00BD10BA">
      <w:pPr>
        <w:pBdr>
          <w:top w:val="nil"/>
          <w:left w:val="nil"/>
          <w:bottom w:val="nil"/>
          <w:right w:val="nil"/>
          <w:between w:val="nil"/>
        </w:pBdr>
        <w:spacing w:before="120" w:after="120" w:line="276" w:lineRule="auto"/>
        <w:ind w:left="70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 (Énfasis añadido)</w:t>
      </w:r>
    </w:p>
    <w:p w14:paraId="21E7CDE9"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autos que corren agregados al expediente en el que se actúa, no fue posible advertir que el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 xml:space="preserve"> se hubiera desistido, fallecido o que el Sujeto obligado hubiese modificado o revocado su respuesta durante el trámite del presente Recurso, por lo que no se actualizan dichas causales de sobreseimiento.</w:t>
      </w:r>
    </w:p>
    <w:p w14:paraId="54D31F36"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resulta procedente realizar el análisis de la causal de sobreseimiento prevista en la fracción IV, del artículo 92 de la citada Ley, toda vez que conforme a la transcripción que antecede se advierte como causales de sobreseimiento una vez admitido el recurso de revisión </w:t>
      </w:r>
      <w:r>
        <w:rPr>
          <w:rFonts w:ascii="Palatino Linotype" w:eastAsia="Palatino Linotype" w:hAnsi="Palatino Linotype" w:cs="Palatino Linotype"/>
          <w:i/>
          <w:color w:val="000000"/>
        </w:rPr>
        <w:t>aparezca alguna causal de improcedencia</w:t>
      </w:r>
      <w:r>
        <w:rPr>
          <w:rFonts w:ascii="Palatino Linotype" w:eastAsia="Palatino Linotype" w:hAnsi="Palatino Linotype" w:cs="Palatino Linotype"/>
        </w:rPr>
        <w:t xml:space="preserve">. </w:t>
      </w:r>
    </w:p>
    <w:p w14:paraId="426143F7"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con la finalidad de verificar lo anterior, se realizará la relatoría de las actuaciones efectuadas por las partes durante el procedimiento de acceso a la información pública con el propósito de dar claridad en el tratamiento del tema en estudio.</w:t>
      </w:r>
    </w:p>
    <w:p w14:paraId="28794368" w14:textId="77777777" w:rsidR="00E52C20" w:rsidRDefault="00BD10B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este sentido </w:t>
      </w:r>
      <w:r>
        <w:rPr>
          <w:rFonts w:ascii="Palatino Linotype" w:eastAsia="Palatino Linotype" w:hAnsi="Palatino Linotype" w:cs="Palatino Linotype"/>
          <w:color w:val="000000"/>
        </w:rPr>
        <w:t xml:space="preserve">resulta necesario recordar que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solicitó en el ejercicio de su derecho de acceso a la información:</w:t>
      </w:r>
    </w:p>
    <w:p w14:paraId="4F1BBD1B" w14:textId="77777777" w:rsidR="00E52C20" w:rsidRDefault="00BD10BA">
      <w:pPr>
        <w:pBdr>
          <w:top w:val="nil"/>
          <w:left w:val="nil"/>
          <w:bottom w:val="nil"/>
          <w:right w:val="nil"/>
          <w:between w:val="nil"/>
        </w:pBdr>
        <w:ind w:left="720"/>
        <w:jc w:val="both"/>
        <w:rPr>
          <w:rFonts w:ascii="Palatino Linotype" w:eastAsia="Palatino Linotype" w:hAnsi="Palatino Linotype" w:cs="Palatino Linotype"/>
          <w:b/>
          <w:i/>
          <w:color w:val="000000"/>
        </w:rPr>
      </w:pPr>
      <w:r>
        <w:rPr>
          <w:rFonts w:ascii="Palatino Linotype" w:eastAsia="Palatino Linotype" w:hAnsi="Palatino Linotype" w:cs="Palatino Linotype"/>
          <w:i/>
          <w:color w:val="000000"/>
        </w:rPr>
        <w:t>“solicito se informe que normatividad se llevo acabo para la busqueda de la información solicitada y que se responde atraves de oficios al copiar y pegar y manejar en un solo sentido que no se cuenta con la información. apesar que es resposablidad de este sujeto obligado, asi las cosas se ratifica se entreguen los documentos soporte y que se relaciona con las inspecciones y obligaciones que tiene este sujeto obligado en realizarlas,. toda vez que no se pidio los procedimientos instaurados por el o no cumplimiento de la norma ; lo que se solicito fue las visitas y bitacoras entregadas por las concesionarias a el sitramytem.” (sic)</w:t>
      </w:r>
    </w:p>
    <w:p w14:paraId="763283DB" w14:textId="77777777" w:rsidR="00E52C20" w:rsidRDefault="00BD10B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fundamento en el artículo 159 de la </w:t>
      </w:r>
      <w:r>
        <w:rPr>
          <w:rFonts w:ascii="Palatino Linotype" w:eastAsia="Palatino Linotype" w:hAnsi="Palatino Linotype" w:cs="Palatino Linotype"/>
        </w:rPr>
        <w:t>Ley de Transparencia y Acceso a la Información Pública del Estado de México y Municipios</w:t>
      </w:r>
      <w:r>
        <w:rPr>
          <w:rFonts w:ascii="Palatino Linotype" w:eastAsia="Palatino Linotype" w:hAnsi="Palatino Linotype" w:cs="Palatino Linotype"/>
          <w:b/>
          <w:color w:val="000000"/>
        </w:rPr>
        <w:t xml:space="preserve"> EL SUJETO OBLIGADO</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solicitó al recurrente aclarara o complementara su solicitud, así mismo, adjuntó al referido requerimiento el oficio UT/213C03010301200/127/2021 </w:t>
      </w:r>
      <w:r>
        <w:rPr>
          <w:rFonts w:ascii="Palatino Linotype" w:eastAsia="Palatino Linotype" w:hAnsi="Palatino Linotype" w:cs="Palatino Linotype"/>
          <w:color w:val="000000"/>
        </w:rPr>
        <w:t>signado por</w:t>
      </w:r>
      <w:r>
        <w:rPr>
          <w:rFonts w:ascii="Palatino Linotype" w:eastAsia="Palatino Linotype" w:hAnsi="Palatino Linotype" w:cs="Palatino Linotype"/>
          <w:b/>
          <w:color w:val="000000"/>
        </w:rPr>
        <w:t xml:space="preserve"> el C. Gonzalo Linas Colin </w:t>
      </w:r>
      <w:r>
        <w:rPr>
          <w:rFonts w:ascii="Palatino Linotype" w:eastAsia="Palatino Linotype" w:hAnsi="Palatino Linotype" w:cs="Palatino Linotype"/>
          <w:color w:val="000000"/>
        </w:rPr>
        <w:t>Titular de la Unidad de Transparencia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del</w:t>
      </w:r>
      <w:r>
        <w:rPr>
          <w:rFonts w:ascii="Palatino Linotype" w:eastAsia="Palatino Linotype" w:hAnsi="Palatino Linotype" w:cs="Palatino Linotype"/>
          <w:b/>
          <w:color w:val="000000"/>
        </w:rPr>
        <w:t xml:space="preserve"> Sistema de transporte Masivo y Teleférico del Estado de México</w:t>
      </w:r>
      <w:r>
        <w:rPr>
          <w:rFonts w:ascii="Palatino Linotype" w:eastAsia="Palatino Linotype" w:hAnsi="Palatino Linotype" w:cs="Palatino Linotype"/>
          <w:color w:val="000000"/>
        </w:rPr>
        <w:t>, del que se advierte medularmente que, en ejercicio de las atribuciones que la Ley le confiere, solicitó la aclaración de la solicitud de acuerdo a lo siguiente:</w:t>
      </w:r>
    </w:p>
    <w:p w14:paraId="0AF95A9A" w14:textId="77777777" w:rsidR="00E52C20" w:rsidRDefault="00BD10BA">
      <w:pPr>
        <w:spacing w:before="240" w:after="240" w:line="360" w:lineRule="auto"/>
        <w:jc w:val="both"/>
        <w:rPr>
          <w:rFonts w:ascii="Palatino Linotype" w:eastAsia="Palatino Linotype" w:hAnsi="Palatino Linotype" w:cs="Palatino Linotype"/>
          <w:color w:val="000000"/>
        </w:rPr>
      </w:pPr>
      <w:r>
        <w:rPr>
          <w:noProof/>
          <w:lang w:val="es-419" w:eastAsia="es-419"/>
        </w:rPr>
        <w:lastRenderedPageBreak/>
        <w:drawing>
          <wp:inline distT="0" distB="0" distL="0" distR="0" wp14:anchorId="318BEC95" wp14:editId="5FFFE219">
            <wp:extent cx="5647987" cy="1977739"/>
            <wp:effectExtent l="0" t="0" r="0" b="0"/>
            <wp:docPr id="21" name="image4.png" descr="Interfaz de usuario gráfica, Texto, Aplicación, Word&#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Texto, Aplicación, Word&#10;&#10;Descripción generada automáticamente"/>
                    <pic:cNvPicPr preferRelativeResize="0"/>
                  </pic:nvPicPr>
                  <pic:blipFill>
                    <a:blip r:embed="rId12"/>
                    <a:srcRect l="57071" t="43922" r="5872" b="36613"/>
                    <a:stretch>
                      <a:fillRect/>
                    </a:stretch>
                  </pic:blipFill>
                  <pic:spPr>
                    <a:xfrm>
                      <a:off x="0" y="0"/>
                      <a:ext cx="5647987" cy="1977739"/>
                    </a:xfrm>
                    <a:prstGeom prst="rect">
                      <a:avLst/>
                    </a:prstGeom>
                    <a:ln/>
                  </pic:spPr>
                </pic:pic>
              </a:graphicData>
            </a:graphic>
          </wp:inline>
        </w:drawing>
      </w:r>
      <w:r>
        <w:rPr>
          <w:rFonts w:ascii="Palatino Linotype" w:eastAsia="Palatino Linotype" w:hAnsi="Palatino Linotype" w:cs="Palatino Linotype"/>
          <w:color w:val="000000"/>
        </w:rPr>
        <w:t xml:space="preserve">   </w:t>
      </w:r>
    </w:p>
    <w:p w14:paraId="1B158B1B"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El</w:t>
      </w:r>
      <w:r>
        <w:rPr>
          <w:rFonts w:ascii="Palatino Linotype" w:eastAsia="Palatino Linotype" w:hAnsi="Palatino Linotype" w:cs="Palatino Linotype"/>
          <w:b/>
        </w:rPr>
        <w:t xml:space="preserve"> RECURRENTE, </w:t>
      </w:r>
      <w:r>
        <w:rPr>
          <w:rFonts w:ascii="Palatino Linotype" w:eastAsia="Palatino Linotype" w:hAnsi="Palatino Linotype" w:cs="Palatino Linotype"/>
        </w:rPr>
        <w:t>a través del SAIMEX, realizó la aclaración solicitada, de la siguiente manera:</w:t>
      </w:r>
    </w:p>
    <w:p w14:paraId="24865763" w14:textId="06A1B1C7" w:rsidR="00E52C20" w:rsidRDefault="00BD10B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  </w:t>
      </w:r>
      <w:bookmarkStart w:id="1" w:name="_GoBack"/>
      <w:r w:rsidR="00D139AF" w:rsidRPr="00D139AF">
        <w:rPr>
          <w:rFonts w:ascii="Palatino Linotype" w:eastAsia="Palatino Linotype" w:hAnsi="Palatino Linotype" w:cs="Palatino Linotype"/>
          <w:noProof/>
          <w:lang w:val="es-419" w:eastAsia="es-419"/>
        </w:rPr>
        <w:drawing>
          <wp:inline distT="0" distB="0" distL="0" distR="0" wp14:anchorId="3110B4B0" wp14:editId="15E6D676">
            <wp:extent cx="5467350" cy="3934276"/>
            <wp:effectExtent l="0" t="0" r="0" b="9525"/>
            <wp:docPr id="18" name="Imagen 18" descr="C:\Users\Usuario\Desktop\5459_2021_GRP_STMTEM_ SOBRESEE  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5459_2021_GRP_STMTEM_ SOBRESEE  222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49758" b="35727"/>
                    <a:stretch/>
                  </pic:blipFill>
                  <pic:spPr bwMode="auto">
                    <a:xfrm>
                      <a:off x="0" y="0"/>
                      <a:ext cx="5482312" cy="3945042"/>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14:paraId="50D33CDE"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Considerando la aclaración realizada por el RECURRENTE, EL SUJETO OBLIGADO</w:t>
      </w:r>
      <w:r>
        <w:rPr>
          <w:rFonts w:ascii="Palatino Linotype" w:eastAsia="Palatino Linotype" w:hAnsi="Palatino Linotype" w:cs="Palatino Linotype"/>
        </w:rPr>
        <w:t xml:space="preserve">, notificó la respuesta al particular, donde se tiene por no presentada la solicitud de información, toda vez que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no desahogó la prevención realizada.    </w:t>
      </w:r>
    </w:p>
    <w:p w14:paraId="52D2EA90" w14:textId="77777777" w:rsidR="00E52C20" w:rsidRDefault="00BD10BA">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Inconforme, </w:t>
      </w:r>
      <w:r>
        <w:rPr>
          <w:rFonts w:ascii="Palatino Linotype" w:eastAsia="Palatino Linotype" w:hAnsi="Palatino Linotype" w:cs="Palatino Linotype"/>
          <w:b/>
          <w:color w:val="000000"/>
        </w:rPr>
        <w:t>EL RECURRENTE</w:t>
      </w:r>
      <w:r>
        <w:rPr>
          <w:rFonts w:ascii="Palatino Linotype" w:eastAsia="Palatino Linotype" w:hAnsi="Palatino Linotype" w:cs="Palatino Linotype"/>
          <w:color w:val="000000"/>
        </w:rPr>
        <w:t xml:space="preserve"> presentó recurso de revisión señalando como acto impugnado y razones o motivos de inconformidad lo siguiente: </w:t>
      </w:r>
    </w:p>
    <w:p w14:paraId="007D6EF5" w14:textId="77777777" w:rsidR="00E52C20" w:rsidRDefault="00BD10BA">
      <w:pPr>
        <w:spacing w:before="240" w:after="240" w:line="360" w:lineRule="auto"/>
        <w:ind w:left="567"/>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67165BE8" w14:textId="77777777" w:rsidR="00E52C20" w:rsidRDefault="00BD10BA">
      <w:pPr>
        <w:spacing w:line="360" w:lineRule="auto"/>
        <w:ind w:left="99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i/>
          <w:color w:val="000000"/>
        </w:rPr>
        <w:t>Respuesta nula.</w:t>
      </w:r>
      <w:r>
        <w:rPr>
          <w:rFonts w:ascii="Palatino Linotype" w:eastAsia="Palatino Linotype" w:hAnsi="Palatino Linotype" w:cs="Palatino Linotype"/>
          <w:b/>
          <w:i/>
        </w:rPr>
        <w:t xml:space="preserve">”  </w:t>
      </w:r>
      <w:r>
        <w:rPr>
          <w:rFonts w:ascii="Palatino Linotype" w:eastAsia="Palatino Linotype" w:hAnsi="Palatino Linotype" w:cs="Palatino Linotype"/>
          <w:i/>
        </w:rPr>
        <w:t>(sic)</w:t>
      </w:r>
    </w:p>
    <w:p w14:paraId="5FD0C83E" w14:textId="77777777" w:rsidR="00E52C20" w:rsidRDefault="00BD10BA">
      <w:pPr>
        <w:spacing w:before="240" w:after="240" w:line="360" w:lineRule="auto"/>
        <w:ind w:left="567"/>
        <w:jc w:val="both"/>
        <w:rPr>
          <w:rFonts w:ascii="Palatino Linotype" w:eastAsia="Palatino Linotype" w:hAnsi="Palatino Linotype" w:cs="Palatino Linotype"/>
          <w:b/>
        </w:rPr>
      </w:pPr>
      <w:r>
        <w:rPr>
          <w:rFonts w:ascii="Palatino Linotype" w:eastAsia="Palatino Linotype" w:hAnsi="Palatino Linotype" w:cs="Palatino Linotype"/>
          <w:b/>
        </w:rPr>
        <w:t>b) Motivos de inconformidad.</w:t>
      </w:r>
    </w:p>
    <w:p w14:paraId="679EEC94" w14:textId="77777777" w:rsidR="00E52C20" w:rsidRDefault="00BD10BA">
      <w:pPr>
        <w:spacing w:before="240" w:after="240" w:line="360" w:lineRule="auto"/>
        <w:ind w:left="567"/>
        <w:jc w:val="both"/>
        <w:rPr>
          <w:rFonts w:ascii="Palatino Linotype" w:eastAsia="Palatino Linotype" w:hAnsi="Palatino Linotype" w:cs="Palatino Linotype"/>
          <w:i/>
        </w:rPr>
      </w:pPr>
      <w:r>
        <w:rPr>
          <w:rFonts w:ascii="Palatino Linotype" w:eastAsia="Palatino Linotype" w:hAnsi="Palatino Linotype" w:cs="Palatino Linotype"/>
          <w:i/>
        </w:rPr>
        <w:t xml:space="preserve">“se niega la información de las inspeccción es y bitacoras que este instituto debio remitir y que obran en las areas responsables de su cumplimiento dando asi la negligencia oportuna a la información publica y asi mismo </w:t>
      </w:r>
      <w:r>
        <w:rPr>
          <w:rFonts w:ascii="Palatino Linotype" w:eastAsia="Palatino Linotype" w:hAnsi="Palatino Linotype" w:cs="Palatino Linotype"/>
          <w:b/>
          <w:i/>
          <w:u w:val="single"/>
        </w:rPr>
        <w:t>no dio cumplimiento a la resolusión 03304/INFOEM/IP/RR/2021.</w:t>
      </w:r>
      <w:r>
        <w:rPr>
          <w:rFonts w:ascii="Palatino Linotype" w:eastAsia="Palatino Linotype" w:hAnsi="Palatino Linotype" w:cs="Palatino Linotype"/>
          <w:b/>
          <w:i/>
          <w:color w:val="000000"/>
          <w:u w:val="single"/>
        </w:rPr>
        <w:t>”</w:t>
      </w:r>
      <w:r>
        <w:rPr>
          <w:rFonts w:ascii="Palatino Linotype" w:eastAsia="Palatino Linotype" w:hAnsi="Palatino Linotype" w:cs="Palatino Linotype"/>
          <w:b/>
          <w:i/>
          <w:u w:val="single"/>
        </w:rPr>
        <w:t xml:space="preserve"> (si</w:t>
      </w:r>
      <w:r>
        <w:rPr>
          <w:rFonts w:ascii="Palatino Linotype" w:eastAsia="Palatino Linotype" w:hAnsi="Palatino Linotype" w:cs="Palatino Linotype"/>
          <w:i/>
        </w:rPr>
        <w:t>c)</w:t>
      </w:r>
    </w:p>
    <w:p w14:paraId="56E6E5D9" w14:textId="77777777" w:rsidR="00E52C20" w:rsidRDefault="00BD10B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del análisis realizado a la totalidad de las constancias que obran en el expediente que dió origen al </w:t>
      </w:r>
      <w:r>
        <w:rPr>
          <w:rFonts w:ascii="Palatino Linotype" w:eastAsia="Palatino Linotype" w:hAnsi="Palatino Linotype" w:cs="Palatino Linotype"/>
          <w:color w:val="000000"/>
        </w:rPr>
        <w:t xml:space="preserve"> recurso de revisión que ahora </w:t>
      </w:r>
      <w:r>
        <w:rPr>
          <w:rFonts w:ascii="Palatino Linotype" w:eastAsia="Palatino Linotype" w:hAnsi="Palatino Linotype" w:cs="Palatino Linotype"/>
        </w:rPr>
        <w:t>se resuelve</w:t>
      </w:r>
      <w:r>
        <w:rPr>
          <w:rFonts w:ascii="Palatino Linotype" w:eastAsia="Palatino Linotype" w:hAnsi="Palatino Linotype" w:cs="Palatino Linotype"/>
          <w:color w:val="000000"/>
        </w:rPr>
        <w:t xml:space="preserve">, el ahora </w:t>
      </w:r>
      <w:r>
        <w:rPr>
          <w:rFonts w:ascii="Palatino Linotype" w:eastAsia="Palatino Linotype" w:hAnsi="Palatino Linotype" w:cs="Palatino Linotype"/>
          <w:b/>
          <w:color w:val="000000"/>
        </w:rPr>
        <w:t>RECURREN</w:t>
      </w:r>
      <w:r>
        <w:rPr>
          <w:rFonts w:ascii="Palatino Linotype" w:eastAsia="Palatino Linotype" w:hAnsi="Palatino Linotype" w:cs="Palatino Linotype"/>
          <w:b/>
        </w:rPr>
        <w:t>TE</w:t>
      </w: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 xml:space="preserve">pretende inconformarse por el cumplimento a lo mandatado al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en diversa Resolución identificada con el número 03304/INFOEM/IP/RR/2021,</w:t>
      </w:r>
      <w:r>
        <w:rPr>
          <w:rFonts w:ascii="Palatino Linotype" w:eastAsia="Palatino Linotype" w:hAnsi="Palatino Linotype" w:cs="Palatino Linotype"/>
        </w:rPr>
        <w:t xml:space="preserve"> en la cual en efecto se ordenó lo siguiente: </w:t>
      </w:r>
    </w:p>
    <w:p w14:paraId="730C87E0" w14:textId="77777777" w:rsidR="00E52C20" w:rsidRDefault="00E52C20">
      <w:pPr>
        <w:spacing w:line="360" w:lineRule="auto"/>
        <w:jc w:val="both"/>
        <w:rPr>
          <w:rFonts w:ascii="Palatino Linotype" w:eastAsia="Palatino Linotype" w:hAnsi="Palatino Linotype" w:cs="Palatino Linotype"/>
        </w:rPr>
      </w:pPr>
    </w:p>
    <w:p w14:paraId="42C5989B" w14:textId="77777777" w:rsidR="00E52C20" w:rsidRDefault="00BD10B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419" w:eastAsia="es-419"/>
        </w:rPr>
        <w:lastRenderedPageBreak/>
        <w:drawing>
          <wp:inline distT="114300" distB="114300" distL="114300" distR="114300" wp14:anchorId="4211A827" wp14:editId="3A6CC46C">
            <wp:extent cx="4819650" cy="3514725"/>
            <wp:effectExtent l="0" t="0" r="0" b="0"/>
            <wp:docPr id="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819650" cy="3514725"/>
                    </a:xfrm>
                    <a:prstGeom prst="rect">
                      <a:avLst/>
                    </a:prstGeom>
                    <a:ln/>
                  </pic:spPr>
                </pic:pic>
              </a:graphicData>
            </a:graphic>
          </wp:inline>
        </w:drawing>
      </w:r>
    </w:p>
    <w:p w14:paraId="317C5271" w14:textId="77777777" w:rsidR="00E52C20" w:rsidRDefault="00E52C20">
      <w:pPr>
        <w:spacing w:line="360" w:lineRule="auto"/>
        <w:jc w:val="both"/>
        <w:rPr>
          <w:rFonts w:ascii="Palatino Linotype" w:eastAsia="Palatino Linotype" w:hAnsi="Palatino Linotype" w:cs="Palatino Linotype"/>
        </w:rPr>
      </w:pPr>
    </w:p>
    <w:p w14:paraId="0973949E" w14:textId="77777777" w:rsidR="00E52C20" w:rsidRDefault="00E52C20">
      <w:pPr>
        <w:spacing w:line="360" w:lineRule="auto"/>
        <w:jc w:val="both"/>
        <w:rPr>
          <w:rFonts w:ascii="Palatino Linotype" w:eastAsia="Palatino Linotype" w:hAnsi="Palatino Linotype" w:cs="Palatino Linotype"/>
        </w:rPr>
      </w:pPr>
    </w:p>
    <w:p w14:paraId="32192387" w14:textId="77777777" w:rsidR="00E52C20" w:rsidRDefault="00BD10B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la inconformidad por el incumplimiento a la resolución antes referida, </w:t>
      </w:r>
      <w:r>
        <w:rPr>
          <w:rFonts w:ascii="Palatino Linotype" w:eastAsia="Palatino Linotype" w:hAnsi="Palatino Linotype" w:cs="Palatino Linotype"/>
          <w:color w:val="000000"/>
        </w:rPr>
        <w:t xml:space="preserve"> es inatendible a través del prese</w:t>
      </w:r>
      <w:r>
        <w:rPr>
          <w:rFonts w:ascii="Palatino Linotype" w:eastAsia="Palatino Linotype" w:hAnsi="Palatino Linotype" w:cs="Palatino Linotype"/>
        </w:rPr>
        <w:t xml:space="preserve">nte </w:t>
      </w:r>
      <w:r>
        <w:rPr>
          <w:rFonts w:ascii="Palatino Linotype" w:eastAsia="Palatino Linotype" w:hAnsi="Palatino Linotype" w:cs="Palatino Linotype"/>
          <w:color w:val="000000"/>
        </w:rPr>
        <w:t>recurso de revisión</w:t>
      </w:r>
      <w:r>
        <w:rPr>
          <w:rFonts w:ascii="Palatino Linotype" w:eastAsia="Palatino Linotype" w:hAnsi="Palatino Linotype" w:cs="Palatino Linotype"/>
        </w:rPr>
        <w:t xml:space="preserve">, por lo cual no se actualiza ninguna causal de procedencia de las establecidas en el artículo 179 de la Ley en la materia. </w:t>
      </w:r>
    </w:p>
    <w:p w14:paraId="0974B961" w14:textId="77777777" w:rsidR="00E52C20" w:rsidRDefault="00E52C20">
      <w:pPr>
        <w:spacing w:line="360" w:lineRule="auto"/>
        <w:jc w:val="both"/>
        <w:rPr>
          <w:rFonts w:ascii="Palatino Linotype" w:eastAsia="Palatino Linotype" w:hAnsi="Palatino Linotype" w:cs="Palatino Linotype"/>
        </w:rPr>
      </w:pPr>
    </w:p>
    <w:p w14:paraId="5DF86EB7" w14:textId="77777777" w:rsidR="00E52C20" w:rsidRDefault="00BD10B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w:t>
      </w:r>
      <w:r>
        <w:rPr>
          <w:rFonts w:ascii="Palatino Linotype" w:eastAsia="Palatino Linotype" w:hAnsi="Palatino Linotype" w:cs="Palatino Linotype"/>
          <w:color w:val="000000"/>
        </w:rPr>
        <w:t xml:space="preserve">o obstante, conviene señalar que, no se deja en estado de indefensión al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toda vez que este Órgano Garante da puntual seguimiento al cumplimiento que los sujetos obligados brinden a las resoluciones recaídas a los recursos de revisión,  lo anterior en términos de </w:t>
      </w:r>
      <w:r>
        <w:rPr>
          <w:rFonts w:ascii="Palatino Linotype" w:eastAsia="Palatino Linotype" w:hAnsi="Palatino Linotype" w:cs="Palatino Linotype"/>
        </w:rPr>
        <w:t xml:space="preserve">lo que refiere la Ley de </w:t>
      </w:r>
      <w:r>
        <w:rPr>
          <w:rFonts w:ascii="Palatino Linotype" w:eastAsia="Palatino Linotype" w:hAnsi="Palatino Linotype" w:cs="Palatino Linotype"/>
        </w:rPr>
        <w:lastRenderedPageBreak/>
        <w:t>Transparencia y Acceso a la Información Pública del Estado de México y Municipios en sus artículos 198 y 200, los cuales, a la letra establecen:</w:t>
      </w:r>
    </w:p>
    <w:p w14:paraId="1EBC5054" w14:textId="77777777" w:rsidR="00E52C20" w:rsidRDefault="00E52C20">
      <w:pPr>
        <w:spacing w:line="360" w:lineRule="auto"/>
        <w:ind w:left="708"/>
        <w:jc w:val="both"/>
        <w:rPr>
          <w:rFonts w:ascii="Palatino Linotype" w:eastAsia="Palatino Linotype" w:hAnsi="Palatino Linotype" w:cs="Palatino Linotype"/>
          <w:b/>
          <w:i/>
          <w:sz w:val="22"/>
          <w:szCs w:val="22"/>
        </w:rPr>
      </w:pPr>
    </w:p>
    <w:p w14:paraId="396264EE" w14:textId="77777777" w:rsidR="00E52C20" w:rsidRDefault="00BD10BA">
      <w:pPr>
        <w:shd w:val="clear" w:color="auto" w:fill="FFFFFF"/>
        <w:spacing w:before="240" w:after="240" w:line="360" w:lineRule="auto"/>
        <w:ind w:left="720"/>
        <w:jc w:val="both"/>
        <w:rPr>
          <w:rFonts w:ascii="Palatino Linotype" w:eastAsia="Palatino Linotype" w:hAnsi="Palatino Linotype" w:cs="Palatino Linotype"/>
          <w:i/>
        </w:rPr>
      </w:pPr>
      <w:r>
        <w:rPr>
          <w:rFonts w:ascii="Palatino Linotype" w:eastAsia="Palatino Linotype" w:hAnsi="Palatino Linotype" w:cs="Palatino Linotype"/>
          <w:b/>
          <w:i/>
        </w:rPr>
        <w:t>Artículo 199.</w:t>
      </w:r>
      <w:r>
        <w:rPr>
          <w:rFonts w:ascii="Palatino Linotype" w:eastAsia="Palatino Linotype" w:hAnsi="Palatino Linotype" w:cs="Palatino Linotype"/>
          <w:i/>
        </w:rPr>
        <w:t xml:space="preserve"> Transcurrido el plazo señalado en el artículo anterior, el sujeto obligado deberá rendir informe al Instituto sobre el cumplimento de la resolución. </w:t>
      </w:r>
    </w:p>
    <w:p w14:paraId="0EC6E411" w14:textId="77777777" w:rsidR="00E52C20" w:rsidRDefault="00BD10BA">
      <w:pPr>
        <w:shd w:val="clear" w:color="auto" w:fill="FFFFFF"/>
        <w:spacing w:before="240" w:after="240" w:line="360" w:lineRule="auto"/>
        <w:ind w:left="720"/>
        <w:jc w:val="both"/>
        <w:rPr>
          <w:rFonts w:ascii="Palatino Linotype" w:eastAsia="Palatino Linotype" w:hAnsi="Palatino Linotype" w:cs="Palatino Linotype"/>
          <w:i/>
        </w:rPr>
      </w:pPr>
      <w:r>
        <w:rPr>
          <w:rFonts w:ascii="Palatino Linotype" w:eastAsia="Palatino Linotype" w:hAnsi="Palatino Linotype" w:cs="Palatino Linotype"/>
          <w:i/>
        </w:rPr>
        <w:t xml:space="preserve">El Instituto verificará de oficio la calidad de la información y, a más tardar al día siguiente de recibir el informe, dará vista al recurrente para que, dentro de los cinco días hábiles siguientes, manifieste lo que a su derecho convenga. </w:t>
      </w:r>
    </w:p>
    <w:p w14:paraId="7F281F56" w14:textId="77777777" w:rsidR="00E52C20" w:rsidRDefault="00BD10BA">
      <w:pPr>
        <w:shd w:val="clear" w:color="auto" w:fill="FFFFFF"/>
        <w:spacing w:before="240" w:after="240" w:line="360" w:lineRule="auto"/>
        <w:ind w:left="720"/>
        <w:jc w:val="both"/>
        <w:rPr>
          <w:rFonts w:ascii="Palatino Linotype" w:eastAsia="Palatino Linotype" w:hAnsi="Palatino Linotype" w:cs="Palatino Linotype"/>
          <w:i/>
        </w:rPr>
      </w:pPr>
      <w:r>
        <w:rPr>
          <w:rFonts w:ascii="Palatino Linotype" w:eastAsia="Palatino Linotype" w:hAnsi="Palatino Linotype" w:cs="Palatino Linotype"/>
          <w:i/>
        </w:rPr>
        <w:t xml:space="preserve">Si dentro del plazo señalado el recurrente manifiesta que el cumplimiento no corresponde a lo ordenado por el Instituto, deberá expresar las causas específicas por las cuales así lo considera. </w:t>
      </w:r>
    </w:p>
    <w:p w14:paraId="41472B2A" w14:textId="77777777" w:rsidR="00E52C20" w:rsidRDefault="00BD10BA">
      <w:pPr>
        <w:shd w:val="clear" w:color="auto" w:fill="FFFFFF"/>
        <w:spacing w:before="240" w:after="240" w:line="360" w:lineRule="auto"/>
        <w:ind w:left="720"/>
        <w:jc w:val="both"/>
        <w:rPr>
          <w:rFonts w:ascii="Palatino Linotype" w:eastAsia="Palatino Linotype" w:hAnsi="Palatino Linotype" w:cs="Palatino Linotype"/>
          <w:i/>
        </w:rPr>
      </w:pPr>
      <w:r>
        <w:rPr>
          <w:rFonts w:ascii="Palatino Linotype" w:eastAsia="Palatino Linotype" w:hAnsi="Palatino Linotype" w:cs="Palatino Linotype"/>
          <w:b/>
          <w:i/>
        </w:rPr>
        <w:t>Artículo 200.</w:t>
      </w:r>
      <w:r>
        <w:rPr>
          <w:rFonts w:ascii="Palatino Linotype" w:eastAsia="Palatino Linotype" w:hAnsi="Palatino Linotype" w:cs="Palatino Linotype"/>
          <w:i/>
        </w:rPr>
        <w:t xml:space="preserve"> El Instituto deberá pronunciarse, en un plazo no mayor a cinco días hábiles, sobre todas las causas que el recurrente manifieste así como del resultado de la verificación realizada. Si el Instituto considera que se dio cumplimiento a la resolución, emitirá un acuerdo de cumplimiento y se ordenará el archivo del expediente. En caso contrario, el Instituto:</w:t>
      </w:r>
    </w:p>
    <w:p w14:paraId="624FCD16" w14:textId="77777777" w:rsidR="00E52C20" w:rsidRDefault="00BD10BA">
      <w:pPr>
        <w:numPr>
          <w:ilvl w:val="0"/>
          <w:numId w:val="2"/>
        </w:numPr>
        <w:pBdr>
          <w:top w:val="nil"/>
          <w:left w:val="nil"/>
          <w:bottom w:val="nil"/>
          <w:right w:val="nil"/>
          <w:between w:val="nil"/>
        </w:pBdr>
        <w:shd w:val="clear" w:color="auto" w:fill="FFFFFF"/>
        <w:spacing w:before="240"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Emitirá un acuerdo de incumplimiento;</w:t>
      </w:r>
    </w:p>
    <w:p w14:paraId="2A7BB53D" w14:textId="77777777" w:rsidR="00E52C20" w:rsidRDefault="00E52C20">
      <w:pPr>
        <w:pBdr>
          <w:top w:val="nil"/>
          <w:left w:val="nil"/>
          <w:bottom w:val="nil"/>
          <w:right w:val="nil"/>
          <w:between w:val="nil"/>
        </w:pBdr>
        <w:shd w:val="clear" w:color="auto" w:fill="FFFFFF"/>
        <w:spacing w:line="360" w:lineRule="auto"/>
        <w:ind w:left="1440"/>
        <w:jc w:val="both"/>
        <w:rPr>
          <w:rFonts w:ascii="Palatino Linotype" w:eastAsia="Palatino Linotype" w:hAnsi="Palatino Linotype" w:cs="Palatino Linotype"/>
          <w:i/>
          <w:color w:val="000000"/>
        </w:rPr>
      </w:pPr>
    </w:p>
    <w:p w14:paraId="66E49C61" w14:textId="77777777" w:rsidR="00E52C20" w:rsidRDefault="00BD10BA">
      <w:pPr>
        <w:numPr>
          <w:ilvl w:val="0"/>
          <w:numId w:val="2"/>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Notificará al superior jerárquico del responsable de dar cumplimiento, para el efecto de que, en un plazo no mayor a cinco días hábiles, se dé cumplimiento a la resolución, bajo el apercibimiento que de no demostrar que dio la orden, </w:t>
      </w:r>
      <w:r>
        <w:rPr>
          <w:rFonts w:ascii="Palatino Linotype" w:eastAsia="Palatino Linotype" w:hAnsi="Palatino Linotype" w:cs="Palatino Linotype"/>
          <w:i/>
          <w:color w:val="000000"/>
        </w:rPr>
        <w:lastRenderedPageBreak/>
        <w:t xml:space="preserve">se le impondrá a su titular una medida de apremio en los términos señalados en esta Ley, además de que incurrirá en las mismas responsabilidades del servidor público inferior; y </w:t>
      </w:r>
    </w:p>
    <w:p w14:paraId="6B50306B" w14:textId="77777777" w:rsidR="00E52C20" w:rsidRDefault="00E52C20">
      <w:pPr>
        <w:pBdr>
          <w:top w:val="nil"/>
          <w:left w:val="nil"/>
          <w:bottom w:val="nil"/>
          <w:right w:val="nil"/>
          <w:between w:val="nil"/>
        </w:pBdr>
        <w:ind w:left="720"/>
        <w:rPr>
          <w:rFonts w:ascii="Palatino Linotype" w:eastAsia="Palatino Linotype" w:hAnsi="Palatino Linotype" w:cs="Palatino Linotype"/>
          <w:i/>
          <w:color w:val="000000"/>
        </w:rPr>
      </w:pPr>
    </w:p>
    <w:p w14:paraId="7E5E6A62" w14:textId="77777777" w:rsidR="00E52C20" w:rsidRDefault="00BD10BA">
      <w:pPr>
        <w:numPr>
          <w:ilvl w:val="0"/>
          <w:numId w:val="2"/>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Determinará las medidas de apremio o sanciones, según corresponda, que deberán imponerse o las acciones procedentes que deberán aplicarse, de conformidad con lo señalado en el siguiente Título. </w:t>
      </w:r>
    </w:p>
    <w:p w14:paraId="07243900" w14:textId="77777777" w:rsidR="00E52C20" w:rsidRDefault="00E52C20">
      <w:pPr>
        <w:pBdr>
          <w:top w:val="nil"/>
          <w:left w:val="nil"/>
          <w:bottom w:val="nil"/>
          <w:right w:val="nil"/>
          <w:between w:val="nil"/>
        </w:pBdr>
        <w:ind w:left="720"/>
        <w:rPr>
          <w:rFonts w:ascii="Palatino Linotype" w:eastAsia="Palatino Linotype" w:hAnsi="Palatino Linotype" w:cs="Palatino Linotype"/>
          <w:i/>
          <w:color w:val="000000"/>
        </w:rPr>
      </w:pPr>
    </w:p>
    <w:p w14:paraId="13AB712C" w14:textId="77777777" w:rsidR="00E52C20" w:rsidRDefault="00BD10BA">
      <w:pPr>
        <w:shd w:val="clear" w:color="auto" w:fill="FFFFFF"/>
        <w:spacing w:before="240" w:after="240" w:line="360" w:lineRule="auto"/>
        <w:ind w:left="720"/>
        <w:jc w:val="both"/>
        <w:rPr>
          <w:rFonts w:ascii="Palatino Linotype" w:eastAsia="Palatino Linotype" w:hAnsi="Palatino Linotype" w:cs="Palatino Linotype"/>
          <w:i/>
        </w:rPr>
      </w:pPr>
      <w:r>
        <w:rPr>
          <w:rFonts w:ascii="Palatino Linotype" w:eastAsia="Palatino Linotype" w:hAnsi="Palatino Linotype" w:cs="Palatino Linotype"/>
          <w:i/>
        </w:rPr>
        <w:t>El servidor público requerido como superior jerárquico incurre en responsabilidad por falta de cumplimiento de la resolución, en los mismos términos en que incurrió el servidor público originalmente obligado.</w:t>
      </w:r>
    </w:p>
    <w:p w14:paraId="332152FE" w14:textId="77777777" w:rsidR="00E52C20" w:rsidRDefault="00BD10BA">
      <w:pPr>
        <w:shd w:val="clear" w:color="auto" w:fill="FFFFFF"/>
        <w:spacing w:before="240" w:after="240" w:line="360" w:lineRule="auto"/>
        <w:ind w:left="720"/>
        <w:jc w:val="both"/>
        <w:rPr>
          <w:rFonts w:ascii="Palatino Linotype" w:eastAsia="Palatino Linotype" w:hAnsi="Palatino Linotype" w:cs="Palatino Linotype"/>
          <w:i/>
        </w:rPr>
      </w:pPr>
      <w:r>
        <w:rPr>
          <w:rFonts w:ascii="Palatino Linotype" w:eastAsia="Palatino Linotype" w:hAnsi="Palatino Linotype" w:cs="Palatino Linotype"/>
          <w:i/>
        </w:rPr>
        <w:t>Todos los servidores públicos que tengan o deban tener intervención en el cumplimiento de la resolución, están obligados a realizar, dentro del ámbito de su competencia, los actos necesarios para su eficaz cumplimiento y estarán sujetos a las mismas responsabilidades a que alude esta Ley.</w:t>
      </w:r>
    </w:p>
    <w:p w14:paraId="2079A1FB" w14:textId="77777777" w:rsidR="00E52C20" w:rsidRDefault="00BD10B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De lo anterior se desprende, que existe un procedimiento específico para dar seguimiento al cumplimiento a lo resuelto por este Órgano Garante en materia de Recursos de Revisión, así como, un proceso a seguir en el caso del incumplimiento de estas.   </w:t>
      </w:r>
    </w:p>
    <w:p w14:paraId="7547ED80"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de observancia lo establecido en la fracción III del artículo 191, y fracción IV del artículo 192 de la Ley de Transparencia y Acceso a la </w:t>
      </w:r>
      <w:r>
        <w:rPr>
          <w:rFonts w:ascii="Palatino Linotype" w:eastAsia="Palatino Linotype" w:hAnsi="Palatino Linotype" w:cs="Palatino Linotype"/>
        </w:rPr>
        <w:lastRenderedPageBreak/>
        <w:t>Información Pública del Estado de México y Municipios vigente, que a la letra señalan:</w:t>
      </w:r>
    </w:p>
    <w:p w14:paraId="636F471A" w14:textId="77777777" w:rsidR="00E52C20" w:rsidRDefault="00E52C20">
      <w:pPr>
        <w:ind w:left="709" w:right="900"/>
        <w:jc w:val="both"/>
        <w:rPr>
          <w:rFonts w:ascii="Palatino Linotype" w:eastAsia="Palatino Linotype" w:hAnsi="Palatino Linotype" w:cs="Palatino Linotype"/>
          <w:i/>
        </w:rPr>
      </w:pPr>
    </w:p>
    <w:p w14:paraId="3F07972C" w14:textId="77777777" w:rsidR="00E52C20" w:rsidRDefault="00BD10BA">
      <w:pPr>
        <w:ind w:left="709"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191.</w:t>
      </w:r>
      <w:r>
        <w:rPr>
          <w:rFonts w:ascii="Palatino Linotype" w:eastAsia="Palatino Linotype" w:hAnsi="Palatino Linotype" w:cs="Palatino Linotype"/>
          <w:i/>
        </w:rPr>
        <w:t xml:space="preserve"> El recurso será desechado por improcedente cuando: </w:t>
      </w:r>
    </w:p>
    <w:p w14:paraId="213F4DF3" w14:textId="77777777" w:rsidR="00E52C20" w:rsidRDefault="00BD10BA">
      <w:pPr>
        <w:spacing w:before="240" w:after="240" w:line="360" w:lineRule="auto"/>
        <w:ind w:left="360" w:firstLine="36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49E2A63" w14:textId="77777777" w:rsidR="00E52C20" w:rsidRDefault="00BD10BA">
      <w:pPr>
        <w:spacing w:before="240" w:after="240" w:line="360" w:lineRule="auto"/>
        <w:ind w:left="360" w:firstLine="360"/>
        <w:jc w:val="both"/>
        <w:rPr>
          <w:rFonts w:ascii="Palatino Linotype" w:eastAsia="Palatino Linotype" w:hAnsi="Palatino Linotype" w:cs="Palatino Linotype"/>
          <w:i/>
        </w:rPr>
      </w:pPr>
      <w:r>
        <w:rPr>
          <w:rFonts w:ascii="Palatino Linotype" w:eastAsia="Palatino Linotype" w:hAnsi="Palatino Linotype" w:cs="Palatino Linotype"/>
          <w:i/>
        </w:rPr>
        <w:t>III. No se actualice alguno de los supuestos previstos en la presente Ley;</w:t>
      </w:r>
    </w:p>
    <w:p w14:paraId="12CCD9E8" w14:textId="77777777" w:rsidR="00E52C20" w:rsidRDefault="00BD10BA">
      <w:pPr>
        <w:ind w:left="709"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7D046C3" w14:textId="77777777" w:rsidR="00E52C20" w:rsidRDefault="00E52C20">
      <w:pPr>
        <w:ind w:left="709" w:right="900"/>
        <w:jc w:val="both"/>
        <w:rPr>
          <w:rFonts w:ascii="Palatino Linotype" w:eastAsia="Palatino Linotype" w:hAnsi="Palatino Linotype" w:cs="Palatino Linotype"/>
          <w:b/>
          <w:i/>
        </w:rPr>
      </w:pPr>
    </w:p>
    <w:p w14:paraId="6C378A7E" w14:textId="77777777" w:rsidR="00E52C20" w:rsidRDefault="00BD10BA">
      <w:pPr>
        <w:ind w:left="709" w:right="900"/>
        <w:jc w:val="both"/>
        <w:rPr>
          <w:rFonts w:ascii="Palatino Linotype" w:eastAsia="Palatino Linotype" w:hAnsi="Palatino Linotype" w:cs="Palatino Linotype"/>
          <w:i/>
        </w:rPr>
      </w:pPr>
      <w:r>
        <w:rPr>
          <w:rFonts w:ascii="Palatino Linotype" w:eastAsia="Palatino Linotype" w:hAnsi="Palatino Linotype" w:cs="Palatino Linotype"/>
          <w:b/>
          <w:i/>
        </w:rPr>
        <w:t>Artículo 192.</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recurso será sobreseído</w:t>
      </w:r>
      <w:r>
        <w:rPr>
          <w:rFonts w:ascii="Palatino Linotype" w:eastAsia="Palatino Linotype" w:hAnsi="Palatino Linotype" w:cs="Palatino Linotype"/>
          <w:i/>
        </w:rPr>
        <w:t>, en todo o en parte, cuando una vez admitido, se actualicen alguno de los siguientes supuestos:</w:t>
      </w:r>
    </w:p>
    <w:p w14:paraId="29C8F3F1" w14:textId="77777777" w:rsidR="00E52C20" w:rsidRDefault="00E52C20">
      <w:pPr>
        <w:ind w:left="709" w:right="900"/>
        <w:jc w:val="both"/>
        <w:rPr>
          <w:rFonts w:ascii="Palatino Linotype" w:eastAsia="Palatino Linotype" w:hAnsi="Palatino Linotype" w:cs="Palatino Linotype"/>
          <w:i/>
        </w:rPr>
      </w:pPr>
    </w:p>
    <w:p w14:paraId="1D433B3F" w14:textId="77777777" w:rsidR="00E52C20" w:rsidRDefault="00BD10BA">
      <w:pPr>
        <w:ind w:left="709"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744996F" w14:textId="77777777" w:rsidR="00E52C20" w:rsidRDefault="00BD10BA">
      <w:pPr>
        <w:numPr>
          <w:ilvl w:val="0"/>
          <w:numId w:val="3"/>
        </w:numPr>
        <w:pBdr>
          <w:top w:val="nil"/>
          <w:left w:val="nil"/>
          <w:bottom w:val="nil"/>
          <w:right w:val="nil"/>
          <w:between w:val="nil"/>
        </w:pBdr>
        <w:spacing w:before="120" w:after="120" w:line="276" w:lineRule="auto"/>
        <w:jc w:val="both"/>
        <w:rPr>
          <w:rFonts w:ascii="Palatino Linotype" w:eastAsia="Palatino Linotype" w:hAnsi="Palatino Linotype" w:cs="Palatino Linotype"/>
          <w:b/>
          <w:i/>
          <w:color w:val="000000"/>
          <w:u w:val="single"/>
        </w:rPr>
      </w:pPr>
      <w:r>
        <w:rPr>
          <w:rFonts w:ascii="Palatino Linotype" w:eastAsia="Palatino Linotype" w:hAnsi="Palatino Linotype" w:cs="Palatino Linotype"/>
          <w:b/>
          <w:i/>
          <w:color w:val="000000"/>
          <w:u w:val="single"/>
        </w:rPr>
        <w:t>Admitido el recurso de revisión, aparezca alguna causal de improcedencia; y,</w:t>
      </w:r>
    </w:p>
    <w:p w14:paraId="5DBEFDFB" w14:textId="77777777" w:rsidR="00E52C20" w:rsidRDefault="00BD10BA">
      <w:pPr>
        <w:ind w:left="709" w:right="900"/>
        <w:jc w:val="both"/>
        <w:rPr>
          <w:rFonts w:ascii="Palatino Linotype" w:eastAsia="Palatino Linotype" w:hAnsi="Palatino Linotype" w:cs="Palatino Linotype"/>
          <w:i/>
        </w:rPr>
      </w:pPr>
      <w:r>
        <w:rPr>
          <w:rFonts w:ascii="Palatino Linotype" w:eastAsia="Palatino Linotype" w:hAnsi="Palatino Linotype" w:cs="Palatino Linotype"/>
          <w:i/>
        </w:rPr>
        <w:t>[…]</w:t>
      </w:r>
    </w:p>
    <w:p w14:paraId="03226B0B" w14:textId="77777777" w:rsidR="00E52C20" w:rsidRDefault="00E52C20">
      <w:pPr>
        <w:ind w:left="709" w:right="900"/>
        <w:jc w:val="both"/>
        <w:rPr>
          <w:rFonts w:ascii="Palatino Linotype" w:eastAsia="Palatino Linotype" w:hAnsi="Palatino Linotype" w:cs="Palatino Linotype"/>
          <w:i/>
        </w:rPr>
      </w:pPr>
    </w:p>
    <w:p w14:paraId="5A7124D7" w14:textId="77777777" w:rsidR="00E52C20" w:rsidRDefault="00BD10BA">
      <w:pPr>
        <w:ind w:left="709" w:right="900"/>
        <w:jc w:val="both"/>
        <w:rPr>
          <w:rFonts w:ascii="Palatino Linotype" w:eastAsia="Palatino Linotype" w:hAnsi="Palatino Linotype" w:cs="Palatino Linotype"/>
          <w:i/>
        </w:rPr>
      </w:pPr>
      <w:r>
        <w:rPr>
          <w:rFonts w:ascii="Palatino Linotype" w:eastAsia="Palatino Linotype" w:hAnsi="Palatino Linotype" w:cs="Palatino Linotype"/>
          <w:i/>
        </w:rPr>
        <w:t>(Énfasis añadido)</w:t>
      </w:r>
    </w:p>
    <w:p w14:paraId="419F2D84" w14:textId="77777777" w:rsidR="00E52C20" w:rsidRDefault="00E52C20">
      <w:pPr>
        <w:spacing w:line="360" w:lineRule="auto"/>
        <w:ind w:left="709" w:right="900"/>
        <w:jc w:val="both"/>
        <w:rPr>
          <w:rFonts w:ascii="Palatino Linotype" w:eastAsia="Palatino Linotype" w:hAnsi="Palatino Linotype" w:cs="Palatino Linotype"/>
          <w:i/>
        </w:rPr>
      </w:pPr>
    </w:p>
    <w:p w14:paraId="12A1F088" w14:textId="77777777" w:rsidR="00E52C20" w:rsidRDefault="00BD10B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Precepto normativo, que consagra la procedencia para sobreseer el recurso de revisión cuando una vez admitido aparezca una causal de improcedencia, circunstancia que aconteció y quedó claramente demostrada.</w:t>
      </w:r>
    </w:p>
    <w:p w14:paraId="69954122" w14:textId="77777777" w:rsidR="00E52C20" w:rsidRDefault="00E52C20">
      <w:pPr>
        <w:spacing w:line="360" w:lineRule="auto"/>
        <w:jc w:val="both"/>
        <w:rPr>
          <w:rFonts w:ascii="Palatino Linotype" w:eastAsia="Palatino Linotype" w:hAnsi="Palatino Linotype" w:cs="Palatino Linotype"/>
        </w:rPr>
      </w:pPr>
    </w:p>
    <w:p w14:paraId="1DF0AA3E" w14:textId="77777777" w:rsidR="00E52C20" w:rsidRDefault="00BD10BA">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tanto, resulta procedente SOBRESEER el presente Recurso de Revisión; pues se actualizó una causal de improcedencia; ya que de acuerdo a lo manifestado tanto en el desahogo de la aclaración, como en recurso de revisión, el particular pretende </w:t>
      </w:r>
      <w:r>
        <w:rPr>
          <w:rFonts w:ascii="Palatino Linotype" w:eastAsia="Palatino Linotype" w:hAnsi="Palatino Linotype" w:cs="Palatino Linotype"/>
        </w:rPr>
        <w:lastRenderedPageBreak/>
        <w:t xml:space="preserve">inconformarse al referir que ha habido incumplimiento por parte del SUJETO OBLIGADO respecto a lo mandatado por este Organismo Garante a un recurso de revisión diverso, lo cual no actualiza alguno de los supuestos previstos en el artículo 179 de la Ley. </w:t>
      </w:r>
    </w:p>
    <w:p w14:paraId="34BFCDC9" w14:textId="77777777" w:rsidR="00E52C20" w:rsidRDefault="00BD10B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de dar por concluido el recurso administrativo sin entrar al estudio de fondo del asunto de que se trate; lo anterior con apoyo en el criterio del Poder Judicial de la Federación con rubro:</w:t>
      </w:r>
    </w:p>
    <w:p w14:paraId="3D4679E0" w14:textId="77777777" w:rsidR="00E52C20" w:rsidRDefault="00BD10BA">
      <w:pPr>
        <w:ind w:left="851" w:right="851"/>
        <w:jc w:val="both"/>
        <w:rPr>
          <w:rFonts w:ascii="Palatino Linotype" w:eastAsia="Palatino Linotype" w:hAnsi="Palatino Linotype" w:cs="Palatino Linotype"/>
          <w:b/>
        </w:rPr>
      </w:pPr>
      <w:r>
        <w:rPr>
          <w:rFonts w:ascii="Palatino Linotype" w:eastAsia="Palatino Linotype" w:hAnsi="Palatino Linotype" w:cs="Palatino Linotype"/>
          <w:sz w:val="22"/>
          <w:szCs w:val="22"/>
        </w:rPr>
        <w:t>“</w:t>
      </w:r>
      <w:r>
        <w:rPr>
          <w:rFonts w:ascii="Palatino Linotype" w:eastAsia="Palatino Linotype" w:hAnsi="Palatino Linotype" w:cs="Palatino Linotype"/>
          <w:b/>
          <w:sz w:val="22"/>
          <w:szCs w:val="22"/>
        </w:rPr>
        <w:t>SOBRESEIMIENTO, NO PERMITE ENTRAR AL ESTUDIO DE LAS CUESTIONES DE FONDO</w:t>
      </w:r>
    </w:p>
    <w:p w14:paraId="53BE68C1" w14:textId="77777777" w:rsidR="00E52C20" w:rsidRDefault="00E52C20">
      <w:pPr>
        <w:ind w:left="851" w:right="851"/>
        <w:jc w:val="both"/>
        <w:rPr>
          <w:rFonts w:ascii="Palatino Linotype" w:eastAsia="Palatino Linotype" w:hAnsi="Palatino Linotype" w:cs="Palatino Linotype"/>
          <w:i/>
          <w:sz w:val="22"/>
          <w:szCs w:val="22"/>
        </w:rPr>
      </w:pPr>
    </w:p>
    <w:p w14:paraId="4AC5A0E9" w14:textId="77777777" w:rsidR="00E52C20" w:rsidRDefault="00BD10B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1ABADA98" w14:textId="77777777" w:rsidR="00E52C20" w:rsidRDefault="00BD10B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0D60CBCB" w14:textId="77777777" w:rsidR="00E52C20" w:rsidRDefault="00E52C20">
      <w:pPr>
        <w:ind w:left="851" w:right="851"/>
        <w:jc w:val="both"/>
        <w:rPr>
          <w:rFonts w:ascii="Palatino Linotype" w:eastAsia="Palatino Linotype" w:hAnsi="Palatino Linotype" w:cs="Palatino Linotype"/>
          <w:i/>
          <w:sz w:val="22"/>
          <w:szCs w:val="22"/>
        </w:rPr>
      </w:pPr>
    </w:p>
    <w:p w14:paraId="5576E4AA" w14:textId="77777777" w:rsidR="00E52C20" w:rsidRDefault="00E52C20">
      <w:pPr>
        <w:ind w:left="567" w:right="567"/>
        <w:jc w:val="both"/>
        <w:rPr>
          <w:rFonts w:ascii="Palatino Linotype" w:eastAsia="Palatino Linotype" w:hAnsi="Palatino Linotype" w:cs="Palatino Linotype"/>
          <w:i/>
          <w:sz w:val="22"/>
          <w:szCs w:val="22"/>
        </w:rPr>
      </w:pPr>
    </w:p>
    <w:p w14:paraId="4D2F3742" w14:textId="77777777" w:rsidR="00E52C20" w:rsidRDefault="00BD10BA">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2767AF3A" w14:textId="77777777" w:rsidR="00E52C20" w:rsidRDefault="00BD10BA">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rPr>
        <w:lastRenderedPageBreak/>
        <w:t xml:space="preserve">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DESECHAMIENTO O SOBRESEIMIENTO EN EL JUICIO DE AMPARO. NO IMPLICA DENEGACIÓN DE JUSTICIA NI GENERA INSEGURIDAD JURÍDICA”</w:t>
      </w:r>
    </w:p>
    <w:p w14:paraId="4FBA0C27" w14:textId="77777777" w:rsidR="00E52C20" w:rsidRDefault="00E52C20">
      <w:pPr>
        <w:ind w:left="851" w:right="851"/>
        <w:jc w:val="both"/>
        <w:rPr>
          <w:rFonts w:ascii="Palatino Linotype" w:eastAsia="Palatino Linotype" w:hAnsi="Palatino Linotype" w:cs="Palatino Linotype"/>
          <w:i/>
          <w:sz w:val="22"/>
          <w:szCs w:val="22"/>
        </w:rPr>
      </w:pPr>
    </w:p>
    <w:p w14:paraId="2F7103F8" w14:textId="77777777" w:rsidR="00E52C20" w:rsidRDefault="00BD10BA">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1DB205BB" w14:textId="77777777" w:rsidR="00E52C20" w:rsidRDefault="00BD10BA">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párrafos </w:t>
      </w:r>
      <w:r>
        <w:rPr>
          <w:rFonts w:ascii="Palatino Linotype" w:eastAsia="Palatino Linotype" w:hAnsi="Palatino Linotype" w:cs="Palatino Linotype"/>
          <w:highlight w:val="white"/>
        </w:rPr>
        <w:t>trigésimo, trigésimo primero y trigésimo segundo</w:t>
      </w:r>
      <w:r>
        <w:rPr>
          <w:rFonts w:ascii="Palatino Linotype" w:eastAsia="Palatino Linotype" w:hAnsi="Palatino Linotype" w:cs="Palatino Linotype"/>
        </w:rPr>
        <w:t xml:space="preserve"> de la Constitución Política del Estado Libre y Soberano de México; 2, fracción II; 29, 36 fracciones I y II; 176, 178, 179, fracción I, 181, 185, </w:t>
      </w:r>
      <w:r>
        <w:rPr>
          <w:color w:val="000000"/>
        </w:rPr>
        <w:t xml:space="preserve">186, fracción I y 192, fracción </w:t>
      </w:r>
      <w:r>
        <w:t>IV</w:t>
      </w:r>
      <w:r>
        <w:rPr>
          <w:color w:val="000000"/>
        </w:rPr>
        <w:t xml:space="preserve">, </w:t>
      </w:r>
      <w:r>
        <w:rPr>
          <w:rFonts w:ascii="Palatino Linotype" w:eastAsia="Palatino Linotype" w:hAnsi="Palatino Linotype" w:cs="Palatino Linotype"/>
        </w:rPr>
        <w:t>de la Ley de Transparencia y Acceso a la Información Pública del Estado de México y Municipios, este Pleno:</w:t>
      </w:r>
    </w:p>
    <w:p w14:paraId="51929918" w14:textId="77777777" w:rsidR="00E52C20" w:rsidRDefault="00BD10BA">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00081679" w14:textId="77777777" w:rsidR="00E52C20" w:rsidRDefault="00BD10BA">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PRIMERO</w:t>
      </w:r>
      <w:r>
        <w:rPr>
          <w:rFonts w:ascii="Palatino Linotype" w:eastAsia="Palatino Linotype" w:hAnsi="Palatino Linotype" w:cs="Palatino Linotype"/>
          <w:highlight w:val="white"/>
        </w:rPr>
        <w:t xml:space="preserve">. Se </w:t>
      </w:r>
      <w:r>
        <w:rPr>
          <w:rFonts w:ascii="Palatino Linotype" w:eastAsia="Palatino Linotype" w:hAnsi="Palatino Linotype" w:cs="Palatino Linotype"/>
          <w:b/>
          <w:highlight w:val="white"/>
        </w:rPr>
        <w:t>SOBRESEE</w:t>
      </w:r>
      <w:r>
        <w:rPr>
          <w:rFonts w:ascii="Palatino Linotype" w:eastAsia="Palatino Linotype" w:hAnsi="Palatino Linotype" w:cs="Palatino Linotype"/>
          <w:highlight w:val="white"/>
        </w:rPr>
        <w:t xml:space="preserve"> el recurso de revisión </w:t>
      </w:r>
      <w:r>
        <w:rPr>
          <w:rFonts w:ascii="Palatino Linotype" w:eastAsia="Palatino Linotype" w:hAnsi="Palatino Linotype" w:cs="Palatino Linotype"/>
          <w:b/>
          <w:highlight w:val="white"/>
        </w:rPr>
        <w:t>05459/INFOEM/IP/RR/2021</w:t>
      </w:r>
      <w:r>
        <w:rPr>
          <w:rFonts w:ascii="Palatino Linotype" w:eastAsia="Palatino Linotype" w:hAnsi="Palatino Linotype" w:cs="Palatino Linotype"/>
          <w:highlight w:val="white"/>
        </w:rPr>
        <w:t xml:space="preserve">, por actualizarse la causal de improcedencia establecida en la fracción III del artículo 191, de la Ley de Transparencia y Acceso a la Información Pública del Estado de México y Municipios, en términos de lo expuesto en el Considerando </w:t>
      </w:r>
      <w:r>
        <w:rPr>
          <w:rFonts w:ascii="Palatino Linotype" w:eastAsia="Palatino Linotype" w:hAnsi="Palatino Linotype" w:cs="Palatino Linotype"/>
          <w:b/>
          <w:highlight w:val="white"/>
        </w:rPr>
        <w:t xml:space="preserve">Tercero y Cuarto </w:t>
      </w:r>
      <w:r>
        <w:rPr>
          <w:rFonts w:ascii="Palatino Linotype" w:eastAsia="Palatino Linotype" w:hAnsi="Palatino Linotype" w:cs="Palatino Linotype"/>
          <w:highlight w:val="white"/>
        </w:rPr>
        <w:t>de la presente resolución.</w:t>
      </w:r>
    </w:p>
    <w:p w14:paraId="5152D0E2" w14:textId="77777777" w:rsidR="00E52C20" w:rsidRDefault="00BD10BA">
      <w:pPr>
        <w:tabs>
          <w:tab w:val="left" w:pos="8647"/>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sz w:val="28"/>
          <w:szCs w:val="28"/>
        </w:rPr>
        <w:lastRenderedPageBreak/>
        <w:t>SEGUNDO</w:t>
      </w:r>
      <w:r>
        <w:rPr>
          <w:rFonts w:ascii="Palatino Linotype" w:eastAsia="Palatino Linotype" w:hAnsi="Palatino Linotype" w:cs="Palatino Linotype"/>
          <w:b/>
        </w:rPr>
        <w:t>.</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vía </w:t>
      </w:r>
      <w:r>
        <w:rPr>
          <w:rFonts w:ascii="Palatino Linotype" w:eastAsia="Palatino Linotype" w:hAnsi="Palatino Linotype" w:cs="Palatino Linotype"/>
          <w:b/>
        </w:rPr>
        <w:t xml:space="preserve">SAIMEX </w:t>
      </w:r>
      <w:r>
        <w:rPr>
          <w:rFonts w:ascii="Palatino Linotype" w:eastAsia="Palatino Linotype" w:hAnsi="Palatino Linotype" w:cs="Palatino Linotype"/>
        </w:rPr>
        <w:t xml:space="preserve">la presente resolución a la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14:paraId="71245F64" w14:textId="77777777" w:rsidR="00E52C20" w:rsidRDefault="00E52C20">
      <w:pPr>
        <w:tabs>
          <w:tab w:val="left" w:pos="8647"/>
        </w:tabs>
        <w:spacing w:line="360" w:lineRule="auto"/>
        <w:ind w:right="51"/>
        <w:jc w:val="both"/>
        <w:rPr>
          <w:rFonts w:ascii="Palatino Linotype" w:eastAsia="Palatino Linotype" w:hAnsi="Palatino Linotype" w:cs="Palatino Linotype"/>
        </w:rPr>
      </w:pPr>
    </w:p>
    <w:p w14:paraId="1B6C7F62" w14:textId="77777777" w:rsidR="00E52C20" w:rsidRDefault="00BD10BA">
      <w:pPr>
        <w:tabs>
          <w:tab w:val="left" w:pos="8647"/>
        </w:tabs>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TERCERO. Notifíquese, vía SAIMEX al RECURRENTE</w:t>
      </w:r>
      <w:r>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C5F966A" w14:textId="77777777" w:rsidR="00E52C20" w:rsidRDefault="00E52C20">
      <w:pPr>
        <w:tabs>
          <w:tab w:val="left" w:pos="8647"/>
        </w:tabs>
        <w:spacing w:line="360" w:lineRule="auto"/>
        <w:ind w:right="51"/>
        <w:jc w:val="both"/>
        <w:rPr>
          <w:rFonts w:ascii="Palatino Linotype" w:eastAsia="Palatino Linotype" w:hAnsi="Palatino Linotype" w:cs="Palatino Linotype"/>
        </w:rPr>
      </w:pPr>
    </w:p>
    <w:p w14:paraId="6A1A22BE" w14:textId="77777777" w:rsidR="00E52C20" w:rsidRPr="00607694" w:rsidRDefault="00BD10BA">
      <w:pPr>
        <w:spacing w:line="360" w:lineRule="auto"/>
        <w:jc w:val="both"/>
        <w:rPr>
          <w:rFonts w:ascii="Palatino Linotype" w:hAnsi="Palatino Linotype"/>
        </w:rPr>
      </w:pPr>
      <w:bookmarkStart w:id="2" w:name="_heading=h.30j0zll" w:colFirst="0" w:colLast="0"/>
      <w:bookmarkEnd w:id="2"/>
      <w:r w:rsidRPr="0060769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CUARTA SE</w:t>
      </w:r>
      <w:r w:rsidR="00607694">
        <w:rPr>
          <w:rFonts w:ascii="Palatino Linotype" w:hAnsi="Palatino Linotype"/>
        </w:rPr>
        <w:t>SIÓN ORDINARIA, CELEBRADA EL CUATRO</w:t>
      </w:r>
      <w:r w:rsidRPr="00607694">
        <w:rPr>
          <w:rFonts w:ascii="Palatino Linotype" w:hAnsi="Palatino Linotype"/>
        </w:rPr>
        <w:t xml:space="preserve"> DE FEBRERO DE DOS MIL VEINTIDÓS ANTE EL SECRETARIO TÉCNICO DEL PLENO ALEXIS TAPIA RAMÍREZ.</w:t>
      </w:r>
    </w:p>
    <w:p w14:paraId="07B3C2BF" w14:textId="77777777" w:rsidR="005E5012" w:rsidRDefault="005E5012">
      <w:r w:rsidRPr="00607694">
        <w:rPr>
          <w:rFonts w:ascii="Palatino Linotype" w:hAnsi="Palatino Linotype"/>
        </w:rPr>
        <w:br w:type="page"/>
      </w:r>
    </w:p>
    <w:p w14:paraId="1642C632" w14:textId="77777777" w:rsidR="005E5012" w:rsidRDefault="005E5012">
      <w:pPr>
        <w:spacing w:line="360" w:lineRule="auto"/>
        <w:sectPr w:rsidR="005E5012">
          <w:headerReference w:type="default" r:id="rId15"/>
          <w:footerReference w:type="default" r:id="rId16"/>
          <w:headerReference w:type="first" r:id="rId17"/>
          <w:footerReference w:type="first" r:id="rId18"/>
          <w:pgSz w:w="12240" w:h="15840"/>
          <w:pgMar w:top="1418" w:right="1701" w:bottom="1418" w:left="1701" w:header="709" w:footer="709" w:gutter="0"/>
          <w:pgNumType w:start="1"/>
          <w:cols w:space="720"/>
          <w:titlePg/>
        </w:sectPr>
      </w:pPr>
    </w:p>
    <w:p w14:paraId="1ABA3778" w14:textId="77777777" w:rsidR="00E52C20" w:rsidRDefault="00E52C20">
      <w:pPr>
        <w:spacing w:line="360" w:lineRule="auto"/>
      </w:pPr>
    </w:p>
    <w:p w14:paraId="74EEBF1F" w14:textId="77777777" w:rsidR="00E52C20" w:rsidRDefault="00E52C20">
      <w:pPr>
        <w:spacing w:before="240" w:after="240" w:line="360" w:lineRule="auto"/>
        <w:jc w:val="both"/>
        <w:rPr>
          <w:rFonts w:ascii="Palatino Linotype" w:eastAsia="Palatino Linotype" w:hAnsi="Palatino Linotype" w:cs="Palatino Linotype"/>
        </w:rPr>
      </w:pPr>
    </w:p>
    <w:p w14:paraId="062701E0" w14:textId="77777777" w:rsidR="00E52C20" w:rsidRDefault="00E52C20">
      <w:pPr>
        <w:spacing w:before="240" w:after="240" w:line="360" w:lineRule="auto"/>
        <w:jc w:val="both"/>
        <w:rPr>
          <w:rFonts w:ascii="Palatino Linotype" w:eastAsia="Palatino Linotype" w:hAnsi="Palatino Linotype" w:cs="Palatino Linotype"/>
        </w:rPr>
      </w:pPr>
    </w:p>
    <w:p w14:paraId="217F9A5C" w14:textId="77777777" w:rsidR="00E52C20" w:rsidRDefault="00E52C20">
      <w:pPr>
        <w:spacing w:before="240" w:after="240" w:line="360" w:lineRule="auto"/>
        <w:jc w:val="both"/>
        <w:rPr>
          <w:rFonts w:ascii="Palatino Linotype" w:eastAsia="Palatino Linotype" w:hAnsi="Palatino Linotype" w:cs="Palatino Linotype"/>
        </w:rPr>
      </w:pPr>
    </w:p>
    <w:p w14:paraId="375186CD" w14:textId="77777777" w:rsidR="00E52C20" w:rsidRDefault="00E52C20">
      <w:pPr>
        <w:spacing w:before="240" w:after="240" w:line="360" w:lineRule="auto"/>
        <w:jc w:val="both"/>
        <w:rPr>
          <w:rFonts w:ascii="Palatino Linotype" w:eastAsia="Palatino Linotype" w:hAnsi="Palatino Linotype" w:cs="Palatino Linotype"/>
        </w:rPr>
      </w:pPr>
    </w:p>
    <w:p w14:paraId="4DAD35F9" w14:textId="77777777" w:rsidR="00E52C20" w:rsidRDefault="00BD10BA">
      <w:pPr>
        <w:tabs>
          <w:tab w:val="left" w:pos="5565"/>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sectPr w:rsidR="00E52C20">
      <w:headerReference w:type="first" r:id="rId19"/>
      <w:pgSz w:w="12240" w:h="15840"/>
      <w:pgMar w:top="1418"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AE5EA5" w14:textId="77777777" w:rsidR="00667EB4" w:rsidRDefault="00667EB4">
      <w:r>
        <w:separator/>
      </w:r>
    </w:p>
  </w:endnote>
  <w:endnote w:type="continuationSeparator" w:id="0">
    <w:p w14:paraId="6291A124" w14:textId="77777777" w:rsidR="00667EB4" w:rsidRDefault="00667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84B91" w14:textId="579FB7E0" w:rsidR="00E52C20" w:rsidRDefault="00BD10B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139AF">
      <w:rPr>
        <w:rFonts w:ascii="Arial" w:eastAsia="Arial" w:hAnsi="Arial" w:cs="Arial"/>
        <w:b/>
        <w:noProof/>
        <w:color w:val="000000"/>
        <w:sz w:val="20"/>
        <w:szCs w:val="20"/>
      </w:rPr>
      <w:t>12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139AF">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14:paraId="4457E473" w14:textId="77777777" w:rsidR="00E52C20" w:rsidRDefault="00E52C20">
    <w:pPr>
      <w:pBdr>
        <w:top w:val="nil"/>
        <w:left w:val="nil"/>
        <w:bottom w:val="nil"/>
        <w:right w:val="nil"/>
        <w:between w:val="nil"/>
      </w:pBdr>
      <w:tabs>
        <w:tab w:val="center" w:pos="4252"/>
        <w:tab w:val="right" w:pos="8504"/>
      </w:tabs>
      <w:rPr>
        <w:color w:val="000000"/>
      </w:rPr>
    </w:pPr>
  </w:p>
  <w:p w14:paraId="7AE3E365" w14:textId="77777777" w:rsidR="00E52C20" w:rsidRDefault="00E52C2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76182" w14:textId="22C2622E" w:rsidR="00E52C20" w:rsidRDefault="00BD10B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sidR="00297C69">
      <w:rPr>
        <w:rFonts w:ascii="Arial" w:eastAsia="Arial" w:hAnsi="Arial" w:cs="Arial"/>
        <w:b/>
        <w:color w:val="000000"/>
        <w:sz w:val="20"/>
        <w:szCs w:val="20"/>
      </w:rPr>
      <w:t>22</w:t>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139AF">
      <w:rPr>
        <w:rFonts w:ascii="Arial" w:eastAsia="Arial" w:hAnsi="Arial" w:cs="Arial"/>
        <w:b/>
        <w:noProof/>
        <w:color w:val="000000"/>
        <w:sz w:val="20"/>
        <w:szCs w:val="20"/>
      </w:rPr>
      <w:t>22</w:t>
    </w:r>
    <w:r>
      <w:rPr>
        <w:rFonts w:ascii="Arial" w:eastAsia="Arial" w:hAnsi="Arial" w:cs="Arial"/>
        <w:b/>
        <w:color w:val="000000"/>
        <w:sz w:val="20"/>
        <w:szCs w:val="20"/>
      </w:rPr>
      <w:fldChar w:fldCharType="end"/>
    </w:r>
  </w:p>
  <w:p w14:paraId="447494EA" w14:textId="77777777" w:rsidR="00E52C20" w:rsidRDefault="00E52C2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BBB58" w14:textId="77777777" w:rsidR="00667EB4" w:rsidRDefault="00667EB4">
      <w:r>
        <w:separator/>
      </w:r>
    </w:p>
  </w:footnote>
  <w:footnote w:type="continuationSeparator" w:id="0">
    <w:p w14:paraId="1C9DB6C7" w14:textId="77777777" w:rsidR="00667EB4" w:rsidRDefault="00667E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45DBC" w14:textId="77777777" w:rsidR="00E52C20" w:rsidRDefault="00E52C20">
    <w:pPr>
      <w:widowControl w:val="0"/>
      <w:pBdr>
        <w:top w:val="nil"/>
        <w:left w:val="nil"/>
        <w:bottom w:val="nil"/>
        <w:right w:val="nil"/>
        <w:between w:val="nil"/>
      </w:pBdr>
      <w:spacing w:line="276" w:lineRule="auto"/>
      <w:rPr>
        <w:rFonts w:ascii="Cambria" w:eastAsia="Cambria" w:hAnsi="Cambria" w:cs="Cambria"/>
        <w:color w:val="000000"/>
      </w:rPr>
    </w:pPr>
  </w:p>
  <w:tbl>
    <w:tblPr>
      <w:tblStyle w:val="a2"/>
      <w:tblW w:w="6240" w:type="dxa"/>
      <w:tblInd w:w="3746" w:type="dxa"/>
      <w:tblLayout w:type="fixed"/>
      <w:tblLook w:val="0400" w:firstRow="0" w:lastRow="0" w:firstColumn="0" w:lastColumn="0" w:noHBand="0" w:noVBand="1"/>
    </w:tblPr>
    <w:tblGrid>
      <w:gridCol w:w="2553"/>
      <w:gridCol w:w="3687"/>
    </w:tblGrid>
    <w:tr w:rsidR="00E52C20" w14:paraId="509D17CF" w14:textId="77777777">
      <w:tc>
        <w:tcPr>
          <w:tcW w:w="2553" w:type="dxa"/>
          <w:vAlign w:val="center"/>
        </w:tcPr>
        <w:p w14:paraId="2FDCCF83" w14:textId="77777777" w:rsidR="00E52C20" w:rsidRDefault="00BD10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511A2BD" w14:textId="77777777" w:rsidR="00E52C20" w:rsidRDefault="00BD10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05459/INFOEM/IP/RR/2021</w:t>
          </w:r>
        </w:p>
      </w:tc>
    </w:tr>
    <w:tr w:rsidR="00E52C20" w14:paraId="6BAEBAF0" w14:textId="77777777">
      <w:trPr>
        <w:trHeight w:val="228"/>
      </w:trPr>
      <w:tc>
        <w:tcPr>
          <w:tcW w:w="2553" w:type="dxa"/>
          <w:vAlign w:val="center"/>
        </w:tcPr>
        <w:p w14:paraId="35A7304C" w14:textId="77777777" w:rsidR="00E52C20" w:rsidRDefault="00BD10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69F4B41D" w14:textId="77777777" w:rsidR="00E52C20" w:rsidRDefault="00BD10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Sistema de Transporte Masivo y Teleférico del Estado de México </w:t>
          </w:r>
        </w:p>
      </w:tc>
    </w:tr>
    <w:tr w:rsidR="00E52C20" w14:paraId="10AFCE2B" w14:textId="77777777">
      <w:tc>
        <w:tcPr>
          <w:tcW w:w="2553" w:type="dxa"/>
          <w:vAlign w:val="center"/>
        </w:tcPr>
        <w:p w14:paraId="29467370" w14:textId="77777777" w:rsidR="00E52C20" w:rsidRDefault="00BD10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0EC7590C" w14:textId="77777777" w:rsidR="00E52C20" w:rsidRDefault="00BD10B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8512ED" w14:textId="77777777" w:rsidR="00E52C20" w:rsidRDefault="00BD10B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419" w:eastAsia="es-419"/>
      </w:rPr>
      <w:drawing>
        <wp:anchor distT="0" distB="0" distL="0" distR="0" simplePos="0" relativeHeight="251658240" behindDoc="1" locked="0" layoutInCell="1" hidden="0" allowOverlap="1" wp14:anchorId="0BCE9718" wp14:editId="0F872733">
          <wp:simplePos x="0" y="0"/>
          <wp:positionH relativeFrom="column">
            <wp:posOffset>-1028698</wp:posOffset>
          </wp:positionH>
          <wp:positionV relativeFrom="paragraph">
            <wp:posOffset>-1027427</wp:posOffset>
          </wp:positionV>
          <wp:extent cx="7635875" cy="994346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p w14:paraId="6333D6A0" w14:textId="77777777" w:rsidR="00E52C20" w:rsidRDefault="00E52C20">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E4B14" w14:textId="77777777" w:rsidR="00E52C20" w:rsidRDefault="00BD10B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419" w:eastAsia="es-419"/>
      </w:rPr>
      <w:drawing>
        <wp:anchor distT="0" distB="0" distL="0" distR="0" simplePos="0" relativeHeight="251659264" behindDoc="1" locked="0" layoutInCell="1" hidden="0" allowOverlap="1" wp14:anchorId="4EF77AD6" wp14:editId="07303D23">
          <wp:simplePos x="0" y="0"/>
          <wp:positionH relativeFrom="column">
            <wp:posOffset>-1098549</wp:posOffset>
          </wp:positionH>
          <wp:positionV relativeFrom="paragraph">
            <wp:posOffset>-419734</wp:posOffset>
          </wp:positionV>
          <wp:extent cx="7635875" cy="9943465"/>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1"/>
      <w:tblW w:w="6240" w:type="dxa"/>
      <w:tblInd w:w="3685" w:type="dxa"/>
      <w:tblLayout w:type="fixed"/>
      <w:tblLook w:val="0400" w:firstRow="0" w:lastRow="0" w:firstColumn="0" w:lastColumn="0" w:noHBand="0" w:noVBand="1"/>
    </w:tblPr>
    <w:tblGrid>
      <w:gridCol w:w="2553"/>
      <w:gridCol w:w="3687"/>
    </w:tblGrid>
    <w:tr w:rsidR="00E52C20" w14:paraId="7373E33E" w14:textId="77777777">
      <w:tc>
        <w:tcPr>
          <w:tcW w:w="2553" w:type="dxa"/>
          <w:vAlign w:val="center"/>
        </w:tcPr>
        <w:p w14:paraId="2EA31ABB" w14:textId="77777777" w:rsidR="00E52C20" w:rsidRDefault="00BD10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24530F4" w14:textId="77777777" w:rsidR="00E52C20" w:rsidRDefault="00BD10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05459/INFOEM/IP/RR/2021</w:t>
          </w:r>
        </w:p>
      </w:tc>
    </w:tr>
    <w:tr w:rsidR="00E52C20" w14:paraId="73651F98" w14:textId="77777777">
      <w:tc>
        <w:tcPr>
          <w:tcW w:w="2553" w:type="dxa"/>
          <w:vAlign w:val="center"/>
        </w:tcPr>
        <w:p w14:paraId="3FE1C33A" w14:textId="77777777" w:rsidR="00E52C20" w:rsidRDefault="00BD10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Recurrente: </w:t>
          </w:r>
        </w:p>
      </w:tc>
      <w:tc>
        <w:tcPr>
          <w:tcW w:w="3687" w:type="dxa"/>
          <w:vAlign w:val="center"/>
        </w:tcPr>
        <w:p w14:paraId="530B4BBB" w14:textId="4AB421A8" w:rsidR="00E52C20" w:rsidRDefault="007522C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 XXXXXXXXXXXXXXXXXXX</w:t>
          </w:r>
        </w:p>
      </w:tc>
    </w:tr>
    <w:tr w:rsidR="00E52C20" w14:paraId="60ADD791" w14:textId="77777777">
      <w:trPr>
        <w:trHeight w:val="228"/>
      </w:trPr>
      <w:tc>
        <w:tcPr>
          <w:tcW w:w="2553" w:type="dxa"/>
          <w:vAlign w:val="center"/>
        </w:tcPr>
        <w:p w14:paraId="097A022F" w14:textId="77777777" w:rsidR="00E52C20" w:rsidRDefault="00BD10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Sujeto Obligado: </w:t>
          </w:r>
        </w:p>
      </w:tc>
      <w:tc>
        <w:tcPr>
          <w:tcW w:w="3687" w:type="dxa"/>
          <w:vAlign w:val="center"/>
        </w:tcPr>
        <w:p w14:paraId="28B27135" w14:textId="77777777" w:rsidR="00E52C20" w:rsidRDefault="00BD10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Sistema de Transporte Masivo y Teleférico del Estado de México </w:t>
          </w:r>
        </w:p>
      </w:tc>
    </w:tr>
    <w:tr w:rsidR="00E52C20" w14:paraId="2F1702A7" w14:textId="77777777">
      <w:tc>
        <w:tcPr>
          <w:tcW w:w="2553" w:type="dxa"/>
          <w:vAlign w:val="center"/>
        </w:tcPr>
        <w:p w14:paraId="0833C34D" w14:textId="77777777" w:rsidR="00E52C20" w:rsidRDefault="00BD10B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44D80A7C" w14:textId="77777777" w:rsidR="00E52C20" w:rsidRDefault="00BD10B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0CD7EB6" w14:textId="77777777" w:rsidR="00E52C20" w:rsidRDefault="00E52C2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48111" w14:textId="77777777" w:rsidR="005E5012" w:rsidRDefault="005E5012">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tbl>
    <w:tblPr>
      <w:tblStyle w:val="a1"/>
      <w:tblW w:w="6240" w:type="dxa"/>
      <w:tblInd w:w="3685" w:type="dxa"/>
      <w:tblLayout w:type="fixed"/>
      <w:tblLook w:val="0400" w:firstRow="0" w:lastRow="0" w:firstColumn="0" w:lastColumn="0" w:noHBand="0" w:noVBand="1"/>
    </w:tblPr>
    <w:tblGrid>
      <w:gridCol w:w="2553"/>
      <w:gridCol w:w="3687"/>
    </w:tblGrid>
    <w:tr w:rsidR="005E5012" w14:paraId="30479944" w14:textId="77777777">
      <w:tc>
        <w:tcPr>
          <w:tcW w:w="2553" w:type="dxa"/>
          <w:vAlign w:val="center"/>
        </w:tcPr>
        <w:p w14:paraId="6BE845A3" w14:textId="77777777" w:rsidR="005E5012" w:rsidRDefault="005E5012">
          <w:pPr>
            <w:rPr>
              <w:rFonts w:ascii="Palatino Linotype" w:eastAsia="Palatino Linotype" w:hAnsi="Palatino Linotype" w:cs="Palatino Linotype"/>
              <w:b/>
              <w:sz w:val="22"/>
              <w:szCs w:val="22"/>
            </w:rPr>
          </w:pPr>
        </w:p>
      </w:tc>
      <w:tc>
        <w:tcPr>
          <w:tcW w:w="3687" w:type="dxa"/>
          <w:vAlign w:val="center"/>
        </w:tcPr>
        <w:p w14:paraId="48C45D99" w14:textId="77777777" w:rsidR="005E5012" w:rsidRDefault="005E5012">
          <w:pPr>
            <w:rPr>
              <w:rFonts w:ascii="Palatino Linotype" w:eastAsia="Palatino Linotype" w:hAnsi="Palatino Linotype" w:cs="Palatino Linotype"/>
              <w:b/>
              <w:sz w:val="22"/>
              <w:szCs w:val="22"/>
            </w:rPr>
          </w:pPr>
        </w:p>
      </w:tc>
    </w:tr>
    <w:tr w:rsidR="005E5012" w14:paraId="4E9865A3" w14:textId="77777777">
      <w:tc>
        <w:tcPr>
          <w:tcW w:w="2553" w:type="dxa"/>
          <w:vAlign w:val="center"/>
        </w:tcPr>
        <w:p w14:paraId="45CF81A5" w14:textId="77777777" w:rsidR="005E5012" w:rsidRDefault="005E5012">
          <w:pPr>
            <w:rPr>
              <w:rFonts w:ascii="Palatino Linotype" w:eastAsia="Palatino Linotype" w:hAnsi="Palatino Linotype" w:cs="Palatino Linotype"/>
              <w:b/>
              <w:sz w:val="22"/>
              <w:szCs w:val="22"/>
            </w:rPr>
          </w:pPr>
        </w:p>
      </w:tc>
      <w:tc>
        <w:tcPr>
          <w:tcW w:w="3687" w:type="dxa"/>
          <w:vAlign w:val="center"/>
        </w:tcPr>
        <w:p w14:paraId="44AD7CC5" w14:textId="77777777" w:rsidR="005E5012" w:rsidRDefault="005E5012">
          <w:pPr>
            <w:rPr>
              <w:rFonts w:ascii="Palatino Linotype" w:eastAsia="Palatino Linotype" w:hAnsi="Palatino Linotype" w:cs="Palatino Linotype"/>
              <w:b/>
              <w:sz w:val="22"/>
              <w:szCs w:val="22"/>
            </w:rPr>
          </w:pPr>
        </w:p>
      </w:tc>
    </w:tr>
    <w:tr w:rsidR="005E5012" w14:paraId="5BD47504" w14:textId="77777777">
      <w:trPr>
        <w:trHeight w:val="228"/>
      </w:trPr>
      <w:tc>
        <w:tcPr>
          <w:tcW w:w="2553" w:type="dxa"/>
          <w:vAlign w:val="center"/>
        </w:tcPr>
        <w:p w14:paraId="477FF069" w14:textId="77777777" w:rsidR="005E5012" w:rsidRDefault="005E5012">
          <w:pPr>
            <w:rPr>
              <w:rFonts w:ascii="Palatino Linotype" w:eastAsia="Palatino Linotype" w:hAnsi="Palatino Linotype" w:cs="Palatino Linotype"/>
              <w:b/>
              <w:sz w:val="22"/>
              <w:szCs w:val="22"/>
            </w:rPr>
          </w:pPr>
        </w:p>
      </w:tc>
      <w:tc>
        <w:tcPr>
          <w:tcW w:w="3687" w:type="dxa"/>
          <w:vAlign w:val="center"/>
        </w:tcPr>
        <w:p w14:paraId="1236CFF4" w14:textId="77777777" w:rsidR="005E5012" w:rsidRDefault="005E5012">
          <w:pPr>
            <w:rPr>
              <w:rFonts w:ascii="Palatino Linotype" w:eastAsia="Palatino Linotype" w:hAnsi="Palatino Linotype" w:cs="Palatino Linotype"/>
              <w:b/>
              <w:sz w:val="22"/>
              <w:szCs w:val="22"/>
            </w:rPr>
          </w:pPr>
        </w:p>
      </w:tc>
    </w:tr>
    <w:tr w:rsidR="005E5012" w14:paraId="57C43982" w14:textId="77777777">
      <w:tc>
        <w:tcPr>
          <w:tcW w:w="2553" w:type="dxa"/>
          <w:vAlign w:val="center"/>
        </w:tcPr>
        <w:p w14:paraId="009A0F32" w14:textId="77777777" w:rsidR="005E5012" w:rsidRDefault="005E5012">
          <w:pPr>
            <w:rPr>
              <w:rFonts w:ascii="Palatino Linotype" w:eastAsia="Palatino Linotype" w:hAnsi="Palatino Linotype" w:cs="Palatino Linotype"/>
              <w:b/>
              <w:sz w:val="22"/>
              <w:szCs w:val="22"/>
            </w:rPr>
          </w:pPr>
        </w:p>
      </w:tc>
      <w:tc>
        <w:tcPr>
          <w:tcW w:w="3687" w:type="dxa"/>
          <w:vAlign w:val="center"/>
        </w:tcPr>
        <w:p w14:paraId="3145A47E" w14:textId="77777777" w:rsidR="005E5012" w:rsidRDefault="005E5012">
          <w:pPr>
            <w:ind w:right="-533"/>
            <w:rPr>
              <w:rFonts w:ascii="Palatino Linotype" w:eastAsia="Palatino Linotype" w:hAnsi="Palatino Linotype" w:cs="Palatino Linotype"/>
              <w:b/>
              <w:sz w:val="22"/>
              <w:szCs w:val="22"/>
            </w:rPr>
          </w:pPr>
        </w:p>
      </w:tc>
    </w:tr>
  </w:tbl>
  <w:p w14:paraId="1DDF1D5D" w14:textId="77777777" w:rsidR="005E5012" w:rsidRDefault="005E5012">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508B0"/>
    <w:multiLevelType w:val="multilevel"/>
    <w:tmpl w:val="EF121AAC"/>
    <w:lvl w:ilvl="0">
      <w:start w:val="1"/>
      <w:numFmt w:val="upperRoman"/>
      <w:lvlText w:val="%1."/>
      <w:lvlJc w:val="left"/>
      <w:pPr>
        <w:ind w:left="1668" w:hanging="719"/>
      </w:pPr>
    </w:lvl>
    <w:lvl w:ilvl="1">
      <w:start w:val="1"/>
      <w:numFmt w:val="lowerLetter"/>
      <w:lvlText w:val="%2."/>
      <w:lvlJc w:val="left"/>
      <w:pPr>
        <w:ind w:left="2028" w:hanging="360"/>
      </w:pPr>
    </w:lvl>
    <w:lvl w:ilvl="2">
      <w:start w:val="1"/>
      <w:numFmt w:val="lowerRoman"/>
      <w:lvlText w:val="%3."/>
      <w:lvlJc w:val="right"/>
      <w:pPr>
        <w:ind w:left="2748" w:hanging="180"/>
      </w:pPr>
    </w:lvl>
    <w:lvl w:ilvl="3">
      <w:start w:val="1"/>
      <w:numFmt w:val="decimal"/>
      <w:lvlText w:val="%4."/>
      <w:lvlJc w:val="left"/>
      <w:pPr>
        <w:ind w:left="3468" w:hanging="360"/>
      </w:pPr>
    </w:lvl>
    <w:lvl w:ilvl="4">
      <w:start w:val="1"/>
      <w:numFmt w:val="lowerLetter"/>
      <w:lvlText w:val="%5."/>
      <w:lvlJc w:val="left"/>
      <w:pPr>
        <w:ind w:left="4188" w:hanging="360"/>
      </w:pPr>
    </w:lvl>
    <w:lvl w:ilvl="5">
      <w:start w:val="1"/>
      <w:numFmt w:val="lowerRoman"/>
      <w:lvlText w:val="%6."/>
      <w:lvlJc w:val="right"/>
      <w:pPr>
        <w:ind w:left="4908" w:hanging="180"/>
      </w:pPr>
    </w:lvl>
    <w:lvl w:ilvl="6">
      <w:start w:val="1"/>
      <w:numFmt w:val="decimal"/>
      <w:lvlText w:val="%7."/>
      <w:lvlJc w:val="left"/>
      <w:pPr>
        <w:ind w:left="5628" w:hanging="360"/>
      </w:pPr>
    </w:lvl>
    <w:lvl w:ilvl="7">
      <w:start w:val="1"/>
      <w:numFmt w:val="lowerLetter"/>
      <w:lvlText w:val="%8."/>
      <w:lvlJc w:val="left"/>
      <w:pPr>
        <w:ind w:left="6348" w:hanging="360"/>
      </w:pPr>
    </w:lvl>
    <w:lvl w:ilvl="8">
      <w:start w:val="1"/>
      <w:numFmt w:val="lowerRoman"/>
      <w:lvlText w:val="%9."/>
      <w:lvlJc w:val="right"/>
      <w:pPr>
        <w:ind w:left="7068" w:hanging="180"/>
      </w:pPr>
    </w:lvl>
  </w:abstractNum>
  <w:abstractNum w:abstractNumId="1" w15:restartNumberingAfterBreak="0">
    <w:nsid w:val="260C5815"/>
    <w:multiLevelType w:val="multilevel"/>
    <w:tmpl w:val="F19A30B0"/>
    <w:lvl w:ilvl="0">
      <w:start w:val="4"/>
      <w:numFmt w:val="upperRoman"/>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481215"/>
    <w:multiLevelType w:val="multilevel"/>
    <w:tmpl w:val="D43807A2"/>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C20"/>
    <w:rsid w:val="00297C69"/>
    <w:rsid w:val="00477134"/>
    <w:rsid w:val="005E5012"/>
    <w:rsid w:val="00607694"/>
    <w:rsid w:val="00667EB4"/>
    <w:rsid w:val="006B403C"/>
    <w:rsid w:val="007413ED"/>
    <w:rsid w:val="007522CF"/>
    <w:rsid w:val="008B12D7"/>
    <w:rsid w:val="00971395"/>
    <w:rsid w:val="00BD10BA"/>
    <w:rsid w:val="00D139AF"/>
    <w:rsid w:val="00E52C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B06C84"/>
  <w15:docId w15:val="{4405E1B5-0AF7-4D06-9B50-89044075F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A90"/>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6A5E32"/>
    <w:pPr>
      <w:tabs>
        <w:tab w:val="center" w:pos="4419"/>
        <w:tab w:val="right" w:pos="8838"/>
      </w:tabs>
    </w:pPr>
  </w:style>
  <w:style w:type="character" w:customStyle="1" w:styleId="EncabezadoCar">
    <w:name w:val="Encabezado Car"/>
    <w:basedOn w:val="Fuentedeprrafopredeter"/>
    <w:link w:val="Encabezado"/>
    <w:uiPriority w:val="99"/>
    <w:rsid w:val="006A5E32"/>
  </w:style>
  <w:style w:type="paragraph" w:styleId="Piedepgina">
    <w:name w:val="footer"/>
    <w:basedOn w:val="Normal"/>
    <w:link w:val="PiedepginaCar"/>
    <w:uiPriority w:val="99"/>
    <w:unhideWhenUsed/>
    <w:rsid w:val="006A5E32"/>
    <w:pPr>
      <w:tabs>
        <w:tab w:val="center" w:pos="4419"/>
        <w:tab w:val="right" w:pos="8838"/>
      </w:tabs>
    </w:pPr>
  </w:style>
  <w:style w:type="character" w:customStyle="1" w:styleId="PiedepginaCar">
    <w:name w:val="Pie de página Car"/>
    <w:basedOn w:val="Fuentedeprrafopredeter"/>
    <w:link w:val="Piedepgina"/>
    <w:uiPriority w:val="99"/>
    <w:rsid w:val="006A5E32"/>
  </w:style>
  <w:style w:type="paragraph" w:styleId="Sinespaciado">
    <w:name w:val="No Spacing"/>
    <w:uiPriority w:val="1"/>
    <w:qFormat/>
    <w:rsid w:val="00F55F82"/>
  </w:style>
  <w:style w:type="paragraph" w:styleId="Prrafodelista">
    <w:name w:val="List Paragraph"/>
    <w:basedOn w:val="Normal"/>
    <w:uiPriority w:val="34"/>
    <w:qFormat/>
    <w:rsid w:val="004863AB"/>
    <w:pPr>
      <w:ind w:left="720"/>
      <w:contextualSpacing/>
    </w:p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35464">
      <w:bodyDiv w:val="1"/>
      <w:marLeft w:val="0"/>
      <w:marRight w:val="0"/>
      <w:marTop w:val="0"/>
      <w:marBottom w:val="0"/>
      <w:divBdr>
        <w:top w:val="none" w:sz="0" w:space="0" w:color="auto"/>
        <w:left w:val="none" w:sz="0" w:space="0" w:color="auto"/>
        <w:bottom w:val="none" w:sz="0" w:space="0" w:color="auto"/>
        <w:right w:val="none" w:sz="0" w:space="0" w:color="auto"/>
      </w:divBdr>
      <w:divsChild>
        <w:div w:id="1516307490">
          <w:marLeft w:val="-103"/>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0.png"/><Relationship Id="rId19" Type="http://schemas.openxmlformats.org/officeDocument/2006/relationships/header" Target="header3.xml"/><Relationship Id="rId4" Type="http://schemas.openxmlformats.org/officeDocument/2006/relationships/settings" Target="setting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vbPLLQI9y8q1Tgo4gf/R/pidcg==">AMUW2mUOrSj3jvm/yW67dFIeKXAbxyy8k2AxD+1lGOba8h3B6tdlxzE5QfZVW5YnoPFBs1trVlSVvrigwvHhCGTKv4iU9gFailYQj4GeE29BKX2VrpSRWITj5CBGUdwp6dfugW0W9ybT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3915</Words>
  <Characters>21536</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2022-02-04T21:21:00Z</cp:lastPrinted>
  <dcterms:created xsi:type="dcterms:W3CDTF">2022-03-03T21:28:00Z</dcterms:created>
  <dcterms:modified xsi:type="dcterms:W3CDTF">2022-03-03T21:28:00Z</dcterms:modified>
</cp:coreProperties>
</file>