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7F82" w14:textId="1D8521E0" w:rsidR="00A56F15" w:rsidRPr="00B92F1D" w:rsidRDefault="00A56F15" w:rsidP="006A0A8E">
      <w:pPr>
        <w:spacing w:after="0" w:line="360" w:lineRule="auto"/>
        <w:rPr>
          <w:rFonts w:eastAsia="Times New Roman" w:cs="Tahoma"/>
          <w:bCs/>
          <w:color w:val="auto"/>
          <w:lang w:eastAsia="es-ES"/>
        </w:rPr>
      </w:pPr>
      <w:r w:rsidRPr="00B92F1D">
        <w:rPr>
          <w:rFonts w:eastAsia="Calibri" w:cs="Tahoma"/>
          <w:bCs/>
          <w:color w:val="000000"/>
        </w:rPr>
        <w:t xml:space="preserve">Resolución del Pleno del Instituto de Transparencia, Acceso a la Información Pública y </w:t>
      </w:r>
      <w:r w:rsidRPr="00B92F1D">
        <w:rPr>
          <w:rFonts w:eastAsia="Times New Roman" w:cs="Tahoma"/>
          <w:bCs/>
          <w:color w:val="auto"/>
          <w:lang w:eastAsia="es-ES"/>
        </w:rPr>
        <w:t xml:space="preserve">Protección de Datos Personales del Estado de México y Municipios, con domicilio en Metepec, Estado de México, de fecha </w:t>
      </w:r>
      <w:r w:rsidR="00403D02">
        <w:rPr>
          <w:rFonts w:eastAsia="Times New Roman" w:cs="Tahoma"/>
          <w:bCs/>
          <w:color w:val="auto"/>
          <w:lang w:eastAsia="es-ES"/>
        </w:rPr>
        <w:t xml:space="preserve">diecinueve </w:t>
      </w:r>
      <w:r w:rsidR="005A0DE7">
        <w:rPr>
          <w:rFonts w:eastAsia="Times New Roman" w:cs="Tahoma"/>
          <w:bCs/>
          <w:color w:val="auto"/>
          <w:lang w:eastAsia="es-ES"/>
        </w:rPr>
        <w:t>de enero de dos mil veintidós.</w:t>
      </w:r>
    </w:p>
    <w:p w14:paraId="033D4DCF" w14:textId="77777777" w:rsidR="00A56F15" w:rsidRPr="00B92F1D" w:rsidRDefault="00A56F15" w:rsidP="006A0A8E">
      <w:pPr>
        <w:tabs>
          <w:tab w:val="left" w:pos="2839"/>
        </w:tabs>
        <w:spacing w:after="0" w:line="360" w:lineRule="auto"/>
        <w:rPr>
          <w:rFonts w:eastAsia="Times New Roman" w:cs="Tahoma"/>
          <w:bCs/>
          <w:color w:val="auto"/>
          <w:lang w:eastAsia="es-ES"/>
        </w:rPr>
      </w:pPr>
    </w:p>
    <w:p w14:paraId="61DEBEC9" w14:textId="7456360E" w:rsidR="00A56F15" w:rsidRPr="00B92F1D" w:rsidRDefault="00A56F15" w:rsidP="006A0A8E">
      <w:pPr>
        <w:spacing w:after="0" w:line="360" w:lineRule="auto"/>
        <w:rPr>
          <w:rFonts w:eastAsia="Calibri" w:cs="Tahoma"/>
          <w:color w:val="0D0D0D"/>
        </w:rPr>
      </w:pPr>
      <w:r w:rsidRPr="00B92F1D">
        <w:rPr>
          <w:rFonts w:eastAsia="Times New Roman" w:cs="Tahoma"/>
          <w:b/>
          <w:bCs/>
          <w:color w:val="auto"/>
          <w:lang w:eastAsia="es-ES"/>
        </w:rPr>
        <w:t>VISTO</w:t>
      </w:r>
      <w:r w:rsidRPr="00B92F1D">
        <w:rPr>
          <w:rFonts w:eastAsia="Calibri" w:cs="Tahoma"/>
          <w:bCs/>
          <w:color w:val="0D0D0D"/>
        </w:rPr>
        <w:t xml:space="preserve"> el expediente conformado con motivo del Recurso de Revisión </w:t>
      </w:r>
      <w:r w:rsidR="00201287">
        <w:rPr>
          <w:rFonts w:eastAsia="Calibri" w:cs="Tahoma"/>
          <w:color w:val="000000"/>
        </w:rPr>
        <w:t>05651/INFOEM/IP/RR/2021</w:t>
      </w:r>
      <w:r w:rsidRPr="00B92F1D">
        <w:rPr>
          <w:rFonts w:eastAsia="Calibri" w:cs="Tahoma"/>
          <w:color w:val="000000"/>
        </w:rPr>
        <w:t>, interpuesto por</w:t>
      </w:r>
      <w:r>
        <w:rPr>
          <w:rFonts w:eastAsia="Calibri" w:cs="Tahoma"/>
        </w:rPr>
        <w:t xml:space="preserve"> </w:t>
      </w:r>
      <w:r w:rsidR="00BD5BC8">
        <w:rPr>
          <w:rFonts w:eastAsia="Calibri" w:cs="Tahoma"/>
        </w:rPr>
        <w:t>el</w:t>
      </w:r>
      <w:r>
        <w:rPr>
          <w:rFonts w:eastAsia="Calibri" w:cs="Tahoma"/>
        </w:rPr>
        <w:t xml:space="preserve"> </w:t>
      </w:r>
      <w:r w:rsidRPr="00B92F1D">
        <w:rPr>
          <w:rFonts w:eastAsia="Calibri" w:cs="Tahoma"/>
          <w:color w:val="0D0D0D"/>
        </w:rPr>
        <w:t xml:space="preserve">Recurrente o Particular, en contra de la respuesta del Sujeto Obligado, </w:t>
      </w:r>
      <w:r w:rsidR="00201287">
        <w:rPr>
          <w:rFonts w:eastAsia="Calibri" w:cs="Tahoma"/>
          <w:color w:val="000000"/>
        </w:rPr>
        <w:t>Ayuntamiento de Otzoloapan</w:t>
      </w:r>
      <w:r w:rsidRPr="00B92F1D">
        <w:rPr>
          <w:rFonts w:eastAsia="Calibri" w:cs="Tahoma"/>
          <w:color w:val="000000"/>
        </w:rPr>
        <w:t xml:space="preserve">, a la solicitud de acceso a la información </w:t>
      </w:r>
      <w:r w:rsidR="00201287">
        <w:rPr>
          <w:rFonts w:eastAsia="Calibri" w:cs="Tahoma"/>
          <w:color w:val="000000"/>
        </w:rPr>
        <w:t>00064/OTZOLOAP/IP/2021</w:t>
      </w:r>
      <w:r w:rsidRPr="00B92F1D">
        <w:rPr>
          <w:rFonts w:eastAsia="Calibri" w:cs="Tahoma"/>
          <w:color w:val="000000"/>
        </w:rPr>
        <w:t>, se emite la presente Resolución, con base en los Antecedentes y Considerandos que se exponen a continuación:</w:t>
      </w:r>
    </w:p>
    <w:p w14:paraId="394A14E4" w14:textId="77777777" w:rsidR="00A56F15" w:rsidRPr="00B92F1D" w:rsidRDefault="00A56F15" w:rsidP="006A0A8E">
      <w:pPr>
        <w:spacing w:after="0" w:line="360" w:lineRule="auto"/>
        <w:rPr>
          <w:rFonts w:eastAsia="Calibri" w:cs="Tahoma"/>
          <w:color w:val="000000"/>
        </w:rPr>
      </w:pPr>
    </w:p>
    <w:p w14:paraId="6A104093" w14:textId="77777777" w:rsidR="00A56F15" w:rsidRPr="00B92F1D" w:rsidRDefault="00A56F15" w:rsidP="006A0A8E">
      <w:pPr>
        <w:tabs>
          <w:tab w:val="center" w:pos="4522"/>
          <w:tab w:val="left" w:pos="7245"/>
        </w:tabs>
        <w:spacing w:after="0" w:line="360" w:lineRule="auto"/>
        <w:jc w:val="center"/>
        <w:rPr>
          <w:rFonts w:eastAsia="Calibri" w:cs="Tahoma"/>
          <w:b/>
          <w:color w:val="000000"/>
        </w:rPr>
      </w:pPr>
      <w:r w:rsidRPr="00B92F1D">
        <w:rPr>
          <w:rFonts w:eastAsia="Calibri" w:cs="Tahoma"/>
          <w:b/>
          <w:color w:val="000000"/>
        </w:rPr>
        <w:t>A N T E C E D E N T E S:</w:t>
      </w:r>
    </w:p>
    <w:p w14:paraId="62C1275F" w14:textId="77777777" w:rsidR="006271FC" w:rsidRPr="00B377FD" w:rsidRDefault="006271FC" w:rsidP="006A0A8E">
      <w:pPr>
        <w:spacing w:after="0" w:line="360" w:lineRule="auto"/>
      </w:pPr>
    </w:p>
    <w:p w14:paraId="271054C2" w14:textId="77777777" w:rsidR="006271FC" w:rsidRPr="00B377FD" w:rsidRDefault="006271FC" w:rsidP="006A0A8E">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389069DF" w14:textId="77777777" w:rsidR="006271FC" w:rsidRPr="00B377FD" w:rsidRDefault="006271FC" w:rsidP="006A0A8E">
      <w:pPr>
        <w:tabs>
          <w:tab w:val="left" w:pos="567"/>
        </w:tabs>
        <w:spacing w:after="0" w:line="360" w:lineRule="auto"/>
        <w:rPr>
          <w:rFonts w:eastAsia="Times New Roman" w:cs="Tahoma"/>
          <w:color w:val="auto"/>
          <w:lang w:eastAsia="es-ES"/>
        </w:rPr>
      </w:pPr>
    </w:p>
    <w:p w14:paraId="173A7039" w14:textId="2809068C" w:rsidR="006271FC" w:rsidRPr="00BC2DAE" w:rsidRDefault="006271FC" w:rsidP="006A0A8E">
      <w:pPr>
        <w:spacing w:after="0" w:line="360" w:lineRule="auto"/>
        <w:rPr>
          <w:rFonts w:eastAsia="Times New Roman" w:cs="Tahoma"/>
          <w:color w:val="auto"/>
          <w:lang w:eastAsia="es-ES"/>
        </w:rPr>
      </w:pPr>
      <w:r w:rsidRPr="00B377FD">
        <w:rPr>
          <w:rFonts w:eastAsia="Times New Roman" w:cs="Tahoma"/>
          <w:color w:val="auto"/>
          <w:lang w:eastAsia="es-ES"/>
        </w:rPr>
        <w:t>Con fecha</w:t>
      </w:r>
      <w:r w:rsidR="00C07506">
        <w:rPr>
          <w:rFonts w:eastAsia="Times New Roman" w:cs="Tahoma"/>
          <w:color w:val="auto"/>
          <w:lang w:eastAsia="es-ES"/>
        </w:rPr>
        <w:t xml:space="preserve"> diecinueve </w:t>
      </w:r>
      <w:r>
        <w:rPr>
          <w:rFonts w:eastAsia="Times New Roman" w:cs="Tahoma"/>
          <w:color w:val="auto"/>
          <w:lang w:eastAsia="es-ES"/>
        </w:rPr>
        <w:t>de octubre de dos mil veintiuno, 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C07506">
        <w:rPr>
          <w:rFonts w:eastAsia="Calibri" w:cs="Tahoma"/>
        </w:rPr>
        <w:t>Ayuntamiento de Otzoloapan</w:t>
      </w:r>
      <w:r>
        <w:rPr>
          <w:rFonts w:eastAsia="Calibri" w:cs="Tahoma"/>
        </w:rPr>
        <w:t>,</w:t>
      </w:r>
      <w:r w:rsidRPr="00B377FD">
        <w:rPr>
          <w:rFonts w:eastAsia="Calibri" w:cs="Tahoma"/>
        </w:rPr>
        <w:t xml:space="preserve"> en los siguientes términos: </w:t>
      </w:r>
    </w:p>
    <w:p w14:paraId="37EFF6E0" w14:textId="77777777" w:rsidR="006271FC" w:rsidRPr="00B377FD" w:rsidRDefault="006271FC" w:rsidP="006A0A8E">
      <w:pPr>
        <w:spacing w:after="0" w:line="360" w:lineRule="auto"/>
        <w:rPr>
          <w:rFonts w:eastAsia="Calibri" w:cs="Tahoma"/>
        </w:rPr>
      </w:pPr>
    </w:p>
    <w:p w14:paraId="0BDEC3BF" w14:textId="77777777" w:rsidR="006271FC" w:rsidRPr="003D30B4" w:rsidRDefault="006271FC" w:rsidP="006A0A8E">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7C083E17" w14:textId="225B7C95" w:rsidR="006271FC" w:rsidRPr="003D30B4" w:rsidRDefault="00C07506" w:rsidP="006A0A8E">
      <w:pPr>
        <w:tabs>
          <w:tab w:val="left" w:pos="4667"/>
        </w:tabs>
        <w:spacing w:after="0" w:line="360" w:lineRule="auto"/>
        <w:ind w:left="567" w:right="567"/>
        <w:rPr>
          <w:rFonts w:eastAsia="Times New Roman" w:cs="Tahoma"/>
          <w:bCs/>
          <w:i/>
          <w:iCs/>
          <w:color w:val="auto"/>
          <w:sz w:val="20"/>
          <w:szCs w:val="20"/>
          <w:lang w:eastAsia="es-ES"/>
        </w:rPr>
      </w:pPr>
      <w:r w:rsidRPr="00C07506">
        <w:rPr>
          <w:rFonts w:eastAsia="Times New Roman" w:cs="Tahoma"/>
          <w:bCs/>
          <w:i/>
          <w:iCs/>
          <w:color w:val="auto"/>
          <w:sz w:val="20"/>
          <w:szCs w:val="20"/>
          <w:lang w:eastAsia="es-ES"/>
        </w:rPr>
        <w:t>Solicito los permisos de puestos semifijos que emitió el municipio en julio del presente año.</w:t>
      </w:r>
      <w:r w:rsidR="006271FC" w:rsidRPr="003D30B4">
        <w:rPr>
          <w:rFonts w:eastAsia="Times New Roman" w:cs="Tahoma"/>
          <w:bCs/>
          <w:i/>
          <w:iCs/>
          <w:color w:val="auto"/>
          <w:sz w:val="20"/>
          <w:szCs w:val="20"/>
          <w:lang w:eastAsia="es-ES"/>
        </w:rPr>
        <w:t xml:space="preserve">” (Sic) </w:t>
      </w:r>
    </w:p>
    <w:p w14:paraId="6342F20A" w14:textId="77777777" w:rsidR="006271FC" w:rsidRPr="003D30B4" w:rsidRDefault="006271FC" w:rsidP="006A0A8E">
      <w:pPr>
        <w:tabs>
          <w:tab w:val="left" w:pos="4667"/>
        </w:tabs>
        <w:spacing w:after="0" w:line="360" w:lineRule="auto"/>
        <w:ind w:left="567" w:right="567"/>
        <w:rPr>
          <w:rFonts w:eastAsia="Times New Roman" w:cs="Tahoma"/>
          <w:b/>
          <w:bCs/>
          <w:i/>
          <w:iCs/>
          <w:color w:val="auto"/>
          <w:sz w:val="20"/>
          <w:lang w:eastAsia="es-ES"/>
        </w:rPr>
      </w:pPr>
    </w:p>
    <w:p w14:paraId="1A4C42E0" w14:textId="77777777" w:rsidR="006271FC" w:rsidRPr="00B377FD" w:rsidRDefault="006271FC" w:rsidP="006A0A8E">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7AAE4BA9" w14:textId="77777777" w:rsidR="006271FC" w:rsidRDefault="006271FC" w:rsidP="006A0A8E">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0B998CC2" w14:textId="77777777" w:rsidR="006271FC" w:rsidRPr="00BD5BC8" w:rsidRDefault="006271FC" w:rsidP="006A0A8E">
      <w:pPr>
        <w:spacing w:after="0" w:line="360" w:lineRule="auto"/>
        <w:ind w:left="567" w:right="567"/>
        <w:rPr>
          <w:rFonts w:eastAsia="Times New Roman" w:cs="Arial"/>
          <w:bCs/>
          <w:i/>
          <w:iCs/>
          <w:color w:val="auto"/>
          <w:lang w:eastAsia="es-ES"/>
        </w:rPr>
      </w:pPr>
    </w:p>
    <w:p w14:paraId="1CB9936B" w14:textId="77777777" w:rsidR="006271FC" w:rsidRPr="00B377FD" w:rsidRDefault="006271FC" w:rsidP="006A0A8E">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16593868" w14:textId="77777777" w:rsidR="006271FC" w:rsidRPr="00B377FD" w:rsidRDefault="006271FC" w:rsidP="006A0A8E">
      <w:pPr>
        <w:spacing w:after="0" w:line="360" w:lineRule="auto"/>
      </w:pPr>
    </w:p>
    <w:p w14:paraId="4DDE8564" w14:textId="0EF2B209" w:rsidR="007E5B45" w:rsidRDefault="006271FC" w:rsidP="006A0A8E">
      <w:pPr>
        <w:spacing w:after="0" w:line="360" w:lineRule="auto"/>
      </w:pPr>
      <w:r w:rsidRPr="00B377FD">
        <w:lastRenderedPageBreak/>
        <w:t>Con fecha</w:t>
      </w:r>
      <w:r w:rsidR="007E5B45">
        <w:t xml:space="preserve"> cinco de noviembre de dos mil veintiuno, </w:t>
      </w:r>
      <w:r>
        <w:t xml:space="preserve">el Sujeto Obligado notifico, a </w:t>
      </w:r>
      <w:r w:rsidRPr="00B377FD">
        <w:t>través del Sistema de Acceso a la Información Mexiquense (SAIMEX), la respuesta a la solicitud</w:t>
      </w:r>
      <w:r>
        <w:t xml:space="preserve"> de acceso a la información pública, </w:t>
      </w:r>
      <w:r w:rsidR="00BD5BC8">
        <w:t>la cual precisa lo siguiente</w:t>
      </w:r>
      <w:r w:rsidR="007E5B45">
        <w:t xml:space="preserve">: </w:t>
      </w:r>
    </w:p>
    <w:p w14:paraId="3B092380" w14:textId="77777777" w:rsidR="007E5B45" w:rsidRDefault="007E5B45" w:rsidP="006A0A8E">
      <w:pPr>
        <w:spacing w:after="0" w:line="360" w:lineRule="auto"/>
      </w:pPr>
    </w:p>
    <w:p w14:paraId="69F9606B" w14:textId="080FF7B8" w:rsidR="007E5B45" w:rsidRPr="007E5B45" w:rsidRDefault="007E5B45" w:rsidP="006A0A8E">
      <w:pPr>
        <w:spacing w:after="0" w:line="360" w:lineRule="auto"/>
        <w:ind w:left="567" w:right="567"/>
        <w:rPr>
          <w:i/>
          <w:sz w:val="20"/>
          <w:szCs w:val="20"/>
        </w:rPr>
      </w:pPr>
      <w:r w:rsidRPr="007E5B45">
        <w:rPr>
          <w:i/>
          <w:sz w:val="20"/>
          <w:szCs w:val="20"/>
        </w:rPr>
        <w:t>“…</w:t>
      </w:r>
    </w:p>
    <w:p w14:paraId="679F11CD" w14:textId="37DC3238" w:rsidR="007E5B45" w:rsidRPr="007E5B45" w:rsidRDefault="007E5B45" w:rsidP="006A0A8E">
      <w:pPr>
        <w:spacing w:after="0" w:line="360" w:lineRule="auto"/>
        <w:ind w:left="567" w:right="567"/>
        <w:rPr>
          <w:i/>
          <w:sz w:val="20"/>
          <w:szCs w:val="20"/>
        </w:rPr>
      </w:pPr>
      <w:r w:rsidRPr="007E5B45">
        <w:rPr>
          <w:i/>
          <w:sz w:val="20"/>
          <w:szCs w:val="20"/>
        </w:rPr>
        <w:t>Durante el mes de julio del año 2021, no se emitieron permisos a puestos semifijos</w:t>
      </w:r>
    </w:p>
    <w:p w14:paraId="509C4979" w14:textId="74C5036B" w:rsidR="007E5B45" w:rsidRPr="007E5B45" w:rsidRDefault="007E5B45" w:rsidP="006A0A8E">
      <w:pPr>
        <w:spacing w:after="0" w:line="360" w:lineRule="auto"/>
        <w:ind w:left="567" w:right="567"/>
        <w:rPr>
          <w:i/>
          <w:sz w:val="20"/>
          <w:szCs w:val="20"/>
        </w:rPr>
      </w:pPr>
      <w:r w:rsidRPr="007E5B45">
        <w:rPr>
          <w:i/>
          <w:sz w:val="20"/>
          <w:szCs w:val="20"/>
        </w:rPr>
        <w:t xml:space="preserve">…” (Sic) </w:t>
      </w:r>
    </w:p>
    <w:p w14:paraId="21E115C6" w14:textId="77777777" w:rsidR="007E5B45" w:rsidRDefault="007E5B45" w:rsidP="006A0A8E">
      <w:pPr>
        <w:spacing w:after="0" w:line="360" w:lineRule="auto"/>
      </w:pPr>
    </w:p>
    <w:p w14:paraId="0AA44326" w14:textId="77777777" w:rsidR="00A56F15" w:rsidRPr="00B92F1D" w:rsidRDefault="00A56F15" w:rsidP="006A0A8E">
      <w:pPr>
        <w:spacing w:after="0" w:line="360" w:lineRule="auto"/>
        <w:rPr>
          <w:b/>
        </w:rPr>
      </w:pPr>
      <w:r w:rsidRPr="00B92F1D">
        <w:rPr>
          <w:b/>
        </w:rPr>
        <w:t xml:space="preserve">III. Interposición del Recurso de Revisión. </w:t>
      </w:r>
    </w:p>
    <w:p w14:paraId="5AB0CFB0" w14:textId="77777777" w:rsidR="00A56F15" w:rsidRPr="00B92F1D" w:rsidRDefault="00A56F15" w:rsidP="006A0A8E">
      <w:pPr>
        <w:spacing w:after="0" w:line="360" w:lineRule="auto"/>
        <w:rPr>
          <w:bCs/>
        </w:rPr>
      </w:pPr>
    </w:p>
    <w:p w14:paraId="4C1C6655" w14:textId="1132313F" w:rsidR="00A56F15" w:rsidRPr="00B92F1D" w:rsidRDefault="00A56F15" w:rsidP="006A0A8E">
      <w:pPr>
        <w:spacing w:after="0" w:line="360" w:lineRule="auto"/>
        <w:rPr>
          <w:bCs/>
        </w:rPr>
      </w:pPr>
      <w:r w:rsidRPr="00B92F1D">
        <w:rPr>
          <w:bCs/>
        </w:rPr>
        <w:t xml:space="preserve">Con fecha </w:t>
      </w:r>
      <w:r w:rsidR="007C5B9D">
        <w:rPr>
          <w:bCs/>
        </w:rPr>
        <w:t xml:space="preserve">doce de noviembre de dos mil veintiuno, </w:t>
      </w:r>
      <w:r w:rsidRPr="00B92F1D">
        <w:rPr>
          <w:bCs/>
        </w:rPr>
        <w:t xml:space="preserve">se </w:t>
      </w:r>
      <w:r>
        <w:rPr>
          <w:bCs/>
        </w:rPr>
        <w:t>presentó</w:t>
      </w:r>
      <w:r w:rsidRPr="00B92F1D">
        <w:rPr>
          <w:bCs/>
        </w:rPr>
        <w:t xml:space="preserve"> en este Instituto, a través del </w:t>
      </w:r>
      <w:r w:rsidRPr="00B92F1D">
        <w:rPr>
          <w:bCs/>
          <w:lang w:val="es-ES"/>
        </w:rPr>
        <w:t>Sistema de Acceso a la Información Mexiquense (SAIMEX)</w:t>
      </w:r>
      <w:r w:rsidRPr="00B92F1D">
        <w:rPr>
          <w:bCs/>
        </w:rPr>
        <w:t xml:space="preserve">, Recurso de Revisión interpuesto por la parte Recurrente, en contra de la respuesta </w:t>
      </w:r>
      <w:r>
        <w:rPr>
          <w:bCs/>
        </w:rPr>
        <w:t>d</w:t>
      </w:r>
      <w:r w:rsidRPr="00B92F1D">
        <w:rPr>
          <w:bCs/>
        </w:rPr>
        <w:t>el Sujeto Obligado, a la solicitud de información</w:t>
      </w:r>
      <w:r>
        <w:rPr>
          <w:bCs/>
        </w:rPr>
        <w:t xml:space="preserve">, </w:t>
      </w:r>
      <w:r w:rsidRPr="00B92F1D">
        <w:rPr>
          <w:bCs/>
        </w:rPr>
        <w:t>en los siguientes términos:</w:t>
      </w:r>
    </w:p>
    <w:p w14:paraId="788EAB15" w14:textId="77777777" w:rsidR="00A56F15" w:rsidRPr="00B92F1D" w:rsidRDefault="00A56F15" w:rsidP="006A0A8E">
      <w:pPr>
        <w:spacing w:after="0" w:line="360" w:lineRule="auto"/>
        <w:rPr>
          <w:bCs/>
        </w:rPr>
      </w:pPr>
    </w:p>
    <w:p w14:paraId="14464D87" w14:textId="77777777" w:rsidR="00A56F15" w:rsidRPr="00B92F1D" w:rsidRDefault="00A56F15" w:rsidP="006A0A8E">
      <w:pPr>
        <w:spacing w:after="0" w:line="360" w:lineRule="auto"/>
        <w:ind w:left="567" w:right="567"/>
        <w:rPr>
          <w:bCs/>
          <w:i/>
          <w:sz w:val="20"/>
          <w:szCs w:val="20"/>
        </w:rPr>
      </w:pPr>
      <w:r w:rsidRPr="00B92F1D">
        <w:rPr>
          <w:b/>
          <w:bCs/>
          <w:i/>
          <w:sz w:val="20"/>
          <w:szCs w:val="20"/>
        </w:rPr>
        <w:t>“ACTO IMPUGNADO</w:t>
      </w:r>
    </w:p>
    <w:p w14:paraId="6818E21F" w14:textId="64E8FDDC" w:rsidR="00A56F15" w:rsidRPr="00B92F1D" w:rsidRDefault="007C5B9D" w:rsidP="006A0A8E">
      <w:pPr>
        <w:spacing w:after="0" w:line="360" w:lineRule="auto"/>
        <w:ind w:left="567" w:right="567"/>
        <w:rPr>
          <w:i/>
          <w:sz w:val="20"/>
          <w:szCs w:val="20"/>
        </w:rPr>
      </w:pPr>
      <w:r w:rsidRPr="007C5B9D">
        <w:rPr>
          <w:i/>
          <w:sz w:val="20"/>
          <w:szCs w:val="20"/>
        </w:rPr>
        <w:t>Solicito recurso de revisión por la forma y falta de profesionalismo en la respuesta</w:t>
      </w:r>
      <w:r w:rsidR="00896B3D" w:rsidRPr="00896B3D">
        <w:rPr>
          <w:i/>
          <w:sz w:val="20"/>
          <w:szCs w:val="20"/>
        </w:rPr>
        <w:t>.”</w:t>
      </w:r>
      <w:r w:rsidR="00896B3D" w:rsidRPr="00C34FF3">
        <w:rPr>
          <w:i/>
          <w:sz w:val="20"/>
          <w:szCs w:val="20"/>
        </w:rPr>
        <w:t>.</w:t>
      </w:r>
      <w:r w:rsidR="00896B3D" w:rsidRPr="00B92F1D">
        <w:rPr>
          <w:i/>
          <w:sz w:val="20"/>
          <w:szCs w:val="20"/>
        </w:rPr>
        <w:t xml:space="preserve"> (</w:t>
      </w:r>
      <w:r w:rsidR="00A56F15" w:rsidRPr="00B92F1D">
        <w:rPr>
          <w:i/>
          <w:sz w:val="20"/>
          <w:szCs w:val="20"/>
        </w:rPr>
        <w:t>Sic.)</w:t>
      </w:r>
    </w:p>
    <w:p w14:paraId="1DA7B44D" w14:textId="77777777" w:rsidR="00A56F15" w:rsidRDefault="00A56F15" w:rsidP="006A0A8E">
      <w:pPr>
        <w:spacing w:after="0" w:line="360" w:lineRule="auto"/>
        <w:ind w:left="567" w:right="567"/>
        <w:rPr>
          <w:i/>
          <w:sz w:val="20"/>
          <w:szCs w:val="20"/>
        </w:rPr>
      </w:pPr>
    </w:p>
    <w:p w14:paraId="45BCBD2C" w14:textId="77777777" w:rsidR="00A56F15" w:rsidRPr="00B92F1D" w:rsidRDefault="00A56F15" w:rsidP="006A0A8E">
      <w:pPr>
        <w:spacing w:after="0" w:line="360" w:lineRule="auto"/>
        <w:ind w:left="567" w:right="567"/>
        <w:rPr>
          <w:b/>
          <w:i/>
          <w:sz w:val="20"/>
          <w:szCs w:val="20"/>
        </w:rPr>
      </w:pPr>
      <w:r w:rsidRPr="00B92F1D">
        <w:rPr>
          <w:b/>
          <w:i/>
          <w:sz w:val="20"/>
          <w:szCs w:val="20"/>
        </w:rPr>
        <w:t>“RAZONES O MOTIVOS DE LA INCONFORMIDAD</w:t>
      </w:r>
    </w:p>
    <w:p w14:paraId="74B21A99" w14:textId="75A40A04" w:rsidR="00A56F15" w:rsidRDefault="007C5B9D" w:rsidP="006A0A8E">
      <w:pPr>
        <w:spacing w:after="0" w:line="360" w:lineRule="auto"/>
        <w:ind w:left="567" w:right="567"/>
        <w:rPr>
          <w:i/>
          <w:sz w:val="20"/>
          <w:szCs w:val="20"/>
        </w:rPr>
      </w:pPr>
      <w:r w:rsidRPr="007C5B9D">
        <w:rPr>
          <w:i/>
          <w:sz w:val="20"/>
          <w:szCs w:val="20"/>
        </w:rPr>
        <w:t xml:space="preserve">Solicito recurso de </w:t>
      </w:r>
      <w:proofErr w:type="spellStart"/>
      <w:r w:rsidRPr="007C5B9D">
        <w:rPr>
          <w:i/>
          <w:sz w:val="20"/>
          <w:szCs w:val="20"/>
        </w:rPr>
        <w:t>revision</w:t>
      </w:r>
      <w:proofErr w:type="spellEnd"/>
      <w:r w:rsidRPr="007C5B9D">
        <w:rPr>
          <w:i/>
          <w:sz w:val="20"/>
          <w:szCs w:val="20"/>
        </w:rPr>
        <w:t xml:space="preserve"> por la forma y falta de profesionalismo en la respuesta </w:t>
      </w:r>
      <w:r w:rsidR="00896B3D" w:rsidRPr="00896B3D">
        <w:rPr>
          <w:i/>
          <w:sz w:val="20"/>
          <w:szCs w:val="20"/>
        </w:rPr>
        <w:t>da.</w:t>
      </w:r>
      <w:r w:rsidR="00A56F15" w:rsidRPr="00B92F1D">
        <w:rPr>
          <w:i/>
          <w:sz w:val="20"/>
          <w:szCs w:val="20"/>
        </w:rPr>
        <w:t>” (Sic.)</w:t>
      </w:r>
    </w:p>
    <w:p w14:paraId="6FB342B6" w14:textId="77777777" w:rsidR="00A56F15" w:rsidRPr="008131E1" w:rsidRDefault="00A56F15" w:rsidP="006A0A8E">
      <w:pPr>
        <w:spacing w:after="0" w:line="360" w:lineRule="auto"/>
        <w:ind w:left="567" w:right="567"/>
        <w:rPr>
          <w:i/>
        </w:rPr>
      </w:pPr>
    </w:p>
    <w:p w14:paraId="4B1325F2" w14:textId="77777777" w:rsidR="00A56F15" w:rsidRPr="00B92F1D" w:rsidRDefault="00A56F15" w:rsidP="006A0A8E">
      <w:pPr>
        <w:spacing w:after="0" w:line="360" w:lineRule="auto"/>
        <w:rPr>
          <w:b/>
          <w:bCs/>
        </w:rPr>
      </w:pPr>
      <w:r w:rsidRPr="00B92F1D">
        <w:rPr>
          <w:b/>
        </w:rPr>
        <w:t xml:space="preserve">IV. </w:t>
      </w:r>
      <w:r w:rsidRPr="00B92F1D">
        <w:rPr>
          <w:b/>
          <w:bCs/>
        </w:rPr>
        <w:t xml:space="preserve">Trámite del </w:t>
      </w:r>
      <w:r w:rsidRPr="00B92F1D">
        <w:rPr>
          <w:b/>
        </w:rPr>
        <w:t xml:space="preserve">Recurso de Revisión </w:t>
      </w:r>
      <w:r w:rsidRPr="00B92F1D">
        <w:rPr>
          <w:b/>
          <w:bCs/>
        </w:rPr>
        <w:t>ante este Instituto.</w:t>
      </w:r>
    </w:p>
    <w:p w14:paraId="38A3890F" w14:textId="77777777" w:rsidR="00A56F15" w:rsidRPr="00B92F1D" w:rsidRDefault="00A56F15" w:rsidP="006A0A8E">
      <w:pPr>
        <w:spacing w:after="0" w:line="360" w:lineRule="auto"/>
        <w:rPr>
          <w:b/>
          <w:bCs/>
        </w:rPr>
      </w:pPr>
    </w:p>
    <w:p w14:paraId="74CDDD9C" w14:textId="33CE4443" w:rsidR="00A56F15" w:rsidRPr="00B92F1D" w:rsidRDefault="00A56F15" w:rsidP="006A0A8E">
      <w:pPr>
        <w:spacing w:after="0" w:line="360" w:lineRule="auto"/>
        <w:rPr>
          <w:b/>
          <w:bCs/>
        </w:rPr>
      </w:pPr>
      <w:r w:rsidRPr="00B92F1D">
        <w:rPr>
          <w:b/>
          <w:bCs/>
        </w:rPr>
        <w:t xml:space="preserve">a) Turno del Medio de Impugnación. </w:t>
      </w:r>
      <w:r w:rsidRPr="00B92F1D">
        <w:rPr>
          <w:bCs/>
        </w:rPr>
        <w:t xml:space="preserve">El </w:t>
      </w:r>
      <w:r w:rsidR="007C5B9D">
        <w:rPr>
          <w:bCs/>
        </w:rPr>
        <w:t>doce de noviembre de dos mil veintiuno</w:t>
      </w:r>
      <w:r w:rsidRPr="00B92F1D">
        <w:rPr>
          <w:bCs/>
        </w:rPr>
        <w:t xml:space="preserve">, el </w:t>
      </w:r>
      <w:r w:rsidRPr="00B92F1D">
        <w:rPr>
          <w:lang w:val="es-ES"/>
        </w:rPr>
        <w:t>Sistema de Acceso a la Información Mexiquense (SAIMEX),</w:t>
      </w:r>
      <w:r w:rsidRPr="00B92F1D">
        <w:rPr>
          <w:bCs/>
        </w:rPr>
        <w:t xml:space="preserve"> asignó el número de expediente </w:t>
      </w:r>
      <w:r w:rsidR="00201287">
        <w:rPr>
          <w:b/>
          <w:bCs/>
        </w:rPr>
        <w:t>05651/INFOEM/IP/RR/2021</w:t>
      </w:r>
      <w:r w:rsidRPr="00B92F1D">
        <w:rPr>
          <w:bCs/>
        </w:rPr>
        <w:t xml:space="preserve">, al medio de impugnación que nos ocupa, con base en el sistema aprobado por el Pleno de este Órgano Garante y lo turnó al Comisionado Ponente </w:t>
      </w:r>
      <w:r w:rsidRPr="00B92F1D">
        <w:rPr>
          <w:b/>
        </w:rPr>
        <w:t xml:space="preserve">Luis </w:t>
      </w:r>
      <w:r w:rsidRPr="00B92F1D">
        <w:rPr>
          <w:b/>
        </w:rPr>
        <w:lastRenderedPageBreak/>
        <w:t>Gustavo Parra Noriega</w:t>
      </w:r>
      <w:r w:rsidRPr="00B92F1D">
        <w:rPr>
          <w:bCs/>
        </w:rPr>
        <w:t>, para los efectos del artículo 185, fracción I de la Ley de Transparencia y Acceso a la Información Pública del Estado de México y Municipios.</w:t>
      </w:r>
    </w:p>
    <w:p w14:paraId="18BBAFB9" w14:textId="77777777" w:rsidR="00A56F15" w:rsidRPr="00B92F1D" w:rsidRDefault="00A56F15" w:rsidP="006A0A8E">
      <w:pPr>
        <w:spacing w:after="0" w:line="360" w:lineRule="auto"/>
        <w:rPr>
          <w:bCs/>
        </w:rPr>
      </w:pPr>
    </w:p>
    <w:p w14:paraId="7350FE08" w14:textId="2CB06D89" w:rsidR="00A56F15" w:rsidRPr="00B92F1D" w:rsidRDefault="00A56F15" w:rsidP="006A0A8E">
      <w:pPr>
        <w:spacing w:after="0" w:line="360" w:lineRule="auto"/>
      </w:pPr>
      <w:r w:rsidRPr="00B92F1D">
        <w:rPr>
          <w:b/>
          <w:bCs/>
        </w:rPr>
        <w:t>b) Admisión del Recurso de Revisión</w:t>
      </w:r>
      <w:r w:rsidRPr="00B92F1D">
        <w:rPr>
          <w:b/>
          <w:bCs/>
          <w:lang w:val="es-ES_tradnl"/>
        </w:rPr>
        <w:t xml:space="preserve">. </w:t>
      </w:r>
      <w:r w:rsidRPr="00B92F1D">
        <w:rPr>
          <w:bCs/>
          <w:lang w:val="es-ES_tradnl"/>
        </w:rPr>
        <w:t xml:space="preserve">El </w:t>
      </w:r>
      <w:r w:rsidR="007C5B9D" w:rsidRPr="007C5B9D">
        <w:rPr>
          <w:bCs/>
        </w:rPr>
        <w:t>dieciocho de noviembre de dos mil veintiuno</w:t>
      </w:r>
      <w:r w:rsidRPr="00B92F1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proofErr w:type="spellStart"/>
      <w:r w:rsidRPr="00B92F1D">
        <w:rPr>
          <w:bCs/>
          <w:lang w:val="es-ES_tradnl"/>
        </w:rPr>
        <w:t>el</w:t>
      </w:r>
      <w:proofErr w:type="spellEnd"/>
      <w:r w:rsidRPr="00B92F1D">
        <w:rPr>
          <w:bCs/>
          <w:lang w:val="es-ES_tradnl"/>
        </w:rPr>
        <w:t xml:space="preserve"> </w:t>
      </w:r>
      <w:proofErr w:type="spellStart"/>
      <w:r w:rsidR="00BD5BC8">
        <w:rPr>
          <w:bCs/>
          <w:lang w:val="es-ES_tradnl"/>
        </w:rPr>
        <w:t>el</w:t>
      </w:r>
      <w:proofErr w:type="spellEnd"/>
      <w:r w:rsidR="00BD5BC8">
        <w:rPr>
          <w:bCs/>
          <w:lang w:val="es-ES_tradnl"/>
        </w:rPr>
        <w:t xml:space="preserve"> diecinueve de dicho mes y año</w:t>
      </w:r>
      <w:r w:rsidRPr="00B92F1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52E7118" w14:textId="77777777" w:rsidR="00A56F15" w:rsidRPr="00B92F1D" w:rsidRDefault="00A56F15" w:rsidP="006A0A8E">
      <w:pPr>
        <w:spacing w:after="0" w:line="360" w:lineRule="auto"/>
      </w:pPr>
    </w:p>
    <w:p w14:paraId="61B566AE" w14:textId="3C37AC84" w:rsidR="00A56F15" w:rsidRPr="00B6274C" w:rsidRDefault="00A56F15" w:rsidP="006A0A8E">
      <w:pPr>
        <w:spacing w:after="0" w:line="360" w:lineRule="auto"/>
        <w:rPr>
          <w:bCs/>
        </w:rPr>
      </w:pPr>
      <w:r w:rsidRPr="00B92F1D">
        <w:rPr>
          <w:b/>
        </w:rPr>
        <w:t>c) Informe Justificado</w:t>
      </w:r>
      <w:r>
        <w:rPr>
          <w:b/>
        </w:rPr>
        <w:t xml:space="preserve"> o manifestaciones</w:t>
      </w:r>
      <w:r w:rsidRPr="00B92F1D">
        <w:rPr>
          <w:b/>
        </w:rPr>
        <w:t xml:space="preserve">. </w:t>
      </w:r>
      <w:r w:rsidR="00BD33CA">
        <w:rPr>
          <w:bCs/>
        </w:rPr>
        <w:t>L</w:t>
      </w:r>
      <w:r>
        <w:rPr>
          <w:bCs/>
        </w:rPr>
        <w:t xml:space="preserve">as partes fueron omisas </w:t>
      </w:r>
      <w:r w:rsidR="00BD33CA">
        <w:rPr>
          <w:bCs/>
        </w:rPr>
        <w:t>en emitir manifestaciones o alegatos.</w:t>
      </w:r>
    </w:p>
    <w:p w14:paraId="07310D90" w14:textId="77777777" w:rsidR="00A56F15" w:rsidRPr="007A1A83" w:rsidRDefault="00A56F15" w:rsidP="006A0A8E">
      <w:pPr>
        <w:spacing w:after="0" w:line="360" w:lineRule="auto"/>
        <w:rPr>
          <w:rFonts w:eastAsia="Palatino Linotype" w:cs="Palatino Linotype"/>
          <w:lang w:val="es-ES"/>
        </w:rPr>
      </w:pPr>
    </w:p>
    <w:p w14:paraId="0D1BD804" w14:textId="034C3554" w:rsidR="007A1A83" w:rsidRDefault="007A1A83" w:rsidP="006A0A8E">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 xml:space="preserve">d) Cierre de </w:t>
      </w:r>
      <w:r w:rsidRPr="00AB4E8B">
        <w:rPr>
          <w:rFonts w:eastAsia="Times New Roman" w:cs="Tahoma"/>
          <w:b/>
          <w:color w:val="auto"/>
          <w:szCs w:val="24"/>
          <w:lang w:eastAsia="es-ES"/>
        </w:rPr>
        <w:t>instrucción.</w:t>
      </w:r>
      <w:r w:rsidRPr="00AB4E8B">
        <w:rPr>
          <w:rFonts w:eastAsia="Times New Roman" w:cs="Tahoma"/>
          <w:color w:val="auto"/>
          <w:szCs w:val="24"/>
          <w:lang w:eastAsia="es-ES"/>
        </w:rPr>
        <w:t xml:space="preserve"> </w:t>
      </w:r>
      <w:r w:rsidRPr="00AB4E8B">
        <w:rPr>
          <w:rFonts w:eastAsia="Palatino Linotype" w:cs="Palatino Linotype"/>
          <w:lang w:val="es-ES"/>
        </w:rPr>
        <w:t xml:space="preserve">El </w:t>
      </w:r>
      <w:r w:rsidR="002B78A0">
        <w:rPr>
          <w:rFonts w:eastAsia="Palatino Linotype" w:cs="Palatino Linotype"/>
          <w:lang w:val="es-ES"/>
        </w:rPr>
        <w:t>trece</w:t>
      </w:r>
      <w:r>
        <w:rPr>
          <w:rFonts w:eastAsia="Palatino Linotype" w:cs="Palatino Linotype"/>
          <w:lang w:val="es-ES"/>
        </w:rPr>
        <w:t xml:space="preserve"> de enero de dos mil veintidós</w:t>
      </w:r>
      <w:r w:rsidRPr="00AB4E8B">
        <w:rPr>
          <w:rFonts w:eastAsia="Times New Roman" w:cs="Tahoma"/>
          <w:color w:val="auto"/>
          <w:szCs w:val="24"/>
          <w:lang w:eastAsia="es-ES"/>
        </w:rPr>
        <w:t>, al no existir</w:t>
      </w:r>
      <w:r>
        <w:rPr>
          <w:rFonts w:eastAsia="Times New Roman" w:cs="Tahoma"/>
          <w:color w:val="auto"/>
          <w:szCs w:val="24"/>
          <w:lang w:eastAsia="es-ES"/>
        </w:rPr>
        <w:t xml:space="preserve">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14:paraId="6E82FA4E" w14:textId="77777777" w:rsidR="007A1A83" w:rsidRPr="007A1A83" w:rsidRDefault="007A1A83" w:rsidP="006A0A8E">
      <w:pPr>
        <w:spacing w:after="0" w:line="360" w:lineRule="auto"/>
        <w:rPr>
          <w:rFonts w:eastAsia="Palatino Linotype" w:cs="Palatino Linotype"/>
          <w:lang w:val="es-ES"/>
        </w:rPr>
      </w:pPr>
    </w:p>
    <w:p w14:paraId="68005A8C" w14:textId="7A827590" w:rsidR="0052635E" w:rsidRPr="000B7029" w:rsidRDefault="007A1A83" w:rsidP="006A0A8E">
      <w:pPr>
        <w:spacing w:after="0" w:line="360" w:lineRule="auto"/>
      </w:pPr>
      <w:r>
        <w:rPr>
          <w:rFonts w:eastAsia="Palatino Linotype" w:cs="Palatino Linotype"/>
          <w:b/>
          <w:bCs/>
          <w:lang w:val="es-ES"/>
        </w:rPr>
        <w:t>e</w:t>
      </w:r>
      <w:r w:rsidR="0052635E" w:rsidRPr="004109D6">
        <w:rPr>
          <w:rFonts w:eastAsia="Palatino Linotype" w:cs="Palatino Linotype"/>
          <w:b/>
          <w:bCs/>
          <w:lang w:val="es-ES"/>
        </w:rPr>
        <w:t xml:space="preserve">) Ampliación de plazo para resolver. </w:t>
      </w:r>
      <w:r w:rsidR="0052635E" w:rsidRPr="004109D6">
        <w:rPr>
          <w:rFonts w:eastAsia="Palatino Linotype" w:cs="Palatino Linotype"/>
          <w:lang w:val="es-ES"/>
        </w:rPr>
        <w:t xml:space="preserve">El </w:t>
      </w:r>
      <w:r w:rsidR="000207C3">
        <w:rPr>
          <w:rFonts w:eastAsia="Palatino Linotype" w:cs="Palatino Linotype"/>
          <w:lang w:val="es-ES"/>
        </w:rPr>
        <w:t xml:space="preserve">diecisiete de </w:t>
      </w:r>
      <w:r w:rsidR="00296CCE">
        <w:rPr>
          <w:rFonts w:eastAsia="Palatino Linotype" w:cs="Palatino Linotype"/>
          <w:lang w:val="es-ES"/>
        </w:rPr>
        <w:t>enero de dos mil veintidós</w:t>
      </w:r>
      <w:r w:rsidR="0052635E" w:rsidRPr="004109D6">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52635E">
        <w:rPr>
          <w:rFonts w:eastAsia="Palatino Linotype" w:cs="Palatino Linotype"/>
          <w:lang w:val="es-ES"/>
        </w:rPr>
        <w:t>el Recurso</w:t>
      </w:r>
      <w:r w:rsidR="0052635E" w:rsidRPr="004109D6">
        <w:rPr>
          <w:rFonts w:eastAsia="Palatino Linotype" w:cs="Palatino Linotype"/>
          <w:lang w:val="es-ES"/>
        </w:rPr>
        <w:t xml:space="preserve"> de Revisión que nos ocupa; acto que fue notificado a las partes, mediante el Sistema de Acceso a la Información Mexiquense (SAIMEX</w:t>
      </w:r>
      <w:r w:rsidR="0052635E" w:rsidRPr="00D9260D">
        <w:rPr>
          <w:rFonts w:eastAsia="Palatino Linotype" w:cs="Palatino Linotype"/>
          <w:lang w:val="es-ES"/>
        </w:rPr>
        <w:t>).</w:t>
      </w:r>
    </w:p>
    <w:p w14:paraId="1A456E14" w14:textId="77777777" w:rsidR="00A56F15" w:rsidRDefault="00A56F15" w:rsidP="006A0A8E">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749CACEF" w14:textId="77777777" w:rsidR="00A56F15" w:rsidRPr="00B92F1D" w:rsidRDefault="00A56F15" w:rsidP="006A0A8E">
      <w:pPr>
        <w:spacing w:after="0" w:line="360" w:lineRule="auto"/>
        <w:rPr>
          <w:rFonts w:eastAsia="Times New Roman" w:cs="Tahoma"/>
          <w:bCs/>
          <w:iCs/>
          <w:color w:val="auto"/>
          <w:lang w:val="es-ES" w:eastAsia="es-ES"/>
        </w:rPr>
      </w:pPr>
    </w:p>
    <w:p w14:paraId="39A34B74" w14:textId="77777777" w:rsidR="00A56F15" w:rsidRPr="00B92F1D" w:rsidRDefault="00A56F15" w:rsidP="006A0A8E">
      <w:pPr>
        <w:spacing w:after="0" w:line="360" w:lineRule="auto"/>
        <w:jc w:val="center"/>
        <w:rPr>
          <w:rFonts w:eastAsia="Times New Roman" w:cs="Tahoma"/>
          <w:b/>
          <w:color w:val="auto"/>
          <w:lang w:val="es-ES" w:eastAsia="es-ES"/>
        </w:rPr>
      </w:pPr>
      <w:r w:rsidRPr="00B92F1D">
        <w:rPr>
          <w:rFonts w:eastAsia="Times New Roman" w:cs="Tahoma"/>
          <w:b/>
          <w:color w:val="auto"/>
          <w:lang w:val="es-ES" w:eastAsia="es-ES"/>
        </w:rPr>
        <w:t>C O N S I D E R A N D O S:</w:t>
      </w:r>
    </w:p>
    <w:p w14:paraId="48927A15" w14:textId="77777777" w:rsidR="00A56F15" w:rsidRPr="00B92F1D" w:rsidRDefault="00A56F15" w:rsidP="006A0A8E">
      <w:pPr>
        <w:spacing w:after="0" w:line="360" w:lineRule="auto"/>
        <w:rPr>
          <w:b/>
        </w:rPr>
      </w:pPr>
    </w:p>
    <w:p w14:paraId="36624269" w14:textId="77777777" w:rsidR="00A56F15" w:rsidRPr="00B92F1D" w:rsidRDefault="00A56F15" w:rsidP="006A0A8E">
      <w:pPr>
        <w:autoSpaceDE w:val="0"/>
        <w:autoSpaceDN w:val="0"/>
        <w:adjustRightInd w:val="0"/>
        <w:spacing w:after="0" w:line="360" w:lineRule="auto"/>
        <w:rPr>
          <w:rFonts w:eastAsia="Times New Roman" w:cs="Tahoma"/>
          <w:b/>
          <w:color w:val="auto"/>
          <w:szCs w:val="24"/>
          <w:lang w:val="es-ES" w:eastAsia="es-ES"/>
        </w:rPr>
      </w:pPr>
      <w:r w:rsidRPr="00B92F1D">
        <w:rPr>
          <w:rFonts w:eastAsia="Calibri" w:cs="Tahoma"/>
          <w:b/>
          <w:color w:val="000000"/>
          <w:szCs w:val="24"/>
          <w:lang w:val="es-ES" w:eastAsia="es-MX"/>
        </w:rPr>
        <w:t>PRIMERO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Competencia.</w:t>
      </w:r>
    </w:p>
    <w:p w14:paraId="729A7442" w14:textId="77777777" w:rsidR="00A56F15" w:rsidRPr="00B92F1D" w:rsidRDefault="00A56F15" w:rsidP="006A0A8E">
      <w:pPr>
        <w:autoSpaceDE w:val="0"/>
        <w:autoSpaceDN w:val="0"/>
        <w:adjustRightInd w:val="0"/>
        <w:spacing w:after="0" w:line="360" w:lineRule="auto"/>
        <w:rPr>
          <w:rFonts w:eastAsia="Times New Roman" w:cs="Tahoma"/>
          <w:b/>
          <w:color w:val="auto"/>
          <w:szCs w:val="24"/>
          <w:lang w:val="es-ES" w:eastAsia="es-ES"/>
        </w:rPr>
      </w:pPr>
    </w:p>
    <w:p w14:paraId="2A6AF812" w14:textId="77777777" w:rsidR="00A56F15" w:rsidRPr="00B92F1D" w:rsidRDefault="00A56F15" w:rsidP="006A0A8E">
      <w:pPr>
        <w:spacing w:after="0" w:line="360" w:lineRule="auto"/>
        <w:rPr>
          <w:rFonts w:eastAsia="Times New Roman" w:cs="Tahoma"/>
          <w:bCs/>
          <w:color w:val="auto"/>
          <w:lang w:eastAsia="es-ES"/>
        </w:rPr>
      </w:pPr>
      <w:r w:rsidRPr="00B92F1D">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Pr>
          <w:rFonts w:eastAsia="Times New Roman" w:cs="Tahoma"/>
          <w:bCs/>
          <w:color w:val="auto"/>
          <w:lang w:eastAsia="es-ES"/>
        </w:rPr>
        <w:t xml:space="preserve">, </w:t>
      </w:r>
      <w:r w:rsidRPr="00B92F1D">
        <w:rPr>
          <w:rFonts w:eastAsia="Times New Roman" w:cs="Tahoma"/>
          <w:bCs/>
          <w:color w:val="auto"/>
          <w:lang w:eastAsia="es-ES"/>
        </w:rPr>
        <w:t>trigésimo primero</w:t>
      </w:r>
      <w:r>
        <w:rPr>
          <w:rFonts w:eastAsia="Times New Roman" w:cs="Tahoma"/>
          <w:bCs/>
          <w:color w:val="auto"/>
          <w:lang w:eastAsia="es-ES"/>
        </w:rPr>
        <w:t xml:space="preserve"> y trigésimo segundo</w:t>
      </w:r>
      <w:r w:rsidRPr="00B92F1D">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92F1D">
        <w:rPr>
          <w:rFonts w:eastAsia="Times New Roman" w:cs="Times New Roman"/>
          <w:bCs/>
          <w:color w:val="auto"/>
          <w:lang w:eastAsia="es-ES"/>
        </w:rPr>
        <w:t xml:space="preserve"> 7°, </w:t>
      </w:r>
      <w:r w:rsidRPr="00B92F1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64BB9A30" w14:textId="77777777" w:rsidR="00A56F15" w:rsidRPr="00B92F1D" w:rsidRDefault="00A56F15" w:rsidP="006A0A8E">
      <w:pPr>
        <w:spacing w:after="0" w:line="360" w:lineRule="auto"/>
        <w:rPr>
          <w:rFonts w:eastAsia="Times New Roman" w:cs="Tahoma"/>
          <w:bCs/>
          <w:color w:val="auto"/>
          <w:lang w:eastAsia="es-ES"/>
        </w:rPr>
      </w:pPr>
    </w:p>
    <w:p w14:paraId="0C170080" w14:textId="77777777" w:rsidR="00A56F15" w:rsidRPr="00B92F1D" w:rsidRDefault="00A56F15" w:rsidP="006A0A8E">
      <w:pPr>
        <w:autoSpaceDE w:val="0"/>
        <w:autoSpaceDN w:val="0"/>
        <w:adjustRightInd w:val="0"/>
        <w:spacing w:after="0" w:line="360" w:lineRule="auto"/>
        <w:rPr>
          <w:rFonts w:eastAsia="Times New Roman" w:cs="Tahoma"/>
          <w:color w:val="auto"/>
          <w:szCs w:val="24"/>
          <w:lang w:val="es-ES" w:eastAsia="es-ES"/>
        </w:rPr>
      </w:pPr>
      <w:r w:rsidRPr="00B92F1D">
        <w:rPr>
          <w:rFonts w:eastAsia="Calibri" w:cs="Tahoma"/>
          <w:b/>
          <w:color w:val="000000"/>
          <w:szCs w:val="24"/>
          <w:lang w:val="es-ES" w:eastAsia="es-MX"/>
        </w:rPr>
        <w:t>SEGUNDO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Causales de improcedencia y sobreseimiento.</w:t>
      </w:r>
      <w:r w:rsidRPr="00B92F1D">
        <w:rPr>
          <w:rFonts w:eastAsia="Times New Roman" w:cs="Tahoma"/>
          <w:color w:val="auto"/>
          <w:szCs w:val="24"/>
          <w:lang w:val="es-ES" w:eastAsia="es-ES"/>
        </w:rPr>
        <w:t xml:space="preserve"> </w:t>
      </w:r>
    </w:p>
    <w:p w14:paraId="697AF8E7" w14:textId="77777777" w:rsidR="00A56F15" w:rsidRPr="00B92F1D" w:rsidRDefault="00A56F15" w:rsidP="006A0A8E">
      <w:pPr>
        <w:autoSpaceDE w:val="0"/>
        <w:autoSpaceDN w:val="0"/>
        <w:adjustRightInd w:val="0"/>
        <w:spacing w:after="0" w:line="360" w:lineRule="auto"/>
        <w:rPr>
          <w:rFonts w:eastAsia="Times New Roman" w:cs="Tahoma"/>
          <w:color w:val="auto"/>
          <w:szCs w:val="24"/>
          <w:lang w:val="es-ES" w:eastAsia="es-ES"/>
        </w:rPr>
      </w:pPr>
    </w:p>
    <w:p w14:paraId="2DAB9DEB" w14:textId="77777777" w:rsidR="00A56F15" w:rsidRPr="00B92F1D" w:rsidRDefault="00A56F15" w:rsidP="006A0A8E">
      <w:pPr>
        <w:autoSpaceDE w:val="0"/>
        <w:autoSpaceDN w:val="0"/>
        <w:adjustRightInd w:val="0"/>
        <w:spacing w:after="0" w:line="360" w:lineRule="auto"/>
        <w:rPr>
          <w:rFonts w:eastAsia="Times New Roman" w:cs="Tahoma"/>
          <w:color w:val="auto"/>
          <w:szCs w:val="24"/>
          <w:lang w:val="es-ES" w:eastAsia="es-ES"/>
        </w:rPr>
      </w:pPr>
      <w:r w:rsidRPr="00B92F1D">
        <w:rPr>
          <w:rFonts w:eastAsia="Times New Roman" w:cs="Tahoma"/>
          <w:color w:val="auto"/>
          <w:szCs w:val="24"/>
          <w:lang w:val="es-ES" w:eastAsia="es-ES"/>
        </w:rPr>
        <w:t xml:space="preserve">De las constancias que forma parte del Recurso de Revisión que se analiza, se advierte que previo al estudio del fondo de la </w:t>
      </w:r>
      <w:r w:rsidRPr="00B92F1D">
        <w:rPr>
          <w:rFonts w:eastAsia="Times New Roman" w:cs="Tahoma"/>
          <w:i/>
          <w:color w:val="auto"/>
          <w:szCs w:val="24"/>
          <w:lang w:val="es-ES" w:eastAsia="es-ES"/>
        </w:rPr>
        <w:t>litis</w:t>
      </w:r>
      <w:r w:rsidRPr="00B92F1D">
        <w:rPr>
          <w:rFonts w:eastAsia="Times New Roman" w:cs="Tahoma"/>
          <w:color w:val="auto"/>
          <w:szCs w:val="24"/>
          <w:lang w:val="es-ES" w:eastAsia="es-ES"/>
        </w:rPr>
        <w:t>, es necesario estudiar las causales de improcedencia y sobreseimiento que se adviertan, para determinar lo que en Derecho proceda.</w:t>
      </w:r>
    </w:p>
    <w:p w14:paraId="2BD61EB5" w14:textId="77777777" w:rsidR="00A56F15" w:rsidRPr="00B92F1D" w:rsidRDefault="00A56F15" w:rsidP="006A0A8E">
      <w:pPr>
        <w:autoSpaceDE w:val="0"/>
        <w:autoSpaceDN w:val="0"/>
        <w:adjustRightInd w:val="0"/>
        <w:spacing w:after="0" w:line="360" w:lineRule="auto"/>
        <w:rPr>
          <w:rFonts w:eastAsia="Times New Roman" w:cs="Tahoma"/>
          <w:color w:val="auto"/>
          <w:szCs w:val="24"/>
          <w:lang w:val="es-ES" w:eastAsia="es-ES"/>
        </w:rPr>
      </w:pPr>
    </w:p>
    <w:p w14:paraId="5064D387" w14:textId="77777777" w:rsidR="00A56F15" w:rsidRDefault="00A56F15" w:rsidP="006A0A8E">
      <w:pPr>
        <w:autoSpaceDE w:val="0"/>
        <w:autoSpaceDN w:val="0"/>
        <w:adjustRightInd w:val="0"/>
        <w:spacing w:after="0" w:line="360" w:lineRule="auto"/>
        <w:rPr>
          <w:rFonts w:eastAsia="Calibri" w:cs="Tahoma"/>
          <w:color w:val="000000"/>
          <w:szCs w:val="24"/>
          <w:lang w:val="es-ES" w:eastAsia="es-MX"/>
        </w:rPr>
      </w:pPr>
      <w:r w:rsidRPr="00B92F1D">
        <w:rPr>
          <w:rFonts w:eastAsia="Calibri" w:cs="Tahoma"/>
          <w:b/>
          <w:color w:val="000000"/>
          <w:szCs w:val="24"/>
          <w:lang w:val="es-ES" w:eastAsia="es-MX"/>
        </w:rPr>
        <w:t>Causales de improcedencia.</w:t>
      </w:r>
      <w:r w:rsidRPr="00B92F1D">
        <w:rPr>
          <w:rFonts w:eastAsia="Calibri" w:cs="Tahoma"/>
          <w:color w:val="000000"/>
          <w:szCs w:val="24"/>
          <w:lang w:val="es-ES" w:eastAsia="es-MX"/>
        </w:rPr>
        <w:t xml:space="preserve"> </w:t>
      </w:r>
    </w:p>
    <w:p w14:paraId="4713D0B6" w14:textId="77777777" w:rsidR="00A56F15" w:rsidRPr="00B92F1D" w:rsidRDefault="00A56F15" w:rsidP="006A0A8E">
      <w:pPr>
        <w:autoSpaceDE w:val="0"/>
        <w:autoSpaceDN w:val="0"/>
        <w:adjustRightInd w:val="0"/>
        <w:spacing w:after="0" w:line="360" w:lineRule="auto"/>
        <w:rPr>
          <w:rFonts w:eastAsia="Calibri" w:cs="Tahoma"/>
          <w:color w:val="000000"/>
          <w:szCs w:val="24"/>
          <w:lang w:val="es-ES" w:eastAsia="es-MX"/>
        </w:rPr>
      </w:pPr>
    </w:p>
    <w:p w14:paraId="5E3ABAD2" w14:textId="77777777" w:rsidR="00A56F15" w:rsidRPr="00B92F1D" w:rsidRDefault="00A56F15" w:rsidP="006A0A8E">
      <w:pPr>
        <w:autoSpaceDE w:val="0"/>
        <w:autoSpaceDN w:val="0"/>
        <w:adjustRightInd w:val="0"/>
        <w:spacing w:after="0" w:line="360" w:lineRule="auto"/>
        <w:rPr>
          <w:rFonts w:eastAsia="Calibri" w:cs="Tahoma"/>
          <w:color w:val="000000"/>
          <w:lang w:val="es-ES" w:eastAsia="es-MX"/>
        </w:rPr>
      </w:pPr>
      <w:r w:rsidRPr="00B92F1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92F1D">
        <w:rPr>
          <w:rFonts w:eastAsia="Calibri" w:cs="Tahoma"/>
          <w:b/>
          <w:bCs/>
          <w:color w:val="000000"/>
          <w:lang w:eastAsia="es-MX"/>
        </w:rPr>
        <w:t xml:space="preserve"> </w:t>
      </w:r>
      <w:r w:rsidRPr="00B92F1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E1DE8ED" w14:textId="77777777" w:rsidR="00A56F15" w:rsidRPr="00B92F1D" w:rsidRDefault="00A56F15" w:rsidP="006A0A8E">
      <w:pPr>
        <w:autoSpaceDE w:val="0"/>
        <w:autoSpaceDN w:val="0"/>
        <w:adjustRightInd w:val="0"/>
        <w:spacing w:after="0" w:line="360" w:lineRule="auto"/>
        <w:rPr>
          <w:rFonts w:eastAsia="Calibri" w:cs="Tahoma"/>
          <w:color w:val="000000"/>
          <w:lang w:eastAsia="es-MX"/>
        </w:rPr>
      </w:pPr>
    </w:p>
    <w:p w14:paraId="2C7D8F63" w14:textId="77777777" w:rsidR="00A56F15" w:rsidRPr="00B92F1D" w:rsidRDefault="00A56F15" w:rsidP="006A0A8E">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7F280C9" w14:textId="77777777" w:rsidR="00A56F15" w:rsidRPr="00B92F1D" w:rsidRDefault="00A56F15" w:rsidP="006A0A8E">
      <w:pPr>
        <w:spacing w:after="0" w:line="360" w:lineRule="auto"/>
        <w:rPr>
          <w:rFonts w:eastAsia="Times New Roman" w:cs="Tahoma"/>
          <w:b/>
          <w:bCs/>
          <w:color w:val="auto"/>
          <w:lang w:eastAsia="es-ES"/>
        </w:rPr>
      </w:pPr>
    </w:p>
    <w:p w14:paraId="5D438538" w14:textId="494187E0" w:rsidR="00A56F15" w:rsidRDefault="00A56F15" w:rsidP="006A0A8E">
      <w:pPr>
        <w:spacing w:after="0" w:line="360" w:lineRule="auto"/>
        <w:rPr>
          <w:rFonts w:eastAsia="Times New Roman" w:cs="Tahoma"/>
          <w:color w:val="auto"/>
          <w:lang w:val="es-ES" w:eastAsia="es-ES"/>
        </w:rPr>
      </w:pPr>
      <w:r w:rsidRPr="00B92F1D">
        <w:rPr>
          <w:rFonts w:eastAsia="Times New Roman" w:cs="Tahoma"/>
          <w:color w:val="auto"/>
          <w:lang w:eastAsia="es-ES"/>
        </w:rPr>
        <w:t>Asimismo, se actualiza la causal de procedencia del Recurso de Revisión señalada</w:t>
      </w:r>
      <w:r w:rsidR="001C1601">
        <w:rPr>
          <w:rFonts w:eastAsia="Times New Roman" w:cs="Tahoma"/>
          <w:color w:val="auto"/>
          <w:lang w:eastAsia="es-ES"/>
        </w:rPr>
        <w:t xml:space="preserve"> en el artículo 179, fracción </w:t>
      </w:r>
      <w:r w:rsidR="009B1161">
        <w:rPr>
          <w:rFonts w:eastAsia="Times New Roman" w:cs="Tahoma"/>
          <w:color w:val="auto"/>
          <w:lang w:eastAsia="es-ES"/>
        </w:rPr>
        <w:t>II</w:t>
      </w:r>
      <w:r>
        <w:rPr>
          <w:rFonts w:eastAsia="Times New Roman" w:cs="Tahoma"/>
          <w:color w:val="auto"/>
          <w:lang w:eastAsia="es-ES"/>
        </w:rPr>
        <w:t xml:space="preserve">I,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009B1161">
        <w:rPr>
          <w:rFonts w:eastAsia="Calibri" w:cs="Tahoma"/>
          <w:color w:val="000000"/>
          <w:lang w:eastAsia="es-MX"/>
        </w:rPr>
        <w:t>pues el</w:t>
      </w:r>
      <w:r w:rsidRPr="00B92F1D">
        <w:rPr>
          <w:rFonts w:eastAsia="Calibri" w:cs="Tahoma"/>
          <w:color w:val="000000"/>
          <w:lang w:eastAsia="es-MX"/>
        </w:rPr>
        <w:t xml:space="preserve"> Recurrente se inconformó </w:t>
      </w:r>
      <w:r>
        <w:rPr>
          <w:rFonts w:eastAsia="Times New Roman" w:cs="Tahoma"/>
          <w:color w:val="auto"/>
          <w:lang w:val="es-ES" w:eastAsia="es-ES"/>
        </w:rPr>
        <w:t>con la inexistencia de la información.</w:t>
      </w:r>
    </w:p>
    <w:p w14:paraId="025AAC42" w14:textId="77777777" w:rsidR="00A56F15" w:rsidRPr="00E02E0E" w:rsidRDefault="00A56F15" w:rsidP="006A0A8E">
      <w:pPr>
        <w:spacing w:after="0" w:line="360" w:lineRule="auto"/>
        <w:rPr>
          <w:rFonts w:eastAsia="Times New Roman" w:cs="Tahoma"/>
          <w:color w:val="auto"/>
          <w:lang w:val="es-ES" w:eastAsia="es-ES"/>
        </w:rPr>
      </w:pPr>
    </w:p>
    <w:p w14:paraId="6B8F1D91" w14:textId="77777777" w:rsidR="00A56F15" w:rsidRDefault="00A56F15" w:rsidP="006A0A8E">
      <w:pPr>
        <w:spacing w:after="0" w:line="360" w:lineRule="auto"/>
        <w:rPr>
          <w:rFonts w:eastAsia="Times New Roman" w:cs="Tahoma"/>
          <w:b/>
          <w:bCs/>
          <w:color w:val="auto"/>
          <w:lang w:eastAsia="es-ES"/>
        </w:rPr>
      </w:pPr>
      <w:r w:rsidRPr="00B92F1D">
        <w:rPr>
          <w:rFonts w:eastAsia="Times New Roman" w:cs="Tahoma"/>
          <w:b/>
          <w:bCs/>
          <w:color w:val="auto"/>
          <w:lang w:eastAsia="es-ES"/>
        </w:rPr>
        <w:t>Causales de sobreseimiento.</w:t>
      </w:r>
    </w:p>
    <w:p w14:paraId="6C6E295A" w14:textId="77777777" w:rsidR="00A56F15" w:rsidRPr="00B92F1D" w:rsidRDefault="00A56F15" w:rsidP="006A0A8E">
      <w:pPr>
        <w:spacing w:after="0" w:line="360" w:lineRule="auto"/>
        <w:rPr>
          <w:rFonts w:eastAsia="Times New Roman" w:cs="Tahoma"/>
          <w:b/>
          <w:bCs/>
          <w:color w:val="auto"/>
          <w:lang w:eastAsia="es-ES"/>
        </w:rPr>
      </w:pPr>
    </w:p>
    <w:p w14:paraId="40AA080E" w14:textId="570A46D9" w:rsidR="00A56F15" w:rsidRDefault="00A56F15" w:rsidP="006A0A8E">
      <w:pPr>
        <w:spacing w:after="0" w:line="360" w:lineRule="auto"/>
        <w:rPr>
          <w:rFonts w:eastAsia="Times New Roman" w:cs="Tahoma"/>
          <w:color w:val="auto"/>
          <w:szCs w:val="24"/>
          <w:lang w:eastAsia="es-ES"/>
        </w:rPr>
      </w:pPr>
      <w:r w:rsidRPr="00B92F1D">
        <w:rPr>
          <w:rFonts w:eastAsia="Times New Roman" w:cs="Tahoma"/>
          <w:color w:val="auto"/>
          <w:szCs w:val="24"/>
          <w:lang w:eastAsia="es-ES"/>
        </w:rPr>
        <w:t>Por ser de previo y especial pronunciamiento, este Instituto analiza si se actualiza alguna causal de sobreseimiento.</w:t>
      </w:r>
    </w:p>
    <w:p w14:paraId="404CE699" w14:textId="77777777" w:rsidR="002223DF" w:rsidRPr="00B92F1D" w:rsidRDefault="002223DF" w:rsidP="006A0A8E">
      <w:pPr>
        <w:spacing w:after="0" w:line="360" w:lineRule="auto"/>
        <w:rPr>
          <w:rFonts w:eastAsia="Times New Roman" w:cs="Tahoma"/>
          <w:color w:val="auto"/>
          <w:szCs w:val="24"/>
          <w:lang w:eastAsia="es-ES"/>
        </w:rPr>
      </w:pPr>
    </w:p>
    <w:p w14:paraId="5603D9A6" w14:textId="77777777" w:rsidR="00A56F15" w:rsidRPr="00B92F1D" w:rsidRDefault="00A56F15" w:rsidP="006A0A8E">
      <w:pPr>
        <w:spacing w:after="0" w:line="360" w:lineRule="auto"/>
        <w:rPr>
          <w:rFonts w:eastAsia="Times New Roman" w:cs="Tahoma"/>
          <w:color w:val="auto"/>
          <w:szCs w:val="24"/>
          <w:lang w:eastAsia="es-ES"/>
        </w:rPr>
      </w:pPr>
      <w:r w:rsidRPr="00B92F1D">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C1A9F7" w14:textId="77777777" w:rsidR="00A56F15" w:rsidRPr="00B92F1D" w:rsidRDefault="00A56F15" w:rsidP="006A0A8E">
      <w:pPr>
        <w:spacing w:after="0" w:line="360" w:lineRule="auto"/>
        <w:rPr>
          <w:rFonts w:eastAsia="Times New Roman" w:cs="Tahoma"/>
          <w:color w:val="auto"/>
          <w:szCs w:val="24"/>
          <w:lang w:eastAsia="es-ES"/>
        </w:rPr>
      </w:pPr>
    </w:p>
    <w:p w14:paraId="5CA261D0" w14:textId="77777777" w:rsidR="00A56F15" w:rsidRPr="00B92F1D" w:rsidRDefault="00A56F15" w:rsidP="006A0A8E">
      <w:pPr>
        <w:spacing w:after="0" w:line="360" w:lineRule="auto"/>
        <w:rPr>
          <w:rFonts w:eastAsia="Times New Roman" w:cs="Tahoma"/>
          <w:color w:val="auto"/>
          <w:szCs w:val="24"/>
          <w:lang w:val="es-ES" w:eastAsia="es-ES"/>
        </w:rPr>
      </w:pPr>
      <w:r w:rsidRPr="00B92F1D">
        <w:rPr>
          <w:rFonts w:eastAsia="Times New Roman" w:cs="Tahoma"/>
          <w:bCs/>
          <w:color w:val="auto"/>
          <w:szCs w:val="24"/>
          <w:lang w:val="es-ES" w:eastAsia="es-ES"/>
        </w:rPr>
        <w:t xml:space="preserve">Por tales motivos, </w:t>
      </w:r>
      <w:r w:rsidRPr="00B92F1D">
        <w:rPr>
          <w:rFonts w:eastAsia="Times New Roman" w:cs="Tahoma"/>
          <w:color w:val="auto"/>
          <w:szCs w:val="24"/>
          <w:lang w:val="es-ES" w:eastAsia="es-ES"/>
        </w:rPr>
        <w:t>se considera procedente entrar al fondo del presente asunto.</w:t>
      </w:r>
    </w:p>
    <w:p w14:paraId="6125AC96" w14:textId="77777777" w:rsidR="00263D77" w:rsidRPr="00B92F1D" w:rsidRDefault="00263D77" w:rsidP="006A0A8E">
      <w:pPr>
        <w:spacing w:after="0" w:line="360" w:lineRule="auto"/>
      </w:pPr>
    </w:p>
    <w:p w14:paraId="020117EB" w14:textId="77777777" w:rsidR="00A56F15" w:rsidRPr="00B92F1D" w:rsidRDefault="00A56F15" w:rsidP="006A0A8E">
      <w:pPr>
        <w:spacing w:after="0" w:line="360" w:lineRule="auto"/>
        <w:rPr>
          <w:rFonts w:eastAsia="Times New Roman" w:cs="Tahoma"/>
          <w:b/>
          <w:bCs/>
          <w:iCs/>
          <w:color w:val="auto"/>
          <w:lang w:val="es-ES" w:eastAsia="es-ES"/>
        </w:rPr>
      </w:pPr>
      <w:r w:rsidRPr="00BB7267">
        <w:rPr>
          <w:rFonts w:eastAsia="Times New Roman" w:cs="Tahoma"/>
          <w:b/>
          <w:bCs/>
          <w:iCs/>
          <w:color w:val="auto"/>
          <w:lang w:val="es-ES" w:eastAsia="es-ES"/>
        </w:rPr>
        <w:t>TERCERO. Determinación de la Controversia.</w:t>
      </w:r>
      <w:r w:rsidRPr="00B92F1D">
        <w:rPr>
          <w:rFonts w:eastAsia="Times New Roman" w:cs="Tahoma"/>
          <w:b/>
          <w:bCs/>
          <w:iCs/>
          <w:color w:val="auto"/>
          <w:lang w:val="es-ES" w:eastAsia="es-ES"/>
        </w:rPr>
        <w:t xml:space="preserve"> </w:t>
      </w:r>
    </w:p>
    <w:p w14:paraId="7EFF3D00" w14:textId="77777777" w:rsidR="00A56F15" w:rsidRPr="00B92F1D" w:rsidRDefault="00A56F15" w:rsidP="006A0A8E">
      <w:pPr>
        <w:autoSpaceDE w:val="0"/>
        <w:autoSpaceDN w:val="0"/>
        <w:adjustRightInd w:val="0"/>
        <w:spacing w:after="0" w:line="360" w:lineRule="auto"/>
        <w:rPr>
          <w:rFonts w:eastAsia="Calibri" w:cs="Tahoma"/>
          <w:color w:val="000000"/>
          <w:szCs w:val="24"/>
          <w:lang w:val="es-ES" w:eastAsia="es-MX"/>
        </w:rPr>
      </w:pPr>
    </w:p>
    <w:p w14:paraId="17022623" w14:textId="2AEE513A" w:rsidR="006A5311" w:rsidRDefault="005879E4" w:rsidP="006A0A8E">
      <w:pPr>
        <w:tabs>
          <w:tab w:val="center" w:pos="4522"/>
        </w:tabs>
        <w:spacing w:after="0" w:line="360" w:lineRule="auto"/>
        <w:contextualSpacing/>
        <w:rPr>
          <w:rFonts w:eastAsia="Calibri" w:cs="Tahoma"/>
          <w:iCs/>
          <w:lang w:val="es-ES" w:eastAsia="es-ES_tradnl"/>
        </w:rPr>
      </w:pPr>
      <w:r w:rsidRPr="005879E4">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w:t>
      </w:r>
      <w:r w:rsidR="00263D77">
        <w:rPr>
          <w:rFonts w:eastAsia="Calibri" w:cs="Tahoma"/>
          <w:iCs/>
          <w:lang w:val="es-ES" w:eastAsia="es-ES_tradnl"/>
        </w:rPr>
        <w:t>Particular requirió</w:t>
      </w:r>
      <w:r w:rsidR="00C44B10">
        <w:rPr>
          <w:rFonts w:eastAsia="Calibri" w:cs="Tahoma"/>
          <w:iCs/>
          <w:lang w:val="es-ES" w:eastAsia="es-ES_tradnl"/>
        </w:rPr>
        <w:t xml:space="preserve"> </w:t>
      </w:r>
      <w:r w:rsidR="006A5311">
        <w:rPr>
          <w:rFonts w:eastAsia="Calibri" w:cs="Tahoma"/>
          <w:iCs/>
          <w:lang w:val="es-ES" w:eastAsia="es-ES_tradnl"/>
        </w:rPr>
        <w:t xml:space="preserve">los permisos </w:t>
      </w:r>
      <w:r w:rsidR="001C1601">
        <w:rPr>
          <w:rFonts w:eastAsia="Calibri" w:cs="Tahoma"/>
          <w:iCs/>
          <w:lang w:val="es-ES" w:eastAsia="es-ES_tradnl"/>
        </w:rPr>
        <w:t>emitidos por el</w:t>
      </w:r>
      <w:r w:rsidR="006A5311">
        <w:rPr>
          <w:rFonts w:eastAsia="Calibri" w:cs="Tahoma"/>
          <w:iCs/>
          <w:lang w:val="es-ES" w:eastAsia="es-ES_tradnl"/>
        </w:rPr>
        <w:t xml:space="preserve"> </w:t>
      </w:r>
      <w:r w:rsidR="006A5311" w:rsidRPr="006A5311">
        <w:rPr>
          <w:rFonts w:eastAsia="Calibri" w:cs="Tahoma"/>
          <w:iCs/>
          <w:lang w:val="es-ES" w:eastAsia="es-ES_tradnl"/>
        </w:rPr>
        <w:t xml:space="preserve">Ayuntamiento de </w:t>
      </w:r>
      <w:proofErr w:type="spellStart"/>
      <w:r w:rsidR="006A5311" w:rsidRPr="006A5311">
        <w:rPr>
          <w:rFonts w:eastAsia="Calibri" w:cs="Tahoma"/>
          <w:iCs/>
          <w:lang w:val="es-ES" w:eastAsia="es-ES_tradnl"/>
        </w:rPr>
        <w:t>Otzoloapan</w:t>
      </w:r>
      <w:proofErr w:type="spellEnd"/>
      <w:r w:rsidR="006A5311">
        <w:rPr>
          <w:rFonts w:eastAsia="Calibri" w:cs="Tahoma"/>
          <w:iCs/>
          <w:lang w:val="es-ES" w:eastAsia="es-ES_tradnl"/>
        </w:rPr>
        <w:t xml:space="preserve">, </w:t>
      </w:r>
      <w:r w:rsidR="001C1601">
        <w:rPr>
          <w:rFonts w:eastAsia="Calibri" w:cs="Tahoma"/>
          <w:iCs/>
          <w:lang w:val="es-ES" w:eastAsia="es-ES_tradnl"/>
        </w:rPr>
        <w:t xml:space="preserve">para puestos semifijos, en </w:t>
      </w:r>
      <w:r w:rsidR="006A5311">
        <w:rPr>
          <w:rFonts w:eastAsia="Calibri" w:cs="Tahoma"/>
          <w:iCs/>
          <w:lang w:val="es-ES" w:eastAsia="es-ES_tradnl"/>
        </w:rPr>
        <w:t xml:space="preserve">el mes de julio de dos mil veintiuno. </w:t>
      </w:r>
    </w:p>
    <w:p w14:paraId="2317477F" w14:textId="77777777" w:rsidR="00C44B10" w:rsidRDefault="00C44B10" w:rsidP="006A0A8E">
      <w:pPr>
        <w:tabs>
          <w:tab w:val="center" w:pos="4522"/>
        </w:tabs>
        <w:spacing w:after="0" w:line="360" w:lineRule="auto"/>
        <w:contextualSpacing/>
        <w:rPr>
          <w:rFonts w:eastAsia="Calibri" w:cs="Tahoma"/>
          <w:iCs/>
          <w:lang w:val="es-ES" w:eastAsia="es-ES_tradnl"/>
        </w:rPr>
      </w:pPr>
    </w:p>
    <w:p w14:paraId="4F1E92FA" w14:textId="1863D1FB" w:rsidR="00C44B10" w:rsidRDefault="0020381B" w:rsidP="006A0A8E">
      <w:pPr>
        <w:tabs>
          <w:tab w:val="center" w:pos="4522"/>
        </w:tabs>
        <w:spacing w:after="0" w:line="360" w:lineRule="auto"/>
        <w:contextualSpacing/>
        <w:rPr>
          <w:rFonts w:eastAsia="Calibri" w:cs="Tahoma"/>
          <w:iCs/>
          <w:lang w:val="es-ES" w:eastAsia="es-ES_tradnl"/>
        </w:rPr>
      </w:pPr>
      <w:r>
        <w:rPr>
          <w:rFonts w:eastAsia="Calibri" w:cs="Tahoma"/>
          <w:iCs/>
          <w:lang w:val="es-ES" w:eastAsia="es-ES_tradnl"/>
        </w:rPr>
        <w:t>En respuesta, el Sujeto Obligado manifestó que</w:t>
      </w:r>
      <w:r w:rsidR="00305189">
        <w:rPr>
          <w:rFonts w:eastAsia="Calibri" w:cs="Tahoma"/>
          <w:iCs/>
          <w:lang w:val="es-ES" w:eastAsia="es-ES_tradnl"/>
        </w:rPr>
        <w:t xml:space="preserve"> durante el periodo solicitado, no se habían otorga</w:t>
      </w:r>
      <w:r w:rsidR="00C5037E">
        <w:rPr>
          <w:rFonts w:eastAsia="Calibri" w:cs="Tahoma"/>
          <w:iCs/>
          <w:lang w:val="es-ES" w:eastAsia="es-ES_tradnl"/>
        </w:rPr>
        <w:t>do permisos</w:t>
      </w:r>
      <w:r w:rsidR="001C1601">
        <w:rPr>
          <w:rFonts w:eastAsia="Calibri" w:cs="Tahoma"/>
          <w:iCs/>
          <w:lang w:val="es-ES" w:eastAsia="es-ES_tradnl"/>
        </w:rPr>
        <w:t>;</w:t>
      </w:r>
      <w:r w:rsidR="00C5037E">
        <w:rPr>
          <w:rFonts w:eastAsia="Calibri" w:cs="Tahoma"/>
          <w:iCs/>
          <w:lang w:val="es-ES" w:eastAsia="es-ES_tradnl"/>
        </w:rPr>
        <w:t xml:space="preserve"> </w:t>
      </w:r>
      <w:r w:rsidR="009B1161">
        <w:rPr>
          <w:rFonts w:eastAsia="Calibri" w:cs="Tahoma"/>
          <w:iCs/>
          <w:lang w:val="es-ES" w:eastAsia="es-ES_tradnl"/>
        </w:rPr>
        <w:t xml:space="preserve">ante dicha circunstancia, el Recurrente se inconformó </w:t>
      </w:r>
      <w:r w:rsidR="001C1601">
        <w:rPr>
          <w:rFonts w:eastAsia="Calibri" w:cs="Tahoma"/>
          <w:iCs/>
          <w:lang w:val="es-ES" w:eastAsia="es-ES_tradnl"/>
        </w:rPr>
        <w:t>con la inexistencia de la información</w:t>
      </w:r>
      <w:r w:rsidR="005F604E">
        <w:rPr>
          <w:rFonts w:eastAsia="Calibri" w:cs="Tahoma"/>
          <w:iCs/>
          <w:lang w:val="es-ES" w:eastAsia="es-ES_tradnl"/>
        </w:rPr>
        <w:t xml:space="preserve">, circunstancia que actualiza la causal de procedencia prevista en la fracción III del artículo </w:t>
      </w:r>
      <w:r w:rsidR="009B1161" w:rsidRPr="009B1161">
        <w:rPr>
          <w:rFonts w:eastAsia="Calibri" w:cs="Tahoma"/>
          <w:iCs/>
          <w:lang w:eastAsia="es-ES_tradnl"/>
        </w:rPr>
        <w:t>de la Ley de Transparencia y Acceso a la Información Pública del Estado de México y Municipios.</w:t>
      </w:r>
      <w:r w:rsidR="009B1161" w:rsidRPr="009B1161">
        <w:rPr>
          <w:rFonts w:eastAsia="Times New Roman" w:cs="Tahoma"/>
          <w:bCs/>
          <w:iCs/>
          <w:lang w:val="es-ES_tradnl" w:eastAsia="es-ES"/>
        </w:rPr>
        <w:t xml:space="preserve"> </w:t>
      </w:r>
      <w:r w:rsidR="009B1161" w:rsidRPr="009B1161">
        <w:rPr>
          <w:rFonts w:eastAsia="Calibri" w:cs="Tahoma"/>
          <w:bCs/>
          <w:iCs/>
          <w:lang w:val="es-ES_tradnl" w:eastAsia="es-ES_tradnl"/>
        </w:rPr>
        <w:t>Así las cosas, una vez admitido y notificado el Recurso de Revisión a las partes,</w:t>
      </w:r>
      <w:r w:rsidR="009B1161">
        <w:rPr>
          <w:rFonts w:eastAsia="Calibri" w:cs="Tahoma"/>
          <w:bCs/>
          <w:iCs/>
          <w:lang w:val="es-ES_tradnl" w:eastAsia="es-ES_tradnl"/>
        </w:rPr>
        <w:t xml:space="preserve"> estas fueron omisas en emitir manifestaciones o alegatos.</w:t>
      </w:r>
    </w:p>
    <w:p w14:paraId="28D78B47" w14:textId="77777777" w:rsidR="0020381B" w:rsidRDefault="0020381B" w:rsidP="006A0A8E">
      <w:pPr>
        <w:tabs>
          <w:tab w:val="center" w:pos="4522"/>
        </w:tabs>
        <w:spacing w:after="0" w:line="360" w:lineRule="auto"/>
        <w:contextualSpacing/>
        <w:rPr>
          <w:rFonts w:eastAsia="Calibri" w:cs="Tahoma"/>
          <w:iCs/>
          <w:lang w:val="es-ES" w:eastAsia="es-ES_tradnl"/>
        </w:rPr>
      </w:pPr>
    </w:p>
    <w:p w14:paraId="2904135B" w14:textId="77777777" w:rsidR="00A56F15" w:rsidRDefault="00A56F15" w:rsidP="006A0A8E">
      <w:pPr>
        <w:spacing w:after="0" w:line="360" w:lineRule="auto"/>
        <w:rPr>
          <w:rFonts w:eastAsia="Times New Roman" w:cs="Tahoma"/>
          <w:bCs/>
          <w:lang w:eastAsia="es-ES"/>
        </w:rPr>
      </w:pPr>
      <w:r w:rsidRPr="00B92F1D">
        <w:rPr>
          <w:rFonts w:eastAsia="Times New Roman" w:cs="Tahoma"/>
          <w:iCs/>
          <w:lang w:eastAsia="es-ES"/>
        </w:rPr>
        <w:t>Lo anterior, se desprende de las documentales que obran en los expedientes de referencia, materia de la presente resolución, consistente en: la solicitud de información</w:t>
      </w:r>
      <w:r>
        <w:rPr>
          <w:rFonts w:eastAsia="Times New Roman" w:cs="Tahoma"/>
          <w:iCs/>
          <w:lang w:eastAsia="es-ES"/>
        </w:rPr>
        <w:t>;</w:t>
      </w:r>
      <w:r w:rsidRPr="00B92F1D">
        <w:rPr>
          <w:rFonts w:eastAsia="Times New Roman" w:cs="Tahoma"/>
          <w:iCs/>
          <w:lang w:eastAsia="es-ES"/>
        </w:rPr>
        <w:t xml:space="preserve"> la respuesta otorgada por el Sujeto Obligado</w:t>
      </w:r>
      <w:r>
        <w:rPr>
          <w:rFonts w:eastAsia="Times New Roman" w:cs="Tahoma"/>
          <w:iCs/>
          <w:lang w:eastAsia="es-ES"/>
        </w:rPr>
        <w:t xml:space="preserve"> y</w:t>
      </w:r>
      <w:r w:rsidRPr="00B92F1D">
        <w:rPr>
          <w:rFonts w:eastAsia="Times New Roman" w:cs="Tahoma"/>
          <w:iCs/>
          <w:lang w:eastAsia="es-ES"/>
        </w:rPr>
        <w:t xml:space="preserve"> el escrito recursal</w:t>
      </w:r>
      <w:r>
        <w:rPr>
          <w:rFonts w:eastAsia="Times New Roman" w:cs="Tahoma"/>
          <w:iCs/>
          <w:lang w:eastAsia="es-ES"/>
        </w:rPr>
        <w:t>;</w:t>
      </w:r>
      <w:r w:rsidRPr="00B92F1D">
        <w:rPr>
          <w:rFonts w:eastAsia="Times New Roman" w:cs="Tahoma"/>
          <w:iCs/>
          <w:lang w:eastAsia="es-ES"/>
        </w:rPr>
        <w:t xml:space="preserve"> </w:t>
      </w:r>
      <w:r>
        <w:rPr>
          <w:rFonts w:eastAsia="Times New Roman" w:cs="Tahoma"/>
          <w:iCs/>
          <w:lang w:eastAsia="es-ES"/>
        </w:rPr>
        <w:t>i</w:t>
      </w:r>
      <w:r w:rsidRPr="00B92F1D">
        <w:rPr>
          <w:rFonts w:eastAsia="Times New Roman" w:cs="Tahoma"/>
          <w:iCs/>
          <w:lang w:eastAsia="es-ES"/>
        </w:rPr>
        <w:t xml:space="preserve">nstrumentales que se toman en cuenta </w:t>
      </w:r>
      <w:r w:rsidRPr="00B92F1D">
        <w:rPr>
          <w:rFonts w:eastAsia="Times New Roman" w:cs="Tahoma"/>
          <w:bCs/>
          <w:lang w:eastAsia="es-ES"/>
        </w:rPr>
        <w:t xml:space="preserve">a </w:t>
      </w:r>
      <w:r w:rsidRPr="00B92F1D">
        <w:rPr>
          <w:rFonts w:eastAsia="Times New Roman" w:cs="Tahoma"/>
          <w:bCs/>
          <w:lang w:eastAsia="es-ES"/>
        </w:rPr>
        <w:lastRenderedPageBreak/>
        <w:t>efecto de resolver el presente medio de impugnación, conforme a lo dispuesto por el artículo 185, fracción IV, de la Ley de Transparencia y Acceso a la Información Pública del Estado de México y Municipios.</w:t>
      </w:r>
    </w:p>
    <w:p w14:paraId="1C675D9B" w14:textId="77777777" w:rsidR="00A56F15" w:rsidRPr="00B92F1D" w:rsidRDefault="00A56F15" w:rsidP="006A0A8E">
      <w:pPr>
        <w:spacing w:after="0" w:line="360" w:lineRule="auto"/>
        <w:rPr>
          <w:rFonts w:eastAsia="Times New Roman" w:cs="Tahoma"/>
          <w:iCs/>
          <w:lang w:eastAsia="es-ES"/>
        </w:rPr>
      </w:pPr>
    </w:p>
    <w:p w14:paraId="447ECB17" w14:textId="77777777" w:rsidR="00A56F15" w:rsidRPr="00B92F1D" w:rsidRDefault="00A56F15" w:rsidP="006A0A8E">
      <w:pPr>
        <w:spacing w:after="0" w:line="360" w:lineRule="auto"/>
        <w:rPr>
          <w:rFonts w:eastAsia="Times New Roman" w:cs="Tahoma"/>
          <w:b/>
          <w:bCs/>
          <w:iCs/>
          <w:color w:val="auto"/>
          <w:lang w:eastAsia="es-ES"/>
        </w:rPr>
      </w:pPr>
      <w:r w:rsidRPr="00B92F1D">
        <w:rPr>
          <w:rFonts w:eastAsia="Times New Roman" w:cs="Tahoma"/>
          <w:b/>
          <w:bCs/>
          <w:iCs/>
          <w:color w:val="auto"/>
          <w:lang w:val="es-ES" w:eastAsia="es-ES"/>
        </w:rPr>
        <w:t xml:space="preserve">CUARTO. </w:t>
      </w:r>
      <w:r w:rsidRPr="00B92F1D">
        <w:rPr>
          <w:rFonts w:eastAsia="Times New Roman" w:cs="Tahoma"/>
          <w:b/>
          <w:bCs/>
          <w:iCs/>
          <w:color w:val="auto"/>
          <w:lang w:eastAsia="es-ES"/>
        </w:rPr>
        <w:t>Marco normativo aplicable en materia de transparencia y acceso a la información pública.</w:t>
      </w:r>
    </w:p>
    <w:p w14:paraId="4F420BA5" w14:textId="77777777" w:rsidR="00A56F15" w:rsidRPr="00B92F1D" w:rsidRDefault="00A56F15" w:rsidP="006A0A8E">
      <w:pPr>
        <w:spacing w:after="0" w:line="360" w:lineRule="auto"/>
        <w:rPr>
          <w:rFonts w:eastAsia="Times New Roman" w:cs="Tahoma"/>
          <w:b/>
          <w:bCs/>
          <w:iCs/>
          <w:color w:val="auto"/>
          <w:lang w:eastAsia="es-ES"/>
        </w:rPr>
      </w:pPr>
    </w:p>
    <w:p w14:paraId="33C58E10"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E7BC7A" w14:textId="77777777" w:rsidR="00A56F15" w:rsidRPr="00B92F1D" w:rsidRDefault="00A56F15" w:rsidP="006A0A8E">
      <w:pPr>
        <w:spacing w:after="0" w:line="360" w:lineRule="auto"/>
        <w:rPr>
          <w:rFonts w:eastAsia="Times New Roman" w:cs="Tahoma"/>
          <w:bCs/>
          <w:iCs/>
          <w:color w:val="auto"/>
          <w:lang w:eastAsia="es-ES"/>
        </w:rPr>
      </w:pPr>
    </w:p>
    <w:p w14:paraId="213664CC"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EC59CBC" w14:textId="77777777" w:rsidR="00A56F15" w:rsidRPr="00B92F1D" w:rsidRDefault="00A56F15" w:rsidP="006A0A8E">
      <w:pPr>
        <w:spacing w:after="0" w:line="360" w:lineRule="auto"/>
        <w:rPr>
          <w:rFonts w:eastAsia="Times New Roman" w:cs="Tahoma"/>
          <w:bCs/>
          <w:iCs/>
          <w:color w:val="auto"/>
          <w:lang w:eastAsia="es-ES"/>
        </w:rPr>
      </w:pPr>
    </w:p>
    <w:p w14:paraId="3E1A9BBC"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DD5410F" w14:textId="77777777" w:rsidR="00A56F15" w:rsidRDefault="00A56F15" w:rsidP="006A0A8E">
      <w:pPr>
        <w:spacing w:after="0" w:line="360" w:lineRule="auto"/>
        <w:rPr>
          <w:rFonts w:eastAsia="Times New Roman" w:cs="Tahoma"/>
          <w:bCs/>
          <w:iCs/>
          <w:color w:val="auto"/>
          <w:lang w:eastAsia="es-ES"/>
        </w:rPr>
      </w:pPr>
    </w:p>
    <w:p w14:paraId="192D940C"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49561A9" w14:textId="77777777" w:rsidR="00A56F15" w:rsidRPr="00B92F1D" w:rsidRDefault="00A56F15" w:rsidP="006A0A8E">
      <w:pPr>
        <w:spacing w:after="0" w:line="360" w:lineRule="auto"/>
        <w:rPr>
          <w:rFonts w:eastAsia="Times New Roman" w:cs="Tahoma"/>
          <w:bCs/>
          <w:iCs/>
          <w:color w:val="auto"/>
          <w:lang w:eastAsia="es-ES"/>
        </w:rPr>
      </w:pPr>
    </w:p>
    <w:p w14:paraId="71D046F1"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12, que, quienes generen, recopilen, administren, manejen, procesen, archiven o conserven información pública serán responsables de la misma.</w:t>
      </w:r>
    </w:p>
    <w:p w14:paraId="5E3E6E61" w14:textId="77777777" w:rsidR="00A56F15" w:rsidRPr="00B92F1D" w:rsidRDefault="00A56F15" w:rsidP="006A0A8E">
      <w:pPr>
        <w:spacing w:after="0" w:line="360" w:lineRule="auto"/>
        <w:rPr>
          <w:rFonts w:eastAsia="Times New Roman" w:cs="Tahoma"/>
          <w:bCs/>
          <w:iCs/>
          <w:color w:val="auto"/>
          <w:lang w:eastAsia="es-ES"/>
        </w:rPr>
      </w:pPr>
    </w:p>
    <w:p w14:paraId="1C1D6F8F" w14:textId="77777777" w:rsidR="00A56F15" w:rsidRPr="00B92F1D" w:rsidRDefault="00A56F15" w:rsidP="006A0A8E">
      <w:pPr>
        <w:spacing w:after="0" w:line="360" w:lineRule="auto"/>
        <w:rPr>
          <w:rFonts w:eastAsia="Times New Roman" w:cs="Tahoma"/>
          <w:bCs/>
          <w:iCs/>
          <w:color w:val="auto"/>
          <w:lang w:eastAsia="es-ES"/>
        </w:rPr>
      </w:pPr>
      <w:r w:rsidRPr="00B92F1D">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04D7F24" w14:textId="77777777" w:rsidR="00A56F15" w:rsidRPr="00B92F1D" w:rsidRDefault="00A56F15" w:rsidP="006A0A8E">
      <w:pPr>
        <w:spacing w:after="0" w:line="360" w:lineRule="auto"/>
        <w:rPr>
          <w:rFonts w:eastAsia="Times New Roman" w:cs="Tahoma"/>
          <w:bCs/>
          <w:iCs/>
          <w:color w:val="auto"/>
          <w:lang w:eastAsia="es-ES"/>
        </w:rPr>
      </w:pPr>
    </w:p>
    <w:p w14:paraId="281358C7" w14:textId="77777777" w:rsidR="00A56F15" w:rsidRPr="00B92F1D" w:rsidRDefault="00A56F15" w:rsidP="006A0A8E">
      <w:pPr>
        <w:widowControl w:val="0"/>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4195D3" w14:textId="77777777" w:rsidR="00A56F15" w:rsidRDefault="00A56F15" w:rsidP="006A0A8E">
      <w:pPr>
        <w:spacing w:after="0" w:line="360" w:lineRule="auto"/>
        <w:rPr>
          <w:rFonts w:eastAsia="Times New Roman" w:cs="Tahoma"/>
          <w:color w:val="auto"/>
          <w:lang w:eastAsia="es-ES"/>
        </w:rPr>
      </w:pPr>
    </w:p>
    <w:p w14:paraId="1CAA3AE9" w14:textId="77777777" w:rsidR="002C7B8E" w:rsidRDefault="002C7B8E" w:rsidP="006A0A8E">
      <w:pPr>
        <w:spacing w:after="0" w:line="360" w:lineRule="auto"/>
        <w:rPr>
          <w:rFonts w:cs="Tahoma"/>
        </w:rPr>
      </w:pPr>
      <w:r>
        <w:rPr>
          <w:rFonts w:cs="Tahoma"/>
        </w:rPr>
        <w:t xml:space="preserve">El artículo 92, fracción XXXII, </w:t>
      </w:r>
      <w:r>
        <w:rPr>
          <w:rFonts w:eastAsia="Calibri" w:cs="Tahoma"/>
          <w:lang w:val="es-ES" w:eastAsia="es-ES_tradnl"/>
        </w:rPr>
        <w:t>que, la información sobre las concesiones, contratos, convenios, permisos, licencias o autorizaciones otorgados, corresponde a una Obligación Común de Transparencia para los Sujetos Obligados.</w:t>
      </w:r>
    </w:p>
    <w:p w14:paraId="69608473" w14:textId="77777777" w:rsidR="00A56F15" w:rsidRPr="00B92F1D" w:rsidRDefault="00A56F15" w:rsidP="006A0A8E">
      <w:pPr>
        <w:spacing w:after="0" w:line="360" w:lineRule="auto"/>
        <w:rPr>
          <w:rFonts w:eastAsia="Times New Roman" w:cs="Tahoma"/>
          <w:color w:val="auto"/>
          <w:lang w:eastAsia="es-ES"/>
        </w:rPr>
      </w:pPr>
    </w:p>
    <w:p w14:paraId="36C62989" w14:textId="77777777" w:rsidR="00A56F15" w:rsidRPr="00B92F1D" w:rsidRDefault="00A56F15" w:rsidP="006A0A8E">
      <w:pPr>
        <w:spacing w:after="0" w:line="360" w:lineRule="auto"/>
        <w:rPr>
          <w:rFonts w:eastAsia="Times New Roman" w:cs="Tahoma"/>
          <w:b/>
          <w:bCs/>
          <w:iCs/>
          <w:color w:val="auto"/>
          <w:lang w:val="es-ES" w:eastAsia="es-ES"/>
        </w:rPr>
      </w:pPr>
      <w:r w:rsidRPr="00B92F1D">
        <w:rPr>
          <w:rFonts w:eastAsia="Times New Roman" w:cs="Tahoma"/>
          <w:b/>
          <w:bCs/>
          <w:iCs/>
          <w:color w:val="auto"/>
          <w:lang w:val="es-ES" w:eastAsia="es-ES"/>
        </w:rPr>
        <w:t>Quinto. Estudio de Fondo.</w:t>
      </w:r>
    </w:p>
    <w:p w14:paraId="7E772411" w14:textId="77777777" w:rsidR="003E6712" w:rsidRDefault="003E6712" w:rsidP="006A0A8E">
      <w:pPr>
        <w:spacing w:after="0" w:line="360" w:lineRule="auto"/>
        <w:rPr>
          <w:rFonts w:eastAsia="Times New Roman" w:cs="Tahoma"/>
          <w:iCs/>
          <w:color w:val="auto"/>
          <w:lang w:val="es-ES" w:eastAsia="es-ES"/>
        </w:rPr>
      </w:pPr>
    </w:p>
    <w:p w14:paraId="4BB42892" w14:textId="5CC09DB4" w:rsidR="00B06CCD" w:rsidRDefault="00466BBA" w:rsidP="006A0A8E">
      <w:pPr>
        <w:spacing w:after="0" w:line="360" w:lineRule="auto"/>
        <w:rPr>
          <w:rFonts w:eastAsia="Times New Roman" w:cs="Tahoma"/>
          <w:bCs/>
          <w:iCs/>
          <w:color w:val="auto"/>
          <w:lang w:eastAsia="es-ES"/>
        </w:rPr>
      </w:pPr>
      <w:r w:rsidRPr="00466BBA">
        <w:rPr>
          <w:rFonts w:eastAsia="Times New Roman" w:cs="Tahoma"/>
          <w:iCs/>
          <w:color w:val="auto"/>
          <w:lang w:val="es-ES" w:eastAsia="es-ES"/>
        </w:rPr>
        <w:t xml:space="preserve">Ahora bien, </w:t>
      </w:r>
      <w:r w:rsidRPr="00466BBA">
        <w:rPr>
          <w:rFonts w:eastAsia="Times New Roman" w:cs="Tahoma"/>
          <w:bCs/>
          <w:iCs/>
          <w:color w:val="auto"/>
          <w:lang w:eastAsia="es-ES"/>
        </w:rPr>
        <w:t>se procede analizar el agravio hecho valer por la ahora Recurrente; por lo que, en principio, es de recordar que el Particular solicitó los permisos emitidos por el Sujeto Obligado para establecer puestos semifijos, en el mes de julio de dos mil</w:t>
      </w:r>
      <w:r>
        <w:rPr>
          <w:rFonts w:eastAsia="Times New Roman" w:cs="Tahoma"/>
          <w:bCs/>
          <w:iCs/>
          <w:color w:val="auto"/>
          <w:lang w:eastAsia="es-ES"/>
        </w:rPr>
        <w:t xml:space="preserve"> veintiuno.</w:t>
      </w:r>
    </w:p>
    <w:p w14:paraId="73B9413B" w14:textId="77777777" w:rsidR="00466BBA" w:rsidRDefault="00466BBA" w:rsidP="006A0A8E">
      <w:pPr>
        <w:spacing w:after="0" w:line="360" w:lineRule="auto"/>
        <w:rPr>
          <w:rFonts w:eastAsia="Times New Roman" w:cs="Tahoma"/>
          <w:iCs/>
          <w:color w:val="auto"/>
          <w:lang w:val="es-ES" w:eastAsia="es-ES"/>
        </w:rPr>
      </w:pPr>
    </w:p>
    <w:p w14:paraId="3587C8FF" w14:textId="207E269F" w:rsidR="004B47AD" w:rsidRDefault="00C003BE" w:rsidP="006A0A8E">
      <w:pPr>
        <w:spacing w:after="0" w:line="360" w:lineRule="auto"/>
        <w:rPr>
          <w:rFonts w:eastAsia="Calibri" w:cs="Tahoma"/>
          <w:bCs/>
        </w:rPr>
      </w:pPr>
      <w:r>
        <w:rPr>
          <w:rFonts w:eastAsia="Calibri" w:cs="Tahoma"/>
          <w:bCs/>
        </w:rPr>
        <w:t>Al respecto</w:t>
      </w:r>
      <w:r>
        <w:rPr>
          <w:rFonts w:cs="Tahoma"/>
          <w:lang w:val="es-ES"/>
        </w:rPr>
        <w:t xml:space="preserve">, </w:t>
      </w:r>
      <w:r>
        <w:rPr>
          <w:rFonts w:eastAsia="Calibri" w:cs="Tahoma"/>
          <w:bCs/>
        </w:rPr>
        <w:t>el artículo 31, fracciones, XXIV Quáter y XLIV, de la Ley Orgánica Municipal el Estado de México, establece que los Ayuntamientos, en</w:t>
      </w:r>
      <w:r w:rsidR="00466BBA">
        <w:rPr>
          <w:rFonts w:eastAsia="Calibri" w:cs="Tahoma"/>
          <w:bCs/>
        </w:rPr>
        <w:t>tre los que se encuentra el de Otzoloapan</w:t>
      </w:r>
      <w:r>
        <w:rPr>
          <w:rFonts w:eastAsia="Calibri" w:cs="Tahoma"/>
          <w:bCs/>
        </w:rPr>
        <w:t>, son los encargados de otorgar licencias para el funcionamiento de unidades económicas; así como, de crear el Registro Municipal de Unidades Económicas, donde se especifique</w:t>
      </w:r>
      <w:r w:rsidR="001B5E10">
        <w:rPr>
          <w:rFonts w:eastAsia="Calibri" w:cs="Tahoma"/>
          <w:bCs/>
        </w:rPr>
        <w:t xml:space="preserve"> la licencia de funcionamiento y las características que se determinen convenientes.</w:t>
      </w:r>
    </w:p>
    <w:p w14:paraId="4B6316B9" w14:textId="77777777" w:rsidR="00C003BE" w:rsidRPr="004B47AD" w:rsidRDefault="00C003BE" w:rsidP="006A0A8E">
      <w:pPr>
        <w:spacing w:after="0" w:line="360" w:lineRule="auto"/>
        <w:rPr>
          <w:rFonts w:eastAsia="Calibri" w:cs="Tahoma"/>
          <w:bCs/>
          <w:color w:val="auto"/>
        </w:rPr>
      </w:pPr>
    </w:p>
    <w:p w14:paraId="3536C01F" w14:textId="77777777" w:rsidR="004B47AD" w:rsidRPr="004B47AD" w:rsidRDefault="004B47AD" w:rsidP="006A0A8E">
      <w:pPr>
        <w:spacing w:after="0" w:line="360" w:lineRule="auto"/>
        <w:rPr>
          <w:rFonts w:eastAsia="Calibri" w:cs="Tahoma"/>
          <w:bCs/>
          <w:color w:val="auto"/>
        </w:rPr>
      </w:pPr>
      <w:r w:rsidRPr="004B47AD">
        <w:rPr>
          <w:rFonts w:eastAsia="Calibri" w:cs="Tahoma"/>
          <w:bCs/>
          <w:color w:val="auto"/>
        </w:rPr>
        <w:t xml:space="preserve">Para lograr lo anterior, los Ayuntamientos contarán con un Director de Desarrollo Económico o equivalente que impulsa la simplificación de trámites y reducción de plazos para el </w:t>
      </w:r>
      <w:r w:rsidRPr="004B47AD">
        <w:rPr>
          <w:rFonts w:eastAsia="Calibri" w:cs="Tahoma"/>
          <w:bCs/>
          <w:color w:val="auto"/>
        </w:rPr>
        <w:lastRenderedPageBreak/>
        <w:t xml:space="preserve">otorgamiento de </w:t>
      </w:r>
      <w:r w:rsidRPr="0045664A">
        <w:rPr>
          <w:rFonts w:eastAsia="Calibri" w:cs="Tahoma"/>
          <w:b/>
          <w:color w:val="auto"/>
        </w:rPr>
        <w:t>permisos, licencias y autorizaciones</w:t>
      </w:r>
      <w:r w:rsidRPr="004B47AD">
        <w:rPr>
          <w:rFonts w:eastAsia="Calibri" w:cs="Tahoma"/>
          <w:bCs/>
          <w:color w:val="auto"/>
        </w:rPr>
        <w:t xml:space="preserve"> del orden municipal, así como de operar y actualizar el Registro Municipal de Unidades Económicas de los permisos o licencias de funcionamiento otorgadas, de conformidad con el artículo 96 Quáter de la Ley señalada en el párrafo anterior.</w:t>
      </w:r>
    </w:p>
    <w:p w14:paraId="107524CE" w14:textId="77777777" w:rsidR="004B47AD" w:rsidRPr="004B47AD" w:rsidRDefault="004B47AD" w:rsidP="006A0A8E">
      <w:pPr>
        <w:spacing w:after="0" w:line="360" w:lineRule="auto"/>
        <w:rPr>
          <w:rFonts w:eastAsia="Calibri" w:cs="Tahoma"/>
          <w:bCs/>
          <w:color w:val="auto"/>
        </w:rPr>
      </w:pPr>
    </w:p>
    <w:p w14:paraId="5661474A" w14:textId="77777777" w:rsidR="00466BBA" w:rsidRPr="00466BBA" w:rsidRDefault="00466BBA" w:rsidP="006A0A8E">
      <w:pPr>
        <w:spacing w:after="0" w:line="360" w:lineRule="auto"/>
        <w:rPr>
          <w:rFonts w:eastAsia="Calibri" w:cs="Tahoma"/>
          <w:bCs/>
          <w:color w:val="auto"/>
        </w:rPr>
      </w:pPr>
      <w:r w:rsidRPr="00466BBA">
        <w:rPr>
          <w:rFonts w:eastAsia="Calibri" w:cs="Tahoma"/>
          <w:bCs/>
          <w:color w:val="auto"/>
        </w:rPr>
        <w:t xml:space="preserve">En ese sentido, en el artículo 2°, fracciones XV y XXXVIII, 5°, fracción X, 7°, fracción V, 15, 16 y 33 de la Ley de Competitividad y Ordenamiento Comercial del Estado de México, la </w:t>
      </w:r>
      <w:r w:rsidRPr="00466BBA">
        <w:rPr>
          <w:rFonts w:eastAsia="Calibri" w:cs="Tahoma"/>
          <w:b/>
          <w:bCs/>
          <w:color w:val="auto"/>
        </w:rPr>
        <w:t xml:space="preserve">licencia de funcionamiento, </w:t>
      </w:r>
      <w:r w:rsidRPr="00466BBA">
        <w:rPr>
          <w:rFonts w:eastAsia="Calibri" w:cs="Tahoma"/>
          <w:bCs/>
          <w:color w:val="auto"/>
        </w:rPr>
        <w:t xml:space="preserve">es el acto administrativo emitido por </w:t>
      </w:r>
      <w:r w:rsidRPr="00466BBA">
        <w:rPr>
          <w:rFonts w:eastAsia="Calibri" w:cs="Tahoma"/>
          <w:b/>
          <w:bCs/>
          <w:color w:val="auto"/>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466BBA">
        <w:rPr>
          <w:rFonts w:eastAsia="Calibri" w:cs="Tahoma"/>
          <w:bCs/>
          <w:color w:val="auto"/>
        </w:rPr>
        <w:t xml:space="preserve"> </w:t>
      </w:r>
    </w:p>
    <w:p w14:paraId="4F5A2D86" w14:textId="77777777" w:rsidR="004B47AD" w:rsidRDefault="004B47AD" w:rsidP="006A0A8E">
      <w:pPr>
        <w:spacing w:after="0" w:line="360" w:lineRule="auto"/>
        <w:rPr>
          <w:rFonts w:eastAsia="Calibri" w:cs="Tahoma"/>
          <w:bCs/>
          <w:color w:val="auto"/>
        </w:rPr>
      </w:pPr>
    </w:p>
    <w:p w14:paraId="6C013DA7" w14:textId="5D70F9A6" w:rsidR="00961A1D" w:rsidRPr="00BD0225" w:rsidRDefault="007413E2" w:rsidP="006A0A8E">
      <w:pPr>
        <w:spacing w:after="0" w:line="360" w:lineRule="auto"/>
        <w:ind w:right="-93"/>
        <w:rPr>
          <w:rFonts w:eastAsia="Calibri" w:cs="Tahoma"/>
          <w:b/>
          <w:bCs/>
          <w:color w:val="auto"/>
        </w:rPr>
      </w:pPr>
      <w:r>
        <w:rPr>
          <w:rFonts w:eastAsia="Calibri" w:cs="Tahoma"/>
          <w:bCs/>
          <w:color w:val="auto"/>
        </w:rPr>
        <w:t>Además</w:t>
      </w:r>
      <w:r w:rsidR="00961A1D" w:rsidRPr="00BD0225">
        <w:rPr>
          <w:rFonts w:eastAsia="Calibri" w:cs="Tahoma"/>
          <w:bCs/>
          <w:color w:val="auto"/>
        </w:rPr>
        <w:t xml:space="preserve">, la operación de la </w:t>
      </w:r>
      <w:r w:rsidR="00961A1D" w:rsidRPr="00BD0225">
        <w:rPr>
          <w:rFonts w:eastAsia="Calibri" w:cs="Tahoma"/>
          <w:b/>
          <w:bCs/>
          <w:color w:val="auto"/>
        </w:rPr>
        <w:t xml:space="preserve">Ventanilla Única </w:t>
      </w:r>
      <w:r w:rsidR="00961A1D" w:rsidRPr="00BD0225">
        <w:rPr>
          <w:rFonts w:eastAsia="Calibri" w:cs="Tahoma"/>
          <w:bCs/>
          <w:color w:val="auto"/>
        </w:rPr>
        <w:t xml:space="preserve">y la expedición de las </w:t>
      </w:r>
      <w:r w:rsidR="00961A1D" w:rsidRPr="00BD0225">
        <w:rPr>
          <w:rFonts w:eastAsia="Calibri" w:cs="Tahoma"/>
          <w:b/>
          <w:bCs/>
          <w:color w:val="auto"/>
        </w:rPr>
        <w:t>licencias de funcionamiento</w:t>
      </w:r>
      <w:r w:rsidR="00961A1D" w:rsidRPr="00BD0225">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7EADC8E7" w14:textId="77777777" w:rsidR="00961A1D" w:rsidRDefault="00961A1D" w:rsidP="006A0A8E">
      <w:pPr>
        <w:spacing w:after="0" w:line="360" w:lineRule="auto"/>
        <w:rPr>
          <w:rFonts w:eastAsia="Calibri" w:cs="Tahoma"/>
          <w:bCs/>
          <w:color w:val="auto"/>
        </w:rPr>
      </w:pPr>
    </w:p>
    <w:p w14:paraId="4331D9E5" w14:textId="77777777" w:rsidR="003979A5" w:rsidRPr="003979A5" w:rsidRDefault="003979A5" w:rsidP="006A0A8E">
      <w:pPr>
        <w:spacing w:after="0" w:line="360" w:lineRule="auto"/>
        <w:rPr>
          <w:rFonts w:eastAsia="Calibri" w:cs="Tahoma"/>
          <w:bCs/>
        </w:rPr>
      </w:pPr>
      <w:r>
        <w:rPr>
          <w:rFonts w:eastAsia="Calibri" w:cs="Tahoma"/>
          <w:bCs/>
          <w:color w:val="auto"/>
        </w:rPr>
        <w:t>En ese orden de ideas</w:t>
      </w:r>
      <w:r w:rsidR="00D33078">
        <w:rPr>
          <w:rFonts w:eastAsia="Calibri" w:cs="Tahoma"/>
          <w:bCs/>
          <w:color w:val="auto"/>
        </w:rPr>
        <w:t xml:space="preserve"> </w:t>
      </w:r>
      <w:r w:rsidR="00E12E40">
        <w:rPr>
          <w:rFonts w:eastAsia="Calibri" w:cs="Tahoma"/>
          <w:bCs/>
          <w:color w:val="auto"/>
        </w:rPr>
        <w:t>el Bando Munic</w:t>
      </w:r>
      <w:r w:rsidR="00E52437">
        <w:rPr>
          <w:rFonts w:eastAsia="Calibri" w:cs="Tahoma"/>
          <w:bCs/>
          <w:color w:val="auto"/>
        </w:rPr>
        <w:t xml:space="preserve">ipal del </w:t>
      </w:r>
      <w:r w:rsidR="00E52437" w:rsidRPr="005A0DE7">
        <w:rPr>
          <w:rFonts w:eastAsia="Calibri" w:cs="Tahoma"/>
        </w:rPr>
        <w:t>Ayuntamiento de Otzoloapan</w:t>
      </w:r>
      <w:r>
        <w:rPr>
          <w:rFonts w:eastAsia="Calibri" w:cs="Tahoma"/>
        </w:rPr>
        <w:t xml:space="preserve">, </w:t>
      </w:r>
      <w:r w:rsidR="00E52437">
        <w:rPr>
          <w:rFonts w:eastAsia="Calibri" w:cs="Tahoma"/>
        </w:rPr>
        <w:t xml:space="preserve">dos mil </w:t>
      </w:r>
      <w:r w:rsidR="00F8050E">
        <w:rPr>
          <w:rFonts w:eastAsia="Calibri" w:cs="Tahoma"/>
        </w:rPr>
        <w:t>veintiuno</w:t>
      </w:r>
      <w:r w:rsidR="002B78E4">
        <w:rPr>
          <w:rFonts w:eastAsia="Calibri" w:cs="Tahoma"/>
        </w:rPr>
        <w:t xml:space="preserve">, </w:t>
      </w:r>
      <w:r w:rsidRPr="003979A5">
        <w:rPr>
          <w:rFonts w:eastAsia="Calibri" w:cs="Tahoma"/>
          <w:bCs/>
        </w:rPr>
        <w:t>establece lo siguiente:</w:t>
      </w:r>
    </w:p>
    <w:p w14:paraId="1DBCA410" w14:textId="2A4C4813" w:rsidR="00F448FF" w:rsidRDefault="00F448FF" w:rsidP="006A0A8E">
      <w:pPr>
        <w:spacing w:after="0" w:line="360" w:lineRule="auto"/>
        <w:rPr>
          <w:rFonts w:eastAsia="Calibri" w:cs="Tahoma"/>
        </w:rPr>
      </w:pPr>
    </w:p>
    <w:p w14:paraId="2929EE28" w14:textId="245D439A" w:rsidR="00F448FF" w:rsidRPr="00E466DA" w:rsidRDefault="00F448FF" w:rsidP="006A0A8E">
      <w:pPr>
        <w:pStyle w:val="Prrafodelista"/>
        <w:numPr>
          <w:ilvl w:val="0"/>
          <w:numId w:val="31"/>
        </w:numPr>
        <w:spacing w:after="0" w:line="360" w:lineRule="auto"/>
        <w:rPr>
          <w:rFonts w:eastAsia="Calibri" w:cs="Tahoma"/>
        </w:rPr>
      </w:pPr>
      <w:r w:rsidRPr="00E466DA">
        <w:rPr>
          <w:rFonts w:eastAsia="Calibri" w:cs="Tahoma"/>
          <w:b/>
          <w:bCs/>
        </w:rPr>
        <w:t xml:space="preserve">(Artículo </w:t>
      </w:r>
      <w:r w:rsidR="00737F51" w:rsidRPr="00E466DA">
        <w:rPr>
          <w:rFonts w:eastAsia="Calibri" w:cs="Tahoma"/>
          <w:b/>
          <w:bCs/>
        </w:rPr>
        <w:t>124):</w:t>
      </w:r>
      <w:r w:rsidR="00737F51">
        <w:rPr>
          <w:rFonts w:eastAsia="Calibri" w:cs="Tahoma"/>
        </w:rPr>
        <w:t xml:space="preserve"> </w:t>
      </w:r>
      <w:r w:rsidR="0063244D">
        <w:rPr>
          <w:rFonts w:eastAsia="Times New Roman" w:cs="Tahoma"/>
          <w:color w:val="auto"/>
          <w:lang w:val="es-ES" w:eastAsia="es-ES"/>
        </w:rPr>
        <w:t>Toda persona física o moral que realice cualquier actividad</w:t>
      </w:r>
      <w:r w:rsidR="0063244D" w:rsidRPr="00C856FD">
        <w:rPr>
          <w:rFonts w:eastAsia="Times New Roman" w:cs="Tahoma"/>
          <w:color w:val="auto"/>
          <w:lang w:val="es-ES" w:eastAsia="es-ES"/>
        </w:rPr>
        <w:t xml:space="preserve"> comercial, industrial o de servicios, </w:t>
      </w:r>
      <w:r w:rsidR="0063244D">
        <w:rPr>
          <w:rFonts w:eastAsia="Times New Roman" w:cs="Tahoma"/>
          <w:color w:val="auto"/>
          <w:lang w:val="es-ES" w:eastAsia="es-ES"/>
        </w:rPr>
        <w:t xml:space="preserve">requiere de licencia, certificado, permisos o autorización correspondiente. </w:t>
      </w:r>
    </w:p>
    <w:p w14:paraId="04CC0A00" w14:textId="77777777" w:rsidR="00E466DA" w:rsidRPr="0063244D" w:rsidRDefault="00E466DA" w:rsidP="006A0A8E">
      <w:pPr>
        <w:pStyle w:val="Prrafodelista"/>
        <w:spacing w:after="0" w:line="360" w:lineRule="auto"/>
        <w:ind w:left="1079"/>
        <w:rPr>
          <w:rFonts w:eastAsia="Calibri" w:cs="Tahoma"/>
        </w:rPr>
      </w:pPr>
    </w:p>
    <w:p w14:paraId="53C4C989" w14:textId="68E00F03" w:rsidR="00E31266" w:rsidRPr="001453F5" w:rsidRDefault="0063244D" w:rsidP="006A0A8E">
      <w:pPr>
        <w:pStyle w:val="Prrafodelista"/>
        <w:numPr>
          <w:ilvl w:val="0"/>
          <w:numId w:val="31"/>
        </w:numPr>
        <w:spacing w:after="0" w:line="360" w:lineRule="auto"/>
        <w:rPr>
          <w:rFonts w:eastAsia="Calibri" w:cs="Tahoma"/>
        </w:rPr>
      </w:pPr>
      <w:r w:rsidRPr="00E466DA">
        <w:rPr>
          <w:rFonts w:eastAsia="Calibri" w:cs="Tahoma"/>
          <w:b/>
          <w:color w:val="auto"/>
        </w:rPr>
        <w:lastRenderedPageBreak/>
        <w:t>(Artículo 125):</w:t>
      </w:r>
      <w:r>
        <w:rPr>
          <w:rFonts w:eastAsia="Calibri" w:cs="Tahoma"/>
          <w:bCs/>
          <w:color w:val="auto"/>
        </w:rPr>
        <w:t xml:space="preserve"> </w:t>
      </w:r>
      <w:r w:rsidRPr="0063244D">
        <w:rPr>
          <w:rFonts w:eastAsia="Calibri" w:cs="Tahoma"/>
          <w:bCs/>
          <w:color w:val="auto"/>
        </w:rPr>
        <w:t>Para la expedición de la licencia, permiso o autorización a que se refiere el artículo anterior, el solicitante deberá cubrir previamente los requisitos fiscales, técnicos y administrativos que los ordenamientos aplicables exijan</w:t>
      </w:r>
      <w:r w:rsidR="001453F5">
        <w:rPr>
          <w:rFonts w:eastAsia="Calibri" w:cs="Tahoma"/>
          <w:bCs/>
          <w:color w:val="auto"/>
        </w:rPr>
        <w:t xml:space="preserve">. </w:t>
      </w:r>
    </w:p>
    <w:p w14:paraId="6D76A22D" w14:textId="77777777" w:rsidR="001453F5" w:rsidRPr="001453F5" w:rsidRDefault="001453F5" w:rsidP="006A0A8E">
      <w:pPr>
        <w:pStyle w:val="Prrafodelista"/>
        <w:spacing w:after="0" w:line="360" w:lineRule="auto"/>
        <w:rPr>
          <w:rFonts w:eastAsia="Calibri" w:cs="Tahoma"/>
        </w:rPr>
      </w:pPr>
    </w:p>
    <w:p w14:paraId="19043427" w14:textId="63C9A042" w:rsidR="00D7458D" w:rsidRPr="005F4D5F" w:rsidRDefault="002422D8" w:rsidP="006A0A8E">
      <w:pPr>
        <w:pStyle w:val="Prrafodelista"/>
        <w:numPr>
          <w:ilvl w:val="0"/>
          <w:numId w:val="31"/>
        </w:numPr>
        <w:spacing w:after="0" w:line="360" w:lineRule="auto"/>
        <w:rPr>
          <w:rFonts w:eastAsia="Calibri" w:cs="Tahoma"/>
        </w:rPr>
      </w:pPr>
      <w:r w:rsidRPr="00182367">
        <w:rPr>
          <w:rFonts w:eastAsia="Calibri" w:cs="Tahoma"/>
          <w:b/>
          <w:bCs/>
        </w:rPr>
        <w:t xml:space="preserve">(Artículo 135, </w:t>
      </w:r>
      <w:r w:rsidR="002E047D" w:rsidRPr="00182367">
        <w:rPr>
          <w:rFonts w:eastAsia="Calibri" w:cs="Tahoma"/>
          <w:b/>
          <w:bCs/>
        </w:rPr>
        <w:t>fracción IV):</w:t>
      </w:r>
      <w:r w:rsidR="002E047D">
        <w:rPr>
          <w:rFonts w:eastAsia="Calibri" w:cs="Tahoma"/>
        </w:rPr>
        <w:t xml:space="preserve"> </w:t>
      </w:r>
      <w:r w:rsidR="008E1B02">
        <w:rPr>
          <w:rFonts w:eastAsia="Calibri" w:cs="Tahoma"/>
        </w:rPr>
        <w:t>L</w:t>
      </w:r>
      <w:r w:rsidR="00D7458D" w:rsidRPr="008E1B02">
        <w:rPr>
          <w:rFonts w:eastAsia="Calibri" w:cs="Tahoma"/>
          <w:bCs/>
          <w:color w:val="auto"/>
        </w:rPr>
        <w:t>os puestos de comercio que se instalen en la vía pública los días que no sea tianguis, deberán contar previamente con autorización y licencia correspondiente</w:t>
      </w:r>
      <w:r w:rsidR="008E1B02">
        <w:rPr>
          <w:rFonts w:eastAsia="Calibri" w:cs="Tahoma"/>
          <w:bCs/>
          <w:color w:val="auto"/>
        </w:rPr>
        <w:t xml:space="preserve">. </w:t>
      </w:r>
    </w:p>
    <w:p w14:paraId="79769F44" w14:textId="77777777" w:rsidR="005F4D5F" w:rsidRPr="005F4D5F" w:rsidRDefault="005F4D5F" w:rsidP="006A0A8E">
      <w:pPr>
        <w:pStyle w:val="Prrafodelista"/>
        <w:spacing w:after="0" w:line="360" w:lineRule="auto"/>
        <w:rPr>
          <w:rFonts w:eastAsia="Calibri" w:cs="Tahoma"/>
        </w:rPr>
      </w:pPr>
    </w:p>
    <w:p w14:paraId="6B2805E2" w14:textId="557EC80E" w:rsidR="005F4D5F" w:rsidRPr="005F4D5F" w:rsidRDefault="005F4D5F" w:rsidP="006A0A8E">
      <w:pPr>
        <w:pStyle w:val="Prrafodelista"/>
        <w:numPr>
          <w:ilvl w:val="0"/>
          <w:numId w:val="31"/>
        </w:numPr>
        <w:spacing w:after="0" w:line="360" w:lineRule="auto"/>
        <w:rPr>
          <w:rFonts w:eastAsia="Calibri" w:cs="Tahoma"/>
          <w:b/>
        </w:rPr>
      </w:pPr>
      <w:r w:rsidRPr="005F4D5F">
        <w:rPr>
          <w:rFonts w:eastAsia="Calibri" w:cs="Tahoma"/>
          <w:b/>
        </w:rPr>
        <w:t>(</w:t>
      </w:r>
      <w:r>
        <w:rPr>
          <w:rFonts w:eastAsia="Calibri" w:cs="Tahoma"/>
          <w:b/>
        </w:rPr>
        <w:t>Artículo 141</w:t>
      </w:r>
      <w:r w:rsidRPr="005F4D5F">
        <w:rPr>
          <w:rFonts w:eastAsia="Calibri" w:cs="Tahoma"/>
          <w:b/>
        </w:rPr>
        <w:t>)</w:t>
      </w:r>
      <w:r>
        <w:rPr>
          <w:rFonts w:eastAsia="Calibri" w:cs="Tahoma"/>
          <w:b/>
        </w:rPr>
        <w:t xml:space="preserve">: </w:t>
      </w:r>
      <w:r>
        <w:rPr>
          <w:rFonts w:eastAsia="Calibri" w:cs="Tahoma"/>
        </w:rPr>
        <w:t xml:space="preserve">Los comerciantes semifijos </w:t>
      </w:r>
      <w:r w:rsidR="004578F5">
        <w:rPr>
          <w:rFonts w:eastAsia="Calibri" w:cs="Tahoma"/>
        </w:rPr>
        <w:t>deben de obtener permiso de la Autoridad Municipal para expender al público todo tipo de alimentos.</w:t>
      </w:r>
    </w:p>
    <w:p w14:paraId="485EB991" w14:textId="77777777" w:rsidR="00D7458D" w:rsidRDefault="00D7458D" w:rsidP="006A0A8E">
      <w:pPr>
        <w:spacing w:after="0" w:line="360" w:lineRule="auto"/>
        <w:rPr>
          <w:rFonts w:eastAsia="Calibri" w:cs="Tahoma"/>
          <w:bCs/>
          <w:color w:val="auto"/>
        </w:rPr>
      </w:pPr>
    </w:p>
    <w:p w14:paraId="236EB1A5" w14:textId="77777777" w:rsidR="004578F5" w:rsidRPr="004578F5" w:rsidRDefault="004578F5" w:rsidP="006A0A8E">
      <w:pPr>
        <w:spacing w:after="0" w:line="360" w:lineRule="auto"/>
        <w:rPr>
          <w:rFonts w:eastAsia="Times New Roman" w:cs="Tahoma"/>
          <w:bCs/>
          <w:iCs/>
          <w:color w:val="auto"/>
          <w:lang w:val="es-ES" w:eastAsia="es-ES"/>
        </w:rPr>
      </w:pPr>
      <w:r w:rsidRPr="004578F5">
        <w:rPr>
          <w:rFonts w:eastAsia="Times New Roman" w:cs="Tahoma"/>
          <w:bCs/>
          <w:iCs/>
          <w:color w:val="auto"/>
          <w:lang w:val="es-ES" w:eastAsia="es-ES"/>
        </w:rPr>
        <w:t xml:space="preserve">Conforme a lo anterior, se logra advertir que el Sujeto Obligado, </w:t>
      </w:r>
      <w:r w:rsidRPr="004578F5">
        <w:rPr>
          <w:rFonts w:eastAsia="Times New Roman" w:cs="Tahoma"/>
          <w:b/>
          <w:bCs/>
          <w:iCs/>
          <w:color w:val="auto"/>
          <w:lang w:val="es-ES" w:eastAsia="es-ES"/>
        </w:rPr>
        <w:t>cuenta con competencia para conocer de la información solicitada</w:t>
      </w:r>
      <w:r w:rsidRPr="004578F5">
        <w:rPr>
          <w:rFonts w:eastAsia="Times New Roman" w:cs="Tahoma"/>
          <w:bCs/>
          <w:iCs/>
          <w:color w:val="auto"/>
          <w:lang w:val="es-ES" w:eastAsia="es-ES"/>
        </w:rPr>
        <w:t>, pues es el encargado de regular cualquier actividad comercial, que incluye la emisión de los permisos para el establecimiento de puestos semifijos.</w:t>
      </w:r>
    </w:p>
    <w:p w14:paraId="7BCD9AB2" w14:textId="77777777" w:rsidR="004578F5" w:rsidRDefault="004578F5" w:rsidP="006A0A8E">
      <w:pPr>
        <w:spacing w:after="0" w:line="360" w:lineRule="auto"/>
        <w:rPr>
          <w:rFonts w:eastAsia="Calibri" w:cs="Tahoma"/>
          <w:bCs/>
          <w:color w:val="auto"/>
        </w:rPr>
      </w:pPr>
    </w:p>
    <w:p w14:paraId="24983193" w14:textId="7AFBE142" w:rsidR="004578F5" w:rsidRDefault="004578F5" w:rsidP="006A0A8E">
      <w:pPr>
        <w:spacing w:after="0" w:line="360" w:lineRule="auto"/>
        <w:rPr>
          <w:rFonts w:cs="Tahoma"/>
          <w:bCs/>
          <w:iCs/>
          <w:lang w:val="es-ES"/>
        </w:rPr>
      </w:pPr>
      <w:r>
        <w:rPr>
          <w:rFonts w:cs="Tahoma"/>
          <w:bCs/>
          <w:iCs/>
          <w:lang w:val="es-ES"/>
        </w:rPr>
        <w:t xml:space="preserve">Ahora bien, en respuesta el Ayuntamiento de </w:t>
      </w:r>
      <w:proofErr w:type="spellStart"/>
      <w:r>
        <w:rPr>
          <w:rFonts w:cs="Tahoma"/>
          <w:bCs/>
          <w:iCs/>
          <w:lang w:val="es-ES"/>
        </w:rPr>
        <w:t>Otzoloapan</w:t>
      </w:r>
      <w:proofErr w:type="spellEnd"/>
      <w:r>
        <w:rPr>
          <w:rFonts w:cs="Tahoma"/>
          <w:bCs/>
          <w:iCs/>
          <w:lang w:val="es-ES"/>
        </w:rPr>
        <w:t xml:space="preserve">, </w:t>
      </w:r>
      <w:r>
        <w:rPr>
          <w:rFonts w:cs="Tahoma"/>
          <w:b/>
          <w:bCs/>
          <w:iCs/>
          <w:lang w:val="es-ES"/>
        </w:rPr>
        <w:t xml:space="preserve">únicamente indicó que no había emitido algún permiso, en el mes de julio de dos mil </w:t>
      </w:r>
      <w:r w:rsidR="00DF7077">
        <w:rPr>
          <w:rFonts w:cs="Tahoma"/>
          <w:b/>
          <w:bCs/>
          <w:iCs/>
          <w:lang w:val="es-ES"/>
        </w:rPr>
        <w:t>veintiuno</w:t>
      </w:r>
      <w:r>
        <w:rPr>
          <w:rFonts w:cs="Tahoma"/>
          <w:b/>
          <w:bCs/>
          <w:iCs/>
          <w:lang w:val="es-ES"/>
        </w:rPr>
        <w:t xml:space="preserve">; </w:t>
      </w:r>
      <w:r>
        <w:rPr>
          <w:rFonts w:cs="Tahoma"/>
          <w:bCs/>
          <w:iCs/>
          <w:lang w:val="es-ES"/>
        </w:rPr>
        <w:t>es decir, aludió a que la información era inexistente.</w:t>
      </w:r>
    </w:p>
    <w:p w14:paraId="19B4A829" w14:textId="77777777" w:rsidR="004578F5" w:rsidRDefault="004578F5" w:rsidP="006A0A8E">
      <w:pPr>
        <w:spacing w:after="0" w:line="360" w:lineRule="auto"/>
        <w:rPr>
          <w:rFonts w:eastAsia="Calibri" w:cs="Tahoma"/>
          <w:bCs/>
          <w:color w:val="auto"/>
        </w:rPr>
      </w:pPr>
    </w:p>
    <w:p w14:paraId="414DE5E5" w14:textId="77777777" w:rsidR="004578F5" w:rsidRPr="009C6DDD" w:rsidRDefault="004578F5" w:rsidP="006A0A8E">
      <w:pPr>
        <w:spacing w:after="0" w:line="360" w:lineRule="auto"/>
        <w:rPr>
          <w:rFonts w:eastAsia="Times New Roman" w:cs="Tahoma"/>
          <w:color w:val="auto"/>
          <w:lang w:eastAsia="es-ES"/>
        </w:rPr>
      </w:pPr>
      <w:r w:rsidRPr="009C6DDD">
        <w:rPr>
          <w:rFonts w:eastAsia="Times New Roman" w:cs="Tahoma"/>
          <w:color w:val="auto"/>
          <w:lang w:val="es-ES_tradnl" w:eastAsia="es-ES"/>
        </w:rPr>
        <w:t xml:space="preserve">En ese orden de ideas, en el </w:t>
      </w:r>
      <w:r w:rsidRPr="009C6DDD">
        <w:rPr>
          <w:rFonts w:eastAsia="Times New Roman" w:cs="Tahoma"/>
          <w:color w:val="auto"/>
          <w:lang w:eastAsia="es-ES"/>
        </w:rPr>
        <w:t>Criterio 14/17, emitido por el Instituto Nacional de Transparencia, Acceso a la Información Pública y Protección de Datos Personales en el Estado de México y Municipios, se señala lo siguiente:</w:t>
      </w:r>
    </w:p>
    <w:p w14:paraId="64794C4B" w14:textId="77777777" w:rsidR="004578F5" w:rsidRPr="009C6DDD" w:rsidRDefault="004578F5" w:rsidP="006A0A8E">
      <w:pPr>
        <w:spacing w:after="0" w:line="360" w:lineRule="auto"/>
        <w:rPr>
          <w:rFonts w:eastAsia="Times New Roman" w:cs="Tahoma"/>
          <w:color w:val="auto"/>
          <w:lang w:eastAsia="es-ES"/>
        </w:rPr>
      </w:pPr>
    </w:p>
    <w:p w14:paraId="1C70CBBD" w14:textId="77777777" w:rsidR="004578F5" w:rsidRPr="009C6DDD" w:rsidRDefault="004578F5" w:rsidP="006A0A8E">
      <w:pPr>
        <w:spacing w:after="0" w:line="360" w:lineRule="auto"/>
        <w:ind w:left="567" w:right="567"/>
        <w:rPr>
          <w:rFonts w:eastAsia="Times New Roman" w:cs="Tahoma"/>
          <w:bCs/>
          <w:i/>
          <w:color w:val="auto"/>
          <w:sz w:val="20"/>
          <w:szCs w:val="20"/>
          <w:lang w:val="es-ES" w:eastAsia="es-ES"/>
        </w:rPr>
      </w:pPr>
      <w:r w:rsidRPr="009C6DDD">
        <w:rPr>
          <w:rFonts w:eastAsia="Times New Roman" w:cs="Tahoma"/>
          <w:bCs/>
          <w:i/>
          <w:color w:val="auto"/>
          <w:sz w:val="20"/>
          <w:szCs w:val="20"/>
          <w:lang w:val="es-ES" w:eastAsia="es-ES"/>
        </w:rPr>
        <w:t>“</w:t>
      </w:r>
      <w:r w:rsidRPr="009C6DDD">
        <w:rPr>
          <w:rFonts w:eastAsia="Times New Roman" w:cs="Tahoma"/>
          <w:b/>
          <w:bCs/>
          <w:i/>
          <w:color w:val="auto"/>
          <w:sz w:val="20"/>
          <w:szCs w:val="20"/>
          <w:lang w:val="es-ES" w:eastAsia="es-ES"/>
        </w:rPr>
        <w:t xml:space="preserve">Inexistencia. </w:t>
      </w:r>
      <w:r w:rsidRPr="009C6DDD">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2E44DA1E" w14:textId="77777777" w:rsidR="004578F5" w:rsidRPr="009C6DDD" w:rsidRDefault="004578F5" w:rsidP="006A0A8E">
      <w:pPr>
        <w:spacing w:after="0" w:line="360" w:lineRule="auto"/>
        <w:rPr>
          <w:rFonts w:eastAsia="Times New Roman" w:cs="Tahoma"/>
          <w:color w:val="auto"/>
          <w:lang w:eastAsia="es-ES"/>
        </w:rPr>
      </w:pPr>
    </w:p>
    <w:p w14:paraId="2BFDAC58" w14:textId="7E9BC14E" w:rsidR="00DF7077" w:rsidRDefault="004578F5" w:rsidP="006A0A8E">
      <w:pPr>
        <w:spacing w:after="0" w:line="360" w:lineRule="auto"/>
        <w:rPr>
          <w:rFonts w:eastAsia="Times New Roman" w:cs="Times New Roman"/>
          <w:color w:val="auto"/>
          <w:lang w:eastAsia="es-ES"/>
        </w:rPr>
      </w:pPr>
      <w:r w:rsidRPr="000A06F5">
        <w:rPr>
          <w:rFonts w:eastAsia="Times New Roman" w:cs="Times New Roman"/>
          <w:color w:val="auto"/>
          <w:lang w:eastAsia="es-ES"/>
        </w:rPr>
        <w:lastRenderedPageBreak/>
        <w:t xml:space="preserve">Del citado criterio, se desprende que la inexistencia de la información, es una cuestión de hecho que se le atribuye a la misma, cuando ésta no obra en los archivos del Sujeto Obligado. En ese orden de ideas, según Trujillo, Humberto (2019), en el “Diccionario de Transparencia y Acceso a la Información Pública” (p. 171), la inexistencia recae cuando la información requerida no se encuentra en los archivos públicos, reservados o clasificados, de los sujetos obligados. </w:t>
      </w:r>
    </w:p>
    <w:p w14:paraId="7644B1B2" w14:textId="77777777" w:rsidR="00DF7077" w:rsidRDefault="00DF7077" w:rsidP="006A0A8E">
      <w:pPr>
        <w:spacing w:after="0" w:line="360" w:lineRule="auto"/>
        <w:rPr>
          <w:rFonts w:eastAsia="Times New Roman" w:cs="Times New Roman"/>
          <w:color w:val="auto"/>
          <w:lang w:eastAsia="es-ES"/>
        </w:rPr>
      </w:pPr>
    </w:p>
    <w:p w14:paraId="32D9260F" w14:textId="3DC9801D" w:rsidR="004578F5" w:rsidRPr="009C6DDD" w:rsidRDefault="004578F5" w:rsidP="006A0A8E">
      <w:pPr>
        <w:spacing w:after="0" w:line="360" w:lineRule="auto"/>
        <w:rPr>
          <w:rFonts w:eastAsia="Times New Roman" w:cs="Tahoma"/>
          <w:color w:val="auto"/>
          <w:lang w:eastAsia="es-ES"/>
        </w:rPr>
      </w:pPr>
      <w:r w:rsidRPr="000A06F5">
        <w:rPr>
          <w:rFonts w:eastAsia="Times New Roman" w:cs="Times New Roman"/>
          <w:color w:val="auto"/>
          <w:lang w:eastAsia="es-ES"/>
        </w:rPr>
        <w:t>Así, es posible concluir que la inexistencia presupone la competencia del sujeto obligado para conocer de la información, pero por alguna circunstancia, la documentación solicitada no obra en sus archivos</w:t>
      </w:r>
      <w:r>
        <w:rPr>
          <w:rFonts w:eastAsia="Times New Roman" w:cs="Times New Roman"/>
          <w:color w:val="auto"/>
          <w:lang w:eastAsia="es-ES"/>
        </w:rPr>
        <w:t>; por lo que,</w:t>
      </w:r>
      <w:r w:rsidRPr="009C6DDD">
        <w:rPr>
          <w:rFonts w:eastAsia="Times New Roman" w:cs="Tahoma"/>
          <w:color w:val="auto"/>
          <w:lang w:eastAsia="es-ES"/>
        </w:rPr>
        <w:t xml:space="preserve"> para poder acreditar dicha circunstancia, se considera que los Sujetos Obligados, primero deben realizar una indagación en todos los archivos de las áreas con funciones para conocer de lo peticionado.</w:t>
      </w:r>
    </w:p>
    <w:p w14:paraId="4F95E497" w14:textId="77777777" w:rsidR="004578F5" w:rsidRPr="009C6DDD" w:rsidRDefault="004578F5" w:rsidP="006A0A8E">
      <w:pPr>
        <w:spacing w:after="0" w:line="360" w:lineRule="auto"/>
        <w:rPr>
          <w:rFonts w:eastAsia="Times New Roman" w:cs="Tahoma"/>
          <w:bCs/>
          <w:iCs/>
          <w:color w:val="auto"/>
          <w:lang w:val="es-ES" w:eastAsia="es-ES"/>
        </w:rPr>
      </w:pPr>
    </w:p>
    <w:p w14:paraId="446F5836" w14:textId="77777777" w:rsidR="004578F5" w:rsidRPr="009C6DDD" w:rsidRDefault="004578F5" w:rsidP="006A0A8E">
      <w:pPr>
        <w:spacing w:after="0" w:line="360" w:lineRule="auto"/>
        <w:rPr>
          <w:rFonts w:eastAsia="Times New Roman" w:cs="Tahoma"/>
          <w:color w:val="auto"/>
          <w:lang w:eastAsia="es-ES"/>
        </w:rPr>
      </w:pPr>
      <w:r w:rsidRPr="009C6DDD">
        <w:rPr>
          <w:rFonts w:eastAsia="Times New Roman" w:cs="Tahoma"/>
          <w:color w:val="auto"/>
          <w:lang w:eastAsia="es-ES"/>
        </w:rPr>
        <w:t xml:space="preserve">En ese contexto, el artículo 162 de la Ley de Transparencia y Acceso a la Información Pública del Estado de México y Municipios, establece que las áreas competentes para conocer de una solicitud de información, deben realizar una </w:t>
      </w:r>
      <w:r w:rsidRPr="009C6DDD">
        <w:rPr>
          <w:rFonts w:eastAsia="Times New Roman" w:cs="Tahoma"/>
          <w:b/>
          <w:color w:val="auto"/>
          <w:lang w:eastAsia="es-ES"/>
        </w:rPr>
        <w:t>búsqueda exhaustiva y razonable</w:t>
      </w:r>
      <w:r w:rsidRPr="009C6DDD">
        <w:rPr>
          <w:rFonts w:eastAsia="Times New Roman" w:cs="Tahoma"/>
          <w:color w:val="auto"/>
          <w:lang w:eastAsia="es-ES"/>
        </w:rPr>
        <w:t>; así, resulta necesario determinar, que es una investigación con esas características.</w:t>
      </w:r>
    </w:p>
    <w:p w14:paraId="7E97E3E8" w14:textId="77777777" w:rsidR="004578F5" w:rsidRPr="009C6DDD" w:rsidRDefault="004578F5" w:rsidP="006A0A8E">
      <w:pPr>
        <w:spacing w:after="0" w:line="360" w:lineRule="auto"/>
        <w:rPr>
          <w:rFonts w:eastAsia="Times New Roman" w:cs="Tahoma"/>
          <w:color w:val="auto"/>
          <w:lang w:eastAsia="es-ES"/>
        </w:rPr>
      </w:pPr>
    </w:p>
    <w:p w14:paraId="240F48BF" w14:textId="77777777" w:rsidR="004578F5" w:rsidRPr="009C6DDD" w:rsidRDefault="004578F5" w:rsidP="006A0A8E">
      <w:pPr>
        <w:spacing w:after="0" w:line="360" w:lineRule="auto"/>
        <w:rPr>
          <w:rFonts w:eastAsia="Times New Roman" w:cs="Arial"/>
          <w:b/>
          <w:bCs/>
          <w:color w:val="auto"/>
          <w:lang w:eastAsia="es-ES"/>
        </w:rPr>
      </w:pPr>
      <w:r>
        <w:rPr>
          <w:rFonts w:eastAsia="Times New Roman" w:cs="Arial"/>
          <w:bCs/>
          <w:color w:val="auto"/>
          <w:lang w:eastAsia="es-ES"/>
        </w:rPr>
        <w:t>Además</w:t>
      </w:r>
      <w:r w:rsidRPr="009C6DDD">
        <w:rPr>
          <w:rFonts w:eastAsia="Times New Roman" w:cs="Arial"/>
          <w:bCs/>
          <w:color w:val="auto"/>
          <w:lang w:eastAsia="es-ES"/>
        </w:rPr>
        <w:t xml:space="preserve">, según Jarquín, Soledad (2019), en el “Diccionario de Transparencia y Acceso a la Información Pública” (p. 68), </w:t>
      </w:r>
      <w:r w:rsidRPr="009C6DDD">
        <w:rPr>
          <w:rFonts w:eastAsia="Times New Roman" w:cs="Arial"/>
          <w:b/>
          <w:bCs/>
          <w:color w:val="auto"/>
          <w:lang w:eastAsia="es-ES"/>
        </w:rPr>
        <w:t>la búsqueda exhaustiva</w:t>
      </w:r>
      <w:r w:rsidRPr="009C6DDD">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9C6DDD">
        <w:rPr>
          <w:rFonts w:eastAsia="Times New Roman" w:cs="Arial"/>
          <w:b/>
          <w:bCs/>
          <w:color w:val="auto"/>
          <w:lang w:eastAsia="es-ES"/>
        </w:rPr>
        <w:t>hasta agotar por completo las posibilidades de indagación.</w:t>
      </w:r>
    </w:p>
    <w:p w14:paraId="79669ED3" w14:textId="77777777" w:rsidR="004578F5" w:rsidRPr="009C6DDD" w:rsidRDefault="004578F5" w:rsidP="006A0A8E">
      <w:pPr>
        <w:spacing w:after="0" w:line="360" w:lineRule="auto"/>
        <w:rPr>
          <w:rFonts w:eastAsia="Times New Roman" w:cs="Arial"/>
          <w:b/>
          <w:bCs/>
          <w:color w:val="auto"/>
          <w:lang w:eastAsia="es-ES"/>
        </w:rPr>
      </w:pPr>
    </w:p>
    <w:p w14:paraId="70E803E1" w14:textId="77777777" w:rsidR="004578F5" w:rsidRPr="009C6DDD" w:rsidRDefault="004578F5" w:rsidP="006A0A8E">
      <w:pPr>
        <w:spacing w:after="0" w:line="360" w:lineRule="auto"/>
        <w:rPr>
          <w:rFonts w:eastAsia="Times New Roman" w:cs="Arial"/>
          <w:b/>
          <w:bCs/>
          <w:color w:val="auto"/>
          <w:lang w:eastAsia="es-ES"/>
        </w:rPr>
      </w:pPr>
      <w:r>
        <w:rPr>
          <w:rFonts w:eastAsia="Times New Roman" w:cs="Arial"/>
          <w:bCs/>
          <w:color w:val="auto"/>
          <w:lang w:eastAsia="es-ES"/>
        </w:rPr>
        <w:t>En ese orden de ideas</w:t>
      </w:r>
      <w:r w:rsidRPr="009C6DDD">
        <w:rPr>
          <w:rFonts w:eastAsia="Times New Roman" w:cs="Arial"/>
          <w:bCs/>
          <w:color w:val="auto"/>
          <w:lang w:eastAsia="es-ES"/>
        </w:rPr>
        <w:t xml:space="preserve">, según Calero, Natalia (2016), en la “Ley General de Transparencia y Acceso a la Información Pública Comentada” (p. 408), para que exista una búsqueda exhaustiva y razonable, se debe hacer una </w:t>
      </w:r>
      <w:r w:rsidRPr="009C6DDD">
        <w:rPr>
          <w:rFonts w:eastAsia="Times New Roman" w:cs="Arial"/>
          <w:b/>
          <w:bCs/>
          <w:color w:val="auto"/>
          <w:lang w:eastAsia="es-ES"/>
        </w:rPr>
        <w:t xml:space="preserve">indagación consiente y minuciosa en sus archivos físicos y electrónicos. </w:t>
      </w:r>
    </w:p>
    <w:p w14:paraId="146D6B10" w14:textId="77777777" w:rsidR="004578F5" w:rsidRPr="009C6DDD" w:rsidRDefault="004578F5" w:rsidP="006A0A8E">
      <w:pPr>
        <w:spacing w:after="0" w:line="360" w:lineRule="auto"/>
        <w:rPr>
          <w:rFonts w:eastAsia="Times New Roman" w:cs="Tahoma"/>
          <w:b/>
          <w:color w:val="auto"/>
          <w:lang w:eastAsia="es-ES"/>
        </w:rPr>
      </w:pPr>
      <w:r>
        <w:rPr>
          <w:rFonts w:eastAsia="Times New Roman" w:cs="Tahoma"/>
          <w:color w:val="auto"/>
          <w:lang w:eastAsia="es-ES"/>
        </w:rPr>
        <w:lastRenderedPageBreak/>
        <w:t>Así</w:t>
      </w:r>
      <w:r w:rsidRPr="009C6DDD">
        <w:rPr>
          <w:rFonts w:eastAsia="Times New Roman" w:cs="Tahoma"/>
          <w:color w:val="auto"/>
          <w:lang w:eastAsia="es-ES"/>
        </w:rPr>
        <w:t xml:space="preserve">, para poder acreditar el carácter exhaustivo de la búsqueda realizada por los Sujetos Obligados, se deben motivar las razones por las que se buscó la información en determinadas áreas, </w:t>
      </w:r>
      <w:r w:rsidRPr="009C6DDD">
        <w:rPr>
          <w:rFonts w:eastAsia="Times New Roman" w:cs="Tahoma"/>
          <w:b/>
          <w:color w:val="auto"/>
          <w:lang w:eastAsia="es-ES"/>
        </w:rPr>
        <w:t>los criterios de búsqueda utilizados y demás circunstancias que fueron tomadas en cuenta.</w:t>
      </w:r>
    </w:p>
    <w:p w14:paraId="44B10CE5" w14:textId="77777777" w:rsidR="004578F5" w:rsidRPr="009C6DDD" w:rsidRDefault="004578F5" w:rsidP="006A0A8E">
      <w:pPr>
        <w:spacing w:after="0" w:line="360" w:lineRule="auto"/>
        <w:rPr>
          <w:rFonts w:eastAsia="Times New Roman" w:cs="Tahoma"/>
          <w:color w:val="auto"/>
          <w:lang w:eastAsia="es-ES"/>
        </w:rPr>
      </w:pPr>
    </w:p>
    <w:p w14:paraId="57487CFD" w14:textId="77777777" w:rsidR="004578F5" w:rsidRPr="009C6DDD" w:rsidRDefault="004578F5" w:rsidP="006A0A8E">
      <w:pPr>
        <w:spacing w:after="0" w:line="360" w:lineRule="auto"/>
        <w:rPr>
          <w:rFonts w:eastAsia="Times New Roman" w:cs="Tahoma"/>
          <w:color w:val="auto"/>
          <w:lang w:eastAsia="es-ES"/>
        </w:rPr>
      </w:pPr>
      <w:r w:rsidRPr="009C6DDD">
        <w:rPr>
          <w:rFonts w:eastAsia="Times New Roman" w:cs="Tahoma"/>
          <w:color w:val="auto"/>
          <w:lang w:eastAsia="es-ES"/>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12EFE0E9" w14:textId="77777777" w:rsidR="004578F5" w:rsidRPr="009C6DDD" w:rsidRDefault="004578F5" w:rsidP="006A0A8E">
      <w:pPr>
        <w:spacing w:after="0" w:line="360" w:lineRule="auto"/>
        <w:rPr>
          <w:rFonts w:eastAsia="Times New Roman" w:cs="Tahoma"/>
          <w:color w:val="auto"/>
          <w:lang w:eastAsia="es-ES"/>
        </w:rPr>
      </w:pPr>
    </w:p>
    <w:p w14:paraId="17940CCF" w14:textId="77777777" w:rsidR="004578F5" w:rsidRPr="009C6DDD" w:rsidRDefault="004578F5" w:rsidP="006A0A8E">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Motivación por las que se buscó la información, en determinadas unidades administrativas;</w:t>
      </w:r>
    </w:p>
    <w:p w14:paraId="25BC2396" w14:textId="77777777" w:rsidR="004578F5" w:rsidRPr="009C6DDD" w:rsidRDefault="004578F5" w:rsidP="006A0A8E">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Los criterios de búsqueda utilizados, y</w:t>
      </w:r>
    </w:p>
    <w:p w14:paraId="3DAE08C9" w14:textId="77777777" w:rsidR="004578F5" w:rsidRPr="009C6DDD" w:rsidRDefault="004578F5" w:rsidP="006A0A8E">
      <w:pPr>
        <w:numPr>
          <w:ilvl w:val="0"/>
          <w:numId w:val="21"/>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circunstancias que fueron tomadas en cuenta.</w:t>
      </w:r>
    </w:p>
    <w:p w14:paraId="5893D1F2" w14:textId="77777777" w:rsidR="004578F5" w:rsidRPr="009C6DDD" w:rsidRDefault="004578F5" w:rsidP="006A0A8E">
      <w:pPr>
        <w:spacing w:after="0" w:line="360" w:lineRule="auto"/>
        <w:rPr>
          <w:rFonts w:eastAsia="Times New Roman" w:cs="Tahoma"/>
          <w:color w:val="auto"/>
          <w:lang w:eastAsia="es-ES"/>
        </w:rPr>
      </w:pPr>
    </w:p>
    <w:p w14:paraId="39EA2355" w14:textId="77777777" w:rsidR="004578F5" w:rsidRPr="009C6DDD" w:rsidRDefault="004578F5" w:rsidP="006A0A8E">
      <w:pPr>
        <w:spacing w:after="0" w:line="360" w:lineRule="auto"/>
        <w:rPr>
          <w:rFonts w:eastAsia="Times New Roman" w:cs="Tahoma"/>
          <w:color w:val="auto"/>
          <w:lang w:eastAsia="es-ES"/>
        </w:rPr>
      </w:pPr>
      <w:r w:rsidRPr="009C6DDD">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14:paraId="665A355D" w14:textId="77777777" w:rsidR="004578F5" w:rsidRPr="009C6DDD" w:rsidRDefault="004578F5" w:rsidP="006A0A8E">
      <w:pPr>
        <w:spacing w:after="0" w:line="360" w:lineRule="auto"/>
        <w:rPr>
          <w:rFonts w:eastAsia="Times New Roman" w:cs="Tahoma"/>
          <w:color w:val="auto"/>
          <w:lang w:eastAsia="es-ES"/>
        </w:rPr>
      </w:pPr>
    </w:p>
    <w:p w14:paraId="2DBE278C" w14:textId="77777777" w:rsidR="004578F5" w:rsidRPr="009C6DDD" w:rsidRDefault="004578F5" w:rsidP="006A0A8E">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áreas donde se buscó la información;</w:t>
      </w:r>
    </w:p>
    <w:p w14:paraId="72FFFBE0" w14:textId="77777777" w:rsidR="004578F5" w:rsidRPr="009C6DDD" w:rsidRDefault="004578F5" w:rsidP="006A0A8E">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Tipo de archivos buscados (físicos o electrónicos);</w:t>
      </w:r>
    </w:p>
    <w:p w14:paraId="616EAE4B" w14:textId="77777777" w:rsidR="004578F5" w:rsidRPr="009C6DDD" w:rsidRDefault="004578F5" w:rsidP="006A0A8E">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 xml:space="preserve">Los criterios de búsqueda utilizados, y </w:t>
      </w:r>
    </w:p>
    <w:p w14:paraId="6E215F11" w14:textId="77777777" w:rsidR="004578F5" w:rsidRPr="009C6DDD" w:rsidRDefault="004578F5" w:rsidP="006A0A8E">
      <w:pPr>
        <w:numPr>
          <w:ilvl w:val="0"/>
          <w:numId w:val="13"/>
        </w:numPr>
        <w:spacing w:after="0" w:line="360" w:lineRule="auto"/>
        <w:contextualSpacing/>
        <w:jc w:val="left"/>
        <w:rPr>
          <w:rFonts w:eastAsia="Times New Roman" w:cs="Tahoma"/>
          <w:color w:val="auto"/>
          <w:lang w:eastAsia="es-ES"/>
        </w:rPr>
      </w:pPr>
      <w:r w:rsidRPr="009C6DDD">
        <w:rPr>
          <w:rFonts w:eastAsia="Times New Roman" w:cs="Tahoma"/>
          <w:color w:val="auto"/>
          <w:lang w:eastAsia="es-ES"/>
        </w:rPr>
        <w:t>Las circunstancias que fueron tomadas en cuenta.</w:t>
      </w:r>
      <w:r w:rsidRPr="009C6DDD">
        <w:rPr>
          <w:rFonts w:eastAsia="Times New Roman" w:cs="Tahoma"/>
          <w:color w:val="auto"/>
          <w:lang w:eastAsia="es-ES"/>
        </w:rPr>
        <w:tab/>
      </w:r>
    </w:p>
    <w:p w14:paraId="1148F7A1" w14:textId="77777777" w:rsidR="004578F5" w:rsidRPr="009C6DDD" w:rsidRDefault="004578F5" w:rsidP="006A0A8E">
      <w:pPr>
        <w:spacing w:after="0" w:line="360" w:lineRule="auto"/>
        <w:rPr>
          <w:rFonts w:eastAsia="Times New Roman" w:cs="Tahoma"/>
          <w:color w:val="auto"/>
          <w:lang w:eastAsia="es-ES"/>
        </w:rPr>
      </w:pPr>
    </w:p>
    <w:p w14:paraId="3750970F" w14:textId="77777777" w:rsidR="004578F5" w:rsidRPr="009C6DDD" w:rsidRDefault="004578F5" w:rsidP="006A0A8E">
      <w:pPr>
        <w:spacing w:after="0" w:line="360" w:lineRule="auto"/>
        <w:rPr>
          <w:rFonts w:eastAsia="Times New Roman" w:cs="Tahoma"/>
          <w:color w:val="auto"/>
          <w:lang w:eastAsia="es-ES"/>
        </w:rPr>
      </w:pPr>
      <w:r w:rsidRPr="009C6DDD">
        <w:rPr>
          <w:rFonts w:eastAsia="Times New Roman" w:cs="Tahoma"/>
          <w:color w:val="auto"/>
          <w:lang w:eastAsia="es-ES"/>
        </w:rPr>
        <w:t xml:space="preserve">Conforme a lo anterior, este Instituto considera que el </w:t>
      </w:r>
      <w:r>
        <w:rPr>
          <w:rFonts w:eastAsia="Times New Roman" w:cs="Tahoma"/>
          <w:color w:val="auto"/>
          <w:lang w:eastAsia="es-ES"/>
        </w:rPr>
        <w:t>Ayuntamiento de Otzoloapan</w:t>
      </w:r>
      <w:r w:rsidRPr="009C6DDD">
        <w:rPr>
          <w:rFonts w:eastAsia="Times New Roman" w:cs="Tahoma"/>
          <w:color w:val="auto"/>
          <w:lang w:eastAsia="es-ES"/>
        </w:rPr>
        <w:t>, no cumplió con ninguno de los requisitos previamente señalados por lo siguiente:</w:t>
      </w:r>
    </w:p>
    <w:p w14:paraId="29BFDD70" w14:textId="77777777" w:rsidR="004578F5" w:rsidRPr="009C6DDD" w:rsidRDefault="004578F5" w:rsidP="006A0A8E">
      <w:pPr>
        <w:spacing w:after="0" w:line="360" w:lineRule="auto"/>
        <w:rPr>
          <w:rFonts w:eastAsia="Times New Roman" w:cs="Tahoma"/>
          <w:color w:val="auto"/>
          <w:lang w:eastAsia="es-ES"/>
        </w:rPr>
      </w:pPr>
    </w:p>
    <w:p w14:paraId="0B27ADC1" w14:textId="77777777" w:rsidR="00DF7077" w:rsidRPr="00DF7077" w:rsidRDefault="00DF7077" w:rsidP="00DC5C07">
      <w:pPr>
        <w:numPr>
          <w:ilvl w:val="0"/>
          <w:numId w:val="22"/>
        </w:numPr>
        <w:spacing w:after="0" w:line="360" w:lineRule="auto"/>
        <w:ind w:left="567"/>
        <w:contextualSpacing/>
        <w:rPr>
          <w:rFonts w:eastAsia="Times New Roman" w:cs="Tahoma"/>
          <w:color w:val="auto"/>
          <w:lang w:eastAsia="es-ES"/>
        </w:rPr>
      </w:pPr>
      <w:r w:rsidRPr="00DF7077">
        <w:rPr>
          <w:rFonts w:eastAsia="Times New Roman" w:cs="Tahoma"/>
          <w:color w:val="auto"/>
          <w:lang w:eastAsia="es-ES"/>
        </w:rPr>
        <w:lastRenderedPageBreak/>
        <w:t>Dado que no se advierte a que unidad administrativa turno la solicitud de información</w:t>
      </w:r>
      <w:r w:rsidRPr="00DF7077">
        <w:rPr>
          <w:rFonts w:eastAsia="Times New Roman" w:cs="Tahoma"/>
          <w:color w:val="auto"/>
          <w:lang w:val="es-ES" w:eastAsia="es-ES"/>
        </w:rPr>
        <w:t>;</w:t>
      </w:r>
    </w:p>
    <w:p w14:paraId="00D94335" w14:textId="77777777" w:rsidR="004578F5" w:rsidRDefault="004578F5" w:rsidP="00DC5C07">
      <w:pPr>
        <w:numPr>
          <w:ilvl w:val="0"/>
          <w:numId w:val="22"/>
        </w:numPr>
        <w:spacing w:after="0" w:line="360" w:lineRule="auto"/>
        <w:ind w:left="567"/>
        <w:rPr>
          <w:rFonts w:eastAsia="Times New Roman" w:cs="Tahoma"/>
          <w:color w:val="auto"/>
          <w:lang w:eastAsia="es-ES"/>
        </w:rPr>
      </w:pPr>
      <w:r w:rsidRPr="009C6DDD">
        <w:rPr>
          <w:rFonts w:eastAsia="Times New Roman" w:cs="Tahoma"/>
          <w:color w:val="auto"/>
          <w:lang w:eastAsia="es-ES"/>
        </w:rPr>
        <w:t>No precisó, en qué lugares y archivos buscó; es decir, indagó únicamente en documentos físicos o también electrónicos</w:t>
      </w:r>
      <w:r>
        <w:rPr>
          <w:rFonts w:eastAsia="Times New Roman" w:cs="Tahoma"/>
          <w:color w:val="auto"/>
          <w:lang w:eastAsia="es-ES"/>
        </w:rPr>
        <w:t>;</w:t>
      </w:r>
    </w:p>
    <w:p w14:paraId="6B9D0455" w14:textId="77777777" w:rsidR="00DF7077" w:rsidRPr="002E1C2E" w:rsidRDefault="00DF7077" w:rsidP="00DC5C07">
      <w:pPr>
        <w:numPr>
          <w:ilvl w:val="0"/>
          <w:numId w:val="22"/>
        </w:numPr>
        <w:spacing w:after="0" w:line="360" w:lineRule="auto"/>
        <w:ind w:left="567"/>
        <w:rPr>
          <w:rFonts w:cs="Tahoma"/>
          <w:b/>
        </w:rPr>
      </w:pPr>
      <w:r w:rsidRPr="002E1C2E">
        <w:rPr>
          <w:rFonts w:cs="Tahoma"/>
        </w:rPr>
        <w:t>No se logró desprender los criterios de búsqueda utilizados, pues inclusive no proporcionó los documento</w:t>
      </w:r>
      <w:r>
        <w:rPr>
          <w:rFonts w:cs="Tahoma"/>
        </w:rPr>
        <w:t>s requeridos, únicamente indicó que no se habían emitido</w:t>
      </w:r>
      <w:r w:rsidRPr="002E1C2E">
        <w:rPr>
          <w:rFonts w:cs="Tahoma"/>
        </w:rPr>
        <w:t>, y</w:t>
      </w:r>
    </w:p>
    <w:p w14:paraId="161E4415" w14:textId="77777777" w:rsidR="004578F5" w:rsidRPr="009C6DDD" w:rsidRDefault="004578F5" w:rsidP="00DC5C07">
      <w:pPr>
        <w:numPr>
          <w:ilvl w:val="0"/>
          <w:numId w:val="22"/>
        </w:numPr>
        <w:spacing w:after="0" w:line="360" w:lineRule="auto"/>
        <w:ind w:left="567"/>
        <w:jc w:val="left"/>
        <w:rPr>
          <w:rFonts w:eastAsia="Times New Roman" w:cs="Tahoma"/>
          <w:b/>
          <w:color w:val="auto"/>
          <w:lang w:eastAsia="es-ES"/>
        </w:rPr>
      </w:pPr>
      <w:r w:rsidRPr="009C6DDD">
        <w:rPr>
          <w:rFonts w:eastAsia="Times New Roman" w:cs="Tahoma"/>
          <w:color w:val="auto"/>
          <w:lang w:eastAsia="es-ES"/>
        </w:rPr>
        <w:t>Tampoco se establecen las circunstancias que fueron tomadas para realizarla, entre las cuales se podrían considerar, la temporalidad.</w:t>
      </w:r>
    </w:p>
    <w:p w14:paraId="22268CF5" w14:textId="77777777" w:rsidR="004578F5" w:rsidRPr="009C6DDD" w:rsidRDefault="004578F5" w:rsidP="006A0A8E">
      <w:pPr>
        <w:spacing w:after="0" w:line="360" w:lineRule="auto"/>
        <w:rPr>
          <w:rFonts w:eastAsia="Times New Roman" w:cs="Tahoma"/>
          <w:b/>
          <w:color w:val="auto"/>
          <w:sz w:val="20"/>
          <w:lang w:eastAsia="es-ES"/>
        </w:rPr>
      </w:pPr>
    </w:p>
    <w:p w14:paraId="3FCEC5B0" w14:textId="77777777" w:rsidR="00F774F1" w:rsidRPr="00F774F1" w:rsidRDefault="00F774F1" w:rsidP="006A0A8E">
      <w:pPr>
        <w:spacing w:after="0" w:line="360" w:lineRule="auto"/>
        <w:rPr>
          <w:rFonts w:eastAsia="Times New Roman" w:cs="Tahoma"/>
          <w:iCs/>
          <w:color w:val="auto"/>
          <w:lang w:val="es-ES" w:eastAsia="es-ES"/>
        </w:rPr>
      </w:pPr>
      <w:r w:rsidRPr="00F774F1">
        <w:rPr>
          <w:rFonts w:eastAsia="Times New Roman" w:cs="Tahoma"/>
          <w:color w:val="auto"/>
          <w:lang w:eastAsia="es-ES"/>
        </w:rPr>
        <w:t>Por tales consideraciones, se considera que el Sujeto Obligado no cumplió el procedimiento de búsqueda, establecido en la Ley de la materia</w:t>
      </w:r>
      <w:r w:rsidRPr="00F774F1">
        <w:rPr>
          <w:rFonts w:eastAsia="Times New Roman" w:cs="Tahoma"/>
          <w:iCs/>
          <w:color w:val="auto"/>
          <w:lang w:val="es-ES" w:eastAsia="es-ES"/>
        </w:rPr>
        <w:t xml:space="preserve">, pues no realizó la misma en el área competente, ni de manera exhaustiva y razonable, al no señalar los criterios utilizados para realizar la indagación, el tipo de archivos investigados o bien las circunstancias que fueron tomadas en cuenta. </w:t>
      </w:r>
    </w:p>
    <w:p w14:paraId="42A3EC5C" w14:textId="77777777" w:rsidR="004578F5" w:rsidRDefault="004578F5" w:rsidP="006A0A8E">
      <w:pPr>
        <w:spacing w:after="0" w:line="360" w:lineRule="auto"/>
        <w:rPr>
          <w:rFonts w:eastAsia="Calibri" w:cs="Tahoma"/>
          <w:bCs/>
          <w:color w:val="auto"/>
        </w:rPr>
      </w:pPr>
    </w:p>
    <w:p w14:paraId="0A9EB4C1" w14:textId="77777777" w:rsidR="00F774F1" w:rsidRPr="00F774F1" w:rsidRDefault="00F774F1" w:rsidP="006A0A8E">
      <w:pPr>
        <w:spacing w:after="0" w:line="360" w:lineRule="auto"/>
        <w:rPr>
          <w:rFonts w:eastAsia="Times New Roman" w:cs="Tahoma"/>
          <w:iCs/>
          <w:color w:val="auto"/>
          <w:lang w:eastAsia="es-ES"/>
        </w:rPr>
      </w:pPr>
      <w:r w:rsidRPr="00F774F1">
        <w:rPr>
          <w:rFonts w:eastAsia="Times New Roman" w:cs="Tahoma"/>
          <w:iCs/>
          <w:color w:val="auto"/>
          <w:lang w:eastAsia="es-ES"/>
        </w:rPr>
        <w:t>Abona a lo anterior, el hecho de que el artículo 19, párrafo segundo de la Ley de Transparencia y Acceso a la Información Pública del Estado de México y Municipios, dispone que en el caso de que ciertas facultades, competencias o funciones no se hayan ejercido, se debe motivar la respuesta en función de las causas que motivan tal circunstancia y, para el caso que nos ocupa, no existe certeza de la búsqueda exhaustiva y razonable.</w:t>
      </w:r>
    </w:p>
    <w:p w14:paraId="25AF597E" w14:textId="77777777" w:rsidR="004578F5" w:rsidRDefault="004578F5" w:rsidP="006A0A8E">
      <w:pPr>
        <w:spacing w:after="0" w:line="360" w:lineRule="auto"/>
        <w:rPr>
          <w:rFonts w:eastAsia="Calibri" w:cs="Tahoma"/>
          <w:bCs/>
          <w:color w:val="auto"/>
        </w:rPr>
      </w:pPr>
    </w:p>
    <w:p w14:paraId="5BA17C8C" w14:textId="77777777" w:rsidR="00F774F1" w:rsidRPr="00F774F1" w:rsidRDefault="00F774F1" w:rsidP="006A0A8E">
      <w:pPr>
        <w:spacing w:after="0" w:line="360" w:lineRule="auto"/>
        <w:rPr>
          <w:rFonts w:eastAsia="Times New Roman" w:cs="Tahoma"/>
          <w:color w:val="auto"/>
          <w:lang w:val="es-ES" w:eastAsia="es-ES"/>
        </w:rPr>
      </w:pPr>
      <w:r w:rsidRPr="00F774F1">
        <w:rPr>
          <w:rFonts w:eastAsia="Times New Roman" w:cs="Tahoma"/>
          <w:color w:val="auto"/>
          <w:lang w:val="es-ES" w:eastAsia="es-ES"/>
        </w:rPr>
        <w:t xml:space="preserve">Así, se concluye que el agravio hecho valer por el Particular es </w:t>
      </w:r>
      <w:r w:rsidRPr="00F774F1">
        <w:rPr>
          <w:rFonts w:eastAsia="Times New Roman" w:cs="Tahoma"/>
          <w:b/>
          <w:color w:val="auto"/>
          <w:lang w:val="es-ES" w:eastAsia="es-ES"/>
        </w:rPr>
        <w:t xml:space="preserve">FUNDADO, </w:t>
      </w:r>
      <w:r w:rsidRPr="00F774F1">
        <w:rPr>
          <w:rFonts w:eastAsia="Times New Roman" w:cs="Tahoma"/>
          <w:color w:val="auto"/>
          <w:lang w:val="es-ES" w:eastAsia="es-ES"/>
        </w:rPr>
        <w:t>pues no realizó una búsqueda exhaustiva y razonable de la información requerida, y por lo tanto, no acreditó que no constara con la información peticionada en sus archivos.</w:t>
      </w:r>
    </w:p>
    <w:p w14:paraId="530908F8" w14:textId="77777777" w:rsidR="004578F5" w:rsidRDefault="004578F5" w:rsidP="006A0A8E">
      <w:pPr>
        <w:spacing w:after="0" w:line="360" w:lineRule="auto"/>
        <w:rPr>
          <w:rFonts w:eastAsia="Calibri" w:cs="Tahoma"/>
          <w:bCs/>
          <w:color w:val="auto"/>
        </w:rPr>
      </w:pPr>
    </w:p>
    <w:p w14:paraId="4D74366B" w14:textId="3AF7F9AE" w:rsidR="00A04F48" w:rsidRDefault="00F774F1" w:rsidP="006A0A8E">
      <w:pPr>
        <w:spacing w:after="0" w:line="360" w:lineRule="auto"/>
        <w:rPr>
          <w:rFonts w:cs="Tahoma"/>
        </w:rPr>
      </w:pPr>
      <w:r>
        <w:rPr>
          <w:rFonts w:cs="Tahoma"/>
          <w:lang w:val="es-ES"/>
        </w:rPr>
        <w:t>En ese contexto,</w:t>
      </w:r>
      <w:r w:rsidRPr="00132E3E">
        <w:rPr>
          <w:rFonts w:cs="Tahoma"/>
          <w:lang w:val="es-ES"/>
        </w:rPr>
        <w:t xml:space="preserve"> </w:t>
      </w:r>
      <w:r w:rsidRPr="00132E3E">
        <w:rPr>
          <w:rFonts w:cs="Tahoma"/>
        </w:rPr>
        <w:t xml:space="preserve">para dar atención al requerimiento informativo, el </w:t>
      </w:r>
      <w:r w:rsidR="00042741">
        <w:rPr>
          <w:rFonts w:cs="Tahoma"/>
        </w:rPr>
        <w:t>Ente Recurrido,</w:t>
      </w:r>
      <w:r w:rsidRPr="00132E3E">
        <w:rPr>
          <w:rFonts w:cs="Tahoma"/>
        </w:rPr>
        <w:t xml:space="preserve"> deberá realizar una búsqueda exhaustiva y razonable, conforme a los parámetros previamente señalados, y en términos del artículo 162 de la Ley de Transparencia y Acceso a la Información </w:t>
      </w:r>
      <w:r w:rsidRPr="00132E3E">
        <w:rPr>
          <w:rFonts w:cs="Tahoma"/>
        </w:rPr>
        <w:lastRenderedPageBreak/>
        <w:t>Pública del Estado de México y Municipios, en todas las unidades competentes, entre las cuales no podrá omitir a la</w:t>
      </w:r>
      <w:r w:rsidR="00B10E79" w:rsidRPr="00B10E79">
        <w:rPr>
          <w:rFonts w:eastAsia="Calibri" w:cs="Tahoma"/>
          <w:b/>
          <w:bCs/>
        </w:rPr>
        <w:t xml:space="preserve"> </w:t>
      </w:r>
      <w:r w:rsidR="00B10E79" w:rsidRPr="00B10E79">
        <w:rPr>
          <w:rFonts w:cs="Tahoma"/>
          <w:b/>
          <w:bCs/>
        </w:rPr>
        <w:t>Dirección de Desarrollo Económico</w:t>
      </w:r>
      <w:r w:rsidR="00B10E79">
        <w:rPr>
          <w:rFonts w:cs="Tahoma"/>
        </w:rPr>
        <w:t xml:space="preserve">, que conforme a los artículos 7°, fracción I, numeral 8, y 35 del </w:t>
      </w:r>
      <w:r w:rsidR="00B10E79" w:rsidRPr="00B10E79">
        <w:rPr>
          <w:rFonts w:cs="Tahoma"/>
          <w:bCs/>
        </w:rPr>
        <w:t xml:space="preserve">Reglamento Orgánico de la Administración Municipal del </w:t>
      </w:r>
      <w:r w:rsidR="00B10E79" w:rsidRPr="00B10E79">
        <w:rPr>
          <w:rFonts w:cs="Tahoma"/>
        </w:rPr>
        <w:t>Ayuntamiento de Otzoloapan</w:t>
      </w:r>
      <w:r w:rsidR="00B10E79">
        <w:rPr>
          <w:rFonts w:cs="Tahoma"/>
        </w:rPr>
        <w:t>, es la encargada de expedir y refrendar las licencias o permisos para el funcionamiento de los establecimientos industriales, comerciales, de servicios y mercados, así como, otorgar autorizaciones o permisos temporales, para ejercer el comercio de prestación de servicios en tianguis, puestos fijos, semifijos</w:t>
      </w:r>
      <w:r w:rsidR="00A04F48">
        <w:rPr>
          <w:rFonts w:cs="Tahoma"/>
        </w:rPr>
        <w:t xml:space="preserve"> o análogos en vía público.</w:t>
      </w:r>
    </w:p>
    <w:p w14:paraId="239F3FAE" w14:textId="77777777" w:rsidR="00A04F48" w:rsidRDefault="00A04F48" w:rsidP="006A0A8E">
      <w:pPr>
        <w:spacing w:after="0" w:line="360" w:lineRule="auto"/>
        <w:rPr>
          <w:rFonts w:cs="Tahoma"/>
        </w:rPr>
      </w:pPr>
    </w:p>
    <w:p w14:paraId="73CDB3FE" w14:textId="6C1346CF" w:rsidR="00A04F48" w:rsidRPr="00A04F48" w:rsidRDefault="00A04F48" w:rsidP="006A0A8E">
      <w:pPr>
        <w:spacing w:after="0" w:line="360" w:lineRule="auto"/>
        <w:rPr>
          <w:rFonts w:eastAsia="Times New Roman" w:cs="Tahoma"/>
          <w:color w:val="auto"/>
          <w:lang w:eastAsia="es-ES"/>
        </w:rPr>
      </w:pPr>
      <w:r>
        <w:rPr>
          <w:rFonts w:cs="Tahoma"/>
        </w:rPr>
        <w:t>Lo anterior,</w:t>
      </w:r>
      <w:r w:rsidRPr="00132E3E">
        <w:rPr>
          <w:rFonts w:cs="Tahoma"/>
          <w:iCs/>
          <w:lang w:val="es-ES"/>
        </w:rPr>
        <w:t xml:space="preserve"> a efecto de que entregue</w:t>
      </w:r>
      <w:r w:rsidR="00042741">
        <w:rPr>
          <w:rFonts w:cs="Tahoma"/>
          <w:iCs/>
          <w:lang w:val="es-ES"/>
        </w:rPr>
        <w:t xml:space="preserve"> los documentos que obren en sus archivos y den cuenta de lo solicitado</w:t>
      </w:r>
      <w:r>
        <w:rPr>
          <w:rFonts w:cs="Tahoma"/>
          <w:iCs/>
          <w:lang w:val="es-ES"/>
        </w:rPr>
        <w:t xml:space="preserve">; </w:t>
      </w:r>
      <w:r w:rsidRPr="00A04F48">
        <w:rPr>
          <w:rFonts w:eastAsia="Times New Roman" w:cs="Tahoma"/>
          <w:color w:val="auto"/>
          <w:lang w:val="es-ES" w:eastAsia="es-ES"/>
        </w:rPr>
        <w:t xml:space="preserve">dicha situación, toma sustento </w:t>
      </w:r>
      <w:r w:rsidRPr="00A04F48">
        <w:rPr>
          <w:rFonts w:eastAsia="Calibri" w:cs="Tahoma"/>
          <w:bCs/>
          <w:color w:val="auto"/>
        </w:rPr>
        <w:t>en el</w:t>
      </w:r>
      <w:r w:rsidRPr="00A04F48">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7F0319" w14:textId="77777777" w:rsidR="00A04F48" w:rsidRPr="00A04F48" w:rsidRDefault="00A04F48" w:rsidP="006A0A8E">
      <w:pPr>
        <w:tabs>
          <w:tab w:val="left" w:pos="4962"/>
        </w:tabs>
        <w:spacing w:after="0" w:line="360" w:lineRule="auto"/>
        <w:rPr>
          <w:rFonts w:eastAsia="Times New Roman" w:cs="Tahoma"/>
          <w:color w:val="auto"/>
          <w:lang w:eastAsia="es-ES"/>
        </w:rPr>
      </w:pPr>
    </w:p>
    <w:p w14:paraId="2ABF33B9" w14:textId="422809C4" w:rsidR="00A04F48" w:rsidRDefault="00A04F48" w:rsidP="006A0A8E">
      <w:pPr>
        <w:tabs>
          <w:tab w:val="left" w:pos="4962"/>
        </w:tabs>
        <w:spacing w:after="0" w:line="360" w:lineRule="auto"/>
        <w:rPr>
          <w:rFonts w:eastAsia="Times New Roman" w:cs="Tahoma"/>
          <w:color w:val="auto"/>
          <w:lang w:eastAsia="es-ES"/>
        </w:rPr>
      </w:pPr>
      <w:r w:rsidRPr="00A04F48">
        <w:rPr>
          <w:rFonts w:eastAsia="Times New Roman" w:cs="Tahoma"/>
          <w:color w:val="auto"/>
          <w:lang w:eastAsia="es-ES"/>
        </w:rPr>
        <w:t xml:space="preserve">De esta manera, </w:t>
      </w:r>
      <w:r w:rsidRPr="00A04F48">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04F48">
        <w:rPr>
          <w:rFonts w:eastAsia="Times New Roman" w:cs="Tahoma"/>
          <w:i/>
          <w:color w:val="auto"/>
          <w:lang w:eastAsia="es-ES"/>
        </w:rPr>
        <w:t>ad hoc</w:t>
      </w:r>
      <w:r w:rsidRPr="00A04F48">
        <w:rPr>
          <w:rFonts w:eastAsia="Times New Roman" w:cs="Tahoma"/>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168D84FB" w14:textId="77777777" w:rsidR="00A04F48" w:rsidRPr="00A04F48" w:rsidRDefault="00A04F48" w:rsidP="006A0A8E">
      <w:pPr>
        <w:tabs>
          <w:tab w:val="left" w:pos="4962"/>
        </w:tabs>
        <w:spacing w:after="0" w:line="360" w:lineRule="auto"/>
        <w:rPr>
          <w:rFonts w:eastAsia="Arial" w:cs="Arial"/>
          <w:i/>
          <w:color w:val="auto"/>
          <w:sz w:val="20"/>
          <w:szCs w:val="20"/>
          <w:lang w:eastAsia="es-ES"/>
        </w:rPr>
      </w:pPr>
    </w:p>
    <w:p w14:paraId="04300B24" w14:textId="47E9077C" w:rsidR="00A04F48" w:rsidRPr="00A04F48" w:rsidRDefault="00A04F48" w:rsidP="006A0A8E">
      <w:pPr>
        <w:spacing w:after="0" w:line="360" w:lineRule="auto"/>
        <w:rPr>
          <w:rFonts w:eastAsia="Times New Roman" w:cs="Tahoma"/>
          <w:color w:val="auto"/>
          <w:lang w:val="es-ES" w:eastAsia="es-ES"/>
        </w:rPr>
      </w:pPr>
      <w:r w:rsidRPr="00A04F48">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de tales circunstancias, se considera que el Ayuntamiento de </w:t>
      </w:r>
      <w:proofErr w:type="spellStart"/>
      <w:r>
        <w:rPr>
          <w:rFonts w:eastAsia="Times New Roman" w:cs="Tahoma"/>
          <w:color w:val="auto"/>
          <w:lang w:val="es-ES" w:eastAsia="es-ES"/>
        </w:rPr>
        <w:t>Otzolopan</w:t>
      </w:r>
      <w:proofErr w:type="spellEnd"/>
      <w:r w:rsidRPr="00A04F48">
        <w:rPr>
          <w:rFonts w:eastAsia="Times New Roman" w:cs="Tahoma"/>
          <w:color w:val="auto"/>
          <w:lang w:val="es-ES" w:eastAsia="es-ES"/>
        </w:rPr>
        <w:t xml:space="preserve">, en el presente caso, </w:t>
      </w:r>
      <w:r w:rsidR="00042741">
        <w:rPr>
          <w:rFonts w:eastAsia="Times New Roman" w:cs="Tahoma"/>
          <w:color w:val="auto"/>
          <w:lang w:val="es-ES" w:eastAsia="es-ES"/>
        </w:rPr>
        <w:t xml:space="preserve">deberá </w:t>
      </w:r>
      <w:r w:rsidR="00042741">
        <w:rPr>
          <w:rFonts w:eastAsia="Times New Roman" w:cs="Tahoma"/>
          <w:color w:val="auto"/>
          <w:lang w:val="es-ES" w:eastAsia="es-ES"/>
        </w:rPr>
        <w:lastRenderedPageBreak/>
        <w:t>entregar los permios o autorizaciones</w:t>
      </w:r>
      <w:r w:rsidR="00042741">
        <w:rPr>
          <w:rFonts w:eastAsia="Times New Roman" w:cs="Tahoma"/>
          <w:iCs/>
          <w:color w:val="auto"/>
          <w:lang w:val="es-ES" w:eastAsia="es-ES"/>
        </w:rPr>
        <w:t xml:space="preserve"> emitida</w:t>
      </w:r>
      <w:r w:rsidR="00042741" w:rsidRPr="00042741">
        <w:rPr>
          <w:rFonts w:eastAsia="Times New Roman" w:cs="Tahoma"/>
          <w:iCs/>
          <w:color w:val="auto"/>
          <w:lang w:val="es-ES" w:eastAsia="es-ES"/>
        </w:rPr>
        <w:t>s para el establecimiento de puestos semifijos, del primero al treinta y uno de julio de dos mil veintiuno</w:t>
      </w:r>
      <w:r w:rsidR="00042741">
        <w:rPr>
          <w:rFonts w:eastAsia="Times New Roman" w:cs="Tahoma"/>
          <w:iCs/>
          <w:color w:val="auto"/>
          <w:lang w:val="es-ES" w:eastAsia="es-ES"/>
        </w:rPr>
        <w:t>.</w:t>
      </w:r>
    </w:p>
    <w:p w14:paraId="2B533644" w14:textId="760BE2B2" w:rsidR="00A04F48" w:rsidRPr="00A04F48" w:rsidRDefault="00A04F48" w:rsidP="006A0A8E">
      <w:pPr>
        <w:spacing w:after="0" w:line="360" w:lineRule="auto"/>
        <w:rPr>
          <w:rFonts w:cs="Tahoma"/>
        </w:rPr>
      </w:pPr>
    </w:p>
    <w:p w14:paraId="63A1EE21" w14:textId="38F63810" w:rsidR="00D8511B" w:rsidRPr="00D8511B" w:rsidRDefault="00D8511B" w:rsidP="006A0A8E">
      <w:pPr>
        <w:spacing w:after="0" w:line="360" w:lineRule="auto"/>
        <w:rPr>
          <w:rFonts w:eastAsia="Times New Roman" w:cs="Tahoma"/>
          <w:bCs/>
          <w:iCs/>
          <w:color w:val="auto"/>
          <w:lang w:eastAsia="es-ES"/>
        </w:rPr>
      </w:pPr>
      <w:r w:rsidRPr="00D8511B">
        <w:rPr>
          <w:rFonts w:eastAsia="Times New Roman" w:cs="Tahoma"/>
          <w:color w:val="auto"/>
          <w:lang w:val="es-ES" w:eastAsia="es-ES"/>
        </w:rPr>
        <w:t xml:space="preserve">Ahora bien, para el caso, de que de la búsqueda realizada por la Dirección de Desarrollo Económico, en todos sus archivos, no localice la información requerida, </w:t>
      </w:r>
      <w:r w:rsidRPr="00D8511B">
        <w:rPr>
          <w:rFonts w:eastAsia="Times New Roman" w:cs="Tahoma"/>
          <w:b/>
          <w:color w:val="auto"/>
          <w:lang w:val="es-ES" w:eastAsia="es-ES"/>
        </w:rPr>
        <w:t xml:space="preserve"> porque no haya emitido algún permiso para el establecimiento de puestos semifijos, </w:t>
      </w:r>
      <w:r w:rsidRPr="00D8511B">
        <w:rPr>
          <w:rFonts w:eastAsia="Times New Roman" w:cs="Tahoma"/>
          <w:color w:val="auto"/>
          <w:lang w:val="es-ES" w:eastAsia="es-ES"/>
        </w:rPr>
        <w:t xml:space="preserve">deberá hacerlo del conocimiento del Particular; </w:t>
      </w:r>
      <w:r w:rsidRPr="00D8511B">
        <w:rPr>
          <w:rFonts w:eastAsia="Times New Roman" w:cs="Tahoma"/>
          <w:iCs/>
          <w:color w:val="auto"/>
          <w:lang w:val="es-ES" w:eastAsia="es-ES"/>
        </w:rPr>
        <w:t xml:space="preserve">lo anterior, </w:t>
      </w:r>
      <w:r>
        <w:rPr>
          <w:rFonts w:eastAsia="Times New Roman" w:cs="Tahoma"/>
          <w:iCs/>
          <w:color w:val="auto"/>
          <w:lang w:val="es-ES" w:eastAsia="es-ES"/>
        </w:rPr>
        <w:t>toda vez</w:t>
      </w:r>
      <w:r w:rsidRPr="00D8511B">
        <w:rPr>
          <w:rFonts w:eastAsia="Times New Roman" w:cs="Tahoma"/>
          <w:iCs/>
          <w:color w:val="auto"/>
          <w:lang w:val="es-ES" w:eastAsia="es-ES"/>
        </w:rPr>
        <w:t xml:space="preserve"> que el artículo 19, segundo párrafo, de la Ley de la materia</w:t>
      </w:r>
      <w:r>
        <w:rPr>
          <w:rFonts w:eastAsia="Times New Roman" w:cs="Tahoma"/>
          <w:iCs/>
          <w:color w:val="auto"/>
          <w:lang w:val="es-ES" w:eastAsia="es-ES"/>
        </w:rPr>
        <w:t xml:space="preserve"> y</w:t>
      </w:r>
      <w:r w:rsidRPr="00D8511B">
        <w:rPr>
          <w:rFonts w:eastAsia="Times New Roman" w:cs="Tahoma"/>
          <w:iCs/>
          <w:color w:val="auto"/>
          <w:lang w:val="es-ES" w:eastAsia="es-ES"/>
        </w:rPr>
        <w:t xml:space="preserve"> </w:t>
      </w:r>
      <w:r w:rsidRPr="00D8511B">
        <w:rPr>
          <w:rFonts w:eastAsia="Times New Roman" w:cs="Tahoma"/>
          <w:bCs/>
          <w:iCs/>
          <w:color w:val="auto"/>
          <w:lang w:eastAsia="es-ES"/>
        </w:rPr>
        <w:t>el Criterio 07/17, emitido por el Instituto Nacional de Transparencia, Acceso a la Información y Protección de Datos Personales, establece</w:t>
      </w:r>
      <w:r>
        <w:rPr>
          <w:rFonts w:eastAsia="Times New Roman" w:cs="Tahoma"/>
          <w:bCs/>
          <w:iCs/>
          <w:color w:val="auto"/>
          <w:lang w:eastAsia="es-ES"/>
        </w:rPr>
        <w:t>n</w:t>
      </w:r>
      <w:r w:rsidRPr="00D8511B">
        <w:rPr>
          <w:rFonts w:eastAsia="Times New Roman" w:cs="Tahoma"/>
          <w:bCs/>
          <w:iCs/>
          <w:color w:val="auto"/>
          <w:lang w:eastAsia="es-ES"/>
        </w:rPr>
        <w:t xml:space="preserv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EED8199" w14:textId="77777777" w:rsidR="006810C6" w:rsidRDefault="006810C6" w:rsidP="006A0A8E">
      <w:pPr>
        <w:spacing w:after="0" w:line="360" w:lineRule="auto"/>
        <w:rPr>
          <w:rFonts w:eastAsia="Calibri" w:cs="Tahoma"/>
          <w:iCs/>
          <w:lang w:eastAsia="es-ES_tradnl"/>
        </w:rPr>
      </w:pPr>
    </w:p>
    <w:p w14:paraId="2D4470EC" w14:textId="77777777" w:rsidR="009E3E5E" w:rsidRPr="009E3E5E" w:rsidRDefault="009E3E5E" w:rsidP="006A0A8E">
      <w:pPr>
        <w:spacing w:after="0" w:line="360" w:lineRule="auto"/>
        <w:rPr>
          <w:rFonts w:cs="Tahoma"/>
          <w:iCs/>
          <w:lang w:val="es-ES"/>
        </w:rPr>
      </w:pPr>
      <w:r w:rsidRPr="009E3E5E">
        <w:rPr>
          <w:rFonts w:cs="Tahoma"/>
          <w:iCs/>
          <w:lang w:val="es-ES"/>
        </w:rPr>
        <w:t>Finalmente, no pasa desapercibido para este Instituto que los documentos que atiendan la solicitud,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5ACC867" w14:textId="77777777" w:rsidR="009E3E5E" w:rsidRPr="009E3E5E" w:rsidRDefault="009E3E5E" w:rsidP="006A0A8E">
      <w:pPr>
        <w:spacing w:after="0" w:line="360" w:lineRule="auto"/>
        <w:rPr>
          <w:rFonts w:cs="Tahoma"/>
          <w:iCs/>
          <w:lang w:val="es-ES"/>
        </w:rPr>
      </w:pPr>
    </w:p>
    <w:p w14:paraId="4090F9E0" w14:textId="77777777" w:rsidR="009E3E5E" w:rsidRPr="009E3E5E" w:rsidRDefault="009E3E5E" w:rsidP="006A0A8E">
      <w:pPr>
        <w:spacing w:after="0" w:line="360" w:lineRule="auto"/>
        <w:rPr>
          <w:rFonts w:eastAsia="Calibri" w:cs="Tahoma"/>
          <w:bCs/>
          <w:color w:val="000000"/>
          <w:lang w:val="es-ES"/>
        </w:rPr>
      </w:pPr>
      <w:r w:rsidRPr="009E3E5E">
        <w:rPr>
          <w:rFonts w:cs="Tahoma"/>
          <w:iCs/>
          <w:lang w:val="es-ES"/>
        </w:rPr>
        <w:t>Para tal situación, el Sujeto Obligado deberá seguir el procedimiento establecido en el artículo 168</w:t>
      </w:r>
      <w:r w:rsidRPr="009E3E5E">
        <w:rPr>
          <w:rFonts w:eastAsia="Calibri" w:cs="Tahoma"/>
          <w:bCs/>
          <w:color w:val="000000"/>
          <w:lang w:val="es-ES"/>
        </w:rPr>
        <w:t xml:space="preserve">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14:paraId="2A8124D9" w14:textId="77777777" w:rsidR="00A56F15" w:rsidRPr="003A79F3" w:rsidRDefault="00A56F15" w:rsidP="006A0A8E">
      <w:pPr>
        <w:spacing w:after="0" w:line="360" w:lineRule="auto"/>
        <w:rPr>
          <w:rFonts w:eastAsia="Times New Roman" w:cs="Tahoma"/>
          <w:iCs/>
          <w:color w:val="auto"/>
          <w:lang w:eastAsia="es-ES"/>
        </w:rPr>
      </w:pPr>
      <w:r w:rsidRPr="003A79F3">
        <w:rPr>
          <w:rFonts w:eastAsia="Times New Roman" w:cs="Tahoma"/>
          <w:b/>
          <w:iCs/>
          <w:color w:val="auto"/>
          <w:lang w:val="es-ES" w:eastAsia="es-ES"/>
        </w:rPr>
        <w:lastRenderedPageBreak/>
        <w:t>SEXTO. Decisión.</w:t>
      </w:r>
    </w:p>
    <w:p w14:paraId="376F5EF7" w14:textId="77777777" w:rsidR="00A56F15" w:rsidRPr="003A79F3" w:rsidRDefault="00A56F15" w:rsidP="006A0A8E">
      <w:pPr>
        <w:spacing w:after="0" w:line="360" w:lineRule="auto"/>
        <w:rPr>
          <w:rFonts w:eastAsia="Times New Roman" w:cs="Tahoma"/>
          <w:iCs/>
          <w:color w:val="auto"/>
          <w:lang w:eastAsia="es-ES"/>
        </w:rPr>
      </w:pPr>
    </w:p>
    <w:p w14:paraId="4FCC36F0" w14:textId="1CDF2454" w:rsidR="006A0A8E" w:rsidRPr="006A0A8E" w:rsidRDefault="00D34A54" w:rsidP="006A0A8E">
      <w:pPr>
        <w:spacing w:after="0" w:line="360" w:lineRule="auto"/>
        <w:rPr>
          <w:rFonts w:eastAsia="Calibri" w:cs="Tahoma"/>
          <w:iCs/>
          <w:color w:val="auto"/>
          <w:lang w:eastAsia="es-ES_tradnl"/>
        </w:rPr>
      </w:pPr>
      <w:bookmarkStart w:id="0" w:name="_Hlk65244714"/>
      <w:r w:rsidRPr="005E242C">
        <w:rPr>
          <w:rFonts w:cs="Tahoma"/>
        </w:rPr>
        <w:t xml:space="preserve">Con fundamento en el artículo 186, fracción III, de la Ley de Transparencia y Acceso a la Información Pública del Estado de México y Municipios, este Instituto considera procedente </w:t>
      </w:r>
      <w:r w:rsidR="006A0A8E">
        <w:rPr>
          <w:rFonts w:cs="Tahoma"/>
          <w:b/>
        </w:rPr>
        <w:t>REVO</w:t>
      </w:r>
      <w:r w:rsidR="004D7F22">
        <w:rPr>
          <w:rFonts w:cs="Tahoma"/>
          <w:b/>
        </w:rPr>
        <w:t>CAR</w:t>
      </w:r>
      <w:r w:rsidRPr="005E242C">
        <w:rPr>
          <w:rFonts w:cs="Tahoma"/>
          <w:b/>
        </w:rPr>
        <w:t xml:space="preserve"> </w:t>
      </w:r>
      <w:r w:rsidRPr="005E242C">
        <w:rPr>
          <w:rFonts w:cs="Tahoma"/>
        </w:rPr>
        <w:t>la repuesta otorgada por el Sujeto Obligado, a efecto de que</w:t>
      </w:r>
      <w:r>
        <w:rPr>
          <w:rFonts w:cs="Tahoma"/>
        </w:rPr>
        <w:t>, previa búsqueda exhaustiva y razonable en los archivos de las unidades administrativas</w:t>
      </w:r>
      <w:r w:rsidR="00B6217D">
        <w:rPr>
          <w:rFonts w:cs="Tahoma"/>
        </w:rPr>
        <w:t xml:space="preserve"> competentes, entre las cuales no podrá omitir a la Dirección de Desarrollo Económico,</w:t>
      </w:r>
      <w:r>
        <w:rPr>
          <w:rFonts w:cs="Tahoma"/>
        </w:rPr>
        <w:t xml:space="preserve"> </w:t>
      </w:r>
      <w:r w:rsidR="006A0A8E">
        <w:rPr>
          <w:rFonts w:cs="Tahoma"/>
        </w:rPr>
        <w:t>entregue</w:t>
      </w:r>
      <w:r w:rsidRPr="005E242C">
        <w:rPr>
          <w:rFonts w:cs="Tahoma"/>
        </w:rPr>
        <w:t>, a través del Sistema de Acceso a la Información Mexiquense (SAIMEX)</w:t>
      </w:r>
      <w:r w:rsidR="00BC1EAB">
        <w:rPr>
          <w:rFonts w:eastAsia="Times New Roman" w:cs="Tahoma"/>
          <w:iCs/>
          <w:color w:val="auto"/>
          <w:lang w:eastAsia="es-ES"/>
        </w:rPr>
        <w:t>,</w:t>
      </w:r>
      <w:r w:rsidR="00243E91">
        <w:rPr>
          <w:rFonts w:eastAsia="Times New Roman" w:cs="Tahoma"/>
          <w:iCs/>
          <w:color w:val="auto"/>
          <w:lang w:eastAsia="es-ES"/>
        </w:rPr>
        <w:t xml:space="preserve"> </w:t>
      </w:r>
      <w:r w:rsidR="006A0A8E" w:rsidRPr="006A0A8E">
        <w:rPr>
          <w:rFonts w:eastAsia="Calibri" w:cs="Tahoma"/>
          <w:iCs/>
          <w:color w:val="auto"/>
          <w:lang w:eastAsia="es-ES_tradnl"/>
        </w:rPr>
        <w:t>en su caso</w:t>
      </w:r>
      <w:r w:rsidR="00B6217D">
        <w:rPr>
          <w:rFonts w:eastAsia="Calibri" w:cs="Tahoma"/>
          <w:iCs/>
          <w:color w:val="auto"/>
          <w:lang w:eastAsia="es-ES_tradnl"/>
        </w:rPr>
        <w:t>,</w:t>
      </w:r>
      <w:r w:rsidR="006A0A8E" w:rsidRPr="006A0A8E">
        <w:rPr>
          <w:rFonts w:eastAsia="Calibri" w:cs="Tahoma"/>
          <w:iCs/>
          <w:color w:val="auto"/>
          <w:lang w:eastAsia="es-ES_tradnl"/>
        </w:rPr>
        <w:t xml:space="preserve"> en versión pública, los permisos emitidos</w:t>
      </w:r>
      <w:r w:rsidR="006A0A8E">
        <w:rPr>
          <w:rFonts w:eastAsia="Calibri" w:cs="Tahoma"/>
          <w:iCs/>
          <w:color w:val="auto"/>
          <w:lang w:eastAsia="es-ES_tradnl"/>
        </w:rPr>
        <w:t xml:space="preserve"> por el Ayuntamiento de Otzoloapan,</w:t>
      </w:r>
      <w:r w:rsidR="006A0A8E" w:rsidRPr="006A0A8E">
        <w:rPr>
          <w:rFonts w:eastAsia="Calibri" w:cs="Tahoma"/>
          <w:iCs/>
          <w:color w:val="auto"/>
          <w:lang w:eastAsia="es-ES_tradnl"/>
        </w:rPr>
        <w:t xml:space="preserve"> para el establecimiento de puestos semifijos, del primero al treinta y uno de julio de dos mil </w:t>
      </w:r>
      <w:r w:rsidR="006A0A8E">
        <w:rPr>
          <w:rFonts w:eastAsia="Calibri" w:cs="Tahoma"/>
          <w:iCs/>
          <w:color w:val="auto"/>
          <w:lang w:eastAsia="es-ES_tradnl"/>
        </w:rPr>
        <w:t>veintiuno.</w:t>
      </w:r>
    </w:p>
    <w:p w14:paraId="72D93621" w14:textId="51E81721" w:rsidR="00607B79" w:rsidRDefault="00607B79" w:rsidP="006A0A8E">
      <w:pPr>
        <w:spacing w:after="0" w:line="360" w:lineRule="auto"/>
        <w:rPr>
          <w:rFonts w:eastAsia="Times New Roman" w:cs="Tahoma"/>
          <w:iCs/>
          <w:color w:val="auto"/>
          <w:lang w:val="es-ES" w:eastAsia="es-ES"/>
        </w:rPr>
      </w:pPr>
    </w:p>
    <w:p w14:paraId="6868C836" w14:textId="77777777" w:rsidR="00D34A54" w:rsidRDefault="00D34A54" w:rsidP="006A0A8E">
      <w:pPr>
        <w:spacing w:after="0" w:line="360" w:lineRule="auto"/>
        <w:rPr>
          <w:rFonts w:eastAsia="Calibri" w:cs="Tahoma"/>
          <w:bCs/>
          <w:iCs/>
          <w:color w:val="000000"/>
        </w:rPr>
      </w:pPr>
      <w:r w:rsidRPr="00201375">
        <w:rPr>
          <w:rFonts w:eastAsia="Times New Roman" w:cs="Tahoma"/>
          <w:iCs/>
          <w:color w:val="auto"/>
          <w:lang w:val="es-ES" w:eastAsia="es-ES"/>
        </w:rPr>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14:paraId="35B6DF13" w14:textId="77777777" w:rsidR="00A56F15" w:rsidRDefault="00A56F15" w:rsidP="006A0A8E">
      <w:pPr>
        <w:spacing w:after="0" w:line="360" w:lineRule="auto"/>
        <w:rPr>
          <w:rFonts w:eastAsia="Times New Roman" w:cs="Tahoma"/>
          <w:iCs/>
          <w:color w:val="auto"/>
          <w:lang w:eastAsia="es-ES"/>
        </w:rPr>
      </w:pPr>
    </w:p>
    <w:p w14:paraId="59211E44" w14:textId="13B0F932" w:rsidR="0094572F" w:rsidRPr="00FF5CC3" w:rsidRDefault="0094572F" w:rsidP="006A0A8E">
      <w:pPr>
        <w:spacing w:after="0" w:line="360" w:lineRule="auto"/>
        <w:rPr>
          <w:rFonts w:eastAsia="Times New Roman" w:cs="Tahoma"/>
          <w:bCs/>
          <w:iCs/>
          <w:color w:val="auto"/>
          <w:lang w:eastAsia="es-ES"/>
        </w:rPr>
      </w:pPr>
      <w:r w:rsidRPr="0087217A">
        <w:rPr>
          <w:rFonts w:eastAsia="Times New Roman" w:cs="Tahoma"/>
          <w:bCs/>
          <w:iCs/>
          <w:color w:val="auto"/>
          <w:lang w:eastAsia="es-ES"/>
        </w:rPr>
        <w:t xml:space="preserve">Ahora bien, </w:t>
      </w:r>
      <w:r w:rsidR="00275C3F">
        <w:rPr>
          <w:rFonts w:eastAsia="Times New Roman" w:cs="Tahoma"/>
          <w:bCs/>
          <w:iCs/>
          <w:color w:val="auto"/>
          <w:lang w:eastAsia="es-ES"/>
        </w:rPr>
        <w:t xml:space="preserve">para el caso de que el Sujeto Obligado no </w:t>
      </w:r>
      <w:r w:rsidRPr="0087217A">
        <w:rPr>
          <w:rFonts w:eastAsia="Times New Roman" w:cs="Tahoma"/>
          <w:bCs/>
          <w:iCs/>
          <w:color w:val="auto"/>
          <w:lang w:eastAsia="es-ES"/>
        </w:rPr>
        <w:t>haya emitido permisos para puestos semifijos</w:t>
      </w:r>
      <w:r w:rsidR="00275C3F">
        <w:rPr>
          <w:rFonts w:eastAsia="Times New Roman" w:cs="Tahoma"/>
          <w:bCs/>
          <w:iCs/>
          <w:color w:val="auto"/>
          <w:lang w:eastAsia="es-ES"/>
        </w:rPr>
        <w:t>, durante el periodo solicitado</w:t>
      </w:r>
      <w:r w:rsidRPr="0087217A">
        <w:rPr>
          <w:rFonts w:eastAsia="Times New Roman" w:cs="Tahoma"/>
          <w:iCs/>
          <w:color w:val="auto"/>
          <w:lang w:eastAsia="es-ES"/>
        </w:rPr>
        <w:t>, deberá hacérselo del conocimiento del ahora Recurrente</w:t>
      </w:r>
      <w:r w:rsidR="00FF5CC3">
        <w:rPr>
          <w:rFonts w:eastAsia="Times New Roman" w:cs="Tahoma"/>
          <w:iCs/>
          <w:color w:val="auto"/>
          <w:lang w:eastAsia="es-ES"/>
        </w:rPr>
        <w:t xml:space="preserve"> de manera </w:t>
      </w:r>
      <w:r w:rsidR="00243E91">
        <w:rPr>
          <w:rFonts w:eastAsia="Times New Roman" w:cs="Tahoma"/>
          <w:iCs/>
          <w:color w:val="auto"/>
          <w:lang w:eastAsia="es-ES"/>
        </w:rPr>
        <w:t xml:space="preserve">clara y </w:t>
      </w:r>
      <w:r w:rsidR="00FF5CC3">
        <w:rPr>
          <w:rFonts w:eastAsia="Times New Roman" w:cs="Tahoma"/>
          <w:iCs/>
          <w:color w:val="auto"/>
          <w:lang w:eastAsia="es-ES"/>
        </w:rPr>
        <w:t xml:space="preserve">precisa. </w:t>
      </w:r>
    </w:p>
    <w:p w14:paraId="53EB926B" w14:textId="77777777" w:rsidR="00A56F15" w:rsidRPr="003A79F3" w:rsidRDefault="00A56F15" w:rsidP="006A0A8E">
      <w:pPr>
        <w:spacing w:after="0" w:line="360" w:lineRule="auto"/>
        <w:rPr>
          <w:rFonts w:eastAsia="Times New Roman" w:cs="Tahoma"/>
          <w:bCs/>
          <w:iCs/>
          <w:color w:val="auto"/>
          <w:lang w:val="es-ES_tradnl" w:eastAsia="es-ES"/>
        </w:rPr>
      </w:pPr>
    </w:p>
    <w:bookmarkEnd w:id="0"/>
    <w:p w14:paraId="0F5D02BE" w14:textId="77777777" w:rsidR="00A56F15" w:rsidRPr="00E53E3E" w:rsidRDefault="00A56F15" w:rsidP="006A0A8E">
      <w:pPr>
        <w:spacing w:after="0" w:line="360" w:lineRule="auto"/>
        <w:rPr>
          <w:rFonts w:eastAsia="Times New Roman" w:cs="Tahoma"/>
          <w:b/>
          <w:bCs/>
          <w:iCs/>
          <w:color w:val="auto"/>
          <w:lang w:eastAsia="es-ES"/>
        </w:rPr>
      </w:pPr>
      <w:r w:rsidRPr="00E53E3E">
        <w:rPr>
          <w:rFonts w:eastAsia="Times New Roman" w:cs="Tahoma"/>
          <w:b/>
          <w:bCs/>
          <w:iCs/>
          <w:color w:val="auto"/>
          <w:lang w:eastAsia="es-ES"/>
        </w:rPr>
        <w:t>Términos de la Resolución para conocimiento del Particular.</w:t>
      </w:r>
    </w:p>
    <w:p w14:paraId="7E3EEDC4" w14:textId="77777777" w:rsidR="00A56F15" w:rsidRPr="00E53E3E" w:rsidRDefault="00A56F15" w:rsidP="006A0A8E">
      <w:pPr>
        <w:spacing w:after="0" w:line="360" w:lineRule="auto"/>
        <w:rPr>
          <w:rFonts w:eastAsia="Times New Roman" w:cs="Tahoma"/>
          <w:b/>
          <w:bCs/>
          <w:iCs/>
          <w:color w:val="auto"/>
          <w:lang w:eastAsia="es-ES"/>
        </w:rPr>
      </w:pPr>
    </w:p>
    <w:p w14:paraId="09A4A7B3" w14:textId="77777777" w:rsidR="00DC5C07" w:rsidRDefault="00A56F15" w:rsidP="006A0A8E">
      <w:pPr>
        <w:spacing w:after="0" w:line="360" w:lineRule="auto"/>
        <w:rPr>
          <w:rFonts w:eastAsia="Times New Roman" w:cs="Tahoma"/>
          <w:iCs/>
          <w:color w:val="auto"/>
          <w:lang w:eastAsia="es-ES"/>
        </w:rPr>
      </w:pPr>
      <w:r w:rsidRPr="00E53E3E">
        <w:rPr>
          <w:rFonts w:eastAsia="Times New Roman" w:cs="Tahoma"/>
          <w:iCs/>
          <w:color w:val="auto"/>
          <w:lang w:eastAsia="es-ES"/>
        </w:rPr>
        <w:t>Se le hace del conocimiento al ahora Recurrente que, en el presente caso, se le da la razón, dado que el Sujeto Obligado</w:t>
      </w:r>
      <w:r>
        <w:rPr>
          <w:rFonts w:eastAsia="Times New Roman" w:cs="Tahoma"/>
          <w:iCs/>
          <w:color w:val="auto"/>
          <w:lang w:eastAsia="es-ES"/>
        </w:rPr>
        <w:t xml:space="preserve"> no </w:t>
      </w:r>
      <w:r w:rsidR="00B44E37">
        <w:rPr>
          <w:rFonts w:eastAsia="Times New Roman" w:cs="Tahoma"/>
          <w:iCs/>
          <w:color w:val="auto"/>
          <w:lang w:eastAsia="es-ES"/>
        </w:rPr>
        <w:t>cumplió con el procedimiento de b</w:t>
      </w:r>
      <w:r w:rsidR="00872510">
        <w:rPr>
          <w:rFonts w:eastAsia="Times New Roman" w:cs="Tahoma"/>
          <w:iCs/>
          <w:color w:val="auto"/>
          <w:lang w:eastAsia="es-ES"/>
        </w:rPr>
        <w:t xml:space="preserve">úsqueda y por lo tanto, deberá entregarle </w:t>
      </w:r>
      <w:r w:rsidR="00275C3F">
        <w:rPr>
          <w:rFonts w:eastAsia="Times New Roman" w:cs="Tahoma"/>
          <w:iCs/>
          <w:color w:val="auto"/>
          <w:lang w:eastAsia="es-ES"/>
        </w:rPr>
        <w:t>los permisos para el establecimiento de puestos semifijos, en caso, de que se hayan emitido durante el periodo requerido</w:t>
      </w:r>
      <w:r w:rsidR="00B44E37">
        <w:rPr>
          <w:rFonts w:eastAsia="Times New Roman" w:cs="Tahoma"/>
          <w:iCs/>
          <w:color w:val="auto"/>
          <w:lang w:eastAsia="es-ES"/>
        </w:rPr>
        <w:t>.</w:t>
      </w:r>
      <w:r w:rsidR="00872510">
        <w:rPr>
          <w:rFonts w:eastAsia="Times New Roman" w:cs="Tahoma"/>
          <w:iCs/>
          <w:color w:val="auto"/>
          <w:lang w:eastAsia="es-ES"/>
        </w:rPr>
        <w:t xml:space="preserve"> </w:t>
      </w:r>
    </w:p>
    <w:p w14:paraId="12F75C42" w14:textId="77777777" w:rsidR="00DC5C07" w:rsidRDefault="00DC5C07" w:rsidP="006A0A8E">
      <w:pPr>
        <w:spacing w:after="0" w:line="360" w:lineRule="auto"/>
        <w:rPr>
          <w:rFonts w:eastAsia="Times New Roman" w:cs="Tahoma"/>
          <w:iCs/>
          <w:color w:val="auto"/>
          <w:lang w:eastAsia="es-ES"/>
        </w:rPr>
      </w:pPr>
    </w:p>
    <w:p w14:paraId="2CE8FFA4" w14:textId="0CC23EFE" w:rsidR="00A56F15" w:rsidRPr="00E53E3E" w:rsidRDefault="00A56F15" w:rsidP="006A0A8E">
      <w:pPr>
        <w:spacing w:after="0" w:line="360" w:lineRule="auto"/>
        <w:rPr>
          <w:rFonts w:eastAsia="Times New Roman" w:cs="Tahoma"/>
          <w:iCs/>
          <w:color w:val="auto"/>
          <w:lang w:eastAsia="es-ES"/>
        </w:rPr>
      </w:pPr>
      <w:r w:rsidRPr="00E53E3E">
        <w:rPr>
          <w:rFonts w:eastAsia="Times New Roman" w:cs="Tahoma"/>
          <w:bCs/>
          <w:iCs/>
          <w:color w:val="auto"/>
          <w:lang w:eastAsia="es-ES"/>
        </w:rPr>
        <w:lastRenderedPageBreak/>
        <w:t xml:space="preserve">Finalmente, la labor </w:t>
      </w:r>
      <w:r w:rsidR="00872510">
        <w:rPr>
          <w:rFonts w:eastAsia="Times New Roman" w:cs="Tahoma"/>
          <w:bCs/>
          <w:iCs/>
          <w:color w:val="auto"/>
          <w:lang w:eastAsia="es-ES"/>
        </w:rPr>
        <w:t>de este Instituto</w:t>
      </w:r>
      <w:r w:rsidRPr="00E53E3E">
        <w:rPr>
          <w:rFonts w:eastAsia="Times New Roman" w:cs="Tahoma"/>
          <w:bCs/>
          <w:iCs/>
          <w:color w:val="auto"/>
          <w:lang w:eastAsia="es-ES"/>
        </w:rPr>
        <w:t>, es apoyar a la población a acceder a la información pública y garantizar la protección de los datos personales.</w:t>
      </w:r>
    </w:p>
    <w:p w14:paraId="01A401E3" w14:textId="77777777" w:rsidR="00A56F15" w:rsidRDefault="00A56F15" w:rsidP="006A0A8E">
      <w:pPr>
        <w:spacing w:after="0" w:line="360" w:lineRule="auto"/>
        <w:rPr>
          <w:rFonts w:eastAsia="Times New Roman" w:cs="Tahoma"/>
          <w:iCs/>
          <w:color w:val="auto"/>
          <w:lang w:val="es-ES" w:eastAsia="es-ES"/>
        </w:rPr>
      </w:pPr>
    </w:p>
    <w:p w14:paraId="0BE903A3" w14:textId="77777777" w:rsidR="00A56F15" w:rsidRPr="00560451" w:rsidRDefault="00A56F15" w:rsidP="006A0A8E">
      <w:pPr>
        <w:spacing w:after="0" w:line="360" w:lineRule="auto"/>
        <w:rPr>
          <w:rFonts w:eastAsia="Times New Roman" w:cs="Tahoma"/>
          <w:bCs/>
          <w:iCs/>
          <w:color w:val="auto"/>
          <w:lang w:eastAsia="es-ES"/>
        </w:rPr>
      </w:pPr>
      <w:r w:rsidRPr="00560451">
        <w:rPr>
          <w:rFonts w:eastAsia="Times New Roman" w:cs="Tahoma"/>
          <w:bCs/>
          <w:iCs/>
          <w:color w:val="auto"/>
          <w:lang w:eastAsia="es-ES"/>
        </w:rPr>
        <w:t>Por lo expuesto y fundado, este Pleno:</w:t>
      </w:r>
    </w:p>
    <w:p w14:paraId="053D311A" w14:textId="77777777" w:rsidR="00A56F15" w:rsidRDefault="00A56F15" w:rsidP="006A0A8E">
      <w:pPr>
        <w:spacing w:after="0" w:line="360" w:lineRule="auto"/>
        <w:rPr>
          <w:rFonts w:eastAsia="Times New Roman" w:cs="Tahoma"/>
          <w:iCs/>
          <w:color w:val="auto"/>
          <w:lang w:eastAsia="es-ES"/>
        </w:rPr>
      </w:pPr>
    </w:p>
    <w:p w14:paraId="179169DC" w14:textId="77777777" w:rsidR="00A56F15" w:rsidRPr="00560451" w:rsidRDefault="00A56F15" w:rsidP="006A0A8E">
      <w:pPr>
        <w:spacing w:after="0" w:line="360" w:lineRule="auto"/>
        <w:jc w:val="center"/>
        <w:rPr>
          <w:rFonts w:eastAsia="Times New Roman" w:cs="Tahoma"/>
          <w:b/>
          <w:bCs/>
          <w:iCs/>
          <w:color w:val="auto"/>
          <w:lang w:eastAsia="es-ES"/>
        </w:rPr>
      </w:pPr>
      <w:r w:rsidRPr="00560451">
        <w:rPr>
          <w:rFonts w:eastAsia="Times New Roman" w:cs="Tahoma"/>
          <w:b/>
          <w:bCs/>
          <w:iCs/>
          <w:color w:val="auto"/>
          <w:lang w:eastAsia="es-ES"/>
        </w:rPr>
        <w:t>R E S U E L V E:</w:t>
      </w:r>
    </w:p>
    <w:p w14:paraId="69652DCB" w14:textId="77777777" w:rsidR="00607B79" w:rsidRPr="00560451" w:rsidRDefault="00607B79" w:rsidP="006A0A8E">
      <w:pPr>
        <w:spacing w:after="0" w:line="360" w:lineRule="auto"/>
        <w:rPr>
          <w:rFonts w:eastAsia="Times New Roman" w:cs="Tahoma"/>
          <w:b/>
          <w:iCs/>
          <w:color w:val="auto"/>
          <w:lang w:eastAsia="es-ES"/>
        </w:rPr>
      </w:pPr>
    </w:p>
    <w:p w14:paraId="73C1866D" w14:textId="46907766" w:rsidR="00A56F15" w:rsidRDefault="00A56F15" w:rsidP="006A0A8E">
      <w:pPr>
        <w:spacing w:after="0" w:line="360" w:lineRule="auto"/>
        <w:rPr>
          <w:rFonts w:eastAsia="Times New Roman" w:cs="Tahoma"/>
          <w:iCs/>
          <w:color w:val="auto"/>
          <w:lang w:eastAsia="es-ES"/>
        </w:rPr>
      </w:pPr>
      <w:r w:rsidRPr="00560451">
        <w:rPr>
          <w:rFonts w:eastAsia="Times New Roman" w:cs="Tahoma"/>
          <w:b/>
          <w:bCs/>
          <w:iCs/>
          <w:color w:val="auto"/>
          <w:lang w:eastAsia="es-ES"/>
        </w:rPr>
        <w:t>PRIMERO.</w:t>
      </w:r>
      <w:r w:rsidRPr="00560451">
        <w:rPr>
          <w:rFonts w:eastAsia="Times New Roman" w:cs="Tahoma"/>
          <w:iCs/>
          <w:color w:val="auto"/>
          <w:lang w:eastAsia="es-ES"/>
        </w:rPr>
        <w:t xml:space="preserve"> Se </w:t>
      </w:r>
      <w:r w:rsidR="00275C3F">
        <w:rPr>
          <w:rFonts w:eastAsia="Times New Roman" w:cs="Tahoma"/>
          <w:b/>
          <w:bCs/>
          <w:iCs/>
          <w:color w:val="auto"/>
          <w:lang w:eastAsia="es-ES"/>
        </w:rPr>
        <w:t>REVOCA</w:t>
      </w:r>
      <w:r w:rsidRPr="00560451">
        <w:rPr>
          <w:rFonts w:eastAsia="Times New Roman" w:cs="Tahoma"/>
          <w:iCs/>
          <w:color w:val="auto"/>
          <w:lang w:eastAsia="es-ES"/>
        </w:rPr>
        <w:t xml:space="preserve"> la respuesta otorgada por el </w:t>
      </w:r>
      <w:r w:rsidR="00201287">
        <w:rPr>
          <w:rFonts w:eastAsia="Times New Roman" w:cs="Tahoma"/>
          <w:iCs/>
          <w:color w:val="auto"/>
          <w:lang w:eastAsia="es-ES"/>
        </w:rPr>
        <w:t>Ayuntamiento de Otzoloapan</w:t>
      </w:r>
      <w:r w:rsidRPr="00560451">
        <w:rPr>
          <w:rFonts w:eastAsia="Times New Roman" w:cs="Tahoma"/>
          <w:iCs/>
          <w:color w:val="auto"/>
          <w:lang w:eastAsia="es-ES"/>
        </w:rPr>
        <w:t xml:space="preserve">, a la solicitud de acceso a la información </w:t>
      </w:r>
      <w:r w:rsidR="00201287">
        <w:rPr>
          <w:rFonts w:eastAsia="Calibri" w:cs="Tahoma"/>
          <w:color w:val="000000"/>
        </w:rPr>
        <w:t>00064/OTZOLOAP/IP/2021</w:t>
      </w:r>
      <w:r w:rsidRPr="00560451">
        <w:rPr>
          <w:rFonts w:eastAsia="Times New Roman" w:cs="Tahoma"/>
          <w:iCs/>
          <w:color w:val="auto"/>
          <w:lang w:eastAsia="es-ES"/>
        </w:rPr>
        <w:t xml:space="preserve">, por resultar </w:t>
      </w:r>
      <w:r w:rsidRPr="00560451">
        <w:rPr>
          <w:rFonts w:eastAsia="Times New Roman" w:cs="Tahoma"/>
          <w:b/>
          <w:bCs/>
          <w:iCs/>
          <w:color w:val="auto"/>
          <w:lang w:eastAsia="es-ES"/>
        </w:rPr>
        <w:t>FUNDADOS</w:t>
      </w:r>
      <w:r w:rsidRPr="00560451">
        <w:rPr>
          <w:rFonts w:eastAsia="Times New Roman" w:cs="Tahoma"/>
          <w:iCs/>
          <w:color w:val="auto"/>
          <w:lang w:eastAsia="es-ES"/>
        </w:rPr>
        <w:t xml:space="preserve"> los agravios hechos valer por el Recurrente, en términos de los considerandos </w:t>
      </w:r>
      <w:r w:rsidRPr="00560451">
        <w:rPr>
          <w:rFonts w:eastAsia="Times New Roman" w:cs="Tahoma"/>
          <w:b/>
          <w:bCs/>
          <w:iCs/>
          <w:color w:val="auto"/>
          <w:lang w:eastAsia="es-ES"/>
        </w:rPr>
        <w:t>QUINTO</w:t>
      </w:r>
      <w:r w:rsidRPr="00560451">
        <w:rPr>
          <w:rFonts w:eastAsia="Times New Roman" w:cs="Tahoma"/>
          <w:iCs/>
          <w:color w:val="auto"/>
          <w:lang w:eastAsia="es-ES"/>
        </w:rPr>
        <w:t xml:space="preserve"> y </w:t>
      </w:r>
      <w:r w:rsidRPr="00560451">
        <w:rPr>
          <w:rFonts w:eastAsia="Times New Roman" w:cs="Tahoma"/>
          <w:b/>
          <w:bCs/>
          <w:iCs/>
          <w:color w:val="auto"/>
          <w:lang w:eastAsia="es-ES"/>
        </w:rPr>
        <w:t>SEXTO</w:t>
      </w:r>
      <w:r w:rsidRPr="00560451">
        <w:rPr>
          <w:rFonts w:eastAsia="Times New Roman" w:cs="Tahoma"/>
          <w:iCs/>
          <w:color w:val="auto"/>
          <w:lang w:eastAsia="es-ES"/>
        </w:rPr>
        <w:t xml:space="preserve"> de la presente Resolución. </w:t>
      </w:r>
    </w:p>
    <w:p w14:paraId="59AAAAAB" w14:textId="77777777" w:rsidR="008F7FBA" w:rsidRPr="00560451" w:rsidRDefault="008F7FBA" w:rsidP="006A0A8E">
      <w:pPr>
        <w:spacing w:after="0" w:line="360" w:lineRule="auto"/>
        <w:rPr>
          <w:rFonts w:eastAsia="Times New Roman" w:cs="Tahoma"/>
          <w:iCs/>
          <w:color w:val="auto"/>
          <w:lang w:eastAsia="es-ES"/>
        </w:rPr>
      </w:pPr>
    </w:p>
    <w:p w14:paraId="5C078BDF" w14:textId="37816DF4" w:rsidR="00275C3F" w:rsidRDefault="00A56F15" w:rsidP="00275C3F">
      <w:pPr>
        <w:spacing w:after="0" w:line="360" w:lineRule="auto"/>
        <w:rPr>
          <w:rFonts w:eastAsia="Times New Roman" w:cs="Tahoma"/>
          <w:bCs/>
          <w:iCs/>
          <w:color w:val="auto"/>
          <w:lang w:eastAsia="es-ES"/>
        </w:rPr>
      </w:pPr>
      <w:r w:rsidRPr="00560451">
        <w:rPr>
          <w:rFonts w:eastAsia="Times New Roman" w:cs="Tahoma"/>
          <w:b/>
          <w:bCs/>
          <w:iCs/>
          <w:color w:val="auto"/>
          <w:lang w:eastAsia="es-ES"/>
        </w:rPr>
        <w:t xml:space="preserve">SEGUNDO. </w:t>
      </w:r>
      <w:r w:rsidRPr="00560451">
        <w:rPr>
          <w:rFonts w:eastAsia="Times New Roman" w:cs="Tahoma"/>
          <w:iCs/>
          <w:color w:val="auto"/>
          <w:lang w:eastAsia="es-ES"/>
        </w:rPr>
        <w:t xml:space="preserve">Se </w:t>
      </w:r>
      <w:r w:rsidRPr="00560451">
        <w:rPr>
          <w:rFonts w:eastAsia="Times New Roman" w:cs="Tahoma"/>
          <w:b/>
          <w:iCs/>
          <w:color w:val="auto"/>
          <w:lang w:eastAsia="es-ES"/>
        </w:rPr>
        <w:t xml:space="preserve">ORDENA </w:t>
      </w:r>
      <w:r w:rsidRPr="00560451">
        <w:rPr>
          <w:rFonts w:eastAsia="Times New Roman" w:cs="Tahoma"/>
          <w:iCs/>
          <w:color w:val="auto"/>
          <w:lang w:eastAsia="es-ES"/>
        </w:rPr>
        <w:t xml:space="preserve">al Sujeto Obligado, a efecto de que, previa búsqueda exhaustiva y razonable en los archivos de las áreas competentes, </w:t>
      </w:r>
      <w:r w:rsidRPr="00560451">
        <w:rPr>
          <w:rFonts w:eastAsia="Times New Roman" w:cs="Tahoma"/>
          <w:bCs/>
          <w:iCs/>
          <w:color w:val="auto"/>
          <w:lang w:eastAsia="es-ES"/>
        </w:rPr>
        <w:t>entregue, a través del Sistema de Acceso a la Información Mexiquense (SAIMEX)</w:t>
      </w:r>
      <w:r w:rsidR="00EA65D2">
        <w:rPr>
          <w:rFonts w:eastAsia="Times New Roman" w:cs="Tahoma"/>
          <w:bCs/>
          <w:iCs/>
          <w:color w:val="auto"/>
          <w:lang w:eastAsia="es-ES"/>
        </w:rPr>
        <w:t xml:space="preserve">, </w:t>
      </w:r>
      <w:r w:rsidR="00275C3F" w:rsidRPr="00275C3F">
        <w:rPr>
          <w:rFonts w:eastAsia="Times New Roman" w:cs="Tahoma"/>
          <w:bCs/>
          <w:iCs/>
          <w:color w:val="auto"/>
          <w:lang w:eastAsia="es-ES"/>
        </w:rPr>
        <w:t>en su caso</w:t>
      </w:r>
      <w:r w:rsidR="00B6217D">
        <w:rPr>
          <w:rFonts w:eastAsia="Times New Roman" w:cs="Tahoma"/>
          <w:bCs/>
          <w:iCs/>
          <w:color w:val="auto"/>
          <w:lang w:eastAsia="es-ES"/>
        </w:rPr>
        <w:t>,</w:t>
      </w:r>
      <w:r w:rsidR="00275C3F" w:rsidRPr="00275C3F">
        <w:rPr>
          <w:rFonts w:eastAsia="Times New Roman" w:cs="Tahoma"/>
          <w:bCs/>
          <w:iCs/>
          <w:color w:val="auto"/>
          <w:lang w:eastAsia="es-ES"/>
        </w:rPr>
        <w:t xml:space="preserve"> en versión pública,</w:t>
      </w:r>
      <w:r w:rsidR="00275C3F">
        <w:rPr>
          <w:rFonts w:eastAsia="Times New Roman" w:cs="Tahoma"/>
          <w:bCs/>
          <w:iCs/>
          <w:color w:val="auto"/>
          <w:lang w:eastAsia="es-ES"/>
        </w:rPr>
        <w:t xml:space="preserve"> lo siguiente:</w:t>
      </w:r>
    </w:p>
    <w:p w14:paraId="62CD2649" w14:textId="77777777" w:rsidR="00275C3F" w:rsidRDefault="00275C3F" w:rsidP="00275C3F">
      <w:pPr>
        <w:spacing w:after="0" w:line="360" w:lineRule="auto"/>
        <w:rPr>
          <w:rFonts w:eastAsia="Times New Roman" w:cs="Tahoma"/>
          <w:bCs/>
          <w:iCs/>
          <w:color w:val="auto"/>
          <w:lang w:eastAsia="es-ES"/>
        </w:rPr>
      </w:pPr>
    </w:p>
    <w:p w14:paraId="70C08268" w14:textId="56163F7E" w:rsidR="00275C3F" w:rsidRPr="00275C3F" w:rsidRDefault="00275C3F" w:rsidP="00275C3F">
      <w:pPr>
        <w:pStyle w:val="Prrafodelista"/>
        <w:numPr>
          <w:ilvl w:val="0"/>
          <w:numId w:val="34"/>
        </w:numPr>
        <w:spacing w:after="0" w:line="360" w:lineRule="auto"/>
        <w:rPr>
          <w:rFonts w:eastAsia="Times New Roman" w:cs="Tahoma"/>
          <w:bCs/>
          <w:iCs/>
          <w:color w:val="auto"/>
          <w:lang w:eastAsia="es-ES"/>
        </w:rPr>
      </w:pPr>
      <w:r w:rsidRPr="00275C3F">
        <w:rPr>
          <w:rFonts w:eastAsia="Times New Roman" w:cs="Tahoma"/>
          <w:bCs/>
          <w:iCs/>
          <w:color w:val="auto"/>
          <w:lang w:eastAsia="es-ES"/>
        </w:rPr>
        <w:t>Los permisos emitidos por el Ayuntamiento de Otzoloapan, para el establecimiento de puestos semifijos, del primero al treinta y uno de julio de dos mil veintiuno.</w:t>
      </w:r>
    </w:p>
    <w:p w14:paraId="57496251" w14:textId="77777777" w:rsidR="00EA65D2" w:rsidRDefault="00EA65D2" w:rsidP="006A0A8E">
      <w:pPr>
        <w:spacing w:after="0" w:line="360" w:lineRule="auto"/>
        <w:rPr>
          <w:rFonts w:eastAsia="Times New Roman" w:cs="Tahoma"/>
          <w:iCs/>
          <w:color w:val="auto"/>
          <w:lang w:val="es-ES" w:eastAsia="es-ES"/>
        </w:rPr>
      </w:pPr>
    </w:p>
    <w:p w14:paraId="354DA3A1" w14:textId="77777777" w:rsidR="00EA65D2" w:rsidRDefault="00EA65D2" w:rsidP="006A0A8E">
      <w:pPr>
        <w:spacing w:after="0" w:line="360" w:lineRule="auto"/>
        <w:rPr>
          <w:rFonts w:eastAsia="Calibri" w:cs="Tahoma"/>
          <w:bCs/>
          <w:iCs/>
          <w:color w:val="000000"/>
        </w:rPr>
      </w:pPr>
      <w:r w:rsidRPr="00201375">
        <w:rPr>
          <w:rFonts w:eastAsia="Times New Roman" w:cs="Tahoma"/>
          <w:iCs/>
          <w:color w:val="auto"/>
          <w:lang w:val="es-ES" w:eastAsia="es-ES"/>
        </w:rPr>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14:paraId="12CD639F" w14:textId="77777777" w:rsidR="006B7B4A" w:rsidRPr="006B7B4A" w:rsidRDefault="006B7B4A" w:rsidP="006A0A8E">
      <w:pPr>
        <w:spacing w:after="0" w:line="360" w:lineRule="auto"/>
        <w:rPr>
          <w:rFonts w:eastAsia="Times New Roman" w:cs="Tahoma"/>
          <w:bCs/>
          <w:iCs/>
          <w:color w:val="auto"/>
          <w:lang w:val="es-ES" w:eastAsia="es-ES"/>
        </w:rPr>
      </w:pPr>
    </w:p>
    <w:p w14:paraId="30299731" w14:textId="77777777" w:rsidR="00DC5C07" w:rsidRPr="00DC5C07" w:rsidRDefault="00DC5C07" w:rsidP="00DC5C07">
      <w:pPr>
        <w:spacing w:after="0" w:line="360" w:lineRule="auto"/>
        <w:rPr>
          <w:rFonts w:eastAsia="Times New Roman" w:cs="Tahoma"/>
          <w:bCs/>
          <w:iCs/>
          <w:color w:val="auto"/>
          <w:lang w:eastAsia="es-ES"/>
        </w:rPr>
      </w:pPr>
      <w:r w:rsidRPr="00DC5C07">
        <w:rPr>
          <w:rFonts w:eastAsia="Times New Roman" w:cs="Tahoma"/>
          <w:bCs/>
          <w:iCs/>
          <w:color w:val="auto"/>
          <w:lang w:eastAsia="es-ES"/>
        </w:rPr>
        <w:t xml:space="preserve">Ahora bien, para el caso de que el Sujeto Obligado no haya emitido permisos para puestos semifijos, durante el periodo solicitado, deberá hacérselo del conocimiento del ahora Recurrente de manera clara y precisa. </w:t>
      </w:r>
    </w:p>
    <w:p w14:paraId="3DC20358" w14:textId="77777777" w:rsidR="006E350D" w:rsidRPr="006B7B4A" w:rsidRDefault="006E350D" w:rsidP="006A0A8E">
      <w:pPr>
        <w:spacing w:after="0" w:line="360" w:lineRule="auto"/>
        <w:rPr>
          <w:rFonts w:eastAsia="Times New Roman" w:cs="Tahoma"/>
          <w:bCs/>
          <w:iCs/>
          <w:color w:val="auto"/>
          <w:lang w:val="es-ES" w:eastAsia="es-ES"/>
        </w:rPr>
      </w:pPr>
    </w:p>
    <w:p w14:paraId="137E3618" w14:textId="77777777" w:rsidR="00A56F15" w:rsidRPr="00560451" w:rsidRDefault="00A56F15" w:rsidP="006A0A8E">
      <w:pPr>
        <w:spacing w:after="0" w:line="360" w:lineRule="auto"/>
        <w:rPr>
          <w:rFonts w:eastAsia="Times New Roman" w:cs="Tahoma"/>
          <w:i/>
          <w:iCs/>
          <w:color w:val="auto"/>
          <w:lang w:eastAsia="es-ES"/>
        </w:rPr>
      </w:pPr>
      <w:r w:rsidRPr="00560451">
        <w:rPr>
          <w:rFonts w:eastAsia="Times New Roman" w:cs="Tahoma"/>
          <w:b/>
          <w:bCs/>
          <w:iCs/>
          <w:color w:val="auto"/>
          <w:lang w:eastAsia="es-ES"/>
        </w:rPr>
        <w:t xml:space="preserve">TERCERO. </w:t>
      </w:r>
      <w:r w:rsidRPr="00560451">
        <w:rPr>
          <w:rFonts w:eastAsia="Times New Roman" w:cs="Tahoma"/>
          <w:b/>
          <w:iCs/>
          <w:color w:val="auto"/>
          <w:lang w:eastAsia="es-ES"/>
        </w:rPr>
        <w:t xml:space="preserve">NOTIFÍQUESE </w:t>
      </w:r>
      <w:r w:rsidRPr="00560451">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EDE639" w14:textId="77777777" w:rsidR="00A56F15" w:rsidRPr="00560451" w:rsidRDefault="00A56F15" w:rsidP="006A0A8E">
      <w:pPr>
        <w:spacing w:after="0" w:line="360" w:lineRule="auto"/>
        <w:rPr>
          <w:rFonts w:eastAsia="Times New Roman" w:cs="Tahoma"/>
          <w:iCs/>
          <w:color w:val="auto"/>
          <w:lang w:val="es-ES" w:eastAsia="es-ES"/>
        </w:rPr>
      </w:pPr>
    </w:p>
    <w:p w14:paraId="20A5F8B1" w14:textId="77777777" w:rsidR="00A56F15" w:rsidRPr="00560451" w:rsidRDefault="00A56F15" w:rsidP="006A0A8E">
      <w:pPr>
        <w:spacing w:after="0" w:line="360" w:lineRule="auto"/>
        <w:rPr>
          <w:rFonts w:eastAsia="Times New Roman" w:cs="Tahoma"/>
          <w:iCs/>
          <w:color w:val="auto"/>
          <w:lang w:eastAsia="es-ES"/>
        </w:rPr>
      </w:pPr>
      <w:r w:rsidRPr="00560451">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426C01" w14:textId="77777777" w:rsidR="00A56F15" w:rsidRPr="00560451" w:rsidRDefault="00A56F15" w:rsidP="006A0A8E">
      <w:pPr>
        <w:spacing w:after="0" w:line="360" w:lineRule="auto"/>
        <w:rPr>
          <w:rFonts w:eastAsia="Times New Roman" w:cs="Tahoma"/>
          <w:iCs/>
          <w:color w:val="auto"/>
          <w:lang w:eastAsia="es-ES"/>
        </w:rPr>
      </w:pPr>
    </w:p>
    <w:p w14:paraId="287551EA" w14:textId="608B9ECD" w:rsidR="003B7C6F" w:rsidRPr="00A23B4A" w:rsidRDefault="00A56F15" w:rsidP="006A0A8E">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003B7C6F" w:rsidRPr="00A23B4A">
        <w:rPr>
          <w:rFonts w:eastAsia="Times New Roman" w:cs="Tahoma"/>
          <w:b/>
          <w:color w:val="000000"/>
          <w:lang w:eastAsia="es-ES"/>
        </w:rPr>
        <w:t xml:space="preserve">NOTIFÍQUESE </w:t>
      </w:r>
      <w:r w:rsidR="003B7C6F" w:rsidRPr="00A23B4A">
        <w:rPr>
          <w:rFonts w:eastAsia="Times New Roman" w:cs="Tahoma"/>
          <w:color w:val="000000"/>
          <w:lang w:eastAsia="es-ES"/>
        </w:rPr>
        <w:t xml:space="preserve">la presente Resolución al Recurrente, a través del Sistema de Acceso a la Información </w:t>
      </w:r>
      <w:r w:rsidR="00DC5C07">
        <w:rPr>
          <w:rFonts w:eastAsia="Times New Roman" w:cs="Tahoma"/>
          <w:color w:val="000000"/>
          <w:lang w:eastAsia="es-ES"/>
        </w:rPr>
        <w:t>Mexiquense (SAIMEX)</w:t>
      </w:r>
      <w:r w:rsidR="003B7C6F" w:rsidRPr="00A23B4A">
        <w:rPr>
          <w:rFonts w:eastAsia="Times New Roman" w:cs="Tahoma"/>
          <w:b/>
          <w:color w:val="000000"/>
          <w:lang w:eastAsia="es-ES"/>
        </w:rPr>
        <w:t>,</w:t>
      </w:r>
      <w:r w:rsidR="003B7C6F" w:rsidRPr="00A23B4A">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0472DB" w14:textId="77777777" w:rsidR="00A56F15" w:rsidRPr="00B92F1D" w:rsidRDefault="00A56F15" w:rsidP="006A0A8E">
      <w:pPr>
        <w:spacing w:after="0" w:line="360" w:lineRule="auto"/>
        <w:ind w:right="-93"/>
        <w:rPr>
          <w:rFonts w:eastAsia="Calibri" w:cs="Tahoma"/>
          <w:bCs/>
          <w:color w:val="auto"/>
          <w:lang w:val="es-ES_tradnl"/>
        </w:rPr>
      </w:pPr>
    </w:p>
    <w:p w14:paraId="13A6A1D1" w14:textId="5FEF100C" w:rsidR="00A56F15" w:rsidRPr="00213968" w:rsidRDefault="005A0DE7" w:rsidP="006A0A8E">
      <w:pPr>
        <w:spacing w:after="0" w:line="360" w:lineRule="auto"/>
        <w:rPr>
          <w:rFonts w:cs="Tahoma"/>
          <w:bCs/>
          <w:lang w:val="es-ES_tradnl" w:eastAsia="es-MX"/>
        </w:rPr>
      </w:pPr>
      <w:r w:rsidRPr="004812A7">
        <w:rPr>
          <w:rFonts w:cs="Tahoma"/>
          <w:bCs/>
          <w:lang w:val="es-ES_tradnl" w:eastAsia="es-MX"/>
        </w:rPr>
        <w:t xml:space="preserve">ASÍ LO RESUELVE, POR </w:t>
      </w:r>
      <w:r w:rsidRPr="004812A7">
        <w:rPr>
          <w:rFonts w:cs="Tahoma"/>
          <w:b/>
          <w:bCs/>
          <w:lang w:val="es-ES_tradnl" w:eastAsia="es-MX"/>
        </w:rPr>
        <w:t>UNANIMIDAD</w:t>
      </w:r>
      <w:r w:rsidRPr="004812A7">
        <w:rPr>
          <w:rFonts w:cs="Tahoma"/>
          <w:bCs/>
          <w:lang w:val="es-ES_tradnl" w:eastAsia="es-MX"/>
        </w:rPr>
        <w:t xml:space="preserve"> DE VOTOS EL PLENO DEL INSTITUTO DE TRANSPARENCIA, ACCESO A LA INFORMACIÓN PÚBLICA Y PROTECCIÓN DE DATOS PERSONALES DEL ESTADO DE MÉXICO Y MUNICIPIOS, CONFORMADO POR LOS </w:t>
      </w:r>
      <w:r w:rsidR="00403D02" w:rsidRPr="004812A7">
        <w:rPr>
          <w:rFonts w:cs="Tahoma"/>
          <w:bCs/>
          <w:lang w:val="es-ES_tradnl" w:eastAsia="es-MX"/>
        </w:rPr>
        <w:t xml:space="preserve">COMISIONADOS JOSÉ MARTÍNEZ VILCHIS, MARÍA DEL ROSARIO MEJÍA AYALA, SHARON CRISTINA MORALES MARTÍNEZ, LUIS GUSTAVO PARRA NORIEGA Y GUADALUPE RAMÍREZ PEÑA, EN LA </w:t>
      </w:r>
      <w:r w:rsidR="00403D02">
        <w:rPr>
          <w:rFonts w:cs="Tahoma"/>
          <w:bCs/>
          <w:lang w:val="es-ES_tradnl" w:eastAsia="es-MX"/>
        </w:rPr>
        <w:t xml:space="preserve">SEGUNDA SESIÓN ORDINARIA, CELEBRADA EL DIECINUEVE DE ENERO DE DOS MIL VEINTIDÓS, </w:t>
      </w:r>
      <w:r w:rsidR="00403D02" w:rsidRPr="004812A7">
        <w:rPr>
          <w:rFonts w:cs="Tahoma"/>
          <w:bCs/>
          <w:lang w:val="es-ES_tradnl" w:eastAsia="es-MX"/>
        </w:rPr>
        <w:t>ANTE EL SECRETARIO TÉCNICO DEL PLENO, ALEXIS TAPIA RAMÍREZ</w:t>
      </w:r>
      <w:r w:rsidR="00403D02">
        <w:rPr>
          <w:rFonts w:cs="Tahoma"/>
          <w:bCs/>
          <w:lang w:val="es-ES_tradnl" w:eastAsia="es-MX"/>
        </w:rPr>
        <w:t xml:space="preserve">. </w:t>
      </w:r>
      <w:r w:rsidR="00A56F15">
        <w:br w:type="page"/>
      </w:r>
    </w:p>
    <w:p w14:paraId="7A9A83AC" w14:textId="77777777" w:rsidR="00A56F15" w:rsidRDefault="00A56F15" w:rsidP="006A0A8E">
      <w:pPr>
        <w:spacing w:after="0" w:line="360" w:lineRule="auto"/>
      </w:pPr>
    </w:p>
    <w:p w14:paraId="14BA58E5" w14:textId="77777777" w:rsidR="00882C33" w:rsidRDefault="00882C33" w:rsidP="006A0A8E">
      <w:pPr>
        <w:spacing w:after="0" w:line="360" w:lineRule="auto"/>
      </w:pPr>
    </w:p>
    <w:sectPr w:rsidR="00882C33" w:rsidSect="00EC1717">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3856" w14:textId="77777777" w:rsidR="00A027BC" w:rsidRDefault="00A027BC" w:rsidP="00A56F15">
      <w:pPr>
        <w:spacing w:after="0" w:line="240" w:lineRule="auto"/>
      </w:pPr>
      <w:r>
        <w:separator/>
      </w:r>
    </w:p>
  </w:endnote>
  <w:endnote w:type="continuationSeparator" w:id="0">
    <w:p w14:paraId="2282F588" w14:textId="77777777" w:rsidR="00A027BC" w:rsidRDefault="00A027BC" w:rsidP="00A56F15">
      <w:pPr>
        <w:spacing w:after="0" w:line="240" w:lineRule="auto"/>
      </w:pPr>
      <w:r>
        <w:continuationSeparator/>
      </w:r>
    </w:p>
  </w:endnote>
  <w:endnote w:type="continuationNotice" w:id="1">
    <w:p w14:paraId="73653F2F" w14:textId="77777777" w:rsidR="00A027BC" w:rsidRDefault="00A02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2A0747D" w14:textId="77777777" w:rsidR="00DD3744" w:rsidRDefault="00DD37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0A1C551" w14:textId="77777777" w:rsidR="00DD3744" w:rsidRDefault="00DD37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B9BD886" w14:textId="77777777" w:rsidR="00DD3744" w:rsidRDefault="00DD37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217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217D">
              <w:rPr>
                <w:b/>
                <w:bCs/>
                <w:noProof/>
              </w:rPr>
              <w:t>19</w:t>
            </w:r>
            <w:r>
              <w:rPr>
                <w:b/>
                <w:bCs/>
                <w:sz w:val="24"/>
                <w:szCs w:val="24"/>
              </w:rPr>
              <w:fldChar w:fldCharType="end"/>
            </w:r>
          </w:p>
        </w:sdtContent>
      </w:sdt>
    </w:sdtContent>
  </w:sdt>
  <w:p w14:paraId="44CE4A7F" w14:textId="77777777" w:rsidR="00DD3744" w:rsidRDefault="00DD37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374FFEFE" w14:textId="77777777" w:rsidR="00DD3744" w:rsidRDefault="00DD37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21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217D">
              <w:rPr>
                <w:b/>
                <w:bCs/>
                <w:noProof/>
              </w:rPr>
              <w:t>19</w:t>
            </w:r>
            <w:r>
              <w:rPr>
                <w:b/>
                <w:bCs/>
                <w:sz w:val="24"/>
                <w:szCs w:val="24"/>
              </w:rPr>
              <w:fldChar w:fldCharType="end"/>
            </w:r>
          </w:p>
        </w:sdtContent>
      </w:sdt>
    </w:sdtContent>
  </w:sdt>
  <w:p w14:paraId="12F62B9F" w14:textId="77777777" w:rsidR="00DD3744" w:rsidRDefault="00DD37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5741" w14:textId="77777777" w:rsidR="00A027BC" w:rsidRDefault="00A027BC" w:rsidP="00A56F15">
      <w:pPr>
        <w:spacing w:after="0" w:line="240" w:lineRule="auto"/>
      </w:pPr>
      <w:r>
        <w:separator/>
      </w:r>
    </w:p>
  </w:footnote>
  <w:footnote w:type="continuationSeparator" w:id="0">
    <w:p w14:paraId="20E18733" w14:textId="77777777" w:rsidR="00A027BC" w:rsidRDefault="00A027BC" w:rsidP="00A56F15">
      <w:pPr>
        <w:spacing w:after="0" w:line="240" w:lineRule="auto"/>
      </w:pPr>
      <w:r>
        <w:continuationSeparator/>
      </w:r>
    </w:p>
  </w:footnote>
  <w:footnote w:type="continuationNotice" w:id="1">
    <w:p w14:paraId="035596FC" w14:textId="77777777" w:rsidR="00A027BC" w:rsidRDefault="00A02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D3744" w14:paraId="72539575" w14:textId="77777777" w:rsidTr="00EC1717">
      <w:trPr>
        <w:trHeight w:val="141"/>
      </w:trPr>
      <w:tc>
        <w:tcPr>
          <w:tcW w:w="2404" w:type="dxa"/>
        </w:tcPr>
        <w:p w14:paraId="32B0FDF0"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4B0AA472" w14:textId="77777777" w:rsidR="00DD3744" w:rsidRPr="00A8173F" w:rsidRDefault="00DD3744" w:rsidP="00EC1717">
          <w:pPr>
            <w:tabs>
              <w:tab w:val="right" w:pos="8838"/>
            </w:tabs>
            <w:ind w:left="-28" w:right="683"/>
            <w:rPr>
              <w:rFonts w:eastAsia="Calibri" w:cs="Tahoma"/>
            </w:rPr>
          </w:pPr>
          <w:r w:rsidRPr="00A8173F">
            <w:rPr>
              <w:rFonts w:eastAsia="Calibri" w:cs="Tahoma"/>
              <w:lang w:val="es-MX"/>
            </w:rPr>
            <w:t>04196/INFOEM/IP/RR/2020</w:t>
          </w:r>
        </w:p>
      </w:tc>
    </w:tr>
    <w:tr w:rsidR="00DD3744" w14:paraId="2C5F9504" w14:textId="77777777" w:rsidTr="00EC1717">
      <w:trPr>
        <w:trHeight w:val="276"/>
      </w:trPr>
      <w:tc>
        <w:tcPr>
          <w:tcW w:w="2404" w:type="dxa"/>
        </w:tcPr>
        <w:p w14:paraId="0B99A6DD"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0A31B6B" w14:textId="77777777" w:rsidR="00DD3744" w:rsidRPr="00A8173F" w:rsidRDefault="00DD3744" w:rsidP="00EC1717">
          <w:pPr>
            <w:tabs>
              <w:tab w:val="right" w:pos="8838"/>
            </w:tabs>
            <w:ind w:right="116"/>
            <w:rPr>
              <w:rFonts w:eastAsia="Calibri" w:cs="Tahoma"/>
              <w:lang w:val="es-MX"/>
            </w:rPr>
          </w:pPr>
          <w:r w:rsidRPr="00A8173F">
            <w:rPr>
              <w:rFonts w:eastAsia="Calibri" w:cs="Tahoma"/>
              <w:lang w:val="es-MX"/>
            </w:rPr>
            <w:t>Ayuntamiento de Chapultepec</w:t>
          </w:r>
        </w:p>
      </w:tc>
    </w:tr>
    <w:tr w:rsidR="00DD3744" w14:paraId="08B7E680" w14:textId="77777777" w:rsidTr="00EC1717">
      <w:trPr>
        <w:trHeight w:val="276"/>
      </w:trPr>
      <w:tc>
        <w:tcPr>
          <w:tcW w:w="2404" w:type="dxa"/>
        </w:tcPr>
        <w:p w14:paraId="69E47652"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7C9C06A5" w14:textId="77777777" w:rsidR="00DD3744" w:rsidRPr="00A8173F" w:rsidRDefault="00DD3744" w:rsidP="00EC1717">
          <w:pPr>
            <w:tabs>
              <w:tab w:val="right" w:pos="8838"/>
            </w:tabs>
            <w:ind w:right="-32"/>
            <w:rPr>
              <w:rFonts w:eastAsia="Calibri" w:cs="Tahoma"/>
              <w:lang w:val="es-MX"/>
            </w:rPr>
          </w:pPr>
          <w:r w:rsidRPr="00A8173F">
            <w:rPr>
              <w:rFonts w:eastAsia="Calibri" w:cs="Tahoma"/>
              <w:lang w:val="es-MX"/>
            </w:rPr>
            <w:t>Luis Gustavo Parra Noriega</w:t>
          </w:r>
        </w:p>
      </w:tc>
    </w:tr>
  </w:tbl>
  <w:p w14:paraId="12126809" w14:textId="77777777" w:rsidR="00DD3744" w:rsidRDefault="00A027BC">
    <w:pPr>
      <w:pStyle w:val="Encabezado"/>
    </w:pPr>
    <w:r>
      <w:rPr>
        <w:noProof/>
      </w:rPr>
      <w:pict w14:anchorId="4897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style="position:absolute;left:0;text-align:left;margin-left:0;margin-top:0;width:663.5pt;height:12in;z-index:-251658240;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686"/>
    </w:tblGrid>
    <w:tr w:rsidR="00DD3744" w14:paraId="58E58749" w14:textId="77777777" w:rsidTr="00BD33CA">
      <w:trPr>
        <w:trHeight w:val="141"/>
      </w:trPr>
      <w:tc>
        <w:tcPr>
          <w:tcW w:w="2409" w:type="dxa"/>
        </w:tcPr>
        <w:p w14:paraId="675831C0" w14:textId="77777777" w:rsidR="00DD3744" w:rsidRPr="00B74320" w:rsidRDefault="00DD3744" w:rsidP="00EC1717">
          <w:pPr>
            <w:tabs>
              <w:tab w:val="right" w:pos="8838"/>
            </w:tabs>
            <w:ind w:right="-105"/>
            <w:rPr>
              <w:rFonts w:eastAsia="Calibri" w:cs="Tahoma"/>
              <w:b/>
              <w:sz w:val="12"/>
              <w:szCs w:val="12"/>
              <w:lang w:val="es-MX"/>
            </w:rPr>
          </w:pPr>
        </w:p>
        <w:p w14:paraId="3D7985FD" w14:textId="77777777" w:rsidR="00DD3744" w:rsidRPr="001B5FB6" w:rsidRDefault="00DD3744" w:rsidP="00EC171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3686" w:type="dxa"/>
        </w:tcPr>
        <w:p w14:paraId="7A1622AF" w14:textId="77777777" w:rsidR="00DD3744" w:rsidRPr="00B74320" w:rsidRDefault="00DD3744" w:rsidP="00EC1717">
          <w:pPr>
            <w:tabs>
              <w:tab w:val="right" w:pos="8838"/>
            </w:tabs>
            <w:ind w:left="-28" w:right="683"/>
            <w:rPr>
              <w:rFonts w:eastAsia="Calibri" w:cs="Tahoma"/>
              <w:sz w:val="12"/>
              <w:szCs w:val="12"/>
              <w:lang w:val="es-MX"/>
            </w:rPr>
          </w:pPr>
        </w:p>
        <w:p w14:paraId="3E3D835E" w14:textId="38ED03C8" w:rsidR="00DD3744" w:rsidRPr="00A56F15" w:rsidRDefault="005A0DE7" w:rsidP="00EC1717">
          <w:pPr>
            <w:tabs>
              <w:tab w:val="right" w:pos="8838"/>
            </w:tabs>
            <w:ind w:left="-28" w:right="683"/>
            <w:rPr>
              <w:rFonts w:eastAsia="Calibri" w:cs="Tahoma"/>
            </w:rPr>
          </w:pPr>
          <w:r w:rsidRPr="005A0DE7">
            <w:rPr>
              <w:rFonts w:eastAsia="Calibri" w:cs="Tahoma"/>
              <w:lang w:val="es-MX"/>
            </w:rPr>
            <w:t>05651/INFOEM/IP/RR/2021</w:t>
          </w:r>
        </w:p>
      </w:tc>
    </w:tr>
    <w:tr w:rsidR="00DD3744" w14:paraId="0FD6C76E" w14:textId="77777777" w:rsidTr="00BD33CA">
      <w:trPr>
        <w:trHeight w:val="276"/>
      </w:trPr>
      <w:tc>
        <w:tcPr>
          <w:tcW w:w="2409" w:type="dxa"/>
        </w:tcPr>
        <w:p w14:paraId="7883E910"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Sujeto Obligado:</w:t>
          </w:r>
        </w:p>
      </w:tc>
      <w:tc>
        <w:tcPr>
          <w:tcW w:w="3686" w:type="dxa"/>
        </w:tcPr>
        <w:p w14:paraId="7790FA14" w14:textId="27E72082" w:rsidR="00DD3744" w:rsidRPr="00A8173F" w:rsidRDefault="005A0DE7" w:rsidP="00EC1717">
          <w:pPr>
            <w:tabs>
              <w:tab w:val="right" w:pos="8838"/>
            </w:tabs>
            <w:ind w:right="-112"/>
            <w:rPr>
              <w:rFonts w:eastAsia="Calibri" w:cs="Tahoma"/>
              <w:lang w:val="es-MX"/>
            </w:rPr>
          </w:pPr>
          <w:r w:rsidRPr="005A0DE7">
            <w:rPr>
              <w:rFonts w:eastAsia="Calibri" w:cs="Tahoma"/>
              <w:lang w:val="es-MX"/>
            </w:rPr>
            <w:t>Ayuntamiento de Otzoloapan</w:t>
          </w:r>
        </w:p>
      </w:tc>
    </w:tr>
    <w:tr w:rsidR="00DD3744" w14:paraId="33182E6D" w14:textId="77777777" w:rsidTr="00BD33CA">
      <w:trPr>
        <w:trHeight w:val="276"/>
      </w:trPr>
      <w:tc>
        <w:tcPr>
          <w:tcW w:w="2409" w:type="dxa"/>
        </w:tcPr>
        <w:p w14:paraId="3DAD8BAC"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Comisionado Ponente:</w:t>
          </w:r>
        </w:p>
      </w:tc>
      <w:tc>
        <w:tcPr>
          <w:tcW w:w="3686" w:type="dxa"/>
        </w:tcPr>
        <w:p w14:paraId="45D40E9D" w14:textId="77777777" w:rsidR="00DD3744" w:rsidRDefault="00DD3744" w:rsidP="00EC1717">
          <w:pPr>
            <w:tabs>
              <w:tab w:val="right" w:pos="8838"/>
            </w:tabs>
            <w:ind w:right="-32"/>
            <w:rPr>
              <w:rFonts w:eastAsia="Calibri" w:cs="Tahoma"/>
              <w:lang w:val="es-MX"/>
            </w:rPr>
          </w:pPr>
          <w:r w:rsidRPr="00A8173F">
            <w:rPr>
              <w:rFonts w:eastAsia="Calibri" w:cs="Tahoma"/>
              <w:lang w:val="es-MX"/>
            </w:rPr>
            <w:t>Luis Gustavo Parra Noriega</w:t>
          </w:r>
        </w:p>
        <w:p w14:paraId="734181A9" w14:textId="77777777" w:rsidR="00DD3744" w:rsidRPr="00A8173F" w:rsidRDefault="00DD3744" w:rsidP="00EC1717">
          <w:pPr>
            <w:tabs>
              <w:tab w:val="right" w:pos="8838"/>
            </w:tabs>
            <w:ind w:right="-32"/>
            <w:rPr>
              <w:rFonts w:eastAsia="Calibri" w:cs="Tahoma"/>
              <w:lang w:val="es-MX"/>
            </w:rPr>
          </w:pPr>
        </w:p>
      </w:tc>
    </w:tr>
  </w:tbl>
  <w:p w14:paraId="41B9D328" w14:textId="77777777" w:rsidR="00DD3744" w:rsidRDefault="00A027BC">
    <w:pPr>
      <w:pStyle w:val="Encabezado"/>
    </w:pPr>
    <w:r>
      <w:rPr>
        <w:noProof/>
      </w:rPr>
      <w:pict w14:anchorId="651AC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style="position:absolute;left:0;text-align:left;margin-left:-103.85pt;margin-top:-140.2pt;width:663.5pt;height:12in;z-index:-251658239;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Layout w:type="fixed"/>
      <w:tblLook w:val="04A0" w:firstRow="1" w:lastRow="0" w:firstColumn="1" w:lastColumn="0" w:noHBand="0" w:noVBand="1"/>
    </w:tblPr>
    <w:tblGrid>
      <w:gridCol w:w="2977"/>
      <w:gridCol w:w="7087"/>
    </w:tblGrid>
    <w:tr w:rsidR="00DD3744" w:rsidRPr="005C106F" w14:paraId="69E37846" w14:textId="77777777" w:rsidTr="00BD5BC8">
      <w:trPr>
        <w:trHeight w:val="1546"/>
      </w:trPr>
      <w:tc>
        <w:tcPr>
          <w:tcW w:w="2977" w:type="dxa"/>
          <w:shd w:val="clear" w:color="auto" w:fill="auto"/>
        </w:tcPr>
        <w:p w14:paraId="38EF8931" w14:textId="77777777" w:rsidR="00DD3744" w:rsidRPr="005C106F" w:rsidRDefault="00DD3744" w:rsidP="00EC1717">
          <w:pPr>
            <w:tabs>
              <w:tab w:val="right" w:pos="4273"/>
            </w:tabs>
            <w:rPr>
              <w:rFonts w:ascii="Garamond" w:eastAsia="Calibri" w:hAnsi="Garamond"/>
              <w:sz w:val="16"/>
              <w:szCs w:val="16"/>
            </w:rPr>
          </w:pPr>
        </w:p>
      </w:tc>
      <w:tc>
        <w:tcPr>
          <w:tcW w:w="7087" w:type="dxa"/>
          <w:shd w:val="clear" w:color="auto" w:fill="auto"/>
        </w:tcPr>
        <w:p w14:paraId="0235F245" w14:textId="77777777" w:rsidR="00BD5BC8" w:rsidRPr="00BD5BC8" w:rsidRDefault="00BD5BC8">
          <w:pPr>
            <w:rPr>
              <w:sz w:val="16"/>
            </w:rPr>
          </w:pPr>
        </w:p>
        <w:tbl>
          <w:tblPr>
            <w:tblStyle w:val="Tablaconcuadrcula"/>
            <w:tblW w:w="609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91"/>
          </w:tblGrid>
          <w:tr w:rsidR="00DD3744" w14:paraId="060F6179" w14:textId="77777777" w:rsidTr="00F2385D">
            <w:trPr>
              <w:trHeight w:val="141"/>
            </w:trPr>
            <w:tc>
              <w:tcPr>
                <w:tcW w:w="2404" w:type="dxa"/>
                <w:vAlign w:val="bottom"/>
              </w:tcPr>
              <w:p w14:paraId="586EF85D"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Recurso de Revisión:</w:t>
                </w:r>
              </w:p>
            </w:tc>
            <w:tc>
              <w:tcPr>
                <w:tcW w:w="3691" w:type="dxa"/>
              </w:tcPr>
              <w:p w14:paraId="51BACB20" w14:textId="3A68BB7C" w:rsidR="00DD3744" w:rsidRPr="00A56F15" w:rsidRDefault="005A0DE7" w:rsidP="00EC1717">
                <w:pPr>
                  <w:tabs>
                    <w:tab w:val="right" w:pos="8838"/>
                  </w:tabs>
                  <w:ind w:left="-28" w:right="-107"/>
                  <w:rPr>
                    <w:rFonts w:eastAsia="Calibri" w:cs="Tahoma"/>
                  </w:rPr>
                </w:pPr>
                <w:r w:rsidRPr="005A0DE7">
                  <w:rPr>
                    <w:rFonts w:eastAsia="Calibri" w:cs="Tahoma"/>
                    <w:lang w:val="es-MX"/>
                  </w:rPr>
                  <w:t>05651/INFOEM/IP/RR/2021</w:t>
                </w:r>
              </w:p>
            </w:tc>
          </w:tr>
          <w:tr w:rsidR="00DD3744" w14:paraId="591FA1D0" w14:textId="77777777" w:rsidTr="00F2385D">
            <w:trPr>
              <w:trHeight w:val="141"/>
            </w:trPr>
            <w:tc>
              <w:tcPr>
                <w:tcW w:w="2404" w:type="dxa"/>
              </w:tcPr>
              <w:p w14:paraId="171B0014"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Recurrente:</w:t>
                </w:r>
              </w:p>
            </w:tc>
            <w:tc>
              <w:tcPr>
                <w:tcW w:w="3691" w:type="dxa"/>
              </w:tcPr>
              <w:p w14:paraId="01DEBDAF" w14:textId="17ED095E" w:rsidR="00DD3744" w:rsidRPr="003405AF" w:rsidRDefault="00DD3744" w:rsidP="00F2385D">
                <w:pPr>
                  <w:tabs>
                    <w:tab w:val="right" w:pos="8838"/>
                  </w:tabs>
                  <w:ind w:left="-28" w:right="-107"/>
                  <w:rPr>
                    <w:rFonts w:eastAsia="Calibri" w:cs="Tahoma"/>
                    <w:lang w:val="es-MX"/>
                  </w:rPr>
                </w:pPr>
              </w:p>
            </w:tc>
          </w:tr>
          <w:tr w:rsidR="00DD3744" w14:paraId="12FBF9FD" w14:textId="77777777" w:rsidTr="00F2385D">
            <w:trPr>
              <w:trHeight w:val="276"/>
            </w:trPr>
            <w:tc>
              <w:tcPr>
                <w:tcW w:w="2404" w:type="dxa"/>
              </w:tcPr>
              <w:p w14:paraId="2D8F8E18"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Sujeto Obligado:</w:t>
                </w:r>
              </w:p>
            </w:tc>
            <w:tc>
              <w:tcPr>
                <w:tcW w:w="3691" w:type="dxa"/>
              </w:tcPr>
              <w:p w14:paraId="774AFDEA" w14:textId="0E02AE7F" w:rsidR="00DD3744" w:rsidRPr="00B73A58" w:rsidRDefault="005A0DE7" w:rsidP="00EC1717">
                <w:pPr>
                  <w:tabs>
                    <w:tab w:val="right" w:pos="8838"/>
                  </w:tabs>
                  <w:ind w:left="-28" w:right="-107"/>
                  <w:rPr>
                    <w:rFonts w:eastAsia="Calibri" w:cs="Tahoma"/>
                    <w:lang w:val="es-MX"/>
                  </w:rPr>
                </w:pPr>
                <w:r w:rsidRPr="005A0DE7">
                  <w:rPr>
                    <w:rFonts w:eastAsia="Calibri" w:cs="Tahoma"/>
                    <w:lang w:val="es-MX"/>
                  </w:rPr>
                  <w:t>Ayuntamiento de Otzoloapan</w:t>
                </w:r>
              </w:p>
            </w:tc>
          </w:tr>
          <w:tr w:rsidR="00DD3744" w14:paraId="49305E0C" w14:textId="77777777" w:rsidTr="00F2385D">
            <w:trPr>
              <w:trHeight w:val="276"/>
            </w:trPr>
            <w:tc>
              <w:tcPr>
                <w:tcW w:w="2404" w:type="dxa"/>
              </w:tcPr>
              <w:p w14:paraId="67B21BAD" w14:textId="77777777" w:rsidR="00DD3744" w:rsidRPr="001B5FB6" w:rsidRDefault="00DD3744" w:rsidP="00EC1717">
                <w:pPr>
                  <w:tabs>
                    <w:tab w:val="right" w:pos="8838"/>
                  </w:tabs>
                  <w:ind w:right="-105"/>
                  <w:rPr>
                    <w:rFonts w:eastAsia="Calibri" w:cs="Tahoma"/>
                    <w:b/>
                    <w:lang w:val="es-MX"/>
                  </w:rPr>
                </w:pPr>
                <w:r w:rsidRPr="001B5FB6">
                  <w:rPr>
                    <w:rFonts w:eastAsia="Calibri" w:cs="Tahoma"/>
                    <w:b/>
                    <w:lang w:val="es-MX"/>
                  </w:rPr>
                  <w:t>Comisionado Ponente:</w:t>
                </w:r>
              </w:p>
            </w:tc>
            <w:tc>
              <w:tcPr>
                <w:tcW w:w="3691" w:type="dxa"/>
              </w:tcPr>
              <w:p w14:paraId="36DCA19A" w14:textId="77777777" w:rsidR="00DD3744" w:rsidRPr="00A8173F" w:rsidRDefault="00DD3744" w:rsidP="00EC1717">
                <w:pPr>
                  <w:tabs>
                    <w:tab w:val="right" w:pos="8838"/>
                  </w:tabs>
                  <w:ind w:left="-28" w:right="-107"/>
                  <w:rPr>
                    <w:rFonts w:eastAsia="Calibri" w:cs="Tahoma"/>
                    <w:lang w:val="es-MX"/>
                  </w:rPr>
                </w:pPr>
                <w:r w:rsidRPr="00A8173F">
                  <w:rPr>
                    <w:rFonts w:eastAsia="Calibri" w:cs="Tahoma"/>
                    <w:lang w:val="es-MX"/>
                  </w:rPr>
                  <w:t>Luis Gustavo Parra Noriega</w:t>
                </w:r>
              </w:p>
            </w:tc>
          </w:tr>
        </w:tbl>
        <w:p w14:paraId="5F94C8AD" w14:textId="77777777" w:rsidR="00DD3744" w:rsidRPr="005C106F" w:rsidRDefault="00DD3744" w:rsidP="00EC1717">
          <w:pPr>
            <w:tabs>
              <w:tab w:val="right" w:pos="8838"/>
            </w:tabs>
            <w:ind w:left="-28"/>
            <w:rPr>
              <w:rFonts w:ascii="Arial" w:eastAsia="Calibri" w:hAnsi="Arial" w:cs="Arial"/>
              <w:b/>
            </w:rPr>
          </w:pPr>
        </w:p>
      </w:tc>
    </w:tr>
  </w:tbl>
  <w:p w14:paraId="568A170E" w14:textId="77777777" w:rsidR="00DD3744" w:rsidRDefault="00A027BC">
    <w:pPr>
      <w:pStyle w:val="Encabezado"/>
    </w:pPr>
    <w:r>
      <w:rPr>
        <w:noProof/>
      </w:rPr>
      <w:pict w14:anchorId="4F5A1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style="position:absolute;left:0;text-align:left;margin-left:-97.1pt;margin-top:-127.6pt;width:663.5pt;height:12in;z-index:-25165823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D3F"/>
    <w:multiLevelType w:val="hybridMultilevel"/>
    <w:tmpl w:val="BA7EF5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435B3"/>
    <w:multiLevelType w:val="hybridMultilevel"/>
    <w:tmpl w:val="7F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E71DD4"/>
    <w:multiLevelType w:val="hybridMultilevel"/>
    <w:tmpl w:val="E176E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26D9C"/>
    <w:multiLevelType w:val="hybridMultilevel"/>
    <w:tmpl w:val="728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E0096"/>
    <w:multiLevelType w:val="hybridMultilevel"/>
    <w:tmpl w:val="BA7EF5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0A0871"/>
    <w:multiLevelType w:val="hybridMultilevel"/>
    <w:tmpl w:val="259C4EB2"/>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7B342FC"/>
    <w:multiLevelType w:val="hybridMultilevel"/>
    <w:tmpl w:val="0E0E857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A5B67"/>
    <w:multiLevelType w:val="hybridMultilevel"/>
    <w:tmpl w:val="7D9C3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E32D7"/>
    <w:multiLevelType w:val="hybridMultilevel"/>
    <w:tmpl w:val="21761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715649"/>
    <w:multiLevelType w:val="hybridMultilevel"/>
    <w:tmpl w:val="E3B670B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32754"/>
    <w:multiLevelType w:val="hybridMultilevel"/>
    <w:tmpl w:val="FB34C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263E1"/>
    <w:multiLevelType w:val="hybridMultilevel"/>
    <w:tmpl w:val="E5C685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1642AD"/>
    <w:multiLevelType w:val="hybridMultilevel"/>
    <w:tmpl w:val="2D463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FC7811"/>
    <w:multiLevelType w:val="hybridMultilevel"/>
    <w:tmpl w:val="E99ED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B1346F"/>
    <w:multiLevelType w:val="hybridMultilevel"/>
    <w:tmpl w:val="83F86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9F4537"/>
    <w:multiLevelType w:val="hybridMultilevel"/>
    <w:tmpl w:val="0B36965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8C7A7E"/>
    <w:multiLevelType w:val="hybridMultilevel"/>
    <w:tmpl w:val="FA9A8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1923FCE"/>
    <w:multiLevelType w:val="hybridMultilevel"/>
    <w:tmpl w:val="E176EB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113D26"/>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905251"/>
    <w:multiLevelType w:val="hybridMultilevel"/>
    <w:tmpl w:val="6316B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E80F4F"/>
    <w:multiLevelType w:val="hybridMultilevel"/>
    <w:tmpl w:val="E5A0F110"/>
    <w:lvl w:ilvl="0" w:tplc="7AA0B6C0">
      <w:start w:val="1"/>
      <w:numFmt w:val="bullet"/>
      <w:lvlText w:val=""/>
      <w:lvlJc w:val="left"/>
      <w:pPr>
        <w:ind w:left="1079" w:hanging="360"/>
      </w:pPr>
      <w:rPr>
        <w:rFonts w:ascii="Symbol" w:hAnsi="Symbol" w:hint="default"/>
      </w:rPr>
    </w:lvl>
    <w:lvl w:ilvl="1" w:tplc="080A0003" w:tentative="1">
      <w:start w:val="1"/>
      <w:numFmt w:val="bullet"/>
      <w:lvlText w:val="o"/>
      <w:lvlJc w:val="left"/>
      <w:pPr>
        <w:ind w:left="1799" w:hanging="360"/>
      </w:pPr>
      <w:rPr>
        <w:rFonts w:ascii="Courier New" w:hAnsi="Courier New" w:cs="Courier New" w:hint="default"/>
      </w:rPr>
    </w:lvl>
    <w:lvl w:ilvl="2" w:tplc="080A0005" w:tentative="1">
      <w:start w:val="1"/>
      <w:numFmt w:val="bullet"/>
      <w:lvlText w:val=""/>
      <w:lvlJc w:val="left"/>
      <w:pPr>
        <w:ind w:left="2519" w:hanging="360"/>
      </w:pPr>
      <w:rPr>
        <w:rFonts w:ascii="Wingdings" w:hAnsi="Wingdings" w:hint="default"/>
      </w:rPr>
    </w:lvl>
    <w:lvl w:ilvl="3" w:tplc="080A0001" w:tentative="1">
      <w:start w:val="1"/>
      <w:numFmt w:val="bullet"/>
      <w:lvlText w:val=""/>
      <w:lvlJc w:val="left"/>
      <w:pPr>
        <w:ind w:left="3239" w:hanging="360"/>
      </w:pPr>
      <w:rPr>
        <w:rFonts w:ascii="Symbol" w:hAnsi="Symbol" w:hint="default"/>
      </w:rPr>
    </w:lvl>
    <w:lvl w:ilvl="4" w:tplc="080A0003" w:tentative="1">
      <w:start w:val="1"/>
      <w:numFmt w:val="bullet"/>
      <w:lvlText w:val="o"/>
      <w:lvlJc w:val="left"/>
      <w:pPr>
        <w:ind w:left="3959" w:hanging="360"/>
      </w:pPr>
      <w:rPr>
        <w:rFonts w:ascii="Courier New" w:hAnsi="Courier New" w:cs="Courier New" w:hint="default"/>
      </w:rPr>
    </w:lvl>
    <w:lvl w:ilvl="5" w:tplc="080A0005" w:tentative="1">
      <w:start w:val="1"/>
      <w:numFmt w:val="bullet"/>
      <w:lvlText w:val=""/>
      <w:lvlJc w:val="left"/>
      <w:pPr>
        <w:ind w:left="4679" w:hanging="360"/>
      </w:pPr>
      <w:rPr>
        <w:rFonts w:ascii="Wingdings" w:hAnsi="Wingdings" w:hint="default"/>
      </w:rPr>
    </w:lvl>
    <w:lvl w:ilvl="6" w:tplc="080A0001" w:tentative="1">
      <w:start w:val="1"/>
      <w:numFmt w:val="bullet"/>
      <w:lvlText w:val=""/>
      <w:lvlJc w:val="left"/>
      <w:pPr>
        <w:ind w:left="5399" w:hanging="360"/>
      </w:pPr>
      <w:rPr>
        <w:rFonts w:ascii="Symbol" w:hAnsi="Symbol" w:hint="default"/>
      </w:rPr>
    </w:lvl>
    <w:lvl w:ilvl="7" w:tplc="080A0003" w:tentative="1">
      <w:start w:val="1"/>
      <w:numFmt w:val="bullet"/>
      <w:lvlText w:val="o"/>
      <w:lvlJc w:val="left"/>
      <w:pPr>
        <w:ind w:left="6119" w:hanging="360"/>
      </w:pPr>
      <w:rPr>
        <w:rFonts w:ascii="Courier New" w:hAnsi="Courier New" w:cs="Courier New" w:hint="default"/>
      </w:rPr>
    </w:lvl>
    <w:lvl w:ilvl="8" w:tplc="080A0005" w:tentative="1">
      <w:start w:val="1"/>
      <w:numFmt w:val="bullet"/>
      <w:lvlText w:val=""/>
      <w:lvlJc w:val="left"/>
      <w:pPr>
        <w:ind w:left="6839" w:hanging="360"/>
      </w:pPr>
      <w:rPr>
        <w:rFonts w:ascii="Wingdings" w:hAnsi="Wingdings" w:hint="default"/>
      </w:rPr>
    </w:lvl>
  </w:abstractNum>
  <w:abstractNum w:abstractNumId="30" w15:restartNumberingAfterBreak="0">
    <w:nsid w:val="736547CB"/>
    <w:multiLevelType w:val="hybridMultilevel"/>
    <w:tmpl w:val="EB0E2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FD1292"/>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EE35FE"/>
    <w:multiLevelType w:val="hybridMultilevel"/>
    <w:tmpl w:val="EF703C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16"/>
  </w:num>
  <w:num w:numId="6">
    <w:abstractNumId w:val="9"/>
  </w:num>
  <w:num w:numId="7">
    <w:abstractNumId w:val="10"/>
  </w:num>
  <w:num w:numId="8">
    <w:abstractNumId w:val="11"/>
  </w:num>
  <w:num w:numId="9">
    <w:abstractNumId w:val="0"/>
  </w:num>
  <w:num w:numId="10">
    <w:abstractNumId w:val="8"/>
  </w:num>
  <w:num w:numId="11">
    <w:abstractNumId w:val="1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22"/>
  </w:num>
  <w:num w:numId="17">
    <w:abstractNumId w:val="26"/>
  </w:num>
  <w:num w:numId="18">
    <w:abstractNumId w:val="5"/>
  </w:num>
  <w:num w:numId="19">
    <w:abstractNumId w:val="17"/>
  </w:num>
  <w:num w:numId="20">
    <w:abstractNumId w:val="2"/>
  </w:num>
  <w:num w:numId="21">
    <w:abstractNumId w:val="4"/>
  </w:num>
  <w:num w:numId="22">
    <w:abstractNumId w:val="1"/>
  </w:num>
  <w:num w:numId="23">
    <w:abstractNumId w:val="21"/>
  </w:num>
  <w:num w:numId="24">
    <w:abstractNumId w:val="3"/>
  </w:num>
  <w:num w:numId="25">
    <w:abstractNumId w:val="28"/>
  </w:num>
  <w:num w:numId="26">
    <w:abstractNumId w:val="32"/>
  </w:num>
  <w:num w:numId="27">
    <w:abstractNumId w:val="27"/>
  </w:num>
  <w:num w:numId="28">
    <w:abstractNumId w:val="31"/>
  </w:num>
  <w:num w:numId="29">
    <w:abstractNumId w:val="24"/>
  </w:num>
  <w:num w:numId="30">
    <w:abstractNumId w:val="30"/>
  </w:num>
  <w:num w:numId="31">
    <w:abstractNumId w:val="29"/>
  </w:num>
  <w:num w:numId="32">
    <w:abstractNumId w:val="23"/>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15"/>
    <w:rsid w:val="000001E9"/>
    <w:rsid w:val="00002181"/>
    <w:rsid w:val="00005C99"/>
    <w:rsid w:val="000116EA"/>
    <w:rsid w:val="00011EB9"/>
    <w:rsid w:val="00017527"/>
    <w:rsid w:val="000207C3"/>
    <w:rsid w:val="00037D21"/>
    <w:rsid w:val="00041097"/>
    <w:rsid w:val="00042741"/>
    <w:rsid w:val="00063EA2"/>
    <w:rsid w:val="0007436C"/>
    <w:rsid w:val="00091048"/>
    <w:rsid w:val="00094A4F"/>
    <w:rsid w:val="000A06F5"/>
    <w:rsid w:val="000A0A91"/>
    <w:rsid w:val="000A2FF0"/>
    <w:rsid w:val="000A336B"/>
    <w:rsid w:val="000A70D5"/>
    <w:rsid w:val="000B0D7F"/>
    <w:rsid w:val="000B3B4D"/>
    <w:rsid w:val="000C7928"/>
    <w:rsid w:val="000D5D74"/>
    <w:rsid w:val="000E2B1A"/>
    <w:rsid w:val="000F1C79"/>
    <w:rsid w:val="000F6590"/>
    <w:rsid w:val="00104CD7"/>
    <w:rsid w:val="001055C8"/>
    <w:rsid w:val="00110726"/>
    <w:rsid w:val="00111588"/>
    <w:rsid w:val="0012562F"/>
    <w:rsid w:val="001453F5"/>
    <w:rsid w:val="001460B9"/>
    <w:rsid w:val="0015101E"/>
    <w:rsid w:val="0015129F"/>
    <w:rsid w:val="00155A0C"/>
    <w:rsid w:val="0015656B"/>
    <w:rsid w:val="0016495A"/>
    <w:rsid w:val="001654C3"/>
    <w:rsid w:val="00172A46"/>
    <w:rsid w:val="00182367"/>
    <w:rsid w:val="00187839"/>
    <w:rsid w:val="0019319E"/>
    <w:rsid w:val="001931B4"/>
    <w:rsid w:val="001952FC"/>
    <w:rsid w:val="001968DD"/>
    <w:rsid w:val="00197AC2"/>
    <w:rsid w:val="001A084D"/>
    <w:rsid w:val="001A3AE0"/>
    <w:rsid w:val="001B47E6"/>
    <w:rsid w:val="001B5E10"/>
    <w:rsid w:val="001C1601"/>
    <w:rsid w:val="001C693F"/>
    <w:rsid w:val="001C6A39"/>
    <w:rsid w:val="001D0FF3"/>
    <w:rsid w:val="001D479D"/>
    <w:rsid w:val="001D49E2"/>
    <w:rsid w:val="001D5ED0"/>
    <w:rsid w:val="001E7948"/>
    <w:rsid w:val="001F7542"/>
    <w:rsid w:val="00201287"/>
    <w:rsid w:val="00201375"/>
    <w:rsid w:val="0020381B"/>
    <w:rsid w:val="00204284"/>
    <w:rsid w:val="00213968"/>
    <w:rsid w:val="002204A2"/>
    <w:rsid w:val="00221502"/>
    <w:rsid w:val="002223DF"/>
    <w:rsid w:val="00232149"/>
    <w:rsid w:val="002334C4"/>
    <w:rsid w:val="00240F4C"/>
    <w:rsid w:val="002422D8"/>
    <w:rsid w:val="00243E91"/>
    <w:rsid w:val="00244D58"/>
    <w:rsid w:val="00263D77"/>
    <w:rsid w:val="002709CC"/>
    <w:rsid w:val="00275C3F"/>
    <w:rsid w:val="002802CD"/>
    <w:rsid w:val="002818A8"/>
    <w:rsid w:val="00294756"/>
    <w:rsid w:val="002961F0"/>
    <w:rsid w:val="00296451"/>
    <w:rsid w:val="00296CCE"/>
    <w:rsid w:val="002A6BF2"/>
    <w:rsid w:val="002B4FC0"/>
    <w:rsid w:val="002B5A70"/>
    <w:rsid w:val="002B78A0"/>
    <w:rsid w:val="002B78E4"/>
    <w:rsid w:val="002C7B8E"/>
    <w:rsid w:val="002D607F"/>
    <w:rsid w:val="002D697A"/>
    <w:rsid w:val="002E047D"/>
    <w:rsid w:val="002E282C"/>
    <w:rsid w:val="002E4EA1"/>
    <w:rsid w:val="002F20DF"/>
    <w:rsid w:val="002F28D0"/>
    <w:rsid w:val="002F4156"/>
    <w:rsid w:val="00305189"/>
    <w:rsid w:val="00305EC2"/>
    <w:rsid w:val="00311541"/>
    <w:rsid w:val="00313531"/>
    <w:rsid w:val="00316175"/>
    <w:rsid w:val="00317000"/>
    <w:rsid w:val="003246A2"/>
    <w:rsid w:val="00324B80"/>
    <w:rsid w:val="00324D4F"/>
    <w:rsid w:val="003315C0"/>
    <w:rsid w:val="00347D2E"/>
    <w:rsid w:val="00355DA4"/>
    <w:rsid w:val="00381625"/>
    <w:rsid w:val="00391090"/>
    <w:rsid w:val="0039350A"/>
    <w:rsid w:val="003979A5"/>
    <w:rsid w:val="003A75F0"/>
    <w:rsid w:val="003B1704"/>
    <w:rsid w:val="003B7707"/>
    <w:rsid w:val="003B7C6F"/>
    <w:rsid w:val="003C28E3"/>
    <w:rsid w:val="003D1774"/>
    <w:rsid w:val="003E6712"/>
    <w:rsid w:val="003F34A9"/>
    <w:rsid w:val="003F3BD4"/>
    <w:rsid w:val="003F3D64"/>
    <w:rsid w:val="00401160"/>
    <w:rsid w:val="00401489"/>
    <w:rsid w:val="00403D02"/>
    <w:rsid w:val="00424D16"/>
    <w:rsid w:val="00427022"/>
    <w:rsid w:val="0042780B"/>
    <w:rsid w:val="004278C8"/>
    <w:rsid w:val="00431AE3"/>
    <w:rsid w:val="0043546F"/>
    <w:rsid w:val="004470CE"/>
    <w:rsid w:val="00453C3C"/>
    <w:rsid w:val="0045664A"/>
    <w:rsid w:val="004578F5"/>
    <w:rsid w:val="00462556"/>
    <w:rsid w:val="00466BBA"/>
    <w:rsid w:val="004677F3"/>
    <w:rsid w:val="004709DF"/>
    <w:rsid w:val="00491E5E"/>
    <w:rsid w:val="00491EC8"/>
    <w:rsid w:val="00496A77"/>
    <w:rsid w:val="004A5378"/>
    <w:rsid w:val="004B47AD"/>
    <w:rsid w:val="004C0494"/>
    <w:rsid w:val="004C0F60"/>
    <w:rsid w:val="004C352A"/>
    <w:rsid w:val="004C4339"/>
    <w:rsid w:val="004D0E36"/>
    <w:rsid w:val="004D23DD"/>
    <w:rsid w:val="004D7F22"/>
    <w:rsid w:val="004E34B9"/>
    <w:rsid w:val="004E58A5"/>
    <w:rsid w:val="004F6D41"/>
    <w:rsid w:val="00512C53"/>
    <w:rsid w:val="00513CF5"/>
    <w:rsid w:val="0052635E"/>
    <w:rsid w:val="00535198"/>
    <w:rsid w:val="00556CCA"/>
    <w:rsid w:val="00560DFC"/>
    <w:rsid w:val="005715CE"/>
    <w:rsid w:val="00577C48"/>
    <w:rsid w:val="005810AF"/>
    <w:rsid w:val="00582689"/>
    <w:rsid w:val="0058311B"/>
    <w:rsid w:val="005836C3"/>
    <w:rsid w:val="00585C7B"/>
    <w:rsid w:val="005879E4"/>
    <w:rsid w:val="005919D1"/>
    <w:rsid w:val="00597C01"/>
    <w:rsid w:val="005A0DE7"/>
    <w:rsid w:val="005B0BDF"/>
    <w:rsid w:val="005B72B8"/>
    <w:rsid w:val="005C6353"/>
    <w:rsid w:val="005D032F"/>
    <w:rsid w:val="005D67EF"/>
    <w:rsid w:val="005D6A91"/>
    <w:rsid w:val="005E08B0"/>
    <w:rsid w:val="005E4699"/>
    <w:rsid w:val="005F4D5F"/>
    <w:rsid w:val="005F604E"/>
    <w:rsid w:val="0060284B"/>
    <w:rsid w:val="00602DBA"/>
    <w:rsid w:val="0060660C"/>
    <w:rsid w:val="00607B79"/>
    <w:rsid w:val="00610F81"/>
    <w:rsid w:val="00612572"/>
    <w:rsid w:val="00625DD0"/>
    <w:rsid w:val="006271FC"/>
    <w:rsid w:val="0062738F"/>
    <w:rsid w:val="0063244D"/>
    <w:rsid w:val="00647434"/>
    <w:rsid w:val="00650AAE"/>
    <w:rsid w:val="0065210D"/>
    <w:rsid w:val="00653EC9"/>
    <w:rsid w:val="00656EFB"/>
    <w:rsid w:val="00662733"/>
    <w:rsid w:val="00667607"/>
    <w:rsid w:val="00672E5C"/>
    <w:rsid w:val="006810C6"/>
    <w:rsid w:val="00695052"/>
    <w:rsid w:val="006A0040"/>
    <w:rsid w:val="006A0A8E"/>
    <w:rsid w:val="006A14DE"/>
    <w:rsid w:val="006A1DE7"/>
    <w:rsid w:val="006A3951"/>
    <w:rsid w:val="006A5311"/>
    <w:rsid w:val="006B0511"/>
    <w:rsid w:val="006B093D"/>
    <w:rsid w:val="006B43E6"/>
    <w:rsid w:val="006B6AC3"/>
    <w:rsid w:val="006B7B4A"/>
    <w:rsid w:val="006C0E87"/>
    <w:rsid w:val="006C39FF"/>
    <w:rsid w:val="006C5FA5"/>
    <w:rsid w:val="006D35BD"/>
    <w:rsid w:val="006E33F6"/>
    <w:rsid w:val="006E350D"/>
    <w:rsid w:val="006F007B"/>
    <w:rsid w:val="006F06EE"/>
    <w:rsid w:val="0070115A"/>
    <w:rsid w:val="00705DA9"/>
    <w:rsid w:val="00723D5C"/>
    <w:rsid w:val="00735433"/>
    <w:rsid w:val="00737F51"/>
    <w:rsid w:val="007400D6"/>
    <w:rsid w:val="007413E2"/>
    <w:rsid w:val="00744F47"/>
    <w:rsid w:val="0074659E"/>
    <w:rsid w:val="00752139"/>
    <w:rsid w:val="007619F1"/>
    <w:rsid w:val="00767D84"/>
    <w:rsid w:val="00777115"/>
    <w:rsid w:val="00783D22"/>
    <w:rsid w:val="00792927"/>
    <w:rsid w:val="007A1A83"/>
    <w:rsid w:val="007A53F5"/>
    <w:rsid w:val="007A7F5E"/>
    <w:rsid w:val="007B70BF"/>
    <w:rsid w:val="007C5B9D"/>
    <w:rsid w:val="007C6DA5"/>
    <w:rsid w:val="007C713C"/>
    <w:rsid w:val="007E4B12"/>
    <w:rsid w:val="007E5B45"/>
    <w:rsid w:val="007F6FC0"/>
    <w:rsid w:val="007F7DE9"/>
    <w:rsid w:val="0081458F"/>
    <w:rsid w:val="008146B1"/>
    <w:rsid w:val="00815D0E"/>
    <w:rsid w:val="00830361"/>
    <w:rsid w:val="00834711"/>
    <w:rsid w:val="00841137"/>
    <w:rsid w:val="00842D4D"/>
    <w:rsid w:val="00864BCE"/>
    <w:rsid w:val="0087217A"/>
    <w:rsid w:val="00872510"/>
    <w:rsid w:val="00882C33"/>
    <w:rsid w:val="00886097"/>
    <w:rsid w:val="00890DF6"/>
    <w:rsid w:val="0089553C"/>
    <w:rsid w:val="00896074"/>
    <w:rsid w:val="00896B3D"/>
    <w:rsid w:val="008A1C47"/>
    <w:rsid w:val="008A4815"/>
    <w:rsid w:val="008A4942"/>
    <w:rsid w:val="008A5A97"/>
    <w:rsid w:val="008A76F2"/>
    <w:rsid w:val="008B44DD"/>
    <w:rsid w:val="008C3306"/>
    <w:rsid w:val="008C40C3"/>
    <w:rsid w:val="008D05D6"/>
    <w:rsid w:val="008E0262"/>
    <w:rsid w:val="008E0B76"/>
    <w:rsid w:val="008E1B02"/>
    <w:rsid w:val="008E1B1C"/>
    <w:rsid w:val="008E368F"/>
    <w:rsid w:val="008F314C"/>
    <w:rsid w:val="008F4272"/>
    <w:rsid w:val="008F6921"/>
    <w:rsid w:val="008F7FBA"/>
    <w:rsid w:val="00905EA3"/>
    <w:rsid w:val="00915049"/>
    <w:rsid w:val="00923B33"/>
    <w:rsid w:val="00923B88"/>
    <w:rsid w:val="00923D4A"/>
    <w:rsid w:val="009255CD"/>
    <w:rsid w:val="00932BDB"/>
    <w:rsid w:val="00935BCA"/>
    <w:rsid w:val="00937C03"/>
    <w:rsid w:val="0094082C"/>
    <w:rsid w:val="009444F6"/>
    <w:rsid w:val="0094572F"/>
    <w:rsid w:val="009536AA"/>
    <w:rsid w:val="00956BF5"/>
    <w:rsid w:val="009603CA"/>
    <w:rsid w:val="00961A1D"/>
    <w:rsid w:val="00965082"/>
    <w:rsid w:val="00975CDA"/>
    <w:rsid w:val="009A1E15"/>
    <w:rsid w:val="009A5D13"/>
    <w:rsid w:val="009B1161"/>
    <w:rsid w:val="009B2758"/>
    <w:rsid w:val="009B52E1"/>
    <w:rsid w:val="009B7776"/>
    <w:rsid w:val="009C1F62"/>
    <w:rsid w:val="009D0DE9"/>
    <w:rsid w:val="009D2CFF"/>
    <w:rsid w:val="009E1F20"/>
    <w:rsid w:val="009E2C60"/>
    <w:rsid w:val="009E3E5E"/>
    <w:rsid w:val="009E4CEC"/>
    <w:rsid w:val="009E5FB6"/>
    <w:rsid w:val="00A027BC"/>
    <w:rsid w:val="00A04F48"/>
    <w:rsid w:val="00A06C78"/>
    <w:rsid w:val="00A10B94"/>
    <w:rsid w:val="00A16870"/>
    <w:rsid w:val="00A171F0"/>
    <w:rsid w:val="00A1775F"/>
    <w:rsid w:val="00A30C61"/>
    <w:rsid w:val="00A51153"/>
    <w:rsid w:val="00A56F15"/>
    <w:rsid w:val="00A608CF"/>
    <w:rsid w:val="00A60AB4"/>
    <w:rsid w:val="00A60C4B"/>
    <w:rsid w:val="00A70A4F"/>
    <w:rsid w:val="00A74338"/>
    <w:rsid w:val="00A82201"/>
    <w:rsid w:val="00A977D3"/>
    <w:rsid w:val="00AA4797"/>
    <w:rsid w:val="00AB4E8B"/>
    <w:rsid w:val="00AB5B5E"/>
    <w:rsid w:val="00AB75AF"/>
    <w:rsid w:val="00AC06E3"/>
    <w:rsid w:val="00AC13B0"/>
    <w:rsid w:val="00AC5E86"/>
    <w:rsid w:val="00AE0C0D"/>
    <w:rsid w:val="00AE437B"/>
    <w:rsid w:val="00AE4557"/>
    <w:rsid w:val="00AF6FF8"/>
    <w:rsid w:val="00B004BF"/>
    <w:rsid w:val="00B008B6"/>
    <w:rsid w:val="00B0216A"/>
    <w:rsid w:val="00B06CCD"/>
    <w:rsid w:val="00B06F75"/>
    <w:rsid w:val="00B10E79"/>
    <w:rsid w:val="00B1104B"/>
    <w:rsid w:val="00B17A7F"/>
    <w:rsid w:val="00B243FF"/>
    <w:rsid w:val="00B34A5A"/>
    <w:rsid w:val="00B42524"/>
    <w:rsid w:val="00B43B7F"/>
    <w:rsid w:val="00B4414D"/>
    <w:rsid w:val="00B4421F"/>
    <w:rsid w:val="00B44E37"/>
    <w:rsid w:val="00B454DA"/>
    <w:rsid w:val="00B51973"/>
    <w:rsid w:val="00B51E53"/>
    <w:rsid w:val="00B54898"/>
    <w:rsid w:val="00B558B3"/>
    <w:rsid w:val="00B604AD"/>
    <w:rsid w:val="00B6217D"/>
    <w:rsid w:val="00B70087"/>
    <w:rsid w:val="00B75171"/>
    <w:rsid w:val="00B7566C"/>
    <w:rsid w:val="00B80BEF"/>
    <w:rsid w:val="00BA6A82"/>
    <w:rsid w:val="00BB18C2"/>
    <w:rsid w:val="00BB7267"/>
    <w:rsid w:val="00BC1EAB"/>
    <w:rsid w:val="00BC346B"/>
    <w:rsid w:val="00BC4785"/>
    <w:rsid w:val="00BD33CA"/>
    <w:rsid w:val="00BD4329"/>
    <w:rsid w:val="00BD5BC8"/>
    <w:rsid w:val="00BE1481"/>
    <w:rsid w:val="00BE60EE"/>
    <w:rsid w:val="00BE6D15"/>
    <w:rsid w:val="00C003BE"/>
    <w:rsid w:val="00C04692"/>
    <w:rsid w:val="00C06E07"/>
    <w:rsid w:val="00C07506"/>
    <w:rsid w:val="00C16D0D"/>
    <w:rsid w:val="00C17FE7"/>
    <w:rsid w:val="00C230FD"/>
    <w:rsid w:val="00C231CD"/>
    <w:rsid w:val="00C23F7D"/>
    <w:rsid w:val="00C253C8"/>
    <w:rsid w:val="00C30768"/>
    <w:rsid w:val="00C42176"/>
    <w:rsid w:val="00C44B10"/>
    <w:rsid w:val="00C46563"/>
    <w:rsid w:val="00C4733B"/>
    <w:rsid w:val="00C5037E"/>
    <w:rsid w:val="00C5395D"/>
    <w:rsid w:val="00C6000D"/>
    <w:rsid w:val="00C60461"/>
    <w:rsid w:val="00C630A4"/>
    <w:rsid w:val="00C8099C"/>
    <w:rsid w:val="00C856FD"/>
    <w:rsid w:val="00C85A9C"/>
    <w:rsid w:val="00C91DE8"/>
    <w:rsid w:val="00CC0F19"/>
    <w:rsid w:val="00CE1585"/>
    <w:rsid w:val="00CE32AB"/>
    <w:rsid w:val="00CF1AC0"/>
    <w:rsid w:val="00D23957"/>
    <w:rsid w:val="00D33078"/>
    <w:rsid w:val="00D34A54"/>
    <w:rsid w:val="00D47A6E"/>
    <w:rsid w:val="00D60770"/>
    <w:rsid w:val="00D61F91"/>
    <w:rsid w:val="00D628B2"/>
    <w:rsid w:val="00D6423D"/>
    <w:rsid w:val="00D7458D"/>
    <w:rsid w:val="00D8511B"/>
    <w:rsid w:val="00D93209"/>
    <w:rsid w:val="00D971EF"/>
    <w:rsid w:val="00DB266E"/>
    <w:rsid w:val="00DB4C72"/>
    <w:rsid w:val="00DC5C07"/>
    <w:rsid w:val="00DD2622"/>
    <w:rsid w:val="00DD3744"/>
    <w:rsid w:val="00DE316D"/>
    <w:rsid w:val="00DE7BF0"/>
    <w:rsid w:val="00DF7077"/>
    <w:rsid w:val="00E00135"/>
    <w:rsid w:val="00E03C70"/>
    <w:rsid w:val="00E11E5E"/>
    <w:rsid w:val="00E12E40"/>
    <w:rsid w:val="00E203EB"/>
    <w:rsid w:val="00E31266"/>
    <w:rsid w:val="00E33216"/>
    <w:rsid w:val="00E33A51"/>
    <w:rsid w:val="00E348ED"/>
    <w:rsid w:val="00E3525B"/>
    <w:rsid w:val="00E352D8"/>
    <w:rsid w:val="00E357B7"/>
    <w:rsid w:val="00E36E9B"/>
    <w:rsid w:val="00E413DE"/>
    <w:rsid w:val="00E466DA"/>
    <w:rsid w:val="00E52437"/>
    <w:rsid w:val="00E571AC"/>
    <w:rsid w:val="00E7277B"/>
    <w:rsid w:val="00E732DE"/>
    <w:rsid w:val="00E77E9C"/>
    <w:rsid w:val="00E82ECB"/>
    <w:rsid w:val="00E868A7"/>
    <w:rsid w:val="00E925BE"/>
    <w:rsid w:val="00EA0301"/>
    <w:rsid w:val="00EA65D2"/>
    <w:rsid w:val="00EB46B2"/>
    <w:rsid w:val="00EB5AB1"/>
    <w:rsid w:val="00EC1717"/>
    <w:rsid w:val="00ED355A"/>
    <w:rsid w:val="00ED3E3F"/>
    <w:rsid w:val="00ED4180"/>
    <w:rsid w:val="00EF66AC"/>
    <w:rsid w:val="00F00AB5"/>
    <w:rsid w:val="00F06107"/>
    <w:rsid w:val="00F136DF"/>
    <w:rsid w:val="00F150D8"/>
    <w:rsid w:val="00F1782F"/>
    <w:rsid w:val="00F2323F"/>
    <w:rsid w:val="00F2385D"/>
    <w:rsid w:val="00F23995"/>
    <w:rsid w:val="00F26A42"/>
    <w:rsid w:val="00F4006E"/>
    <w:rsid w:val="00F43EC4"/>
    <w:rsid w:val="00F448FF"/>
    <w:rsid w:val="00F578E3"/>
    <w:rsid w:val="00F66E03"/>
    <w:rsid w:val="00F70168"/>
    <w:rsid w:val="00F774F1"/>
    <w:rsid w:val="00F8050E"/>
    <w:rsid w:val="00F87589"/>
    <w:rsid w:val="00F921DD"/>
    <w:rsid w:val="00F949D2"/>
    <w:rsid w:val="00F95B13"/>
    <w:rsid w:val="00FA1999"/>
    <w:rsid w:val="00FA6430"/>
    <w:rsid w:val="00FA684D"/>
    <w:rsid w:val="00FA77D7"/>
    <w:rsid w:val="00FB7C1A"/>
    <w:rsid w:val="00FC1842"/>
    <w:rsid w:val="00FC2370"/>
    <w:rsid w:val="00FD1166"/>
    <w:rsid w:val="00FD5D5E"/>
    <w:rsid w:val="00FD6291"/>
    <w:rsid w:val="00FE54D0"/>
    <w:rsid w:val="00FF072B"/>
    <w:rsid w:val="00FF5C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8B65"/>
  <w15:chartTrackingRefBased/>
  <w15:docId w15:val="{002F6B02-DCEB-47B2-A801-4AFF0F5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15"/>
    <w:pPr>
      <w:jc w:val="both"/>
    </w:pPr>
    <w:rPr>
      <w:rFonts w:ascii="Palatino Linotype" w:hAnsi="Palatino Linotype"/>
      <w:color w:val="000000" w:themeColor="text1"/>
    </w:rPr>
  </w:style>
  <w:style w:type="paragraph" w:styleId="Ttulo2">
    <w:name w:val="heading 2"/>
    <w:basedOn w:val="Normal"/>
    <w:next w:val="Normal"/>
    <w:link w:val="Ttulo2Car"/>
    <w:uiPriority w:val="9"/>
    <w:semiHidden/>
    <w:unhideWhenUsed/>
    <w:qFormat/>
    <w:rsid w:val="002F20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6F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6F15"/>
    <w:rPr>
      <w:rFonts w:ascii="Palatino Linotype" w:hAnsi="Palatino Linotype"/>
      <w:color w:val="000000" w:themeColor="text1"/>
    </w:rPr>
  </w:style>
  <w:style w:type="paragraph" w:styleId="Piedepgina">
    <w:name w:val="footer"/>
    <w:basedOn w:val="Normal"/>
    <w:link w:val="PiedepginaCar"/>
    <w:uiPriority w:val="99"/>
    <w:unhideWhenUsed/>
    <w:rsid w:val="00A56F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6F15"/>
    <w:rPr>
      <w:rFonts w:ascii="Palatino Linotype" w:hAnsi="Palatino Linotype"/>
      <w:color w:val="000000" w:themeColor="text1"/>
    </w:rPr>
  </w:style>
  <w:style w:type="table" w:styleId="Tablaconcuadrcula">
    <w:name w:val="Table Grid"/>
    <w:basedOn w:val="Tablanormal"/>
    <w:uiPriority w:val="39"/>
    <w:rsid w:val="00A56F1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A56F15"/>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6F1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6F15"/>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2223DF"/>
    <w:rPr>
      <w:color w:val="605E5C"/>
      <w:shd w:val="clear" w:color="auto" w:fill="E1DFDD"/>
    </w:rPr>
  </w:style>
  <w:style w:type="character" w:styleId="Hipervnculovisitado">
    <w:name w:val="FollowedHyperlink"/>
    <w:basedOn w:val="Fuentedeprrafopredeter"/>
    <w:uiPriority w:val="99"/>
    <w:semiHidden/>
    <w:unhideWhenUsed/>
    <w:rsid w:val="002223DF"/>
    <w:rPr>
      <w:color w:val="954F72" w:themeColor="followedHyperlink"/>
      <w:u w:val="single"/>
    </w:rPr>
  </w:style>
  <w:style w:type="character" w:customStyle="1" w:styleId="Ttulo2Car">
    <w:name w:val="Título 2 Car"/>
    <w:basedOn w:val="Fuentedeprrafopredeter"/>
    <w:link w:val="Ttulo2"/>
    <w:uiPriority w:val="9"/>
    <w:semiHidden/>
    <w:rsid w:val="002F20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02026">
      <w:bodyDiv w:val="1"/>
      <w:marLeft w:val="0"/>
      <w:marRight w:val="0"/>
      <w:marTop w:val="0"/>
      <w:marBottom w:val="0"/>
      <w:divBdr>
        <w:top w:val="none" w:sz="0" w:space="0" w:color="auto"/>
        <w:left w:val="none" w:sz="0" w:space="0" w:color="auto"/>
        <w:bottom w:val="none" w:sz="0" w:space="0" w:color="auto"/>
        <w:right w:val="none" w:sz="0" w:space="0" w:color="auto"/>
      </w:divBdr>
    </w:div>
    <w:div w:id="1529177111">
      <w:bodyDiv w:val="1"/>
      <w:marLeft w:val="0"/>
      <w:marRight w:val="0"/>
      <w:marTop w:val="0"/>
      <w:marBottom w:val="0"/>
      <w:divBdr>
        <w:top w:val="none" w:sz="0" w:space="0" w:color="auto"/>
        <w:left w:val="none" w:sz="0" w:space="0" w:color="auto"/>
        <w:bottom w:val="none" w:sz="0" w:space="0" w:color="auto"/>
        <w:right w:val="none" w:sz="0" w:space="0" w:color="auto"/>
      </w:divBdr>
    </w:div>
    <w:div w:id="18256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17EC-A756-404C-8E76-E9CA0E5B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4672</Words>
  <Characters>25700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Sandra Ivette Razo De La Paz</cp:lastModifiedBy>
  <cp:revision>6</cp:revision>
  <dcterms:created xsi:type="dcterms:W3CDTF">2022-01-13T03:16:00Z</dcterms:created>
  <dcterms:modified xsi:type="dcterms:W3CDTF">2022-01-14T02:28:00Z</dcterms:modified>
</cp:coreProperties>
</file>