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AD4" w14:textId="4F7AE353"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7C17">
        <w:rPr>
          <w:rFonts w:ascii="Palatino Linotype" w:eastAsia="Times New Roman" w:hAnsi="Palatino Linotype" w:cs="Arial"/>
          <w:color w:val="000000"/>
          <w:sz w:val="24"/>
          <w:szCs w:val="24"/>
          <w:lang w:eastAsia="es-MX"/>
        </w:rPr>
        <w:t xml:space="preserve">dieciocho de mayo de dos mil veintidós. </w:t>
      </w:r>
      <w:r w:rsidR="00C4530E">
        <w:rPr>
          <w:rFonts w:ascii="Palatino Linotype" w:eastAsia="Times New Roman" w:hAnsi="Palatino Linotype" w:cs="Arial"/>
          <w:color w:val="000000"/>
          <w:sz w:val="24"/>
          <w:szCs w:val="24"/>
          <w:lang w:eastAsia="es-MX"/>
        </w:rPr>
        <w:t xml:space="preserve"> </w:t>
      </w:r>
      <w:r w:rsidR="003838B4">
        <w:rPr>
          <w:rFonts w:ascii="Palatino Linotype" w:eastAsia="Times New Roman" w:hAnsi="Palatino Linotype" w:cs="Arial"/>
          <w:color w:val="000000"/>
          <w:sz w:val="24"/>
          <w:szCs w:val="24"/>
          <w:lang w:eastAsia="es-MX"/>
        </w:rPr>
        <w:t xml:space="preserve"> </w:t>
      </w:r>
      <w:r w:rsidR="005F2C76">
        <w:rPr>
          <w:rFonts w:ascii="Palatino Linotype" w:eastAsia="Times New Roman" w:hAnsi="Palatino Linotype" w:cs="Arial"/>
          <w:color w:val="000000"/>
          <w:sz w:val="24"/>
          <w:szCs w:val="24"/>
          <w:lang w:eastAsia="es-MX"/>
        </w:rPr>
        <w:t xml:space="preserve"> </w:t>
      </w:r>
    </w:p>
    <w:p w14:paraId="701855BC" w14:textId="1D4AF9A9" w:rsidR="004D0658" w:rsidRPr="004D0658"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4D0658">
        <w:rPr>
          <w:rFonts w:ascii="Palatino Linotype" w:hAnsi="Palatino Linotype" w:cs="Arial"/>
          <w:b/>
          <w:bCs/>
          <w:sz w:val="24"/>
        </w:rPr>
        <w:t>3295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4D0658">
        <w:rPr>
          <w:rFonts w:ascii="Palatino Linotype" w:hAnsi="Palatino Linotype" w:cs="Arial"/>
          <w:sz w:val="24"/>
        </w:rPr>
        <w:t xml:space="preserve">la </w:t>
      </w:r>
      <w:r w:rsidR="00EB386D">
        <w:rPr>
          <w:rFonts w:ascii="Palatino Linotype" w:hAnsi="Palatino Linotype" w:cs="Arial"/>
          <w:b/>
          <w:bCs/>
          <w:sz w:val="24"/>
        </w:rPr>
        <w:t>xx</w:t>
      </w:r>
      <w:r w:rsidR="004D0658">
        <w:rPr>
          <w:rFonts w:ascii="Palatino Linotype" w:hAnsi="Palatino Linotype" w:cs="Arial"/>
          <w:b/>
          <w:bCs/>
          <w:sz w:val="24"/>
        </w:rPr>
        <w:t xml:space="preserve"> </w:t>
      </w:r>
      <w:r w:rsidR="00EB386D">
        <w:rPr>
          <w:rFonts w:ascii="Palatino Linotype" w:hAnsi="Palatino Linotype" w:cs="Arial"/>
          <w:b/>
          <w:bCs/>
          <w:sz w:val="24"/>
        </w:rPr>
        <w:t>xxxxxxx</w:t>
      </w:r>
      <w:r w:rsidR="004D0658">
        <w:rPr>
          <w:rFonts w:ascii="Palatino Linotype" w:hAnsi="Palatino Linotype" w:cs="Arial"/>
          <w:b/>
          <w:bCs/>
          <w:sz w:val="24"/>
        </w:rPr>
        <w:t xml:space="preserve"> </w:t>
      </w:r>
      <w:r w:rsidR="00EB386D">
        <w:rPr>
          <w:rFonts w:ascii="Palatino Linotype" w:hAnsi="Palatino Linotype" w:cs="Arial"/>
          <w:b/>
          <w:bCs/>
          <w:sz w:val="24"/>
        </w:rPr>
        <w:t>xxxxxxx xxxxxxx</w:t>
      </w:r>
      <w:r w:rsidR="004D0658">
        <w:rPr>
          <w:rFonts w:ascii="Palatino Linotype" w:hAnsi="Palatino Linotype" w:cs="Arial"/>
          <w:b/>
          <w:bCs/>
          <w:sz w:val="24"/>
        </w:rPr>
        <w:t xml:space="preserve"> </w:t>
      </w:r>
      <w:r w:rsidR="00EB386D">
        <w:rPr>
          <w:rFonts w:ascii="Palatino Linotype" w:hAnsi="Palatino Linotype" w:cs="Arial"/>
          <w:b/>
          <w:bCs/>
          <w:sz w:val="24"/>
        </w:rPr>
        <w:t>xxxxxxxxxxx</w:t>
      </w:r>
      <w:r w:rsidR="004D0658">
        <w:rPr>
          <w:rFonts w:ascii="Palatino Linotype" w:hAnsi="Palatino Linotype" w:cs="Arial"/>
          <w:b/>
          <w:bCs/>
          <w:sz w:val="24"/>
        </w:rPr>
        <w:t xml:space="preserve">, </w:t>
      </w:r>
      <w:r w:rsidR="004D0658">
        <w:rPr>
          <w:rFonts w:ascii="Palatino Linotype" w:hAnsi="Palatino Linotype" w:cs="Arial"/>
          <w:sz w:val="24"/>
        </w:rPr>
        <w:t xml:space="preserve">en lo sucesivo </w:t>
      </w:r>
      <w:r w:rsidR="004D0658">
        <w:rPr>
          <w:rFonts w:ascii="Palatino Linotype" w:hAnsi="Palatino Linotype" w:cs="Arial"/>
          <w:b/>
          <w:bCs/>
          <w:sz w:val="24"/>
        </w:rPr>
        <w:t xml:space="preserve">La Recurrente, </w:t>
      </w:r>
      <w:r w:rsidR="004D0658">
        <w:rPr>
          <w:rFonts w:ascii="Palatino Linotype" w:hAnsi="Palatino Linotype" w:cs="Arial"/>
          <w:sz w:val="24"/>
        </w:rPr>
        <w:t xml:space="preserve">en contra de la respuesta del </w:t>
      </w:r>
      <w:r w:rsidR="004D0658">
        <w:rPr>
          <w:rFonts w:ascii="Palatino Linotype" w:hAnsi="Palatino Linotype" w:cs="Arial"/>
          <w:b/>
          <w:bCs/>
          <w:sz w:val="24"/>
        </w:rPr>
        <w:t xml:space="preserve">Ayuntamiento de Ixtlahuaca, </w:t>
      </w:r>
      <w:r w:rsidR="004D0658">
        <w:rPr>
          <w:rFonts w:ascii="Palatino Linotype" w:hAnsi="Palatino Linotype" w:cs="Arial"/>
          <w:sz w:val="24"/>
        </w:rPr>
        <w:t xml:space="preserve">en lo subsecuente </w:t>
      </w:r>
      <w:r w:rsidR="004D0658">
        <w:rPr>
          <w:rFonts w:ascii="Palatino Linotype" w:hAnsi="Palatino Linotype" w:cs="Arial"/>
          <w:b/>
          <w:bCs/>
          <w:sz w:val="24"/>
        </w:rPr>
        <w:t xml:space="preserve">El Sujeto Obligado, </w:t>
      </w:r>
      <w:r w:rsidR="004D0658">
        <w:rPr>
          <w:rFonts w:ascii="Palatino Linotype" w:hAnsi="Palatino Linotype" w:cs="Arial"/>
          <w:sz w:val="24"/>
        </w:rPr>
        <w:t xml:space="preserve">se procede a dictar la presente resolución. </w:t>
      </w:r>
    </w:p>
    <w:p w14:paraId="778D5ADE" w14:textId="77777777" w:rsidR="004D0658" w:rsidRDefault="004D0658" w:rsidP="00B433C9">
      <w:pPr>
        <w:tabs>
          <w:tab w:val="left" w:pos="1701"/>
        </w:tabs>
        <w:spacing w:before="240" w:line="360" w:lineRule="auto"/>
        <w:jc w:val="both"/>
        <w:rPr>
          <w:rFonts w:ascii="Palatino Linotype" w:hAnsi="Palatino Linotype" w:cs="Arial"/>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78A22E9" w14:textId="7BEC05B4" w:rsidR="004D0658" w:rsidRPr="00292DC0"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5054D">
        <w:rPr>
          <w:rFonts w:ascii="Palatino Linotype" w:hAnsi="Palatino Linotype" w:cs="Arial"/>
          <w:sz w:val="24"/>
        </w:rPr>
        <w:t xml:space="preserve">veintitrés de febrero de dos mil veintidós, </w:t>
      </w:r>
      <w:r w:rsidR="0035054D">
        <w:rPr>
          <w:rFonts w:ascii="Palatino Linotype" w:hAnsi="Palatino Linotype" w:cs="Arial"/>
          <w:b/>
          <w:bCs/>
          <w:sz w:val="24"/>
        </w:rPr>
        <w:t xml:space="preserve">La Recurrente, </w:t>
      </w:r>
      <w:r w:rsidR="00292DC0">
        <w:rPr>
          <w:rFonts w:ascii="Palatino Linotype" w:hAnsi="Palatino Linotype" w:cs="Arial"/>
          <w:sz w:val="24"/>
        </w:rPr>
        <w:t xml:space="preserve">presentó a través del Sistema de Acceso a la Información Mexiquense </w:t>
      </w:r>
      <w:r w:rsidR="00292DC0">
        <w:rPr>
          <w:rFonts w:ascii="Palatino Linotype" w:hAnsi="Palatino Linotype" w:cs="Arial"/>
          <w:b/>
          <w:sz w:val="24"/>
        </w:rPr>
        <w:t xml:space="preserve">(SAIMEX) </w:t>
      </w:r>
      <w:r w:rsidR="00292DC0">
        <w:rPr>
          <w:rFonts w:ascii="Palatino Linotype" w:hAnsi="Palatino Linotype" w:cs="Arial"/>
          <w:sz w:val="24"/>
        </w:rPr>
        <w:t xml:space="preserve">ante </w:t>
      </w:r>
      <w:r w:rsidR="00292DC0">
        <w:rPr>
          <w:rFonts w:ascii="Palatino Linotype" w:hAnsi="Palatino Linotype" w:cs="Arial"/>
          <w:b/>
          <w:sz w:val="24"/>
        </w:rPr>
        <w:t>El Sujeto Obligado</w:t>
      </w:r>
      <w:r w:rsidR="00292DC0">
        <w:rPr>
          <w:rFonts w:ascii="Palatino Linotype" w:hAnsi="Palatino Linotype" w:cs="Arial"/>
          <w:sz w:val="24"/>
        </w:rPr>
        <w:t xml:space="preserve">, solicitud de acceso a la información pública, registrada bajo el número de expediente </w:t>
      </w:r>
      <w:r w:rsidR="00292DC0">
        <w:rPr>
          <w:rFonts w:ascii="Palatino Linotype" w:hAnsi="Palatino Linotype" w:cs="Arial"/>
          <w:b/>
          <w:bCs/>
          <w:sz w:val="24"/>
        </w:rPr>
        <w:t xml:space="preserve">00077/IXTLAHUA/IP/2022, </w:t>
      </w:r>
      <w:r w:rsidR="00292DC0">
        <w:rPr>
          <w:rFonts w:ascii="Palatino Linotype" w:hAnsi="Palatino Linotype" w:cs="Arial"/>
          <w:sz w:val="24"/>
        </w:rPr>
        <w:t>mediante la cual solicitó información en el tenor siguiente:</w:t>
      </w:r>
    </w:p>
    <w:p w14:paraId="0AEBFA8D" w14:textId="1BA6ADFC" w:rsidR="00467C17" w:rsidRPr="00EF1925" w:rsidRDefault="00EF1925" w:rsidP="00EF1925">
      <w:pPr>
        <w:pStyle w:val="Citas"/>
        <w:rPr>
          <w:b/>
          <w:bCs/>
          <w:sz w:val="24"/>
        </w:rPr>
      </w:pPr>
      <w:r w:rsidRPr="00292DC0">
        <w:lastRenderedPageBreak/>
        <w:t>“</w:t>
      </w:r>
      <w:r w:rsidR="00292DC0" w:rsidRPr="00292DC0">
        <w:t>Solicito la versión pública de todos y cada uno de los DICTAMENES DE GIRO que haya emitido el Ayuntamiento de Ixtlahuaca hasta el día 23 de febrero del presente año 2022.</w:t>
      </w:r>
      <w:r w:rsidRPr="00292DC0">
        <w:t>”</w:t>
      </w:r>
      <w:r>
        <w:t xml:space="preserve">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02C1D976" w14:textId="77777777" w:rsidR="00CE0E72" w:rsidRPr="008B1AD9" w:rsidRDefault="00CE0E72" w:rsidP="00B433C9">
      <w:pPr>
        <w:spacing w:before="240" w:line="360" w:lineRule="auto"/>
        <w:jc w:val="both"/>
        <w:rPr>
          <w:rFonts w:ascii="Palatino Linotype" w:hAnsi="Palatino Linotype" w:cs="Arial"/>
          <w:sz w:val="24"/>
        </w:rPr>
      </w:pPr>
    </w:p>
    <w:p w14:paraId="2745D23E" w14:textId="7C322C1B" w:rsidR="00B433C9" w:rsidRDefault="00EF192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26AE5196" w14:textId="6BEBF657" w:rsidR="00292DC0"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292DC0">
        <w:rPr>
          <w:rFonts w:ascii="Palatino Linotype" w:hAnsi="Palatino Linotype" w:cs="Arial"/>
          <w:sz w:val="24"/>
          <w:szCs w:val="24"/>
        </w:rPr>
        <w:t xml:space="preserve">uno de marzo de los corrientes, </w:t>
      </w:r>
      <w:r w:rsidR="00292DC0">
        <w:rPr>
          <w:rFonts w:ascii="Palatino Linotype" w:hAnsi="Palatino Linotype" w:cs="Arial"/>
          <w:b/>
          <w:bCs/>
          <w:sz w:val="24"/>
          <w:szCs w:val="24"/>
        </w:rPr>
        <w:t xml:space="preserve">El Sujeto Obligado </w:t>
      </w:r>
      <w:r w:rsidR="00292DC0">
        <w:rPr>
          <w:rFonts w:ascii="Palatino Linotype" w:hAnsi="Palatino Linotype" w:cs="Arial"/>
          <w:sz w:val="24"/>
          <w:szCs w:val="24"/>
        </w:rPr>
        <w:t xml:space="preserve">dio respuesta a la solicitud de información en los siguientes términos: </w:t>
      </w:r>
    </w:p>
    <w:p w14:paraId="56565BE5" w14:textId="5758E1D0" w:rsidR="00292DC0" w:rsidRPr="000061F8" w:rsidRDefault="00292DC0" w:rsidP="000061F8">
      <w:pPr>
        <w:pStyle w:val="Citas"/>
        <w:rPr>
          <w:b/>
          <w:bCs/>
        </w:rPr>
      </w:pPr>
      <w:r w:rsidRPr="000061F8">
        <w:t xml:space="preserve">“Ixtlahuaca </w:t>
      </w:r>
      <w:r w:rsidRPr="00292DC0">
        <w:t xml:space="preserve">de Rayón; México, a 01 de Marzo de 2022 </w:t>
      </w:r>
      <w:r w:rsidR="00DF1BED">
        <w:t xml:space="preserve">xx xxxxxxxx </w:t>
      </w:r>
      <w:r w:rsidRPr="00292DC0">
        <w:t xml:space="preserve"> </w:t>
      </w:r>
      <w:r w:rsidR="00DF1BED">
        <w:t>xxxxxxx xxxxxx</w:t>
      </w:r>
      <w:r w:rsidRPr="00292DC0">
        <w:t xml:space="preserve"> </w:t>
      </w:r>
      <w:r w:rsidR="00DF1BED">
        <w:t>xxxxxxxxxxxxxx</w:t>
      </w:r>
      <w:r w:rsidRPr="00292DC0">
        <w:t xml:space="preserve"> P R E S E N T E Por medio del presente me permito enviarle un cordial y afectuoso saludo, al mismo tiempo y en atención a su solicitud 00077/IXTLAHUA/IP/2022 de fecha veintitrés de febrero de dos mil veintidós; donde solicita lo siguiente: “Solicito la versión pública de todos y cada uno de los DICTAMENES DE GIRO que haya emitido el Ayuntamiento de Ixtlahuaca hasta el día 23 de febrero del presente año 2022...”;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w:t>
      </w:r>
      <w:r w:rsidRPr="00292DC0">
        <w:lastRenderedPageBreak/>
        <w:t>envió en formato PDF (RESP.SOL.077) Sin otro particular por el momento quedo de Usted; para cualquier duda y/o aclaración al respecto. A T E N T A M E N T E P. en Crim. ANA KAREN MARTÍNEZ MATEOS TITULAR DE LA UNIDAD DE TRANSPARENCIA Y ACCESO A LA INFORMACIÓN</w:t>
      </w:r>
      <w:r w:rsidRPr="000061F8">
        <w:t xml:space="preserve"> MUNICIPAL</w:t>
      </w:r>
      <w:r w:rsidR="000061F8">
        <w:t xml:space="preserve">” </w:t>
      </w:r>
      <w:r w:rsidR="000061F8">
        <w:rPr>
          <w:b/>
          <w:bCs/>
        </w:rPr>
        <w:t>(Sic)</w:t>
      </w:r>
    </w:p>
    <w:p w14:paraId="6E7A74F3" w14:textId="77777777" w:rsidR="00292DC0" w:rsidRDefault="00292DC0" w:rsidP="00EF1925">
      <w:pPr>
        <w:spacing w:before="240" w:line="360" w:lineRule="auto"/>
        <w:jc w:val="both"/>
        <w:rPr>
          <w:rFonts w:ascii="Palatino Linotype" w:hAnsi="Palatino Linotype" w:cs="Arial"/>
          <w:sz w:val="24"/>
          <w:szCs w:val="24"/>
        </w:rPr>
      </w:pPr>
    </w:p>
    <w:p w14:paraId="20FAD634" w14:textId="720C1C9C" w:rsidR="000061F8" w:rsidRPr="000061F8" w:rsidRDefault="004A2363"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0061F8">
        <w:rPr>
          <w:rFonts w:ascii="Palatino Linotype" w:hAnsi="Palatino Linotype" w:cs="Arial"/>
          <w:sz w:val="24"/>
          <w:szCs w:val="24"/>
        </w:rPr>
        <w:t xml:space="preserve">el documento electrónico </w:t>
      </w:r>
      <w:r w:rsidR="000061F8">
        <w:rPr>
          <w:rFonts w:ascii="Palatino Linotype" w:hAnsi="Palatino Linotype" w:cs="Arial"/>
          <w:b/>
          <w:bCs/>
          <w:sz w:val="24"/>
          <w:szCs w:val="24"/>
        </w:rPr>
        <w:t xml:space="preserve">“RESP.SOL.77.pdf”, </w:t>
      </w:r>
      <w:r w:rsidR="000061F8">
        <w:rPr>
          <w:rFonts w:ascii="Palatino Linotype" w:hAnsi="Palatino Linotype" w:cs="Arial"/>
          <w:sz w:val="24"/>
          <w:szCs w:val="24"/>
        </w:rPr>
        <w:t xml:space="preserve">mismo que se tiene por reproducido en virtud de que será materia de análisis en el considerando respectivo. </w:t>
      </w:r>
    </w:p>
    <w:p w14:paraId="3D361C8B" w14:textId="77777777" w:rsidR="000061F8" w:rsidRDefault="000061F8" w:rsidP="00B433C9">
      <w:pPr>
        <w:spacing w:before="240" w:line="360" w:lineRule="auto"/>
        <w:jc w:val="both"/>
        <w:rPr>
          <w:rFonts w:ascii="Palatino Linotype" w:hAnsi="Palatino Linotype" w:cs="Arial"/>
          <w:sz w:val="24"/>
          <w:szCs w:val="24"/>
        </w:rPr>
      </w:pPr>
    </w:p>
    <w:p w14:paraId="259B6E09" w14:textId="5A35D837" w:rsidR="00B433C9" w:rsidRDefault="00EF192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088B873" w14:textId="01183541" w:rsidR="000061F8" w:rsidRPr="00847CAF"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847CAF">
        <w:rPr>
          <w:rFonts w:ascii="Palatino Linotype" w:hAnsi="Palatino Linotype" w:cs="Arial"/>
          <w:sz w:val="24"/>
          <w:szCs w:val="24"/>
        </w:rPr>
        <w:t xml:space="preserve">tres de marzo del presente, el cual fue registrado en el sistema electrónico con el expediente número </w:t>
      </w:r>
      <w:r w:rsidR="00847CAF">
        <w:rPr>
          <w:rFonts w:ascii="Palatino Linotype" w:hAnsi="Palatino Linotype" w:cs="Arial"/>
          <w:b/>
          <w:bCs/>
          <w:sz w:val="24"/>
          <w:szCs w:val="24"/>
        </w:rPr>
        <w:t xml:space="preserve">03295/INFOEM/IP/RR/2022, </w:t>
      </w:r>
      <w:r w:rsidR="00847CAF">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590CC03" w:rsidR="00B433C9" w:rsidRPr="00712E3A" w:rsidRDefault="00B433C9" w:rsidP="005C57BA">
      <w:pPr>
        <w:pStyle w:val="Citas"/>
        <w:tabs>
          <w:tab w:val="left" w:pos="3750"/>
        </w:tabs>
        <w:rPr>
          <w:b/>
        </w:rPr>
      </w:pPr>
      <w:r w:rsidRPr="00847CAF">
        <w:t>“</w:t>
      </w:r>
      <w:r w:rsidR="00847CAF" w:rsidRPr="00847CAF">
        <w:t>LA RESPUESTA DEL SUJETO OBLIGADO.</w:t>
      </w:r>
      <w:r w:rsidRPr="00847CAF">
        <w:t>”</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6A8B11AD" w:rsidR="00B433C9" w:rsidRPr="00712E3A" w:rsidRDefault="00B433C9" w:rsidP="00E725D5">
      <w:pPr>
        <w:pStyle w:val="Citas"/>
      </w:pPr>
      <w:r w:rsidRPr="00847CAF">
        <w:t>“</w:t>
      </w:r>
      <w:r w:rsidR="00847CAF" w:rsidRPr="00847CAF">
        <w:t xml:space="preserve">El Sujeto Obligado omite emitir el acuerdo de inexistencia de la información, debidamente fundado y motivado, en el que detalle las razones del por qué no obra en </w:t>
      </w:r>
      <w:r w:rsidR="00847CAF" w:rsidRPr="00847CAF">
        <w:lastRenderedPageBreak/>
        <w:t>sus archivos la información solicitada, lo que consecuentemente genera incertidumbre sobre el criterio de búsqueda exhaustivo empleado por el Sujeto Obligado.</w:t>
      </w:r>
      <w:r w:rsidRPr="00847CAF">
        <w:t>”</w:t>
      </w:r>
      <w:r w:rsidRPr="00712E3A">
        <w:t xml:space="preserve"> </w:t>
      </w:r>
      <w:r w:rsidRPr="00576D51">
        <w:rPr>
          <w:b/>
        </w:rPr>
        <w:t>[Sic]</w:t>
      </w:r>
    </w:p>
    <w:p w14:paraId="454F7370" w14:textId="7FB8985A" w:rsidR="00B433C9" w:rsidRDefault="00411E6F"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0D6BCAAE"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847CAF">
        <w:rPr>
          <w:rFonts w:ascii="Palatino Linotype" w:hAnsi="Palatino Linotype" w:cs="Arial"/>
          <w:sz w:val="24"/>
          <w:szCs w:val="24"/>
        </w:rPr>
        <w:t xml:space="preserve">ocho de marzo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35DF4DA1" w:rsidR="00B433C9" w:rsidRDefault="000E0557"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66782087" w14:textId="62239EAA" w:rsidR="00847CAF" w:rsidRDefault="00847CAF" w:rsidP="00847CA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Pr="00B12FF9">
        <w:rPr>
          <w:rFonts w:ascii="Palatino Linotype" w:hAnsi="Palatino Linotype" w:cs="Arial"/>
          <w:b/>
          <w:bCs/>
          <w:sz w:val="24"/>
          <w:szCs w:val="24"/>
        </w:rPr>
        <w:t>diecisiete de marzo,</w:t>
      </w:r>
      <w:r>
        <w:rPr>
          <w:rFonts w:ascii="Palatino Linotype" w:hAnsi="Palatino Linotype" w:cs="Arial"/>
          <w:sz w:val="24"/>
          <w:szCs w:val="24"/>
        </w:rPr>
        <w:t xml:space="preserve"> mismo que fue puesto a la vista el cinco de abril de dos mil veintidós. </w:t>
      </w:r>
    </w:p>
    <w:p w14:paraId="66778D1A" w14:textId="77777777" w:rsidR="00847CAF" w:rsidRDefault="00847CAF" w:rsidP="00847CAF">
      <w:pPr>
        <w:spacing w:after="0" w:line="360" w:lineRule="auto"/>
        <w:jc w:val="both"/>
        <w:rPr>
          <w:rFonts w:ascii="Palatino Linotype" w:hAnsi="Palatino Linotype" w:cs="Arial"/>
          <w:sz w:val="24"/>
          <w:szCs w:val="24"/>
        </w:rPr>
      </w:pPr>
    </w:p>
    <w:p w14:paraId="7644E031" w14:textId="68C827CE" w:rsidR="00847CAF" w:rsidRDefault="00847CAF" w:rsidP="00847CA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bCs/>
          <w:sz w:val="24"/>
          <w:szCs w:val="24"/>
        </w:rPr>
        <w:t xml:space="preserve">veinte de abril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B59BBD3" w14:textId="29AEDF3C" w:rsidR="00847CAF" w:rsidRDefault="00847CAF" w:rsidP="00847CAF">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lastRenderedPageBreak/>
        <w:t xml:space="preserve">Así, en fecha </w:t>
      </w:r>
      <w:r>
        <w:rPr>
          <w:rFonts w:ascii="Palatino Linotype" w:hAnsi="Palatino Linotype" w:cs="Arial"/>
          <w:b/>
          <w:bCs/>
          <w:sz w:val="24"/>
          <w:szCs w:val="24"/>
        </w:rPr>
        <w:t>veintinueve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53B338B1"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C8A6154" w14:textId="77777777" w:rsidR="00262CBE" w:rsidRDefault="00262CBE" w:rsidP="00262CB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3C4CA33" w14:textId="77777777" w:rsidR="00262CBE" w:rsidRPr="00514E66" w:rsidRDefault="00262CBE" w:rsidP="00262CBE">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8DFBF1" w14:textId="77777777" w:rsidR="00262CBE" w:rsidRDefault="00262CBE" w:rsidP="00262CBE">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514E66">
        <w:rPr>
          <w:rFonts w:ascii="Palatino Linotype" w:hAnsi="Palatino Linotype" w:cs="Arial"/>
        </w:rPr>
        <w:lastRenderedPageBreak/>
        <w:t>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FC28BE8" w14:textId="77777777" w:rsidR="00262CBE" w:rsidRDefault="00262CBE"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72A675"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BDF360D" w14:textId="77777777" w:rsidR="00411E6F" w:rsidRDefault="00411E6F" w:rsidP="00D870AC">
      <w:pPr>
        <w:spacing w:before="240" w:line="360" w:lineRule="auto"/>
        <w:jc w:val="both"/>
        <w:rPr>
          <w:rFonts w:ascii="Palatino Linotype" w:hAnsi="Palatino Linotype"/>
          <w:sz w:val="24"/>
          <w:szCs w:val="24"/>
        </w:rPr>
      </w:pPr>
    </w:p>
    <w:p w14:paraId="54B82490" w14:textId="0B6C9366" w:rsidR="00262CBE"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262CBE">
        <w:rPr>
          <w:rFonts w:ascii="Palatino Linotype" w:hAnsi="Palatino Linotype"/>
          <w:b/>
          <w:bCs/>
          <w:sz w:val="24"/>
          <w:szCs w:val="24"/>
        </w:rPr>
        <w:t xml:space="preserve">00077/IXTLAHUA/IP/2022 </w:t>
      </w:r>
      <w:r w:rsidR="00262CBE">
        <w:rPr>
          <w:rFonts w:ascii="Palatino Linotype" w:hAnsi="Palatino Linotype"/>
          <w:sz w:val="24"/>
          <w:szCs w:val="24"/>
        </w:rPr>
        <w:t xml:space="preserve">fue formulado un requerimiento respecto del cual el particular señaló como elemento temporal </w:t>
      </w:r>
      <w:r w:rsidR="00262CBE">
        <w:rPr>
          <w:rFonts w:ascii="Palatino Linotype" w:hAnsi="Palatino Linotype"/>
          <w:i/>
          <w:iCs/>
          <w:sz w:val="24"/>
          <w:szCs w:val="24"/>
        </w:rPr>
        <w:t>“que haya emitido el Ayuntamiento de Ixtlahuaca hasta el día 23 de febrero del presente año 2022”</w:t>
      </w:r>
      <w:r w:rsidR="0057792B">
        <w:rPr>
          <w:rFonts w:ascii="Palatino Linotype" w:hAnsi="Palatino Linotype"/>
          <w:sz w:val="24"/>
          <w:szCs w:val="24"/>
        </w:rPr>
        <w:t xml:space="preserve">, luego entonces </w:t>
      </w:r>
      <w:r w:rsidR="00952850">
        <w:rPr>
          <w:rFonts w:ascii="Palatino Linotype" w:hAnsi="Palatino Linotype"/>
          <w:sz w:val="24"/>
          <w:szCs w:val="24"/>
        </w:rPr>
        <w:t xml:space="preserve">con base en una interpretación gramatical y  literal, la temporalidad del requerimiento debe de ser fijada del uno de enero al veintitrés de febrero de dos mil veintidós. </w:t>
      </w:r>
    </w:p>
    <w:p w14:paraId="6FE7604A" w14:textId="2D72329E" w:rsidR="00A977B0" w:rsidRPr="00A33EF8" w:rsidRDefault="00A977B0" w:rsidP="00A977B0">
      <w:pPr>
        <w:spacing w:before="240" w:line="360" w:lineRule="auto"/>
        <w:jc w:val="both"/>
        <w:rPr>
          <w:rFonts w:ascii="Palatino Linotype" w:hAnsi="Palatino Linotype"/>
          <w:sz w:val="24"/>
          <w:szCs w:val="24"/>
        </w:rPr>
      </w:pPr>
      <w:r w:rsidRPr="00A33EF8">
        <w:rPr>
          <w:rFonts w:ascii="Palatino Linotype" w:hAnsi="Palatino Linotype"/>
          <w:sz w:val="24"/>
          <w:szCs w:val="24"/>
        </w:rPr>
        <w:t xml:space="preserve">Bajo estas líneas argumentativas, al </w:t>
      </w:r>
      <w:r>
        <w:rPr>
          <w:rFonts w:ascii="Palatino Linotype" w:hAnsi="Palatino Linotype"/>
          <w:sz w:val="24"/>
          <w:szCs w:val="24"/>
        </w:rPr>
        <w:t>retomar y delimitar el requerimiento formulado por el ahora</w:t>
      </w:r>
      <w:r w:rsidRPr="00A33EF8">
        <w:rPr>
          <w:rFonts w:ascii="Palatino Linotype" w:hAnsi="Palatino Linotype"/>
          <w:sz w:val="24"/>
          <w:szCs w:val="24"/>
        </w:rPr>
        <w:t xml:space="preserve"> </w:t>
      </w:r>
      <w:r w:rsidRPr="00A33EF8">
        <w:rPr>
          <w:rFonts w:ascii="Palatino Linotype" w:hAnsi="Palatino Linotype"/>
          <w:b/>
          <w:sz w:val="24"/>
          <w:szCs w:val="24"/>
        </w:rPr>
        <w:t xml:space="preserve">Recurrente, </w:t>
      </w:r>
      <w:r w:rsidRPr="00A33EF8">
        <w:rPr>
          <w:rFonts w:ascii="Palatino Linotype" w:hAnsi="Palatino Linotype"/>
          <w:sz w:val="24"/>
          <w:szCs w:val="24"/>
        </w:rPr>
        <w:t xml:space="preserve">de manera objetiva se precisa que versa en conocer la siguiente información: </w:t>
      </w:r>
    </w:p>
    <w:p w14:paraId="50A90215" w14:textId="3C838C84" w:rsidR="000363A2" w:rsidRPr="00A977B0" w:rsidRDefault="00A977B0" w:rsidP="00A977B0">
      <w:pPr>
        <w:pStyle w:val="Prrafodelista"/>
        <w:numPr>
          <w:ilvl w:val="0"/>
          <w:numId w:val="28"/>
        </w:numPr>
        <w:spacing w:line="360" w:lineRule="auto"/>
        <w:jc w:val="both"/>
        <w:rPr>
          <w:rFonts w:ascii="Palatino Linotype" w:hAnsi="Palatino Linotype"/>
          <w:bCs/>
        </w:rPr>
      </w:pPr>
      <w:r>
        <w:rPr>
          <w:rFonts w:ascii="Palatino Linotype" w:hAnsi="Palatino Linotype"/>
          <w:bCs/>
        </w:rPr>
        <w:t xml:space="preserve">Dictámenes de giro emitidos por el Ayuntamiento de Ixtlahuaca, durante el periodo comprendido </w:t>
      </w:r>
      <w:r w:rsidR="00952850">
        <w:rPr>
          <w:rFonts w:ascii="Palatino Linotype" w:hAnsi="Palatino Linotype"/>
          <w:bCs/>
        </w:rPr>
        <w:t xml:space="preserve">del uno de enero al veintitrés de febrero de dos mil veintidós. </w:t>
      </w:r>
    </w:p>
    <w:p w14:paraId="2A6EF715" w14:textId="7E09A2F0" w:rsidR="00A977B0" w:rsidRDefault="00A977B0" w:rsidP="000363A2">
      <w:pPr>
        <w:spacing w:after="0" w:line="360" w:lineRule="auto"/>
        <w:jc w:val="both"/>
        <w:rPr>
          <w:rFonts w:ascii="Palatino Linotype" w:hAnsi="Palatino Linotype"/>
          <w:bCs/>
          <w:sz w:val="24"/>
          <w:szCs w:val="24"/>
        </w:rPr>
      </w:pPr>
    </w:p>
    <w:p w14:paraId="3D2D973A" w14:textId="5FC1CECE" w:rsidR="00C821B6" w:rsidRDefault="00C821B6" w:rsidP="00C821B6">
      <w:pPr>
        <w:pStyle w:val="Citas"/>
        <w:ind w:left="0" w:right="0"/>
        <w:rPr>
          <w:i w:val="0"/>
          <w:sz w:val="24"/>
          <w:szCs w:val="24"/>
        </w:rPr>
      </w:pPr>
      <w:r w:rsidRPr="001F6084">
        <w:rPr>
          <w:i w:val="0"/>
          <w:sz w:val="24"/>
          <w:szCs w:val="24"/>
        </w:rPr>
        <w:lastRenderedPageBreak/>
        <w:t xml:space="preserve">En este tenor, en alusión </w:t>
      </w:r>
      <w:r w:rsidR="00952850">
        <w:rPr>
          <w:i w:val="0"/>
          <w:sz w:val="24"/>
          <w:szCs w:val="24"/>
        </w:rPr>
        <w:t>al requerimiento formulado</w:t>
      </w:r>
      <w:r w:rsidRPr="001F6084">
        <w:rPr>
          <w:i w:val="0"/>
          <w:sz w:val="24"/>
          <w:szCs w:val="24"/>
        </w:rPr>
        <w:t xml:space="preserve"> por el particular, resulta oportuno traer a colación</w:t>
      </w:r>
      <w:r>
        <w:rPr>
          <w:i w:val="0"/>
          <w:sz w:val="24"/>
          <w:szCs w:val="24"/>
        </w:rPr>
        <w:t xml:space="preserve"> el artículo 43, apartado II, inciso g)</w:t>
      </w:r>
      <w:r w:rsidR="00952850">
        <w:rPr>
          <w:i w:val="0"/>
          <w:sz w:val="24"/>
          <w:szCs w:val="24"/>
        </w:rPr>
        <w:t xml:space="preserve"> del Bando Municipal de Ixtlahuaca</w:t>
      </w:r>
      <w:r w:rsidR="00081988">
        <w:rPr>
          <w:i w:val="0"/>
          <w:sz w:val="24"/>
          <w:szCs w:val="24"/>
        </w:rPr>
        <w:t>;</w:t>
      </w:r>
      <w:r w:rsidR="00952850">
        <w:rPr>
          <w:i w:val="0"/>
          <w:sz w:val="24"/>
          <w:szCs w:val="24"/>
        </w:rPr>
        <w:t xml:space="preserve"> el </w:t>
      </w:r>
      <w:r w:rsidR="00282235">
        <w:rPr>
          <w:i w:val="0"/>
          <w:sz w:val="24"/>
          <w:szCs w:val="24"/>
        </w:rPr>
        <w:t xml:space="preserve">numeral 96 Quáter, fracción XX de la Ley Orgánica Municipal del Estado de México; así como los artículos </w:t>
      </w:r>
      <w:r w:rsidR="00BA2A94">
        <w:rPr>
          <w:i w:val="0"/>
          <w:sz w:val="24"/>
          <w:szCs w:val="24"/>
        </w:rPr>
        <w:t>2, fracción XII, 16, fracción III, 20 Ter de la Ley de Competitividad y Ordenamiento Comercial del Estado de México, porciones normativas que disponen a la literalidad lo siguiente:</w:t>
      </w:r>
    </w:p>
    <w:p w14:paraId="1C59DB19" w14:textId="76861C87" w:rsidR="00C821B6" w:rsidRPr="00C821B6" w:rsidRDefault="00282235" w:rsidP="00C821B6">
      <w:pPr>
        <w:pStyle w:val="Citas"/>
        <w:jc w:val="center"/>
        <w:rPr>
          <w:b/>
          <w:bCs/>
        </w:rPr>
      </w:pPr>
      <w:r w:rsidRPr="00C821B6">
        <w:rPr>
          <w:b/>
          <w:bCs/>
        </w:rPr>
        <w:t>BANDO MUNICIPAL DE IXTLAHUACA</w:t>
      </w:r>
    </w:p>
    <w:p w14:paraId="66C9839A" w14:textId="76E3C5CF" w:rsidR="00C821B6" w:rsidRPr="00C821B6" w:rsidRDefault="00C821B6" w:rsidP="00C821B6">
      <w:pPr>
        <w:pStyle w:val="Citas"/>
      </w:pPr>
      <w:r>
        <w:t>“</w:t>
      </w:r>
      <w:r w:rsidRPr="00C821B6">
        <w:t>Artículo 43.- La Administración Pública Municipal Centralizada estará integrada por las siguientes Dependencias administrativas:</w:t>
      </w:r>
    </w:p>
    <w:p w14:paraId="7842AE54" w14:textId="34BB3065" w:rsidR="00C821B6" w:rsidRPr="00C821B6" w:rsidRDefault="00C821B6" w:rsidP="00C821B6">
      <w:pPr>
        <w:pStyle w:val="Citas"/>
      </w:pPr>
      <w:r w:rsidRPr="00C821B6">
        <w:t>(…)</w:t>
      </w:r>
    </w:p>
    <w:p w14:paraId="0C3C6411" w14:textId="621AE8D1" w:rsidR="00C821B6" w:rsidRPr="00C821B6" w:rsidRDefault="00C821B6" w:rsidP="00C821B6">
      <w:pPr>
        <w:pStyle w:val="Citas"/>
      </w:pPr>
      <w:r w:rsidRPr="00C821B6">
        <w:t>II. SECTOR CENTRAL:</w:t>
      </w:r>
    </w:p>
    <w:p w14:paraId="3D627CE8" w14:textId="3F5104A3" w:rsidR="00C821B6" w:rsidRPr="00C821B6" w:rsidRDefault="00C821B6" w:rsidP="00C821B6">
      <w:pPr>
        <w:pStyle w:val="Citas"/>
      </w:pPr>
      <w:r w:rsidRPr="00C821B6">
        <w:t>(…)</w:t>
      </w:r>
    </w:p>
    <w:p w14:paraId="222BB416" w14:textId="1B28A012" w:rsidR="00C821B6" w:rsidRDefault="00C821B6" w:rsidP="00C821B6">
      <w:pPr>
        <w:pStyle w:val="Citas"/>
      </w:pPr>
      <w:r w:rsidRPr="00C821B6">
        <w:t>g) Desarrollo Económico y Fomento Comercial e Industrial</w:t>
      </w:r>
    </w:p>
    <w:p w14:paraId="00918E69" w14:textId="0F3F103F" w:rsidR="00C821B6" w:rsidRPr="00C821B6" w:rsidRDefault="00C821B6" w:rsidP="00C821B6">
      <w:pPr>
        <w:pStyle w:val="Citas"/>
        <w:rPr>
          <w:b/>
          <w:bCs/>
        </w:rPr>
      </w:pPr>
      <w:r>
        <w:t xml:space="preserve">(…)” </w:t>
      </w:r>
      <w:r>
        <w:rPr>
          <w:b/>
          <w:bCs/>
        </w:rPr>
        <w:t>(Sic)</w:t>
      </w:r>
    </w:p>
    <w:p w14:paraId="06124524" w14:textId="05F32104" w:rsidR="00C821B6" w:rsidRDefault="00C821B6" w:rsidP="00C821B6">
      <w:pPr>
        <w:pStyle w:val="Citas"/>
        <w:ind w:left="0" w:right="0"/>
        <w:rPr>
          <w:i w:val="0"/>
          <w:sz w:val="24"/>
          <w:szCs w:val="24"/>
        </w:rPr>
      </w:pPr>
    </w:p>
    <w:p w14:paraId="5B464D00" w14:textId="2F75ED03" w:rsidR="00C821B6" w:rsidRPr="00282235" w:rsidRDefault="00282235" w:rsidP="00282235">
      <w:pPr>
        <w:pStyle w:val="Citas"/>
        <w:jc w:val="center"/>
        <w:rPr>
          <w:b/>
          <w:bCs/>
        </w:rPr>
      </w:pPr>
      <w:r w:rsidRPr="00282235">
        <w:rPr>
          <w:b/>
          <w:bCs/>
        </w:rPr>
        <w:t>LEY ORGÁNICA MUNICIPAL DEL ESTADO DE MÉXICO</w:t>
      </w:r>
    </w:p>
    <w:p w14:paraId="52BCC7E0" w14:textId="1B87D4F5" w:rsidR="00A977B0" w:rsidRDefault="00282235" w:rsidP="00282235">
      <w:pPr>
        <w:pStyle w:val="Citas"/>
      </w:pPr>
      <w:r>
        <w:t>“</w:t>
      </w:r>
      <w:r w:rsidR="00952850">
        <w:t>Artículo 96 Quáter.- - El Titular de la Dirección de Desarrollo Económico Municipal o el Titular de la Unidad Administrativa equivalente, tiene las siguientes atribuciones:</w:t>
      </w:r>
    </w:p>
    <w:p w14:paraId="187A0B72" w14:textId="799D4056" w:rsidR="00952850" w:rsidRDefault="00952850" w:rsidP="00282235">
      <w:pPr>
        <w:pStyle w:val="Citas"/>
      </w:pPr>
      <w:r>
        <w:t>(…)</w:t>
      </w:r>
    </w:p>
    <w:p w14:paraId="20BA2B8A" w14:textId="45018DF3" w:rsidR="00952850" w:rsidRDefault="00952850" w:rsidP="00282235">
      <w:pPr>
        <w:pStyle w:val="Citas"/>
      </w:pPr>
      <w:r>
        <w:lastRenderedPageBreak/>
        <w:t>XX. Crear y actualizar el Registro de las Unidades Económicas que cuenten con el Dictamen de Giro, para la solicitud o refrendo de las licencias de funcionamiento;</w:t>
      </w:r>
    </w:p>
    <w:p w14:paraId="67AF8009" w14:textId="015FA177" w:rsidR="00282235" w:rsidRPr="00282235" w:rsidRDefault="00282235" w:rsidP="00282235">
      <w:pPr>
        <w:pStyle w:val="Citas"/>
        <w:rPr>
          <w:b/>
          <w:bCs/>
          <w:sz w:val="24"/>
          <w:szCs w:val="24"/>
        </w:rPr>
      </w:pPr>
      <w:r>
        <w:t xml:space="preserve">(…)” </w:t>
      </w:r>
      <w:r>
        <w:rPr>
          <w:b/>
          <w:bCs/>
        </w:rPr>
        <w:t>(Sic)</w:t>
      </w:r>
    </w:p>
    <w:p w14:paraId="144FCC00" w14:textId="77777777" w:rsidR="00BA2A94" w:rsidRDefault="00BA2A94" w:rsidP="00BA2A94">
      <w:pPr>
        <w:pStyle w:val="Citas"/>
      </w:pPr>
      <w:r>
        <w:tab/>
      </w:r>
    </w:p>
    <w:p w14:paraId="5FFBCA18" w14:textId="64432DF4" w:rsidR="00BA2A94" w:rsidRPr="00BA2A94" w:rsidRDefault="00BA2A94" w:rsidP="00BA2A94">
      <w:pPr>
        <w:pStyle w:val="Citas"/>
        <w:jc w:val="center"/>
        <w:rPr>
          <w:b/>
          <w:bCs/>
        </w:rPr>
      </w:pPr>
      <w:r w:rsidRPr="00BA2A94">
        <w:rPr>
          <w:b/>
          <w:bCs/>
        </w:rPr>
        <w:t>LEY DE COMPETITIVIDAD Y ORDENAMIENTO COMERCIAL DEL ESTADO DE MÉXICO</w:t>
      </w:r>
    </w:p>
    <w:p w14:paraId="2B594047" w14:textId="34A2AFDC" w:rsidR="00A977B0" w:rsidRDefault="00BA2A94" w:rsidP="00BA2A94">
      <w:pPr>
        <w:pStyle w:val="Citas"/>
      </w:pPr>
      <w:r>
        <w:t>“</w:t>
      </w:r>
      <w:r w:rsidR="00282235">
        <w:t>Artículo 2. Para los efectos de esta Ley, se entenderá por:</w:t>
      </w:r>
    </w:p>
    <w:p w14:paraId="0DF9C9F1" w14:textId="04823F71" w:rsidR="00282235" w:rsidRDefault="00282235" w:rsidP="00BA2A94">
      <w:pPr>
        <w:pStyle w:val="Citas"/>
      </w:pPr>
      <w:r>
        <w:t>(…)</w:t>
      </w:r>
    </w:p>
    <w:p w14:paraId="13C886F4" w14:textId="39D7232A" w:rsidR="00282235" w:rsidRDefault="00282235" w:rsidP="00BA2A94">
      <w:pPr>
        <w:pStyle w:val="Citas"/>
      </w:pPr>
      <w:r>
        <w:t>XII. Dictamen de Giro: Al documento de carácter permanente emitido por el Comité Municipal de Dictámenes de Giro,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w:t>
      </w:r>
    </w:p>
    <w:p w14:paraId="0D6CD3C9" w14:textId="35F001D6" w:rsidR="00282235" w:rsidRDefault="00282235" w:rsidP="00BA2A94">
      <w:pPr>
        <w:pStyle w:val="Citas"/>
      </w:pPr>
      <w:r>
        <w:t>(…)</w:t>
      </w:r>
    </w:p>
    <w:p w14:paraId="53833699" w14:textId="4F6CB73F" w:rsidR="00BA2A94" w:rsidRDefault="00BA2A94" w:rsidP="00BA2A94">
      <w:pPr>
        <w:pStyle w:val="Citas"/>
      </w:pPr>
      <w:r>
        <w:t>Artículo 16. Las ventanillas, en los diferentes ámbitos de su competencia, gestionarán los trámites siguientes:</w:t>
      </w:r>
    </w:p>
    <w:p w14:paraId="18BED90F" w14:textId="0E89E927" w:rsidR="00BA2A94" w:rsidRDefault="00BA2A94" w:rsidP="00BA2A94">
      <w:pPr>
        <w:pStyle w:val="Citas"/>
      </w:pPr>
      <w:r>
        <w:t>(…)</w:t>
      </w:r>
    </w:p>
    <w:p w14:paraId="5BC2234E" w14:textId="34CADD3F" w:rsidR="00BA2A94" w:rsidRDefault="00BA2A94" w:rsidP="00BA2A94">
      <w:pPr>
        <w:pStyle w:val="Citas"/>
      </w:pPr>
      <w:r>
        <w:t>III. Evaluaciones técnicas de factibilidad y Dictamen de Giro, en su caso;</w:t>
      </w:r>
    </w:p>
    <w:p w14:paraId="65969BE4" w14:textId="438D526F" w:rsidR="00BA2A94" w:rsidRDefault="00BA2A94" w:rsidP="00BA2A94">
      <w:pPr>
        <w:pStyle w:val="Citas"/>
      </w:pPr>
      <w:r>
        <w:lastRenderedPageBreak/>
        <w:t>(…)</w:t>
      </w:r>
    </w:p>
    <w:p w14:paraId="721AEBE5" w14:textId="04F009F2" w:rsidR="00282235" w:rsidRPr="00BA2A94" w:rsidRDefault="00282235" w:rsidP="00BA2A94">
      <w:pPr>
        <w:pStyle w:val="Citas"/>
        <w:rPr>
          <w:b/>
          <w:bCs/>
          <w:sz w:val="24"/>
          <w:szCs w:val="24"/>
        </w:rPr>
      </w:pPr>
      <w:r>
        <w:t>Artículo 20 Ter. Para obtener el Dictamen de Giro, se deberá presentar solicitud conforme a los formatos, requisitos, documentos y anexos técnicos establecidos en el Registro Municipal de Trámites y Servicios.</w:t>
      </w:r>
      <w:r w:rsidR="00BA2A94">
        <w:t xml:space="preserve">” </w:t>
      </w:r>
      <w:r w:rsidR="00BA2A94">
        <w:rPr>
          <w:b/>
          <w:bCs/>
        </w:rPr>
        <w:t>(Sic)</w:t>
      </w:r>
    </w:p>
    <w:p w14:paraId="6B22A92D" w14:textId="2BC102E2" w:rsidR="000363A2" w:rsidRDefault="000363A2" w:rsidP="000363A2">
      <w:pPr>
        <w:spacing w:after="0" w:line="360" w:lineRule="auto"/>
        <w:jc w:val="both"/>
        <w:rPr>
          <w:rFonts w:ascii="Palatino Linotype" w:hAnsi="Palatino Linotype"/>
          <w:bCs/>
          <w:sz w:val="24"/>
          <w:szCs w:val="24"/>
        </w:rPr>
      </w:pPr>
    </w:p>
    <w:p w14:paraId="666FAEAB" w14:textId="7AF5AC9F" w:rsidR="00BA2A94" w:rsidRPr="006A65EE" w:rsidRDefault="007F6623" w:rsidP="00175279">
      <w:pPr>
        <w:pStyle w:val="Citas"/>
        <w:ind w:left="0" w:right="0"/>
        <w:rPr>
          <w:i w:val="0"/>
          <w:sz w:val="24"/>
          <w:szCs w:val="24"/>
        </w:rPr>
      </w:pPr>
      <w:r>
        <w:rPr>
          <w:i w:val="0"/>
          <w:sz w:val="24"/>
          <w:szCs w:val="24"/>
        </w:rPr>
        <w:t>De ahí que deba arribarse a la premisa de que</w:t>
      </w:r>
      <w:r w:rsidR="00BA2A94">
        <w:rPr>
          <w:i w:val="0"/>
          <w:sz w:val="24"/>
          <w:szCs w:val="24"/>
        </w:rPr>
        <w:t xml:space="preserve"> la información requerida es susceptible de ser generada, poseída y administrada por </w:t>
      </w:r>
      <w:r w:rsidR="00BA2A94">
        <w:rPr>
          <w:b/>
          <w:bCs/>
          <w:i w:val="0"/>
          <w:sz w:val="24"/>
          <w:szCs w:val="24"/>
        </w:rPr>
        <w:t xml:space="preserve">El Sujeto Obligado, </w:t>
      </w:r>
      <w:r w:rsidR="006A65EE">
        <w:rPr>
          <w:i w:val="0"/>
          <w:sz w:val="24"/>
          <w:szCs w:val="24"/>
        </w:rPr>
        <w:t xml:space="preserve">asimismo </w:t>
      </w:r>
      <w:r w:rsidR="006A65EE">
        <w:rPr>
          <w:b/>
          <w:bCs/>
          <w:i w:val="0"/>
          <w:sz w:val="24"/>
          <w:szCs w:val="24"/>
        </w:rPr>
        <w:t xml:space="preserve">El Sujeto Obligado </w:t>
      </w:r>
      <w:r w:rsidR="006A65EE">
        <w:rPr>
          <w:i w:val="0"/>
          <w:sz w:val="24"/>
          <w:szCs w:val="24"/>
        </w:rPr>
        <w:t xml:space="preserve">cuenta con el área competente para atender la solicitud de información </w:t>
      </w:r>
      <w:r w:rsidR="006A65EE" w:rsidRPr="006A65EE">
        <w:rPr>
          <w:b/>
          <w:bCs/>
          <w:i w:val="0"/>
          <w:sz w:val="24"/>
          <w:szCs w:val="24"/>
        </w:rPr>
        <w:t>00077/</w:t>
      </w:r>
      <w:r w:rsidR="006A65EE">
        <w:rPr>
          <w:b/>
          <w:bCs/>
          <w:i w:val="0"/>
          <w:sz w:val="24"/>
          <w:szCs w:val="24"/>
        </w:rPr>
        <w:t xml:space="preserve">IXTLAHUA/IP/2022. </w:t>
      </w:r>
    </w:p>
    <w:p w14:paraId="137DA472" w14:textId="09708DE8" w:rsidR="006A65EE" w:rsidRDefault="007F6623" w:rsidP="007F6623">
      <w:pPr>
        <w:pStyle w:val="Citas"/>
        <w:ind w:left="0" w:right="0"/>
        <w:rPr>
          <w:i w:val="0"/>
          <w:sz w:val="24"/>
          <w:szCs w:val="24"/>
        </w:rPr>
      </w:pPr>
      <w:r>
        <w:rPr>
          <w:i w:val="0"/>
          <w:sz w:val="24"/>
          <w:szCs w:val="24"/>
        </w:rPr>
        <w:t xml:space="preserve">Una vez sentado lo anterior, como se mencionó en el antecedente segundo </w:t>
      </w:r>
      <w:r>
        <w:rPr>
          <w:b/>
          <w:i w:val="0"/>
          <w:sz w:val="24"/>
          <w:szCs w:val="24"/>
        </w:rPr>
        <w:t xml:space="preserve">El Sujeto Obligado </w:t>
      </w:r>
      <w:r>
        <w:rPr>
          <w:i w:val="0"/>
          <w:sz w:val="24"/>
          <w:szCs w:val="24"/>
        </w:rPr>
        <w:t>rindió su respuesta en fecha</w:t>
      </w:r>
      <w:r w:rsidR="006A65EE">
        <w:rPr>
          <w:i w:val="0"/>
          <w:sz w:val="24"/>
          <w:szCs w:val="24"/>
        </w:rPr>
        <w:t xml:space="preserve"> uno de marzo del presente, adjuntando para tal efecto lo siguiente:</w:t>
      </w:r>
    </w:p>
    <w:p w14:paraId="3E00A777" w14:textId="231214F2" w:rsidR="006A65EE" w:rsidRPr="006A65EE" w:rsidRDefault="006A65EE" w:rsidP="006A65EE">
      <w:pPr>
        <w:pStyle w:val="Citas"/>
        <w:numPr>
          <w:ilvl w:val="0"/>
          <w:numId w:val="29"/>
        </w:numPr>
        <w:ind w:right="0"/>
        <w:rPr>
          <w:b/>
          <w:bCs/>
          <w:i w:val="0"/>
          <w:sz w:val="24"/>
          <w:szCs w:val="24"/>
        </w:rPr>
      </w:pPr>
      <w:r>
        <w:rPr>
          <w:b/>
          <w:bCs/>
          <w:i w:val="0"/>
          <w:sz w:val="24"/>
          <w:szCs w:val="24"/>
        </w:rPr>
        <w:t xml:space="preserve">“RESP.SOL.77.pdf”: </w:t>
      </w:r>
      <w:r>
        <w:rPr>
          <w:i w:val="0"/>
          <w:sz w:val="24"/>
          <w:szCs w:val="24"/>
        </w:rPr>
        <w:t xml:space="preserve">Oficio número </w:t>
      </w:r>
      <w:r>
        <w:rPr>
          <w:b/>
          <w:bCs/>
          <w:i w:val="0"/>
          <w:sz w:val="24"/>
          <w:szCs w:val="24"/>
        </w:rPr>
        <w:t xml:space="preserve">PMIX/DDEyFCI/253/2022 </w:t>
      </w:r>
      <w:r>
        <w:rPr>
          <w:i w:val="0"/>
          <w:sz w:val="24"/>
          <w:szCs w:val="24"/>
        </w:rPr>
        <w:t xml:space="preserve">signado por el Director de Desarrollo Económico y Fomento Comercial e Industrial y dirigido a la Titular de la Unidad de Transparencia, de fecha veintiocho de febrero de dos mil veintidós, en síntesis refiere que durante el periodo antes referido el Comité Municipal de Dictámenes de Giro no ha emitido ningún Dictamen de Giro. </w:t>
      </w:r>
    </w:p>
    <w:p w14:paraId="4CFFE1C6" w14:textId="77777777" w:rsidR="006A65EE" w:rsidRDefault="006A65EE" w:rsidP="007F6623">
      <w:pPr>
        <w:pStyle w:val="Citas"/>
        <w:ind w:left="0" w:right="0"/>
        <w:rPr>
          <w:i w:val="0"/>
          <w:sz w:val="24"/>
          <w:szCs w:val="24"/>
        </w:rPr>
      </w:pPr>
    </w:p>
    <w:p w14:paraId="76D74A0B" w14:textId="7B066D70" w:rsidR="006802CF" w:rsidRPr="00D12F4B" w:rsidRDefault="006802CF" w:rsidP="006802CF">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w:t>
      </w:r>
      <w:r w:rsidR="00081988" w:rsidRPr="00D12F4B">
        <w:rPr>
          <w:rFonts w:ascii="Palatino Linotype" w:hAnsi="Palatino Linotype"/>
          <w:sz w:val="24"/>
          <w:szCs w:val="24"/>
        </w:rPr>
        <w:t>que,</w:t>
      </w:r>
      <w:r w:rsidRPr="00D12F4B">
        <w:rPr>
          <w:rFonts w:ascii="Palatino Linotype" w:hAnsi="Palatino Linotype"/>
          <w:sz w:val="24"/>
          <w:szCs w:val="24"/>
        </w:rPr>
        <w:t xml:space="preserv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xml:space="preserve">, a fin de dar respuesta a la solicitud planteada, este Instituto no está </w:t>
      </w:r>
      <w:r w:rsidRPr="00D12F4B">
        <w:rPr>
          <w:rFonts w:ascii="Palatino Linotype" w:hAnsi="Palatino Linotype"/>
          <w:sz w:val="24"/>
          <w:szCs w:val="24"/>
        </w:rPr>
        <w:lastRenderedPageBreak/>
        <w:t>facultado para manifestarse sobre la veracidad de la información proporcionada, pues este Órgano Garante, conforme al artículo 36 de la Ley de la Materia, no se encuentra facultado para pronunciarse acerca de la autenticidad de dicho pronunciamiento.</w:t>
      </w:r>
    </w:p>
    <w:p w14:paraId="3C409011" w14:textId="77777777" w:rsidR="006802CF" w:rsidRPr="00D12F4B" w:rsidRDefault="006802CF" w:rsidP="006802CF">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3E3B09F" w14:textId="77777777" w:rsidR="006802CF" w:rsidRPr="003A41AE" w:rsidRDefault="006802CF" w:rsidP="006802CF">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20FB9270" w14:textId="77777777" w:rsidR="006802CF" w:rsidRDefault="006802CF" w:rsidP="006802CF">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E2DA1E2" w14:textId="77777777" w:rsidR="006802CF" w:rsidRDefault="006802CF" w:rsidP="006802CF">
      <w:pPr>
        <w:pStyle w:val="Citas"/>
      </w:pPr>
      <w:r w:rsidRPr="00D02076">
        <w:t xml:space="preserve">Expedientes: </w:t>
      </w:r>
    </w:p>
    <w:p w14:paraId="67A85B14" w14:textId="77777777" w:rsidR="006802CF" w:rsidRDefault="006802CF" w:rsidP="006802CF">
      <w:pPr>
        <w:pStyle w:val="Citas"/>
        <w:numPr>
          <w:ilvl w:val="0"/>
          <w:numId w:val="30"/>
        </w:numPr>
      </w:pPr>
      <w:r w:rsidRPr="00D02076">
        <w:lastRenderedPageBreak/>
        <w:t xml:space="preserve">2440/07 Comisión Federal de Electricidad - Alonso Lujambio Irazábal </w:t>
      </w:r>
    </w:p>
    <w:p w14:paraId="40BAF165" w14:textId="77777777" w:rsidR="006802CF" w:rsidRDefault="006802CF" w:rsidP="006802CF">
      <w:pPr>
        <w:pStyle w:val="Citas"/>
        <w:numPr>
          <w:ilvl w:val="0"/>
          <w:numId w:val="30"/>
        </w:numPr>
      </w:pPr>
      <w:r w:rsidRPr="00D02076">
        <w:t xml:space="preserve">0113/09 Instituto de Seguridad y Servicios Sociales de los Trabajadores del Estado – Alonso Lujambio Irazábal </w:t>
      </w:r>
    </w:p>
    <w:p w14:paraId="5ECB9571" w14:textId="77777777" w:rsidR="006802CF" w:rsidRDefault="006802CF" w:rsidP="006802CF">
      <w:pPr>
        <w:pStyle w:val="Citas"/>
        <w:numPr>
          <w:ilvl w:val="0"/>
          <w:numId w:val="30"/>
        </w:numPr>
      </w:pPr>
      <w:r w:rsidRPr="00D02076">
        <w:t xml:space="preserve">1624/09 Instituto Nacional para la Educación de los Adultos - María Marván Laborde </w:t>
      </w:r>
    </w:p>
    <w:p w14:paraId="43310384" w14:textId="77777777" w:rsidR="006802CF" w:rsidRDefault="006802CF" w:rsidP="006802CF">
      <w:pPr>
        <w:pStyle w:val="Citas"/>
        <w:numPr>
          <w:ilvl w:val="0"/>
          <w:numId w:val="30"/>
        </w:numPr>
      </w:pPr>
      <w:r w:rsidRPr="00D02076">
        <w:t xml:space="preserve">2395/09 Secretaría de Economía - María Marván Laborde </w:t>
      </w:r>
    </w:p>
    <w:p w14:paraId="4A60B545" w14:textId="77777777" w:rsidR="006802CF" w:rsidRPr="00D02076" w:rsidRDefault="006802CF" w:rsidP="006802CF">
      <w:pPr>
        <w:pStyle w:val="Citas"/>
        <w:numPr>
          <w:ilvl w:val="0"/>
          <w:numId w:val="30"/>
        </w:numPr>
      </w:pPr>
      <w:r w:rsidRPr="00D02076">
        <w:t>0837/10 Administración Portuaria Integral de Veracruz, S.A. de C.V. – María Marván Laborde</w:t>
      </w:r>
      <w:r>
        <w:t>”</w:t>
      </w:r>
      <w:r w:rsidRPr="00D02076">
        <w:t xml:space="preserve"> </w:t>
      </w:r>
      <w:r>
        <w:rPr>
          <w:b/>
        </w:rPr>
        <w:t>[Sic]</w:t>
      </w:r>
    </w:p>
    <w:p w14:paraId="7B16FB7E" w14:textId="77777777" w:rsidR="006802CF" w:rsidRPr="00E93CE8" w:rsidRDefault="006802CF" w:rsidP="006802CF">
      <w:pPr>
        <w:pStyle w:val="Sinespaciado"/>
        <w:spacing w:line="360" w:lineRule="auto"/>
        <w:jc w:val="both"/>
        <w:rPr>
          <w:rFonts w:ascii="Palatino Linotype" w:hAnsi="Palatino Linotype" w:cs="Arial"/>
          <w:color w:val="000000"/>
          <w:lang w:val="es-ES_tradnl"/>
        </w:rPr>
      </w:pPr>
    </w:p>
    <w:p w14:paraId="3BBB1266" w14:textId="77777777" w:rsidR="006802CF" w:rsidRPr="00D43CF1" w:rsidRDefault="006802CF" w:rsidP="006802CF">
      <w:pPr>
        <w:tabs>
          <w:tab w:val="left" w:pos="709"/>
        </w:tabs>
        <w:spacing w:before="240" w:line="360" w:lineRule="auto"/>
        <w:ind w:right="51"/>
        <w:jc w:val="both"/>
        <w:rPr>
          <w:rFonts w:ascii="Arial" w:hAnsi="Arial" w:cs="Arial"/>
          <w:color w:val="222222"/>
          <w:sz w:val="24"/>
          <w:szCs w:val="24"/>
          <w:lang w:eastAsia="es-MX"/>
        </w:rPr>
      </w:pPr>
      <w:r w:rsidRPr="00466A1D">
        <w:rPr>
          <w:rFonts w:ascii="Palatino Linotype" w:hAnsi="Palatino Linotype" w:cs="Arial"/>
          <w:color w:val="000000"/>
          <w:sz w:val="24"/>
          <w:szCs w:val="24"/>
          <w:lang w:val="es-ES_tradnl"/>
        </w:rPr>
        <w:t xml:space="preserve">De forma complementaria, se destaca que </w:t>
      </w:r>
      <w:r w:rsidRPr="00466A1D">
        <w:rPr>
          <w:rFonts w:ascii="Palatino Linotype" w:hAnsi="Palatino Linotype" w:cs="Arial"/>
          <w:sz w:val="24"/>
          <w:szCs w:val="24"/>
        </w:rPr>
        <w:t>el Pleno de este Organismo Garante, ha</w:t>
      </w:r>
      <w:r w:rsidRPr="00D43CF1">
        <w:rPr>
          <w:rFonts w:ascii="Palatino Linotype" w:hAnsi="Palatino Linotype" w:cs="Arial"/>
          <w:sz w:val="24"/>
          <w:szCs w:val="24"/>
        </w:rPr>
        <w:t xml:space="preserve">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43CF1">
        <w:rPr>
          <w:rFonts w:ascii="Palatino Linotype" w:hAnsi="Palatino Linotype" w:cs="Arial"/>
          <w:color w:val="222222"/>
          <w:sz w:val="24"/>
          <w:szCs w:val="24"/>
        </w:rPr>
        <w:t>:</w:t>
      </w:r>
    </w:p>
    <w:p w14:paraId="12BDB630" w14:textId="77777777" w:rsidR="006802CF" w:rsidRPr="00664B44" w:rsidRDefault="006802CF" w:rsidP="006802CF">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13030ED4" w14:textId="64F06E47" w:rsidR="006802CF" w:rsidRDefault="006802CF" w:rsidP="006802CF">
      <w:pPr>
        <w:spacing w:before="240" w:line="360" w:lineRule="auto"/>
        <w:ind w:left="851" w:right="851"/>
        <w:jc w:val="both"/>
        <w:rPr>
          <w:rFonts w:ascii="Palatino Linotype" w:hAnsi="Palatino Linotype" w:cs="Arial"/>
          <w:i/>
          <w:iCs/>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76C38696" w14:textId="460F1ECE" w:rsidR="006802CF" w:rsidRPr="006802CF" w:rsidRDefault="006802CF" w:rsidP="006802CF">
      <w:pPr>
        <w:rPr>
          <w:rFonts w:ascii="Arial" w:hAnsi="Arial" w:cs="Arial"/>
        </w:rPr>
      </w:pPr>
    </w:p>
    <w:p w14:paraId="4D1D977B" w14:textId="034930F0" w:rsidR="006802CF" w:rsidRDefault="006802CF" w:rsidP="006802CF">
      <w:pPr>
        <w:rPr>
          <w:rFonts w:ascii="Palatino Linotype" w:hAnsi="Palatino Linotype" w:cs="Arial"/>
          <w:i/>
          <w:iCs/>
          <w:color w:val="222222"/>
        </w:rPr>
      </w:pPr>
    </w:p>
    <w:p w14:paraId="29E72634" w14:textId="72711D7E" w:rsidR="006802CF" w:rsidRPr="006802CF" w:rsidRDefault="006802CF" w:rsidP="006802CF">
      <w:pPr>
        <w:tabs>
          <w:tab w:val="left" w:pos="1284"/>
        </w:tabs>
        <w:spacing w:line="360" w:lineRule="auto"/>
        <w:rPr>
          <w:rFonts w:ascii="Palatino Linotype" w:hAnsi="Palatino Linotype" w:cs="Arial"/>
          <w:sz w:val="24"/>
          <w:szCs w:val="24"/>
        </w:rPr>
      </w:pPr>
      <w:r>
        <w:rPr>
          <w:rFonts w:ascii="Palatino Linotype" w:hAnsi="Palatino Linotype" w:cs="Arial"/>
          <w:sz w:val="24"/>
          <w:szCs w:val="24"/>
        </w:rPr>
        <w:lastRenderedPageBreak/>
        <w:t xml:space="preserve">Inconforme con la respuesta del </w:t>
      </w:r>
      <w:r>
        <w:rPr>
          <w:rFonts w:ascii="Palatino Linotype" w:hAnsi="Palatino Linotype" w:cs="Arial"/>
          <w:b/>
          <w:bCs/>
          <w:sz w:val="24"/>
          <w:szCs w:val="24"/>
        </w:rPr>
        <w:t xml:space="preserve">Sujeto Obligado, El Recurrente </w:t>
      </w:r>
      <w:r>
        <w:rPr>
          <w:rFonts w:ascii="Palatino Linotype" w:hAnsi="Palatino Linotype" w:cs="Arial"/>
          <w:sz w:val="24"/>
          <w:szCs w:val="24"/>
        </w:rPr>
        <w:t xml:space="preserve">interpuso recurso de revisión en fecha tres de marzo, admitiéndose el ocho de marzo, ambos de dos mil veintidós. </w:t>
      </w:r>
      <w:r w:rsidR="00BD5133">
        <w:rPr>
          <w:rFonts w:ascii="Palatino Linotype" w:hAnsi="Palatino Linotype" w:cs="Arial"/>
          <w:sz w:val="24"/>
          <w:szCs w:val="24"/>
        </w:rPr>
        <w:t>Señalando</w:t>
      </w:r>
      <w:r>
        <w:rPr>
          <w:rFonts w:ascii="Palatino Linotype" w:hAnsi="Palatino Linotype" w:cs="Arial"/>
          <w:sz w:val="24"/>
          <w:szCs w:val="24"/>
        </w:rPr>
        <w:t xml:space="preserve"> </w:t>
      </w:r>
      <w:r w:rsidR="00BD5133">
        <w:rPr>
          <w:rFonts w:ascii="Palatino Linotype" w:hAnsi="Palatino Linotype" w:cs="Arial"/>
          <w:sz w:val="24"/>
          <w:szCs w:val="24"/>
        </w:rPr>
        <w:t>como razones o motivos de inconformidad:</w:t>
      </w:r>
    </w:p>
    <w:p w14:paraId="2DD06DC0" w14:textId="74B1FC39" w:rsidR="00507065" w:rsidRPr="00BD5133" w:rsidRDefault="00BD5133" w:rsidP="00BD5133">
      <w:pPr>
        <w:pStyle w:val="Citas"/>
        <w:rPr>
          <w:b/>
          <w:bCs/>
        </w:rPr>
      </w:pPr>
      <w:r>
        <w:t>“</w:t>
      </w:r>
      <w:r w:rsidRPr="00BD5133">
        <w:t>El Sujeto Obligado omite emitir el acuerdo de inexistencia de la información, debidamente fundado y motivado, en el que detalle las razones del por qué no obra en sus archivos la información solicitada, lo que consecuentemente genera incertidumbre sobre el criterio de búsqueda exhaustivo empleado por el Sujeto Obligado.</w:t>
      </w:r>
      <w:r>
        <w:t xml:space="preserve">” </w:t>
      </w:r>
      <w:r>
        <w:rPr>
          <w:b/>
          <w:bCs/>
        </w:rPr>
        <w:t>(Sic)</w:t>
      </w:r>
    </w:p>
    <w:p w14:paraId="501AEBA2" w14:textId="3EFC3A2A" w:rsidR="00507065" w:rsidRDefault="00507065" w:rsidP="00E550AA">
      <w:pPr>
        <w:pStyle w:val="Citas"/>
        <w:ind w:left="0"/>
        <w:rPr>
          <w:sz w:val="24"/>
          <w:szCs w:val="24"/>
        </w:rPr>
      </w:pPr>
    </w:p>
    <w:p w14:paraId="3AB1BC7E" w14:textId="31B4C32B" w:rsidR="00E550AA" w:rsidRDefault="00E550AA" w:rsidP="00E550AA">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w:t>
      </w:r>
      <w:r w:rsidR="00324AC9">
        <w:rPr>
          <w:i w:val="0"/>
          <w:sz w:val="24"/>
          <w:szCs w:val="24"/>
        </w:rPr>
        <w:t>s</w:t>
      </w:r>
      <w:r>
        <w:rPr>
          <w:i w:val="0"/>
          <w:sz w:val="24"/>
          <w:szCs w:val="24"/>
        </w:rPr>
        <w:t xml:space="preserve"> causal</w:t>
      </w:r>
      <w:r w:rsidR="00324AC9">
        <w:rPr>
          <w:i w:val="0"/>
          <w:sz w:val="24"/>
          <w:szCs w:val="24"/>
        </w:rPr>
        <w:t>es</w:t>
      </w:r>
      <w:r>
        <w:rPr>
          <w:i w:val="0"/>
          <w:sz w:val="24"/>
          <w:szCs w:val="24"/>
        </w:rPr>
        <w:t xml:space="preserve"> de procedencia prevista</w:t>
      </w:r>
      <w:r w:rsidR="00324AC9">
        <w:rPr>
          <w:i w:val="0"/>
          <w:sz w:val="24"/>
          <w:szCs w:val="24"/>
        </w:rPr>
        <w:t>s</w:t>
      </w:r>
      <w:r>
        <w:rPr>
          <w:i w:val="0"/>
          <w:sz w:val="24"/>
          <w:szCs w:val="24"/>
        </w:rPr>
        <w:t xml:space="preserve"> en el artículo 179, fracci</w:t>
      </w:r>
      <w:r w:rsidR="00324AC9">
        <w:rPr>
          <w:i w:val="0"/>
          <w:sz w:val="24"/>
          <w:szCs w:val="24"/>
        </w:rPr>
        <w:t>ones</w:t>
      </w:r>
      <w:r>
        <w:rPr>
          <w:i w:val="0"/>
          <w:sz w:val="24"/>
          <w:szCs w:val="24"/>
        </w:rPr>
        <w:t xml:space="preserve"> </w:t>
      </w:r>
      <w:r w:rsidR="00BD5133">
        <w:rPr>
          <w:i w:val="0"/>
          <w:sz w:val="24"/>
          <w:szCs w:val="24"/>
        </w:rPr>
        <w:t>V</w:t>
      </w:r>
      <w:r>
        <w:rPr>
          <w:i w:val="0"/>
          <w:sz w:val="24"/>
          <w:szCs w:val="24"/>
        </w:rPr>
        <w:t xml:space="preserve"> </w:t>
      </w:r>
      <w:r w:rsidR="00324AC9">
        <w:rPr>
          <w:i w:val="0"/>
          <w:sz w:val="24"/>
          <w:szCs w:val="24"/>
        </w:rPr>
        <w:t xml:space="preserve">y </w:t>
      </w:r>
      <w:r w:rsidR="00BD5133">
        <w:rPr>
          <w:i w:val="0"/>
          <w:sz w:val="24"/>
          <w:szCs w:val="24"/>
        </w:rPr>
        <w:t>XIII</w:t>
      </w:r>
      <w:r w:rsidR="00324AC9">
        <w:rPr>
          <w:i w:val="0"/>
          <w:sz w:val="24"/>
          <w:szCs w:val="24"/>
        </w:rPr>
        <w:t xml:space="preserve"> </w:t>
      </w:r>
      <w:r>
        <w:rPr>
          <w:i w:val="0"/>
          <w:sz w:val="24"/>
          <w:szCs w:val="24"/>
        </w:rPr>
        <w:t xml:space="preserve">de la Ley de Transparencia y Acceso a la Información Pública del Estado de México y Municipios, normatividad </w:t>
      </w:r>
      <w:r w:rsidR="00BD5133">
        <w:rPr>
          <w:i w:val="0"/>
          <w:sz w:val="24"/>
          <w:szCs w:val="24"/>
        </w:rPr>
        <w:t xml:space="preserve">invocada </w:t>
      </w:r>
      <w:r>
        <w:rPr>
          <w:i w:val="0"/>
          <w:sz w:val="24"/>
          <w:szCs w:val="24"/>
        </w:rPr>
        <w:t>que dispone a la literalidad lo siguiente:</w:t>
      </w:r>
    </w:p>
    <w:p w14:paraId="4F99139A" w14:textId="77777777" w:rsidR="00E550AA" w:rsidRDefault="00E550AA" w:rsidP="00E550AA">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82353FA" w14:textId="77777777" w:rsidR="00E550AA" w:rsidRDefault="00E550AA" w:rsidP="00E550AA">
      <w:pPr>
        <w:pStyle w:val="Citas"/>
      </w:pPr>
      <w:r>
        <w:t xml:space="preserve"> (…)</w:t>
      </w:r>
    </w:p>
    <w:p w14:paraId="4ED6B6EF" w14:textId="77777777" w:rsidR="00BD5133" w:rsidRDefault="00BD5133" w:rsidP="00E550AA">
      <w:pPr>
        <w:pStyle w:val="Citas"/>
      </w:pPr>
      <w:r>
        <w:t xml:space="preserve">V. La entrega de información incompleta; </w:t>
      </w:r>
    </w:p>
    <w:p w14:paraId="6D642C80" w14:textId="5D730B09" w:rsidR="00BD5133" w:rsidRDefault="00BD5133" w:rsidP="00E550AA">
      <w:pPr>
        <w:pStyle w:val="Citas"/>
      </w:pPr>
      <w:r>
        <w:t>(…)</w:t>
      </w:r>
    </w:p>
    <w:p w14:paraId="217B4105" w14:textId="00B15968" w:rsidR="00BD5133" w:rsidRDefault="00BD5133" w:rsidP="00E550AA">
      <w:pPr>
        <w:pStyle w:val="Citas"/>
      </w:pPr>
      <w:r>
        <w:lastRenderedPageBreak/>
        <w:t>XIII. La falta, deficiencia o insuficiencia de la fundamentación y/o motivación en la respuesta; y</w:t>
      </w:r>
    </w:p>
    <w:p w14:paraId="7ABF9EA5" w14:textId="1E34DF38" w:rsidR="00E550AA" w:rsidRPr="007818E1" w:rsidRDefault="00E550AA" w:rsidP="00E550AA">
      <w:pPr>
        <w:pStyle w:val="Citas"/>
        <w:rPr>
          <w:b/>
        </w:rPr>
      </w:pPr>
      <w:r>
        <w:t xml:space="preserve">(…)” </w:t>
      </w:r>
      <w:r>
        <w:rPr>
          <w:b/>
        </w:rPr>
        <w:t>[Sic]</w:t>
      </w:r>
    </w:p>
    <w:p w14:paraId="089CB8DB" w14:textId="77777777" w:rsidR="00E550AA" w:rsidRDefault="00E550AA" w:rsidP="00E550AA">
      <w:pPr>
        <w:pStyle w:val="Citas"/>
        <w:ind w:left="0"/>
        <w:rPr>
          <w:i w:val="0"/>
          <w:iCs/>
          <w:color w:val="000000"/>
          <w:sz w:val="24"/>
          <w:lang w:val="es-ES_tradnl"/>
        </w:rPr>
      </w:pPr>
    </w:p>
    <w:p w14:paraId="427AF337" w14:textId="5C51DF1A" w:rsidR="00BD5133" w:rsidRPr="00BD5133" w:rsidRDefault="00E550AA" w:rsidP="00324AC9">
      <w:pPr>
        <w:pStyle w:val="Citas"/>
        <w:ind w:left="0" w:right="72"/>
        <w:rPr>
          <w:bCs/>
          <w:i w:val="0"/>
          <w:iCs/>
          <w:color w:val="000000"/>
          <w:sz w:val="24"/>
          <w:lang w:val="es-ES_tradnl"/>
        </w:rPr>
      </w:pPr>
      <w:r w:rsidRPr="00E550AA">
        <w:rPr>
          <w:i w:val="0"/>
          <w:iCs/>
          <w:color w:val="000000"/>
          <w:sz w:val="24"/>
          <w:lang w:val="es-ES_tradnl"/>
        </w:rPr>
        <w:t xml:space="preserve">Por otra parte, como fue mencionado en el antecedente </w:t>
      </w:r>
      <w:r>
        <w:rPr>
          <w:i w:val="0"/>
          <w:iCs/>
          <w:color w:val="000000"/>
          <w:sz w:val="24"/>
          <w:lang w:val="es-ES_tradnl"/>
        </w:rPr>
        <w:t>quinto</w:t>
      </w:r>
      <w:r w:rsidRPr="00E550AA">
        <w:rPr>
          <w:i w:val="0"/>
          <w:iCs/>
          <w:color w:val="000000"/>
          <w:sz w:val="24"/>
          <w:lang w:val="es-ES_tradnl"/>
        </w:rPr>
        <w:t xml:space="preserve">, </w:t>
      </w:r>
      <w:r w:rsidRPr="00E550AA">
        <w:rPr>
          <w:b/>
          <w:i w:val="0"/>
          <w:iCs/>
          <w:color w:val="000000"/>
          <w:sz w:val="24"/>
          <w:lang w:val="es-ES_tradnl"/>
        </w:rPr>
        <w:t xml:space="preserve">El Sujeto Obligado </w:t>
      </w:r>
      <w:r w:rsidR="00BD5133">
        <w:rPr>
          <w:bCs/>
          <w:i w:val="0"/>
          <w:iCs/>
          <w:color w:val="000000"/>
          <w:sz w:val="24"/>
          <w:lang w:val="es-ES_tradnl"/>
        </w:rPr>
        <w:t>rindió su informe justificado en los siguientes términos:</w:t>
      </w:r>
    </w:p>
    <w:p w14:paraId="5823F07A" w14:textId="152A9FB1" w:rsidR="00BD5133" w:rsidRPr="00DC0220" w:rsidRDefault="00BD5133" w:rsidP="00BD5133">
      <w:pPr>
        <w:pStyle w:val="Citas"/>
        <w:numPr>
          <w:ilvl w:val="0"/>
          <w:numId w:val="31"/>
        </w:numPr>
        <w:ind w:right="72"/>
        <w:rPr>
          <w:b/>
          <w:i w:val="0"/>
          <w:iCs/>
          <w:color w:val="000000"/>
          <w:sz w:val="24"/>
          <w:lang w:val="es-ES_tradnl"/>
        </w:rPr>
      </w:pPr>
      <w:r>
        <w:rPr>
          <w:b/>
          <w:i w:val="0"/>
          <w:iCs/>
          <w:color w:val="000000"/>
          <w:sz w:val="24"/>
          <w:lang w:val="es-ES_tradnl"/>
        </w:rPr>
        <w:t xml:space="preserve">“INFORME JUSTIFICADO SOL 77 RR.pdf”: </w:t>
      </w:r>
      <w:r w:rsidR="00DC0220">
        <w:rPr>
          <w:bCs/>
          <w:i w:val="0"/>
          <w:iCs/>
          <w:color w:val="000000"/>
          <w:sz w:val="24"/>
          <w:lang w:val="es-ES_tradnl"/>
        </w:rPr>
        <w:t>Compila lo siguiente:</w:t>
      </w:r>
    </w:p>
    <w:p w14:paraId="1F3D0A91" w14:textId="559EC122" w:rsidR="00DC0220" w:rsidRPr="00646C24" w:rsidRDefault="00DC0220" w:rsidP="00DC0220">
      <w:pPr>
        <w:pStyle w:val="Citas"/>
        <w:numPr>
          <w:ilvl w:val="0"/>
          <w:numId w:val="32"/>
        </w:numPr>
        <w:ind w:right="72"/>
        <w:rPr>
          <w:b/>
          <w:i w:val="0"/>
          <w:iCs/>
          <w:color w:val="000000"/>
          <w:sz w:val="24"/>
          <w:lang w:val="es-ES_tradnl"/>
        </w:rPr>
      </w:pPr>
      <w:r>
        <w:rPr>
          <w:bCs/>
          <w:i w:val="0"/>
          <w:iCs/>
          <w:color w:val="000000"/>
          <w:sz w:val="24"/>
          <w:lang w:val="es-ES_tradnl"/>
        </w:rPr>
        <w:t xml:space="preserve">Informe justificado signado por la Titular de la Unidad de Transparencia y Acceso a la Información Pública Municipal y dirigido al Comisionado Ponente, en lo medular </w:t>
      </w:r>
      <w:r w:rsidR="00646C24">
        <w:rPr>
          <w:bCs/>
          <w:i w:val="0"/>
          <w:iCs/>
          <w:color w:val="000000"/>
          <w:sz w:val="24"/>
          <w:lang w:val="es-ES_tradnl"/>
        </w:rPr>
        <w:t xml:space="preserve">ratifica la respuesta </w:t>
      </w:r>
      <w:r w:rsidR="004F0538">
        <w:rPr>
          <w:bCs/>
          <w:i w:val="0"/>
          <w:iCs/>
          <w:color w:val="000000"/>
          <w:sz w:val="24"/>
          <w:lang w:val="es-ES_tradnl"/>
        </w:rPr>
        <w:t>primigenia al</w:t>
      </w:r>
      <w:r w:rsidR="00646C24">
        <w:rPr>
          <w:bCs/>
          <w:i w:val="0"/>
          <w:iCs/>
          <w:color w:val="000000"/>
          <w:sz w:val="24"/>
          <w:lang w:val="es-ES_tradnl"/>
        </w:rPr>
        <w:t xml:space="preserve"> señalar que no han sido expedido dictámenes de giro durante el periodo comprendido del uno de enero al veintitrés de febrero de dos mil veintidós. </w:t>
      </w:r>
    </w:p>
    <w:p w14:paraId="0F6D2C35" w14:textId="249B80CB" w:rsidR="00646C24" w:rsidRDefault="00646C24" w:rsidP="00DC0220">
      <w:pPr>
        <w:pStyle w:val="Citas"/>
        <w:numPr>
          <w:ilvl w:val="0"/>
          <w:numId w:val="32"/>
        </w:numPr>
        <w:ind w:right="72"/>
        <w:rPr>
          <w:b/>
          <w:i w:val="0"/>
          <w:iCs/>
          <w:color w:val="000000"/>
          <w:sz w:val="24"/>
          <w:lang w:val="es-ES_tradnl"/>
        </w:rPr>
      </w:pPr>
      <w:r>
        <w:rPr>
          <w:bCs/>
          <w:i w:val="0"/>
          <w:iCs/>
          <w:color w:val="000000"/>
          <w:sz w:val="24"/>
          <w:lang w:val="es-ES_tradnl"/>
        </w:rPr>
        <w:t xml:space="preserve">Oficio número </w:t>
      </w:r>
      <w:r>
        <w:rPr>
          <w:b/>
          <w:i w:val="0"/>
          <w:iCs/>
          <w:color w:val="000000"/>
          <w:sz w:val="24"/>
          <w:lang w:val="es-ES_tradnl"/>
        </w:rPr>
        <w:t xml:space="preserve">PMIX/DDEyFCI/385/2022 </w:t>
      </w:r>
      <w:r>
        <w:rPr>
          <w:bCs/>
          <w:i w:val="0"/>
          <w:iCs/>
          <w:color w:val="000000"/>
          <w:sz w:val="24"/>
          <w:lang w:val="es-ES_tradnl"/>
        </w:rPr>
        <w:t xml:space="preserve">signado por el Director de Desarrollo Económico y Fomento Comercial e Industrial y dirigido a la Titular de la Unidad de Transparencia, de fecha once de marzo de dos mil veintidós, con relación a la solicitud de información </w:t>
      </w:r>
      <w:r>
        <w:rPr>
          <w:b/>
          <w:i w:val="0"/>
          <w:iCs/>
          <w:color w:val="000000"/>
          <w:sz w:val="24"/>
          <w:lang w:val="es-ES_tradnl"/>
        </w:rPr>
        <w:t xml:space="preserve">00077/IXTLAHUA/IP/2022 </w:t>
      </w:r>
      <w:r>
        <w:rPr>
          <w:bCs/>
          <w:i w:val="0"/>
          <w:iCs/>
          <w:color w:val="000000"/>
          <w:sz w:val="24"/>
          <w:lang w:val="es-ES_tradnl"/>
        </w:rPr>
        <w:t xml:space="preserve">ratifica la respuesta primigenia. </w:t>
      </w:r>
    </w:p>
    <w:p w14:paraId="633CFBE4" w14:textId="77777777" w:rsidR="00BD5133" w:rsidRDefault="00BD5133" w:rsidP="00324AC9">
      <w:pPr>
        <w:pStyle w:val="Citas"/>
        <w:ind w:left="0" w:right="72"/>
        <w:rPr>
          <w:b/>
          <w:i w:val="0"/>
          <w:iCs/>
          <w:color w:val="000000"/>
          <w:sz w:val="24"/>
          <w:lang w:val="es-ES_tradnl"/>
        </w:rPr>
      </w:pPr>
    </w:p>
    <w:p w14:paraId="6D503FF0" w14:textId="7CA89EB2" w:rsidR="00E550AA" w:rsidRPr="00324AC9" w:rsidRDefault="00E550AA" w:rsidP="00324AC9">
      <w:pPr>
        <w:pStyle w:val="Citas"/>
        <w:ind w:left="0" w:right="72"/>
        <w:rPr>
          <w:i w:val="0"/>
          <w:iCs/>
          <w:sz w:val="24"/>
          <w:szCs w:val="24"/>
        </w:rPr>
      </w:pPr>
      <w:r>
        <w:rPr>
          <w:i w:val="0"/>
          <w:iCs/>
          <w:color w:val="000000"/>
          <w:sz w:val="24"/>
          <w:lang w:val="es-ES_tradnl"/>
        </w:rPr>
        <w:t>Hasta aquí</w:t>
      </w:r>
      <w:r>
        <w:rPr>
          <w:i w:val="0"/>
          <w:iCs/>
          <w:color w:val="000000"/>
          <w:szCs w:val="20"/>
          <w:lang w:val="es-ES_tradnl"/>
        </w:rPr>
        <w:t xml:space="preserve"> lo expuesto, </w:t>
      </w:r>
      <w:r w:rsidRPr="00324AC9">
        <w:rPr>
          <w:i w:val="0"/>
          <w:iCs/>
          <w:color w:val="000000"/>
          <w:sz w:val="24"/>
          <w:szCs w:val="24"/>
          <w:lang w:val="es-ES_tradnl"/>
        </w:rPr>
        <w:t>se arriban a las siguientes consideraciones:</w:t>
      </w:r>
    </w:p>
    <w:p w14:paraId="304DC8CC" w14:textId="77777777" w:rsidR="00AD1F40" w:rsidRPr="00242587" w:rsidRDefault="00AD1F40" w:rsidP="00AD1F40">
      <w:pPr>
        <w:pStyle w:val="Sinespaciado"/>
        <w:numPr>
          <w:ilvl w:val="0"/>
          <w:numId w:val="25"/>
        </w:numPr>
        <w:spacing w:line="360" w:lineRule="auto"/>
        <w:jc w:val="both"/>
        <w:rPr>
          <w:rFonts w:ascii="Palatino Linotype" w:hAnsi="Palatino Linotype"/>
        </w:rPr>
      </w:pPr>
      <w:r>
        <w:rPr>
          <w:rFonts w:ascii="Palatino Linotype" w:hAnsi="Palatino Linotype"/>
        </w:rPr>
        <w:lastRenderedPageBreak/>
        <w:t xml:space="preserve">El derecho de acceso a la información versa esencialmente en acceder a información registrada en cualquier soporte documental que en ejercicio de las atribuciones conferidas sea generada, poseída o administrada por los </w:t>
      </w:r>
      <w:r>
        <w:rPr>
          <w:rFonts w:ascii="Palatino Linotype" w:hAnsi="Palatino Linotype"/>
          <w:b/>
          <w:bCs/>
        </w:rPr>
        <w:t xml:space="preserve">Sujetos Obligados. </w:t>
      </w:r>
    </w:p>
    <w:p w14:paraId="1AC9B5A7" w14:textId="103ED1CA" w:rsidR="00AD1F40" w:rsidRDefault="00E550AA" w:rsidP="00AD1F40">
      <w:pPr>
        <w:pStyle w:val="Sinespaciado"/>
        <w:numPr>
          <w:ilvl w:val="0"/>
          <w:numId w:val="25"/>
        </w:numPr>
        <w:spacing w:line="360" w:lineRule="auto"/>
        <w:jc w:val="both"/>
        <w:rPr>
          <w:rFonts w:ascii="Palatino Linotype" w:hAnsi="Palatino Linotype"/>
        </w:rPr>
      </w:pPr>
      <w:r>
        <w:rPr>
          <w:rFonts w:ascii="Palatino Linotype" w:hAnsi="Palatino Linotype"/>
        </w:rPr>
        <w:t>En términos del numeral 162 de la Ley de Transparencia local, l</w:t>
      </w:r>
      <w:r w:rsidR="00AD1F40">
        <w:rPr>
          <w:rFonts w:ascii="Palatino Linotype" w:hAnsi="Palatino Linotype"/>
        </w:rPr>
        <w:t>as unidades administrativas deberán de garantizar que las solicitudes de información formuladas por la ciudadanía sean turnadas a todas las áreas administrativas que en razón de las facultades, competencias y funciones reservadas deban de poseerla</w:t>
      </w:r>
      <w:r>
        <w:rPr>
          <w:rFonts w:ascii="Palatino Linotype" w:hAnsi="Palatino Linotype"/>
        </w:rPr>
        <w:t xml:space="preserve">, porción normativa estrictamente observada por </w:t>
      </w:r>
      <w:r>
        <w:rPr>
          <w:rFonts w:ascii="Palatino Linotype" w:hAnsi="Palatino Linotype"/>
          <w:b/>
          <w:bCs/>
        </w:rPr>
        <w:t xml:space="preserve">El Sujeto Obligado </w:t>
      </w:r>
      <w:r>
        <w:rPr>
          <w:rFonts w:ascii="Palatino Linotype" w:hAnsi="Palatino Linotype"/>
        </w:rPr>
        <w:t xml:space="preserve">en el caso en particular. </w:t>
      </w:r>
    </w:p>
    <w:p w14:paraId="1860C079" w14:textId="215AECEB" w:rsidR="00646C24" w:rsidRDefault="00AD1F40" w:rsidP="00AD1F40">
      <w:pPr>
        <w:pStyle w:val="Sinespaciado"/>
        <w:numPr>
          <w:ilvl w:val="0"/>
          <w:numId w:val="25"/>
        </w:numPr>
        <w:spacing w:line="360" w:lineRule="auto"/>
        <w:jc w:val="both"/>
        <w:rPr>
          <w:rFonts w:ascii="Palatino Linotype" w:hAnsi="Palatino Linotype"/>
        </w:rPr>
      </w:pPr>
      <w:r>
        <w:rPr>
          <w:rFonts w:ascii="Palatino Linotype" w:hAnsi="Palatino Linotype"/>
        </w:rPr>
        <w:t xml:space="preserve">De una interpretación sistemática a la esfera competencial del </w:t>
      </w:r>
      <w:r>
        <w:rPr>
          <w:rFonts w:ascii="Palatino Linotype" w:hAnsi="Palatino Linotype"/>
          <w:b/>
          <w:bCs/>
        </w:rPr>
        <w:t xml:space="preserve">Sujeto Obligado </w:t>
      </w:r>
      <w:r>
        <w:rPr>
          <w:rFonts w:ascii="Palatino Linotype" w:hAnsi="Palatino Linotype"/>
        </w:rPr>
        <w:t xml:space="preserve">se arriba a la premisa de que la </w:t>
      </w:r>
      <w:r w:rsidR="00646C24">
        <w:rPr>
          <w:rFonts w:ascii="Palatino Linotype" w:hAnsi="Palatino Linotype"/>
        </w:rPr>
        <w:t xml:space="preserve">Dirección de Desarrollo Económico y Fomento Comercial e Industrial funge como la unidad administrativa competente para </w:t>
      </w:r>
      <w:r w:rsidR="00F97C07">
        <w:rPr>
          <w:rFonts w:ascii="Palatino Linotype" w:hAnsi="Palatino Linotype"/>
        </w:rPr>
        <w:t xml:space="preserve">crear y actualizar el Registro de las Unidades Económicas que cuenten con el Dictamen de Giro, soporte documental expedido por el Comité Municipal de Dictámenes de Giro. </w:t>
      </w:r>
    </w:p>
    <w:p w14:paraId="6F30B9C3" w14:textId="65914793" w:rsidR="00F97C07" w:rsidRDefault="00F97C07" w:rsidP="00AD1F40">
      <w:pPr>
        <w:pStyle w:val="Sinespaciado"/>
        <w:numPr>
          <w:ilvl w:val="0"/>
          <w:numId w:val="25"/>
        </w:numPr>
        <w:spacing w:line="360" w:lineRule="auto"/>
        <w:jc w:val="both"/>
        <w:rPr>
          <w:rFonts w:ascii="Palatino Linotype" w:hAnsi="Palatino Linotype"/>
          <w:iCs/>
        </w:rPr>
      </w:pPr>
      <w:r>
        <w:rPr>
          <w:rFonts w:ascii="Palatino Linotype" w:hAnsi="Palatino Linotype"/>
          <w:iCs/>
        </w:rPr>
        <w:t xml:space="preserve">Que </w:t>
      </w:r>
      <w:r w:rsidR="00702A03">
        <w:rPr>
          <w:rFonts w:ascii="Palatino Linotype" w:hAnsi="Palatino Linotype"/>
          <w:iCs/>
        </w:rPr>
        <w:t xml:space="preserve">en términos del criterio </w:t>
      </w:r>
      <w:r w:rsidR="00702A03" w:rsidRPr="004F0538">
        <w:rPr>
          <w:rFonts w:ascii="Palatino Linotype" w:hAnsi="Palatino Linotype"/>
          <w:b/>
          <w:bCs/>
          <w:iCs/>
        </w:rPr>
        <w:t>0003-11</w:t>
      </w:r>
      <w:r w:rsidR="00702A03">
        <w:rPr>
          <w:rFonts w:ascii="Palatino Linotype" w:hAnsi="Palatino Linotype"/>
          <w:iCs/>
        </w:rPr>
        <w:t xml:space="preserve"> de rubro ”INEXISTENCIA, CONCEPTO DE, EN MATERIA DE TRANSPARENCIA”</w:t>
      </w:r>
      <w:r w:rsidR="004F0538">
        <w:rPr>
          <w:rFonts w:ascii="Palatino Linotype" w:hAnsi="Palatino Linotype"/>
          <w:iCs/>
        </w:rPr>
        <w:t xml:space="preserve"> expedido por el Órgano Garante Local,</w:t>
      </w:r>
      <w:r w:rsidR="00702A03">
        <w:rPr>
          <w:rFonts w:ascii="Palatino Linotype" w:hAnsi="Palatino Linotype"/>
          <w:iCs/>
        </w:rPr>
        <w:t xml:space="preserve"> </w:t>
      </w:r>
      <w:r w:rsidR="00FF3652">
        <w:rPr>
          <w:rFonts w:ascii="Palatino Linotype" w:hAnsi="Palatino Linotype"/>
          <w:iCs/>
        </w:rPr>
        <w:t>el propósito de la</w:t>
      </w:r>
      <w:r>
        <w:rPr>
          <w:rFonts w:ascii="Palatino Linotype" w:hAnsi="Palatino Linotype"/>
          <w:iCs/>
        </w:rPr>
        <w:t xml:space="preserve"> declaratoria de inexistencia de la información </w:t>
      </w:r>
      <w:r w:rsidR="00FF3652">
        <w:rPr>
          <w:rFonts w:ascii="Palatino Linotype" w:hAnsi="Palatino Linotype"/>
          <w:iCs/>
        </w:rPr>
        <w:t>es garantizar al solicitante que se realizaron las gestiones necesarias para la ubicación de la información de su interés, misma que deberá de ser emitida ante dos supuestos:</w:t>
      </w:r>
    </w:p>
    <w:p w14:paraId="79B9EA2D" w14:textId="77777777" w:rsidR="00702A03" w:rsidRPr="00751B4B" w:rsidRDefault="00702A03" w:rsidP="00751B4B">
      <w:pPr>
        <w:pStyle w:val="Prrafodelista"/>
        <w:spacing w:line="360" w:lineRule="auto"/>
        <w:ind w:left="720"/>
        <w:jc w:val="both"/>
        <w:rPr>
          <w:rFonts w:ascii="Palatino Linotype" w:eastAsiaTheme="minorHAnsi" w:hAnsi="Palatino Linotype"/>
        </w:rPr>
      </w:pPr>
      <w:r w:rsidRPr="00751B4B">
        <w:rPr>
          <w:rFonts w:ascii="Palatino Linotype" w:eastAsiaTheme="minorHAnsi" w:hAnsi="Palatino Linotype"/>
          <w:b/>
        </w:rPr>
        <w:t>a)</w:t>
      </w:r>
      <w:r w:rsidRPr="00751B4B">
        <w:rPr>
          <w:rFonts w:ascii="Palatino Linotype" w:eastAsiaTheme="minorHAnsi" w:hAnsi="Palatino Linotype"/>
        </w:rPr>
        <w:t xml:space="preserve"> La existencia previa de la documentación y la falta posterior de la misma en los archivos del Sujeto Obligado, esto es, la información se generó, poseyó o </w:t>
      </w:r>
      <w:r w:rsidRPr="00751B4B">
        <w:rPr>
          <w:rFonts w:ascii="Palatino Linotype" w:eastAsiaTheme="minorHAnsi" w:hAnsi="Palatino Linotype"/>
        </w:rPr>
        <w:lastRenderedPageBreak/>
        <w:t>administró —cuestión de hecho— en el marco de las atribuciones conferidas al Sujeto Obligado, pero no la conserva por diversas razones (destrucción física, desaparición física, sustracción ilícita, baja documental, etcétera).</w:t>
      </w:r>
    </w:p>
    <w:p w14:paraId="4BAF8236" w14:textId="77777777" w:rsidR="00702A03" w:rsidRPr="00702A03" w:rsidRDefault="00702A03" w:rsidP="00751B4B">
      <w:pPr>
        <w:pStyle w:val="Prrafodelista"/>
        <w:spacing w:line="360" w:lineRule="auto"/>
        <w:ind w:left="720"/>
        <w:jc w:val="both"/>
        <w:rPr>
          <w:rFonts w:ascii="Palatino Linotype" w:eastAsiaTheme="minorHAnsi" w:hAnsi="Palatino Linotype"/>
          <w:sz w:val="23"/>
          <w:szCs w:val="23"/>
        </w:rPr>
      </w:pPr>
      <w:r w:rsidRPr="00702A03">
        <w:rPr>
          <w:rFonts w:ascii="Palatino Linotype" w:eastAsiaTheme="minorHAnsi" w:hAnsi="Palatino Linotype"/>
          <w:b/>
          <w:sz w:val="23"/>
          <w:szCs w:val="23"/>
        </w:rPr>
        <w:t>b</w:t>
      </w:r>
      <w:r w:rsidRPr="004F0538">
        <w:rPr>
          <w:rFonts w:ascii="Palatino Linotype" w:eastAsiaTheme="minorHAnsi" w:hAnsi="Palatino Linotype"/>
          <w:b/>
        </w:rPr>
        <w:t xml:space="preserve">) </w:t>
      </w:r>
      <w:r w:rsidRPr="004F0538">
        <w:rPr>
          <w:rFonts w:ascii="Palatino Linotype" w:eastAsiaTheme="minorHAnsi" w:hAnsi="Palatino Linotype"/>
        </w:rPr>
        <w:t>En los casos en que por las atribuciones conferidas al Sujeto Obligado éste debió generar, administrar o poseer la información, pero en incumplimiento a la normatividad respectiva no llevó a cabo ninguna de esas acciones.</w:t>
      </w:r>
    </w:p>
    <w:p w14:paraId="12C9C05F" w14:textId="2C554D34" w:rsidR="00702A03" w:rsidRPr="00F97C07" w:rsidRDefault="00751B4B" w:rsidP="006C17FD">
      <w:pPr>
        <w:pStyle w:val="Sinespaciado"/>
        <w:numPr>
          <w:ilvl w:val="0"/>
          <w:numId w:val="25"/>
        </w:numPr>
        <w:spacing w:line="360" w:lineRule="auto"/>
        <w:jc w:val="both"/>
        <w:rPr>
          <w:rFonts w:ascii="Palatino Linotype" w:hAnsi="Palatino Linotype"/>
          <w:b/>
          <w:bCs/>
          <w:iCs/>
          <w:u w:val="single"/>
        </w:rPr>
      </w:pPr>
      <w:r>
        <w:rPr>
          <w:rFonts w:ascii="Palatino Linotype" w:hAnsi="Palatino Linotype"/>
        </w:rPr>
        <w:t>Finalmente, de</w:t>
      </w:r>
      <w:r w:rsidR="00702A03">
        <w:rPr>
          <w:rFonts w:ascii="Palatino Linotype" w:hAnsi="Palatino Linotype"/>
        </w:rPr>
        <w:t xml:space="preserve"> la naturaleza del Dictamen de Giro se advierte que es un soporte documental expedido por un Comité Municipal, previas evaluaciones técnicas, necesario para la obtención de un permiso o licencia de funcionamiento, </w:t>
      </w:r>
      <w:r w:rsidR="00702A03" w:rsidRPr="00F97C07">
        <w:rPr>
          <w:rFonts w:ascii="Palatino Linotype" w:hAnsi="Palatino Linotype"/>
          <w:b/>
          <w:bCs/>
          <w:u w:val="single"/>
        </w:rPr>
        <w:t>y expedido a petición de parte</w:t>
      </w:r>
      <w:r>
        <w:rPr>
          <w:rFonts w:ascii="Palatino Linotype" w:hAnsi="Palatino Linotype"/>
          <w:b/>
          <w:bCs/>
          <w:u w:val="single"/>
        </w:rPr>
        <w:t>, por lo tanto</w:t>
      </w:r>
      <w:r w:rsidR="004F0538">
        <w:rPr>
          <w:rFonts w:ascii="Palatino Linotype" w:hAnsi="Palatino Linotype"/>
          <w:b/>
          <w:bCs/>
          <w:u w:val="single"/>
        </w:rPr>
        <w:t>,</w:t>
      </w:r>
      <w:r>
        <w:rPr>
          <w:rFonts w:ascii="Palatino Linotype" w:hAnsi="Palatino Linotype"/>
          <w:b/>
          <w:bCs/>
          <w:u w:val="single"/>
        </w:rPr>
        <w:t xml:space="preserve"> </w:t>
      </w:r>
      <w:r w:rsidR="004F3024">
        <w:rPr>
          <w:rFonts w:ascii="Palatino Linotype" w:hAnsi="Palatino Linotype"/>
          <w:b/>
          <w:bCs/>
          <w:u w:val="single"/>
        </w:rPr>
        <w:t>resulta</w:t>
      </w:r>
      <w:r w:rsidR="004F0538">
        <w:rPr>
          <w:rFonts w:ascii="Palatino Linotype" w:hAnsi="Palatino Linotype"/>
          <w:b/>
          <w:bCs/>
          <w:u w:val="single"/>
        </w:rPr>
        <w:t xml:space="preserve"> suficiente la figura de hechos negativos para colmar el derecho de acceso a la información pública. </w:t>
      </w:r>
    </w:p>
    <w:p w14:paraId="279938D3" w14:textId="02612B0B" w:rsidR="00FF3652" w:rsidRPr="00F97C07" w:rsidRDefault="00FF3652" w:rsidP="00751B4B">
      <w:pPr>
        <w:pStyle w:val="Sinespaciado"/>
        <w:spacing w:line="360" w:lineRule="auto"/>
        <w:ind w:left="1080"/>
        <w:jc w:val="both"/>
        <w:rPr>
          <w:rFonts w:ascii="Palatino Linotype" w:hAnsi="Palatino Linotype"/>
          <w:iCs/>
        </w:rPr>
      </w:pPr>
    </w:p>
    <w:p w14:paraId="6D8E72D5" w14:textId="77777777" w:rsidR="00FE6BC1" w:rsidRDefault="00FE6BC1" w:rsidP="00B46B42">
      <w:pPr>
        <w:spacing w:line="360" w:lineRule="auto"/>
        <w:contextualSpacing/>
        <w:jc w:val="both"/>
        <w:rPr>
          <w:rFonts w:ascii="Palatino Linotype" w:hAnsi="Palatino Linotype" w:cs="Arial"/>
          <w:noProof/>
          <w:color w:val="000000"/>
          <w:sz w:val="24"/>
          <w:lang w:eastAsia="es-MX"/>
        </w:rPr>
      </w:pPr>
    </w:p>
    <w:p w14:paraId="12205A10" w14:textId="601DAD4E" w:rsidR="00B46B42" w:rsidRDefault="00B46B42" w:rsidP="00B46B42">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este Órgano Garante arriba a la conclusión de que la respuesta primigenia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 xml:space="preserve">se encuentra dotada de los principios de </w:t>
      </w:r>
      <w:r w:rsidRPr="001C0BAD">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1C0BAD">
        <w:rPr>
          <w:rFonts w:ascii="Palatino Linotype" w:hAnsi="Palatino Linotype" w:cs="Arial"/>
          <w:b/>
          <w:sz w:val="24"/>
          <w:szCs w:val="24"/>
        </w:rPr>
        <w:t xml:space="preserve">02/17 </w:t>
      </w:r>
      <w:r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72BAD530" w14:textId="77777777" w:rsidR="00B46B42" w:rsidRDefault="00B46B42" w:rsidP="00B46B42">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04918874" w14:textId="77777777" w:rsidR="00B46B42" w:rsidRDefault="00B46B42" w:rsidP="00B46B42">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xml:space="preserve">; todo acto administrativo debe cumplir </w:t>
      </w:r>
      <w:r w:rsidRPr="0012591D">
        <w:rPr>
          <w:rFonts w:ascii="Palatino Linotype" w:hAnsi="Palatino Linotype" w:cs="Arial"/>
          <w:b/>
          <w:i/>
          <w:u w:val="single"/>
        </w:rPr>
        <w:lastRenderedPageBreak/>
        <w:t>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CB8B520" w14:textId="77777777" w:rsidR="00D0731B" w:rsidRDefault="00B46B42" w:rsidP="00B46B42">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w:t>
      </w:r>
    </w:p>
    <w:p w14:paraId="5E2C80E9" w14:textId="1F0277C0" w:rsidR="00B46B42" w:rsidRPr="00D0731B" w:rsidRDefault="00B46B42" w:rsidP="00D0731B">
      <w:pPr>
        <w:pStyle w:val="Prrafodelista"/>
        <w:numPr>
          <w:ilvl w:val="0"/>
          <w:numId w:val="27"/>
        </w:numPr>
        <w:spacing w:before="240" w:line="360" w:lineRule="auto"/>
        <w:ind w:right="851"/>
        <w:jc w:val="both"/>
        <w:rPr>
          <w:rFonts w:ascii="Palatino Linotype" w:hAnsi="Palatino Linotype" w:cs="Arial"/>
          <w:i/>
        </w:rPr>
      </w:pPr>
      <w:r w:rsidRPr="00D0731B">
        <w:rPr>
          <w:rFonts w:ascii="Palatino Linotype" w:hAnsi="Palatino Linotype" w:cs="Arial"/>
          <w:i/>
        </w:rPr>
        <w:t xml:space="preserve">RRA 0003/16 Comisión Nacional de las Zonas Áridas. 29 de junio de 2016. Por unanimidad. Comisionado Ponente Oscar Mauricio Guerra Ford. </w:t>
      </w:r>
    </w:p>
    <w:p w14:paraId="6C5A6261" w14:textId="77777777" w:rsidR="00B46B42" w:rsidRPr="00D0731B" w:rsidRDefault="00B46B42" w:rsidP="00D0731B">
      <w:pPr>
        <w:pStyle w:val="Prrafodelista"/>
        <w:numPr>
          <w:ilvl w:val="0"/>
          <w:numId w:val="27"/>
        </w:numPr>
        <w:spacing w:before="240" w:line="360" w:lineRule="auto"/>
        <w:ind w:right="851"/>
        <w:jc w:val="both"/>
        <w:rPr>
          <w:rFonts w:ascii="Palatino Linotype" w:hAnsi="Palatino Linotype" w:cs="Arial"/>
          <w:i/>
        </w:rPr>
      </w:pPr>
      <w:r w:rsidRPr="00D0731B">
        <w:rPr>
          <w:rFonts w:ascii="Palatino Linotype" w:hAnsi="Palatino Linotype" w:cs="Arial"/>
          <w:i/>
        </w:rPr>
        <w:t xml:space="preserve">RRA 0100/16. Sindicato Nacional de Trabajadores de la Educación. 13 de julio de 2016. Por unanimidad. Comisionada Ponente Areli Cano Guadiana. </w:t>
      </w:r>
    </w:p>
    <w:p w14:paraId="627D071E" w14:textId="77777777" w:rsidR="00B46B42" w:rsidRPr="00D0731B" w:rsidRDefault="00B46B42" w:rsidP="00D0731B">
      <w:pPr>
        <w:pStyle w:val="Prrafodelista"/>
        <w:numPr>
          <w:ilvl w:val="0"/>
          <w:numId w:val="27"/>
        </w:numPr>
        <w:spacing w:before="240" w:line="360" w:lineRule="auto"/>
        <w:ind w:right="851"/>
        <w:jc w:val="both"/>
        <w:rPr>
          <w:rFonts w:ascii="Palatino Linotype" w:hAnsi="Palatino Linotype"/>
          <w:b/>
          <w:lang w:val="es-ES_tradnl"/>
        </w:rPr>
      </w:pPr>
      <w:r w:rsidRPr="00D0731B">
        <w:rPr>
          <w:rFonts w:ascii="Palatino Linotype" w:hAnsi="Palatino Linotype" w:cs="Arial"/>
          <w:i/>
        </w:rPr>
        <w:t xml:space="preserve">RRA 1419/16 Secretaría de Educación Pública. 14 de septiembre de 2016. Por unanimidad. Comisionado Ponente Rosendoevgueni Monterrey Chepov.” </w:t>
      </w:r>
      <w:r w:rsidRPr="00D0731B">
        <w:rPr>
          <w:rFonts w:ascii="Palatino Linotype" w:hAnsi="Palatino Linotype"/>
          <w:b/>
          <w:i/>
          <w:lang w:val="es-ES_tradnl"/>
        </w:rPr>
        <w:t>[Sic]</w:t>
      </w:r>
    </w:p>
    <w:p w14:paraId="7186E8AE" w14:textId="77777777" w:rsidR="00B46B42" w:rsidRDefault="00B46B42" w:rsidP="00B46B42">
      <w:pPr>
        <w:spacing w:after="0" w:line="360" w:lineRule="auto"/>
        <w:jc w:val="both"/>
        <w:rPr>
          <w:rFonts w:ascii="Palatino Linotype" w:hAnsi="Palatino Linotype" w:cs="Arial"/>
          <w:noProof/>
          <w:color w:val="000000"/>
          <w:sz w:val="24"/>
          <w:lang w:eastAsia="es-MX"/>
        </w:rPr>
      </w:pPr>
    </w:p>
    <w:p w14:paraId="3043C963" w14:textId="6D4BF8DB" w:rsidR="00B46B42" w:rsidRPr="00B46B42" w:rsidRDefault="00B46B42" w:rsidP="00B46B42">
      <w:pPr>
        <w:spacing w:after="0" w:line="360" w:lineRule="auto"/>
        <w:jc w:val="both"/>
        <w:rPr>
          <w:rFonts w:ascii="Palatino Linotype" w:hAnsi="Palatino Linotype" w:cs="Arial"/>
          <w:b/>
          <w:noProof/>
          <w:color w:val="000000"/>
          <w:sz w:val="24"/>
          <w:lang w:eastAsia="es-MX"/>
        </w:rPr>
      </w:pPr>
      <w:r>
        <w:rPr>
          <w:rFonts w:ascii="Palatino Linotype" w:hAnsi="Palatino Linotype" w:cs="Arial"/>
          <w:noProof/>
          <w:color w:val="000000"/>
          <w:sz w:val="24"/>
          <w:lang w:eastAsia="es-MX"/>
        </w:rPr>
        <w:t xml:space="preserve">Con base en lo anteriormente expuesto, se arriba a la conclusión de que la respuesta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colmó el derecho de acceso a la información ejercido por el particular</w:t>
      </w:r>
      <w:r w:rsidR="00FE6BC1">
        <w:rPr>
          <w:rFonts w:ascii="Palatino Linotype" w:hAnsi="Palatino Linotype" w:cs="Arial"/>
          <w:noProof/>
          <w:color w:val="000000"/>
          <w:sz w:val="24"/>
          <w:lang w:eastAsia="es-MX"/>
        </w:rPr>
        <w:t xml:space="preserve">. </w:t>
      </w:r>
    </w:p>
    <w:p w14:paraId="2A2B937B" w14:textId="77777777" w:rsidR="00B46B42" w:rsidRDefault="00B46B42" w:rsidP="00B46B42">
      <w:pPr>
        <w:spacing w:after="0" w:line="360" w:lineRule="auto"/>
        <w:jc w:val="both"/>
        <w:rPr>
          <w:rFonts w:ascii="Palatino Linotype" w:hAnsi="Palatino Linotype" w:cs="Arial"/>
          <w:color w:val="000000"/>
          <w:sz w:val="24"/>
          <w:lang w:val="es-ES_tradnl"/>
        </w:rPr>
      </w:pPr>
    </w:p>
    <w:p w14:paraId="1A8E1570" w14:textId="4E8D6C23" w:rsidR="005128DD" w:rsidRPr="00EE6EC2" w:rsidRDefault="005128DD" w:rsidP="00B46B42">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mérito de lo expuesto en líneas anteriores, resultan infundados los motivos de inconformidad que arguye </w:t>
      </w:r>
      <w:r w:rsidR="00B00628">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751B4B">
        <w:rPr>
          <w:rFonts w:ascii="Palatino Linotype" w:hAnsi="Palatino Linotype"/>
          <w:b/>
          <w:sz w:val="24"/>
          <w:szCs w:val="24"/>
        </w:rPr>
        <w:t>00077/IXTLAHUA/IP/2022</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57D926E7" w14:textId="77777777" w:rsidR="005128DD" w:rsidRDefault="005128DD" w:rsidP="005128D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5A9257C7" w14:textId="3EB3FBCA" w:rsidR="005128DD" w:rsidRDefault="005128DD" w:rsidP="005128D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B3E61F5" w14:textId="34044791" w:rsidR="005128DD" w:rsidRDefault="005128DD" w:rsidP="005128D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751B4B">
        <w:rPr>
          <w:rFonts w:ascii="Palatino Linotype" w:hAnsi="Palatino Linotype"/>
          <w:b/>
          <w:sz w:val="24"/>
          <w:szCs w:val="24"/>
        </w:rPr>
        <w:t>00077/IXTLAHUA/IP/2022</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B00628">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340C6B9" w14:textId="77777777" w:rsidR="005128DD" w:rsidRDefault="005128DD" w:rsidP="005128DD">
      <w:pPr>
        <w:spacing w:before="240" w:line="360" w:lineRule="auto"/>
        <w:jc w:val="both"/>
        <w:rPr>
          <w:rFonts w:ascii="Palatino Linotype" w:hAnsi="Palatino Linotype" w:cs="Arial"/>
          <w:sz w:val="24"/>
          <w:szCs w:val="24"/>
        </w:rPr>
      </w:pPr>
    </w:p>
    <w:p w14:paraId="4714956D" w14:textId="5E2DED40"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22F38D03" w14:textId="77777777" w:rsidR="0057453A" w:rsidRDefault="0057453A" w:rsidP="005128DD">
      <w:pPr>
        <w:autoSpaceDE w:val="0"/>
        <w:autoSpaceDN w:val="0"/>
        <w:adjustRightInd w:val="0"/>
        <w:spacing w:before="240" w:line="360" w:lineRule="auto"/>
        <w:jc w:val="both"/>
        <w:rPr>
          <w:rFonts w:ascii="Palatino Linotype" w:hAnsi="Palatino Linotype" w:cs="Arial"/>
          <w:b/>
          <w:sz w:val="24"/>
          <w:szCs w:val="24"/>
        </w:rPr>
      </w:pPr>
    </w:p>
    <w:p w14:paraId="76F83D8E" w14:textId="1F27B8C8"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w:t>
      </w:r>
      <w:r w:rsidR="00B00628">
        <w:rPr>
          <w:rFonts w:ascii="Palatino Linotype" w:hAnsi="Palatino Linotype" w:cs="Arial"/>
          <w:sz w:val="24"/>
          <w:szCs w:val="24"/>
        </w:rPr>
        <w:t>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3A6531CF" w14:textId="21EFDFBF" w:rsidR="005128DD" w:rsidRDefault="005128DD" w:rsidP="005128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CUARTO. </w:t>
      </w:r>
      <w:r>
        <w:rPr>
          <w:rFonts w:ascii="Palatino Linotype" w:hAnsi="Palatino Linotype" w:cs="Arial"/>
          <w:sz w:val="24"/>
          <w:szCs w:val="24"/>
        </w:rPr>
        <w:t xml:space="preserve">Se hace del conocimiento </w:t>
      </w:r>
      <w:r w:rsidR="00B00628">
        <w:rPr>
          <w:rFonts w:ascii="Palatino Linotype" w:hAnsi="Palatino Linotype" w:cs="Arial"/>
          <w:sz w:val="24"/>
          <w:szCs w:val="24"/>
        </w:rPr>
        <w:t>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7349D6D" w14:textId="77777777" w:rsidR="005128DD" w:rsidRDefault="005128DD" w:rsidP="005128DD">
      <w:pPr>
        <w:tabs>
          <w:tab w:val="left" w:pos="709"/>
        </w:tabs>
        <w:spacing w:before="240" w:line="360" w:lineRule="auto"/>
        <w:ind w:right="851"/>
        <w:jc w:val="both"/>
        <w:rPr>
          <w:rFonts w:ascii="Palatino Linotype" w:hAnsi="Palatino Linotype"/>
          <w:sz w:val="24"/>
          <w:szCs w:val="24"/>
        </w:rPr>
      </w:pPr>
    </w:p>
    <w:p w14:paraId="28B49CFD" w14:textId="77777777" w:rsidR="002428BA" w:rsidRDefault="002428BA" w:rsidP="002428B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Pr>
          <w:rFonts w:ascii="Palatino Linotype" w:hAnsi="Palatino Linotype" w:cs="Arial"/>
        </w:rPr>
        <w:t xml:space="preserve">OCTAVA </w:t>
      </w:r>
      <w:r w:rsidRPr="00266B85">
        <w:rPr>
          <w:rFonts w:ascii="Palatino Linotype" w:hAnsi="Palatino Linotype" w:cs="Arial"/>
        </w:rPr>
        <w:t xml:space="preserve">SESIÓN ORDINARIA CELEBRADA EL </w:t>
      </w:r>
      <w:r>
        <w:rPr>
          <w:rFonts w:ascii="Palatino Linotype" w:hAnsi="Palatino Linotype" w:cs="Arial"/>
        </w:rPr>
        <w:t>DIECIOCHO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33F76E1A" w14:textId="77777777" w:rsidR="002428BA" w:rsidRDefault="002428BA" w:rsidP="002428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1B95041" w14:textId="69CF1562"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D48BBE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A5D9B82"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423972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5375B307" w14:textId="77777777" w:rsidR="005128DD" w:rsidRPr="00C854CB"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6561E5E3" w14:textId="77777777" w:rsidR="005128DD" w:rsidRDefault="005128DD" w:rsidP="005128DD">
      <w:pPr>
        <w:spacing w:before="240" w:line="360" w:lineRule="auto"/>
        <w:jc w:val="both"/>
        <w:rPr>
          <w:rFonts w:ascii="Palatino Linotype" w:hAnsi="Palatino Linotype" w:cs="Arial"/>
          <w:sz w:val="24"/>
          <w:szCs w:val="24"/>
        </w:rPr>
      </w:pPr>
    </w:p>
    <w:p w14:paraId="423848AD" w14:textId="77777777" w:rsidR="005128DD" w:rsidRDefault="005128DD" w:rsidP="005128DD">
      <w:pPr>
        <w:spacing w:before="240" w:line="360" w:lineRule="auto"/>
        <w:jc w:val="both"/>
        <w:rPr>
          <w:rFonts w:ascii="Palatino Linotype" w:hAnsi="Palatino Linotype" w:cs="Arial"/>
          <w:sz w:val="24"/>
          <w:szCs w:val="24"/>
        </w:rPr>
      </w:pPr>
    </w:p>
    <w:p w14:paraId="0448F7FB" w14:textId="77777777" w:rsidR="005128DD" w:rsidRDefault="005128DD" w:rsidP="005128DD">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4EF2" w14:textId="77777777" w:rsidR="004874D4" w:rsidRDefault="004874D4" w:rsidP="006168E4">
      <w:pPr>
        <w:spacing w:after="0" w:line="240" w:lineRule="auto"/>
      </w:pPr>
      <w:r>
        <w:separator/>
      </w:r>
    </w:p>
  </w:endnote>
  <w:endnote w:type="continuationSeparator" w:id="0">
    <w:p w14:paraId="24C92026" w14:textId="77777777" w:rsidR="004874D4" w:rsidRDefault="004874D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002DDF" w:rsidRPr="000B69FA" w:rsidRDefault="00002DD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1612">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1612">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002DDF" w:rsidRPr="000B69FA" w:rsidRDefault="00002DD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161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1612">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13B9" w14:textId="77777777" w:rsidR="004874D4" w:rsidRDefault="004874D4" w:rsidP="006168E4">
      <w:pPr>
        <w:spacing w:after="0" w:line="240" w:lineRule="auto"/>
      </w:pPr>
      <w:r>
        <w:separator/>
      </w:r>
    </w:p>
  </w:footnote>
  <w:footnote w:type="continuationSeparator" w:id="0">
    <w:p w14:paraId="7C77652A" w14:textId="77777777" w:rsidR="004874D4" w:rsidRDefault="004874D4" w:rsidP="006168E4">
      <w:pPr>
        <w:spacing w:after="0" w:line="240" w:lineRule="auto"/>
      </w:pPr>
      <w:r>
        <w:continuationSeparator/>
      </w:r>
    </w:p>
  </w:footnote>
  <w:footnote w:id="1">
    <w:p w14:paraId="5507183A" w14:textId="77777777" w:rsidR="00262CBE" w:rsidRPr="005552A8" w:rsidRDefault="00262CBE" w:rsidP="00262CB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C395472" w14:textId="77777777" w:rsidR="00262CBE" w:rsidRPr="005552A8" w:rsidRDefault="00262CBE" w:rsidP="00262CB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002DDF" w:rsidRDefault="00002DD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02DDF" w14:paraId="1EC9A00A" w14:textId="77777777" w:rsidTr="009B28E9">
      <w:trPr>
        <w:trHeight w:val="227"/>
      </w:trPr>
      <w:tc>
        <w:tcPr>
          <w:tcW w:w="5529" w:type="dxa"/>
          <w:hideMark/>
        </w:tcPr>
        <w:p w14:paraId="54E20D87" w14:textId="77777777" w:rsidR="00002DDF" w:rsidRDefault="00002DD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9B965B5" w:rsidR="00002DDF" w:rsidRPr="00B4142F" w:rsidRDefault="00002DD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364AA">
            <w:rPr>
              <w:rFonts w:ascii="Palatino Linotype" w:hAnsi="Palatino Linotype" w:cs="Arial"/>
              <w:bCs/>
              <w:sz w:val="24"/>
              <w:lang w:eastAsia="es-MX"/>
            </w:rPr>
            <w:t>3295</w:t>
          </w:r>
          <w:r>
            <w:rPr>
              <w:rFonts w:ascii="Palatino Linotype" w:hAnsi="Palatino Linotype" w:cs="Arial"/>
              <w:bCs/>
              <w:sz w:val="24"/>
              <w:lang w:eastAsia="es-MX"/>
            </w:rPr>
            <w:t xml:space="preserve">/INFOEM/IP/RR/2022 </w:t>
          </w:r>
        </w:p>
      </w:tc>
    </w:tr>
    <w:tr w:rsidR="00002DDF" w14:paraId="55FEBD54" w14:textId="77777777" w:rsidTr="009B28E9">
      <w:trPr>
        <w:trHeight w:val="242"/>
      </w:trPr>
      <w:tc>
        <w:tcPr>
          <w:tcW w:w="5529" w:type="dxa"/>
          <w:hideMark/>
        </w:tcPr>
        <w:p w14:paraId="380D58F4" w14:textId="77777777" w:rsidR="00002DDF" w:rsidRDefault="00002DD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8057541" w:rsidR="00002DDF" w:rsidRPr="00F06FED" w:rsidRDefault="00467C17"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D51A0">
            <w:rPr>
              <w:rFonts w:ascii="Palatino Linotype" w:hAnsi="Palatino Linotype" w:cs="Arial"/>
              <w:szCs w:val="20"/>
            </w:rPr>
            <w:t>Ixtlahuaca</w:t>
          </w:r>
          <w:r w:rsidR="00002DDF">
            <w:rPr>
              <w:rFonts w:ascii="Palatino Linotype" w:hAnsi="Palatino Linotype" w:cs="Arial"/>
              <w:szCs w:val="20"/>
            </w:rPr>
            <w:t xml:space="preserve"> </w:t>
          </w:r>
        </w:p>
      </w:tc>
    </w:tr>
    <w:tr w:rsidR="00002DDF" w14:paraId="21314286" w14:textId="77777777" w:rsidTr="009B28E9">
      <w:trPr>
        <w:trHeight w:val="342"/>
      </w:trPr>
      <w:tc>
        <w:tcPr>
          <w:tcW w:w="5529" w:type="dxa"/>
          <w:hideMark/>
        </w:tcPr>
        <w:p w14:paraId="28B22B0A" w14:textId="77777777" w:rsidR="00002DDF" w:rsidRDefault="00002DD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002DDF" w:rsidRDefault="00002DD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002DDF" w:rsidRDefault="00002D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3DA7" w14:textId="25246D8B" w:rsidR="00EB386D" w:rsidRDefault="00EB386D"/>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02DDF" w14:paraId="42D97161" w14:textId="77777777" w:rsidTr="009B28E9">
      <w:trPr>
        <w:trHeight w:val="227"/>
      </w:trPr>
      <w:tc>
        <w:tcPr>
          <w:tcW w:w="5529" w:type="dxa"/>
          <w:hideMark/>
        </w:tcPr>
        <w:p w14:paraId="079C0A7D" w14:textId="77777777" w:rsidR="00002DDF" w:rsidRDefault="00002DD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DD1621A" w:rsidR="00002DDF" w:rsidRPr="00B4142F" w:rsidRDefault="00002DD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364AA">
            <w:rPr>
              <w:rFonts w:ascii="Palatino Linotype" w:hAnsi="Palatino Linotype" w:cs="Arial"/>
              <w:bCs/>
              <w:sz w:val="24"/>
              <w:lang w:eastAsia="es-MX"/>
            </w:rPr>
            <w:t>3295</w:t>
          </w:r>
          <w:r>
            <w:rPr>
              <w:rFonts w:ascii="Palatino Linotype" w:hAnsi="Palatino Linotype" w:cs="Arial"/>
              <w:bCs/>
              <w:sz w:val="24"/>
              <w:lang w:eastAsia="es-MX"/>
            </w:rPr>
            <w:t xml:space="preserve">/INFOEM/IP/RR/2022 </w:t>
          </w:r>
        </w:p>
      </w:tc>
    </w:tr>
    <w:tr w:rsidR="00002DDF" w14:paraId="36CDA2D2" w14:textId="77777777" w:rsidTr="009B28E9">
      <w:trPr>
        <w:trHeight w:val="196"/>
      </w:trPr>
      <w:tc>
        <w:tcPr>
          <w:tcW w:w="5529" w:type="dxa"/>
          <w:hideMark/>
        </w:tcPr>
        <w:p w14:paraId="2ADF7609" w14:textId="77777777" w:rsidR="00002DDF" w:rsidRDefault="00002DD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7DF4121" w14:textId="77777777" w:rsidR="00EB386D" w:rsidRDefault="00EB386D" w:rsidP="00CC0C5F">
          <w:pPr>
            <w:spacing w:after="120" w:line="256" w:lineRule="auto"/>
            <w:ind w:left="639" w:right="214"/>
            <w:jc w:val="both"/>
            <w:rPr>
              <w:rFonts w:ascii="Palatino Linotype" w:hAnsi="Palatino Linotype" w:cs="Arial"/>
            </w:rPr>
          </w:pPr>
          <w:r>
            <w:rPr>
              <w:rFonts w:ascii="Palatino Linotype" w:hAnsi="Palatino Linotype" w:cs="Arial"/>
            </w:rPr>
            <w:t>xxxxxxxxxxxxxxxxxxx</w:t>
          </w:r>
          <w:r w:rsidR="0001225E">
            <w:rPr>
              <w:rFonts w:ascii="Palatino Linotype" w:hAnsi="Palatino Linotype" w:cs="Arial"/>
            </w:rPr>
            <w:t xml:space="preserve"> </w:t>
          </w:r>
        </w:p>
        <w:p w14:paraId="59C006B1" w14:textId="117530D6" w:rsidR="00002DDF" w:rsidRPr="00F06FED" w:rsidRDefault="00EB386D" w:rsidP="00CC0C5F">
          <w:pPr>
            <w:spacing w:after="120" w:line="256" w:lineRule="auto"/>
            <w:ind w:left="639" w:right="214"/>
            <w:jc w:val="both"/>
            <w:rPr>
              <w:rFonts w:ascii="Palatino Linotype" w:hAnsi="Palatino Linotype" w:cs="Arial"/>
            </w:rPr>
          </w:pPr>
          <w:r>
            <w:rPr>
              <w:rFonts w:ascii="Palatino Linotype" w:hAnsi="Palatino Linotype" w:cs="Arial"/>
            </w:rPr>
            <w:t>xxxxxxxxxx</w:t>
          </w:r>
        </w:p>
      </w:tc>
    </w:tr>
    <w:tr w:rsidR="00002DDF" w14:paraId="652F9A44" w14:textId="77777777" w:rsidTr="009B28E9">
      <w:trPr>
        <w:trHeight w:val="242"/>
      </w:trPr>
      <w:tc>
        <w:tcPr>
          <w:tcW w:w="5529" w:type="dxa"/>
          <w:hideMark/>
        </w:tcPr>
        <w:p w14:paraId="09EC290F" w14:textId="77777777" w:rsidR="00002DDF" w:rsidRDefault="00002DD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0215BDF" w:rsidR="00002DDF" w:rsidRDefault="00467C17"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D51A0">
            <w:rPr>
              <w:rFonts w:ascii="Palatino Linotype" w:hAnsi="Palatino Linotype" w:cs="Arial"/>
              <w:szCs w:val="20"/>
            </w:rPr>
            <w:t>Ixtlahuaca</w:t>
          </w:r>
        </w:p>
      </w:tc>
    </w:tr>
    <w:tr w:rsidR="00002DDF" w14:paraId="4476548B" w14:textId="77777777" w:rsidTr="009B28E9">
      <w:trPr>
        <w:trHeight w:val="342"/>
      </w:trPr>
      <w:tc>
        <w:tcPr>
          <w:tcW w:w="5529" w:type="dxa"/>
          <w:hideMark/>
        </w:tcPr>
        <w:p w14:paraId="6E3E07EE" w14:textId="77777777" w:rsidR="00002DDF" w:rsidRDefault="00002DD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002DDF" w:rsidRDefault="00002DD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002DDF" w:rsidRDefault="00002DD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54"/>
    <w:multiLevelType w:val="hybridMultilevel"/>
    <w:tmpl w:val="2C447CAE"/>
    <w:lvl w:ilvl="0" w:tplc="0504B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36602"/>
    <w:multiLevelType w:val="hybridMultilevel"/>
    <w:tmpl w:val="BA6E9FAE"/>
    <w:lvl w:ilvl="0" w:tplc="B5A89E8A">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B555BAD"/>
    <w:multiLevelType w:val="hybridMultilevel"/>
    <w:tmpl w:val="B7B074DC"/>
    <w:lvl w:ilvl="0" w:tplc="0E7E7C44">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F781AA8"/>
    <w:multiLevelType w:val="hybridMultilevel"/>
    <w:tmpl w:val="F84C1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804831"/>
    <w:multiLevelType w:val="hybridMultilevel"/>
    <w:tmpl w:val="8092D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A5464E4"/>
    <w:multiLevelType w:val="hybridMultilevel"/>
    <w:tmpl w:val="E93E8312"/>
    <w:lvl w:ilvl="0" w:tplc="F76C71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6531886">
    <w:abstractNumId w:val="7"/>
  </w:num>
  <w:num w:numId="2" w16cid:durableId="672345043">
    <w:abstractNumId w:val="16"/>
  </w:num>
  <w:num w:numId="3" w16cid:durableId="463236192">
    <w:abstractNumId w:val="28"/>
  </w:num>
  <w:num w:numId="4" w16cid:durableId="1107576185">
    <w:abstractNumId w:val="23"/>
  </w:num>
  <w:num w:numId="5" w16cid:durableId="11491161">
    <w:abstractNumId w:val="2"/>
  </w:num>
  <w:num w:numId="6" w16cid:durableId="1065227960">
    <w:abstractNumId w:val="19"/>
  </w:num>
  <w:num w:numId="7" w16cid:durableId="526450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330028">
    <w:abstractNumId w:val="24"/>
  </w:num>
  <w:num w:numId="9" w16cid:durableId="1809592390">
    <w:abstractNumId w:val="9"/>
  </w:num>
  <w:num w:numId="10" w16cid:durableId="115296598">
    <w:abstractNumId w:val="5"/>
  </w:num>
  <w:num w:numId="11" w16cid:durableId="1276598409">
    <w:abstractNumId w:val="31"/>
  </w:num>
  <w:num w:numId="12" w16cid:durableId="2127892647">
    <w:abstractNumId w:val="17"/>
  </w:num>
  <w:num w:numId="13" w16cid:durableId="1617709058">
    <w:abstractNumId w:val="3"/>
  </w:num>
  <w:num w:numId="14" w16cid:durableId="1450853910">
    <w:abstractNumId w:val="22"/>
  </w:num>
  <w:num w:numId="15" w16cid:durableId="966591258">
    <w:abstractNumId w:val="15"/>
  </w:num>
  <w:num w:numId="16" w16cid:durableId="1879120400">
    <w:abstractNumId w:val="29"/>
  </w:num>
  <w:num w:numId="17" w16cid:durableId="2109813258">
    <w:abstractNumId w:val="6"/>
  </w:num>
  <w:num w:numId="18" w16cid:durableId="993992398">
    <w:abstractNumId w:val="25"/>
  </w:num>
  <w:num w:numId="19" w16cid:durableId="1744378773">
    <w:abstractNumId w:val="10"/>
  </w:num>
  <w:num w:numId="20" w16cid:durableId="1270703812">
    <w:abstractNumId w:val="30"/>
  </w:num>
  <w:num w:numId="21" w16cid:durableId="615601805">
    <w:abstractNumId w:val="20"/>
  </w:num>
  <w:num w:numId="22" w16cid:durableId="2052460819">
    <w:abstractNumId w:val="14"/>
  </w:num>
  <w:num w:numId="23" w16cid:durableId="1895122547">
    <w:abstractNumId w:val="13"/>
  </w:num>
  <w:num w:numId="24" w16cid:durableId="1633173990">
    <w:abstractNumId w:val="12"/>
  </w:num>
  <w:num w:numId="25" w16cid:durableId="1016807233">
    <w:abstractNumId w:val="21"/>
  </w:num>
  <w:num w:numId="26" w16cid:durableId="1794133892">
    <w:abstractNumId w:val="8"/>
  </w:num>
  <w:num w:numId="27" w16cid:durableId="1854563043">
    <w:abstractNumId w:val="18"/>
  </w:num>
  <w:num w:numId="28" w16cid:durableId="1665820799">
    <w:abstractNumId w:val="4"/>
  </w:num>
  <w:num w:numId="29" w16cid:durableId="816337254">
    <w:abstractNumId w:val="0"/>
  </w:num>
  <w:num w:numId="30" w16cid:durableId="1526674675">
    <w:abstractNumId w:val="26"/>
  </w:num>
  <w:num w:numId="31" w16cid:durableId="707493212">
    <w:abstractNumId w:val="27"/>
  </w:num>
  <w:num w:numId="32" w16cid:durableId="15756259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61F8"/>
    <w:rsid w:val="00010F2B"/>
    <w:rsid w:val="0001225E"/>
    <w:rsid w:val="000170DF"/>
    <w:rsid w:val="00020A70"/>
    <w:rsid w:val="00022604"/>
    <w:rsid w:val="000236FA"/>
    <w:rsid w:val="0002450B"/>
    <w:rsid w:val="0002766F"/>
    <w:rsid w:val="000306A7"/>
    <w:rsid w:val="00031C92"/>
    <w:rsid w:val="000363A2"/>
    <w:rsid w:val="0004199A"/>
    <w:rsid w:val="00045379"/>
    <w:rsid w:val="000461DF"/>
    <w:rsid w:val="00046AD8"/>
    <w:rsid w:val="00054DD0"/>
    <w:rsid w:val="00055224"/>
    <w:rsid w:val="0005543E"/>
    <w:rsid w:val="0005622A"/>
    <w:rsid w:val="0006076C"/>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DD1"/>
    <w:rsid w:val="000A70F8"/>
    <w:rsid w:val="000A71F4"/>
    <w:rsid w:val="000A733E"/>
    <w:rsid w:val="000A79DA"/>
    <w:rsid w:val="000B1702"/>
    <w:rsid w:val="000B4B51"/>
    <w:rsid w:val="000B7158"/>
    <w:rsid w:val="000C5B8B"/>
    <w:rsid w:val="000D0BC5"/>
    <w:rsid w:val="000D1B55"/>
    <w:rsid w:val="000D3C75"/>
    <w:rsid w:val="000D6116"/>
    <w:rsid w:val="000D7A3D"/>
    <w:rsid w:val="000E0557"/>
    <w:rsid w:val="000E0655"/>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54F5"/>
    <w:rsid w:val="001336D3"/>
    <w:rsid w:val="001364AA"/>
    <w:rsid w:val="00136FAD"/>
    <w:rsid w:val="00144B4A"/>
    <w:rsid w:val="00146F0A"/>
    <w:rsid w:val="00147B36"/>
    <w:rsid w:val="00152124"/>
    <w:rsid w:val="00152C2B"/>
    <w:rsid w:val="001646D0"/>
    <w:rsid w:val="00172661"/>
    <w:rsid w:val="001742A5"/>
    <w:rsid w:val="0017449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2C0F"/>
    <w:rsid w:val="001E668A"/>
    <w:rsid w:val="001F0A4F"/>
    <w:rsid w:val="001F4ADC"/>
    <w:rsid w:val="001F71ED"/>
    <w:rsid w:val="00203D3A"/>
    <w:rsid w:val="00203FF3"/>
    <w:rsid w:val="002044B4"/>
    <w:rsid w:val="00207086"/>
    <w:rsid w:val="00211D60"/>
    <w:rsid w:val="0021501E"/>
    <w:rsid w:val="0021572A"/>
    <w:rsid w:val="002205C0"/>
    <w:rsid w:val="0022494A"/>
    <w:rsid w:val="00225507"/>
    <w:rsid w:val="0023373D"/>
    <w:rsid w:val="0023423C"/>
    <w:rsid w:val="00237F4F"/>
    <w:rsid w:val="0024112D"/>
    <w:rsid w:val="002428BA"/>
    <w:rsid w:val="00244177"/>
    <w:rsid w:val="00254477"/>
    <w:rsid w:val="00257337"/>
    <w:rsid w:val="002577FE"/>
    <w:rsid w:val="0025780C"/>
    <w:rsid w:val="00262CBE"/>
    <w:rsid w:val="002646EF"/>
    <w:rsid w:val="00266AE6"/>
    <w:rsid w:val="00267C18"/>
    <w:rsid w:val="00273D0E"/>
    <w:rsid w:val="00280B8B"/>
    <w:rsid w:val="00282235"/>
    <w:rsid w:val="00292350"/>
    <w:rsid w:val="00292DC0"/>
    <w:rsid w:val="00297EF9"/>
    <w:rsid w:val="002A2034"/>
    <w:rsid w:val="002A24F4"/>
    <w:rsid w:val="002A38BF"/>
    <w:rsid w:val="002A597E"/>
    <w:rsid w:val="002B0FB9"/>
    <w:rsid w:val="002B4382"/>
    <w:rsid w:val="002B5DBD"/>
    <w:rsid w:val="002B72F9"/>
    <w:rsid w:val="002B7D92"/>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6096"/>
    <w:rsid w:val="00306974"/>
    <w:rsid w:val="00307014"/>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46C6"/>
    <w:rsid w:val="00375763"/>
    <w:rsid w:val="00375BEA"/>
    <w:rsid w:val="00376CEC"/>
    <w:rsid w:val="00380758"/>
    <w:rsid w:val="003810B1"/>
    <w:rsid w:val="003815E5"/>
    <w:rsid w:val="00381E2B"/>
    <w:rsid w:val="003838B4"/>
    <w:rsid w:val="00387929"/>
    <w:rsid w:val="00390988"/>
    <w:rsid w:val="00393D5B"/>
    <w:rsid w:val="0039460D"/>
    <w:rsid w:val="00394A1E"/>
    <w:rsid w:val="003968C7"/>
    <w:rsid w:val="003A2246"/>
    <w:rsid w:val="003A2658"/>
    <w:rsid w:val="003A61F9"/>
    <w:rsid w:val="003A6975"/>
    <w:rsid w:val="003B1E88"/>
    <w:rsid w:val="003B5E96"/>
    <w:rsid w:val="003C5243"/>
    <w:rsid w:val="003C53ED"/>
    <w:rsid w:val="003D0B7E"/>
    <w:rsid w:val="003D4E0F"/>
    <w:rsid w:val="003D5C0A"/>
    <w:rsid w:val="003E16E1"/>
    <w:rsid w:val="003E1871"/>
    <w:rsid w:val="003E504D"/>
    <w:rsid w:val="003E656A"/>
    <w:rsid w:val="003E78B7"/>
    <w:rsid w:val="003F3016"/>
    <w:rsid w:val="003F76E5"/>
    <w:rsid w:val="004012CF"/>
    <w:rsid w:val="004015EE"/>
    <w:rsid w:val="00402FF3"/>
    <w:rsid w:val="0040673A"/>
    <w:rsid w:val="004069EB"/>
    <w:rsid w:val="00410ACB"/>
    <w:rsid w:val="00411E6F"/>
    <w:rsid w:val="00412600"/>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5345"/>
    <w:rsid w:val="00475F48"/>
    <w:rsid w:val="00476790"/>
    <w:rsid w:val="00477CC2"/>
    <w:rsid w:val="00477D47"/>
    <w:rsid w:val="004814EA"/>
    <w:rsid w:val="0048180A"/>
    <w:rsid w:val="00481C7A"/>
    <w:rsid w:val="004874D4"/>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59BB"/>
    <w:rsid w:val="004B5CCC"/>
    <w:rsid w:val="004C2845"/>
    <w:rsid w:val="004C7961"/>
    <w:rsid w:val="004D0658"/>
    <w:rsid w:val="004D08EB"/>
    <w:rsid w:val="004D3B15"/>
    <w:rsid w:val="004D54E3"/>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7065"/>
    <w:rsid w:val="005128DD"/>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CE8"/>
    <w:rsid w:val="005662E2"/>
    <w:rsid w:val="005733EB"/>
    <w:rsid w:val="005734C5"/>
    <w:rsid w:val="0057453A"/>
    <w:rsid w:val="00576D51"/>
    <w:rsid w:val="0057792B"/>
    <w:rsid w:val="00580802"/>
    <w:rsid w:val="00581A22"/>
    <w:rsid w:val="005860CB"/>
    <w:rsid w:val="00593E91"/>
    <w:rsid w:val="0059442D"/>
    <w:rsid w:val="00594D38"/>
    <w:rsid w:val="0059753D"/>
    <w:rsid w:val="005A0B49"/>
    <w:rsid w:val="005A1108"/>
    <w:rsid w:val="005A353A"/>
    <w:rsid w:val="005A6D57"/>
    <w:rsid w:val="005A71FD"/>
    <w:rsid w:val="005B5840"/>
    <w:rsid w:val="005B5B70"/>
    <w:rsid w:val="005B5F05"/>
    <w:rsid w:val="005C17BF"/>
    <w:rsid w:val="005C57BA"/>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46C24"/>
    <w:rsid w:val="00652BC5"/>
    <w:rsid w:val="00661753"/>
    <w:rsid w:val="0066216F"/>
    <w:rsid w:val="006654F6"/>
    <w:rsid w:val="00675390"/>
    <w:rsid w:val="00676CAA"/>
    <w:rsid w:val="006802CF"/>
    <w:rsid w:val="006827AB"/>
    <w:rsid w:val="00683B62"/>
    <w:rsid w:val="006848B7"/>
    <w:rsid w:val="006868A7"/>
    <w:rsid w:val="006915EA"/>
    <w:rsid w:val="00694828"/>
    <w:rsid w:val="006A3810"/>
    <w:rsid w:val="006A65EE"/>
    <w:rsid w:val="006A68B8"/>
    <w:rsid w:val="006A7CEB"/>
    <w:rsid w:val="006B1953"/>
    <w:rsid w:val="006B1BF1"/>
    <w:rsid w:val="006B20F0"/>
    <w:rsid w:val="006B26E3"/>
    <w:rsid w:val="006B3085"/>
    <w:rsid w:val="006B69CF"/>
    <w:rsid w:val="006B7444"/>
    <w:rsid w:val="006C17FD"/>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2A03"/>
    <w:rsid w:val="00704EFD"/>
    <w:rsid w:val="007051A0"/>
    <w:rsid w:val="007078C8"/>
    <w:rsid w:val="00712E3A"/>
    <w:rsid w:val="00721506"/>
    <w:rsid w:val="007216DB"/>
    <w:rsid w:val="007246D3"/>
    <w:rsid w:val="00725F5A"/>
    <w:rsid w:val="007404D5"/>
    <w:rsid w:val="00744287"/>
    <w:rsid w:val="00744EEF"/>
    <w:rsid w:val="00745D76"/>
    <w:rsid w:val="00747109"/>
    <w:rsid w:val="00747487"/>
    <w:rsid w:val="007505EB"/>
    <w:rsid w:val="00751B4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6EE9"/>
    <w:rsid w:val="00807750"/>
    <w:rsid w:val="00807E35"/>
    <w:rsid w:val="00811205"/>
    <w:rsid w:val="00812C48"/>
    <w:rsid w:val="008146F9"/>
    <w:rsid w:val="008218CD"/>
    <w:rsid w:val="00821AEB"/>
    <w:rsid w:val="00824DCD"/>
    <w:rsid w:val="00833E8A"/>
    <w:rsid w:val="008357C0"/>
    <w:rsid w:val="00836987"/>
    <w:rsid w:val="00844009"/>
    <w:rsid w:val="00844569"/>
    <w:rsid w:val="00844CDE"/>
    <w:rsid w:val="00845083"/>
    <w:rsid w:val="00847CAF"/>
    <w:rsid w:val="00847D23"/>
    <w:rsid w:val="008556FF"/>
    <w:rsid w:val="00857106"/>
    <w:rsid w:val="00857765"/>
    <w:rsid w:val="00863327"/>
    <w:rsid w:val="00863A40"/>
    <w:rsid w:val="0086704E"/>
    <w:rsid w:val="00867B0E"/>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012F"/>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54E7"/>
    <w:rsid w:val="0094603F"/>
    <w:rsid w:val="00951F85"/>
    <w:rsid w:val="00952850"/>
    <w:rsid w:val="009555DC"/>
    <w:rsid w:val="009611E0"/>
    <w:rsid w:val="00962383"/>
    <w:rsid w:val="00963120"/>
    <w:rsid w:val="00965FEE"/>
    <w:rsid w:val="0096643B"/>
    <w:rsid w:val="00966B7A"/>
    <w:rsid w:val="009706B5"/>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52F2"/>
    <w:rsid w:val="009F1118"/>
    <w:rsid w:val="009F25EB"/>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39E6"/>
    <w:rsid w:val="00A33EF8"/>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977B0"/>
    <w:rsid w:val="00AA0848"/>
    <w:rsid w:val="00AA0AAF"/>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1F40"/>
    <w:rsid w:val="00AD3428"/>
    <w:rsid w:val="00AD3AA2"/>
    <w:rsid w:val="00AD43B8"/>
    <w:rsid w:val="00AD4B1A"/>
    <w:rsid w:val="00AE008F"/>
    <w:rsid w:val="00AF0161"/>
    <w:rsid w:val="00AF2A1F"/>
    <w:rsid w:val="00AF2D9B"/>
    <w:rsid w:val="00B00628"/>
    <w:rsid w:val="00B0749B"/>
    <w:rsid w:val="00B10050"/>
    <w:rsid w:val="00B10A1E"/>
    <w:rsid w:val="00B11E08"/>
    <w:rsid w:val="00B12FF9"/>
    <w:rsid w:val="00B14039"/>
    <w:rsid w:val="00B149FA"/>
    <w:rsid w:val="00B22242"/>
    <w:rsid w:val="00B2330D"/>
    <w:rsid w:val="00B32CD3"/>
    <w:rsid w:val="00B34CED"/>
    <w:rsid w:val="00B35A93"/>
    <w:rsid w:val="00B3672D"/>
    <w:rsid w:val="00B433C9"/>
    <w:rsid w:val="00B437D8"/>
    <w:rsid w:val="00B46B42"/>
    <w:rsid w:val="00B4745C"/>
    <w:rsid w:val="00B52D3E"/>
    <w:rsid w:val="00B52E55"/>
    <w:rsid w:val="00B57980"/>
    <w:rsid w:val="00B601D4"/>
    <w:rsid w:val="00B60DA2"/>
    <w:rsid w:val="00B61955"/>
    <w:rsid w:val="00B63BC9"/>
    <w:rsid w:val="00B653BB"/>
    <w:rsid w:val="00B66E86"/>
    <w:rsid w:val="00B67A20"/>
    <w:rsid w:val="00B710FE"/>
    <w:rsid w:val="00B724E8"/>
    <w:rsid w:val="00B87D50"/>
    <w:rsid w:val="00B9223B"/>
    <w:rsid w:val="00B97421"/>
    <w:rsid w:val="00BA2A94"/>
    <w:rsid w:val="00BA4D1F"/>
    <w:rsid w:val="00BA5339"/>
    <w:rsid w:val="00BA7AD1"/>
    <w:rsid w:val="00BB2250"/>
    <w:rsid w:val="00BB721B"/>
    <w:rsid w:val="00BC0FDD"/>
    <w:rsid w:val="00BC22E0"/>
    <w:rsid w:val="00BC2A46"/>
    <w:rsid w:val="00BC3FA4"/>
    <w:rsid w:val="00BD004A"/>
    <w:rsid w:val="00BD352C"/>
    <w:rsid w:val="00BD5023"/>
    <w:rsid w:val="00BD5133"/>
    <w:rsid w:val="00BD58AB"/>
    <w:rsid w:val="00BE28ED"/>
    <w:rsid w:val="00C008B2"/>
    <w:rsid w:val="00C01ABC"/>
    <w:rsid w:val="00C01F6B"/>
    <w:rsid w:val="00C12209"/>
    <w:rsid w:val="00C16927"/>
    <w:rsid w:val="00C2082E"/>
    <w:rsid w:val="00C24A09"/>
    <w:rsid w:val="00C25084"/>
    <w:rsid w:val="00C274BE"/>
    <w:rsid w:val="00C274C6"/>
    <w:rsid w:val="00C310B6"/>
    <w:rsid w:val="00C3330D"/>
    <w:rsid w:val="00C347FE"/>
    <w:rsid w:val="00C357BE"/>
    <w:rsid w:val="00C4006D"/>
    <w:rsid w:val="00C4530E"/>
    <w:rsid w:val="00C56C44"/>
    <w:rsid w:val="00C604B3"/>
    <w:rsid w:val="00C60D79"/>
    <w:rsid w:val="00C6332C"/>
    <w:rsid w:val="00C6721D"/>
    <w:rsid w:val="00C677A9"/>
    <w:rsid w:val="00C71CD1"/>
    <w:rsid w:val="00C73143"/>
    <w:rsid w:val="00C77685"/>
    <w:rsid w:val="00C77815"/>
    <w:rsid w:val="00C77977"/>
    <w:rsid w:val="00C77ABA"/>
    <w:rsid w:val="00C8085F"/>
    <w:rsid w:val="00C821B6"/>
    <w:rsid w:val="00C85378"/>
    <w:rsid w:val="00C90BE5"/>
    <w:rsid w:val="00C91B10"/>
    <w:rsid w:val="00C925E0"/>
    <w:rsid w:val="00C9297C"/>
    <w:rsid w:val="00CA5334"/>
    <w:rsid w:val="00CA6FDA"/>
    <w:rsid w:val="00CB3B6F"/>
    <w:rsid w:val="00CC0C5F"/>
    <w:rsid w:val="00CC2F3D"/>
    <w:rsid w:val="00CC4CF6"/>
    <w:rsid w:val="00CC51A7"/>
    <w:rsid w:val="00CC5FF3"/>
    <w:rsid w:val="00CC6072"/>
    <w:rsid w:val="00CD1612"/>
    <w:rsid w:val="00CD365B"/>
    <w:rsid w:val="00CD4BFA"/>
    <w:rsid w:val="00CE0E72"/>
    <w:rsid w:val="00CE2ADF"/>
    <w:rsid w:val="00CE367D"/>
    <w:rsid w:val="00CF1C84"/>
    <w:rsid w:val="00CF1D7D"/>
    <w:rsid w:val="00CF45D3"/>
    <w:rsid w:val="00CF51F9"/>
    <w:rsid w:val="00CF6B6C"/>
    <w:rsid w:val="00CF7EA2"/>
    <w:rsid w:val="00D042BB"/>
    <w:rsid w:val="00D05FAE"/>
    <w:rsid w:val="00D06CA0"/>
    <w:rsid w:val="00D0731B"/>
    <w:rsid w:val="00D115BB"/>
    <w:rsid w:val="00D11797"/>
    <w:rsid w:val="00D12C68"/>
    <w:rsid w:val="00D134FB"/>
    <w:rsid w:val="00D14FEC"/>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95B"/>
    <w:rsid w:val="00D821F8"/>
    <w:rsid w:val="00D848F9"/>
    <w:rsid w:val="00D84DDC"/>
    <w:rsid w:val="00D85695"/>
    <w:rsid w:val="00D8619F"/>
    <w:rsid w:val="00D86764"/>
    <w:rsid w:val="00D870AC"/>
    <w:rsid w:val="00D90B92"/>
    <w:rsid w:val="00D95611"/>
    <w:rsid w:val="00DA0DF2"/>
    <w:rsid w:val="00DA1152"/>
    <w:rsid w:val="00DA41D7"/>
    <w:rsid w:val="00DA494B"/>
    <w:rsid w:val="00DA5B72"/>
    <w:rsid w:val="00DB5C0A"/>
    <w:rsid w:val="00DC0220"/>
    <w:rsid w:val="00DC6FF8"/>
    <w:rsid w:val="00DD13E2"/>
    <w:rsid w:val="00DE47A1"/>
    <w:rsid w:val="00DE7DCC"/>
    <w:rsid w:val="00DF003C"/>
    <w:rsid w:val="00DF137F"/>
    <w:rsid w:val="00DF1BED"/>
    <w:rsid w:val="00DF4501"/>
    <w:rsid w:val="00DF6971"/>
    <w:rsid w:val="00DF78AE"/>
    <w:rsid w:val="00E00E78"/>
    <w:rsid w:val="00E076C1"/>
    <w:rsid w:val="00E11E2E"/>
    <w:rsid w:val="00E13C83"/>
    <w:rsid w:val="00E15555"/>
    <w:rsid w:val="00E15B7D"/>
    <w:rsid w:val="00E2408E"/>
    <w:rsid w:val="00E27CDB"/>
    <w:rsid w:val="00E371EC"/>
    <w:rsid w:val="00E43116"/>
    <w:rsid w:val="00E444DA"/>
    <w:rsid w:val="00E51A48"/>
    <w:rsid w:val="00E550AA"/>
    <w:rsid w:val="00E571F8"/>
    <w:rsid w:val="00E64F0A"/>
    <w:rsid w:val="00E67668"/>
    <w:rsid w:val="00E70AEE"/>
    <w:rsid w:val="00E7107E"/>
    <w:rsid w:val="00E71C93"/>
    <w:rsid w:val="00E725D5"/>
    <w:rsid w:val="00E72AE3"/>
    <w:rsid w:val="00E73B51"/>
    <w:rsid w:val="00E8151C"/>
    <w:rsid w:val="00E81A88"/>
    <w:rsid w:val="00E81E9C"/>
    <w:rsid w:val="00E82E15"/>
    <w:rsid w:val="00E86FA6"/>
    <w:rsid w:val="00E936FF"/>
    <w:rsid w:val="00E939C8"/>
    <w:rsid w:val="00E93A33"/>
    <w:rsid w:val="00E93B6B"/>
    <w:rsid w:val="00EA1F89"/>
    <w:rsid w:val="00EA5177"/>
    <w:rsid w:val="00EB117B"/>
    <w:rsid w:val="00EB2BEB"/>
    <w:rsid w:val="00EB386D"/>
    <w:rsid w:val="00EB40D6"/>
    <w:rsid w:val="00EB4222"/>
    <w:rsid w:val="00EB5F75"/>
    <w:rsid w:val="00EB79CD"/>
    <w:rsid w:val="00EE0F2E"/>
    <w:rsid w:val="00EE1868"/>
    <w:rsid w:val="00EE2610"/>
    <w:rsid w:val="00EE2A41"/>
    <w:rsid w:val="00EE354B"/>
    <w:rsid w:val="00EE3C1D"/>
    <w:rsid w:val="00EE6EC2"/>
    <w:rsid w:val="00EF09FB"/>
    <w:rsid w:val="00EF102E"/>
    <w:rsid w:val="00EF1925"/>
    <w:rsid w:val="00EF2489"/>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627B"/>
    <w:rsid w:val="00F5724D"/>
    <w:rsid w:val="00F6021E"/>
    <w:rsid w:val="00F60AB3"/>
    <w:rsid w:val="00F62329"/>
    <w:rsid w:val="00F635AC"/>
    <w:rsid w:val="00F65A74"/>
    <w:rsid w:val="00F727B0"/>
    <w:rsid w:val="00F72A12"/>
    <w:rsid w:val="00F76A74"/>
    <w:rsid w:val="00F81124"/>
    <w:rsid w:val="00F816C6"/>
    <w:rsid w:val="00F841CB"/>
    <w:rsid w:val="00F858D5"/>
    <w:rsid w:val="00F91AEE"/>
    <w:rsid w:val="00F97C07"/>
    <w:rsid w:val="00FA047C"/>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6BC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styleId="Mencinsinresolver">
    <w:name w:val="Unresolved Mention"/>
    <w:basedOn w:val="Fuentedeprrafopredeter"/>
    <w:uiPriority w:val="99"/>
    <w:semiHidden/>
    <w:unhideWhenUsed/>
    <w:rsid w:val="00DA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1E89-B130-42C5-977C-8B4CB9AD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4334</Words>
  <Characters>23837</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2019-11-07T00:56:00Z</cp:lastPrinted>
  <dcterms:created xsi:type="dcterms:W3CDTF">2022-06-02T01:29:00Z</dcterms:created>
  <dcterms:modified xsi:type="dcterms:W3CDTF">2022-06-02T01:59:00Z</dcterms:modified>
</cp:coreProperties>
</file>