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9BC" w:rsidRPr="00A67033" w:rsidRDefault="009F09BC" w:rsidP="009F09BC">
      <w:pPr>
        <w:tabs>
          <w:tab w:val="left" w:pos="3465"/>
        </w:tabs>
        <w:spacing w:before="240" w:after="360" w:line="360" w:lineRule="auto"/>
        <w:jc w:val="both"/>
        <w:rPr>
          <w:rFonts w:ascii="Palatino Linotype" w:hAnsi="Palatino Linotype"/>
        </w:rPr>
      </w:pPr>
      <w:r w:rsidRPr="00A6703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D0347" w:rsidRPr="00A67033">
        <w:rPr>
          <w:rFonts w:ascii="Palatino Linotype" w:hAnsi="Palatino Linotype"/>
        </w:rPr>
        <w:t>ocho</w:t>
      </w:r>
      <w:r w:rsidR="006A04B6" w:rsidRPr="00A67033">
        <w:rPr>
          <w:rFonts w:ascii="Palatino Linotype" w:hAnsi="Palatino Linotype"/>
        </w:rPr>
        <w:t xml:space="preserve"> (</w:t>
      </w:r>
      <w:r w:rsidR="00652937" w:rsidRPr="00A67033">
        <w:rPr>
          <w:rFonts w:ascii="Palatino Linotype" w:hAnsi="Palatino Linotype"/>
        </w:rPr>
        <w:t>0</w:t>
      </w:r>
      <w:r w:rsidR="00DD0347" w:rsidRPr="00A67033">
        <w:rPr>
          <w:rFonts w:ascii="Palatino Linotype" w:hAnsi="Palatino Linotype"/>
        </w:rPr>
        <w:t>8</w:t>
      </w:r>
      <w:r w:rsidRPr="00A67033">
        <w:rPr>
          <w:rFonts w:ascii="Palatino Linotype" w:hAnsi="Palatino Linotype"/>
        </w:rPr>
        <w:t xml:space="preserve">) de </w:t>
      </w:r>
      <w:r w:rsidR="00652937" w:rsidRPr="00A67033">
        <w:rPr>
          <w:rFonts w:ascii="Palatino Linotype" w:hAnsi="Palatino Linotype"/>
        </w:rPr>
        <w:t>juni</w:t>
      </w:r>
      <w:r w:rsidR="00DE2F5A" w:rsidRPr="00A67033">
        <w:rPr>
          <w:rFonts w:ascii="Palatino Linotype" w:hAnsi="Palatino Linotype"/>
        </w:rPr>
        <w:t>o</w:t>
      </w:r>
      <w:r w:rsidR="00E61C13" w:rsidRPr="00A67033">
        <w:rPr>
          <w:rFonts w:ascii="Palatino Linotype" w:hAnsi="Palatino Linotype"/>
        </w:rPr>
        <w:t xml:space="preserve"> de dos mil veintidós</w:t>
      </w:r>
      <w:r w:rsidRPr="00A67033">
        <w:rPr>
          <w:rFonts w:ascii="Palatino Linotype" w:hAnsi="Palatino Linotype"/>
        </w:rPr>
        <w:t>.</w:t>
      </w:r>
    </w:p>
    <w:p w:rsidR="009F09BC" w:rsidRPr="00A67033" w:rsidRDefault="009F09BC" w:rsidP="009F09BC">
      <w:pPr>
        <w:spacing w:before="240" w:after="360" w:line="360" w:lineRule="auto"/>
        <w:jc w:val="both"/>
        <w:rPr>
          <w:rFonts w:ascii="Palatino Linotype" w:hAnsi="Palatino Linotype"/>
          <w:b/>
        </w:rPr>
      </w:pPr>
      <w:r w:rsidRPr="00A67033">
        <w:rPr>
          <w:rFonts w:ascii="Palatino Linotype" w:hAnsi="Palatino Linotype"/>
          <w:b/>
        </w:rPr>
        <w:t>VISTO</w:t>
      </w:r>
      <w:r w:rsidRPr="00A67033">
        <w:rPr>
          <w:rFonts w:ascii="Palatino Linotype" w:hAnsi="Palatino Linotype"/>
        </w:rPr>
        <w:t xml:space="preserve"> </w:t>
      </w:r>
      <w:r w:rsidR="008A699B" w:rsidRPr="00A67033">
        <w:rPr>
          <w:rFonts w:ascii="Palatino Linotype" w:hAnsi="Palatino Linotype"/>
        </w:rPr>
        <w:t>e</w:t>
      </w:r>
      <w:r w:rsidRPr="00A67033">
        <w:rPr>
          <w:rFonts w:ascii="Palatino Linotype" w:hAnsi="Palatino Linotype"/>
        </w:rPr>
        <w:t xml:space="preserve">l expediente electrónico formado con motivo del recurso de revisión </w:t>
      </w:r>
      <w:r w:rsidR="00AE2D73" w:rsidRPr="00A67033">
        <w:rPr>
          <w:rFonts w:ascii="Palatino Linotype" w:hAnsi="Palatino Linotype"/>
          <w:b/>
        </w:rPr>
        <w:t>05243/INFOEM/IP/RR/2022</w:t>
      </w:r>
      <w:r w:rsidRPr="00A67033">
        <w:rPr>
          <w:rFonts w:ascii="Palatino Linotype" w:hAnsi="Palatino Linotype"/>
        </w:rPr>
        <w:t>,</w:t>
      </w:r>
      <w:r w:rsidRPr="00A67033">
        <w:rPr>
          <w:rFonts w:ascii="Palatino Linotype" w:hAnsi="Palatino Linotype" w:cs="Arial"/>
          <w:b/>
          <w:bCs/>
        </w:rPr>
        <w:t xml:space="preserve"> </w:t>
      </w:r>
      <w:r w:rsidRPr="00A67033">
        <w:rPr>
          <w:rFonts w:ascii="Palatino Linotype" w:hAnsi="Palatino Linotype"/>
        </w:rPr>
        <w:t xml:space="preserve">promovido por </w:t>
      </w:r>
      <w:r w:rsidR="002207A3">
        <w:rPr>
          <w:rFonts w:ascii="Palatino Linotype" w:hAnsi="Palatino Linotype"/>
          <w:b/>
        </w:rPr>
        <w:t xml:space="preserve">XXXXX </w:t>
      </w:r>
      <w:proofErr w:type="spellStart"/>
      <w:r w:rsidR="002207A3">
        <w:rPr>
          <w:rFonts w:ascii="Palatino Linotype" w:hAnsi="Palatino Linotype"/>
          <w:b/>
        </w:rPr>
        <w:t>XXXXX</w:t>
      </w:r>
      <w:proofErr w:type="spellEnd"/>
      <w:r w:rsidR="002207A3">
        <w:rPr>
          <w:rFonts w:ascii="Palatino Linotype" w:hAnsi="Palatino Linotype"/>
          <w:b/>
        </w:rPr>
        <w:t xml:space="preserve"> XXXXXX</w:t>
      </w:r>
      <w:bookmarkStart w:id="0" w:name="_GoBack"/>
      <w:bookmarkEnd w:id="0"/>
      <w:r w:rsidRPr="00A67033">
        <w:rPr>
          <w:rFonts w:ascii="Palatino Linotype" w:hAnsi="Palatino Linotype"/>
        </w:rPr>
        <w:t xml:space="preserve">, a quien en lo sucesivo se le identificará como </w:t>
      </w:r>
      <w:r w:rsidR="00AA0736" w:rsidRPr="00A67033">
        <w:rPr>
          <w:rFonts w:ascii="Palatino Linotype" w:hAnsi="Palatino Linotype"/>
          <w:b/>
        </w:rPr>
        <w:t>EL RECURRENTE</w:t>
      </w:r>
      <w:r w:rsidRPr="00A67033">
        <w:rPr>
          <w:rFonts w:ascii="Palatino Linotype" w:hAnsi="Palatino Linotype" w:cs="Arial"/>
        </w:rPr>
        <w:t xml:space="preserve">, en contra de la respuesta </w:t>
      </w:r>
      <w:r w:rsidR="00652937" w:rsidRPr="00A67033">
        <w:rPr>
          <w:rFonts w:ascii="Palatino Linotype" w:hAnsi="Palatino Linotype" w:cs="Arial"/>
        </w:rPr>
        <w:t xml:space="preserve">del </w:t>
      </w:r>
      <w:r w:rsidR="00AE2D73" w:rsidRPr="00A67033">
        <w:rPr>
          <w:rFonts w:ascii="Palatino Linotype" w:hAnsi="Palatino Linotype" w:cs="Arial"/>
          <w:b/>
        </w:rPr>
        <w:t xml:space="preserve">Ayuntamiento de </w:t>
      </w:r>
      <w:proofErr w:type="spellStart"/>
      <w:r w:rsidR="00AE2D73" w:rsidRPr="00A67033">
        <w:rPr>
          <w:rFonts w:ascii="Palatino Linotype" w:hAnsi="Palatino Linotype" w:cs="Arial"/>
          <w:b/>
        </w:rPr>
        <w:t>Xalatlaco</w:t>
      </w:r>
      <w:proofErr w:type="spellEnd"/>
      <w:r w:rsidRPr="00A67033">
        <w:rPr>
          <w:rFonts w:ascii="Palatino Linotype" w:hAnsi="Palatino Linotype" w:cs="Arial"/>
          <w:b/>
        </w:rPr>
        <w:t>,</w:t>
      </w:r>
      <w:r w:rsidRPr="00A67033">
        <w:rPr>
          <w:rFonts w:ascii="Palatino Linotype" w:hAnsi="Palatino Linotype"/>
          <w:b/>
        </w:rPr>
        <w:t xml:space="preserve"> </w:t>
      </w:r>
      <w:r w:rsidRPr="00A67033">
        <w:rPr>
          <w:rFonts w:ascii="Palatino Linotype" w:hAnsi="Palatino Linotype"/>
        </w:rPr>
        <w:t>en lo sucesivo el</w:t>
      </w:r>
      <w:r w:rsidRPr="00A67033">
        <w:rPr>
          <w:rFonts w:ascii="Palatino Linotype" w:hAnsi="Palatino Linotype"/>
          <w:b/>
        </w:rPr>
        <w:t xml:space="preserve"> SUJETO OBLIGADO</w:t>
      </w:r>
      <w:r w:rsidRPr="00A67033">
        <w:rPr>
          <w:rFonts w:ascii="Palatino Linotype" w:hAnsi="Palatino Linotype"/>
        </w:rPr>
        <w:t>, se procede a dictar la presente resolución, con base en los siguientes:</w:t>
      </w:r>
    </w:p>
    <w:p w:rsidR="009F09BC" w:rsidRPr="00A67033"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A67033">
        <w:rPr>
          <w:rFonts w:ascii="Palatino Linotype" w:hAnsi="Palatino Linotype"/>
          <w:b/>
          <w:color w:val="000000" w:themeColor="text1"/>
          <w:sz w:val="24"/>
          <w:szCs w:val="24"/>
        </w:rPr>
        <w:t>ANTECEDENTES</w:t>
      </w:r>
      <w:bookmarkEnd w:id="1"/>
      <w:bookmarkEnd w:id="2"/>
      <w:bookmarkEnd w:id="3"/>
    </w:p>
    <w:p w:rsidR="009F09BC" w:rsidRPr="00A67033" w:rsidRDefault="009F09BC" w:rsidP="00D56143">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67033">
        <w:rPr>
          <w:rFonts w:ascii="Palatino Linotype" w:eastAsia="Calibri" w:hAnsi="Palatino Linotype" w:cs="Arial"/>
          <w:lang w:val="es-ES"/>
        </w:rPr>
        <w:t xml:space="preserve">El día </w:t>
      </w:r>
      <w:r w:rsidR="00AE2D73" w:rsidRPr="00A67033">
        <w:rPr>
          <w:rFonts w:ascii="Palatino Linotype" w:eastAsia="Calibri" w:hAnsi="Palatino Linotype" w:cs="Arial"/>
          <w:lang w:val="es-ES"/>
        </w:rPr>
        <w:t>veinticuatro</w:t>
      </w:r>
      <w:r w:rsidRPr="00A67033">
        <w:rPr>
          <w:rFonts w:ascii="Palatino Linotype" w:eastAsia="Calibri" w:hAnsi="Palatino Linotype" w:cs="Arial"/>
          <w:lang w:val="es-ES"/>
        </w:rPr>
        <w:t xml:space="preserve"> (</w:t>
      </w:r>
      <w:r w:rsidR="00DD0347" w:rsidRPr="00A67033">
        <w:rPr>
          <w:rFonts w:ascii="Palatino Linotype" w:eastAsia="Calibri" w:hAnsi="Palatino Linotype" w:cs="Arial"/>
          <w:lang w:val="es-ES"/>
        </w:rPr>
        <w:t>2</w:t>
      </w:r>
      <w:r w:rsidR="00AE2D73" w:rsidRPr="00A67033">
        <w:rPr>
          <w:rFonts w:ascii="Palatino Linotype" w:eastAsia="Calibri" w:hAnsi="Palatino Linotype" w:cs="Arial"/>
          <w:lang w:val="es-ES"/>
        </w:rPr>
        <w:t>4</w:t>
      </w:r>
      <w:r w:rsidRPr="00A67033">
        <w:rPr>
          <w:rFonts w:ascii="Palatino Linotype" w:eastAsia="Calibri" w:hAnsi="Palatino Linotype" w:cs="Arial"/>
          <w:lang w:val="es-ES"/>
        </w:rPr>
        <w:t xml:space="preserve">) de </w:t>
      </w:r>
      <w:r w:rsidR="002D294C" w:rsidRPr="00A67033">
        <w:rPr>
          <w:rFonts w:ascii="Palatino Linotype" w:eastAsia="Calibri" w:hAnsi="Palatino Linotype" w:cs="Arial"/>
          <w:lang w:val="es-ES"/>
        </w:rPr>
        <w:t>febre</w:t>
      </w:r>
      <w:r w:rsidR="00E61C13" w:rsidRPr="00A67033">
        <w:rPr>
          <w:rFonts w:ascii="Palatino Linotype" w:eastAsia="Calibri" w:hAnsi="Palatino Linotype" w:cs="Arial"/>
          <w:lang w:val="es-ES"/>
        </w:rPr>
        <w:t>ro de dos mil veintidós</w:t>
      </w:r>
      <w:r w:rsidRPr="00A67033">
        <w:rPr>
          <w:rFonts w:ascii="Palatino Linotype" w:hAnsi="Palatino Linotype"/>
          <w:b/>
        </w:rPr>
        <w:t xml:space="preserve">, </w:t>
      </w:r>
      <w:r w:rsidRPr="00A67033">
        <w:rPr>
          <w:rFonts w:ascii="Palatino Linotype" w:eastAsia="Calibri" w:hAnsi="Palatino Linotype" w:cs="Arial"/>
          <w:lang w:val="es-ES"/>
        </w:rPr>
        <w:t xml:space="preserve">se presentó ante el </w:t>
      </w:r>
      <w:r w:rsidRPr="00A67033">
        <w:rPr>
          <w:rFonts w:ascii="Palatino Linotype" w:eastAsia="Calibri" w:hAnsi="Palatino Linotype" w:cs="Arial"/>
          <w:b/>
          <w:lang w:val="es-ES"/>
        </w:rPr>
        <w:t>SUJETO OBLIGADO</w:t>
      </w:r>
      <w:r w:rsidRPr="00A67033">
        <w:rPr>
          <w:rFonts w:ascii="Palatino Linotype" w:eastAsia="Calibri" w:hAnsi="Palatino Linotype" w:cs="Arial"/>
        </w:rPr>
        <w:t xml:space="preserve"> vía </w:t>
      </w:r>
      <w:r w:rsidR="008A699B" w:rsidRPr="00A67033">
        <w:rPr>
          <w:rFonts w:ascii="Palatino Linotype" w:eastAsia="Calibri" w:hAnsi="Palatino Linotype" w:cs="Arial"/>
          <w:lang w:val="es-ES"/>
        </w:rPr>
        <w:t>SAIMEX, la solicitud</w:t>
      </w:r>
      <w:r w:rsidRPr="00A67033">
        <w:rPr>
          <w:rFonts w:ascii="Palatino Linotype" w:eastAsia="Calibri" w:hAnsi="Palatino Linotype" w:cs="Arial"/>
          <w:lang w:val="es-ES"/>
        </w:rPr>
        <w:t xml:space="preserve"> de información pública</w:t>
      </w:r>
      <w:r w:rsidR="008A699B" w:rsidRPr="00A67033">
        <w:rPr>
          <w:rFonts w:ascii="Palatino Linotype" w:eastAsia="Calibri" w:hAnsi="Palatino Linotype" w:cs="Arial"/>
          <w:lang w:val="es-ES"/>
        </w:rPr>
        <w:t xml:space="preserve"> registrada</w:t>
      </w:r>
      <w:r w:rsidRPr="00A67033">
        <w:rPr>
          <w:rFonts w:ascii="Palatino Linotype" w:eastAsia="Calibri" w:hAnsi="Palatino Linotype" w:cs="Arial"/>
          <w:lang w:val="es-ES"/>
        </w:rPr>
        <w:t xml:space="preserve"> con </w:t>
      </w:r>
      <w:r w:rsidR="008A699B" w:rsidRPr="00A67033">
        <w:rPr>
          <w:rFonts w:ascii="Palatino Linotype" w:eastAsia="Calibri" w:hAnsi="Palatino Linotype" w:cs="Arial"/>
          <w:lang w:val="es-ES"/>
        </w:rPr>
        <w:t xml:space="preserve">el </w:t>
      </w:r>
      <w:r w:rsidRPr="00A67033">
        <w:rPr>
          <w:rFonts w:ascii="Palatino Linotype" w:eastAsia="Calibri" w:hAnsi="Palatino Linotype" w:cs="Arial"/>
          <w:lang w:val="es-ES"/>
        </w:rPr>
        <w:t>número</w:t>
      </w:r>
      <w:r w:rsidRPr="00A67033">
        <w:rPr>
          <w:rFonts w:ascii="Palatino Linotype" w:hAnsi="Palatino Linotype"/>
          <w:b/>
          <w:bCs/>
          <w:color w:val="000000" w:themeColor="text1"/>
        </w:rPr>
        <w:t xml:space="preserve"> </w:t>
      </w:r>
      <w:r w:rsidR="00AE2D73" w:rsidRPr="00A67033">
        <w:rPr>
          <w:rFonts w:ascii="Palatino Linotype" w:hAnsi="Palatino Linotype"/>
          <w:b/>
          <w:bCs/>
          <w:color w:val="000000" w:themeColor="text1"/>
        </w:rPr>
        <w:t>00047/XALATLA/IP/2022</w:t>
      </w:r>
      <w:r w:rsidRPr="00A67033">
        <w:rPr>
          <w:rFonts w:ascii="Palatino Linotype" w:hAnsi="Palatino Linotype"/>
          <w:b/>
          <w:bCs/>
          <w:color w:val="000000" w:themeColor="text1"/>
        </w:rPr>
        <w:t xml:space="preserve">; </w:t>
      </w:r>
      <w:r w:rsidRPr="00A67033">
        <w:rPr>
          <w:rFonts w:ascii="Palatino Linotype" w:eastAsia="Calibri" w:hAnsi="Palatino Linotype" w:cs="Arial"/>
          <w:lang w:val="es-ES"/>
        </w:rPr>
        <w:t>mediante la cual se solicitó la siguiente información:</w:t>
      </w:r>
    </w:p>
    <w:p w:rsidR="008A699B" w:rsidRPr="00A67033"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A67033" w:rsidRDefault="008A699B" w:rsidP="008A699B">
      <w:pPr>
        <w:pStyle w:val="Prrafodelista"/>
        <w:spacing w:line="360" w:lineRule="auto"/>
        <w:ind w:left="426" w:right="474"/>
        <w:jc w:val="both"/>
        <w:rPr>
          <w:rFonts w:ascii="Palatino Linotype" w:hAnsi="Palatino Linotype"/>
          <w:i/>
        </w:rPr>
      </w:pPr>
      <w:r w:rsidRPr="00A67033">
        <w:rPr>
          <w:rFonts w:ascii="Palatino Linotype" w:hAnsi="Palatino Linotype"/>
          <w:i/>
        </w:rPr>
        <w:t>“</w:t>
      </w:r>
      <w:r w:rsidR="00AE2D73" w:rsidRPr="00A67033">
        <w:rPr>
          <w:rFonts w:ascii="Palatino Linotype" w:hAnsi="Palatino Linotype"/>
          <w:i/>
        </w:rPr>
        <w:t xml:space="preserve">Solicito número de expediente, por cuánto demando al ayuntamiento de </w:t>
      </w:r>
      <w:proofErr w:type="spellStart"/>
      <w:r w:rsidR="00AE2D73" w:rsidRPr="00A67033">
        <w:rPr>
          <w:rFonts w:ascii="Palatino Linotype" w:hAnsi="Palatino Linotype"/>
          <w:i/>
        </w:rPr>
        <w:t>xalatlaco</w:t>
      </w:r>
      <w:proofErr w:type="spellEnd"/>
      <w:r w:rsidR="00AE2D73" w:rsidRPr="00A67033">
        <w:rPr>
          <w:rFonts w:ascii="Palatino Linotype" w:hAnsi="Palatino Linotype"/>
          <w:i/>
        </w:rPr>
        <w:t xml:space="preserve">, y la causal del titular de transparencia del primero de enero del 2019 al 30 de enero del 2020, toda información es pública, ya que se está íntegra en otro ente </w:t>
      </w:r>
      <w:proofErr w:type="spellStart"/>
      <w:r w:rsidR="00AE2D73" w:rsidRPr="00A67033">
        <w:rPr>
          <w:rFonts w:ascii="Palatino Linotype" w:hAnsi="Palatino Linotype"/>
          <w:i/>
        </w:rPr>
        <w:t>publico</w:t>
      </w:r>
      <w:proofErr w:type="spellEnd"/>
      <w:r w:rsidRPr="00A67033">
        <w:rPr>
          <w:rFonts w:ascii="Palatino Linotype" w:hAnsi="Palatino Linotype"/>
          <w:i/>
        </w:rPr>
        <w:t>”</w:t>
      </w:r>
    </w:p>
    <w:p w:rsidR="008A699B" w:rsidRPr="00A67033" w:rsidRDefault="008A699B" w:rsidP="009F09BC">
      <w:pPr>
        <w:pStyle w:val="Prrafodelista"/>
        <w:spacing w:line="360" w:lineRule="auto"/>
        <w:ind w:left="851" w:right="34"/>
        <w:jc w:val="both"/>
        <w:rPr>
          <w:rFonts w:ascii="Palatino Linotype" w:hAnsi="Palatino Linotype"/>
        </w:rPr>
      </w:pPr>
    </w:p>
    <w:p w:rsidR="009F09BC" w:rsidRPr="00A67033" w:rsidRDefault="009F09BC" w:rsidP="00D56143">
      <w:pPr>
        <w:pStyle w:val="Prrafodelista"/>
        <w:numPr>
          <w:ilvl w:val="0"/>
          <w:numId w:val="2"/>
        </w:numPr>
        <w:spacing w:line="360" w:lineRule="auto"/>
        <w:ind w:left="426" w:right="34"/>
        <w:jc w:val="both"/>
        <w:rPr>
          <w:rFonts w:ascii="Palatino Linotype" w:hAnsi="Palatino Linotype"/>
        </w:rPr>
      </w:pPr>
      <w:r w:rsidRPr="00A67033">
        <w:rPr>
          <w:rFonts w:ascii="Palatino Linotype" w:eastAsia="Times New Roman" w:hAnsi="Palatino Linotype" w:cs="Arial"/>
          <w:lang w:val="es-ES"/>
        </w:rPr>
        <w:t>Se eligió como modalidad de entrega de la información</w:t>
      </w:r>
      <w:r w:rsidRPr="00A67033">
        <w:rPr>
          <w:rFonts w:ascii="Palatino Linotype" w:hAnsi="Palatino Linotype"/>
        </w:rPr>
        <w:t xml:space="preserve">: A través del </w:t>
      </w:r>
      <w:r w:rsidRPr="00A67033">
        <w:rPr>
          <w:rFonts w:ascii="Palatino Linotype" w:hAnsi="Palatino Linotype"/>
          <w:b/>
        </w:rPr>
        <w:t>SAIMEX</w:t>
      </w:r>
    </w:p>
    <w:p w:rsidR="00DD0347" w:rsidRPr="00A67033" w:rsidRDefault="00DD0347" w:rsidP="00DD0347">
      <w:pPr>
        <w:pStyle w:val="Prrafodelista"/>
        <w:spacing w:line="360" w:lineRule="auto"/>
        <w:ind w:left="851" w:right="34"/>
        <w:jc w:val="both"/>
        <w:rPr>
          <w:rFonts w:ascii="Palatino Linotype" w:hAnsi="Palatino Linotype"/>
        </w:rPr>
      </w:pPr>
    </w:p>
    <w:p w:rsidR="009F09BC" w:rsidRPr="00A67033" w:rsidRDefault="00AE2D73" w:rsidP="00D56143">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A67033">
        <w:rPr>
          <w:rFonts w:ascii="Palatino Linotype" w:hAnsi="Palatino Linotype" w:cs="Arial"/>
          <w:color w:val="000000" w:themeColor="text1"/>
        </w:rPr>
        <w:t>El dieciocho</w:t>
      </w:r>
      <w:r w:rsidR="009F09BC" w:rsidRPr="00A67033">
        <w:rPr>
          <w:rFonts w:ascii="Palatino Linotype" w:hAnsi="Palatino Linotype" w:cs="Arial"/>
          <w:color w:val="000000" w:themeColor="text1"/>
        </w:rPr>
        <w:t xml:space="preserve"> (</w:t>
      </w:r>
      <w:r w:rsidRPr="00A67033">
        <w:rPr>
          <w:rFonts w:ascii="Palatino Linotype" w:hAnsi="Palatino Linotype" w:cs="Arial"/>
          <w:color w:val="000000" w:themeColor="text1"/>
        </w:rPr>
        <w:t>18</w:t>
      </w:r>
      <w:r w:rsidR="009F09BC" w:rsidRPr="00A67033">
        <w:rPr>
          <w:rFonts w:ascii="Palatino Linotype" w:hAnsi="Palatino Linotype" w:cs="Arial"/>
          <w:color w:val="000000" w:themeColor="text1"/>
        </w:rPr>
        <w:t xml:space="preserve">) de </w:t>
      </w:r>
      <w:r w:rsidRPr="00A67033">
        <w:rPr>
          <w:rFonts w:ascii="Palatino Linotype" w:hAnsi="Palatino Linotype" w:cs="Arial"/>
          <w:color w:val="000000" w:themeColor="text1"/>
        </w:rPr>
        <w:t>marz</w:t>
      </w:r>
      <w:r w:rsidR="002C4997" w:rsidRPr="00A67033">
        <w:rPr>
          <w:rFonts w:ascii="Palatino Linotype" w:hAnsi="Palatino Linotype" w:cs="Arial"/>
          <w:color w:val="000000" w:themeColor="text1"/>
        </w:rPr>
        <w:t>o de dos mil veintidós</w:t>
      </w:r>
      <w:r w:rsidR="009F09BC" w:rsidRPr="00A67033">
        <w:rPr>
          <w:rFonts w:ascii="Palatino Linotype" w:hAnsi="Palatino Linotype" w:cs="Arial"/>
          <w:color w:val="000000" w:themeColor="text1"/>
        </w:rPr>
        <w:t xml:space="preserve">, el </w:t>
      </w:r>
      <w:r w:rsidR="009F09BC" w:rsidRPr="00A67033">
        <w:rPr>
          <w:rFonts w:ascii="Palatino Linotype" w:hAnsi="Palatino Linotype" w:cs="Arial"/>
          <w:b/>
          <w:color w:val="000000" w:themeColor="text1"/>
        </w:rPr>
        <w:t>SUJETO OBLIGADO,</w:t>
      </w:r>
      <w:r w:rsidR="009F09BC" w:rsidRPr="00A67033">
        <w:rPr>
          <w:rFonts w:ascii="Palatino Linotype" w:hAnsi="Palatino Linotype" w:cs="Arial"/>
          <w:color w:val="000000" w:themeColor="text1"/>
        </w:rPr>
        <w:t xml:space="preserve"> dio respuesta</w:t>
      </w:r>
      <w:r w:rsidR="00DD0347" w:rsidRPr="00A67033">
        <w:rPr>
          <w:rFonts w:ascii="Palatino Linotype" w:hAnsi="Palatino Linotype" w:cs="Arial"/>
          <w:color w:val="000000" w:themeColor="text1"/>
        </w:rPr>
        <w:t xml:space="preserve"> </w:t>
      </w:r>
      <w:r w:rsidR="002C4997" w:rsidRPr="00A67033">
        <w:rPr>
          <w:rFonts w:ascii="Palatino Linotype" w:hAnsi="Palatino Linotype" w:cs="Arial"/>
          <w:color w:val="000000" w:themeColor="text1"/>
        </w:rPr>
        <w:t>en los siguientes términos</w:t>
      </w:r>
      <w:r w:rsidR="009F09BC" w:rsidRPr="00A67033">
        <w:rPr>
          <w:rFonts w:ascii="Palatino Linotype" w:hAnsi="Palatino Linotype" w:cs="Arial"/>
          <w:color w:val="000000" w:themeColor="text1"/>
        </w:rPr>
        <w:t>:</w:t>
      </w:r>
    </w:p>
    <w:p w:rsidR="00DD0347" w:rsidRPr="00A67033" w:rsidRDefault="00AE2D73" w:rsidP="00AE2D73">
      <w:pPr>
        <w:pStyle w:val="Prrafodelista"/>
        <w:tabs>
          <w:tab w:val="left" w:pos="0"/>
        </w:tabs>
        <w:spacing w:line="360" w:lineRule="auto"/>
        <w:ind w:left="0" w:right="51"/>
        <w:jc w:val="center"/>
        <w:rPr>
          <w:rFonts w:ascii="Palatino Linotype" w:hAnsi="Palatino Linotype" w:cs="Arial"/>
          <w:color w:val="000000" w:themeColor="text1"/>
        </w:rPr>
      </w:pPr>
      <w:r w:rsidRPr="00A67033">
        <w:rPr>
          <w:rFonts w:ascii="Palatino Linotype" w:hAnsi="Palatino Linotype" w:cs="Arial"/>
          <w:noProof/>
          <w:color w:val="000000" w:themeColor="text1"/>
          <w:lang w:val="es-ES"/>
        </w:rPr>
        <w:lastRenderedPageBreak/>
        <w:drawing>
          <wp:inline distT="0" distB="0" distL="0" distR="0">
            <wp:extent cx="4626591" cy="6417725"/>
            <wp:effectExtent l="19050" t="19050" r="22225"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7628" cy="6419164"/>
                    </a:xfrm>
                    <a:prstGeom prst="rect">
                      <a:avLst/>
                    </a:prstGeom>
                    <a:noFill/>
                    <a:ln>
                      <a:solidFill>
                        <a:schemeClr val="tx1"/>
                      </a:solidFill>
                    </a:ln>
                  </pic:spPr>
                </pic:pic>
              </a:graphicData>
            </a:graphic>
          </wp:inline>
        </w:drawing>
      </w:r>
    </w:p>
    <w:p w:rsidR="00AE2D73" w:rsidRPr="00A67033" w:rsidRDefault="00AE2D73" w:rsidP="00AE2D73">
      <w:pPr>
        <w:pStyle w:val="Prrafodelista"/>
        <w:tabs>
          <w:tab w:val="left" w:pos="0"/>
        </w:tabs>
        <w:spacing w:line="360" w:lineRule="auto"/>
        <w:ind w:left="0" w:right="51"/>
        <w:jc w:val="center"/>
        <w:rPr>
          <w:rFonts w:ascii="Palatino Linotype" w:hAnsi="Palatino Linotype" w:cs="Arial"/>
          <w:color w:val="000000" w:themeColor="text1"/>
        </w:rPr>
      </w:pPr>
      <w:r w:rsidRPr="00A67033">
        <w:rPr>
          <w:rFonts w:ascii="Palatino Linotype" w:hAnsi="Palatino Linotype" w:cs="Arial"/>
          <w:noProof/>
          <w:color w:val="000000" w:themeColor="text1"/>
          <w:lang w:val="es-ES"/>
        </w:rPr>
        <w:lastRenderedPageBreak/>
        <w:drawing>
          <wp:inline distT="0" distB="0" distL="0" distR="0">
            <wp:extent cx="4517408" cy="6888757"/>
            <wp:effectExtent l="19050" t="19050" r="1651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7730" cy="6889248"/>
                    </a:xfrm>
                    <a:prstGeom prst="rect">
                      <a:avLst/>
                    </a:prstGeom>
                    <a:noFill/>
                    <a:ln>
                      <a:solidFill>
                        <a:schemeClr val="tx1"/>
                      </a:solidFill>
                    </a:ln>
                  </pic:spPr>
                </pic:pic>
              </a:graphicData>
            </a:graphic>
          </wp:inline>
        </w:drawing>
      </w:r>
    </w:p>
    <w:p w:rsidR="00DD0347" w:rsidRPr="00A67033" w:rsidRDefault="00DD0347" w:rsidP="00DD0347">
      <w:pPr>
        <w:pStyle w:val="Prrafodelista"/>
        <w:tabs>
          <w:tab w:val="left" w:pos="0"/>
        </w:tabs>
        <w:spacing w:line="360" w:lineRule="auto"/>
        <w:ind w:left="0" w:right="51"/>
        <w:jc w:val="center"/>
        <w:rPr>
          <w:rFonts w:ascii="Palatino Linotype" w:hAnsi="Palatino Linotype" w:cs="Arial"/>
          <w:i/>
          <w:color w:val="000000" w:themeColor="text1"/>
        </w:rPr>
      </w:pPr>
    </w:p>
    <w:p w:rsidR="009F09BC" w:rsidRPr="00A67033" w:rsidRDefault="009F09BC" w:rsidP="00D56143">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67033">
        <w:rPr>
          <w:rFonts w:ascii="Palatino Linotype" w:eastAsia="Times New Roman" w:hAnsi="Palatino Linotype" w:cs="Arial"/>
          <w:color w:val="000000" w:themeColor="text1"/>
          <w:lang w:val="es-ES"/>
        </w:rPr>
        <w:lastRenderedPageBreak/>
        <w:t>E</w:t>
      </w:r>
      <w:r w:rsidR="002C4997" w:rsidRPr="00A67033">
        <w:rPr>
          <w:rFonts w:ascii="Palatino Linotype" w:eastAsia="Times New Roman" w:hAnsi="Palatino Linotype" w:cs="Arial"/>
          <w:color w:val="000000" w:themeColor="text1"/>
          <w:lang w:val="es-ES"/>
        </w:rPr>
        <w:t xml:space="preserve">l </w:t>
      </w:r>
      <w:r w:rsidR="00AE2D73" w:rsidRPr="00A67033">
        <w:rPr>
          <w:rFonts w:ascii="Palatino Linotype" w:eastAsia="Times New Roman" w:hAnsi="Palatino Linotype" w:cs="Arial"/>
          <w:color w:val="000000" w:themeColor="text1"/>
          <w:lang w:val="es-ES"/>
        </w:rPr>
        <w:t>treinta</w:t>
      </w:r>
      <w:r w:rsidR="002C4997" w:rsidRPr="00A67033">
        <w:rPr>
          <w:rFonts w:ascii="Palatino Linotype" w:eastAsia="Times New Roman" w:hAnsi="Palatino Linotype" w:cs="Arial"/>
          <w:color w:val="000000" w:themeColor="text1"/>
          <w:lang w:val="es-ES"/>
        </w:rPr>
        <w:t xml:space="preserve"> </w:t>
      </w:r>
      <w:r w:rsidRPr="00A67033">
        <w:rPr>
          <w:rFonts w:ascii="Palatino Linotype" w:eastAsia="Times New Roman" w:hAnsi="Palatino Linotype" w:cs="Arial"/>
          <w:color w:val="000000" w:themeColor="text1"/>
          <w:lang w:val="es-ES"/>
        </w:rPr>
        <w:t>(</w:t>
      </w:r>
      <w:r w:rsidR="00AE2D73" w:rsidRPr="00A67033">
        <w:rPr>
          <w:rFonts w:ascii="Palatino Linotype" w:eastAsia="Times New Roman" w:hAnsi="Palatino Linotype" w:cs="Arial"/>
          <w:color w:val="000000" w:themeColor="text1"/>
          <w:lang w:val="es-ES"/>
        </w:rPr>
        <w:t>30</w:t>
      </w:r>
      <w:r w:rsidRPr="00A67033">
        <w:rPr>
          <w:rFonts w:ascii="Palatino Linotype" w:eastAsia="Times New Roman" w:hAnsi="Palatino Linotype" w:cs="Arial"/>
          <w:color w:val="000000" w:themeColor="text1"/>
          <w:lang w:val="es-ES"/>
        </w:rPr>
        <w:t xml:space="preserve">) de </w:t>
      </w:r>
      <w:r w:rsidR="00AE2D73" w:rsidRPr="00A67033">
        <w:rPr>
          <w:rFonts w:ascii="Palatino Linotype" w:eastAsia="Times New Roman" w:hAnsi="Palatino Linotype" w:cs="Arial"/>
          <w:color w:val="000000" w:themeColor="text1"/>
          <w:lang w:val="es-ES"/>
        </w:rPr>
        <w:t>marz</w:t>
      </w:r>
      <w:r w:rsidRPr="00A67033">
        <w:rPr>
          <w:rFonts w:ascii="Palatino Linotype" w:eastAsia="Times New Roman" w:hAnsi="Palatino Linotype" w:cs="Arial"/>
          <w:color w:val="000000" w:themeColor="text1"/>
          <w:lang w:val="es-ES"/>
        </w:rPr>
        <w:t xml:space="preserve">o de </w:t>
      </w:r>
      <w:r w:rsidR="00025C53" w:rsidRPr="00A67033">
        <w:rPr>
          <w:rFonts w:ascii="Palatino Linotype" w:eastAsia="Times New Roman" w:hAnsi="Palatino Linotype" w:cs="Arial"/>
          <w:color w:val="000000" w:themeColor="text1"/>
          <w:lang w:val="es-ES"/>
        </w:rPr>
        <w:t>dos mil veintidós</w:t>
      </w:r>
      <w:r w:rsidRPr="00A67033">
        <w:rPr>
          <w:rFonts w:ascii="Palatino Linotype" w:eastAsia="Times New Roman" w:hAnsi="Palatino Linotype" w:cs="Arial"/>
          <w:color w:val="000000" w:themeColor="text1"/>
          <w:lang w:val="es-ES"/>
        </w:rPr>
        <w:t xml:space="preserve">, el particular interpuso </w:t>
      </w:r>
      <w:r w:rsidR="002C4997" w:rsidRPr="00A67033">
        <w:rPr>
          <w:rFonts w:ascii="Palatino Linotype" w:eastAsia="Times New Roman" w:hAnsi="Palatino Linotype" w:cs="Arial"/>
          <w:color w:val="000000" w:themeColor="text1"/>
          <w:lang w:val="es-ES"/>
        </w:rPr>
        <w:t>e</w:t>
      </w:r>
      <w:r w:rsidRPr="00A67033">
        <w:rPr>
          <w:rFonts w:ascii="Palatino Linotype" w:eastAsia="Times New Roman" w:hAnsi="Palatino Linotype" w:cs="Arial"/>
          <w:color w:val="000000" w:themeColor="text1"/>
          <w:lang w:val="es-ES"/>
        </w:rPr>
        <w:t>l recurso de revisión en contra de la respuesta, manifestando l</w:t>
      </w:r>
      <w:r w:rsidR="002C4997" w:rsidRPr="00A67033">
        <w:rPr>
          <w:rFonts w:ascii="Palatino Linotype" w:eastAsia="Times New Roman" w:hAnsi="Palatino Linotype" w:cs="Arial"/>
          <w:color w:val="000000" w:themeColor="text1"/>
          <w:lang w:val="es-ES"/>
        </w:rPr>
        <w:t>a</w:t>
      </w:r>
      <w:r w:rsidRPr="00A67033">
        <w:rPr>
          <w:rFonts w:ascii="Palatino Linotype" w:eastAsia="Times New Roman" w:hAnsi="Palatino Linotype" w:cs="Arial"/>
          <w:color w:val="000000" w:themeColor="text1"/>
          <w:lang w:val="es-ES"/>
        </w:rPr>
        <w:t xml:space="preserve">s </w:t>
      </w:r>
      <w:r w:rsidR="002C4997" w:rsidRPr="00A67033">
        <w:rPr>
          <w:rFonts w:ascii="Palatino Linotype" w:eastAsia="Times New Roman" w:hAnsi="Palatino Linotype" w:cs="Arial"/>
          <w:color w:val="000000" w:themeColor="text1"/>
          <w:lang w:val="es-ES"/>
        </w:rPr>
        <w:t>siguientes</w:t>
      </w:r>
      <w:r w:rsidRPr="00A67033">
        <w:rPr>
          <w:rFonts w:ascii="Palatino Linotype" w:eastAsia="Times New Roman" w:hAnsi="Palatino Linotype" w:cs="Arial"/>
          <w:color w:val="000000" w:themeColor="text1"/>
          <w:lang w:val="es-ES"/>
        </w:rPr>
        <w:t xml:space="preserve"> razones o motivos de inconformidad:</w:t>
      </w:r>
    </w:p>
    <w:p w:rsidR="009F09BC" w:rsidRPr="00A67033"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A67033" w:rsidRDefault="009F09BC" w:rsidP="00D56143">
      <w:pPr>
        <w:pStyle w:val="Prrafodelista"/>
        <w:numPr>
          <w:ilvl w:val="0"/>
          <w:numId w:val="2"/>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A67033">
        <w:rPr>
          <w:rStyle w:val="Ttulo2Car"/>
          <w:rFonts w:ascii="Palatino Linotype" w:hAnsi="Palatino Linotype"/>
          <w:b/>
          <w:color w:val="auto"/>
          <w:sz w:val="24"/>
          <w:szCs w:val="24"/>
        </w:rPr>
        <w:t>Acto impugnado</w:t>
      </w:r>
      <w:bookmarkEnd w:id="4"/>
      <w:r w:rsidRPr="00A67033">
        <w:rPr>
          <w:rStyle w:val="Ttulo2Car"/>
          <w:rFonts w:ascii="Palatino Linotype" w:hAnsi="Palatino Linotype"/>
          <w:b/>
          <w:color w:val="000000" w:themeColor="text1"/>
          <w:sz w:val="24"/>
          <w:szCs w:val="24"/>
        </w:rPr>
        <w:t xml:space="preserve">: </w:t>
      </w:r>
      <w:r w:rsidRPr="00A67033">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AE2D73" w:rsidRPr="00A67033">
        <w:rPr>
          <w:rStyle w:val="Ttulo2Car"/>
          <w:rFonts w:ascii="Palatino Linotype" w:hAnsi="Palatino Linotype"/>
          <w:i/>
          <w:color w:val="000000" w:themeColor="text1"/>
          <w:sz w:val="24"/>
          <w:szCs w:val="24"/>
        </w:rPr>
        <w:t>no me presenta algún dato que solicito</w:t>
      </w:r>
      <w:r w:rsidR="00652937" w:rsidRPr="00A67033">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F09BC" w:rsidRPr="00A67033" w:rsidRDefault="009F09BC" w:rsidP="002650A0">
      <w:pPr>
        <w:spacing w:line="360" w:lineRule="auto"/>
        <w:jc w:val="both"/>
        <w:rPr>
          <w:rFonts w:ascii="Palatino Linotype" w:hAnsi="Palatino Linotype"/>
          <w:i/>
          <w:color w:val="000000" w:themeColor="text1"/>
        </w:rPr>
      </w:pPr>
    </w:p>
    <w:p w:rsidR="009F09BC" w:rsidRPr="00A67033" w:rsidRDefault="009F09BC" w:rsidP="00D56143">
      <w:pPr>
        <w:pStyle w:val="Prrafodelista"/>
        <w:numPr>
          <w:ilvl w:val="0"/>
          <w:numId w:val="2"/>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A67033">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A67033">
        <w:rPr>
          <w:rFonts w:ascii="Palatino Linotype" w:hAnsi="Palatino Linotype"/>
          <w:b/>
          <w:color w:val="000000" w:themeColor="text1"/>
        </w:rPr>
        <w:t xml:space="preserve"> </w:t>
      </w:r>
      <w:r w:rsidRPr="00A67033">
        <w:rPr>
          <w:rFonts w:ascii="Palatino Linotype" w:hAnsi="Palatino Linotype"/>
          <w:i/>
          <w:color w:val="000000" w:themeColor="text1"/>
        </w:rPr>
        <w:t>“</w:t>
      </w:r>
      <w:r w:rsidR="00AE2D73" w:rsidRPr="00A67033">
        <w:rPr>
          <w:rFonts w:ascii="Palatino Linotype" w:hAnsi="Palatino Linotype"/>
          <w:i/>
          <w:color w:val="000000" w:themeColor="text1"/>
        </w:rPr>
        <w:t>no me presenta algún dato que solicito</w:t>
      </w:r>
      <w:r w:rsidRPr="00A67033">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82142B" w:rsidRPr="00A67033" w:rsidRDefault="0082142B" w:rsidP="0082142B">
      <w:pPr>
        <w:pStyle w:val="Prrafodelista"/>
        <w:rPr>
          <w:rFonts w:ascii="Palatino Linotype" w:hAnsi="Palatino Linotype"/>
          <w:i/>
          <w:color w:val="000000" w:themeColor="text1"/>
        </w:rPr>
      </w:pPr>
    </w:p>
    <w:p w:rsidR="009F09BC" w:rsidRPr="00A67033" w:rsidRDefault="00CC5B2F" w:rsidP="00D56143">
      <w:pPr>
        <w:pStyle w:val="Prrafodelista"/>
        <w:numPr>
          <w:ilvl w:val="0"/>
          <w:numId w:val="1"/>
        </w:numPr>
        <w:spacing w:before="240" w:after="240" w:line="360" w:lineRule="auto"/>
        <w:ind w:left="0" w:firstLine="0"/>
        <w:jc w:val="both"/>
        <w:rPr>
          <w:rFonts w:ascii="Palatino Linotype" w:hAnsi="Palatino Linotype"/>
          <w:i/>
        </w:rPr>
      </w:pPr>
      <w:r w:rsidRPr="00A67033">
        <w:rPr>
          <w:rFonts w:ascii="Palatino Linotype" w:eastAsia="Calibri" w:hAnsi="Palatino Linotype" w:cs="Arial"/>
          <w:lang w:val="es-ES"/>
        </w:rPr>
        <w:t>La Comisionada</w:t>
      </w:r>
      <w:r w:rsidR="009F09BC" w:rsidRPr="00A67033">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AE2D73" w:rsidRPr="00A67033">
        <w:rPr>
          <w:rFonts w:ascii="Palatino Linotype" w:eastAsia="Calibri" w:hAnsi="Palatino Linotype" w:cs="Arial"/>
          <w:lang w:val="es-ES"/>
        </w:rPr>
        <w:t>cuatro</w:t>
      </w:r>
      <w:r w:rsidR="009F09BC" w:rsidRPr="00A67033">
        <w:rPr>
          <w:rFonts w:ascii="Palatino Linotype" w:eastAsia="Calibri" w:hAnsi="Palatino Linotype" w:cs="Arial"/>
          <w:lang w:val="es-ES"/>
        </w:rPr>
        <w:t xml:space="preserve"> (</w:t>
      </w:r>
      <w:r w:rsidR="00AA657D" w:rsidRPr="00A67033">
        <w:rPr>
          <w:rFonts w:ascii="Palatino Linotype" w:eastAsia="Calibri" w:hAnsi="Palatino Linotype" w:cs="Arial"/>
          <w:lang w:val="es-ES"/>
        </w:rPr>
        <w:t>0</w:t>
      </w:r>
      <w:r w:rsidR="00AE2D73" w:rsidRPr="00A67033">
        <w:rPr>
          <w:rFonts w:ascii="Palatino Linotype" w:eastAsia="Calibri" w:hAnsi="Palatino Linotype" w:cs="Arial"/>
          <w:lang w:val="es-ES"/>
        </w:rPr>
        <w:t>4</w:t>
      </w:r>
      <w:r w:rsidR="009F09BC" w:rsidRPr="00A67033">
        <w:rPr>
          <w:rFonts w:ascii="Palatino Linotype" w:eastAsia="Calibri" w:hAnsi="Palatino Linotype" w:cs="Arial"/>
          <w:lang w:val="es-ES"/>
        </w:rPr>
        <w:t xml:space="preserve">) de </w:t>
      </w:r>
      <w:r w:rsidR="00AE2D73" w:rsidRPr="00A67033">
        <w:rPr>
          <w:rFonts w:ascii="Palatino Linotype" w:eastAsia="Calibri" w:hAnsi="Palatino Linotype" w:cs="Arial"/>
          <w:lang w:val="es-ES"/>
        </w:rPr>
        <w:t>abril</w:t>
      </w:r>
      <w:r w:rsidR="009F09BC" w:rsidRPr="00A67033">
        <w:rPr>
          <w:rFonts w:ascii="Palatino Linotype" w:eastAsia="Calibri" w:hAnsi="Palatino Linotype" w:cs="Arial"/>
          <w:lang w:val="es-ES"/>
        </w:rPr>
        <w:t xml:space="preserve"> del año en curso, puso a disposición de las partes el expediente electrónico </w:t>
      </w:r>
      <w:r w:rsidR="009F09BC" w:rsidRPr="00A67033">
        <w:rPr>
          <w:rFonts w:ascii="Palatino Linotype" w:eastAsia="Calibri" w:hAnsi="Palatino Linotype" w:cs="Arial"/>
        </w:rPr>
        <w:t xml:space="preserve">vía </w:t>
      </w:r>
      <w:r w:rsidR="009F09BC" w:rsidRPr="00A67033">
        <w:rPr>
          <w:rFonts w:ascii="Palatino Linotype" w:eastAsia="Calibri" w:hAnsi="Palatino Linotype" w:cs="Arial"/>
          <w:b/>
          <w:lang w:val="es-ES"/>
        </w:rPr>
        <w:t xml:space="preserve">SAIMEX </w:t>
      </w:r>
      <w:r w:rsidR="009F09BC" w:rsidRPr="00A6703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A67033">
        <w:rPr>
          <w:rFonts w:ascii="Palatino Linotype" w:eastAsia="Calibri" w:hAnsi="Palatino Linotype" w:cs="Arial"/>
          <w:b/>
          <w:lang w:val="es-ES"/>
        </w:rPr>
        <w:t>SUJETO OBLIGADO</w:t>
      </w:r>
      <w:r w:rsidR="009F09BC" w:rsidRPr="00A67033">
        <w:rPr>
          <w:rFonts w:ascii="Palatino Linotype" w:eastAsia="Calibri" w:hAnsi="Palatino Linotype" w:cs="Arial"/>
          <w:lang w:val="es-ES"/>
        </w:rPr>
        <w:t xml:space="preserve"> presentará el Informe Justificado procedente.</w:t>
      </w:r>
    </w:p>
    <w:p w:rsidR="009F09BC" w:rsidRPr="00A67033" w:rsidRDefault="009F09BC" w:rsidP="009F09BC">
      <w:pPr>
        <w:pStyle w:val="Prrafodelista"/>
        <w:spacing w:before="240" w:after="240" w:line="360" w:lineRule="auto"/>
        <w:ind w:left="0"/>
        <w:jc w:val="both"/>
        <w:rPr>
          <w:rFonts w:ascii="Palatino Linotype" w:hAnsi="Palatino Linotype"/>
        </w:rPr>
      </w:pPr>
    </w:p>
    <w:p w:rsidR="009F09BC" w:rsidRPr="00A67033" w:rsidRDefault="009F09BC" w:rsidP="00D56143">
      <w:pPr>
        <w:pStyle w:val="Prrafodelista"/>
        <w:numPr>
          <w:ilvl w:val="0"/>
          <w:numId w:val="1"/>
        </w:numPr>
        <w:spacing w:before="240" w:after="240" w:line="360" w:lineRule="auto"/>
        <w:ind w:left="0" w:firstLine="0"/>
        <w:jc w:val="both"/>
        <w:rPr>
          <w:rFonts w:ascii="Palatino Linotype" w:hAnsi="Palatino Linotype"/>
        </w:rPr>
      </w:pPr>
      <w:r w:rsidRPr="00A67033">
        <w:rPr>
          <w:rFonts w:ascii="Palatino Linotype" w:hAnsi="Palatino Linotype"/>
          <w:color w:val="000000"/>
        </w:rPr>
        <w:t xml:space="preserve">El </w:t>
      </w:r>
      <w:r w:rsidRPr="00A67033">
        <w:rPr>
          <w:rFonts w:ascii="Palatino Linotype" w:hAnsi="Palatino Linotype"/>
          <w:b/>
          <w:color w:val="000000"/>
        </w:rPr>
        <w:t xml:space="preserve">SUJETO </w:t>
      </w:r>
      <w:r w:rsidRPr="00A67033">
        <w:rPr>
          <w:rFonts w:ascii="Palatino Linotype" w:eastAsia="Calibri" w:hAnsi="Palatino Linotype" w:cs="Arial"/>
          <w:b/>
          <w:lang w:val="es-ES"/>
        </w:rPr>
        <w:t>OBLIGADO</w:t>
      </w:r>
      <w:r w:rsidR="007A6A1A" w:rsidRPr="00A67033">
        <w:rPr>
          <w:rFonts w:ascii="Palatino Linotype" w:hAnsi="Palatino Linotype"/>
          <w:color w:val="000000"/>
        </w:rPr>
        <w:t xml:space="preserve"> </w:t>
      </w:r>
      <w:r w:rsidR="00AE2D73" w:rsidRPr="00A67033">
        <w:rPr>
          <w:rFonts w:ascii="Palatino Linotype" w:hAnsi="Palatino Linotype"/>
          <w:color w:val="000000"/>
        </w:rPr>
        <w:t>fue omiso en rendir el informe justificado correspondiente</w:t>
      </w:r>
      <w:r w:rsidR="002C4997" w:rsidRPr="00A67033">
        <w:rPr>
          <w:rFonts w:ascii="Palatino Linotype" w:hAnsi="Palatino Linotype"/>
          <w:color w:val="000000"/>
        </w:rPr>
        <w:t xml:space="preserve">. </w:t>
      </w:r>
      <w:r w:rsidRPr="00A67033">
        <w:rPr>
          <w:rFonts w:ascii="Palatino Linotype" w:hAnsi="Palatino Linotype"/>
          <w:color w:val="000000"/>
        </w:rPr>
        <w:t xml:space="preserve">Por su parte </w:t>
      </w:r>
      <w:r w:rsidRPr="00A67033">
        <w:rPr>
          <w:rFonts w:ascii="Palatino Linotype" w:hAnsi="Palatino Linotype"/>
          <w:b/>
          <w:color w:val="000000"/>
        </w:rPr>
        <w:t xml:space="preserve">EL PARTICULAR </w:t>
      </w:r>
      <w:r w:rsidR="00A305ED" w:rsidRPr="00A67033">
        <w:rPr>
          <w:rFonts w:ascii="Palatino Linotype" w:hAnsi="Palatino Linotype"/>
          <w:color w:val="000000"/>
        </w:rPr>
        <w:t>dejó de realizar manifestaciones que a su derecho conviniera y asistiera</w:t>
      </w:r>
      <w:r w:rsidRPr="00A67033">
        <w:rPr>
          <w:rFonts w:ascii="Palatino Linotype" w:hAnsi="Palatino Linotype"/>
          <w:color w:val="000000"/>
        </w:rPr>
        <w:t>.</w:t>
      </w:r>
    </w:p>
    <w:p w:rsidR="00ED6E75" w:rsidRPr="00A67033" w:rsidRDefault="00ED6E75" w:rsidP="00ED6E75">
      <w:pPr>
        <w:pStyle w:val="Prrafodelista"/>
        <w:spacing w:before="240" w:after="240" w:line="360" w:lineRule="auto"/>
        <w:ind w:left="0"/>
        <w:jc w:val="both"/>
        <w:rPr>
          <w:rFonts w:ascii="Palatino Linotype" w:hAnsi="Palatino Linotype"/>
        </w:rPr>
      </w:pPr>
    </w:p>
    <w:p w:rsidR="00A305ED" w:rsidRPr="00A67033" w:rsidRDefault="00A305ED" w:rsidP="00D56143">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A67033">
        <w:rPr>
          <w:rFonts w:ascii="Palatino Linotype" w:hAnsi="Palatino Linotype"/>
        </w:rPr>
        <w:t>M</w:t>
      </w:r>
      <w:r w:rsidR="006672E1" w:rsidRPr="00A67033">
        <w:rPr>
          <w:rFonts w:ascii="Palatino Linotype" w:hAnsi="Palatino Linotype"/>
        </w:rPr>
        <w:t xml:space="preserve">ediante </w:t>
      </w:r>
      <w:r w:rsidR="006672E1" w:rsidRPr="00A67033">
        <w:rPr>
          <w:rFonts w:ascii="Palatino Linotype" w:hAnsi="Palatino Linotype"/>
          <w:color w:val="000000"/>
        </w:rPr>
        <w:t>acuerdos</w:t>
      </w:r>
      <w:r w:rsidR="006672E1" w:rsidRPr="00A67033">
        <w:rPr>
          <w:rFonts w:ascii="Palatino Linotype" w:hAnsi="Palatino Linotype"/>
        </w:rPr>
        <w:t xml:space="preserve"> de fecha </w:t>
      </w:r>
      <w:r w:rsidR="00AE2D73" w:rsidRPr="00A67033">
        <w:rPr>
          <w:rFonts w:ascii="Palatino Linotype" w:hAnsi="Palatino Linotype"/>
        </w:rPr>
        <w:t>d</w:t>
      </w:r>
      <w:r w:rsidR="00AA657D" w:rsidRPr="00A67033">
        <w:rPr>
          <w:rFonts w:ascii="Palatino Linotype" w:hAnsi="Palatino Linotype"/>
        </w:rPr>
        <w:t>o</w:t>
      </w:r>
      <w:r w:rsidR="00AE2D73" w:rsidRPr="00A67033">
        <w:rPr>
          <w:rFonts w:ascii="Palatino Linotype" w:hAnsi="Palatino Linotype"/>
        </w:rPr>
        <w:t>s</w:t>
      </w:r>
      <w:r w:rsidRPr="00A67033">
        <w:rPr>
          <w:rFonts w:ascii="Palatino Linotype" w:hAnsi="Palatino Linotype"/>
        </w:rPr>
        <w:t xml:space="preserve"> (</w:t>
      </w:r>
      <w:r w:rsidR="00AE2D73" w:rsidRPr="00A67033">
        <w:rPr>
          <w:rFonts w:ascii="Palatino Linotype" w:hAnsi="Palatino Linotype"/>
        </w:rPr>
        <w:t>02</w:t>
      </w:r>
      <w:r w:rsidR="0001674C" w:rsidRPr="00A67033">
        <w:rPr>
          <w:rFonts w:ascii="Palatino Linotype" w:hAnsi="Palatino Linotype"/>
        </w:rPr>
        <w:t xml:space="preserve">) de </w:t>
      </w:r>
      <w:r w:rsidR="00AE2D73" w:rsidRPr="00A67033">
        <w:rPr>
          <w:rFonts w:ascii="Palatino Linotype" w:hAnsi="Palatino Linotype"/>
        </w:rPr>
        <w:t>juni</w:t>
      </w:r>
      <w:r w:rsidR="0001674C" w:rsidRPr="00A67033">
        <w:rPr>
          <w:rFonts w:ascii="Palatino Linotype" w:hAnsi="Palatino Linotype"/>
        </w:rPr>
        <w:t xml:space="preserve">o del año en curso, </w:t>
      </w:r>
      <w:r w:rsidR="006672E1" w:rsidRPr="00A67033">
        <w:rPr>
          <w:rFonts w:ascii="Palatino Linotype" w:hAnsi="Palatino Linotype"/>
        </w:rPr>
        <w:t xml:space="preserve">se amplió el termino para resolver y posteriormente </w:t>
      </w:r>
      <w:r w:rsidR="0001674C" w:rsidRPr="00A67033">
        <w:rPr>
          <w:rFonts w:ascii="Palatino Linotype" w:hAnsi="Palatino Linotype"/>
        </w:rPr>
        <w:t>se d</w:t>
      </w:r>
      <w:r w:rsidR="006672E1" w:rsidRPr="00A67033">
        <w:rPr>
          <w:rFonts w:ascii="Palatino Linotype" w:hAnsi="Palatino Linotype"/>
        </w:rPr>
        <w:t>ecretó el cierre de instrucción</w:t>
      </w:r>
      <w:r w:rsidR="0001674C" w:rsidRPr="00A67033">
        <w:rPr>
          <w:rFonts w:ascii="Palatino Linotype" w:hAnsi="Palatino Linotype"/>
        </w:rPr>
        <w:t xml:space="preserve">, </w:t>
      </w:r>
      <w:r w:rsidR="009F09BC" w:rsidRPr="00A67033">
        <w:rPr>
          <w:rFonts w:ascii="Palatino Linotype" w:hAnsi="Palatino Linotype" w:cs="Arial"/>
        </w:rPr>
        <w:t>por lo que no habiendo más que hacer constar, y --------------------------</w:t>
      </w:r>
      <w:r w:rsidR="0001674C" w:rsidRPr="00A67033">
        <w:rPr>
          <w:rFonts w:ascii="Palatino Linotype" w:hAnsi="Palatino Linotype" w:cs="Arial"/>
        </w:rPr>
        <w:t>----------</w:t>
      </w:r>
      <w:r w:rsidR="00AE2D73" w:rsidRPr="00A67033">
        <w:rPr>
          <w:rFonts w:ascii="Palatino Linotype" w:hAnsi="Palatino Linotype" w:cs="Arial"/>
        </w:rPr>
        <w:t>---------------</w:t>
      </w:r>
      <w:r w:rsidR="0001674C" w:rsidRPr="00A67033">
        <w:rPr>
          <w:rFonts w:ascii="Palatino Linotype" w:hAnsi="Palatino Linotype" w:cs="Arial"/>
        </w:rPr>
        <w:t>---------</w:t>
      </w:r>
      <w:bookmarkStart w:id="134" w:name="_Toc491791302"/>
      <w:bookmarkStart w:id="135" w:name="_Toc83128578"/>
    </w:p>
    <w:p w:rsidR="00AA657D" w:rsidRPr="00A67033" w:rsidRDefault="00AA657D" w:rsidP="00A305ED">
      <w:pPr>
        <w:pStyle w:val="Prrafodelista"/>
        <w:spacing w:before="240" w:after="240" w:line="360" w:lineRule="auto"/>
        <w:ind w:left="0"/>
        <w:jc w:val="center"/>
        <w:rPr>
          <w:rFonts w:ascii="Palatino Linotype" w:hAnsi="Palatino Linotype"/>
          <w:b/>
          <w:color w:val="000000" w:themeColor="text1"/>
        </w:rPr>
      </w:pPr>
    </w:p>
    <w:p w:rsidR="009F09BC" w:rsidRPr="00A67033" w:rsidRDefault="009F09BC" w:rsidP="00A305ED">
      <w:pPr>
        <w:pStyle w:val="Prrafodelista"/>
        <w:spacing w:before="240" w:after="240" w:line="360" w:lineRule="auto"/>
        <w:ind w:left="0"/>
        <w:jc w:val="center"/>
        <w:rPr>
          <w:rFonts w:ascii="Palatino Linotype" w:hAnsi="Palatino Linotype"/>
          <w:b/>
          <w:color w:val="000000" w:themeColor="text1"/>
        </w:rPr>
      </w:pPr>
      <w:r w:rsidRPr="00A67033">
        <w:rPr>
          <w:rFonts w:ascii="Palatino Linotype" w:hAnsi="Palatino Linotype"/>
          <w:b/>
          <w:color w:val="000000" w:themeColor="text1"/>
        </w:rPr>
        <w:lastRenderedPageBreak/>
        <w:t>CONSIDERANDO</w:t>
      </w:r>
      <w:bookmarkEnd w:id="134"/>
      <w:bookmarkEnd w:id="135"/>
    </w:p>
    <w:p w:rsidR="009F09BC" w:rsidRPr="00A67033" w:rsidRDefault="009F09BC" w:rsidP="009F09BC">
      <w:pPr>
        <w:pStyle w:val="Ttulo2"/>
        <w:rPr>
          <w:rFonts w:ascii="Palatino Linotype" w:hAnsi="Palatino Linotype"/>
          <w:b/>
          <w:color w:val="auto"/>
          <w:sz w:val="24"/>
          <w:szCs w:val="24"/>
        </w:rPr>
      </w:pPr>
      <w:bookmarkStart w:id="136" w:name="_Toc491791303"/>
      <w:bookmarkStart w:id="137" w:name="_Toc83128579"/>
      <w:r w:rsidRPr="00A67033">
        <w:rPr>
          <w:rFonts w:ascii="Palatino Linotype" w:hAnsi="Palatino Linotype"/>
          <w:b/>
          <w:color w:val="auto"/>
          <w:sz w:val="24"/>
          <w:szCs w:val="24"/>
        </w:rPr>
        <w:t>PRIMERO. De la competencia</w:t>
      </w:r>
      <w:bookmarkEnd w:id="136"/>
      <w:bookmarkEnd w:id="137"/>
    </w:p>
    <w:p w:rsidR="009F09BC" w:rsidRPr="00A67033" w:rsidRDefault="009F09BC" w:rsidP="009F09BC">
      <w:pPr>
        <w:rPr>
          <w:rFonts w:ascii="Palatino Linotype" w:hAnsi="Palatino Linotype"/>
          <w:lang w:val="es-MX" w:eastAsia="en-US"/>
        </w:rPr>
      </w:pPr>
    </w:p>
    <w:p w:rsidR="00353F1D" w:rsidRPr="00A67033" w:rsidRDefault="00353F1D" w:rsidP="00D56143">
      <w:pPr>
        <w:pStyle w:val="Prrafodelista"/>
        <w:numPr>
          <w:ilvl w:val="0"/>
          <w:numId w:val="1"/>
        </w:numPr>
        <w:spacing w:line="360" w:lineRule="auto"/>
        <w:ind w:left="0" w:firstLine="0"/>
        <w:jc w:val="both"/>
        <w:rPr>
          <w:rFonts w:ascii="Palatino Linotype" w:hAnsi="Palatino Linotype"/>
          <w:color w:val="000000" w:themeColor="text1"/>
        </w:rPr>
      </w:pPr>
      <w:r w:rsidRPr="00A67033">
        <w:rPr>
          <w:rFonts w:ascii="Palatino Linotype" w:hAnsi="Palatino Linotype"/>
          <w:color w:val="000000" w:themeColor="text1"/>
        </w:rPr>
        <w:t xml:space="preserve">El </w:t>
      </w:r>
      <w:r w:rsidRPr="00A67033">
        <w:rPr>
          <w:rFonts w:ascii="Palatino Linotype" w:hAnsi="Palatino Linotype"/>
        </w:rPr>
        <w:t>Instituto</w:t>
      </w:r>
      <w:r w:rsidRPr="00A67033">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A67033"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A67033" w:rsidRDefault="009F09BC" w:rsidP="009F09BC">
      <w:pPr>
        <w:pStyle w:val="Ttulo2"/>
        <w:rPr>
          <w:rFonts w:ascii="Palatino Linotype" w:hAnsi="Palatino Linotype"/>
          <w:b/>
          <w:color w:val="auto"/>
          <w:sz w:val="24"/>
          <w:szCs w:val="24"/>
        </w:rPr>
      </w:pPr>
      <w:bookmarkStart w:id="138" w:name="_Toc491791304"/>
      <w:bookmarkStart w:id="139" w:name="_Toc83128580"/>
      <w:r w:rsidRPr="00A67033">
        <w:rPr>
          <w:rFonts w:ascii="Palatino Linotype" w:hAnsi="Palatino Linotype"/>
          <w:b/>
          <w:color w:val="auto"/>
          <w:sz w:val="24"/>
          <w:szCs w:val="24"/>
        </w:rPr>
        <w:t>SEGUNDO. De la oportunidad y procedencia.</w:t>
      </w:r>
      <w:bookmarkEnd w:id="138"/>
      <w:bookmarkEnd w:id="139"/>
    </w:p>
    <w:p w:rsidR="009F09BC" w:rsidRPr="00A67033" w:rsidRDefault="009F09BC" w:rsidP="009F09BC">
      <w:pPr>
        <w:rPr>
          <w:rFonts w:ascii="Palatino Linotype" w:hAnsi="Palatino Linotype"/>
          <w:lang w:val="es-MX" w:eastAsia="en-US"/>
        </w:rPr>
      </w:pPr>
    </w:p>
    <w:p w:rsidR="009F09BC" w:rsidRPr="00A67033" w:rsidRDefault="00425842" w:rsidP="00D56143">
      <w:pPr>
        <w:pStyle w:val="Prrafodelista"/>
        <w:numPr>
          <w:ilvl w:val="0"/>
          <w:numId w:val="1"/>
        </w:numPr>
        <w:spacing w:line="360" w:lineRule="auto"/>
        <w:ind w:left="0" w:firstLine="0"/>
        <w:jc w:val="both"/>
        <w:rPr>
          <w:rFonts w:ascii="Palatino Linotype" w:hAnsi="Palatino Linotype"/>
        </w:rPr>
      </w:pPr>
      <w:r w:rsidRPr="00A67033">
        <w:rPr>
          <w:rFonts w:ascii="Palatino Linotype" w:eastAsia="Calibri" w:hAnsi="Palatino Linotype" w:cs="Arial"/>
        </w:rPr>
        <w:t>El</w:t>
      </w:r>
      <w:r w:rsidR="00AD63B4" w:rsidRPr="00A67033">
        <w:rPr>
          <w:rFonts w:ascii="Palatino Linotype" w:eastAsia="Calibri" w:hAnsi="Palatino Linotype" w:cs="Arial"/>
        </w:rPr>
        <w:t xml:space="preserve"> </w:t>
      </w:r>
      <w:r w:rsidR="009F09BC" w:rsidRPr="00A67033">
        <w:rPr>
          <w:rFonts w:ascii="Palatino Linotype" w:eastAsia="Calibri" w:hAnsi="Palatino Linotype" w:cs="Arial"/>
        </w:rPr>
        <w:t xml:space="preserve">medio de impugnación fue presentado a través del </w:t>
      </w:r>
      <w:r w:rsidR="009F09BC" w:rsidRPr="00A67033">
        <w:rPr>
          <w:rFonts w:ascii="Palatino Linotype" w:eastAsia="Calibri" w:hAnsi="Palatino Linotype" w:cs="Arial"/>
          <w:b/>
        </w:rPr>
        <w:t>SAIMEX,</w:t>
      </w:r>
      <w:r w:rsidR="009F09BC" w:rsidRPr="00A6703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A67033">
        <w:rPr>
          <w:rFonts w:ascii="Palatino Linotype" w:eastAsia="Calibri" w:hAnsi="Palatino Linotype" w:cs="Arial"/>
          <w:b/>
        </w:rPr>
        <w:t>SUJETO OBLIGADO</w:t>
      </w:r>
      <w:r w:rsidRPr="00A67033">
        <w:rPr>
          <w:rFonts w:ascii="Palatino Linotype" w:eastAsia="Calibri" w:hAnsi="Palatino Linotype" w:cs="Arial"/>
        </w:rPr>
        <w:t xml:space="preserve"> entregó su</w:t>
      </w:r>
      <w:r w:rsidR="009F09BC" w:rsidRPr="00A67033">
        <w:rPr>
          <w:rFonts w:ascii="Palatino Linotype" w:eastAsia="Calibri" w:hAnsi="Palatino Linotype" w:cs="Arial"/>
        </w:rPr>
        <w:t xml:space="preserve"> respuesta </w:t>
      </w:r>
      <w:r w:rsidRPr="00A67033">
        <w:rPr>
          <w:rFonts w:ascii="Palatino Linotype" w:eastAsia="Calibri" w:hAnsi="Palatino Linotype" w:cs="Arial"/>
        </w:rPr>
        <w:t>e</w:t>
      </w:r>
      <w:r w:rsidR="009F09BC" w:rsidRPr="00A67033">
        <w:rPr>
          <w:rFonts w:ascii="Palatino Linotype" w:eastAsia="Calibri" w:hAnsi="Palatino Linotype" w:cs="Arial"/>
        </w:rPr>
        <w:t xml:space="preserve">l </w:t>
      </w:r>
      <w:r w:rsidR="00AE2D73" w:rsidRPr="00A67033">
        <w:rPr>
          <w:rFonts w:ascii="Palatino Linotype" w:eastAsia="Calibri" w:hAnsi="Palatino Linotype" w:cs="Arial"/>
        </w:rPr>
        <w:t>dieciocho</w:t>
      </w:r>
      <w:r w:rsidRPr="00A67033">
        <w:rPr>
          <w:rFonts w:ascii="Palatino Linotype" w:eastAsia="Calibri" w:hAnsi="Palatino Linotype" w:cs="Arial"/>
        </w:rPr>
        <w:t xml:space="preserve"> (</w:t>
      </w:r>
      <w:r w:rsidR="00AE2D73" w:rsidRPr="00A67033">
        <w:rPr>
          <w:rFonts w:ascii="Palatino Linotype" w:eastAsia="Calibri" w:hAnsi="Palatino Linotype" w:cs="Arial"/>
        </w:rPr>
        <w:t>18</w:t>
      </w:r>
      <w:r w:rsidR="009F09BC" w:rsidRPr="00A67033">
        <w:rPr>
          <w:rFonts w:ascii="Palatino Linotype" w:eastAsia="Calibri" w:hAnsi="Palatino Linotype" w:cs="Arial"/>
        </w:rPr>
        <w:t xml:space="preserve">) de </w:t>
      </w:r>
      <w:r w:rsidR="00AE2D73" w:rsidRPr="00A67033">
        <w:rPr>
          <w:rFonts w:ascii="Palatino Linotype" w:eastAsia="Calibri" w:hAnsi="Palatino Linotype" w:cs="Arial"/>
        </w:rPr>
        <w:t>marz</w:t>
      </w:r>
      <w:r w:rsidRPr="00A67033">
        <w:rPr>
          <w:rFonts w:ascii="Palatino Linotype" w:eastAsia="Calibri" w:hAnsi="Palatino Linotype" w:cs="Arial"/>
        </w:rPr>
        <w:t>o de dos mil veintidós</w:t>
      </w:r>
      <w:r w:rsidR="009F09BC" w:rsidRPr="00A67033">
        <w:rPr>
          <w:rFonts w:ascii="Palatino Linotype" w:eastAsia="Calibri" w:hAnsi="Palatino Linotype" w:cs="Arial"/>
        </w:rPr>
        <w:t xml:space="preserve">, </w:t>
      </w:r>
      <w:r w:rsidR="009F09BC" w:rsidRPr="00A67033">
        <w:rPr>
          <w:rFonts w:ascii="Palatino Linotype" w:hAnsi="Palatino Linotype" w:cs="Arial"/>
        </w:rPr>
        <w:t xml:space="preserve">de tal forma que </w:t>
      </w:r>
      <w:r w:rsidRPr="00A67033">
        <w:rPr>
          <w:rFonts w:ascii="Palatino Linotype" w:hAnsi="Palatino Linotype" w:cs="Arial"/>
        </w:rPr>
        <w:t>e</w:t>
      </w:r>
      <w:r w:rsidR="009F09BC" w:rsidRPr="00A67033">
        <w:rPr>
          <w:rFonts w:ascii="Palatino Linotype" w:hAnsi="Palatino Linotype" w:cs="Arial"/>
        </w:rPr>
        <w:t xml:space="preserve">l plazo para interponer </w:t>
      </w:r>
      <w:r w:rsidRPr="00A67033">
        <w:rPr>
          <w:rFonts w:ascii="Palatino Linotype" w:hAnsi="Palatino Linotype" w:cs="Arial"/>
        </w:rPr>
        <w:t>e</w:t>
      </w:r>
      <w:r w:rsidR="009F09BC" w:rsidRPr="00A67033">
        <w:rPr>
          <w:rFonts w:ascii="Palatino Linotype" w:hAnsi="Palatino Linotype" w:cs="Arial"/>
        </w:rPr>
        <w:t xml:space="preserve">l recurso de revisión </w:t>
      </w:r>
      <w:r w:rsidRPr="00A67033">
        <w:rPr>
          <w:rFonts w:ascii="Palatino Linotype" w:hAnsi="Palatino Linotype" w:cs="Arial"/>
        </w:rPr>
        <w:t>transcurrió</w:t>
      </w:r>
      <w:r w:rsidR="009F09BC" w:rsidRPr="00A67033">
        <w:rPr>
          <w:rFonts w:ascii="Palatino Linotype" w:hAnsi="Palatino Linotype" w:cs="Arial"/>
        </w:rPr>
        <w:t xml:space="preserve"> del día </w:t>
      </w:r>
      <w:r w:rsidR="00AE2D73" w:rsidRPr="00A67033">
        <w:rPr>
          <w:rFonts w:ascii="Palatino Linotype" w:hAnsi="Palatino Linotype" w:cs="Arial"/>
        </w:rPr>
        <w:t>veintidós</w:t>
      </w:r>
      <w:r w:rsidR="000F1081" w:rsidRPr="00A67033">
        <w:rPr>
          <w:rFonts w:ascii="Palatino Linotype" w:hAnsi="Palatino Linotype" w:cs="Arial"/>
        </w:rPr>
        <w:t xml:space="preserve"> (2</w:t>
      </w:r>
      <w:r w:rsidR="00AE2D73" w:rsidRPr="00A67033">
        <w:rPr>
          <w:rFonts w:ascii="Palatino Linotype" w:hAnsi="Palatino Linotype" w:cs="Arial"/>
        </w:rPr>
        <w:t>2</w:t>
      </w:r>
      <w:r w:rsidR="009F09BC" w:rsidRPr="00A67033">
        <w:rPr>
          <w:rFonts w:ascii="Palatino Linotype" w:hAnsi="Palatino Linotype" w:cs="Arial"/>
        </w:rPr>
        <w:t>) de</w:t>
      </w:r>
      <w:r w:rsidR="00AE2D73" w:rsidRPr="00A67033">
        <w:rPr>
          <w:rFonts w:ascii="Palatino Linotype" w:hAnsi="Palatino Linotype" w:cs="Arial"/>
        </w:rPr>
        <w:t xml:space="preserve"> marzo</w:t>
      </w:r>
      <w:r w:rsidR="007A460E" w:rsidRPr="00A67033">
        <w:rPr>
          <w:rFonts w:ascii="Palatino Linotype" w:hAnsi="Palatino Linotype" w:cs="Arial"/>
        </w:rPr>
        <w:t xml:space="preserve"> al </w:t>
      </w:r>
      <w:r w:rsidR="00F50F06" w:rsidRPr="00A67033">
        <w:rPr>
          <w:rFonts w:ascii="Palatino Linotype" w:hAnsi="Palatino Linotype" w:cs="Arial"/>
        </w:rPr>
        <w:t>dieciocho</w:t>
      </w:r>
      <w:r w:rsidR="009F09BC" w:rsidRPr="00A67033">
        <w:rPr>
          <w:rFonts w:ascii="Palatino Linotype" w:hAnsi="Palatino Linotype" w:cs="Arial"/>
        </w:rPr>
        <w:t xml:space="preserve"> (</w:t>
      </w:r>
      <w:r w:rsidR="00F50F06" w:rsidRPr="00A67033">
        <w:rPr>
          <w:rFonts w:ascii="Palatino Linotype" w:hAnsi="Palatino Linotype" w:cs="Arial"/>
        </w:rPr>
        <w:t>18</w:t>
      </w:r>
      <w:r w:rsidR="009F09BC" w:rsidRPr="00A67033">
        <w:rPr>
          <w:rFonts w:ascii="Palatino Linotype" w:hAnsi="Palatino Linotype" w:cs="Arial"/>
        </w:rPr>
        <w:t>)</w:t>
      </w:r>
      <w:r w:rsidR="0001674C" w:rsidRPr="00A67033">
        <w:rPr>
          <w:rFonts w:ascii="Palatino Linotype" w:hAnsi="Palatino Linotype" w:cs="Arial"/>
        </w:rPr>
        <w:t xml:space="preserve"> de </w:t>
      </w:r>
      <w:r w:rsidR="00AE2D73" w:rsidRPr="00A67033">
        <w:rPr>
          <w:rFonts w:ascii="Palatino Linotype" w:hAnsi="Palatino Linotype" w:cs="Arial"/>
        </w:rPr>
        <w:t>abril</w:t>
      </w:r>
      <w:r w:rsidR="0001674C" w:rsidRPr="00A67033">
        <w:rPr>
          <w:rFonts w:ascii="Palatino Linotype" w:hAnsi="Palatino Linotype" w:cs="Arial"/>
        </w:rPr>
        <w:t xml:space="preserve"> de dos mil </w:t>
      </w:r>
      <w:r w:rsidRPr="00A67033">
        <w:rPr>
          <w:rFonts w:ascii="Palatino Linotype" w:hAnsi="Palatino Linotype" w:cs="Arial"/>
        </w:rPr>
        <w:t>veintidós</w:t>
      </w:r>
      <w:r w:rsidR="0001674C" w:rsidRPr="00A67033">
        <w:rPr>
          <w:rFonts w:ascii="Palatino Linotype" w:hAnsi="Palatino Linotype" w:cs="Arial"/>
        </w:rPr>
        <w:t>; e</w:t>
      </w:r>
      <w:r w:rsidR="009F09BC" w:rsidRPr="00A67033">
        <w:rPr>
          <w:rFonts w:ascii="Palatino Linotype" w:hAnsi="Palatino Linotype" w:cs="Arial"/>
        </w:rPr>
        <w:t xml:space="preserve">n consecuencia, el ahora </w:t>
      </w:r>
      <w:r w:rsidR="009F09BC" w:rsidRPr="00A67033">
        <w:rPr>
          <w:rFonts w:ascii="Palatino Linotype" w:hAnsi="Palatino Linotype" w:cs="Arial"/>
          <w:b/>
        </w:rPr>
        <w:lastRenderedPageBreak/>
        <w:t>RECURRENTE</w:t>
      </w:r>
      <w:r w:rsidR="009F09BC" w:rsidRPr="00A67033">
        <w:rPr>
          <w:rFonts w:ascii="Palatino Linotype" w:hAnsi="Palatino Linotype" w:cs="Arial"/>
        </w:rPr>
        <w:t xml:space="preserve"> presentó </w:t>
      </w:r>
      <w:r w:rsidR="00CA1063" w:rsidRPr="00A67033">
        <w:rPr>
          <w:rFonts w:ascii="Palatino Linotype" w:hAnsi="Palatino Linotype" w:cs="Arial"/>
        </w:rPr>
        <w:t xml:space="preserve">su inconformidad el día </w:t>
      </w:r>
      <w:r w:rsidR="00F50F06" w:rsidRPr="00A67033">
        <w:rPr>
          <w:rFonts w:ascii="Palatino Linotype" w:hAnsi="Palatino Linotype" w:cs="Arial"/>
        </w:rPr>
        <w:t>treinta</w:t>
      </w:r>
      <w:r w:rsidR="0082142B" w:rsidRPr="00A67033">
        <w:rPr>
          <w:rFonts w:ascii="Palatino Linotype" w:hAnsi="Palatino Linotype" w:cs="Arial"/>
        </w:rPr>
        <w:t xml:space="preserve"> </w:t>
      </w:r>
      <w:r w:rsidR="009F09BC" w:rsidRPr="00A67033">
        <w:rPr>
          <w:rFonts w:ascii="Palatino Linotype" w:hAnsi="Palatino Linotype" w:cs="Arial"/>
        </w:rPr>
        <w:t>(</w:t>
      </w:r>
      <w:r w:rsidR="00F50F06" w:rsidRPr="00A67033">
        <w:rPr>
          <w:rFonts w:ascii="Palatino Linotype" w:hAnsi="Palatino Linotype" w:cs="Arial"/>
        </w:rPr>
        <w:t>30</w:t>
      </w:r>
      <w:r w:rsidR="009F09BC" w:rsidRPr="00A67033">
        <w:rPr>
          <w:rFonts w:ascii="Palatino Linotype" w:hAnsi="Palatino Linotype" w:cs="Arial"/>
        </w:rPr>
        <w:t xml:space="preserve">) de </w:t>
      </w:r>
      <w:r w:rsidR="00F50F06" w:rsidRPr="00A67033">
        <w:rPr>
          <w:rFonts w:ascii="Palatino Linotype" w:hAnsi="Palatino Linotype" w:cs="Arial"/>
        </w:rPr>
        <w:t>marz</w:t>
      </w:r>
      <w:r w:rsidR="007142D6" w:rsidRPr="00A67033">
        <w:rPr>
          <w:rFonts w:ascii="Palatino Linotype" w:hAnsi="Palatino Linotype" w:cs="Arial"/>
        </w:rPr>
        <w:t>o de dos mil veintidós</w:t>
      </w:r>
      <w:r w:rsidR="009F09BC" w:rsidRPr="00A67033">
        <w:rPr>
          <w:rFonts w:ascii="Palatino Linotype" w:hAnsi="Palatino Linotype" w:cs="Arial"/>
        </w:rPr>
        <w:t xml:space="preserve">; </w:t>
      </w:r>
      <w:r w:rsidR="0062406B" w:rsidRPr="00A67033">
        <w:rPr>
          <w:rFonts w:ascii="Palatino Linotype" w:hAnsi="Palatino Linotype" w:cs="Arial"/>
        </w:rPr>
        <w:t xml:space="preserve">es decir </w:t>
      </w:r>
      <w:r w:rsidR="0082142B" w:rsidRPr="00A67033">
        <w:rPr>
          <w:rFonts w:ascii="Palatino Linotype" w:hAnsi="Palatino Linotype" w:cs="Arial"/>
        </w:rPr>
        <w:t>dentro d</w:t>
      </w:r>
      <w:r w:rsidR="009F09BC" w:rsidRPr="00A67033">
        <w:rPr>
          <w:rFonts w:ascii="Palatino Linotype" w:hAnsi="Palatino Linotype" w:cs="Arial"/>
        </w:rPr>
        <w:t>el lapso legalmente establecido para tal efecto.</w:t>
      </w:r>
    </w:p>
    <w:p w:rsidR="00F50F06" w:rsidRPr="00A67033" w:rsidRDefault="00F50F06" w:rsidP="00F50F06">
      <w:pPr>
        <w:pStyle w:val="Prrafodelista"/>
        <w:spacing w:line="360" w:lineRule="auto"/>
        <w:ind w:left="0"/>
        <w:jc w:val="both"/>
        <w:rPr>
          <w:rFonts w:ascii="Palatino Linotype" w:hAnsi="Palatino Linotype"/>
        </w:rPr>
      </w:pPr>
    </w:p>
    <w:p w:rsidR="009F09BC" w:rsidRPr="00A67033" w:rsidRDefault="009F09BC" w:rsidP="00D56143">
      <w:pPr>
        <w:pStyle w:val="Prrafodelista"/>
        <w:numPr>
          <w:ilvl w:val="0"/>
          <w:numId w:val="1"/>
        </w:numPr>
        <w:spacing w:line="360" w:lineRule="auto"/>
        <w:ind w:left="0" w:firstLine="0"/>
        <w:jc w:val="both"/>
        <w:rPr>
          <w:rFonts w:ascii="Palatino Linotype" w:hAnsi="Palatino Linotype"/>
        </w:rPr>
      </w:pPr>
      <w:r w:rsidRPr="00A67033">
        <w:rPr>
          <w:rFonts w:ascii="Palatino Linotype" w:eastAsia="Calibri" w:hAnsi="Palatino Linotype" w:cs="Arial"/>
        </w:rPr>
        <w:t xml:space="preserve">Asimismo, </w:t>
      </w:r>
      <w:r w:rsidR="00CF0D2B" w:rsidRPr="00A67033">
        <w:rPr>
          <w:rFonts w:ascii="Palatino Linotype" w:eastAsia="Calibri" w:hAnsi="Palatino Linotype" w:cs="Arial"/>
        </w:rPr>
        <w:t>e</w:t>
      </w:r>
      <w:r w:rsidRPr="00A67033">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A67033" w:rsidRDefault="00CF0D2B" w:rsidP="007142AB">
      <w:pPr>
        <w:rPr>
          <w:rFonts w:ascii="Palatino Linotype" w:hAnsi="Palatino Linotype"/>
        </w:rPr>
      </w:pPr>
    </w:p>
    <w:p w:rsidR="009F09BC" w:rsidRPr="00A67033" w:rsidRDefault="009F09BC" w:rsidP="00CF0D2B">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A67033">
        <w:rPr>
          <w:rFonts w:ascii="Palatino Linotype" w:hAnsi="Palatino Linotype"/>
          <w:b/>
          <w:color w:val="000000" w:themeColor="text1"/>
          <w:sz w:val="24"/>
          <w:szCs w:val="24"/>
        </w:rPr>
        <w:t xml:space="preserve">TERCERO. </w:t>
      </w:r>
      <w:bookmarkStart w:id="144" w:name="_Toc501021589"/>
      <w:r w:rsidRPr="00A67033">
        <w:rPr>
          <w:rFonts w:ascii="Palatino Linotype" w:hAnsi="Palatino Linotype"/>
          <w:b/>
          <w:color w:val="000000" w:themeColor="text1"/>
          <w:sz w:val="24"/>
          <w:szCs w:val="24"/>
        </w:rPr>
        <w:t xml:space="preserve">Del planteamiento de la </w:t>
      </w:r>
      <w:r w:rsidRPr="00A67033">
        <w:rPr>
          <w:rFonts w:ascii="Palatino Linotype" w:hAnsi="Palatino Linotype"/>
          <w:b/>
          <w:i/>
          <w:color w:val="000000" w:themeColor="text1"/>
          <w:sz w:val="24"/>
          <w:szCs w:val="24"/>
        </w:rPr>
        <w:t>Litis</w:t>
      </w:r>
      <w:r w:rsidRPr="00A67033">
        <w:rPr>
          <w:rFonts w:ascii="Palatino Linotype" w:hAnsi="Palatino Linotype"/>
          <w:b/>
          <w:color w:val="000000" w:themeColor="text1"/>
          <w:sz w:val="24"/>
          <w:szCs w:val="24"/>
        </w:rPr>
        <w:t>.</w:t>
      </w:r>
      <w:bookmarkEnd w:id="140"/>
      <w:bookmarkEnd w:id="141"/>
      <w:bookmarkEnd w:id="142"/>
      <w:bookmarkEnd w:id="143"/>
      <w:bookmarkEnd w:id="144"/>
    </w:p>
    <w:p w:rsidR="009F09BC" w:rsidRPr="00A67033" w:rsidRDefault="009F09BC" w:rsidP="009F09BC">
      <w:pPr>
        <w:rPr>
          <w:rFonts w:ascii="Palatino Linotype" w:hAnsi="Palatino Linotype"/>
          <w:lang w:val="es-MX" w:eastAsia="en-US"/>
        </w:rPr>
      </w:pPr>
    </w:p>
    <w:p w:rsidR="009F09BC" w:rsidRPr="00A67033" w:rsidRDefault="009F09BC" w:rsidP="00D56143">
      <w:pPr>
        <w:pStyle w:val="Prrafodelista"/>
        <w:numPr>
          <w:ilvl w:val="0"/>
          <w:numId w:val="1"/>
        </w:numPr>
        <w:spacing w:line="360" w:lineRule="auto"/>
        <w:ind w:left="0" w:firstLine="0"/>
        <w:jc w:val="both"/>
        <w:rPr>
          <w:rFonts w:ascii="Palatino Linotype" w:hAnsi="Palatino Linotype" w:cs="Arial"/>
        </w:rPr>
      </w:pPr>
      <w:r w:rsidRPr="00A67033">
        <w:rPr>
          <w:rFonts w:ascii="Palatino Linotype" w:hAnsi="Palatino Linotype" w:cs="Arial"/>
        </w:rPr>
        <w:t xml:space="preserve">Se </w:t>
      </w:r>
      <w:r w:rsidRPr="00A67033">
        <w:rPr>
          <w:rFonts w:ascii="Palatino Linotype" w:eastAsia="Calibri" w:hAnsi="Palatino Linotype" w:cs="Arial"/>
        </w:rPr>
        <w:t>solicitó</w:t>
      </w:r>
      <w:r w:rsidRPr="00A67033">
        <w:rPr>
          <w:rFonts w:ascii="Palatino Linotype" w:hAnsi="Palatino Linotype" w:cs="Arial"/>
        </w:rPr>
        <w:t xml:space="preserve"> </w:t>
      </w:r>
      <w:r w:rsidR="00AD63B4" w:rsidRPr="00A67033">
        <w:rPr>
          <w:rFonts w:ascii="Palatino Linotype" w:hAnsi="Palatino Linotype" w:cs="Arial"/>
        </w:rPr>
        <w:t xml:space="preserve">tener acceso, a la </w:t>
      </w:r>
      <w:r w:rsidRPr="00A67033">
        <w:rPr>
          <w:rFonts w:ascii="Palatino Linotype" w:hAnsi="Palatino Linotype" w:cs="Arial"/>
        </w:rPr>
        <w:t>información que a continuación se desagrega:</w:t>
      </w:r>
    </w:p>
    <w:p w:rsidR="009F09BC" w:rsidRPr="00A67033" w:rsidRDefault="009F09BC" w:rsidP="009F09BC">
      <w:pPr>
        <w:pStyle w:val="Prrafodelista"/>
        <w:spacing w:line="360" w:lineRule="auto"/>
        <w:ind w:left="0"/>
        <w:jc w:val="both"/>
        <w:rPr>
          <w:rFonts w:ascii="Palatino Linotype" w:hAnsi="Palatino Linotype" w:cs="Arial"/>
        </w:rPr>
      </w:pPr>
    </w:p>
    <w:p w:rsidR="00F50F06" w:rsidRPr="00A67033" w:rsidRDefault="00F50F06" w:rsidP="00F50F06">
      <w:pPr>
        <w:pStyle w:val="Prrafodelista"/>
        <w:spacing w:line="360" w:lineRule="auto"/>
        <w:ind w:left="709"/>
        <w:jc w:val="both"/>
        <w:rPr>
          <w:rFonts w:ascii="Palatino Linotype" w:hAnsi="Palatino Linotype" w:cs="Arial"/>
        </w:rPr>
      </w:pPr>
      <w:r w:rsidRPr="00A67033">
        <w:rPr>
          <w:rFonts w:ascii="Palatino Linotype" w:hAnsi="Palatino Linotype" w:cs="Arial"/>
        </w:rPr>
        <w:t xml:space="preserve">De la demanda presentada por el Titular de la Unidad de Transparencia, contra el Ayuntamiento de </w:t>
      </w:r>
      <w:proofErr w:type="spellStart"/>
      <w:r w:rsidRPr="00A67033">
        <w:rPr>
          <w:rFonts w:ascii="Palatino Linotype" w:hAnsi="Palatino Linotype" w:cs="Arial"/>
        </w:rPr>
        <w:t>Xalatlaco</w:t>
      </w:r>
      <w:proofErr w:type="spellEnd"/>
      <w:r w:rsidRPr="00A67033">
        <w:rPr>
          <w:rFonts w:ascii="Palatino Linotype" w:hAnsi="Palatino Linotype" w:cs="Arial"/>
        </w:rPr>
        <w:t>, del 1 de enero de 2019 al 30 de enero de 2020, lo siguiente:</w:t>
      </w:r>
    </w:p>
    <w:p w:rsidR="00F50F06" w:rsidRPr="00A67033" w:rsidRDefault="00F50F06" w:rsidP="00F50F06">
      <w:pPr>
        <w:pStyle w:val="Prrafodelista"/>
        <w:spacing w:line="360" w:lineRule="auto"/>
        <w:ind w:left="709"/>
        <w:jc w:val="both"/>
        <w:rPr>
          <w:rFonts w:ascii="Palatino Linotype" w:hAnsi="Palatino Linotype" w:cs="Arial"/>
        </w:rPr>
      </w:pPr>
    </w:p>
    <w:p w:rsidR="00F50F06" w:rsidRPr="00A67033" w:rsidRDefault="00F50F06" w:rsidP="00D56143">
      <w:pPr>
        <w:pStyle w:val="Prrafodelista"/>
        <w:numPr>
          <w:ilvl w:val="1"/>
          <w:numId w:val="5"/>
        </w:numPr>
        <w:spacing w:line="360" w:lineRule="auto"/>
        <w:ind w:left="1134"/>
        <w:jc w:val="both"/>
        <w:rPr>
          <w:rFonts w:ascii="Palatino Linotype" w:hAnsi="Palatino Linotype" w:cs="Arial"/>
        </w:rPr>
      </w:pPr>
      <w:r w:rsidRPr="00A67033">
        <w:rPr>
          <w:rFonts w:ascii="Palatino Linotype" w:hAnsi="Palatino Linotype" w:cs="Arial"/>
          <w:b/>
        </w:rPr>
        <w:t>Número de expediente;</w:t>
      </w:r>
    </w:p>
    <w:p w:rsidR="00F50F06" w:rsidRPr="00A67033" w:rsidRDefault="00F50F06" w:rsidP="00D56143">
      <w:pPr>
        <w:pStyle w:val="Prrafodelista"/>
        <w:numPr>
          <w:ilvl w:val="1"/>
          <w:numId w:val="5"/>
        </w:numPr>
        <w:spacing w:line="360" w:lineRule="auto"/>
        <w:ind w:left="1134"/>
        <w:jc w:val="both"/>
        <w:rPr>
          <w:rFonts w:ascii="Palatino Linotype" w:hAnsi="Palatino Linotype" w:cs="Arial"/>
        </w:rPr>
      </w:pPr>
      <w:r w:rsidRPr="00A67033">
        <w:rPr>
          <w:rFonts w:ascii="Palatino Linotype" w:hAnsi="Palatino Linotype" w:cs="Arial"/>
          <w:b/>
        </w:rPr>
        <w:t>Monto de lo demandado; y</w:t>
      </w:r>
    </w:p>
    <w:p w:rsidR="007142D6" w:rsidRPr="00A67033" w:rsidRDefault="00F50F06" w:rsidP="00D56143">
      <w:pPr>
        <w:pStyle w:val="Prrafodelista"/>
        <w:numPr>
          <w:ilvl w:val="1"/>
          <w:numId w:val="5"/>
        </w:numPr>
        <w:spacing w:line="360" w:lineRule="auto"/>
        <w:ind w:left="1134"/>
        <w:jc w:val="both"/>
        <w:rPr>
          <w:rFonts w:ascii="Palatino Linotype" w:hAnsi="Palatino Linotype" w:cs="Arial"/>
        </w:rPr>
      </w:pPr>
      <w:r w:rsidRPr="00A67033">
        <w:rPr>
          <w:rFonts w:ascii="Palatino Linotype" w:hAnsi="Palatino Linotype" w:cs="Arial"/>
          <w:b/>
        </w:rPr>
        <w:t>Causal.</w:t>
      </w:r>
    </w:p>
    <w:p w:rsidR="00F50F06" w:rsidRPr="00A67033" w:rsidRDefault="00F50F06" w:rsidP="00F50F06">
      <w:pPr>
        <w:pStyle w:val="Prrafodelista"/>
        <w:spacing w:line="360" w:lineRule="auto"/>
        <w:ind w:left="709"/>
        <w:jc w:val="both"/>
        <w:rPr>
          <w:rFonts w:ascii="Palatino Linotype" w:hAnsi="Palatino Linotype" w:cs="Arial"/>
        </w:rPr>
      </w:pPr>
    </w:p>
    <w:p w:rsidR="009F09BC" w:rsidRPr="00A67033" w:rsidRDefault="000F1081"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 xml:space="preserve">En respuesta, el </w:t>
      </w:r>
      <w:r w:rsidRPr="00A67033">
        <w:rPr>
          <w:rFonts w:ascii="Palatino Linotype" w:hAnsi="Palatino Linotype" w:cs="Arial"/>
          <w:b/>
        </w:rPr>
        <w:t xml:space="preserve">SUJETO OBLIGADO </w:t>
      </w:r>
      <w:r w:rsidR="00F50F06" w:rsidRPr="00A67033">
        <w:rPr>
          <w:rFonts w:ascii="Palatino Linotype" w:hAnsi="Palatino Linotype" w:cs="Arial"/>
        </w:rPr>
        <w:t>entregó el oficio de requerimiento por parte del Titular de la Unidad de Transparencia al servidor público habilitado y el oficio de contestación del Director Jurídico en su calidad de servidor público habilitado mediante el cual realiza una solicitud de aclaración.</w:t>
      </w:r>
      <w:r w:rsidR="00C41E57" w:rsidRPr="00A67033">
        <w:rPr>
          <w:rFonts w:ascii="Palatino Linotype" w:hAnsi="Palatino Linotype" w:cs="Arial"/>
        </w:rPr>
        <w:t xml:space="preserve"> </w:t>
      </w:r>
      <w:r w:rsidR="009F09BC" w:rsidRPr="00A67033">
        <w:rPr>
          <w:rFonts w:ascii="Palatino Linotype" w:hAnsi="Palatino Linotype" w:cs="Arial"/>
          <w:b/>
        </w:rPr>
        <w:t xml:space="preserve">EL PARTICULAR </w:t>
      </w:r>
      <w:r w:rsidR="009F09BC" w:rsidRPr="00A67033">
        <w:rPr>
          <w:rFonts w:ascii="Palatino Linotype" w:hAnsi="Palatino Linotype" w:cs="Arial"/>
        </w:rPr>
        <w:lastRenderedPageBreak/>
        <w:t xml:space="preserve">inconforme con la respuesta, expuso </w:t>
      </w:r>
      <w:r w:rsidR="00CF0D2B" w:rsidRPr="00A67033">
        <w:rPr>
          <w:rFonts w:ascii="Palatino Linotype" w:hAnsi="Palatino Linotype" w:cs="Arial"/>
          <w:i/>
        </w:rPr>
        <w:t>grosso modo</w:t>
      </w:r>
      <w:r w:rsidR="00CF0D2B" w:rsidRPr="00A67033">
        <w:rPr>
          <w:rFonts w:ascii="Palatino Linotype" w:hAnsi="Palatino Linotype" w:cs="Arial"/>
        </w:rPr>
        <w:t xml:space="preserve"> </w:t>
      </w:r>
      <w:r w:rsidR="009F09BC" w:rsidRPr="00A67033">
        <w:rPr>
          <w:rFonts w:ascii="Palatino Linotype" w:hAnsi="Palatino Linotype" w:cs="Arial"/>
        </w:rPr>
        <w:t xml:space="preserve">su </w:t>
      </w:r>
      <w:r w:rsidR="00403D64" w:rsidRPr="00A67033">
        <w:rPr>
          <w:rFonts w:ascii="Palatino Linotype" w:hAnsi="Palatino Linotype" w:cs="Arial"/>
        </w:rPr>
        <w:t xml:space="preserve">inconformidad </w:t>
      </w:r>
      <w:r w:rsidR="003D688A" w:rsidRPr="00A67033">
        <w:rPr>
          <w:rFonts w:ascii="Palatino Linotype" w:hAnsi="Palatino Linotype" w:cs="Arial"/>
        </w:rPr>
        <w:t xml:space="preserve">por </w:t>
      </w:r>
      <w:r w:rsidR="00F50F06" w:rsidRPr="00A67033">
        <w:rPr>
          <w:rFonts w:ascii="Palatino Linotype" w:hAnsi="Palatino Linotype" w:cs="Arial"/>
        </w:rPr>
        <w:t xml:space="preserve">la falta de </w:t>
      </w:r>
      <w:r w:rsidR="00C46D6A" w:rsidRPr="00A67033">
        <w:rPr>
          <w:rFonts w:ascii="Palatino Linotype" w:hAnsi="Palatino Linotype" w:cs="Arial"/>
        </w:rPr>
        <w:t>los datos solicitados</w:t>
      </w:r>
      <w:r w:rsidR="00C41E57" w:rsidRPr="00A67033">
        <w:rPr>
          <w:rFonts w:ascii="Palatino Linotype" w:hAnsi="Palatino Linotype" w:cs="Arial"/>
        </w:rPr>
        <w:t>.</w:t>
      </w:r>
    </w:p>
    <w:p w:rsidR="0074110E" w:rsidRPr="00A67033" w:rsidRDefault="0074110E" w:rsidP="0074110E">
      <w:pPr>
        <w:spacing w:line="360" w:lineRule="auto"/>
        <w:contextualSpacing/>
        <w:jc w:val="both"/>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eastAsia="MS Mincho" w:hAnsi="Palatino Linotype" w:cs="Arial"/>
        </w:rPr>
      </w:pPr>
      <w:r w:rsidRPr="00A67033">
        <w:rPr>
          <w:rFonts w:ascii="Palatino Linotype" w:eastAsia="MS Mincho" w:hAnsi="Palatino Linotype" w:cs="Arial"/>
        </w:rPr>
        <w:t xml:space="preserve">En </w:t>
      </w:r>
      <w:r w:rsidRPr="00A67033">
        <w:rPr>
          <w:rFonts w:ascii="Palatino Linotype" w:hAnsi="Palatino Linotype" w:cs="Arial"/>
          <w:lang w:eastAsia="es-MX"/>
        </w:rPr>
        <w:t>dichas</w:t>
      </w:r>
      <w:r w:rsidRPr="00A67033">
        <w:rPr>
          <w:rFonts w:ascii="Palatino Linotype" w:eastAsia="Times New Roman" w:hAnsi="Palatino Linotype" w:cs="Arial"/>
        </w:rPr>
        <w:t xml:space="preserve"> condiciones, la </w:t>
      </w:r>
      <w:r w:rsidRPr="00A67033">
        <w:rPr>
          <w:rFonts w:ascii="Palatino Linotype" w:eastAsia="Times New Roman" w:hAnsi="Palatino Linotype" w:cs="Arial"/>
          <w:i/>
        </w:rPr>
        <w:t>Litis</w:t>
      </w:r>
      <w:r w:rsidRPr="00A67033">
        <w:rPr>
          <w:rFonts w:ascii="Palatino Linotype" w:eastAsia="Times New Roman" w:hAnsi="Palatino Linotype" w:cs="Arial"/>
        </w:rPr>
        <w:t xml:space="preserve"> a resolver en este recurso se circunscribe a determinar si </w:t>
      </w:r>
      <w:r w:rsidR="007142AB" w:rsidRPr="00A67033">
        <w:rPr>
          <w:rFonts w:ascii="Palatino Linotype" w:eastAsia="MS Mincho" w:hAnsi="Palatino Linotype" w:cs="Arial"/>
        </w:rPr>
        <w:t>se actualiza</w:t>
      </w:r>
      <w:r w:rsidRPr="00A67033">
        <w:rPr>
          <w:rFonts w:ascii="Palatino Linotype" w:eastAsia="MS Mincho" w:hAnsi="Palatino Linotype" w:cs="Arial"/>
        </w:rPr>
        <w:t xml:space="preserve"> la causal de procedencia prevista en el artículo 179, </w:t>
      </w:r>
      <w:r w:rsidRPr="00A67033">
        <w:rPr>
          <w:rFonts w:ascii="Palatino Linotype" w:eastAsia="MS Mincho" w:hAnsi="Palatino Linotype" w:cs="Arial"/>
          <w:b/>
        </w:rPr>
        <w:t xml:space="preserve">fracción </w:t>
      </w:r>
      <w:r w:rsidR="007142AB" w:rsidRPr="00A67033">
        <w:rPr>
          <w:rFonts w:ascii="Palatino Linotype" w:eastAsia="MS Mincho" w:hAnsi="Palatino Linotype" w:cs="Arial"/>
          <w:b/>
        </w:rPr>
        <w:t>V</w:t>
      </w:r>
      <w:r w:rsidR="00F50F06" w:rsidRPr="00A67033">
        <w:rPr>
          <w:rFonts w:ascii="Palatino Linotype" w:eastAsia="MS Mincho" w:hAnsi="Palatino Linotype" w:cs="Arial"/>
          <w:b/>
        </w:rPr>
        <w:t>I</w:t>
      </w:r>
      <w:r w:rsidRPr="00A67033">
        <w:rPr>
          <w:rFonts w:ascii="Palatino Linotype" w:eastAsia="MS Mincho" w:hAnsi="Palatino Linotype" w:cs="Arial"/>
        </w:rPr>
        <w:t xml:space="preserve"> de la </w:t>
      </w:r>
      <w:r w:rsidRPr="00A67033">
        <w:rPr>
          <w:rFonts w:ascii="Palatino Linotype" w:eastAsia="MS Mincho" w:hAnsi="Palatino Linotype" w:cs="Arial"/>
          <w:b/>
        </w:rPr>
        <w:t>Ley de Transparencia y Acceso a la Información Pública del Estado de México y Municipios</w:t>
      </w:r>
      <w:r w:rsidRPr="00A67033">
        <w:rPr>
          <w:rFonts w:ascii="Palatino Linotype" w:eastAsia="MS Mincho" w:hAnsi="Palatino Linotype" w:cs="Arial"/>
        </w:rPr>
        <w:t xml:space="preserve">; </w:t>
      </w:r>
      <w:r w:rsidRPr="00A67033">
        <w:rPr>
          <w:rFonts w:ascii="Palatino Linotype" w:eastAsia="Times New Roman" w:hAnsi="Palatino Linotype" w:cs="Arial"/>
          <w:color w:val="000000" w:themeColor="text1"/>
          <w:lang w:val="es-ES" w:eastAsia="es-MX"/>
        </w:rPr>
        <w:t xml:space="preserve">fracción que determina </w:t>
      </w:r>
      <w:r w:rsidR="005B6702" w:rsidRPr="00A67033">
        <w:rPr>
          <w:rFonts w:ascii="Palatino Linotype" w:eastAsia="Times New Roman" w:hAnsi="Palatino Linotype" w:cs="Arial"/>
          <w:color w:val="000000" w:themeColor="text1"/>
          <w:lang w:val="es-ES" w:eastAsia="es-MX"/>
        </w:rPr>
        <w:t>la hipótesis jurídica</w:t>
      </w:r>
      <w:r w:rsidRPr="00A67033">
        <w:rPr>
          <w:rFonts w:ascii="Palatino Linotype" w:eastAsia="Times New Roman" w:hAnsi="Palatino Linotype" w:cs="Arial"/>
          <w:color w:val="000000" w:themeColor="text1"/>
          <w:lang w:val="es-ES" w:eastAsia="es-MX"/>
        </w:rPr>
        <w:t xml:space="preserve"> relativa </w:t>
      </w:r>
      <w:r w:rsidR="005B6702" w:rsidRPr="00A67033">
        <w:rPr>
          <w:rFonts w:ascii="Palatino Linotype" w:eastAsia="Times New Roman" w:hAnsi="Palatino Linotype" w:cs="Arial"/>
          <w:color w:val="000000" w:themeColor="text1"/>
          <w:lang w:val="es-ES" w:eastAsia="es-MX"/>
        </w:rPr>
        <w:t xml:space="preserve">a </w:t>
      </w:r>
      <w:r w:rsidR="003D688A" w:rsidRPr="00A67033">
        <w:rPr>
          <w:rFonts w:ascii="Palatino Linotype" w:eastAsia="Times New Roman" w:hAnsi="Palatino Linotype" w:cs="Arial"/>
          <w:color w:val="000000" w:themeColor="text1"/>
          <w:lang w:val="es-ES" w:eastAsia="es-MX"/>
        </w:rPr>
        <w:t xml:space="preserve">la </w:t>
      </w:r>
      <w:r w:rsidR="00F50F06" w:rsidRPr="00A67033">
        <w:rPr>
          <w:rFonts w:ascii="Palatino Linotype" w:eastAsia="Times New Roman" w:hAnsi="Palatino Linotype" w:cs="Arial"/>
          <w:color w:val="000000" w:themeColor="text1"/>
          <w:lang w:val="es-ES" w:eastAsia="es-MX"/>
        </w:rPr>
        <w:t>entrega de información que no corresponde con lo solicitado</w:t>
      </w:r>
      <w:r w:rsidRPr="00A67033">
        <w:rPr>
          <w:rFonts w:ascii="Palatino Linotype" w:eastAsia="Times New Roman" w:hAnsi="Palatino Linotype" w:cs="Arial"/>
          <w:color w:val="000000" w:themeColor="text1"/>
          <w:lang w:val="es-ES" w:eastAsia="es-MX"/>
        </w:rPr>
        <w:t xml:space="preserve">; </w:t>
      </w:r>
      <w:r w:rsidRPr="00A67033">
        <w:rPr>
          <w:rFonts w:ascii="Palatino Linotype" w:eastAsia="MS Mincho" w:hAnsi="Palatino Linotype" w:cs="Arial"/>
        </w:rPr>
        <w:t xml:space="preserve">contexto del cual se dolió </w:t>
      </w:r>
      <w:r w:rsidR="00AA0736" w:rsidRPr="00A67033">
        <w:rPr>
          <w:rFonts w:ascii="Palatino Linotype" w:eastAsia="MS Mincho" w:hAnsi="Palatino Linotype" w:cs="Arial"/>
          <w:b/>
        </w:rPr>
        <w:t>EL RECURRENTE</w:t>
      </w:r>
      <w:r w:rsidRPr="00A67033">
        <w:rPr>
          <w:rFonts w:ascii="Palatino Linotype" w:eastAsia="MS Mincho" w:hAnsi="Palatino Linotype" w:cs="Arial"/>
          <w:b/>
        </w:rPr>
        <w:t xml:space="preserve"> </w:t>
      </w:r>
      <w:r w:rsidRPr="00A67033">
        <w:rPr>
          <w:rFonts w:ascii="Palatino Linotype" w:eastAsia="MS Mincho" w:hAnsi="Palatino Linotype" w:cs="Arial"/>
        </w:rPr>
        <w:t>al momento de interponer su inconformidad.</w:t>
      </w:r>
      <w:r w:rsidRPr="00A67033">
        <w:rPr>
          <w:rFonts w:ascii="Palatino Linotype" w:eastAsia="Times New Roman" w:hAnsi="Palatino Linotype" w:cs="Arial"/>
          <w:color w:val="000000" w:themeColor="text1"/>
          <w:lang w:val="es-ES" w:eastAsia="es-MX"/>
        </w:rPr>
        <w:t xml:space="preserve"> De modo tal </w:t>
      </w:r>
      <w:r w:rsidRPr="00A67033">
        <w:rPr>
          <w:rFonts w:ascii="Palatino Linotype" w:hAnsi="Palatino Linotype" w:cs="Arial"/>
          <w:color w:val="000000" w:themeColor="text1"/>
        </w:rPr>
        <w:t xml:space="preserve">que el presente recurso de revisión se abocara en determinar si el </w:t>
      </w:r>
      <w:r w:rsidRPr="00A67033">
        <w:rPr>
          <w:rFonts w:ascii="Palatino Linotype" w:hAnsi="Palatino Linotype" w:cs="Arial"/>
          <w:b/>
          <w:color w:val="000000" w:themeColor="text1"/>
        </w:rPr>
        <w:t>SUJETO</w:t>
      </w:r>
      <w:r w:rsidRPr="00A67033">
        <w:rPr>
          <w:rFonts w:ascii="Palatino Linotype" w:hAnsi="Palatino Linotype" w:cs="Arial"/>
          <w:color w:val="000000" w:themeColor="text1"/>
        </w:rPr>
        <w:t xml:space="preserve"> </w:t>
      </w:r>
      <w:r w:rsidRPr="00A67033">
        <w:rPr>
          <w:rFonts w:ascii="Palatino Linotype" w:hAnsi="Palatino Linotype" w:cs="Arial"/>
          <w:b/>
          <w:color w:val="000000" w:themeColor="text1"/>
        </w:rPr>
        <w:t>OBLIGADO</w:t>
      </w:r>
      <w:r w:rsidRPr="00A67033">
        <w:rPr>
          <w:rFonts w:ascii="Palatino Linotype" w:hAnsi="Palatino Linotype" w:cs="Arial"/>
          <w:color w:val="000000" w:themeColor="text1"/>
        </w:rPr>
        <w:t xml:space="preserve"> con su respuesta ciertamente </w:t>
      </w:r>
      <w:r w:rsidRPr="00A67033">
        <w:rPr>
          <w:rFonts w:ascii="Palatino Linotype" w:eastAsia="Times New Roman" w:hAnsi="Palatino Linotype"/>
          <w:color w:val="000000" w:themeColor="text1"/>
        </w:rPr>
        <w:t>actualiza la causal de procedencia</w:t>
      </w:r>
      <w:r w:rsidRPr="00A67033">
        <w:rPr>
          <w:rFonts w:ascii="Palatino Linotype" w:eastAsia="Times New Roman" w:hAnsi="Palatino Linotype"/>
          <w:b/>
          <w:color w:val="000000" w:themeColor="text1"/>
        </w:rPr>
        <w:t xml:space="preserve"> </w:t>
      </w:r>
      <w:r w:rsidRPr="00A67033">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A67033" w:rsidRDefault="009F09BC" w:rsidP="009F09BC">
      <w:pPr>
        <w:pStyle w:val="Prrafodelista"/>
        <w:rPr>
          <w:rFonts w:ascii="Palatino Linotype" w:eastAsia="MS Mincho" w:hAnsi="Palatino Linotype" w:cs="Arial"/>
        </w:rPr>
      </w:pPr>
    </w:p>
    <w:p w:rsidR="009F09BC" w:rsidRPr="00A67033" w:rsidRDefault="009F09BC" w:rsidP="009F09BC">
      <w:pPr>
        <w:pStyle w:val="Ttulo2"/>
        <w:rPr>
          <w:rFonts w:ascii="Palatino Linotype" w:hAnsi="Palatino Linotype"/>
          <w:b/>
          <w:color w:val="000000" w:themeColor="text1"/>
          <w:sz w:val="24"/>
          <w:szCs w:val="24"/>
        </w:rPr>
      </w:pPr>
      <w:bookmarkStart w:id="145" w:name="_Toc495427545"/>
      <w:bookmarkStart w:id="146" w:name="_Toc23414596"/>
      <w:bookmarkStart w:id="147" w:name="_Toc34819433"/>
      <w:bookmarkStart w:id="148" w:name="_Toc51259589"/>
      <w:bookmarkStart w:id="149" w:name="_Toc83128582"/>
      <w:r w:rsidRPr="00A67033">
        <w:rPr>
          <w:rFonts w:ascii="Palatino Linotype" w:hAnsi="Palatino Linotype"/>
          <w:b/>
          <w:color w:val="000000" w:themeColor="text1"/>
          <w:sz w:val="24"/>
          <w:szCs w:val="24"/>
        </w:rPr>
        <w:t>CUARTO. Del estudio y resolución del asunto.</w:t>
      </w:r>
      <w:bookmarkEnd w:id="145"/>
      <w:bookmarkEnd w:id="146"/>
      <w:bookmarkEnd w:id="147"/>
      <w:bookmarkEnd w:id="148"/>
      <w:bookmarkEnd w:id="149"/>
    </w:p>
    <w:p w:rsidR="009F09BC" w:rsidRPr="00A67033" w:rsidRDefault="009F09BC" w:rsidP="009F09BC">
      <w:pPr>
        <w:spacing w:line="360" w:lineRule="auto"/>
        <w:rPr>
          <w:rFonts w:ascii="Palatino Linotype" w:hAnsi="Palatino Linotype"/>
          <w:lang w:val="es-MX" w:eastAsia="en-US"/>
        </w:rPr>
      </w:pPr>
    </w:p>
    <w:p w:rsidR="005B6702" w:rsidRPr="00A67033" w:rsidRDefault="005B6702"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color w:val="000000" w:themeColor="text1"/>
        </w:rPr>
        <w:t xml:space="preserve">Acotada la </w:t>
      </w:r>
      <w:r w:rsidRPr="00A67033">
        <w:rPr>
          <w:rFonts w:ascii="Palatino Linotype" w:hAnsi="Palatino Linotype"/>
          <w:i/>
          <w:color w:val="000000" w:themeColor="text1"/>
        </w:rPr>
        <w:t>Litis</w:t>
      </w:r>
      <w:r w:rsidRPr="00A67033">
        <w:rPr>
          <w:rFonts w:ascii="Palatino Linotype" w:hAnsi="Palatino Linotype"/>
          <w:color w:val="000000" w:themeColor="text1"/>
        </w:rPr>
        <w:t xml:space="preserve"> del presente asunto, primeramente es menester precisar</w:t>
      </w:r>
      <w:r w:rsidRPr="00A67033">
        <w:rPr>
          <w:rFonts w:ascii="Palatino Linotype" w:hAnsi="Palatino Linotype"/>
          <w:bCs/>
          <w:color w:val="000000" w:themeColor="text1"/>
          <w:lang w:val="es-MX"/>
        </w:rPr>
        <w:t xml:space="preserve"> que </w:t>
      </w:r>
      <w:r w:rsidRPr="00A67033">
        <w:rPr>
          <w:rFonts w:ascii="Palatino Linotype" w:hAnsi="Palatino Linotype"/>
          <w:bCs/>
          <w:color w:val="000000" w:themeColor="text1"/>
        </w:rPr>
        <w:t xml:space="preserve">este Órgano Garante parte del hecho que el Derecho de </w:t>
      </w:r>
      <w:r w:rsidRPr="00A67033">
        <w:rPr>
          <w:rFonts w:ascii="Palatino Linotype" w:eastAsia="MS Mincho" w:hAnsi="Palatino Linotype" w:cs="Arial"/>
        </w:rPr>
        <w:t>Acceso</w:t>
      </w:r>
      <w:r w:rsidRPr="00A67033">
        <w:rPr>
          <w:rFonts w:ascii="Palatino Linotype" w:hAnsi="Palatino Linotype"/>
          <w:bCs/>
          <w:color w:val="000000" w:themeColor="text1"/>
        </w:rPr>
        <w:t xml:space="preserve"> a la Información Pública, es un derecho humano reconocido en el Pacto de Derechos Civiles y Políticos en su artículo 19.2; en la </w:t>
      </w:r>
      <w:r w:rsidRPr="00A67033">
        <w:rPr>
          <w:rFonts w:ascii="Palatino Linotype" w:hAnsi="Palatino Linotype"/>
          <w:lang w:val="es-MX" w:eastAsia="en-US"/>
        </w:rPr>
        <w:t>Convención</w:t>
      </w:r>
      <w:r w:rsidRPr="00A67033">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la Particular del Estado de México, por lo que al respecto el </w:t>
      </w:r>
      <w:r w:rsidRPr="00A67033">
        <w:rPr>
          <w:rFonts w:ascii="Palatino Linotype" w:hAnsi="Palatino Linotype"/>
          <w:b/>
          <w:bCs/>
          <w:color w:val="000000" w:themeColor="text1"/>
        </w:rPr>
        <w:t>SUJETO OBLIGADO</w:t>
      </w:r>
      <w:r w:rsidRPr="00A67033">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w:t>
      </w:r>
      <w:r w:rsidRPr="00A67033">
        <w:rPr>
          <w:rFonts w:ascii="Palatino Linotype" w:hAnsi="Palatino Linotype"/>
          <w:bCs/>
          <w:color w:val="000000" w:themeColor="text1"/>
        </w:rPr>
        <w:lastRenderedPageBreak/>
        <w:t xml:space="preserve">dispone el tercer párrafo del artículo primero de la </w:t>
      </w:r>
      <w:r w:rsidRPr="00A67033">
        <w:rPr>
          <w:rFonts w:ascii="Palatino Linotype" w:hAnsi="Palatino Linotype"/>
          <w:b/>
          <w:bCs/>
          <w:color w:val="000000" w:themeColor="text1"/>
        </w:rPr>
        <w:t xml:space="preserve">Constitución Política de los Estados Unidos Mexicanos </w:t>
      </w:r>
      <w:r w:rsidRPr="00A67033">
        <w:rPr>
          <w:rFonts w:ascii="Palatino Linotype" w:hAnsi="Palatino Linotype"/>
          <w:bCs/>
          <w:color w:val="000000" w:themeColor="text1"/>
        </w:rPr>
        <w:t xml:space="preserve">al señalar la obligación de “promover, respetar, proteger y </w:t>
      </w:r>
      <w:r w:rsidRPr="00A67033">
        <w:rPr>
          <w:rFonts w:ascii="Palatino Linotype" w:hAnsi="Palatino Linotype"/>
          <w:b/>
          <w:bCs/>
          <w:color w:val="000000" w:themeColor="text1"/>
        </w:rPr>
        <w:t>garantizar</w:t>
      </w:r>
      <w:r w:rsidRPr="00A67033">
        <w:rPr>
          <w:rFonts w:ascii="Palatino Linotype" w:hAnsi="Palatino Linotype"/>
          <w:bCs/>
          <w:color w:val="000000" w:themeColor="text1"/>
        </w:rPr>
        <w:t xml:space="preserve"> los derechos humanos”, entre los cuales se encuentra dicho derecho.</w:t>
      </w:r>
    </w:p>
    <w:p w:rsidR="005B6702" w:rsidRPr="00A67033" w:rsidRDefault="005B6702" w:rsidP="005B6702">
      <w:pPr>
        <w:pStyle w:val="Prrafodelista"/>
        <w:spacing w:line="360" w:lineRule="auto"/>
        <w:ind w:left="0"/>
        <w:jc w:val="both"/>
        <w:rPr>
          <w:rFonts w:ascii="Palatino Linotype" w:hAnsi="Palatino Linotype"/>
          <w:color w:val="000000" w:themeColor="text1"/>
        </w:rPr>
      </w:pPr>
    </w:p>
    <w:p w:rsidR="005B6702" w:rsidRPr="00A67033" w:rsidRDefault="005B6702"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color w:val="000000" w:themeColor="text1"/>
        </w:rPr>
        <w:t xml:space="preserve">Por </w:t>
      </w:r>
      <w:r w:rsidRPr="00A67033">
        <w:rPr>
          <w:rFonts w:ascii="Palatino Linotype" w:hAnsi="Palatino Linotype"/>
          <w:color w:val="000000" w:themeColor="text1"/>
          <w:lang w:val="es-MX"/>
        </w:rPr>
        <w:t xml:space="preserve">lo anterior, se deduce que el derecho de acceso a la información pública es un </w:t>
      </w:r>
      <w:r w:rsidRPr="00A67033">
        <w:rPr>
          <w:rFonts w:ascii="Palatino Linotype" w:hAnsi="Palatino Linotype"/>
          <w:color w:val="000000" w:themeColor="text1"/>
        </w:rPr>
        <w:t>derecho</w:t>
      </w:r>
      <w:r w:rsidRPr="00A67033">
        <w:rPr>
          <w:rFonts w:ascii="Palatino Linotype" w:hAnsi="Palatino Linotype"/>
          <w:color w:val="000000" w:themeColor="text1"/>
          <w:lang w:val="es-MX"/>
        </w:rPr>
        <w:t xml:space="preserve"> humano convencional y constitucionalmente reconocido; en </w:t>
      </w:r>
      <w:r w:rsidRPr="00A67033">
        <w:rPr>
          <w:rFonts w:ascii="Palatino Linotype" w:hAnsi="Palatino Linotype"/>
          <w:color w:val="000000" w:themeColor="text1"/>
        </w:rPr>
        <w:t>consecuencia</w:t>
      </w:r>
      <w:r w:rsidRPr="00A67033">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37157C" w:rsidRPr="00A67033" w:rsidRDefault="0037157C" w:rsidP="0037157C">
      <w:pPr>
        <w:pStyle w:val="Prrafodelista"/>
        <w:rPr>
          <w:rFonts w:ascii="Palatino Linotype" w:hAnsi="Palatino Linotype"/>
          <w:color w:val="000000" w:themeColor="text1"/>
        </w:rPr>
      </w:pPr>
    </w:p>
    <w:p w:rsidR="005B6702" w:rsidRPr="00A67033" w:rsidRDefault="005B6702"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color w:val="000000" w:themeColor="text1"/>
        </w:rPr>
        <w:t xml:space="preserve">Así las cosas, </w:t>
      </w:r>
      <w:r w:rsidRPr="00A67033">
        <w:rPr>
          <w:rFonts w:ascii="Palatino Linotype" w:hAnsi="Palatino Linotype"/>
          <w:color w:val="000000" w:themeColor="text1"/>
          <w:lang w:val="es-MX"/>
        </w:rPr>
        <w:t xml:space="preserve">podemos definir el Derecho de Acceso a la Información Pública como: </w:t>
      </w:r>
      <w:r w:rsidRPr="00A67033">
        <w:rPr>
          <w:rFonts w:ascii="Palatino Linotype" w:hAnsi="Palatino Linotype"/>
          <w:i/>
          <w:color w:val="000000" w:themeColor="text1"/>
          <w:lang w:val="es-MX"/>
        </w:rPr>
        <w:t>La igualdad de oportunidades para recibir, buscar e impartir información</w:t>
      </w:r>
      <w:r w:rsidRPr="00A67033">
        <w:rPr>
          <w:rFonts w:ascii="Palatino Linotype" w:hAnsi="Palatino Linotype"/>
          <w:i/>
          <w:color w:val="000000" w:themeColor="text1"/>
          <w:vertAlign w:val="superscript"/>
          <w:lang w:val="es-MX"/>
        </w:rPr>
        <w:footnoteReference w:id="1"/>
      </w:r>
      <w:r w:rsidRPr="00A67033">
        <w:rPr>
          <w:rFonts w:ascii="Palatino Linotype" w:hAnsi="Palatino Linotype"/>
          <w:i/>
          <w:color w:val="000000" w:themeColor="text1"/>
          <w:lang w:val="es-MX"/>
        </w:rPr>
        <w:t xml:space="preserve">en posesión de </w:t>
      </w:r>
      <w:r w:rsidRPr="00A67033">
        <w:rPr>
          <w:rFonts w:ascii="Palatino Linotype" w:hAnsi="Palatino Linotype"/>
          <w:color w:val="000000" w:themeColor="text1"/>
        </w:rPr>
        <w:t>cualquier</w:t>
      </w:r>
      <w:r w:rsidRPr="00A67033">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67033">
        <w:rPr>
          <w:rFonts w:ascii="Palatino Linotype" w:hAnsi="Palatino Linotype"/>
          <w:i/>
          <w:color w:val="000000" w:themeColor="text1"/>
          <w:vertAlign w:val="superscript"/>
          <w:lang w:val="es-MX"/>
        </w:rPr>
        <w:footnoteReference w:id="2"/>
      </w:r>
      <w:r w:rsidRPr="00A67033">
        <w:rPr>
          <w:rFonts w:ascii="Palatino Linotype" w:hAnsi="Palatino Linotype"/>
          <w:color w:val="000000" w:themeColor="text1"/>
          <w:lang w:val="es-MX"/>
        </w:rPr>
        <w:t>que se constituye como una herramienta fundamental para ejercer</w:t>
      </w:r>
      <w:r w:rsidRPr="00A67033">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A67033">
        <w:rPr>
          <w:rFonts w:ascii="Palatino Linotype" w:hAnsi="Palatino Linotype"/>
          <w:i/>
          <w:color w:val="000000" w:themeColor="text1"/>
          <w:vertAlign w:val="superscript"/>
          <w:lang w:val="es-MX"/>
        </w:rPr>
        <w:footnoteReference w:id="3"/>
      </w:r>
      <w:r w:rsidRPr="00A67033">
        <w:rPr>
          <w:rFonts w:ascii="Palatino Linotype" w:hAnsi="Palatino Linotype"/>
          <w:i/>
          <w:color w:val="000000" w:themeColor="text1"/>
          <w:lang w:val="es-MX"/>
        </w:rPr>
        <w:t xml:space="preserve"> </w:t>
      </w:r>
      <w:r w:rsidRPr="00A67033">
        <w:rPr>
          <w:rFonts w:ascii="Palatino Linotype" w:hAnsi="Palatino Linotype"/>
          <w:color w:val="000000" w:themeColor="text1"/>
          <w:lang w:val="es-MX"/>
        </w:rPr>
        <w:t>fomentando</w:t>
      </w:r>
      <w:r w:rsidRPr="00A67033">
        <w:rPr>
          <w:rFonts w:ascii="Palatino Linotype" w:hAnsi="Palatino Linotype"/>
          <w:i/>
          <w:color w:val="000000" w:themeColor="text1"/>
          <w:lang w:val="es-MX"/>
        </w:rPr>
        <w:t xml:space="preserve"> la transparencia de las actividades estatales y </w:t>
      </w:r>
      <w:r w:rsidRPr="00A67033">
        <w:rPr>
          <w:rFonts w:ascii="Palatino Linotype" w:hAnsi="Palatino Linotype"/>
          <w:color w:val="000000" w:themeColor="text1"/>
          <w:lang w:val="es-MX"/>
        </w:rPr>
        <w:t>promoviendo</w:t>
      </w:r>
      <w:r w:rsidRPr="00A67033">
        <w:rPr>
          <w:rFonts w:ascii="Palatino Linotype" w:hAnsi="Palatino Linotype"/>
          <w:i/>
          <w:color w:val="000000" w:themeColor="text1"/>
          <w:lang w:val="es-MX"/>
        </w:rPr>
        <w:t xml:space="preserve"> la responsabilidad de los funcionarios sobre su gestión pública,</w:t>
      </w:r>
      <w:r w:rsidRPr="00A67033">
        <w:rPr>
          <w:rFonts w:ascii="Palatino Linotype" w:hAnsi="Palatino Linotype"/>
          <w:i/>
          <w:color w:val="000000" w:themeColor="text1"/>
          <w:vertAlign w:val="superscript"/>
          <w:lang w:val="es-MX"/>
        </w:rPr>
        <w:footnoteReference w:id="4"/>
      </w:r>
      <w:r w:rsidRPr="00A67033">
        <w:rPr>
          <w:rFonts w:ascii="Palatino Linotype" w:hAnsi="Palatino Linotype"/>
          <w:color w:val="000000" w:themeColor="text1"/>
          <w:lang w:val="es-MX"/>
        </w:rPr>
        <w:t>que permite</w:t>
      </w:r>
      <w:r w:rsidRPr="00A67033">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5B6702" w:rsidRPr="00A67033" w:rsidRDefault="005B6702"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color w:val="000000" w:themeColor="text1"/>
        </w:rPr>
        <w:lastRenderedPageBreak/>
        <w:t xml:space="preserve">Por otro lado, </w:t>
      </w:r>
      <w:r w:rsidRPr="00A67033">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5B6702" w:rsidRPr="00A67033" w:rsidRDefault="005B6702" w:rsidP="005B6702">
      <w:pPr>
        <w:pStyle w:val="Prrafodelista"/>
        <w:rPr>
          <w:rFonts w:ascii="Palatino Linotype" w:hAnsi="Palatino Linotype"/>
          <w:color w:val="000000" w:themeColor="text1"/>
        </w:rPr>
      </w:pPr>
    </w:p>
    <w:p w:rsidR="00EB21AE" w:rsidRPr="00A67033" w:rsidRDefault="005B6702"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color w:val="000000" w:themeColor="text1"/>
        </w:rPr>
        <w:t xml:space="preserve">Ahora bien, </w:t>
      </w:r>
      <w:r w:rsidR="00EB21AE" w:rsidRPr="00A67033">
        <w:rPr>
          <w:rFonts w:ascii="Palatino Linotype" w:hAnsi="Palatino Linotype"/>
          <w:color w:val="000000" w:themeColor="text1"/>
        </w:rPr>
        <w:t xml:space="preserve">con relación a la respuesta emitida, es dable primeramente mencionar </w:t>
      </w:r>
      <w:r w:rsidR="00E11F1E" w:rsidRPr="00A67033">
        <w:rPr>
          <w:rFonts w:ascii="Palatino Linotype" w:hAnsi="Palatino Linotype"/>
          <w:color w:val="000000" w:themeColor="text1"/>
        </w:rPr>
        <w:t xml:space="preserve">que ciertamente resulta fundados los motivos de inconformidad; toda vez que el </w:t>
      </w:r>
      <w:r w:rsidR="00E11F1E" w:rsidRPr="00A67033">
        <w:rPr>
          <w:rFonts w:ascii="Palatino Linotype" w:hAnsi="Palatino Linotype"/>
          <w:b/>
          <w:color w:val="000000" w:themeColor="text1"/>
        </w:rPr>
        <w:t>SUJETO OBLIGADO</w:t>
      </w:r>
      <w:r w:rsidR="00E11F1E" w:rsidRPr="00A67033">
        <w:rPr>
          <w:rFonts w:ascii="Palatino Linotype" w:hAnsi="Palatino Linotype"/>
          <w:color w:val="000000" w:themeColor="text1"/>
        </w:rPr>
        <w:t xml:space="preserve"> no se pronunció respecto a la información solicitada, sino que en calidad de respuesta entregó el oficio de requerimiento por parte del Titular de la Unidad de Transparencia al servidor público habilitado y el oficio de contestación del Director Jurídico en su calidad de servidor público habilitado mediante el cual realiza una solicitud de aclaración.</w:t>
      </w:r>
    </w:p>
    <w:p w:rsidR="00E11F1E" w:rsidRPr="00A67033" w:rsidRDefault="00E11F1E" w:rsidP="00E11F1E">
      <w:pPr>
        <w:pStyle w:val="Prrafodelista"/>
        <w:rPr>
          <w:rFonts w:ascii="Palatino Linotype" w:hAnsi="Palatino Linotype"/>
          <w:color w:val="000000" w:themeColor="text1"/>
        </w:rPr>
      </w:pPr>
    </w:p>
    <w:p w:rsidR="00E11F1E" w:rsidRPr="00A67033" w:rsidRDefault="00E11F1E"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color w:val="000000" w:themeColor="text1"/>
        </w:rPr>
        <w:t>En ese sentido, el derecho de acceso a la información se vio restringido por una pretendida solicitud de aclaración la cual, fue realizada fuera del lapso legalmente establecido para que los sujetos obligados las realicen cuando así lo consideren procedente, como consta en el artículo 159 de la Ley de Transparencia y Acceso a la Información Pública del Estado de México y Municipios, y que es de la literalidad siguiente:</w:t>
      </w:r>
    </w:p>
    <w:p w:rsidR="00E11F1E" w:rsidRPr="00A67033" w:rsidRDefault="00E11F1E" w:rsidP="00E11F1E">
      <w:pPr>
        <w:spacing w:line="360" w:lineRule="auto"/>
        <w:ind w:left="567" w:right="474"/>
        <w:contextualSpacing/>
        <w:jc w:val="both"/>
        <w:rPr>
          <w:rFonts w:ascii="Palatino Linotype" w:hAnsi="Palatino Linotype"/>
          <w:i/>
          <w:color w:val="000000" w:themeColor="text1"/>
        </w:rPr>
      </w:pPr>
      <w:r w:rsidRPr="00A67033">
        <w:rPr>
          <w:rFonts w:ascii="Palatino Linotype" w:hAnsi="Palatino Linotype"/>
          <w:i/>
          <w:color w:val="000000" w:themeColor="text1"/>
        </w:rPr>
        <w:lastRenderedPageBreak/>
        <w:t xml:space="preserve">“Artículo 159. </w:t>
      </w:r>
      <w:r w:rsidRPr="00A67033">
        <w:rPr>
          <w:rFonts w:ascii="Palatino Linotype" w:hAnsi="Palatino Linotype"/>
          <w:b/>
          <w:i/>
          <w:color w:val="000000" w:themeColor="text1"/>
        </w:rPr>
        <w:t>Cuando los detalles proporcionados para localizar los documentos resulten insuficientes, incompletos o sean erróneos</w:t>
      </w:r>
      <w:r w:rsidRPr="00A67033">
        <w:rPr>
          <w:rFonts w:ascii="Palatino Linotype" w:hAnsi="Palatino Linotype"/>
          <w:i/>
          <w:color w:val="000000" w:themeColor="text1"/>
        </w:rPr>
        <w:t xml:space="preserve">, la Unidad de Transparencia </w:t>
      </w:r>
      <w:r w:rsidRPr="00A67033">
        <w:rPr>
          <w:rFonts w:ascii="Palatino Linotype" w:hAnsi="Palatino Linotype"/>
          <w:b/>
          <w:i/>
          <w:color w:val="000000" w:themeColor="text1"/>
        </w:rPr>
        <w:t>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r w:rsidRPr="00A67033">
        <w:rPr>
          <w:rFonts w:ascii="Palatino Linotype" w:hAnsi="Palatino Linotype"/>
          <w:i/>
          <w:color w:val="000000" w:themeColor="text1"/>
        </w:rPr>
        <w:t>.</w:t>
      </w:r>
    </w:p>
    <w:p w:rsidR="00E11F1E" w:rsidRPr="00A67033" w:rsidRDefault="00E11F1E" w:rsidP="00E11F1E">
      <w:pPr>
        <w:spacing w:line="360" w:lineRule="auto"/>
        <w:ind w:left="567" w:right="474"/>
        <w:contextualSpacing/>
        <w:jc w:val="both"/>
        <w:rPr>
          <w:rFonts w:ascii="Palatino Linotype" w:hAnsi="Palatino Linotype"/>
          <w:i/>
          <w:color w:val="000000" w:themeColor="text1"/>
        </w:rPr>
      </w:pPr>
      <w:r w:rsidRPr="00A67033">
        <w:rPr>
          <w:rFonts w:ascii="Palatino Linotype" w:hAnsi="Palatino Linotype"/>
          <w:i/>
          <w:color w:val="000000" w:themeColor="text1"/>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rsidR="00E11F1E" w:rsidRPr="00A67033" w:rsidRDefault="00E11F1E" w:rsidP="00E11F1E">
      <w:pPr>
        <w:spacing w:line="360" w:lineRule="auto"/>
        <w:ind w:left="567" w:right="474"/>
        <w:contextualSpacing/>
        <w:jc w:val="both"/>
        <w:rPr>
          <w:rFonts w:ascii="Palatino Linotype" w:hAnsi="Palatino Linotype"/>
          <w:i/>
          <w:color w:val="000000" w:themeColor="text1"/>
        </w:rPr>
      </w:pPr>
      <w:r w:rsidRPr="00A67033">
        <w:rPr>
          <w:rFonts w:ascii="Palatino Linotype" w:hAnsi="Palatino Linotype"/>
          <w:i/>
          <w:color w:val="000000" w:themeColor="text1"/>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rsidR="00E11F1E" w:rsidRPr="00A67033" w:rsidRDefault="00E11F1E" w:rsidP="00E11F1E">
      <w:pPr>
        <w:spacing w:line="360" w:lineRule="auto"/>
        <w:ind w:left="567" w:right="474"/>
        <w:contextualSpacing/>
        <w:jc w:val="both"/>
        <w:rPr>
          <w:rFonts w:ascii="Palatino Linotype" w:hAnsi="Palatino Linotype"/>
          <w:i/>
          <w:color w:val="000000" w:themeColor="text1"/>
        </w:rPr>
      </w:pPr>
      <w:r w:rsidRPr="00A67033">
        <w:rPr>
          <w:rFonts w:ascii="Palatino Linotype" w:hAnsi="Palatino Linotype"/>
          <w:i/>
          <w:color w:val="000000" w:themeColor="text1"/>
        </w:rPr>
        <w:t>En el caso de requerimientos parciales no desahogados, se tendrá por presentada la solicitud por lo que respecta a los contenidos de información que no formaron parte del requerimiento.”</w:t>
      </w:r>
    </w:p>
    <w:p w:rsidR="00E11F1E" w:rsidRPr="00A67033" w:rsidRDefault="00E11F1E" w:rsidP="00E11F1E">
      <w:pPr>
        <w:spacing w:line="360" w:lineRule="auto"/>
        <w:ind w:left="567" w:right="474"/>
        <w:contextualSpacing/>
        <w:jc w:val="both"/>
        <w:rPr>
          <w:rFonts w:ascii="Palatino Linotype" w:hAnsi="Palatino Linotype"/>
          <w:color w:val="000000" w:themeColor="text1"/>
        </w:rPr>
      </w:pPr>
      <w:r w:rsidRPr="00A67033">
        <w:rPr>
          <w:rFonts w:ascii="Palatino Linotype" w:hAnsi="Palatino Linotype"/>
          <w:color w:val="000000" w:themeColor="text1"/>
        </w:rPr>
        <w:t>Énfasis añadido</w:t>
      </w:r>
    </w:p>
    <w:p w:rsidR="00E11F1E" w:rsidRPr="00A67033" w:rsidRDefault="00E11F1E" w:rsidP="00E11F1E">
      <w:pPr>
        <w:spacing w:line="360" w:lineRule="auto"/>
        <w:ind w:left="567" w:right="474"/>
        <w:contextualSpacing/>
        <w:jc w:val="both"/>
        <w:rPr>
          <w:rFonts w:ascii="Palatino Linotype" w:hAnsi="Palatino Linotype"/>
          <w:color w:val="000000" w:themeColor="text1"/>
        </w:rPr>
      </w:pPr>
    </w:p>
    <w:p w:rsidR="00E11F1E" w:rsidRPr="00A67033" w:rsidRDefault="00E11F1E"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color w:val="000000" w:themeColor="text1"/>
        </w:rPr>
        <w:t xml:space="preserve">Luego entonces, si la pretendida solicitud de aclaración se realizó al momento de emitir la respuesta y no a los cinco días hábiles posteriores a la interposición de </w:t>
      </w:r>
      <w:r w:rsidRPr="00A67033">
        <w:rPr>
          <w:rFonts w:ascii="Palatino Linotype" w:hAnsi="Palatino Linotype"/>
          <w:color w:val="000000" w:themeColor="text1"/>
        </w:rPr>
        <w:lastRenderedPageBreak/>
        <w:t>la solicitud de información, evidentemente se considera inoportuna, independiente de si la solicitud de información era o no ambigua.</w:t>
      </w:r>
    </w:p>
    <w:p w:rsidR="00E11F1E" w:rsidRPr="00A67033" w:rsidRDefault="00E11F1E" w:rsidP="00E11F1E">
      <w:pPr>
        <w:spacing w:line="360" w:lineRule="auto"/>
        <w:contextualSpacing/>
        <w:jc w:val="both"/>
        <w:rPr>
          <w:rFonts w:ascii="Palatino Linotype" w:hAnsi="Palatino Linotype"/>
          <w:color w:val="000000" w:themeColor="text1"/>
        </w:rPr>
      </w:pPr>
    </w:p>
    <w:p w:rsidR="00E11F1E" w:rsidRPr="00A67033" w:rsidRDefault="00E11F1E"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color w:val="000000" w:themeColor="text1"/>
        </w:rPr>
        <w:t xml:space="preserve">Ahora bien, de lo toralmente requerido, es información que versa sobre una demanda de carácter laboral, </w:t>
      </w:r>
      <w:proofErr w:type="gramStart"/>
      <w:r w:rsidR="00C46D6A" w:rsidRPr="00A67033">
        <w:rPr>
          <w:rFonts w:ascii="Palatino Linotype" w:hAnsi="Palatino Linotype"/>
          <w:color w:val="000000" w:themeColor="text1"/>
        </w:rPr>
        <w:t>ya que</w:t>
      </w:r>
      <w:proofErr w:type="gramEnd"/>
      <w:r w:rsidR="00C46D6A" w:rsidRPr="00A67033">
        <w:rPr>
          <w:rFonts w:ascii="Palatino Linotype" w:hAnsi="Palatino Linotype"/>
          <w:color w:val="000000" w:themeColor="text1"/>
        </w:rPr>
        <w:t xml:space="preserve"> si bien no se precisó, se colige al mencionar que las partes son un servidor público contra un ayuntamiento, en el que se demanda un monto a pagar, así como sus causales o motivos.</w:t>
      </w:r>
    </w:p>
    <w:p w:rsidR="00C46D6A" w:rsidRPr="00A67033" w:rsidRDefault="00C46D6A" w:rsidP="00C46D6A">
      <w:pPr>
        <w:pStyle w:val="Prrafodelista"/>
        <w:rPr>
          <w:rFonts w:ascii="Palatino Linotype" w:hAnsi="Palatino Linotype"/>
          <w:color w:val="000000" w:themeColor="text1"/>
        </w:rPr>
      </w:pPr>
    </w:p>
    <w:p w:rsidR="00E11F1E" w:rsidRPr="00A67033" w:rsidRDefault="0040132E"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color w:val="222222"/>
          <w:lang w:eastAsia="es-MX"/>
        </w:rPr>
        <w:t xml:space="preserve">Luego entonces, ante la falta de pronunciamiento del </w:t>
      </w:r>
      <w:r w:rsidRPr="00A67033">
        <w:rPr>
          <w:rFonts w:ascii="Palatino Linotype" w:hAnsi="Palatino Linotype"/>
          <w:b/>
          <w:color w:val="222222"/>
          <w:lang w:eastAsia="es-MX"/>
        </w:rPr>
        <w:t>SUJETO OBLIGADO</w:t>
      </w:r>
      <w:r w:rsidRPr="00A67033">
        <w:rPr>
          <w:rFonts w:ascii="Palatino Linotype" w:hAnsi="Palatino Linotype"/>
          <w:color w:val="222222"/>
          <w:lang w:eastAsia="es-MX"/>
        </w:rPr>
        <w:t>, se procede al estudio de la naturaleza jurídica de la información pública solicitada, con el objeto de determinar si ésta la genera, posee o administra </w:t>
      </w:r>
      <w:r w:rsidRPr="00A67033">
        <w:rPr>
          <w:rFonts w:ascii="Palatino Linotype" w:hAnsi="Palatino Linotype"/>
          <w:bCs/>
          <w:color w:val="222222"/>
          <w:lang w:eastAsia="es-MX"/>
        </w:rPr>
        <w:t xml:space="preserve">el Ayuntamiento de </w:t>
      </w:r>
      <w:proofErr w:type="spellStart"/>
      <w:r w:rsidRPr="00A67033">
        <w:rPr>
          <w:rFonts w:ascii="Palatino Linotype" w:hAnsi="Palatino Linotype"/>
          <w:bCs/>
          <w:color w:val="222222"/>
          <w:lang w:eastAsia="es-MX"/>
        </w:rPr>
        <w:t>Xalatlaco</w:t>
      </w:r>
      <w:proofErr w:type="spellEnd"/>
      <w:r w:rsidRPr="00A67033">
        <w:rPr>
          <w:rFonts w:ascii="Palatino Linotype" w:hAnsi="Palatino Linotype"/>
          <w:bCs/>
          <w:color w:val="222222"/>
          <w:lang w:eastAsia="es-MX"/>
        </w:rPr>
        <w:t>.</w:t>
      </w:r>
    </w:p>
    <w:p w:rsidR="00E11F1E" w:rsidRPr="00A67033" w:rsidRDefault="00E11F1E" w:rsidP="00E11F1E">
      <w:pPr>
        <w:pStyle w:val="Prrafodelista"/>
        <w:rPr>
          <w:rFonts w:ascii="Palatino Linotype" w:hAnsi="Palatino Linotype"/>
          <w:color w:val="000000" w:themeColor="text1"/>
        </w:rPr>
      </w:pPr>
    </w:p>
    <w:p w:rsidR="000F2C90" w:rsidRPr="00A67033" w:rsidRDefault="00C46D6A" w:rsidP="00D56143">
      <w:pPr>
        <w:numPr>
          <w:ilvl w:val="0"/>
          <w:numId w:val="1"/>
        </w:numPr>
        <w:spacing w:line="360" w:lineRule="auto"/>
        <w:ind w:left="0" w:firstLine="0"/>
        <w:contextualSpacing/>
        <w:jc w:val="both"/>
        <w:rPr>
          <w:rFonts w:ascii="Palatino Linotype" w:hAnsi="Palatino Linotype" w:cs="Bookman Old Style"/>
        </w:rPr>
      </w:pPr>
      <w:r w:rsidRPr="00A67033">
        <w:rPr>
          <w:rFonts w:ascii="Palatino Linotype" w:hAnsi="Palatino Linotype" w:cs="Arial"/>
          <w:lang w:val="es-ES"/>
        </w:rPr>
        <w:t>D</w:t>
      </w:r>
      <w:r w:rsidR="00FA0D18" w:rsidRPr="00A67033">
        <w:rPr>
          <w:rFonts w:ascii="Palatino Linotype" w:hAnsi="Palatino Linotype" w:cs="Arial"/>
          <w:lang w:val="es-ES"/>
        </w:rPr>
        <w:t xml:space="preserve">erivado que la solicitud se encuentra relacionada con demandas laborales; es </w:t>
      </w:r>
      <w:r w:rsidR="00FA0D18" w:rsidRPr="00A67033">
        <w:rPr>
          <w:rFonts w:ascii="Palatino Linotype" w:hAnsi="Palatino Linotype"/>
          <w:color w:val="222222"/>
          <w:lang w:eastAsia="es-MX"/>
        </w:rPr>
        <w:t>importante</w:t>
      </w:r>
      <w:r w:rsidR="00FA0D18" w:rsidRPr="00A67033">
        <w:rPr>
          <w:rFonts w:ascii="Palatino Linotype" w:hAnsi="Palatino Linotype" w:cs="Arial"/>
          <w:lang w:val="es-ES"/>
        </w:rPr>
        <w:t xml:space="preserve"> traer a contexto primeramente a </w:t>
      </w:r>
      <w:r w:rsidR="00FA0D18" w:rsidRPr="00A67033">
        <w:rPr>
          <w:rFonts w:ascii="Palatino Linotype" w:eastAsia="Arial Unicode MS" w:hAnsi="Palatino Linotype" w:cs="Arial"/>
        </w:rPr>
        <w:t xml:space="preserve">la Ley del Trabajo de los Servidores Públicos del Estado y Municipios, </w:t>
      </w:r>
      <w:r w:rsidR="000F2C90" w:rsidRPr="00A67033">
        <w:rPr>
          <w:rFonts w:ascii="Palatino Linotype" w:hAnsi="Palatino Linotype" w:cs="Bookman Old Style"/>
        </w:rPr>
        <w:t>en su artículo primero, que tiene por objeto regular las relaciones de trabajo comprendidas entre los poderes públicos del Estado y los Municipios y sus respectivos servidores públicos y que establece; entre otros, la relación laboral entre los servidores públicos y los Entes gubernamentales, ello en términos del artículo 5° de la Ley en mención, la cual a la letra dispone:</w:t>
      </w:r>
    </w:p>
    <w:p w:rsidR="000F2C90" w:rsidRPr="00A67033" w:rsidRDefault="000F2C90" w:rsidP="000F2C90">
      <w:pPr>
        <w:pStyle w:val="Prrafodelista"/>
        <w:spacing w:line="360" w:lineRule="auto"/>
        <w:ind w:left="567" w:right="618"/>
        <w:jc w:val="both"/>
        <w:rPr>
          <w:rFonts w:ascii="Palatino Linotype" w:hAnsi="Palatino Linotype" w:cs="Bookman Old Style"/>
          <w:i/>
        </w:rPr>
      </w:pPr>
    </w:p>
    <w:p w:rsidR="000F2C90" w:rsidRPr="00A67033" w:rsidRDefault="000F2C90" w:rsidP="000F2C90">
      <w:pPr>
        <w:pStyle w:val="Prrafodelista"/>
        <w:spacing w:line="360" w:lineRule="auto"/>
        <w:ind w:left="567" w:right="618"/>
        <w:jc w:val="both"/>
        <w:rPr>
          <w:rFonts w:ascii="Palatino Linotype" w:hAnsi="Palatino Linotype" w:cs="Bookman Old Style"/>
          <w:i/>
        </w:rPr>
      </w:pPr>
      <w:r w:rsidRPr="00A67033">
        <w:rPr>
          <w:rFonts w:ascii="Palatino Linotype" w:hAnsi="Palatino Linotype" w:cs="Bookman Old Style"/>
          <w:i/>
        </w:rPr>
        <w:t xml:space="preserve">“ARTÍCULO 5.- La relación de trabajo entre las instituciones públicas y sus servidores públicos se entiende establecida mediante nombramiento, formato único de movimiento de personal, contrato o por cualquier otro acto que tenga </w:t>
      </w:r>
      <w:r w:rsidRPr="00A67033">
        <w:rPr>
          <w:rFonts w:ascii="Palatino Linotype" w:hAnsi="Palatino Linotype" w:cs="Bookman Old Style"/>
          <w:i/>
        </w:rPr>
        <w:lastRenderedPageBreak/>
        <w:t>como consecuencia la prestación personal subordinada del servicio y la percepción de un sueldo.</w:t>
      </w:r>
    </w:p>
    <w:p w:rsidR="000F2C90" w:rsidRPr="00A67033" w:rsidRDefault="000F2C90" w:rsidP="000F2C90">
      <w:pPr>
        <w:pStyle w:val="Prrafodelista"/>
        <w:spacing w:line="360" w:lineRule="auto"/>
        <w:ind w:left="567" w:right="618"/>
        <w:jc w:val="both"/>
        <w:rPr>
          <w:rFonts w:ascii="Palatino Linotype" w:hAnsi="Palatino Linotype" w:cs="Bookman Old Style"/>
          <w:i/>
        </w:rPr>
      </w:pPr>
      <w:r w:rsidRPr="00A67033">
        <w:rPr>
          <w:rFonts w:ascii="Palatino Linotype" w:hAnsi="Palatino Linotype" w:cs="Bookman Old Style"/>
          <w:i/>
        </w:rPr>
        <w:t>Para los efectos de esta ley, las instituciones públicas estarán representadas por sus titulares.”</w:t>
      </w:r>
    </w:p>
    <w:p w:rsidR="000F2C90" w:rsidRPr="00A67033" w:rsidRDefault="000F2C90" w:rsidP="000F2C90">
      <w:pPr>
        <w:pStyle w:val="Prrafodelista"/>
        <w:rPr>
          <w:rFonts w:ascii="Palatino Linotype" w:hAnsi="Palatino Linotype" w:cs="Bookman Old Style"/>
        </w:rPr>
      </w:pPr>
    </w:p>
    <w:p w:rsidR="00E125C7" w:rsidRPr="00A67033" w:rsidRDefault="00E125C7" w:rsidP="00D56143">
      <w:pPr>
        <w:numPr>
          <w:ilvl w:val="0"/>
          <w:numId w:val="1"/>
        </w:numPr>
        <w:spacing w:line="360" w:lineRule="auto"/>
        <w:ind w:left="0" w:firstLine="0"/>
        <w:contextualSpacing/>
        <w:jc w:val="both"/>
        <w:rPr>
          <w:rFonts w:ascii="Palatino Linotype" w:hAnsi="Palatino Linotype" w:cs="Bookman Old Style"/>
        </w:rPr>
      </w:pPr>
      <w:r w:rsidRPr="00A67033">
        <w:rPr>
          <w:rFonts w:ascii="Palatino Linotype" w:hAnsi="Palatino Linotype" w:cs="Bookman Old Style"/>
        </w:rPr>
        <w:t xml:space="preserve">De lo anterior, se advierte </w:t>
      </w:r>
      <w:r w:rsidR="00C46D6A" w:rsidRPr="00A67033">
        <w:rPr>
          <w:rFonts w:ascii="Palatino Linotype" w:hAnsi="Palatino Linotype" w:cs="Bookman Old Style"/>
        </w:rPr>
        <w:t xml:space="preserve">que </w:t>
      </w:r>
      <w:r w:rsidRPr="00A67033">
        <w:rPr>
          <w:rFonts w:ascii="Palatino Linotype" w:hAnsi="Palatino Linotype" w:cs="Bookman Old Style"/>
        </w:rPr>
        <w:t>la relación laboral existe entre los Entes gubernamentales y los servidores públicos, la cual, se entiende establecida mediante nombramiento, formato único de movimiento de personal, contrato o por cualquier otro acto que tenga como consecuencia la prestación personal subordinada del servicio y la percepción de un sueldo.</w:t>
      </w:r>
    </w:p>
    <w:p w:rsidR="00E125C7" w:rsidRPr="00A67033" w:rsidRDefault="00E125C7" w:rsidP="00E125C7">
      <w:pPr>
        <w:spacing w:line="360" w:lineRule="auto"/>
        <w:ind w:left="360"/>
        <w:contextualSpacing/>
        <w:jc w:val="both"/>
        <w:rPr>
          <w:rFonts w:ascii="Palatino Linotype" w:hAnsi="Palatino Linotype" w:cs="Bookman Old Style"/>
        </w:rPr>
      </w:pPr>
    </w:p>
    <w:p w:rsidR="000F2C90" w:rsidRPr="00A67033" w:rsidRDefault="00E125C7" w:rsidP="00D56143">
      <w:pPr>
        <w:numPr>
          <w:ilvl w:val="0"/>
          <w:numId w:val="1"/>
        </w:numPr>
        <w:spacing w:line="360" w:lineRule="auto"/>
        <w:ind w:left="0" w:firstLine="0"/>
        <w:contextualSpacing/>
        <w:jc w:val="both"/>
        <w:rPr>
          <w:rFonts w:ascii="Palatino Linotype" w:hAnsi="Palatino Linotype" w:cs="Bookman Old Style"/>
        </w:rPr>
      </w:pPr>
      <w:r w:rsidRPr="00A67033">
        <w:rPr>
          <w:rFonts w:ascii="Palatino Linotype" w:hAnsi="Palatino Linotype" w:cs="Bookman Old Style"/>
        </w:rPr>
        <w:t>Ahora bien, existen diversos motivos que pueden dar lugar a un conflicto laboral con motivo de la relación existente entre los Entes Gubernamentales y los servidores públicos, los cuales dan lugar a un proceso de índole laboral; así la Ley del Trabajo de los Servidores Públicos del Estado y Municipios, establece a ambas partes como las contraposiciones en un proceso, en términos del artículo 195, que a la letra señala:</w:t>
      </w:r>
    </w:p>
    <w:p w:rsidR="00FA0D18" w:rsidRPr="00A67033" w:rsidRDefault="00FA0D18" w:rsidP="00FA0D18">
      <w:pPr>
        <w:spacing w:line="360" w:lineRule="auto"/>
        <w:jc w:val="both"/>
        <w:rPr>
          <w:rFonts w:ascii="Palatino Linotype" w:hAnsi="Palatino Linotype" w:cs="Arial"/>
        </w:rPr>
      </w:pPr>
    </w:p>
    <w:p w:rsidR="00E125C7" w:rsidRPr="00A67033" w:rsidRDefault="00E125C7" w:rsidP="00E125C7">
      <w:pPr>
        <w:spacing w:line="360" w:lineRule="auto"/>
        <w:ind w:left="567" w:right="616"/>
        <w:jc w:val="both"/>
        <w:rPr>
          <w:rFonts w:ascii="Palatino Linotype" w:hAnsi="Palatino Linotype" w:cs="Arial"/>
          <w:i/>
        </w:rPr>
      </w:pPr>
      <w:r w:rsidRPr="00A67033">
        <w:rPr>
          <w:rFonts w:ascii="Palatino Linotype" w:hAnsi="Palatino Linotype" w:cs="Arial"/>
          <w:i/>
        </w:rPr>
        <w:t>“ARTÍCULO 195.- Son partes en el proceso, los servidores públicos, las instituciones públicas o las dependencias, los sindicatos reconocidos ante el Tribunal y, en general, quien acredite tener interés jurídico en el proceso y ejerciten acciones y opongan excepciones.</w:t>
      </w:r>
    </w:p>
    <w:p w:rsidR="00E125C7" w:rsidRPr="00A67033" w:rsidRDefault="00E125C7" w:rsidP="00E125C7">
      <w:pPr>
        <w:spacing w:line="360" w:lineRule="auto"/>
        <w:ind w:left="567" w:right="616"/>
        <w:jc w:val="both"/>
        <w:rPr>
          <w:rFonts w:ascii="Palatino Linotype" w:hAnsi="Palatino Linotype" w:cs="Arial"/>
          <w:i/>
        </w:rPr>
      </w:pPr>
      <w:r w:rsidRPr="00A67033">
        <w:rPr>
          <w:rFonts w:ascii="Palatino Linotype" w:hAnsi="Palatino Linotype" w:cs="Arial"/>
          <w:i/>
        </w:rPr>
        <w:t xml:space="preserve">Los terceros interesados podrán intervenir en el proceso comprobando su interés jurídico en el mismo o cuando sean llamados por el Tribunal o la Sala, quienes deberán manifestar lo que a su derecho convenga por escrito en el juicio, hasta </w:t>
      </w:r>
      <w:r w:rsidRPr="00A67033">
        <w:rPr>
          <w:rFonts w:ascii="Palatino Linotype" w:hAnsi="Palatino Linotype" w:cs="Arial"/>
          <w:i/>
        </w:rPr>
        <w:lastRenderedPageBreak/>
        <w:t>antes de la celebración de la audiencia de conciliación, depuración procesal, ofrecimiento y admisión de pruebas, apercibiéndolos que para el caso de no hacerlo antes de la etapa referida, se tendrá por perdido su derecho para hacerlo valer con posterioridad y se estará a lo resuelto en el laudo.</w:t>
      </w:r>
    </w:p>
    <w:p w:rsidR="00E125C7" w:rsidRPr="00A67033" w:rsidRDefault="00E125C7" w:rsidP="00E125C7">
      <w:pPr>
        <w:spacing w:line="360" w:lineRule="auto"/>
        <w:ind w:left="567" w:right="616"/>
        <w:jc w:val="both"/>
        <w:rPr>
          <w:rFonts w:ascii="Palatino Linotype" w:hAnsi="Palatino Linotype" w:cs="Arial"/>
          <w:i/>
        </w:rPr>
      </w:pPr>
      <w:r w:rsidRPr="00A67033">
        <w:rPr>
          <w:rFonts w:ascii="Palatino Linotype" w:hAnsi="Palatino Linotype" w:cs="Arial"/>
          <w:i/>
        </w:rPr>
        <w:t>Los servidores públicos, mayores de 16 y menores de 18 años, tienen capacidad por sí mismos para comparecer a juicio; pero, en caso de no estar asesorados, el Tribunal o las Salas solicitarán la intervención de la Procuraduría de la Defensa del Trabajo.</w:t>
      </w:r>
    </w:p>
    <w:p w:rsidR="00E125C7" w:rsidRPr="00A67033" w:rsidRDefault="00E125C7" w:rsidP="00E125C7">
      <w:pPr>
        <w:spacing w:line="360" w:lineRule="auto"/>
        <w:ind w:left="567" w:right="616"/>
        <w:jc w:val="both"/>
        <w:rPr>
          <w:rFonts w:ascii="Palatino Linotype" w:hAnsi="Palatino Linotype" w:cs="Arial"/>
          <w:i/>
        </w:rPr>
      </w:pPr>
      <w:r w:rsidRPr="00A67033">
        <w:rPr>
          <w:rFonts w:ascii="Palatino Linotype" w:hAnsi="Palatino Linotype" w:cs="Arial"/>
          <w:i/>
        </w:rPr>
        <w:t>Lo señalado en el párrafo anterior se aplicará también tratándose del procedimiento promovido por los aspirantes a beneficiarios de algún trabajador fallecido”</w:t>
      </w:r>
    </w:p>
    <w:p w:rsidR="00E125C7" w:rsidRPr="00A67033" w:rsidRDefault="00E125C7" w:rsidP="00E125C7">
      <w:pPr>
        <w:spacing w:line="360" w:lineRule="auto"/>
        <w:ind w:left="567" w:right="616"/>
        <w:jc w:val="both"/>
        <w:rPr>
          <w:rFonts w:ascii="Palatino Linotype" w:hAnsi="Palatino Linotype" w:cs="Arial"/>
        </w:rPr>
      </w:pPr>
      <w:r w:rsidRPr="00A67033">
        <w:rPr>
          <w:rFonts w:ascii="Palatino Linotype" w:hAnsi="Palatino Linotype" w:cs="Arial"/>
        </w:rPr>
        <w:t>(Énfasis añadido)</w:t>
      </w:r>
    </w:p>
    <w:p w:rsidR="00E125C7" w:rsidRPr="00A67033" w:rsidRDefault="00E125C7" w:rsidP="00FA0D18">
      <w:pPr>
        <w:spacing w:line="360" w:lineRule="auto"/>
        <w:jc w:val="both"/>
        <w:rPr>
          <w:rFonts w:ascii="Palatino Linotype" w:hAnsi="Palatino Linotype" w:cs="Arial"/>
        </w:rPr>
      </w:pPr>
    </w:p>
    <w:p w:rsidR="00E125C7" w:rsidRPr="00A67033" w:rsidRDefault="00E125C7" w:rsidP="00D56143">
      <w:pPr>
        <w:numPr>
          <w:ilvl w:val="0"/>
          <w:numId w:val="1"/>
        </w:numPr>
        <w:spacing w:line="360" w:lineRule="auto"/>
        <w:ind w:left="0" w:firstLine="0"/>
        <w:contextualSpacing/>
        <w:jc w:val="both"/>
        <w:rPr>
          <w:rFonts w:ascii="Palatino Linotype" w:hAnsi="Palatino Linotype" w:cs="Bookman Old Style"/>
        </w:rPr>
      </w:pPr>
      <w:r w:rsidRPr="00A67033">
        <w:rPr>
          <w:rFonts w:ascii="Palatino Linotype" w:hAnsi="Palatino Linotype" w:cs="Bookman Old Style"/>
        </w:rPr>
        <w:t>Dicho el proceso laboral, inicia con la presentación de la demanda, la cual es promovida por el actor, en la cual se reclama el cumplimiento de las diversas obligaciones en atención a los derechos laborales que consagra la Ley de la materia; ello de acuerdo con el artículo 226 de la Ley del Trabajo de los Servidores Públicos del Estado y Municipios, que a la letra dispone:</w:t>
      </w:r>
    </w:p>
    <w:p w:rsidR="00E125C7" w:rsidRPr="00A67033" w:rsidRDefault="00E125C7" w:rsidP="00E125C7">
      <w:pPr>
        <w:spacing w:line="360" w:lineRule="auto"/>
        <w:contextualSpacing/>
        <w:jc w:val="both"/>
        <w:rPr>
          <w:rFonts w:ascii="Palatino Linotype" w:hAnsi="Palatino Linotype" w:cs="Bookman Old Style"/>
        </w:rPr>
      </w:pPr>
    </w:p>
    <w:p w:rsidR="00ED5A7A" w:rsidRPr="00A67033" w:rsidRDefault="00ED5A7A" w:rsidP="00ED5A7A">
      <w:pPr>
        <w:spacing w:line="361" w:lineRule="auto"/>
        <w:ind w:left="561" w:right="583"/>
        <w:jc w:val="both"/>
        <w:rPr>
          <w:rFonts w:ascii="Palatino Linotype" w:hAnsi="Palatino Linotype"/>
          <w:sz w:val="32"/>
        </w:rPr>
      </w:pPr>
      <w:r w:rsidRPr="00A67033">
        <w:rPr>
          <w:rFonts w:ascii="Palatino Linotype" w:eastAsia="Palatino Linotype" w:hAnsi="Palatino Linotype" w:cs="Palatino Linotype"/>
          <w:i/>
        </w:rPr>
        <w:t xml:space="preserve">“ARTÍCULO 226. El </w:t>
      </w:r>
      <w:r w:rsidRPr="00A67033">
        <w:rPr>
          <w:rFonts w:ascii="Palatino Linotype" w:eastAsia="Palatino Linotype" w:hAnsi="Palatino Linotype" w:cs="Palatino Linotype"/>
          <w:b/>
          <w:i/>
        </w:rPr>
        <w:t>procedimiento se iniciará con la presentación del escrito de demanda ante la Oficialía de Partes del Tribunal o la Sala que lo turnará a la Sala</w:t>
      </w:r>
      <w:r w:rsidRPr="00A67033">
        <w:rPr>
          <w:rFonts w:ascii="Palatino Linotype" w:eastAsia="Palatino Linotype" w:hAnsi="Palatino Linotype" w:cs="Palatino Linotype"/>
          <w:i/>
        </w:rPr>
        <w:t xml:space="preserve"> oral o mesa de audiencia según le corresponda el mismo día antes de que concluyan las labores.  </w:t>
      </w:r>
    </w:p>
    <w:p w:rsidR="00ED5A7A" w:rsidRPr="00A67033" w:rsidRDefault="00ED5A7A" w:rsidP="00ED5A7A">
      <w:pPr>
        <w:spacing w:after="23" w:line="361" w:lineRule="auto"/>
        <w:ind w:left="566" w:right="443"/>
        <w:jc w:val="both"/>
        <w:rPr>
          <w:rFonts w:ascii="Palatino Linotype" w:eastAsia="Palatino Linotype" w:hAnsi="Palatino Linotype" w:cs="Palatino Linotype"/>
          <w:i/>
        </w:rPr>
      </w:pPr>
      <w:r w:rsidRPr="00A67033">
        <w:rPr>
          <w:rFonts w:ascii="Palatino Linotype" w:eastAsia="Palatino Linotype" w:hAnsi="Palatino Linotype" w:cs="Palatino Linotype"/>
          <w:i/>
        </w:rPr>
        <w:lastRenderedPageBreak/>
        <w:t>A la demanda se acompañarán las pruebas de que disponga el actor y los documentos que acrediten la personalidad del representante, en caso de que aquel no pudiera concurrir personalmente.”</w:t>
      </w:r>
    </w:p>
    <w:p w:rsidR="00ED5A7A" w:rsidRPr="00A67033" w:rsidRDefault="00ED5A7A" w:rsidP="00ED5A7A">
      <w:pPr>
        <w:spacing w:after="23" w:line="361" w:lineRule="auto"/>
        <w:ind w:left="566" w:right="443"/>
        <w:jc w:val="both"/>
        <w:rPr>
          <w:rFonts w:ascii="Palatino Linotype" w:hAnsi="Palatino Linotype"/>
          <w:sz w:val="32"/>
        </w:rPr>
      </w:pPr>
      <w:r w:rsidRPr="00A67033">
        <w:rPr>
          <w:rFonts w:ascii="Palatino Linotype" w:hAnsi="Palatino Linotype"/>
        </w:rPr>
        <w:t xml:space="preserve">(Énfasis añadido) </w:t>
      </w:r>
    </w:p>
    <w:p w:rsidR="00ED5A7A" w:rsidRPr="00A67033" w:rsidRDefault="00ED5A7A" w:rsidP="00ED5A7A">
      <w:pPr>
        <w:spacing w:after="122" w:line="259" w:lineRule="auto"/>
      </w:pPr>
      <w:r w:rsidRPr="00A67033">
        <w:t xml:space="preserve"> </w:t>
      </w:r>
    </w:p>
    <w:p w:rsidR="00ED5A7A" w:rsidRPr="00A67033" w:rsidRDefault="00ED5A7A"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Ahora bien, dicha demanda que inicia el proceso laboral entre los servidores públicos en </w:t>
      </w:r>
      <w:r w:rsidRPr="00A67033">
        <w:rPr>
          <w:rFonts w:ascii="Palatino Linotype" w:hAnsi="Palatino Linotype" w:cs="Bookman Old Style"/>
        </w:rPr>
        <w:t>contra</w:t>
      </w:r>
      <w:r w:rsidRPr="00A67033">
        <w:rPr>
          <w:rFonts w:ascii="Palatino Linotype" w:hAnsi="Palatino Linotype"/>
        </w:rPr>
        <w:t xml:space="preserve"> del Estado y los Municipios, se debe presentar ante el Tribunal o la Sala; al respecto, se tiene que el Sujeto Obligado es el órgano que conoce de dichos conflictos laborales, ello en atención a los artículos 184 y 185 de la Ley del Trabajo de los servidores públicos del estado y Municipios, que a la letra señalan: </w:t>
      </w:r>
    </w:p>
    <w:p w:rsidR="00ED5A7A" w:rsidRPr="00A67033" w:rsidRDefault="00ED5A7A" w:rsidP="00ED5A7A">
      <w:pPr>
        <w:spacing w:after="103" w:line="259" w:lineRule="auto"/>
        <w:ind w:left="-5" w:right="44"/>
        <w:rPr>
          <w:rFonts w:ascii="Palatino Linotype" w:hAnsi="Palatino Linotype"/>
        </w:rPr>
      </w:pPr>
    </w:p>
    <w:p w:rsidR="00ED5A7A" w:rsidRPr="00A67033" w:rsidRDefault="00ED5A7A" w:rsidP="00ED5A7A">
      <w:pPr>
        <w:spacing w:after="114" w:line="259" w:lineRule="auto"/>
        <w:ind w:right="33"/>
        <w:jc w:val="center"/>
        <w:rPr>
          <w:rFonts w:ascii="Palatino Linotype" w:hAnsi="Palatino Linotype"/>
        </w:rPr>
      </w:pPr>
      <w:r w:rsidRPr="00A67033">
        <w:rPr>
          <w:rFonts w:ascii="Palatino Linotype" w:eastAsia="Palatino Linotype" w:hAnsi="Palatino Linotype" w:cs="Palatino Linotype"/>
          <w:b/>
          <w:i/>
        </w:rPr>
        <w:t xml:space="preserve">“TITULO SEPTIMO </w:t>
      </w:r>
    </w:p>
    <w:p w:rsidR="00ED5A7A" w:rsidRPr="00A67033" w:rsidRDefault="00ED5A7A" w:rsidP="00ED5A7A">
      <w:pPr>
        <w:spacing w:after="114" w:line="259" w:lineRule="auto"/>
        <w:ind w:right="38"/>
        <w:jc w:val="center"/>
        <w:rPr>
          <w:rFonts w:ascii="Palatino Linotype" w:hAnsi="Palatino Linotype"/>
        </w:rPr>
      </w:pPr>
      <w:r w:rsidRPr="00A67033">
        <w:rPr>
          <w:rFonts w:ascii="Palatino Linotype" w:eastAsia="Palatino Linotype" w:hAnsi="Palatino Linotype" w:cs="Palatino Linotype"/>
          <w:b/>
          <w:i/>
        </w:rPr>
        <w:t xml:space="preserve">Del Tribunal Estatal de Conciliación y Arbitraje y del Proceso y Procedimientos </w:t>
      </w:r>
    </w:p>
    <w:p w:rsidR="00ED5A7A" w:rsidRPr="00A67033" w:rsidRDefault="00ED5A7A" w:rsidP="00ED5A7A">
      <w:pPr>
        <w:spacing w:after="114" w:line="259" w:lineRule="auto"/>
        <w:ind w:right="32"/>
        <w:jc w:val="center"/>
        <w:rPr>
          <w:rFonts w:ascii="Palatino Linotype" w:hAnsi="Palatino Linotype"/>
        </w:rPr>
      </w:pPr>
      <w:r w:rsidRPr="00A67033">
        <w:rPr>
          <w:rFonts w:ascii="Palatino Linotype" w:eastAsia="Palatino Linotype" w:hAnsi="Palatino Linotype" w:cs="Palatino Linotype"/>
          <w:b/>
          <w:i/>
        </w:rPr>
        <w:t xml:space="preserve">CAPITULO I </w:t>
      </w:r>
    </w:p>
    <w:p w:rsidR="00ED5A7A" w:rsidRPr="00A67033" w:rsidRDefault="00ED5A7A" w:rsidP="00ED5A7A">
      <w:pPr>
        <w:spacing w:after="114" w:line="259" w:lineRule="auto"/>
        <w:ind w:right="34"/>
        <w:jc w:val="center"/>
        <w:rPr>
          <w:rFonts w:ascii="Palatino Linotype" w:hAnsi="Palatino Linotype"/>
        </w:rPr>
      </w:pPr>
      <w:r w:rsidRPr="00A67033">
        <w:rPr>
          <w:rFonts w:ascii="Palatino Linotype" w:eastAsia="Palatino Linotype" w:hAnsi="Palatino Linotype" w:cs="Palatino Linotype"/>
          <w:b/>
          <w:i/>
        </w:rPr>
        <w:t xml:space="preserve">Del Tribunal Estatal de Conciliación y Arbitraje </w:t>
      </w:r>
    </w:p>
    <w:p w:rsidR="00ED5A7A" w:rsidRPr="00A67033" w:rsidRDefault="00ED5A7A" w:rsidP="00ED5A7A">
      <w:pPr>
        <w:spacing w:line="361" w:lineRule="auto"/>
        <w:ind w:left="561" w:right="583"/>
        <w:rPr>
          <w:rFonts w:ascii="Palatino Linotype" w:hAnsi="Palatino Linotype"/>
        </w:rPr>
      </w:pPr>
      <w:r w:rsidRPr="00A67033">
        <w:rPr>
          <w:rFonts w:ascii="Palatino Linotype" w:eastAsia="Palatino Linotype" w:hAnsi="Palatino Linotype" w:cs="Palatino Linotype"/>
          <w:b/>
          <w:i/>
        </w:rPr>
        <w:t>ARTÍCULO 184.-</w:t>
      </w:r>
      <w:r w:rsidRPr="00A67033">
        <w:rPr>
          <w:rFonts w:ascii="Palatino Linotype" w:eastAsia="Palatino Linotype" w:hAnsi="Palatino Linotype" w:cs="Palatino Linotype"/>
          <w:i/>
        </w:rPr>
        <w:t xml:space="preserve"> El Tribunal Estatal de Conciliación y Arbitraje es un órgano autónomo y dotado de plena jurisdicción, </w:t>
      </w:r>
      <w:r w:rsidRPr="00A67033">
        <w:rPr>
          <w:rFonts w:ascii="Palatino Linotype" w:eastAsia="Palatino Linotype" w:hAnsi="Palatino Linotype" w:cs="Palatino Linotype"/>
          <w:b/>
          <w:i/>
        </w:rPr>
        <w:t xml:space="preserve">conocerá y resolverá los conflictos laborales individuales y colectivos que se presenten entre los sujetos de esta ley. </w:t>
      </w:r>
    </w:p>
    <w:p w:rsidR="00ED5A7A" w:rsidRPr="00A67033" w:rsidRDefault="00ED5A7A" w:rsidP="00ED5A7A">
      <w:pPr>
        <w:spacing w:after="115" w:line="259" w:lineRule="auto"/>
        <w:ind w:left="566"/>
        <w:rPr>
          <w:rFonts w:ascii="Palatino Linotype" w:hAnsi="Palatino Linotype"/>
        </w:rPr>
      </w:pPr>
      <w:r w:rsidRPr="00A67033">
        <w:rPr>
          <w:rFonts w:ascii="Palatino Linotype" w:eastAsia="Palatino Linotype" w:hAnsi="Palatino Linotype" w:cs="Palatino Linotype"/>
          <w:b/>
          <w:i/>
        </w:rPr>
        <w:t xml:space="preserve"> </w:t>
      </w:r>
    </w:p>
    <w:p w:rsidR="00ED5A7A" w:rsidRPr="00A67033" w:rsidRDefault="00ED5A7A" w:rsidP="00ED5A7A">
      <w:pPr>
        <w:spacing w:after="115" w:line="259" w:lineRule="auto"/>
        <w:ind w:left="561" w:right="589"/>
        <w:rPr>
          <w:rFonts w:ascii="Palatino Linotype" w:hAnsi="Palatino Linotype"/>
        </w:rPr>
      </w:pPr>
      <w:r w:rsidRPr="00A67033">
        <w:rPr>
          <w:rFonts w:ascii="Palatino Linotype" w:eastAsia="Palatino Linotype" w:hAnsi="Palatino Linotype" w:cs="Palatino Linotype"/>
          <w:b/>
          <w:i/>
        </w:rPr>
        <w:t>ARTÍCULO 185</w:t>
      </w:r>
      <w:r w:rsidRPr="00A67033">
        <w:rPr>
          <w:rFonts w:ascii="Palatino Linotype" w:eastAsia="Palatino Linotype" w:hAnsi="Palatino Linotype" w:cs="Palatino Linotype"/>
          <w:i/>
        </w:rPr>
        <w:t xml:space="preserve">. El Tribunal será competente para: </w:t>
      </w:r>
    </w:p>
    <w:p w:rsidR="00ED5A7A" w:rsidRPr="00A67033" w:rsidRDefault="00ED5A7A" w:rsidP="00D56143">
      <w:pPr>
        <w:numPr>
          <w:ilvl w:val="0"/>
          <w:numId w:val="14"/>
        </w:numPr>
        <w:spacing w:after="3" w:line="361" w:lineRule="auto"/>
        <w:ind w:right="589" w:hanging="10"/>
        <w:jc w:val="both"/>
        <w:rPr>
          <w:rFonts w:ascii="Palatino Linotype" w:hAnsi="Palatino Linotype"/>
        </w:rPr>
      </w:pPr>
      <w:r w:rsidRPr="00A67033">
        <w:rPr>
          <w:rFonts w:ascii="Palatino Linotype" w:eastAsia="Palatino Linotype" w:hAnsi="Palatino Linotype" w:cs="Palatino Linotype"/>
          <w:i/>
        </w:rPr>
        <w:t xml:space="preserve">Conocer y resolver, en conciliación y arbitraje, de </w:t>
      </w:r>
      <w:r w:rsidRPr="00A67033">
        <w:rPr>
          <w:rFonts w:ascii="Palatino Linotype" w:eastAsia="Palatino Linotype" w:hAnsi="Palatino Linotype" w:cs="Palatino Linotype"/>
          <w:b/>
          <w:i/>
        </w:rPr>
        <w:t xml:space="preserve">los conflictos individuales que se susciten entre las instituciones públicas, dependencias, organismos descentralizados, fideicomisos de carácter Estatal y </w:t>
      </w:r>
      <w:r w:rsidRPr="00A67033">
        <w:rPr>
          <w:rFonts w:ascii="Palatino Linotype" w:eastAsia="Palatino Linotype" w:hAnsi="Palatino Linotype" w:cs="Palatino Linotype"/>
          <w:b/>
          <w:i/>
        </w:rPr>
        <w:lastRenderedPageBreak/>
        <w:t xml:space="preserve">Municipal, y organismos autónomos que sus leyes de creación así lo determinen y sus servidores públicos que no conozcan las Salas;  </w:t>
      </w:r>
    </w:p>
    <w:p w:rsidR="00ED5A7A" w:rsidRPr="00A67033" w:rsidRDefault="00ED5A7A" w:rsidP="00D56143">
      <w:pPr>
        <w:numPr>
          <w:ilvl w:val="0"/>
          <w:numId w:val="14"/>
        </w:numPr>
        <w:spacing w:after="4" w:line="357" w:lineRule="auto"/>
        <w:ind w:right="589" w:hanging="10"/>
        <w:jc w:val="both"/>
        <w:rPr>
          <w:rFonts w:ascii="Palatino Linotype" w:hAnsi="Palatino Linotype"/>
        </w:rPr>
      </w:pPr>
      <w:r w:rsidRPr="00A67033">
        <w:rPr>
          <w:rFonts w:ascii="Palatino Linotype" w:eastAsia="Palatino Linotype" w:hAnsi="Palatino Linotype" w:cs="Palatino Linotype"/>
          <w:i/>
        </w:rPr>
        <w:t xml:space="preserve">Conocer y resolver, en conciliación y arbitraje, los conflictos colectivos que surjan entre las instituciones públicas o dependencias y las organizaciones sindicales;  </w:t>
      </w:r>
    </w:p>
    <w:p w:rsidR="00ED5A7A" w:rsidRPr="00A67033" w:rsidRDefault="00ED5A7A" w:rsidP="00D56143">
      <w:pPr>
        <w:numPr>
          <w:ilvl w:val="0"/>
          <w:numId w:val="14"/>
        </w:numPr>
        <w:spacing w:after="4" w:line="357" w:lineRule="auto"/>
        <w:ind w:right="589" w:hanging="10"/>
        <w:jc w:val="both"/>
        <w:rPr>
          <w:rFonts w:ascii="Palatino Linotype" w:hAnsi="Palatino Linotype"/>
        </w:rPr>
      </w:pPr>
      <w:r w:rsidRPr="00A67033">
        <w:rPr>
          <w:rFonts w:ascii="Palatino Linotype" w:eastAsia="Palatino Linotype" w:hAnsi="Palatino Linotype" w:cs="Palatino Linotype"/>
          <w:i/>
        </w:rPr>
        <w:t>Conceder el registro de los sindicatos y, en su caso, dictar la cancelación de los mismos</w:t>
      </w:r>
      <w:proofErr w:type="gramStart"/>
      <w:r w:rsidRPr="00A67033">
        <w:rPr>
          <w:rFonts w:ascii="Palatino Linotype" w:eastAsia="Palatino Linotype" w:hAnsi="Palatino Linotype" w:cs="Palatino Linotype"/>
          <w:i/>
        </w:rPr>
        <w:t>;  IV.</w:t>
      </w:r>
      <w:proofErr w:type="gramEnd"/>
      <w:r w:rsidRPr="00A67033">
        <w:rPr>
          <w:rFonts w:ascii="Palatino Linotype" w:eastAsia="Palatino Linotype" w:hAnsi="Palatino Linotype" w:cs="Palatino Linotype"/>
          <w:i/>
        </w:rPr>
        <w:t xml:space="preserve"> Conocer y resolver, en conciliación y arbitraje, de los conflictos internos de los sindicatos y de los </w:t>
      </w:r>
      <w:proofErr w:type="spellStart"/>
      <w:r w:rsidRPr="00A67033">
        <w:rPr>
          <w:rFonts w:ascii="Palatino Linotype" w:eastAsia="Palatino Linotype" w:hAnsi="Palatino Linotype" w:cs="Palatino Linotype"/>
          <w:i/>
        </w:rPr>
        <w:t>intersindicales</w:t>
      </w:r>
      <w:proofErr w:type="spellEnd"/>
      <w:r w:rsidRPr="00A67033">
        <w:rPr>
          <w:rFonts w:ascii="Palatino Linotype" w:eastAsia="Palatino Linotype" w:hAnsi="Palatino Linotype" w:cs="Palatino Linotype"/>
          <w:i/>
        </w:rPr>
        <w:t xml:space="preserve">;  </w:t>
      </w:r>
    </w:p>
    <w:p w:rsidR="00ED5A7A" w:rsidRPr="00A67033" w:rsidRDefault="00ED5A7A" w:rsidP="00D56143">
      <w:pPr>
        <w:numPr>
          <w:ilvl w:val="0"/>
          <w:numId w:val="15"/>
        </w:numPr>
        <w:spacing w:after="4" w:line="357" w:lineRule="auto"/>
        <w:ind w:right="589" w:hanging="10"/>
        <w:jc w:val="both"/>
        <w:rPr>
          <w:rFonts w:ascii="Palatino Linotype" w:hAnsi="Palatino Linotype"/>
        </w:rPr>
      </w:pPr>
      <w:r w:rsidRPr="00A67033">
        <w:rPr>
          <w:rFonts w:ascii="Palatino Linotype" w:eastAsia="Palatino Linotype" w:hAnsi="Palatino Linotype" w:cs="Palatino Linotype"/>
          <w:i/>
        </w:rPr>
        <w:t xml:space="preserve">Efectuar el registro de las condiciones generales de trabajo, de los estatutos de los sindicatos, así como de aquellos otros documentos que por su naturaleza deban obrar en los registros del Tribunal; </w:t>
      </w:r>
    </w:p>
    <w:p w:rsidR="00ED5A7A" w:rsidRPr="00A67033" w:rsidRDefault="00ED5A7A" w:rsidP="00ED5A7A">
      <w:pPr>
        <w:spacing w:after="115" w:line="259" w:lineRule="auto"/>
        <w:ind w:left="561" w:right="589"/>
        <w:rPr>
          <w:rFonts w:ascii="Palatino Linotype" w:hAnsi="Palatino Linotype"/>
        </w:rPr>
      </w:pPr>
      <w:r w:rsidRPr="00A67033">
        <w:rPr>
          <w:rFonts w:ascii="Palatino Linotype" w:eastAsia="Palatino Linotype" w:hAnsi="Palatino Linotype" w:cs="Palatino Linotype"/>
          <w:i/>
        </w:rPr>
        <w:t xml:space="preserve">y  </w:t>
      </w:r>
    </w:p>
    <w:p w:rsidR="00ED5A7A" w:rsidRPr="00A67033" w:rsidRDefault="00ED5A7A" w:rsidP="00D56143">
      <w:pPr>
        <w:numPr>
          <w:ilvl w:val="0"/>
          <w:numId w:val="15"/>
        </w:numPr>
        <w:spacing w:after="4" w:line="357" w:lineRule="auto"/>
        <w:ind w:right="589" w:hanging="10"/>
        <w:jc w:val="both"/>
        <w:rPr>
          <w:rFonts w:ascii="Palatino Linotype" w:hAnsi="Palatino Linotype"/>
        </w:rPr>
      </w:pPr>
      <w:r w:rsidRPr="00A67033">
        <w:rPr>
          <w:rFonts w:ascii="Palatino Linotype" w:eastAsia="Palatino Linotype" w:hAnsi="Palatino Linotype" w:cs="Palatino Linotype"/>
          <w:i/>
        </w:rPr>
        <w:t xml:space="preserve">Llevar los procedimientos para la determinación de dependencia económica de los familiares de los servidores públicos;  </w:t>
      </w:r>
    </w:p>
    <w:p w:rsidR="00ED5A7A" w:rsidRPr="00A67033" w:rsidRDefault="00ED5A7A" w:rsidP="00D56143">
      <w:pPr>
        <w:numPr>
          <w:ilvl w:val="0"/>
          <w:numId w:val="15"/>
        </w:numPr>
        <w:spacing w:after="4" w:line="357" w:lineRule="auto"/>
        <w:ind w:right="589" w:hanging="10"/>
        <w:jc w:val="both"/>
        <w:rPr>
          <w:rFonts w:ascii="Palatino Linotype" w:hAnsi="Palatino Linotype"/>
        </w:rPr>
      </w:pPr>
      <w:r w:rsidRPr="00A67033">
        <w:rPr>
          <w:rFonts w:ascii="Palatino Linotype" w:eastAsia="Palatino Linotype" w:hAnsi="Palatino Linotype" w:cs="Palatino Linotype"/>
          <w:i/>
        </w:rPr>
        <w:t xml:space="preserve">Dictar la resolución que ordene la suspensión temporal de su cargo de un servidor público en términos de lo dispuesto por el artículo 209 y 253 de esta ley; y  </w:t>
      </w:r>
    </w:p>
    <w:p w:rsidR="00ED5A7A" w:rsidRPr="00A67033" w:rsidRDefault="00ED5A7A" w:rsidP="00D56143">
      <w:pPr>
        <w:numPr>
          <w:ilvl w:val="0"/>
          <w:numId w:val="15"/>
        </w:numPr>
        <w:spacing w:after="4" w:line="357" w:lineRule="auto"/>
        <w:ind w:right="589" w:hanging="10"/>
        <w:jc w:val="both"/>
        <w:rPr>
          <w:rFonts w:ascii="Palatino Linotype" w:hAnsi="Palatino Linotype"/>
        </w:rPr>
      </w:pPr>
      <w:r w:rsidRPr="00A67033">
        <w:rPr>
          <w:rFonts w:ascii="Palatino Linotype" w:eastAsia="Palatino Linotype" w:hAnsi="Palatino Linotype" w:cs="Palatino Linotype"/>
          <w:i/>
        </w:rPr>
        <w:t xml:space="preserve">Conocer de cualquier otro asunto relativo, derivado o directamente vinculado con las relaciones de trabajo. </w:t>
      </w:r>
    </w:p>
    <w:p w:rsidR="00ED5A7A" w:rsidRPr="00A67033" w:rsidRDefault="00ED5A7A" w:rsidP="00ED5A7A">
      <w:pPr>
        <w:spacing w:after="137" w:line="259" w:lineRule="auto"/>
        <w:ind w:left="561"/>
        <w:rPr>
          <w:rFonts w:ascii="Palatino Linotype" w:hAnsi="Palatino Linotype"/>
        </w:rPr>
      </w:pPr>
      <w:r w:rsidRPr="00A67033">
        <w:rPr>
          <w:rFonts w:ascii="Palatino Linotype" w:hAnsi="Palatino Linotype"/>
        </w:rPr>
        <w:t xml:space="preserve">(Énfasis añadido) </w:t>
      </w:r>
    </w:p>
    <w:p w:rsidR="00ED5A7A" w:rsidRPr="00A67033" w:rsidRDefault="00ED5A7A" w:rsidP="00ED5A7A">
      <w:pPr>
        <w:spacing w:after="137" w:line="259" w:lineRule="auto"/>
        <w:ind w:left="566"/>
        <w:rPr>
          <w:rFonts w:ascii="Palatino Linotype" w:hAnsi="Palatino Linotype"/>
        </w:rPr>
      </w:pPr>
      <w:r w:rsidRPr="00A67033">
        <w:rPr>
          <w:rFonts w:ascii="Palatino Linotype" w:eastAsia="Palatino Linotype" w:hAnsi="Palatino Linotype" w:cs="Palatino Linotype"/>
          <w:i/>
        </w:rPr>
        <w:t xml:space="preserve"> </w:t>
      </w:r>
    </w:p>
    <w:p w:rsidR="003C40DB" w:rsidRPr="00A67033" w:rsidRDefault="00ED5A7A"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Derivado de lo antes expuesto, se advierte que el </w:t>
      </w:r>
      <w:r w:rsidRPr="00A67033">
        <w:rPr>
          <w:rFonts w:ascii="Palatino Linotype" w:hAnsi="Palatino Linotype"/>
          <w:b/>
        </w:rPr>
        <w:t>SUJETO OBLIGADO</w:t>
      </w:r>
      <w:r w:rsidRPr="00A67033">
        <w:rPr>
          <w:rFonts w:ascii="Palatino Linotype" w:hAnsi="Palatino Linotype"/>
        </w:rPr>
        <w:t xml:space="preserve"> es competente para conocer de la</w:t>
      </w:r>
      <w:r w:rsidR="003C40DB" w:rsidRPr="00A67033">
        <w:rPr>
          <w:rFonts w:ascii="Palatino Linotype" w:hAnsi="Palatino Linotype"/>
        </w:rPr>
        <w:t xml:space="preserve"> información solicitada; pues</w:t>
      </w:r>
      <w:r w:rsidRPr="00A67033">
        <w:rPr>
          <w:rFonts w:ascii="Palatino Linotype" w:hAnsi="Palatino Linotype"/>
        </w:rPr>
        <w:t xml:space="preserve"> el órgano que sustenta y resuelve los conflictos laborales entre los servidores públicos y los Estados o </w:t>
      </w:r>
      <w:r w:rsidRPr="00A67033">
        <w:rPr>
          <w:rFonts w:ascii="Palatino Linotype" w:hAnsi="Palatino Linotype"/>
        </w:rPr>
        <w:lastRenderedPageBreak/>
        <w:t>Municipios; los cuales inician co</w:t>
      </w:r>
      <w:r w:rsidR="003C40DB" w:rsidRPr="00A67033">
        <w:rPr>
          <w:rFonts w:ascii="Palatino Linotype" w:hAnsi="Palatino Linotype"/>
        </w:rPr>
        <w:t xml:space="preserve">n la presentación de demandas, </w:t>
      </w:r>
      <w:r w:rsidR="00C46D6A" w:rsidRPr="00A67033">
        <w:rPr>
          <w:rFonts w:ascii="Palatino Linotype" w:hAnsi="Palatino Linotype"/>
        </w:rPr>
        <w:t>debió</w:t>
      </w:r>
      <w:r w:rsidR="003C40DB" w:rsidRPr="00A67033">
        <w:rPr>
          <w:rFonts w:ascii="Palatino Linotype" w:hAnsi="Palatino Linotype"/>
        </w:rPr>
        <w:t xml:space="preserve"> correr traslado y copia de la demando de ser el caso de que existiera al Ayuntamiento de </w:t>
      </w:r>
      <w:proofErr w:type="spellStart"/>
      <w:r w:rsidR="003C40DB" w:rsidRPr="00A67033">
        <w:rPr>
          <w:rFonts w:ascii="Palatino Linotype" w:hAnsi="Palatino Linotype"/>
        </w:rPr>
        <w:t>Xalatlaco</w:t>
      </w:r>
      <w:proofErr w:type="spellEnd"/>
      <w:r w:rsidR="00C46D6A" w:rsidRPr="00A67033">
        <w:rPr>
          <w:rFonts w:ascii="Palatino Linotype" w:hAnsi="Palatino Linotype"/>
        </w:rPr>
        <w:t>,</w:t>
      </w:r>
      <w:r w:rsidR="003C40DB" w:rsidRPr="00A67033">
        <w:rPr>
          <w:rFonts w:ascii="Palatino Linotype" w:hAnsi="Palatino Linotype"/>
        </w:rPr>
        <w:t xml:space="preserve"> por </w:t>
      </w:r>
      <w:proofErr w:type="gramStart"/>
      <w:r w:rsidR="003C40DB" w:rsidRPr="00A67033">
        <w:rPr>
          <w:rFonts w:ascii="Palatino Linotype" w:hAnsi="Palatino Linotype"/>
        </w:rPr>
        <w:t>tanto</w:t>
      </w:r>
      <w:proofErr w:type="gramEnd"/>
      <w:r w:rsidR="003C40DB" w:rsidRPr="00A67033">
        <w:rPr>
          <w:rFonts w:ascii="Palatino Linotype" w:hAnsi="Palatino Linotype"/>
        </w:rPr>
        <w:t xml:space="preserve"> </w:t>
      </w:r>
      <w:r w:rsidR="00C46D6A" w:rsidRPr="00A67033">
        <w:rPr>
          <w:rFonts w:ascii="Palatino Linotype" w:hAnsi="Palatino Linotype"/>
        </w:rPr>
        <w:t>eventualmente la posee y administra</w:t>
      </w:r>
      <w:r w:rsidR="003C40DB" w:rsidRPr="00A67033">
        <w:rPr>
          <w:rFonts w:ascii="Palatino Linotype" w:hAnsi="Palatino Linotype"/>
        </w:rPr>
        <w:t>.</w:t>
      </w:r>
    </w:p>
    <w:p w:rsidR="003C40DB" w:rsidRPr="00A67033" w:rsidRDefault="003C40DB" w:rsidP="003C40DB">
      <w:pPr>
        <w:spacing w:line="360" w:lineRule="auto"/>
        <w:contextualSpacing/>
        <w:jc w:val="both"/>
        <w:rPr>
          <w:rFonts w:ascii="Palatino Linotype" w:hAnsi="Palatino Linotype"/>
        </w:rPr>
      </w:pPr>
    </w:p>
    <w:p w:rsidR="003C40DB" w:rsidRPr="00A67033" w:rsidRDefault="003C40DB"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 Una vez robustecida la competencia para contar con la información, se procede a analizar los puntos solicitados en específico; por cuanto hace al número de expediente; se advierte que este corresponde a un dato público, pues se trata de una secuencia numerativa, que aporta un factor de identificación del expediente entre los demás</w:t>
      </w:r>
      <w:r w:rsidR="00C46D6A" w:rsidRPr="00A67033">
        <w:rPr>
          <w:rFonts w:ascii="Palatino Linotype" w:hAnsi="Palatino Linotype"/>
        </w:rPr>
        <w:t>;</w:t>
      </w:r>
      <w:r w:rsidRPr="00A67033">
        <w:rPr>
          <w:rFonts w:ascii="Palatino Linotype" w:hAnsi="Palatino Linotype"/>
        </w:rPr>
        <w:t xml:space="preserve"> </w:t>
      </w:r>
      <w:r w:rsidR="00C46D6A" w:rsidRPr="00A67033">
        <w:rPr>
          <w:rFonts w:ascii="Palatino Linotype" w:hAnsi="Palatino Linotype"/>
        </w:rPr>
        <w:t>empero</w:t>
      </w:r>
      <w:r w:rsidRPr="00A67033">
        <w:rPr>
          <w:rFonts w:ascii="Palatino Linotype" w:hAnsi="Palatino Linotype"/>
        </w:rPr>
        <w:t xml:space="preserve">, no permite conocer de forma específica datos de identificación de una persona en lo individual, por ello, resulta procedente su entrega. </w:t>
      </w:r>
    </w:p>
    <w:p w:rsidR="003C40DB" w:rsidRPr="00A67033" w:rsidRDefault="003C40DB" w:rsidP="003C40DB">
      <w:pPr>
        <w:spacing w:after="125" w:line="259" w:lineRule="auto"/>
        <w:rPr>
          <w:rFonts w:ascii="Palatino Linotype" w:hAnsi="Palatino Linotype"/>
        </w:rPr>
      </w:pPr>
      <w:r w:rsidRPr="00A67033">
        <w:rPr>
          <w:rFonts w:ascii="Palatino Linotype" w:hAnsi="Palatino Linotype"/>
        </w:rPr>
        <w:t xml:space="preserve"> </w:t>
      </w:r>
    </w:p>
    <w:p w:rsidR="00FF0763" w:rsidRPr="00A67033" w:rsidRDefault="003C40DB"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Ahora bien, por lo que hace al</w:t>
      </w:r>
      <w:r w:rsidR="00AB75C6" w:rsidRPr="00A67033">
        <w:rPr>
          <w:rFonts w:ascii="Palatino Linotype" w:hAnsi="Palatino Linotype"/>
        </w:rPr>
        <w:t xml:space="preserve"> monto de lo demandado y la causal</w:t>
      </w:r>
      <w:r w:rsidR="00FF0763" w:rsidRPr="00A67033">
        <w:rPr>
          <w:rFonts w:ascii="Palatino Linotype" w:hAnsi="Palatino Linotype"/>
        </w:rPr>
        <w:t xml:space="preserve">, es información cuya entrega se encuentra condicionada, al hecho de si </w:t>
      </w:r>
      <w:r w:rsidR="00F6651C" w:rsidRPr="00A67033">
        <w:rPr>
          <w:rFonts w:ascii="Palatino Linotype" w:hAnsi="Palatino Linotype"/>
        </w:rPr>
        <w:t>el procedimiento</w:t>
      </w:r>
      <w:r w:rsidR="00FF0763" w:rsidRPr="00A67033">
        <w:rPr>
          <w:rFonts w:ascii="Palatino Linotype" w:hAnsi="Palatino Linotype"/>
        </w:rPr>
        <w:t xml:space="preserve"> aún no ha c</w:t>
      </w:r>
      <w:r w:rsidR="00F6651C" w:rsidRPr="00A67033">
        <w:rPr>
          <w:rFonts w:ascii="Palatino Linotype" w:hAnsi="Palatino Linotype"/>
        </w:rPr>
        <w:t>oncluido</w:t>
      </w:r>
      <w:r w:rsidR="00FF0763" w:rsidRPr="00A67033">
        <w:rPr>
          <w:rFonts w:ascii="Palatino Linotype" w:hAnsi="Palatino Linotype"/>
        </w:rPr>
        <w:t xml:space="preserve">, ya que debe ser motivo de protección, ello en atención a que este Órgano Garante debe ofrecer la mayor protección de una persona que al demandar ejercita su derecho a reclamar ante un órgano el cumplimiento de sus derechos laborales, por lo que, </w:t>
      </w:r>
      <w:r w:rsidR="00FF0763" w:rsidRPr="00A67033">
        <w:rPr>
          <w:rFonts w:ascii="Palatino Linotype" w:hAnsi="Palatino Linotype"/>
          <w:b/>
        </w:rPr>
        <w:t xml:space="preserve">dar a conocer las causas de su demanda, así como los montos que pretende le sean pagados, </w:t>
      </w:r>
      <w:r w:rsidR="00FF0763" w:rsidRPr="00A67033">
        <w:rPr>
          <w:rFonts w:ascii="Palatino Linotype" w:hAnsi="Palatino Linotype"/>
        </w:rPr>
        <w:t xml:space="preserve">son datos </w:t>
      </w:r>
      <w:r w:rsidR="00F6651C" w:rsidRPr="00A67033">
        <w:rPr>
          <w:rFonts w:ascii="Palatino Linotype" w:hAnsi="Palatino Linotype"/>
        </w:rPr>
        <w:t>del ámbito privado de las personas</w:t>
      </w:r>
      <w:r w:rsidR="00FF0763" w:rsidRPr="00A67033">
        <w:rPr>
          <w:rFonts w:ascii="Palatino Linotype" w:hAnsi="Palatino Linotype"/>
        </w:rPr>
        <w:t xml:space="preserve">, aunado a que dar a conocer </w:t>
      </w:r>
      <w:r w:rsidR="008B5E75" w:rsidRPr="00A67033">
        <w:rPr>
          <w:rFonts w:ascii="Palatino Linotype" w:hAnsi="Palatino Linotype"/>
        </w:rPr>
        <w:t>esos datos</w:t>
      </w:r>
      <w:r w:rsidR="00FF0763" w:rsidRPr="00A67033">
        <w:rPr>
          <w:rFonts w:ascii="Palatino Linotype" w:hAnsi="Palatino Linotype"/>
        </w:rPr>
        <w:t xml:space="preserve"> sin que el procedimiento culmine puede inhibir a la propia persona a concluir el procedimiento o a sus compares de iniciarlo para reclamar el cumplimiento de algún derecho laboral, por tanto, </w:t>
      </w:r>
      <w:r w:rsidR="008B5E75" w:rsidRPr="00A67033">
        <w:rPr>
          <w:rFonts w:ascii="Palatino Linotype" w:hAnsi="Palatino Linotype"/>
        </w:rPr>
        <w:t>si el procedimiento no está concluido y no se han</w:t>
      </w:r>
      <w:r w:rsidR="00FF0763" w:rsidRPr="00A67033">
        <w:rPr>
          <w:rFonts w:ascii="Palatino Linotype" w:hAnsi="Palatino Linotype"/>
        </w:rPr>
        <w:t xml:space="preserve"> recibido recursos públicos, debe ser considerado como información confidencial.  </w:t>
      </w:r>
    </w:p>
    <w:p w:rsidR="00F6651C" w:rsidRPr="00A67033" w:rsidRDefault="00F6651C" w:rsidP="00F6651C">
      <w:pPr>
        <w:spacing w:line="360" w:lineRule="auto"/>
        <w:jc w:val="both"/>
        <w:rPr>
          <w:rFonts w:ascii="Palatino Linotype" w:hAnsi="Palatino Linotype"/>
        </w:rPr>
      </w:pPr>
    </w:p>
    <w:p w:rsidR="00FF0763" w:rsidRPr="00A67033" w:rsidRDefault="008B5E75"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En esa tesitura</w:t>
      </w:r>
      <w:r w:rsidR="00FF0763" w:rsidRPr="00A67033">
        <w:rPr>
          <w:rFonts w:ascii="Palatino Linotype" w:hAnsi="Palatino Linotype"/>
        </w:rPr>
        <w:t xml:space="preserve">, </w:t>
      </w:r>
      <w:r w:rsidRPr="00A67033">
        <w:rPr>
          <w:rFonts w:ascii="Palatino Linotype" w:hAnsi="Palatino Linotype"/>
        </w:rPr>
        <w:t>para caso de que</w:t>
      </w:r>
      <w:r w:rsidR="00FF0763" w:rsidRPr="00A67033">
        <w:rPr>
          <w:rFonts w:ascii="Palatino Linotype" w:hAnsi="Palatino Linotype"/>
        </w:rPr>
        <w:t xml:space="preserve"> la persona o personas que demandaron al Ayuntamiento, hayan recibido recursos públicos, la naturaleza de la información se modificara en razón de su interés público; al respecto el Instituto Nacional de Transparencia, Acceso a la Información y Protección de Datos Personales (INAI), emitió un criterio que robustece dicha situación y que más adelante será analizado a detalle. </w:t>
      </w:r>
    </w:p>
    <w:p w:rsidR="00FF0763" w:rsidRPr="00A67033" w:rsidRDefault="00FF0763" w:rsidP="00FF0763">
      <w:pPr>
        <w:spacing w:line="360" w:lineRule="auto"/>
        <w:jc w:val="both"/>
        <w:rPr>
          <w:rFonts w:ascii="Palatino Linotype" w:hAnsi="Palatino Linotype"/>
        </w:rPr>
      </w:pPr>
      <w:r w:rsidRPr="00A67033">
        <w:rPr>
          <w:rFonts w:ascii="Palatino Linotype" w:hAnsi="Palatino Linotype"/>
        </w:rPr>
        <w:t xml:space="preserve"> </w:t>
      </w:r>
    </w:p>
    <w:p w:rsidR="00FF0763" w:rsidRPr="00A67033" w:rsidRDefault="00FF0763" w:rsidP="00D56143">
      <w:pPr>
        <w:numPr>
          <w:ilvl w:val="0"/>
          <w:numId w:val="1"/>
        </w:numPr>
        <w:spacing w:line="360" w:lineRule="auto"/>
        <w:ind w:left="-5" w:right="44" w:firstLine="0"/>
        <w:contextualSpacing/>
        <w:jc w:val="both"/>
        <w:rPr>
          <w:rFonts w:ascii="Palatino Linotype" w:hAnsi="Palatino Linotype"/>
        </w:rPr>
      </w:pPr>
      <w:r w:rsidRPr="00A67033">
        <w:rPr>
          <w:rFonts w:ascii="Palatino Linotype" w:hAnsi="Palatino Linotype"/>
        </w:rPr>
        <w:t xml:space="preserve">En atención a lo anterior, se advierte que </w:t>
      </w:r>
      <w:r w:rsidR="008B5E75" w:rsidRPr="00A67033">
        <w:rPr>
          <w:rFonts w:ascii="Palatino Linotype" w:hAnsi="Palatino Linotype"/>
        </w:rPr>
        <w:t>los montos que se demandan sean pagados y sus causales que lo están motivando a interponer una demanda</w:t>
      </w:r>
      <w:r w:rsidRPr="00A67033">
        <w:rPr>
          <w:rFonts w:ascii="Palatino Linotype" w:hAnsi="Palatino Linotype"/>
        </w:rPr>
        <w:t xml:space="preserve">, </w:t>
      </w:r>
      <w:r w:rsidR="008B5E75" w:rsidRPr="00A67033">
        <w:rPr>
          <w:rFonts w:ascii="Palatino Linotype" w:hAnsi="Palatino Linotype"/>
        </w:rPr>
        <w:t>se consideran pertenecientes a</w:t>
      </w:r>
      <w:r w:rsidRPr="00A67033">
        <w:rPr>
          <w:rFonts w:ascii="Palatino Linotype" w:hAnsi="Palatino Linotype"/>
        </w:rPr>
        <w:t xml:space="preserve"> </w:t>
      </w:r>
      <w:r w:rsidR="008B5E75" w:rsidRPr="00A67033">
        <w:rPr>
          <w:rFonts w:ascii="Palatino Linotype" w:hAnsi="Palatino Linotype"/>
          <w:b/>
          <w:u w:val="single"/>
        </w:rPr>
        <w:t>un</w:t>
      </w:r>
      <w:r w:rsidRPr="00A67033">
        <w:rPr>
          <w:rFonts w:ascii="Palatino Linotype" w:eastAsia="Palatino Linotype" w:hAnsi="Palatino Linotype" w:cs="Palatino Linotype"/>
          <w:b/>
          <w:u w:val="single" w:color="000000"/>
        </w:rPr>
        <w:t>a decisión de una</w:t>
      </w:r>
      <w:r w:rsidRPr="00A67033">
        <w:rPr>
          <w:rFonts w:ascii="Palatino Linotype" w:eastAsia="Palatino Linotype" w:hAnsi="Palatino Linotype" w:cs="Palatino Linotype"/>
          <w:b/>
        </w:rPr>
        <w:t xml:space="preserve"> </w:t>
      </w:r>
      <w:r w:rsidRPr="00A67033">
        <w:rPr>
          <w:rFonts w:ascii="Palatino Linotype" w:eastAsia="Palatino Linotype" w:hAnsi="Palatino Linotype" w:cs="Palatino Linotype"/>
          <w:b/>
          <w:u w:val="single" w:color="000000"/>
        </w:rPr>
        <w:t>persona de presentar una demanda en contra de su patrón, porque consideran que se violó</w:t>
      </w:r>
      <w:r w:rsidRPr="00A67033">
        <w:rPr>
          <w:rFonts w:ascii="Palatino Linotype" w:eastAsia="Palatino Linotype" w:hAnsi="Palatino Linotype" w:cs="Palatino Linotype"/>
          <w:b/>
        </w:rPr>
        <w:t xml:space="preserve"> </w:t>
      </w:r>
      <w:r w:rsidRPr="00A67033">
        <w:rPr>
          <w:rFonts w:ascii="Palatino Linotype" w:eastAsia="Palatino Linotype" w:hAnsi="Palatino Linotype" w:cs="Palatino Linotype"/>
          <w:b/>
          <w:u w:val="single" w:color="000000"/>
        </w:rPr>
        <w:t>alguno de sus derechos, constituye una decisión personal,</w:t>
      </w:r>
      <w:r w:rsidRPr="00A67033">
        <w:rPr>
          <w:rFonts w:ascii="Palatino Linotype" w:hAnsi="Palatino Linotype"/>
        </w:rPr>
        <w:t xml:space="preserve"> que no está de ninguna manera vinculada con sus funciones ni con ejercicio de recursos públicos hasta en tanto la demanda se encuentre en trámite. </w:t>
      </w:r>
    </w:p>
    <w:p w:rsidR="00FF0763" w:rsidRPr="00A67033" w:rsidRDefault="00FF0763" w:rsidP="00FF0763">
      <w:pPr>
        <w:spacing w:line="360" w:lineRule="auto"/>
        <w:jc w:val="both"/>
        <w:rPr>
          <w:rFonts w:ascii="Palatino Linotype" w:hAnsi="Palatino Linotype"/>
        </w:rPr>
      </w:pPr>
      <w:r w:rsidRPr="00A67033">
        <w:rPr>
          <w:rFonts w:ascii="Palatino Linotype" w:hAnsi="Palatino Linotype"/>
        </w:rPr>
        <w:t xml:space="preserve"> </w:t>
      </w:r>
    </w:p>
    <w:p w:rsidR="008B5E75" w:rsidRPr="00A67033" w:rsidRDefault="00FF0763" w:rsidP="00D56143">
      <w:pPr>
        <w:numPr>
          <w:ilvl w:val="0"/>
          <w:numId w:val="1"/>
        </w:numPr>
        <w:spacing w:line="360" w:lineRule="auto"/>
        <w:ind w:left="-5" w:right="44" w:firstLine="0"/>
        <w:contextualSpacing/>
        <w:jc w:val="both"/>
        <w:rPr>
          <w:rFonts w:ascii="Palatino Linotype" w:hAnsi="Palatino Linotype"/>
        </w:rPr>
      </w:pPr>
      <w:r w:rsidRPr="00A67033">
        <w:rPr>
          <w:rFonts w:ascii="Palatino Linotype" w:hAnsi="Palatino Linotype"/>
        </w:rPr>
        <w:t xml:space="preserve">En efecto, si una persona con independencia de que sea o no servidor público presenta una demanda laboral en contra de un Sujeto Obligado, hasta ese momento, </w:t>
      </w:r>
      <w:r w:rsidR="008B5E75" w:rsidRPr="00A67033">
        <w:rPr>
          <w:rFonts w:ascii="Palatino Linotype" w:hAnsi="Palatino Linotype"/>
        </w:rPr>
        <w:t>atañen a</w:t>
      </w:r>
      <w:r w:rsidRPr="00A67033">
        <w:rPr>
          <w:rFonts w:ascii="Palatino Linotype" w:hAnsi="Palatino Linotype"/>
        </w:rPr>
        <w:t xml:space="preserve"> </w:t>
      </w:r>
      <w:r w:rsidR="008B5E75" w:rsidRPr="00A67033">
        <w:rPr>
          <w:rFonts w:ascii="Palatino Linotype" w:hAnsi="Palatino Linotype"/>
        </w:rPr>
        <w:t>decisiones</w:t>
      </w:r>
      <w:r w:rsidRPr="00A67033">
        <w:rPr>
          <w:rFonts w:ascii="Palatino Linotype" w:hAnsi="Palatino Linotype"/>
        </w:rPr>
        <w:t xml:space="preserve"> personal</w:t>
      </w:r>
      <w:r w:rsidR="008B5E75" w:rsidRPr="00A67033">
        <w:rPr>
          <w:rFonts w:ascii="Palatino Linotype" w:hAnsi="Palatino Linotype"/>
        </w:rPr>
        <w:t>es</w:t>
      </w:r>
      <w:r w:rsidRPr="00A67033">
        <w:rPr>
          <w:rFonts w:ascii="Palatino Linotype" w:hAnsi="Palatino Linotype"/>
        </w:rPr>
        <w:t xml:space="preserve"> de interponer una demanda, por lo que, en tratándose de expedientes en trámite en los que no se han erogado recursos públicos, debe considerarse </w:t>
      </w:r>
      <w:r w:rsidR="008B5E75" w:rsidRPr="00A67033">
        <w:rPr>
          <w:rFonts w:ascii="Palatino Linotype" w:hAnsi="Palatino Linotype"/>
        </w:rPr>
        <w:t>como</w:t>
      </w:r>
      <w:r w:rsidRPr="00A67033">
        <w:rPr>
          <w:rFonts w:ascii="Palatino Linotype" w:hAnsi="Palatino Linotype"/>
        </w:rPr>
        <w:t xml:space="preserve"> información confidencial, al corresponder a su decisión personal de presentar una demanda, </w:t>
      </w:r>
      <w:r w:rsidR="008B5E75" w:rsidRPr="00A67033">
        <w:rPr>
          <w:rFonts w:ascii="Palatino Linotype" w:hAnsi="Palatino Linotype"/>
        </w:rPr>
        <w:t>que en nada abona a la transparencia sino se han recibido recursos públicos,</w:t>
      </w:r>
      <w:r w:rsidRPr="00A67033">
        <w:rPr>
          <w:rFonts w:ascii="Palatino Linotype" w:hAnsi="Palatino Linotype"/>
        </w:rPr>
        <w:t xml:space="preserve"> por estar vinculado con una decisión </w:t>
      </w:r>
      <w:r w:rsidRPr="00A67033">
        <w:rPr>
          <w:rFonts w:ascii="Palatino Linotype" w:hAnsi="Palatino Linotype"/>
        </w:rPr>
        <w:lastRenderedPageBreak/>
        <w:t>personal que no tiene una relación directa con el ejercicio de re</w:t>
      </w:r>
      <w:r w:rsidR="008B5E75" w:rsidRPr="00A67033">
        <w:rPr>
          <w:rFonts w:ascii="Palatino Linotype" w:hAnsi="Palatino Linotype"/>
        </w:rPr>
        <w:t>cursos público ni de facultades.</w:t>
      </w:r>
    </w:p>
    <w:p w:rsidR="008B5E75" w:rsidRPr="00A67033" w:rsidRDefault="008B5E75" w:rsidP="008B5E75">
      <w:pPr>
        <w:pStyle w:val="Prrafodelista"/>
        <w:rPr>
          <w:rFonts w:ascii="Palatino Linotype" w:hAnsi="Palatino Linotype"/>
        </w:rPr>
      </w:pPr>
    </w:p>
    <w:p w:rsidR="003758FB" w:rsidRPr="00A67033" w:rsidRDefault="003758FB" w:rsidP="00D56143">
      <w:pPr>
        <w:numPr>
          <w:ilvl w:val="0"/>
          <w:numId w:val="1"/>
        </w:numPr>
        <w:spacing w:line="360" w:lineRule="auto"/>
        <w:ind w:left="-5" w:right="44" w:firstLine="0"/>
        <w:contextualSpacing/>
        <w:jc w:val="both"/>
        <w:rPr>
          <w:rFonts w:ascii="Palatino Linotype" w:hAnsi="Palatino Linotype"/>
        </w:rPr>
      </w:pPr>
      <w:r w:rsidRPr="00A67033">
        <w:rPr>
          <w:rFonts w:ascii="Palatino Linotype" w:hAnsi="Palatino Linotype"/>
        </w:rPr>
        <w:t>A colación de lo anterior</w:t>
      </w:r>
      <w:r w:rsidR="00FF0763" w:rsidRPr="00A67033">
        <w:rPr>
          <w:rFonts w:ascii="Palatino Linotype" w:hAnsi="Palatino Linotype"/>
        </w:rPr>
        <w:t>, este Instituto tiene precedentes de solicitudes de cancelación de datos personales porque los particulares consideran que la publicidad de su decisión de demandar le</w:t>
      </w:r>
      <w:r w:rsidRPr="00A67033">
        <w:rPr>
          <w:rFonts w:ascii="Palatino Linotype" w:hAnsi="Palatino Linotype"/>
        </w:rPr>
        <w:t>s genera un perjuicio, argumenta</w:t>
      </w:r>
      <w:r w:rsidR="00FF0763" w:rsidRPr="00A67033">
        <w:rPr>
          <w:rFonts w:ascii="Palatino Linotype" w:hAnsi="Palatino Linotype"/>
        </w:rPr>
        <w:t>n</w:t>
      </w:r>
      <w:r w:rsidRPr="00A67033">
        <w:rPr>
          <w:rFonts w:ascii="Palatino Linotype" w:hAnsi="Palatino Linotype"/>
        </w:rPr>
        <w:t>do</w:t>
      </w:r>
      <w:r w:rsidR="00FF0763" w:rsidRPr="00A67033">
        <w:rPr>
          <w:rFonts w:ascii="Palatino Linotype" w:hAnsi="Palatino Linotype"/>
        </w:rPr>
        <w:t xml:space="preserve"> que la publicidad de su decisión de demandar les ocasionó la imposibilidad de conseguir un empleo, incluso en uno de ellos, la parte recurrente afirmó no sólo que se violaba du derecho al empleo porque al sentar un precedente negativo en su historial en Internet, ya no podía conseguir empleo, además fue víctima de discriminación</w:t>
      </w:r>
      <w:r w:rsidRPr="00A67033">
        <w:rPr>
          <w:rFonts w:ascii="Palatino Linotype" w:hAnsi="Palatino Linotype"/>
        </w:rPr>
        <w:t xml:space="preserve">, insistiendo que dado que el particular </w:t>
      </w:r>
      <w:r w:rsidRPr="00A67033">
        <w:rPr>
          <w:rFonts w:ascii="Palatino Linotype" w:hAnsi="Palatino Linotype"/>
          <w:b/>
        </w:rPr>
        <w:t xml:space="preserve">estableció un lapso temporal de entrega de la información </w:t>
      </w:r>
      <w:r w:rsidRPr="00A67033">
        <w:rPr>
          <w:rFonts w:ascii="Palatino Linotype" w:hAnsi="Palatino Linotype"/>
        </w:rPr>
        <w:t>y que la misma corresponde a s</w:t>
      </w:r>
      <w:r w:rsidRPr="00A67033">
        <w:rPr>
          <w:rFonts w:ascii="Palatino Linotype" w:hAnsi="Palatino Linotype"/>
          <w:b/>
        </w:rPr>
        <w:t>olo aquel que ostentara el cargo de Titular de la Unidad de Transparencia, se puede concluir el nombre y nombres de esos servidores público</w:t>
      </w:r>
      <w:r w:rsidRPr="00A67033">
        <w:rPr>
          <w:rFonts w:ascii="Palatino Linotype" w:hAnsi="Palatino Linotype"/>
        </w:rPr>
        <w:t>s, y consecuentemente sus razones y los motivos de sus decisiones personales, así como los montos que pretenden le sean pagados</w:t>
      </w:r>
      <w:r w:rsidR="00140C4A" w:rsidRPr="00A67033">
        <w:rPr>
          <w:rFonts w:ascii="Palatino Linotype" w:hAnsi="Palatino Linotype"/>
        </w:rPr>
        <w:t>, información que evidentemente corresponde a su ámbito privado</w:t>
      </w:r>
      <w:r w:rsidR="00FF0763" w:rsidRPr="00A67033">
        <w:rPr>
          <w:rFonts w:ascii="Palatino Linotype" w:hAnsi="Palatino Linotype"/>
        </w:rPr>
        <w:t xml:space="preserve">. </w:t>
      </w:r>
    </w:p>
    <w:p w:rsidR="003758FB" w:rsidRPr="00A67033" w:rsidRDefault="003758FB" w:rsidP="003758FB">
      <w:pPr>
        <w:pStyle w:val="Prrafodelista"/>
        <w:rPr>
          <w:rFonts w:ascii="Palatino Linotype" w:hAnsi="Palatino Linotype"/>
        </w:rPr>
      </w:pPr>
    </w:p>
    <w:p w:rsidR="00FF0763" w:rsidRPr="00A67033" w:rsidRDefault="00FF0763" w:rsidP="00D56143">
      <w:pPr>
        <w:numPr>
          <w:ilvl w:val="0"/>
          <w:numId w:val="1"/>
        </w:numPr>
        <w:spacing w:line="360" w:lineRule="auto"/>
        <w:ind w:left="-5" w:right="44" w:firstLine="0"/>
        <w:contextualSpacing/>
        <w:jc w:val="both"/>
        <w:rPr>
          <w:rFonts w:ascii="Palatino Linotype" w:hAnsi="Palatino Linotype"/>
        </w:rPr>
      </w:pPr>
      <w:r w:rsidRPr="00A67033">
        <w:rPr>
          <w:rFonts w:ascii="Palatino Linotype" w:hAnsi="Palatino Linotype"/>
        </w:rPr>
        <w:t xml:space="preserve">En consecuencia, sólo se considera </w:t>
      </w:r>
      <w:r w:rsidR="003758FB" w:rsidRPr="00A67033">
        <w:rPr>
          <w:rFonts w:ascii="Palatino Linotype" w:hAnsi="Palatino Linotype"/>
        </w:rPr>
        <w:t>información pública si el soporte documental donde conste o se advierta la información de referencia consta en un Laudo que ha causado estado y se</w:t>
      </w:r>
      <w:r w:rsidRPr="00A67033">
        <w:rPr>
          <w:rFonts w:ascii="Palatino Linotype" w:hAnsi="Palatino Linotype"/>
        </w:rPr>
        <w:t xml:space="preserve"> reciben recursos públicos con motivo de la sentencia o laudo de la demanda, en donde destaca que la publicidad de</w:t>
      </w:r>
      <w:r w:rsidR="00140C4A" w:rsidRPr="00A67033">
        <w:rPr>
          <w:rFonts w:ascii="Palatino Linotype" w:hAnsi="Palatino Linotype"/>
        </w:rPr>
        <w:t xml:space="preserve"> </w:t>
      </w:r>
      <w:r w:rsidRPr="00A67033">
        <w:rPr>
          <w:rFonts w:ascii="Palatino Linotype" w:hAnsi="Palatino Linotype"/>
        </w:rPr>
        <w:t>l</w:t>
      </w:r>
      <w:r w:rsidR="00140C4A" w:rsidRPr="00A67033">
        <w:rPr>
          <w:rFonts w:ascii="Palatino Linotype" w:hAnsi="Palatino Linotype"/>
        </w:rPr>
        <w:t>os</w:t>
      </w:r>
      <w:r w:rsidRPr="00A67033">
        <w:rPr>
          <w:rFonts w:ascii="Palatino Linotype" w:hAnsi="Palatino Linotype"/>
        </w:rPr>
        <w:t xml:space="preserve"> dato</w:t>
      </w:r>
      <w:r w:rsidR="00140C4A" w:rsidRPr="00A67033">
        <w:rPr>
          <w:rFonts w:ascii="Palatino Linotype" w:hAnsi="Palatino Linotype"/>
        </w:rPr>
        <w:t>s</w:t>
      </w:r>
      <w:r w:rsidRPr="00A67033">
        <w:rPr>
          <w:rFonts w:ascii="Palatino Linotype" w:hAnsi="Palatino Linotype"/>
        </w:rPr>
        <w:t xml:space="preserve">, no se da por la demanda, sino por el hecho de haber recibido recursos públicos. </w:t>
      </w:r>
    </w:p>
    <w:p w:rsidR="00ED5A7A" w:rsidRPr="00A67033" w:rsidRDefault="00ED5A7A" w:rsidP="00140C4A">
      <w:pPr>
        <w:spacing w:line="360" w:lineRule="auto"/>
        <w:contextualSpacing/>
        <w:jc w:val="both"/>
        <w:rPr>
          <w:rFonts w:ascii="Palatino Linotype" w:hAnsi="Palatino Linotype"/>
        </w:rPr>
      </w:pPr>
    </w:p>
    <w:p w:rsidR="00140C4A" w:rsidRPr="00A67033" w:rsidRDefault="00140C4A" w:rsidP="00D56143">
      <w:pPr>
        <w:numPr>
          <w:ilvl w:val="0"/>
          <w:numId w:val="1"/>
        </w:numPr>
        <w:spacing w:line="360" w:lineRule="auto"/>
        <w:ind w:left="-5" w:right="44" w:firstLine="0"/>
        <w:contextualSpacing/>
        <w:jc w:val="both"/>
        <w:rPr>
          <w:rFonts w:ascii="Palatino Linotype" w:hAnsi="Palatino Linotype"/>
        </w:rPr>
      </w:pPr>
      <w:r w:rsidRPr="00A67033">
        <w:rPr>
          <w:rFonts w:ascii="Palatino Linotype" w:hAnsi="Palatino Linotype"/>
        </w:rPr>
        <w:t xml:space="preserve">Esto nos lleva a que la decisión tuvo consecuencias más allá </w:t>
      </w:r>
      <w:r w:rsidRPr="00A67033">
        <w:rPr>
          <w:rFonts w:ascii="Palatino Linotype" w:hAnsi="Palatino Linotype"/>
          <w:b/>
        </w:rPr>
        <w:t>del ámbito personal del demandante y, al haber la entrega de recursos públicos</w:t>
      </w:r>
      <w:r w:rsidRPr="00A67033">
        <w:rPr>
          <w:rFonts w:ascii="Palatino Linotype" w:hAnsi="Palatino Linotype"/>
        </w:rPr>
        <w:t xml:space="preserve">, y se trata de </w:t>
      </w:r>
      <w:r w:rsidRPr="00A67033">
        <w:rPr>
          <w:rFonts w:ascii="Palatino Linotype" w:hAnsi="Palatino Linotype"/>
        </w:rPr>
        <w:lastRenderedPageBreak/>
        <w:t xml:space="preserve">información que se debe hacer pública, ya que existe interés público en conocer la forma en que se ejercen los recursos y porque simple y sencillamente existe disposición legal que obliga a la entrega de la información. </w:t>
      </w:r>
    </w:p>
    <w:p w:rsidR="00140C4A" w:rsidRPr="00A67033" w:rsidRDefault="00140C4A" w:rsidP="00140C4A">
      <w:pPr>
        <w:spacing w:line="360" w:lineRule="auto"/>
        <w:jc w:val="both"/>
        <w:rPr>
          <w:rFonts w:ascii="Palatino Linotype" w:hAnsi="Palatino Linotype"/>
        </w:rPr>
      </w:pPr>
      <w:r w:rsidRPr="00A67033">
        <w:rPr>
          <w:rFonts w:ascii="Palatino Linotype" w:hAnsi="Palatino Linotype"/>
        </w:rPr>
        <w:t xml:space="preserve"> </w:t>
      </w:r>
    </w:p>
    <w:p w:rsidR="00140C4A" w:rsidRPr="00A67033" w:rsidRDefault="00140C4A" w:rsidP="00D56143">
      <w:pPr>
        <w:numPr>
          <w:ilvl w:val="0"/>
          <w:numId w:val="1"/>
        </w:numPr>
        <w:spacing w:line="360" w:lineRule="auto"/>
        <w:ind w:left="-5" w:right="44" w:firstLine="0"/>
        <w:contextualSpacing/>
        <w:jc w:val="both"/>
        <w:rPr>
          <w:rFonts w:ascii="Palatino Linotype" w:hAnsi="Palatino Linotype"/>
        </w:rPr>
      </w:pPr>
      <w:r w:rsidRPr="00A67033">
        <w:rPr>
          <w:rFonts w:ascii="Palatino Linotype" w:hAnsi="Palatino Linotype"/>
        </w:rPr>
        <w:t xml:space="preserve">Asimismo, se advierte que de haber causado estado la demanda o demandas, es información, cuya publicidad, puede abonar en la transparencia y rendición de cuentas; por tanto, es necesario, atraer al estudio el Criterio 19/13 emitido por el Instituto Nacional de Transparencia, Acceso a la Información y Protección de Datos Personales (INAI), antes IFAI, que es del tenor literal siguiente: </w:t>
      </w:r>
    </w:p>
    <w:p w:rsidR="00140C4A" w:rsidRPr="00A67033" w:rsidRDefault="00140C4A" w:rsidP="00140C4A">
      <w:pPr>
        <w:spacing w:line="360" w:lineRule="auto"/>
        <w:jc w:val="both"/>
        <w:rPr>
          <w:rFonts w:ascii="Palatino Linotype" w:hAnsi="Palatino Linotype"/>
        </w:rPr>
      </w:pPr>
      <w:r w:rsidRPr="00A67033">
        <w:rPr>
          <w:rFonts w:ascii="Palatino Linotype" w:hAnsi="Palatino Linotype"/>
        </w:rPr>
        <w:t xml:space="preserve"> </w:t>
      </w:r>
    </w:p>
    <w:p w:rsidR="00140C4A" w:rsidRPr="00A67033" w:rsidRDefault="00140C4A" w:rsidP="00140C4A">
      <w:pPr>
        <w:spacing w:line="360" w:lineRule="auto"/>
        <w:ind w:left="561" w:right="583"/>
        <w:jc w:val="both"/>
        <w:rPr>
          <w:rFonts w:ascii="Palatino Linotype" w:hAnsi="Palatino Linotype"/>
        </w:rPr>
      </w:pPr>
      <w:r w:rsidRPr="00A67033">
        <w:rPr>
          <w:rFonts w:ascii="Palatino Linotype" w:eastAsia="Palatino Linotype" w:hAnsi="Palatino Linotype" w:cs="Palatino Linotype"/>
          <w:b/>
          <w:i/>
        </w:rPr>
        <w:t>“Nombre de actores en juicios laborales constituye, en principio, información confidencial</w:t>
      </w:r>
      <w:r w:rsidRPr="00A67033">
        <w:rPr>
          <w:rFonts w:ascii="Palatino Linotype" w:eastAsia="Palatino Linotype" w:hAnsi="Palatino Linotype" w:cs="Palatino Linotype"/>
          <w:i/>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w:t>
      </w:r>
      <w:r w:rsidRPr="00A67033">
        <w:rPr>
          <w:rFonts w:ascii="Palatino Linotype" w:eastAsia="Palatino Linotype" w:hAnsi="Palatino Linotype" w:cs="Palatino Linotype"/>
          <w:b/>
          <w:i/>
          <w:u w:val="single"/>
        </w:rPr>
        <w:t>lo cual constituye una decisión personal que refleja un acto de voluntad de quien lo realiza.</w:t>
      </w:r>
      <w:r w:rsidRPr="00A67033">
        <w:rPr>
          <w:rFonts w:ascii="Palatino Linotype" w:eastAsia="Palatino Linotype" w:hAnsi="Palatino Linotype" w:cs="Palatino Linotype"/>
          <w:i/>
        </w:rPr>
        <w:t xml:space="preserve"> En efecto, las acciones legales que emprenden los actores en el ejercicio de sus derechos laborales hacen evidente la posición jurídica en la cual </w:t>
      </w:r>
      <w:r w:rsidRPr="00A67033">
        <w:rPr>
          <w:rFonts w:ascii="Palatino Linotype" w:eastAsia="Palatino Linotype" w:hAnsi="Palatino Linotype" w:cs="Palatino Linotype"/>
          <w:b/>
          <w:i/>
          <w:u w:val="single"/>
        </w:rPr>
        <w:t>se han colocado por decisión propia, con relación a determinados órganos de gobierno, para la obtención de algunas prestaciones laborales o económicas, lo cual constituye cuestiones de carácter estrictamente privado.</w:t>
      </w:r>
      <w:r w:rsidRPr="00A67033">
        <w:rPr>
          <w:rFonts w:ascii="Palatino Linotype" w:eastAsia="Palatino Linotype" w:hAnsi="Palatino Linotype" w:cs="Palatino Linotype"/>
          <w:i/>
        </w:rPr>
        <w:t xml:space="preserve"> En este tenor, el nombre de los actores de los juicios laborales que se encuentran en trámite o que, en su defecto, concluyeron con la emisión de un </w:t>
      </w:r>
      <w:r w:rsidRPr="00A67033">
        <w:rPr>
          <w:rFonts w:ascii="Palatino Linotype" w:eastAsia="Palatino Linotype" w:hAnsi="Palatino Linotype" w:cs="Palatino Linotype"/>
          <w:i/>
        </w:rPr>
        <w:lastRenderedPageBreak/>
        <w:t xml:space="preserve">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w:t>
      </w:r>
      <w:r w:rsidRPr="00A67033">
        <w:rPr>
          <w:rFonts w:ascii="Palatino Linotype" w:eastAsia="Palatino Linotype" w:hAnsi="Palatino Linotype" w:cs="Palatino Linotype"/>
          <w:b/>
          <w:i/>
        </w:rPr>
        <w:t>en definitiva, se haya condenado a una dependencia o entidad al pago de las prestaciones económicas reclamadas o la reinstalación del servidor público</w:t>
      </w:r>
      <w:r w:rsidRPr="00A67033">
        <w:rPr>
          <w:rFonts w:ascii="Palatino Linotype" w:eastAsia="Palatino Linotype" w:hAnsi="Palatino Linotype" w:cs="Palatino Linotype"/>
          <w:i/>
        </w:rPr>
        <w:t xml:space="preserve">,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w:t>
      </w:r>
      <w:r w:rsidRPr="00A67033">
        <w:rPr>
          <w:rFonts w:ascii="Palatino Linotype" w:eastAsia="Palatino Linotype" w:hAnsi="Palatino Linotype" w:cs="Palatino Linotype"/>
          <w:b/>
          <w:i/>
        </w:rPr>
        <w:t>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p>
    <w:p w:rsidR="00140C4A" w:rsidRPr="00A67033" w:rsidRDefault="00140C4A" w:rsidP="00140C4A">
      <w:pPr>
        <w:tabs>
          <w:tab w:val="center" w:pos="1084"/>
          <w:tab w:val="center" w:pos="3296"/>
        </w:tabs>
        <w:spacing w:line="360" w:lineRule="auto"/>
        <w:jc w:val="both"/>
        <w:rPr>
          <w:rFonts w:ascii="Palatino Linotype" w:hAnsi="Palatino Linotype"/>
        </w:rPr>
      </w:pPr>
      <w:r w:rsidRPr="00A67033">
        <w:rPr>
          <w:rFonts w:ascii="Palatino Linotype" w:eastAsia="Calibri" w:hAnsi="Palatino Linotype" w:cs="Calibri"/>
        </w:rPr>
        <w:tab/>
      </w:r>
      <w:r w:rsidRPr="00A67033">
        <w:rPr>
          <w:rFonts w:ascii="Palatino Linotype" w:eastAsia="Palatino Linotype" w:hAnsi="Palatino Linotype" w:cs="Palatino Linotype"/>
          <w:i/>
        </w:rPr>
        <w:t xml:space="preserve">Resoluciones  </w:t>
      </w:r>
      <w:r w:rsidRPr="00A67033">
        <w:rPr>
          <w:rFonts w:ascii="Palatino Linotype" w:eastAsia="Palatino Linotype" w:hAnsi="Palatino Linotype" w:cs="Palatino Linotype"/>
          <w:i/>
        </w:rPr>
        <w:tab/>
        <w:t xml:space="preserve"> </w:t>
      </w:r>
    </w:p>
    <w:p w:rsidR="00140C4A" w:rsidRPr="00A67033" w:rsidRDefault="00140C4A" w:rsidP="00D56143">
      <w:pPr>
        <w:numPr>
          <w:ilvl w:val="0"/>
          <w:numId w:val="16"/>
        </w:numPr>
        <w:spacing w:line="360" w:lineRule="auto"/>
        <w:ind w:right="589" w:hanging="360"/>
        <w:jc w:val="both"/>
        <w:rPr>
          <w:rFonts w:ascii="Palatino Linotype" w:hAnsi="Palatino Linotype"/>
        </w:rPr>
      </w:pPr>
      <w:r w:rsidRPr="00A67033">
        <w:rPr>
          <w:rFonts w:ascii="Palatino Linotype" w:eastAsia="Palatino Linotype" w:hAnsi="Palatino Linotype" w:cs="Palatino Linotype"/>
          <w:i/>
        </w:rPr>
        <w:t xml:space="preserve">RDA 0933/13. Interpuesto en contra del Instituto Mexicano del Seguro Social. Comisionada Ponente María Elena Pérez-Jaén Zermeño.  </w:t>
      </w:r>
    </w:p>
    <w:p w:rsidR="00140C4A" w:rsidRPr="00A67033" w:rsidRDefault="00140C4A" w:rsidP="00D56143">
      <w:pPr>
        <w:numPr>
          <w:ilvl w:val="0"/>
          <w:numId w:val="16"/>
        </w:numPr>
        <w:spacing w:line="360" w:lineRule="auto"/>
        <w:ind w:right="589" w:hanging="360"/>
        <w:jc w:val="both"/>
        <w:rPr>
          <w:rFonts w:ascii="Palatino Linotype" w:hAnsi="Palatino Linotype"/>
        </w:rPr>
      </w:pPr>
      <w:r w:rsidRPr="00A67033">
        <w:rPr>
          <w:rFonts w:ascii="Palatino Linotype" w:eastAsia="Palatino Linotype" w:hAnsi="Palatino Linotype" w:cs="Palatino Linotype"/>
          <w:i/>
        </w:rPr>
        <w:t xml:space="preserve">RDA 4601/12. Interpuesto en contra de la Comisión Nacional Forestal. Comisionada Ponente María Elena Pérez-Jaén Zermeño.  </w:t>
      </w:r>
    </w:p>
    <w:p w:rsidR="00140C4A" w:rsidRPr="00A67033" w:rsidRDefault="00140C4A" w:rsidP="00D56143">
      <w:pPr>
        <w:numPr>
          <w:ilvl w:val="0"/>
          <w:numId w:val="16"/>
        </w:numPr>
        <w:spacing w:line="360" w:lineRule="auto"/>
        <w:ind w:right="589" w:hanging="360"/>
        <w:jc w:val="both"/>
        <w:rPr>
          <w:rFonts w:ascii="Palatino Linotype" w:hAnsi="Palatino Linotype"/>
        </w:rPr>
      </w:pPr>
      <w:r w:rsidRPr="00A67033">
        <w:rPr>
          <w:rFonts w:ascii="Palatino Linotype" w:eastAsia="Palatino Linotype" w:hAnsi="Palatino Linotype" w:cs="Palatino Linotype"/>
          <w:i/>
        </w:rPr>
        <w:t xml:space="preserve">RDA 4196/12. Interpuesto en contra de la Secretaría de Desarrollo Agrario, Territorial y Urbano. Comisionada Ponente María Elena Pérez-Jaén Zermeño.  </w:t>
      </w:r>
    </w:p>
    <w:p w:rsidR="00140C4A" w:rsidRPr="00A67033" w:rsidRDefault="00140C4A" w:rsidP="00D56143">
      <w:pPr>
        <w:numPr>
          <w:ilvl w:val="0"/>
          <w:numId w:val="16"/>
        </w:numPr>
        <w:spacing w:line="360" w:lineRule="auto"/>
        <w:ind w:right="589" w:hanging="360"/>
        <w:jc w:val="both"/>
        <w:rPr>
          <w:rFonts w:ascii="Palatino Linotype" w:hAnsi="Palatino Linotype"/>
        </w:rPr>
      </w:pPr>
      <w:r w:rsidRPr="00A67033">
        <w:rPr>
          <w:rFonts w:ascii="Palatino Linotype" w:eastAsia="Palatino Linotype" w:hAnsi="Palatino Linotype" w:cs="Palatino Linotype"/>
          <w:i/>
        </w:rPr>
        <w:t xml:space="preserve">RDA 4145/12. Interpuesto en contra de la Comisión Nacional Forestal. Comisionado Ponente Gerardo </w:t>
      </w:r>
      <w:proofErr w:type="spellStart"/>
      <w:r w:rsidRPr="00A67033">
        <w:rPr>
          <w:rFonts w:ascii="Palatino Linotype" w:eastAsia="Palatino Linotype" w:hAnsi="Palatino Linotype" w:cs="Palatino Linotype"/>
          <w:i/>
        </w:rPr>
        <w:t>Laveaga</w:t>
      </w:r>
      <w:proofErr w:type="spellEnd"/>
      <w:r w:rsidRPr="00A67033">
        <w:rPr>
          <w:rFonts w:ascii="Palatino Linotype" w:eastAsia="Palatino Linotype" w:hAnsi="Palatino Linotype" w:cs="Palatino Linotype"/>
          <w:i/>
        </w:rPr>
        <w:t xml:space="preserve"> Rendón.  </w:t>
      </w:r>
    </w:p>
    <w:p w:rsidR="00140C4A" w:rsidRPr="00A67033" w:rsidRDefault="00140C4A" w:rsidP="00140C4A">
      <w:pPr>
        <w:spacing w:line="360" w:lineRule="auto"/>
        <w:ind w:left="561" w:right="589"/>
        <w:jc w:val="both"/>
        <w:rPr>
          <w:rFonts w:ascii="Palatino Linotype" w:hAnsi="Palatino Linotype"/>
        </w:rPr>
      </w:pPr>
      <w:r w:rsidRPr="00A67033">
        <w:rPr>
          <w:rFonts w:ascii="Palatino Linotype" w:eastAsia="Segoe UI Symbol" w:hAnsi="Palatino Linotype" w:cs="Segoe UI Symbol"/>
        </w:rPr>
        <w:lastRenderedPageBreak/>
        <w:t>•</w:t>
      </w:r>
      <w:r w:rsidRPr="00A67033">
        <w:rPr>
          <w:rFonts w:ascii="Palatino Linotype" w:eastAsia="Palatino Linotype" w:hAnsi="Palatino Linotype" w:cs="Palatino Linotype"/>
          <w:i/>
        </w:rPr>
        <w:t xml:space="preserve">RDA 4098/12. Interpuesto en contra de la Procuraduría Federal del Consumidor. Comisionado </w:t>
      </w:r>
    </w:p>
    <w:p w:rsidR="00140C4A" w:rsidRPr="00A67033" w:rsidRDefault="00140C4A" w:rsidP="00140C4A">
      <w:pPr>
        <w:spacing w:line="360" w:lineRule="auto"/>
        <w:ind w:left="561" w:right="589"/>
        <w:jc w:val="both"/>
        <w:rPr>
          <w:rFonts w:ascii="Palatino Linotype" w:hAnsi="Palatino Linotype"/>
        </w:rPr>
      </w:pPr>
      <w:r w:rsidRPr="00A67033">
        <w:rPr>
          <w:rFonts w:ascii="Palatino Linotype" w:eastAsia="Palatino Linotype" w:hAnsi="Palatino Linotype" w:cs="Palatino Linotype"/>
          <w:i/>
        </w:rPr>
        <w:t xml:space="preserve">Ponente Ángel Trinidad Zaldívar. </w:t>
      </w:r>
    </w:p>
    <w:p w:rsidR="00140C4A" w:rsidRPr="00A67033" w:rsidRDefault="00140C4A" w:rsidP="00140C4A">
      <w:pPr>
        <w:spacing w:line="360" w:lineRule="auto"/>
        <w:jc w:val="both"/>
        <w:rPr>
          <w:rFonts w:ascii="Palatino Linotype" w:hAnsi="Palatino Linotype"/>
        </w:rPr>
      </w:pPr>
      <w:r w:rsidRPr="00A67033">
        <w:rPr>
          <w:rFonts w:ascii="Palatino Linotype" w:hAnsi="Palatino Linotype"/>
        </w:rPr>
        <w:t xml:space="preserve"> </w:t>
      </w:r>
    </w:p>
    <w:p w:rsidR="00140C4A" w:rsidRPr="00A67033" w:rsidRDefault="003E2861" w:rsidP="00D56143">
      <w:pPr>
        <w:numPr>
          <w:ilvl w:val="0"/>
          <w:numId w:val="1"/>
        </w:numPr>
        <w:spacing w:line="360" w:lineRule="auto"/>
        <w:ind w:left="0" w:right="44" w:firstLine="0"/>
        <w:contextualSpacing/>
        <w:jc w:val="both"/>
        <w:rPr>
          <w:rFonts w:ascii="Palatino Linotype" w:hAnsi="Palatino Linotype"/>
        </w:rPr>
      </w:pPr>
      <w:r w:rsidRPr="00A67033">
        <w:rPr>
          <w:rFonts w:ascii="Palatino Linotype" w:hAnsi="Palatino Linotype"/>
        </w:rPr>
        <w:t>En atención al C</w:t>
      </w:r>
      <w:r w:rsidR="00140C4A" w:rsidRPr="00A67033">
        <w:rPr>
          <w:rFonts w:ascii="Palatino Linotype" w:hAnsi="Palatino Linotype"/>
        </w:rPr>
        <w:t xml:space="preserve">riterio </w:t>
      </w:r>
      <w:r w:rsidRPr="00A67033">
        <w:rPr>
          <w:rFonts w:ascii="Palatino Linotype" w:hAnsi="Palatino Linotype"/>
        </w:rPr>
        <w:t>de referencia</w:t>
      </w:r>
      <w:r w:rsidR="00140C4A" w:rsidRPr="00A67033">
        <w:rPr>
          <w:rFonts w:ascii="Palatino Linotype" w:hAnsi="Palatino Linotype"/>
        </w:rPr>
        <w:t xml:space="preserve">, se </w:t>
      </w:r>
      <w:r w:rsidRPr="00A67033">
        <w:rPr>
          <w:rFonts w:ascii="Palatino Linotype" w:hAnsi="Palatino Linotype"/>
        </w:rPr>
        <w:t>desprende</w:t>
      </w:r>
      <w:r w:rsidR="00140C4A" w:rsidRPr="00A67033">
        <w:rPr>
          <w:rFonts w:ascii="Palatino Linotype" w:hAnsi="Palatino Linotype"/>
        </w:rPr>
        <w:t xml:space="preserve"> que </w:t>
      </w:r>
      <w:r w:rsidRPr="00A67033">
        <w:rPr>
          <w:rFonts w:ascii="Palatino Linotype" w:hAnsi="Palatino Linotype"/>
        </w:rPr>
        <w:t>la decisión propia, con relación a determinados órganos de gobierno, para la obtención de algunas prestaciones laborales o económicas, constituye cuestiones de</w:t>
      </w:r>
      <w:r w:rsidRPr="00A67033">
        <w:rPr>
          <w:rFonts w:ascii="Palatino Linotype" w:hAnsi="Palatino Linotype"/>
          <w:b/>
        </w:rPr>
        <w:t xml:space="preserve"> carácter estrictamente privado</w:t>
      </w:r>
      <w:r w:rsidRPr="00A67033">
        <w:rPr>
          <w:rFonts w:ascii="Palatino Linotype" w:hAnsi="Palatino Linotype"/>
        </w:rPr>
        <w:t>, por lo que</w:t>
      </w:r>
      <w:r w:rsidR="00140C4A" w:rsidRPr="00A67033">
        <w:rPr>
          <w:rFonts w:ascii="Palatino Linotype" w:hAnsi="Palatino Linotype"/>
        </w:rPr>
        <w:t xml:space="preserve"> los procedimientos laborales, que se encuentren en trámite, o bien que se concluyeran desfavorables a ellos, </w:t>
      </w:r>
      <w:r w:rsidRPr="00A67033">
        <w:rPr>
          <w:rFonts w:ascii="Palatino Linotype" w:hAnsi="Palatino Linotype"/>
        </w:rPr>
        <w:t>corresponde a información</w:t>
      </w:r>
      <w:r w:rsidR="00140C4A" w:rsidRPr="00A67033">
        <w:rPr>
          <w:rFonts w:ascii="Palatino Linotype" w:hAnsi="Palatino Linotype"/>
        </w:rPr>
        <w:t xml:space="preserve"> confidencial; sin embargo, procede su entrega, siempre que culmine con la entrega a favor de los actores de recurso público, pues se favorece la rendición de cuentas y se puede verificar el cumplimiento que el </w:t>
      </w:r>
      <w:r w:rsidRPr="00A67033">
        <w:rPr>
          <w:rFonts w:ascii="Palatino Linotype" w:hAnsi="Palatino Linotype"/>
          <w:b/>
        </w:rPr>
        <w:t>SUJETO OBLIGADO</w:t>
      </w:r>
      <w:r w:rsidRPr="00A67033">
        <w:rPr>
          <w:rFonts w:ascii="Palatino Linotype" w:hAnsi="Palatino Linotype"/>
        </w:rPr>
        <w:t xml:space="preserve"> </w:t>
      </w:r>
      <w:r w:rsidR="00140C4A" w:rsidRPr="00A67033">
        <w:rPr>
          <w:rFonts w:ascii="Palatino Linotype" w:hAnsi="Palatino Linotype"/>
        </w:rPr>
        <w:t>de a las resoluciones o convenios suscri</w:t>
      </w:r>
      <w:r w:rsidR="006B5C73" w:rsidRPr="00A67033">
        <w:rPr>
          <w:rFonts w:ascii="Palatino Linotype" w:hAnsi="Palatino Linotype"/>
        </w:rPr>
        <w:t>tos ante la autoridad laboral.</w:t>
      </w:r>
    </w:p>
    <w:p w:rsidR="008D4D83" w:rsidRPr="00A67033" w:rsidRDefault="008D4D83" w:rsidP="008D4D83">
      <w:pPr>
        <w:spacing w:line="360" w:lineRule="auto"/>
        <w:contextualSpacing/>
        <w:jc w:val="both"/>
        <w:rPr>
          <w:rFonts w:ascii="Palatino Linotype" w:hAnsi="Palatino Linotype" w:cs="Arial"/>
        </w:rPr>
      </w:pPr>
    </w:p>
    <w:p w:rsidR="008D4D83" w:rsidRPr="00A67033" w:rsidRDefault="008D4D83" w:rsidP="00D56143">
      <w:pPr>
        <w:numPr>
          <w:ilvl w:val="0"/>
          <w:numId w:val="1"/>
        </w:numPr>
        <w:spacing w:line="360" w:lineRule="auto"/>
        <w:ind w:left="0" w:right="44" w:firstLine="0"/>
        <w:contextualSpacing/>
        <w:jc w:val="both"/>
        <w:rPr>
          <w:rFonts w:ascii="Palatino Linotype" w:hAnsi="Palatino Linotype" w:cs="Arial"/>
        </w:rPr>
      </w:pPr>
      <w:r w:rsidRPr="00A67033">
        <w:rPr>
          <w:rFonts w:ascii="Palatino Linotype" w:hAnsi="Palatino Linotype" w:cs="Arial"/>
        </w:rPr>
        <w:t xml:space="preserve">Por otro lado, debe señalarse que el derecho de acceso a la información, es un </w:t>
      </w:r>
      <w:r w:rsidRPr="00A67033">
        <w:rPr>
          <w:rFonts w:ascii="Palatino Linotype" w:hAnsi="Palatino Linotype"/>
        </w:rPr>
        <w:t>derecho</w:t>
      </w:r>
      <w:r w:rsidRPr="00A67033">
        <w:rPr>
          <w:rFonts w:ascii="Palatino Linotype" w:hAnsi="Palatino Linotype" w:cs="Arial"/>
        </w:rPr>
        <w:t xml:space="preserve"> que versa sobre documentos, por lo que este se colma con la entrega del soporte documental donde conste o se advierta la información requerida, siendo del caso </w:t>
      </w:r>
      <w:r w:rsidRPr="00A67033">
        <w:rPr>
          <w:rFonts w:ascii="Palatino Linotype" w:hAnsi="Palatino Linotype"/>
        </w:rPr>
        <w:t>concreto</w:t>
      </w:r>
      <w:r w:rsidRPr="00A67033">
        <w:rPr>
          <w:rFonts w:ascii="Palatino Linotype" w:hAnsi="Palatino Linotype" w:cs="Arial"/>
        </w:rPr>
        <w:t xml:space="preserve">, las cusas de la persona que motivan su demanda y los montos que pretende </w:t>
      </w:r>
      <w:r w:rsidRPr="00A67033">
        <w:rPr>
          <w:rFonts w:ascii="Palatino Linotype" w:hAnsi="Palatino Linotype" w:cs="Arial"/>
          <w:b/>
        </w:rPr>
        <w:t>se encuentran en diversos documentos del expediente en que se actúa</w:t>
      </w:r>
      <w:r w:rsidRPr="00A67033">
        <w:rPr>
          <w:rFonts w:ascii="Palatino Linotype" w:hAnsi="Palatino Linotype" w:cs="Arial"/>
        </w:rPr>
        <w:t xml:space="preserve"> como de manera enunciativa mas no limitativa es el propio escrito de demanda; luego entonces para satisfacer la pretensión particular del hoy </w:t>
      </w:r>
      <w:r w:rsidRPr="00A67033">
        <w:rPr>
          <w:rFonts w:ascii="Palatino Linotype" w:hAnsi="Palatino Linotype" w:cs="Arial"/>
          <w:b/>
        </w:rPr>
        <w:t>RECURRENTE</w:t>
      </w:r>
      <w:r w:rsidRPr="00A67033">
        <w:rPr>
          <w:rFonts w:ascii="Palatino Linotype" w:hAnsi="Palatino Linotype" w:cs="Arial"/>
        </w:rPr>
        <w:t xml:space="preserve"> se debería dar acceso a esas documentales, </w:t>
      </w:r>
      <w:r w:rsidRPr="00A67033">
        <w:rPr>
          <w:rFonts w:ascii="Palatino Linotype" w:hAnsi="Palatino Linotype" w:cs="Arial"/>
          <w:b/>
        </w:rPr>
        <w:t>no obstante ello</w:t>
      </w:r>
      <w:r w:rsidR="00A17DDD" w:rsidRPr="00A67033">
        <w:rPr>
          <w:rFonts w:ascii="Palatino Linotype" w:hAnsi="Palatino Linotype" w:cs="Arial"/>
          <w:b/>
        </w:rPr>
        <w:t xml:space="preserve"> actualiza el supuesto de clasificación de</w:t>
      </w:r>
      <w:r w:rsidRPr="00A67033">
        <w:rPr>
          <w:rFonts w:ascii="Palatino Linotype" w:hAnsi="Palatino Linotype" w:cs="Arial"/>
          <w:b/>
        </w:rPr>
        <w:t xml:space="preserve"> vulnerar la conducción de los expedientes judiciales o de los procedimientos administrativos seguidos en forma de juicio</w:t>
      </w:r>
      <w:r w:rsidRPr="00A67033">
        <w:rPr>
          <w:rFonts w:ascii="Palatino Linotype" w:hAnsi="Palatino Linotype" w:cs="Arial"/>
        </w:rPr>
        <w:t xml:space="preserve">, </w:t>
      </w:r>
      <w:r w:rsidRPr="00A67033">
        <w:rPr>
          <w:rFonts w:ascii="Palatino Linotype" w:hAnsi="Palatino Linotype" w:cs="Arial"/>
          <w:b/>
        </w:rPr>
        <w:t xml:space="preserve">en tanto no hayan </w:t>
      </w:r>
      <w:r w:rsidRPr="00A67033">
        <w:rPr>
          <w:rFonts w:ascii="Palatino Linotype" w:hAnsi="Palatino Linotype" w:cs="Arial"/>
          <w:b/>
        </w:rPr>
        <w:lastRenderedPageBreak/>
        <w:t>quedado firmes</w:t>
      </w:r>
      <w:r w:rsidR="00A17DDD" w:rsidRPr="00A67033">
        <w:rPr>
          <w:rFonts w:ascii="Palatino Linotype" w:hAnsi="Palatino Linotype" w:cs="Arial"/>
        </w:rPr>
        <w:t>, causal prevista en el artículo 140 fracción VIII de la Ley de Transparencia y Acceso a la Información Pública del Estado de México y Municipios, a saber:</w:t>
      </w:r>
    </w:p>
    <w:p w:rsidR="00A17DDD" w:rsidRPr="00A67033" w:rsidRDefault="00A17DDD" w:rsidP="00A17DDD">
      <w:pPr>
        <w:pStyle w:val="Prrafodelista"/>
        <w:rPr>
          <w:rFonts w:ascii="Palatino Linotype" w:hAnsi="Palatino Linotype" w:cs="Arial"/>
        </w:rPr>
      </w:pPr>
    </w:p>
    <w:p w:rsidR="00A17DDD" w:rsidRPr="00A67033" w:rsidRDefault="00A17DDD" w:rsidP="00A17DDD">
      <w:pPr>
        <w:spacing w:line="360" w:lineRule="auto"/>
        <w:ind w:left="426" w:right="474"/>
        <w:contextualSpacing/>
        <w:jc w:val="both"/>
        <w:rPr>
          <w:rFonts w:ascii="Palatino Linotype" w:hAnsi="Palatino Linotype" w:cs="Arial"/>
          <w:i/>
        </w:rPr>
      </w:pPr>
      <w:r w:rsidRPr="00A67033">
        <w:rPr>
          <w:rFonts w:ascii="Palatino Linotype" w:hAnsi="Palatino Linotype" w:cs="Arial"/>
          <w:i/>
        </w:rPr>
        <w:t>“Artículo 140. El acceso a la información pública será restringido excepcionalmente, cuando por razones de interés público, ésta sea clasificada como reservada, conforme a los criterios siguientes:</w:t>
      </w:r>
    </w:p>
    <w:p w:rsidR="00A17DDD" w:rsidRPr="00A67033" w:rsidRDefault="00A17DDD" w:rsidP="00A17DDD">
      <w:pPr>
        <w:spacing w:line="360" w:lineRule="auto"/>
        <w:ind w:left="426" w:right="474"/>
        <w:contextualSpacing/>
        <w:jc w:val="both"/>
        <w:rPr>
          <w:rFonts w:ascii="Palatino Linotype" w:hAnsi="Palatino Linotype" w:cs="Arial"/>
          <w:i/>
        </w:rPr>
      </w:pPr>
      <w:r w:rsidRPr="00A67033">
        <w:rPr>
          <w:rFonts w:ascii="Palatino Linotype" w:hAnsi="Palatino Linotype" w:cs="Arial"/>
          <w:i/>
        </w:rPr>
        <w:t>...</w:t>
      </w:r>
    </w:p>
    <w:p w:rsidR="00A17DDD" w:rsidRPr="00A67033" w:rsidRDefault="00A17DDD" w:rsidP="00A17DDD">
      <w:pPr>
        <w:spacing w:line="360" w:lineRule="auto"/>
        <w:ind w:left="426" w:right="474"/>
        <w:contextualSpacing/>
        <w:jc w:val="both"/>
        <w:rPr>
          <w:rFonts w:ascii="Palatino Linotype" w:hAnsi="Palatino Linotype" w:cs="Arial"/>
          <w:i/>
        </w:rPr>
      </w:pPr>
      <w:r w:rsidRPr="00A67033">
        <w:rPr>
          <w:rFonts w:ascii="Palatino Linotype" w:hAnsi="Palatino Linotype" w:cs="Arial"/>
          <w:i/>
        </w:rPr>
        <w:t>VIII. Vulnere la conducción de los expedientes judiciales o de los procedimientos administrativos seguidos en forma de juicio, en tanto no hayan quedado firmes;</w:t>
      </w:r>
    </w:p>
    <w:p w:rsidR="00A17DDD" w:rsidRPr="00A67033" w:rsidRDefault="00A17DDD" w:rsidP="00A17DDD">
      <w:pPr>
        <w:spacing w:line="360" w:lineRule="auto"/>
        <w:ind w:left="426" w:right="474"/>
        <w:contextualSpacing/>
        <w:jc w:val="both"/>
        <w:rPr>
          <w:rFonts w:ascii="Palatino Linotype" w:hAnsi="Palatino Linotype" w:cs="Arial"/>
          <w:i/>
        </w:rPr>
      </w:pPr>
      <w:r w:rsidRPr="00A67033">
        <w:rPr>
          <w:rFonts w:ascii="Palatino Linotype" w:hAnsi="Palatino Linotype" w:cs="Arial"/>
          <w:i/>
        </w:rPr>
        <w:t>..."</w:t>
      </w:r>
    </w:p>
    <w:p w:rsidR="00A17DDD" w:rsidRPr="00A67033" w:rsidRDefault="00A17DDD" w:rsidP="00A17DDD">
      <w:pPr>
        <w:pStyle w:val="Prrafodelista"/>
        <w:rPr>
          <w:rFonts w:ascii="Palatino Linotype" w:hAnsi="Palatino Linotype" w:cs="Arial"/>
        </w:rPr>
      </w:pPr>
    </w:p>
    <w:p w:rsidR="00A17DDD" w:rsidRPr="00A67033" w:rsidRDefault="004B48BA" w:rsidP="00D56143">
      <w:pPr>
        <w:numPr>
          <w:ilvl w:val="0"/>
          <w:numId w:val="1"/>
        </w:numPr>
        <w:spacing w:line="360" w:lineRule="auto"/>
        <w:ind w:left="0" w:firstLine="0"/>
        <w:contextualSpacing/>
        <w:jc w:val="both"/>
        <w:rPr>
          <w:rFonts w:ascii="Palatino Linotype" w:eastAsia="Calibri" w:hAnsi="Palatino Linotype" w:cs="Tahoma"/>
          <w:iCs/>
          <w:lang w:val="es-ES" w:eastAsia="es-ES_tradnl"/>
        </w:rPr>
      </w:pPr>
      <w:r w:rsidRPr="00A67033">
        <w:rPr>
          <w:rFonts w:ascii="Palatino Linotype" w:hAnsi="Palatino Linotype" w:cs="Arial"/>
        </w:rPr>
        <w:t>En ese mismo contexto</w:t>
      </w:r>
      <w:r w:rsidR="00A17DDD" w:rsidRPr="00A67033">
        <w:rPr>
          <w:rFonts w:ascii="Palatino Linotype" w:hAnsi="Palatino Linotype" w:cs="Arial"/>
        </w:rPr>
        <w:t xml:space="preserve">, </w:t>
      </w:r>
      <w:r w:rsidRPr="00A67033">
        <w:rPr>
          <w:rFonts w:ascii="Palatino Linotype" w:hAnsi="Palatino Linotype" w:cs="Arial"/>
        </w:rPr>
        <w:t xml:space="preserve">precisar que </w:t>
      </w:r>
      <w:r w:rsidR="00A17DDD" w:rsidRPr="00A67033">
        <w:rPr>
          <w:rFonts w:ascii="Palatino Linotype" w:hAnsi="Palatino Linotype" w:cs="Arial"/>
        </w:rPr>
        <w:t xml:space="preserve">el </w:t>
      </w:r>
      <w:r w:rsidR="00A17DDD" w:rsidRPr="00A67033">
        <w:rPr>
          <w:rFonts w:ascii="Palatino Linotype" w:hAnsi="Palatino Linotype" w:cs="Arial"/>
          <w:b/>
        </w:rPr>
        <w:t>SUJETO OBLIGADO</w:t>
      </w:r>
      <w:r w:rsidR="00A17DDD" w:rsidRPr="00A67033">
        <w:rPr>
          <w:rFonts w:ascii="Palatino Linotype" w:hAnsi="Palatino Linotype" w:cs="Arial"/>
        </w:rPr>
        <w:t xml:space="preserve"> no se encuentra obligado a generarle un documento </w:t>
      </w:r>
      <w:r w:rsidR="00A17DDD" w:rsidRPr="00A67033">
        <w:rPr>
          <w:rFonts w:ascii="Palatino Linotype" w:hAnsi="Palatino Linotype" w:cs="Arial"/>
          <w:i/>
        </w:rPr>
        <w:t>ad hoc</w:t>
      </w:r>
      <w:r w:rsidR="00A17DDD" w:rsidRPr="00A67033">
        <w:rPr>
          <w:rFonts w:ascii="Palatino Linotype" w:hAnsi="Palatino Linotype" w:cs="Arial"/>
        </w:rPr>
        <w:t xml:space="preserve"> al particular para contestar sus dudas e inquietudes personales, insistiendo en que </w:t>
      </w:r>
      <w:r w:rsidR="00A17DDD" w:rsidRPr="00A67033">
        <w:rPr>
          <w:rFonts w:ascii="Palatino Linotype" w:eastAsia="Calibri" w:hAnsi="Palatino Linotype" w:cs="Tahoma"/>
          <w:iCs/>
          <w:lang w:val="es-ES" w:eastAsia="es-ES_tradnl"/>
        </w:rPr>
        <w:t xml:space="preserve">únicamente están constreñidos a </w:t>
      </w:r>
      <w:r w:rsidR="00A17DDD" w:rsidRPr="00A67033">
        <w:rPr>
          <w:rFonts w:ascii="Palatino Linotype" w:hAnsi="Palatino Linotype" w:cs="Tahoma"/>
          <w:lang w:val="es-ES"/>
        </w:rPr>
        <w:t>proporcionar</w:t>
      </w:r>
      <w:r w:rsidR="00A17DDD" w:rsidRPr="00A67033">
        <w:rPr>
          <w:rFonts w:ascii="Palatino Linotype" w:eastAsia="Calibri" w:hAnsi="Palatino Linotype" w:cs="Tahoma"/>
          <w:iCs/>
          <w:lang w:val="es-ES" w:eastAsia="es-ES_tradnl"/>
        </w:rPr>
        <w:t xml:space="preserve"> la documentación que obre en sus archivos; por lo que, no </w:t>
      </w:r>
      <w:r w:rsidRPr="00A67033">
        <w:rPr>
          <w:rFonts w:ascii="Palatino Linotype" w:eastAsia="Calibri" w:hAnsi="Palatino Linotype" w:cs="Tahoma"/>
          <w:iCs/>
          <w:lang w:val="es-ES" w:eastAsia="es-ES_tradnl"/>
        </w:rPr>
        <w:t>estando</w:t>
      </w:r>
      <w:r w:rsidR="00A17DDD" w:rsidRPr="00A67033">
        <w:rPr>
          <w:rFonts w:ascii="Palatino Linotype" w:eastAsia="Calibri" w:hAnsi="Palatino Linotype" w:cs="Tahoma"/>
          <w:iCs/>
          <w:lang w:val="es-ES" w:eastAsia="es-ES_tradnl"/>
        </w:rPr>
        <w:t xml:space="preserve"> </w:t>
      </w:r>
      <w:r w:rsidRPr="00A67033">
        <w:rPr>
          <w:rFonts w:ascii="Palatino Linotype" w:eastAsia="Calibri" w:hAnsi="Palatino Linotype" w:cs="Tahoma"/>
          <w:iCs/>
          <w:lang w:val="es-ES" w:eastAsia="es-ES_tradnl"/>
        </w:rPr>
        <w:t>compelidos</w:t>
      </w:r>
      <w:r w:rsidR="00A17DDD" w:rsidRPr="00A67033">
        <w:rPr>
          <w:rFonts w:ascii="Palatino Linotype" w:eastAsia="Calibri" w:hAnsi="Palatino Linotype" w:cs="Tahoma"/>
          <w:iCs/>
          <w:lang w:val="es-ES" w:eastAsia="es-ES_tradnl"/>
        </w:rPr>
        <w:t xml:space="preserve"> a generar o elaborar documentos </w:t>
      </w:r>
      <w:r w:rsidR="00A17DDD" w:rsidRPr="00A67033">
        <w:rPr>
          <w:rFonts w:ascii="Palatino Linotype" w:eastAsia="Calibri" w:hAnsi="Palatino Linotype" w:cs="Tahoma"/>
          <w:i/>
          <w:iCs/>
          <w:lang w:val="es-ES" w:eastAsia="es-ES_tradnl"/>
        </w:rPr>
        <w:t>ad hoc,</w:t>
      </w:r>
      <w:r w:rsidR="00A17DDD" w:rsidRPr="00A67033">
        <w:rPr>
          <w:rFonts w:ascii="Palatino Linotype" w:eastAsia="Calibri" w:hAnsi="Palatino Linotype" w:cs="Tahoma"/>
          <w:iCs/>
          <w:lang w:val="es-ES" w:eastAsia="es-ES_tradnl"/>
        </w:rPr>
        <w:t xml:space="preserve"> robustece lo anterior el Criterio 3/17 del Instituto Nacional de Transparencia, Acceso a la Información y Protección de Datos Personales que a continuación se cita:</w:t>
      </w:r>
    </w:p>
    <w:p w:rsidR="00A17DDD" w:rsidRPr="00A67033" w:rsidRDefault="00A17DDD" w:rsidP="00A17DDD">
      <w:pPr>
        <w:tabs>
          <w:tab w:val="left" w:pos="4962"/>
        </w:tabs>
        <w:spacing w:line="360" w:lineRule="auto"/>
        <w:jc w:val="both"/>
        <w:rPr>
          <w:rFonts w:ascii="Palatino Linotype" w:eastAsia="Calibri" w:hAnsi="Palatino Linotype" w:cs="Tahoma"/>
          <w:iCs/>
          <w:lang w:val="es-ES" w:eastAsia="es-ES_tradnl"/>
        </w:rPr>
      </w:pPr>
    </w:p>
    <w:p w:rsidR="00A17DDD" w:rsidRPr="00A67033" w:rsidRDefault="00A17DDD" w:rsidP="00A17DDD">
      <w:pPr>
        <w:spacing w:line="360" w:lineRule="auto"/>
        <w:ind w:left="567" w:right="567"/>
        <w:jc w:val="both"/>
        <w:rPr>
          <w:rFonts w:ascii="Palatino Linotype" w:eastAsia="Arial" w:hAnsi="Palatino Linotype" w:cs="Arial"/>
          <w:i/>
        </w:rPr>
      </w:pPr>
      <w:r w:rsidRPr="00A67033">
        <w:rPr>
          <w:rFonts w:ascii="Palatino Linotype" w:eastAsia="Arial" w:hAnsi="Palatino Linotype" w:cs="Arial"/>
          <w:b/>
          <w:i/>
        </w:rPr>
        <w:t xml:space="preserve">“No existe obligación de elaborar </w:t>
      </w:r>
      <w:r w:rsidRPr="00A67033">
        <w:rPr>
          <w:rFonts w:ascii="Palatino Linotype" w:eastAsia="Arial" w:hAnsi="Palatino Linotype" w:cs="Arial"/>
          <w:b/>
          <w:i/>
          <w:spacing w:val="-3"/>
        </w:rPr>
        <w:t>d</w:t>
      </w:r>
      <w:r w:rsidRPr="00A67033">
        <w:rPr>
          <w:rFonts w:ascii="Palatino Linotype" w:eastAsia="Arial" w:hAnsi="Palatino Linotype" w:cs="Arial"/>
          <w:b/>
          <w:i/>
        </w:rPr>
        <w:t>ocum</w:t>
      </w:r>
      <w:r w:rsidRPr="00A67033">
        <w:rPr>
          <w:rFonts w:ascii="Palatino Linotype" w:eastAsia="Arial" w:hAnsi="Palatino Linotype" w:cs="Arial"/>
          <w:b/>
          <w:i/>
          <w:spacing w:val="1"/>
        </w:rPr>
        <w:t>e</w:t>
      </w:r>
      <w:r w:rsidRPr="00A67033">
        <w:rPr>
          <w:rFonts w:ascii="Palatino Linotype" w:eastAsia="Arial" w:hAnsi="Palatino Linotype" w:cs="Arial"/>
          <w:b/>
          <w:i/>
        </w:rPr>
        <w:t>n</w:t>
      </w:r>
      <w:r w:rsidRPr="00A67033">
        <w:rPr>
          <w:rFonts w:ascii="Palatino Linotype" w:eastAsia="Arial" w:hAnsi="Palatino Linotype" w:cs="Arial"/>
          <w:b/>
          <w:i/>
          <w:spacing w:val="-1"/>
        </w:rPr>
        <w:t>t</w:t>
      </w:r>
      <w:r w:rsidRPr="00A67033">
        <w:rPr>
          <w:rFonts w:ascii="Palatino Linotype" w:eastAsia="Arial" w:hAnsi="Palatino Linotype" w:cs="Arial"/>
          <w:b/>
          <w:i/>
        </w:rPr>
        <w:t xml:space="preserve">os </w:t>
      </w:r>
      <w:r w:rsidRPr="00A67033">
        <w:rPr>
          <w:rFonts w:ascii="Palatino Linotype" w:eastAsia="Arial" w:hAnsi="Palatino Linotype" w:cs="Arial"/>
          <w:b/>
          <w:i/>
          <w:spacing w:val="-1"/>
        </w:rPr>
        <w:t xml:space="preserve">ad </w:t>
      </w:r>
      <w:r w:rsidRPr="00A67033">
        <w:rPr>
          <w:rFonts w:ascii="Palatino Linotype" w:eastAsia="Arial" w:hAnsi="Palatino Linotype" w:cs="Arial"/>
          <w:b/>
          <w:i/>
        </w:rPr>
        <w:t>hoc para atender las sol</w:t>
      </w:r>
      <w:r w:rsidRPr="00A67033">
        <w:rPr>
          <w:rFonts w:ascii="Palatino Linotype" w:eastAsia="Arial" w:hAnsi="Palatino Linotype" w:cs="Arial"/>
          <w:b/>
          <w:i/>
          <w:spacing w:val="-2"/>
        </w:rPr>
        <w:t>i</w:t>
      </w:r>
      <w:r w:rsidRPr="00A67033">
        <w:rPr>
          <w:rFonts w:ascii="Palatino Linotype" w:eastAsia="Arial" w:hAnsi="Palatino Linotype" w:cs="Arial"/>
          <w:b/>
          <w:i/>
          <w:spacing w:val="1"/>
        </w:rPr>
        <w:t>c</w:t>
      </w:r>
      <w:r w:rsidRPr="00A67033">
        <w:rPr>
          <w:rFonts w:ascii="Palatino Linotype" w:eastAsia="Arial" w:hAnsi="Palatino Linotype" w:cs="Arial"/>
          <w:b/>
          <w:i/>
        </w:rPr>
        <w:t xml:space="preserve">itudes de </w:t>
      </w:r>
      <w:r w:rsidRPr="00A67033">
        <w:rPr>
          <w:rFonts w:ascii="Palatino Linotype" w:eastAsia="Arial" w:hAnsi="Palatino Linotype" w:cs="Arial"/>
          <w:b/>
          <w:i/>
          <w:spacing w:val="1"/>
        </w:rPr>
        <w:t>ac</w:t>
      </w:r>
      <w:r w:rsidRPr="00A67033">
        <w:rPr>
          <w:rFonts w:ascii="Palatino Linotype" w:eastAsia="Arial" w:hAnsi="Palatino Linotype" w:cs="Arial"/>
          <w:b/>
          <w:i/>
          <w:spacing w:val="-1"/>
        </w:rPr>
        <w:t>c</w:t>
      </w:r>
      <w:r w:rsidRPr="00A67033">
        <w:rPr>
          <w:rFonts w:ascii="Palatino Linotype" w:eastAsia="Arial" w:hAnsi="Palatino Linotype" w:cs="Arial"/>
          <w:b/>
          <w:i/>
          <w:spacing w:val="1"/>
        </w:rPr>
        <w:t>es</w:t>
      </w:r>
      <w:r w:rsidRPr="00A67033">
        <w:rPr>
          <w:rFonts w:ascii="Palatino Linotype" w:eastAsia="Arial" w:hAnsi="Palatino Linotype" w:cs="Arial"/>
          <w:b/>
          <w:i/>
        </w:rPr>
        <w:t>o a la informa</w:t>
      </w:r>
      <w:r w:rsidRPr="00A67033">
        <w:rPr>
          <w:rFonts w:ascii="Palatino Linotype" w:eastAsia="Arial" w:hAnsi="Palatino Linotype" w:cs="Arial"/>
          <w:b/>
          <w:i/>
          <w:spacing w:val="1"/>
        </w:rPr>
        <w:t>c</w:t>
      </w:r>
      <w:r w:rsidRPr="00A67033">
        <w:rPr>
          <w:rFonts w:ascii="Palatino Linotype" w:eastAsia="Arial" w:hAnsi="Palatino Linotype" w:cs="Arial"/>
          <w:b/>
          <w:i/>
        </w:rPr>
        <w:t>ió</w:t>
      </w:r>
      <w:r w:rsidRPr="00A67033">
        <w:rPr>
          <w:rFonts w:ascii="Palatino Linotype" w:eastAsia="Arial" w:hAnsi="Palatino Linotype" w:cs="Arial"/>
          <w:b/>
          <w:i/>
          <w:spacing w:val="-2"/>
        </w:rPr>
        <w:t>n</w:t>
      </w:r>
      <w:r w:rsidRPr="00A67033">
        <w:rPr>
          <w:rFonts w:ascii="Palatino Linotype" w:eastAsia="Arial" w:hAnsi="Palatino Linotype" w:cs="Arial"/>
          <w:b/>
          <w:i/>
        </w:rPr>
        <w:t xml:space="preserve">. </w:t>
      </w:r>
      <w:r w:rsidRPr="00A67033">
        <w:rPr>
          <w:rFonts w:ascii="Palatino Linotype" w:eastAsia="Arial" w:hAnsi="Palatino Linotype" w:cs="Arial"/>
          <w:i/>
          <w:spacing w:val="18"/>
        </w:rPr>
        <w:t>L</w:t>
      </w:r>
      <w:r w:rsidRPr="00A67033">
        <w:rPr>
          <w:rFonts w:ascii="Palatino Linotype" w:eastAsia="Arial" w:hAnsi="Palatino Linotype" w:cs="Arial"/>
          <w:i/>
          <w:spacing w:val="-1"/>
        </w:rPr>
        <w:t xml:space="preserve">os </w:t>
      </w:r>
      <w:r w:rsidRPr="00A67033">
        <w:rPr>
          <w:rFonts w:ascii="Palatino Linotype" w:eastAsia="Arial" w:hAnsi="Palatino Linotype" w:cs="Arial"/>
          <w:i/>
          <w:spacing w:val="1"/>
        </w:rPr>
        <w:t>a</w:t>
      </w:r>
      <w:r w:rsidRPr="00A67033">
        <w:rPr>
          <w:rFonts w:ascii="Palatino Linotype" w:eastAsia="Arial" w:hAnsi="Palatino Linotype" w:cs="Arial"/>
          <w:i/>
        </w:rPr>
        <w:t>rt</w:t>
      </w:r>
      <w:r w:rsidRPr="00A67033">
        <w:rPr>
          <w:rFonts w:ascii="Palatino Linotype" w:eastAsia="Arial" w:hAnsi="Palatino Linotype" w:cs="Arial"/>
          <w:i/>
          <w:spacing w:val="-2"/>
        </w:rPr>
        <w:t>í</w:t>
      </w:r>
      <w:r w:rsidRPr="00A67033">
        <w:rPr>
          <w:rFonts w:ascii="Palatino Linotype" w:eastAsia="Arial" w:hAnsi="Palatino Linotype" w:cs="Arial"/>
          <w:i/>
        </w:rPr>
        <w:t>c</w:t>
      </w:r>
      <w:r w:rsidRPr="00A67033">
        <w:rPr>
          <w:rFonts w:ascii="Palatino Linotype" w:eastAsia="Arial" w:hAnsi="Palatino Linotype" w:cs="Arial"/>
          <w:i/>
          <w:spacing w:val="1"/>
        </w:rPr>
        <w:t>u</w:t>
      </w:r>
      <w:r w:rsidRPr="00A67033">
        <w:rPr>
          <w:rFonts w:ascii="Palatino Linotype" w:eastAsia="Arial" w:hAnsi="Palatino Linotype" w:cs="Arial"/>
          <w:i/>
        </w:rPr>
        <w:t>los</w:t>
      </w:r>
      <w:r w:rsidRPr="00A67033">
        <w:rPr>
          <w:rFonts w:ascii="Palatino Linotype" w:eastAsia="Arial" w:hAnsi="Palatino Linotype" w:cs="Arial"/>
          <w:i/>
          <w:spacing w:val="8"/>
        </w:rPr>
        <w:t xml:space="preserve"> 129 </w:t>
      </w:r>
      <w:r w:rsidRPr="00A67033">
        <w:rPr>
          <w:rFonts w:ascii="Palatino Linotype" w:eastAsia="Arial" w:hAnsi="Palatino Linotype" w:cs="Arial"/>
          <w:i/>
          <w:spacing w:val="1"/>
        </w:rPr>
        <w:t>d</w:t>
      </w:r>
      <w:r w:rsidRPr="00A67033">
        <w:rPr>
          <w:rFonts w:ascii="Palatino Linotype" w:eastAsia="Arial" w:hAnsi="Palatino Linotype" w:cs="Arial"/>
          <w:i/>
        </w:rPr>
        <w:t xml:space="preserve">e la </w:t>
      </w:r>
      <w:r w:rsidRPr="00A67033">
        <w:rPr>
          <w:rFonts w:ascii="Palatino Linotype" w:eastAsia="Arial" w:hAnsi="Palatino Linotype" w:cs="Arial"/>
          <w:i/>
          <w:spacing w:val="-1"/>
        </w:rPr>
        <w:t>L</w:t>
      </w:r>
      <w:r w:rsidRPr="00A67033">
        <w:rPr>
          <w:rFonts w:ascii="Palatino Linotype" w:eastAsia="Arial" w:hAnsi="Palatino Linotype" w:cs="Arial"/>
          <w:i/>
          <w:spacing w:val="1"/>
        </w:rPr>
        <w:t>e</w:t>
      </w:r>
      <w:r w:rsidRPr="00A67033">
        <w:rPr>
          <w:rFonts w:ascii="Palatino Linotype" w:eastAsia="Arial" w:hAnsi="Palatino Linotype" w:cs="Arial"/>
          <w:i/>
        </w:rPr>
        <w:t xml:space="preserve">y General </w:t>
      </w:r>
      <w:r w:rsidRPr="00A67033">
        <w:rPr>
          <w:rFonts w:ascii="Palatino Linotype" w:eastAsia="Arial" w:hAnsi="Palatino Linotype" w:cs="Arial"/>
          <w:i/>
          <w:spacing w:val="-1"/>
        </w:rPr>
        <w:t>d</w:t>
      </w:r>
      <w:r w:rsidRPr="00A67033">
        <w:rPr>
          <w:rFonts w:ascii="Palatino Linotype" w:eastAsia="Arial" w:hAnsi="Palatino Linotype" w:cs="Arial"/>
          <w:i/>
        </w:rPr>
        <w:t xml:space="preserve">e </w:t>
      </w:r>
      <w:r w:rsidRPr="00A67033">
        <w:rPr>
          <w:rFonts w:ascii="Palatino Linotype" w:eastAsia="Arial" w:hAnsi="Palatino Linotype" w:cs="Arial"/>
          <w:i/>
          <w:spacing w:val="2"/>
        </w:rPr>
        <w:t>T</w:t>
      </w:r>
      <w:r w:rsidRPr="00A67033">
        <w:rPr>
          <w:rFonts w:ascii="Palatino Linotype" w:eastAsia="Arial" w:hAnsi="Palatino Linotype" w:cs="Arial"/>
          <w:i/>
        </w:rPr>
        <w:t>r</w:t>
      </w:r>
      <w:r w:rsidRPr="00A67033">
        <w:rPr>
          <w:rFonts w:ascii="Palatino Linotype" w:eastAsia="Arial" w:hAnsi="Palatino Linotype" w:cs="Arial"/>
          <w:i/>
          <w:spacing w:val="-2"/>
        </w:rPr>
        <w:t>a</w:t>
      </w:r>
      <w:r w:rsidRPr="00A67033">
        <w:rPr>
          <w:rFonts w:ascii="Palatino Linotype" w:eastAsia="Arial" w:hAnsi="Palatino Linotype" w:cs="Arial"/>
          <w:i/>
          <w:spacing w:val="1"/>
        </w:rPr>
        <w:t>n</w:t>
      </w:r>
      <w:r w:rsidRPr="00A67033">
        <w:rPr>
          <w:rFonts w:ascii="Palatino Linotype" w:eastAsia="Arial" w:hAnsi="Palatino Linotype" w:cs="Arial"/>
          <w:i/>
        </w:rPr>
        <w:t>s</w:t>
      </w:r>
      <w:r w:rsidRPr="00A67033">
        <w:rPr>
          <w:rFonts w:ascii="Palatino Linotype" w:eastAsia="Arial" w:hAnsi="Palatino Linotype" w:cs="Arial"/>
          <w:i/>
          <w:spacing w:val="1"/>
        </w:rPr>
        <w:t>pa</w:t>
      </w:r>
      <w:r w:rsidRPr="00A67033">
        <w:rPr>
          <w:rFonts w:ascii="Palatino Linotype" w:eastAsia="Arial" w:hAnsi="Palatino Linotype" w:cs="Arial"/>
          <w:i/>
        </w:rPr>
        <w:t>r</w:t>
      </w:r>
      <w:r w:rsidRPr="00A67033">
        <w:rPr>
          <w:rFonts w:ascii="Palatino Linotype" w:eastAsia="Arial" w:hAnsi="Palatino Linotype" w:cs="Arial"/>
          <w:i/>
          <w:spacing w:val="-2"/>
        </w:rPr>
        <w:t>e</w:t>
      </w:r>
      <w:r w:rsidRPr="00A67033">
        <w:rPr>
          <w:rFonts w:ascii="Palatino Linotype" w:eastAsia="Arial" w:hAnsi="Palatino Linotype" w:cs="Arial"/>
          <w:i/>
          <w:spacing w:val="1"/>
        </w:rPr>
        <w:t>n</w:t>
      </w:r>
      <w:r w:rsidRPr="00A67033">
        <w:rPr>
          <w:rFonts w:ascii="Palatino Linotype" w:eastAsia="Arial" w:hAnsi="Palatino Linotype" w:cs="Arial"/>
          <w:i/>
        </w:rPr>
        <w:t>cia y Acc</w:t>
      </w:r>
      <w:r w:rsidRPr="00A67033">
        <w:rPr>
          <w:rFonts w:ascii="Palatino Linotype" w:eastAsia="Arial" w:hAnsi="Palatino Linotype" w:cs="Arial"/>
          <w:i/>
          <w:spacing w:val="1"/>
        </w:rPr>
        <w:t>e</w:t>
      </w:r>
      <w:r w:rsidRPr="00A67033">
        <w:rPr>
          <w:rFonts w:ascii="Palatino Linotype" w:eastAsia="Arial" w:hAnsi="Palatino Linotype" w:cs="Arial"/>
          <w:i/>
        </w:rPr>
        <w:t>so a la I</w:t>
      </w:r>
      <w:r w:rsidRPr="00A67033">
        <w:rPr>
          <w:rFonts w:ascii="Palatino Linotype" w:eastAsia="Arial" w:hAnsi="Palatino Linotype" w:cs="Arial"/>
          <w:i/>
          <w:spacing w:val="-1"/>
        </w:rPr>
        <w:t>n</w:t>
      </w:r>
      <w:r w:rsidRPr="00A67033">
        <w:rPr>
          <w:rFonts w:ascii="Palatino Linotype" w:eastAsia="Arial" w:hAnsi="Palatino Linotype" w:cs="Arial"/>
          <w:i/>
        </w:rPr>
        <w:t>f</w:t>
      </w:r>
      <w:r w:rsidRPr="00A67033">
        <w:rPr>
          <w:rFonts w:ascii="Palatino Linotype" w:eastAsia="Arial" w:hAnsi="Palatino Linotype" w:cs="Arial"/>
          <w:i/>
          <w:spacing w:val="1"/>
        </w:rPr>
        <w:t>o</w:t>
      </w:r>
      <w:r w:rsidRPr="00A67033">
        <w:rPr>
          <w:rFonts w:ascii="Palatino Linotype" w:eastAsia="Arial" w:hAnsi="Palatino Linotype" w:cs="Arial"/>
          <w:i/>
          <w:spacing w:val="-3"/>
        </w:rPr>
        <w:t>r</w:t>
      </w:r>
      <w:r w:rsidRPr="00A67033">
        <w:rPr>
          <w:rFonts w:ascii="Palatino Linotype" w:eastAsia="Arial" w:hAnsi="Palatino Linotype" w:cs="Arial"/>
          <w:i/>
          <w:spacing w:val="1"/>
        </w:rPr>
        <w:t>ma</w:t>
      </w:r>
      <w:r w:rsidRPr="00A67033">
        <w:rPr>
          <w:rFonts w:ascii="Palatino Linotype" w:eastAsia="Arial" w:hAnsi="Palatino Linotype" w:cs="Arial"/>
          <w:i/>
        </w:rPr>
        <w:t>ci</w:t>
      </w:r>
      <w:r w:rsidRPr="00A67033">
        <w:rPr>
          <w:rFonts w:ascii="Palatino Linotype" w:eastAsia="Arial" w:hAnsi="Palatino Linotype" w:cs="Arial"/>
          <w:i/>
          <w:spacing w:val="-2"/>
        </w:rPr>
        <w:t>ó</w:t>
      </w:r>
      <w:r w:rsidRPr="00A67033">
        <w:rPr>
          <w:rFonts w:ascii="Palatino Linotype" w:eastAsia="Arial" w:hAnsi="Palatino Linotype" w:cs="Arial"/>
          <w:i/>
        </w:rPr>
        <w:t xml:space="preserve">n </w:t>
      </w:r>
      <w:r w:rsidRPr="00A67033">
        <w:rPr>
          <w:rFonts w:ascii="Palatino Linotype" w:eastAsia="Arial" w:hAnsi="Palatino Linotype" w:cs="Arial"/>
          <w:i/>
          <w:spacing w:val="-2"/>
        </w:rPr>
        <w:t>P</w:t>
      </w:r>
      <w:r w:rsidRPr="00A67033">
        <w:rPr>
          <w:rFonts w:ascii="Palatino Linotype" w:eastAsia="Arial" w:hAnsi="Palatino Linotype" w:cs="Arial"/>
          <w:i/>
          <w:spacing w:val="1"/>
        </w:rPr>
        <w:t>úb</w:t>
      </w:r>
      <w:r w:rsidRPr="00A67033">
        <w:rPr>
          <w:rFonts w:ascii="Palatino Linotype" w:eastAsia="Arial" w:hAnsi="Palatino Linotype" w:cs="Arial"/>
          <w:i/>
        </w:rPr>
        <w:t>l</w:t>
      </w:r>
      <w:r w:rsidRPr="00A67033">
        <w:rPr>
          <w:rFonts w:ascii="Palatino Linotype" w:eastAsia="Arial" w:hAnsi="Palatino Linotype" w:cs="Arial"/>
          <w:i/>
          <w:spacing w:val="-1"/>
        </w:rPr>
        <w:t>i</w:t>
      </w:r>
      <w:r w:rsidRPr="00A67033">
        <w:rPr>
          <w:rFonts w:ascii="Palatino Linotype" w:eastAsia="Arial" w:hAnsi="Palatino Linotype" w:cs="Arial"/>
          <w:i/>
        </w:rPr>
        <w:t xml:space="preserve">ca y </w:t>
      </w:r>
      <w:r w:rsidRPr="00A67033">
        <w:rPr>
          <w:rFonts w:ascii="Palatino Linotype" w:eastAsia="Arial" w:hAnsi="Palatino Linotype" w:cs="Arial"/>
          <w:i/>
          <w:spacing w:val="8"/>
        </w:rPr>
        <w:t xml:space="preserve">130, párrafo cuarto, </w:t>
      </w:r>
      <w:r w:rsidRPr="00A67033">
        <w:rPr>
          <w:rFonts w:ascii="Palatino Linotype" w:eastAsia="Arial" w:hAnsi="Palatino Linotype" w:cs="Arial"/>
          <w:i/>
          <w:spacing w:val="1"/>
        </w:rPr>
        <w:t>d</w:t>
      </w:r>
      <w:r w:rsidRPr="00A67033">
        <w:rPr>
          <w:rFonts w:ascii="Palatino Linotype" w:eastAsia="Arial" w:hAnsi="Palatino Linotype" w:cs="Arial"/>
          <w:i/>
        </w:rPr>
        <w:t xml:space="preserve">e la </w:t>
      </w:r>
      <w:r w:rsidRPr="00A67033">
        <w:rPr>
          <w:rFonts w:ascii="Palatino Linotype" w:eastAsia="Arial" w:hAnsi="Palatino Linotype" w:cs="Arial"/>
          <w:i/>
          <w:spacing w:val="-1"/>
        </w:rPr>
        <w:t>L</w:t>
      </w:r>
      <w:r w:rsidRPr="00A67033">
        <w:rPr>
          <w:rFonts w:ascii="Palatino Linotype" w:eastAsia="Arial" w:hAnsi="Palatino Linotype" w:cs="Arial"/>
          <w:i/>
          <w:spacing w:val="1"/>
        </w:rPr>
        <w:t>e</w:t>
      </w:r>
      <w:r w:rsidRPr="00A67033">
        <w:rPr>
          <w:rFonts w:ascii="Palatino Linotype" w:eastAsia="Arial" w:hAnsi="Palatino Linotype" w:cs="Arial"/>
          <w:i/>
        </w:rPr>
        <w:t>y Fe</w:t>
      </w:r>
      <w:r w:rsidRPr="00A67033">
        <w:rPr>
          <w:rFonts w:ascii="Palatino Linotype" w:eastAsia="Arial" w:hAnsi="Palatino Linotype" w:cs="Arial"/>
          <w:i/>
          <w:spacing w:val="1"/>
        </w:rPr>
        <w:t>de</w:t>
      </w:r>
      <w:r w:rsidRPr="00A67033">
        <w:rPr>
          <w:rFonts w:ascii="Palatino Linotype" w:eastAsia="Arial" w:hAnsi="Palatino Linotype" w:cs="Arial"/>
          <w:i/>
        </w:rPr>
        <w:t xml:space="preserve">ral </w:t>
      </w:r>
      <w:r w:rsidRPr="00A67033">
        <w:rPr>
          <w:rFonts w:ascii="Palatino Linotype" w:eastAsia="Arial" w:hAnsi="Palatino Linotype" w:cs="Arial"/>
          <w:i/>
          <w:spacing w:val="-1"/>
        </w:rPr>
        <w:t>d</w:t>
      </w:r>
      <w:r w:rsidRPr="00A67033">
        <w:rPr>
          <w:rFonts w:ascii="Palatino Linotype" w:eastAsia="Arial" w:hAnsi="Palatino Linotype" w:cs="Arial"/>
          <w:i/>
        </w:rPr>
        <w:t xml:space="preserve">e </w:t>
      </w:r>
      <w:r w:rsidRPr="00A67033">
        <w:rPr>
          <w:rFonts w:ascii="Palatino Linotype" w:eastAsia="Arial" w:hAnsi="Palatino Linotype" w:cs="Arial"/>
          <w:i/>
          <w:spacing w:val="2"/>
        </w:rPr>
        <w:t>T</w:t>
      </w:r>
      <w:r w:rsidRPr="00A67033">
        <w:rPr>
          <w:rFonts w:ascii="Palatino Linotype" w:eastAsia="Arial" w:hAnsi="Palatino Linotype" w:cs="Arial"/>
          <w:i/>
        </w:rPr>
        <w:t>r</w:t>
      </w:r>
      <w:r w:rsidRPr="00A67033">
        <w:rPr>
          <w:rFonts w:ascii="Palatino Linotype" w:eastAsia="Arial" w:hAnsi="Palatino Linotype" w:cs="Arial"/>
          <w:i/>
          <w:spacing w:val="-2"/>
        </w:rPr>
        <w:t>a</w:t>
      </w:r>
      <w:r w:rsidRPr="00A67033">
        <w:rPr>
          <w:rFonts w:ascii="Palatino Linotype" w:eastAsia="Arial" w:hAnsi="Palatino Linotype" w:cs="Arial"/>
          <w:i/>
          <w:spacing w:val="1"/>
        </w:rPr>
        <w:t>n</w:t>
      </w:r>
      <w:r w:rsidRPr="00A67033">
        <w:rPr>
          <w:rFonts w:ascii="Palatino Linotype" w:eastAsia="Arial" w:hAnsi="Palatino Linotype" w:cs="Arial"/>
          <w:i/>
        </w:rPr>
        <w:t>s</w:t>
      </w:r>
      <w:r w:rsidRPr="00A67033">
        <w:rPr>
          <w:rFonts w:ascii="Palatino Linotype" w:eastAsia="Arial" w:hAnsi="Palatino Linotype" w:cs="Arial"/>
          <w:i/>
          <w:spacing w:val="1"/>
        </w:rPr>
        <w:t>pa</w:t>
      </w:r>
      <w:r w:rsidRPr="00A67033">
        <w:rPr>
          <w:rFonts w:ascii="Palatino Linotype" w:eastAsia="Arial" w:hAnsi="Palatino Linotype" w:cs="Arial"/>
          <w:i/>
        </w:rPr>
        <w:t>r</w:t>
      </w:r>
      <w:r w:rsidRPr="00A67033">
        <w:rPr>
          <w:rFonts w:ascii="Palatino Linotype" w:eastAsia="Arial" w:hAnsi="Palatino Linotype" w:cs="Arial"/>
          <w:i/>
          <w:spacing w:val="-2"/>
        </w:rPr>
        <w:t>e</w:t>
      </w:r>
      <w:r w:rsidRPr="00A67033">
        <w:rPr>
          <w:rFonts w:ascii="Palatino Linotype" w:eastAsia="Arial" w:hAnsi="Palatino Linotype" w:cs="Arial"/>
          <w:i/>
          <w:spacing w:val="1"/>
        </w:rPr>
        <w:t>n</w:t>
      </w:r>
      <w:r w:rsidRPr="00A67033">
        <w:rPr>
          <w:rFonts w:ascii="Palatino Linotype" w:eastAsia="Arial" w:hAnsi="Palatino Linotype" w:cs="Arial"/>
          <w:i/>
        </w:rPr>
        <w:t>cia y Acc</w:t>
      </w:r>
      <w:r w:rsidRPr="00A67033">
        <w:rPr>
          <w:rFonts w:ascii="Palatino Linotype" w:eastAsia="Arial" w:hAnsi="Palatino Linotype" w:cs="Arial"/>
          <w:i/>
          <w:spacing w:val="1"/>
        </w:rPr>
        <w:t>e</w:t>
      </w:r>
      <w:r w:rsidRPr="00A67033">
        <w:rPr>
          <w:rFonts w:ascii="Palatino Linotype" w:eastAsia="Arial" w:hAnsi="Palatino Linotype" w:cs="Arial"/>
          <w:i/>
        </w:rPr>
        <w:t>so a la I</w:t>
      </w:r>
      <w:r w:rsidRPr="00A67033">
        <w:rPr>
          <w:rFonts w:ascii="Palatino Linotype" w:eastAsia="Arial" w:hAnsi="Palatino Linotype" w:cs="Arial"/>
          <w:i/>
          <w:spacing w:val="-1"/>
        </w:rPr>
        <w:t>n</w:t>
      </w:r>
      <w:r w:rsidRPr="00A67033">
        <w:rPr>
          <w:rFonts w:ascii="Palatino Linotype" w:eastAsia="Arial" w:hAnsi="Palatino Linotype" w:cs="Arial"/>
          <w:i/>
        </w:rPr>
        <w:t>f</w:t>
      </w:r>
      <w:r w:rsidRPr="00A67033">
        <w:rPr>
          <w:rFonts w:ascii="Palatino Linotype" w:eastAsia="Arial" w:hAnsi="Palatino Linotype" w:cs="Arial"/>
          <w:i/>
          <w:spacing w:val="1"/>
        </w:rPr>
        <w:t>o</w:t>
      </w:r>
      <w:r w:rsidRPr="00A67033">
        <w:rPr>
          <w:rFonts w:ascii="Palatino Linotype" w:eastAsia="Arial" w:hAnsi="Palatino Linotype" w:cs="Arial"/>
          <w:i/>
          <w:spacing w:val="-3"/>
        </w:rPr>
        <w:t>r</w:t>
      </w:r>
      <w:r w:rsidRPr="00A67033">
        <w:rPr>
          <w:rFonts w:ascii="Palatino Linotype" w:eastAsia="Arial" w:hAnsi="Palatino Linotype" w:cs="Arial"/>
          <w:i/>
          <w:spacing w:val="1"/>
        </w:rPr>
        <w:t>ma</w:t>
      </w:r>
      <w:r w:rsidRPr="00A67033">
        <w:rPr>
          <w:rFonts w:ascii="Palatino Linotype" w:eastAsia="Arial" w:hAnsi="Palatino Linotype" w:cs="Arial"/>
          <w:i/>
        </w:rPr>
        <w:t>ci</w:t>
      </w:r>
      <w:r w:rsidRPr="00A67033">
        <w:rPr>
          <w:rFonts w:ascii="Palatino Linotype" w:eastAsia="Arial" w:hAnsi="Palatino Linotype" w:cs="Arial"/>
          <w:i/>
          <w:spacing w:val="-2"/>
        </w:rPr>
        <w:t>ó</w:t>
      </w:r>
      <w:r w:rsidRPr="00A67033">
        <w:rPr>
          <w:rFonts w:ascii="Palatino Linotype" w:eastAsia="Arial" w:hAnsi="Palatino Linotype" w:cs="Arial"/>
          <w:i/>
        </w:rPr>
        <w:t xml:space="preserve">n </w:t>
      </w:r>
      <w:r w:rsidRPr="00A67033">
        <w:rPr>
          <w:rFonts w:ascii="Palatino Linotype" w:eastAsia="Arial" w:hAnsi="Palatino Linotype" w:cs="Arial"/>
          <w:i/>
          <w:spacing w:val="-2"/>
        </w:rPr>
        <w:t>P</w:t>
      </w:r>
      <w:r w:rsidRPr="00A67033">
        <w:rPr>
          <w:rFonts w:ascii="Palatino Linotype" w:eastAsia="Arial" w:hAnsi="Palatino Linotype" w:cs="Arial"/>
          <w:i/>
          <w:spacing w:val="1"/>
        </w:rPr>
        <w:t>úb</w:t>
      </w:r>
      <w:r w:rsidRPr="00A67033">
        <w:rPr>
          <w:rFonts w:ascii="Palatino Linotype" w:eastAsia="Arial" w:hAnsi="Palatino Linotype" w:cs="Arial"/>
          <w:i/>
        </w:rPr>
        <w:t>l</w:t>
      </w:r>
      <w:r w:rsidRPr="00A67033">
        <w:rPr>
          <w:rFonts w:ascii="Palatino Linotype" w:eastAsia="Arial" w:hAnsi="Palatino Linotype" w:cs="Arial"/>
          <w:i/>
          <w:spacing w:val="-1"/>
        </w:rPr>
        <w:t>i</w:t>
      </w:r>
      <w:r w:rsidRPr="00A67033">
        <w:rPr>
          <w:rFonts w:ascii="Palatino Linotype" w:eastAsia="Arial" w:hAnsi="Palatino Linotype" w:cs="Arial"/>
          <w:i/>
        </w:rPr>
        <w:t xml:space="preserve">ca, </w:t>
      </w:r>
      <w:r w:rsidRPr="00A67033">
        <w:rPr>
          <w:rFonts w:ascii="Palatino Linotype" w:eastAsia="Arial" w:hAnsi="Palatino Linotype" w:cs="Arial"/>
          <w:i/>
          <w:spacing w:val="-1"/>
        </w:rPr>
        <w:t>señalan q</w:t>
      </w:r>
      <w:r w:rsidRPr="00A67033">
        <w:rPr>
          <w:rFonts w:ascii="Palatino Linotype" w:eastAsia="Arial" w:hAnsi="Palatino Linotype" w:cs="Arial"/>
          <w:i/>
          <w:spacing w:val="1"/>
        </w:rPr>
        <w:t>u</w:t>
      </w:r>
      <w:r w:rsidRPr="00A67033">
        <w:rPr>
          <w:rFonts w:ascii="Palatino Linotype" w:eastAsia="Arial" w:hAnsi="Palatino Linotype" w:cs="Arial"/>
          <w:i/>
        </w:rPr>
        <w:t xml:space="preserve">e los sujetos obligados deberán otorgar acceso a los documentos que se encuentren </w:t>
      </w:r>
      <w:r w:rsidRPr="00A67033">
        <w:rPr>
          <w:rFonts w:ascii="Palatino Linotype" w:eastAsia="Arial" w:hAnsi="Palatino Linotype" w:cs="Arial"/>
          <w:i/>
        </w:rPr>
        <w:lastRenderedPageBreak/>
        <w:t>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67033">
        <w:rPr>
          <w:rFonts w:ascii="Palatino Linotype" w:eastAsia="Arial" w:hAnsi="Palatino Linotype" w:cs="Arial"/>
          <w:i/>
          <w:spacing w:val="-1"/>
        </w:rPr>
        <w:t xml:space="preserve"> sin necesidad de</w:t>
      </w:r>
      <w:r w:rsidRPr="00A67033">
        <w:rPr>
          <w:rFonts w:ascii="Palatino Linotype" w:eastAsia="Arial" w:hAnsi="Palatino Linotype" w:cs="Arial"/>
          <w:i/>
          <w:spacing w:val="1"/>
        </w:rPr>
        <w:t xml:space="preserve"> e</w:t>
      </w:r>
      <w:r w:rsidRPr="00A67033">
        <w:rPr>
          <w:rFonts w:ascii="Palatino Linotype" w:eastAsia="Arial" w:hAnsi="Palatino Linotype" w:cs="Arial"/>
          <w:i/>
        </w:rPr>
        <w:t>la</w:t>
      </w:r>
      <w:r w:rsidRPr="00A67033">
        <w:rPr>
          <w:rFonts w:ascii="Palatino Linotype" w:eastAsia="Arial" w:hAnsi="Palatino Linotype" w:cs="Arial"/>
          <w:i/>
          <w:spacing w:val="1"/>
        </w:rPr>
        <w:t>bo</w:t>
      </w:r>
      <w:r w:rsidRPr="00A67033">
        <w:rPr>
          <w:rFonts w:ascii="Palatino Linotype" w:eastAsia="Arial" w:hAnsi="Palatino Linotype" w:cs="Arial"/>
          <w:i/>
        </w:rPr>
        <w:t xml:space="preserve">rar </w:t>
      </w:r>
      <w:r w:rsidRPr="00A67033">
        <w:rPr>
          <w:rFonts w:ascii="Palatino Linotype" w:eastAsia="Arial" w:hAnsi="Palatino Linotype" w:cs="Arial"/>
          <w:i/>
          <w:spacing w:val="1"/>
        </w:rPr>
        <w:t>do</w:t>
      </w:r>
      <w:r w:rsidRPr="00A67033">
        <w:rPr>
          <w:rFonts w:ascii="Palatino Linotype" w:eastAsia="Arial" w:hAnsi="Palatino Linotype" w:cs="Arial"/>
          <w:i/>
          <w:spacing w:val="-2"/>
        </w:rPr>
        <w:t>c</w:t>
      </w:r>
      <w:r w:rsidRPr="00A67033">
        <w:rPr>
          <w:rFonts w:ascii="Palatino Linotype" w:eastAsia="Arial" w:hAnsi="Palatino Linotype" w:cs="Arial"/>
          <w:i/>
          <w:spacing w:val="1"/>
        </w:rPr>
        <w:t>u</w:t>
      </w:r>
      <w:r w:rsidRPr="00A67033">
        <w:rPr>
          <w:rFonts w:ascii="Palatino Linotype" w:eastAsia="Arial" w:hAnsi="Palatino Linotype" w:cs="Arial"/>
          <w:i/>
          <w:spacing w:val="-1"/>
        </w:rPr>
        <w:t>m</w:t>
      </w:r>
      <w:r w:rsidRPr="00A67033">
        <w:rPr>
          <w:rFonts w:ascii="Palatino Linotype" w:eastAsia="Arial" w:hAnsi="Palatino Linotype" w:cs="Arial"/>
          <w:i/>
          <w:spacing w:val="1"/>
        </w:rPr>
        <w:t>en</w:t>
      </w:r>
      <w:r w:rsidRPr="00A67033">
        <w:rPr>
          <w:rFonts w:ascii="Palatino Linotype" w:eastAsia="Arial" w:hAnsi="Palatino Linotype" w:cs="Arial"/>
          <w:i/>
          <w:spacing w:val="-2"/>
        </w:rPr>
        <w:t>t</w:t>
      </w:r>
      <w:r w:rsidRPr="00A67033">
        <w:rPr>
          <w:rFonts w:ascii="Palatino Linotype" w:eastAsia="Arial" w:hAnsi="Palatino Linotype" w:cs="Arial"/>
          <w:i/>
          <w:spacing w:val="1"/>
        </w:rPr>
        <w:t>o</w:t>
      </w:r>
      <w:r w:rsidRPr="00A67033">
        <w:rPr>
          <w:rFonts w:ascii="Palatino Linotype" w:eastAsia="Arial" w:hAnsi="Palatino Linotype" w:cs="Arial"/>
          <w:i/>
        </w:rPr>
        <w:t xml:space="preserve">s </w:t>
      </w:r>
      <w:r w:rsidRPr="00A67033">
        <w:rPr>
          <w:rFonts w:ascii="Palatino Linotype" w:eastAsia="Arial" w:hAnsi="Palatino Linotype" w:cs="Arial"/>
          <w:i/>
          <w:spacing w:val="1"/>
        </w:rPr>
        <w:t>a</w:t>
      </w:r>
      <w:r w:rsidRPr="00A67033">
        <w:rPr>
          <w:rFonts w:ascii="Palatino Linotype" w:eastAsia="Arial" w:hAnsi="Palatino Linotype" w:cs="Arial"/>
          <w:i/>
        </w:rPr>
        <w:t>d</w:t>
      </w:r>
      <w:r w:rsidRPr="00A67033">
        <w:rPr>
          <w:rFonts w:ascii="Palatino Linotype" w:eastAsia="Arial" w:hAnsi="Palatino Linotype" w:cs="Arial"/>
          <w:i/>
          <w:spacing w:val="1"/>
        </w:rPr>
        <w:t xml:space="preserve"> ho</w:t>
      </w:r>
      <w:r w:rsidRPr="00A67033">
        <w:rPr>
          <w:rFonts w:ascii="Palatino Linotype" w:eastAsia="Arial" w:hAnsi="Palatino Linotype" w:cs="Arial"/>
          <w:i/>
        </w:rPr>
        <w:t xml:space="preserve">c </w:t>
      </w:r>
      <w:r w:rsidRPr="00A67033">
        <w:rPr>
          <w:rFonts w:ascii="Palatino Linotype" w:eastAsia="Arial" w:hAnsi="Palatino Linotype" w:cs="Arial"/>
          <w:i/>
          <w:spacing w:val="1"/>
        </w:rPr>
        <w:t>pa</w:t>
      </w:r>
      <w:r w:rsidRPr="00A67033">
        <w:rPr>
          <w:rFonts w:ascii="Palatino Linotype" w:eastAsia="Arial" w:hAnsi="Palatino Linotype" w:cs="Arial"/>
          <w:i/>
        </w:rPr>
        <w:t xml:space="preserve">ra </w:t>
      </w:r>
      <w:r w:rsidRPr="00A67033">
        <w:rPr>
          <w:rFonts w:ascii="Palatino Linotype" w:eastAsia="Arial" w:hAnsi="Palatino Linotype" w:cs="Arial"/>
          <w:i/>
          <w:spacing w:val="1"/>
        </w:rPr>
        <w:t>a</w:t>
      </w:r>
      <w:r w:rsidRPr="00A67033">
        <w:rPr>
          <w:rFonts w:ascii="Palatino Linotype" w:eastAsia="Arial" w:hAnsi="Palatino Linotype" w:cs="Arial"/>
          <w:i/>
        </w:rPr>
        <w:t>t</w:t>
      </w:r>
      <w:r w:rsidRPr="00A67033">
        <w:rPr>
          <w:rFonts w:ascii="Palatino Linotype" w:eastAsia="Arial" w:hAnsi="Palatino Linotype" w:cs="Arial"/>
          <w:i/>
          <w:spacing w:val="-1"/>
        </w:rPr>
        <w:t>e</w:t>
      </w:r>
      <w:r w:rsidRPr="00A67033">
        <w:rPr>
          <w:rFonts w:ascii="Palatino Linotype" w:eastAsia="Arial" w:hAnsi="Palatino Linotype" w:cs="Arial"/>
          <w:i/>
          <w:spacing w:val="1"/>
        </w:rPr>
        <w:t>n</w:t>
      </w:r>
      <w:r w:rsidRPr="00A67033">
        <w:rPr>
          <w:rFonts w:ascii="Palatino Linotype" w:eastAsia="Arial" w:hAnsi="Palatino Linotype" w:cs="Arial"/>
          <w:i/>
          <w:spacing w:val="-1"/>
        </w:rPr>
        <w:t>d</w:t>
      </w:r>
      <w:r w:rsidRPr="00A67033">
        <w:rPr>
          <w:rFonts w:ascii="Palatino Linotype" w:eastAsia="Arial" w:hAnsi="Palatino Linotype" w:cs="Arial"/>
          <w:i/>
          <w:spacing w:val="1"/>
        </w:rPr>
        <w:t>e</w:t>
      </w:r>
      <w:r w:rsidRPr="00A67033">
        <w:rPr>
          <w:rFonts w:ascii="Palatino Linotype" w:eastAsia="Arial" w:hAnsi="Palatino Linotype" w:cs="Arial"/>
          <w:i/>
        </w:rPr>
        <w:t>r l</w:t>
      </w:r>
      <w:r w:rsidRPr="00A67033">
        <w:rPr>
          <w:rFonts w:ascii="Palatino Linotype" w:eastAsia="Arial" w:hAnsi="Palatino Linotype" w:cs="Arial"/>
          <w:i/>
          <w:spacing w:val="-2"/>
        </w:rPr>
        <w:t>a</w:t>
      </w:r>
      <w:r w:rsidRPr="00A67033">
        <w:rPr>
          <w:rFonts w:ascii="Palatino Linotype" w:eastAsia="Arial" w:hAnsi="Palatino Linotype" w:cs="Arial"/>
          <w:i/>
        </w:rPr>
        <w:t>s s</w:t>
      </w:r>
      <w:r w:rsidRPr="00A67033">
        <w:rPr>
          <w:rFonts w:ascii="Palatino Linotype" w:eastAsia="Arial" w:hAnsi="Palatino Linotype" w:cs="Arial"/>
          <w:i/>
          <w:spacing w:val="1"/>
        </w:rPr>
        <w:t>o</w:t>
      </w:r>
      <w:r w:rsidRPr="00A67033">
        <w:rPr>
          <w:rFonts w:ascii="Palatino Linotype" w:eastAsia="Arial" w:hAnsi="Palatino Linotype" w:cs="Arial"/>
          <w:i/>
        </w:rPr>
        <w:t>l</w:t>
      </w:r>
      <w:r w:rsidRPr="00A67033">
        <w:rPr>
          <w:rFonts w:ascii="Palatino Linotype" w:eastAsia="Arial" w:hAnsi="Palatino Linotype" w:cs="Arial"/>
          <w:i/>
          <w:spacing w:val="-1"/>
        </w:rPr>
        <w:t>i</w:t>
      </w:r>
      <w:r w:rsidRPr="00A67033">
        <w:rPr>
          <w:rFonts w:ascii="Palatino Linotype" w:eastAsia="Arial" w:hAnsi="Palatino Linotype" w:cs="Arial"/>
          <w:i/>
        </w:rPr>
        <w:t>cit</w:t>
      </w:r>
      <w:r w:rsidRPr="00A67033">
        <w:rPr>
          <w:rFonts w:ascii="Palatino Linotype" w:eastAsia="Arial" w:hAnsi="Palatino Linotype" w:cs="Arial"/>
          <w:i/>
          <w:spacing w:val="1"/>
        </w:rPr>
        <w:t>ude</w:t>
      </w:r>
      <w:r w:rsidRPr="00A67033">
        <w:rPr>
          <w:rFonts w:ascii="Palatino Linotype" w:eastAsia="Arial" w:hAnsi="Palatino Linotype" w:cs="Arial"/>
          <w:i/>
        </w:rPr>
        <w:t xml:space="preserve">s </w:t>
      </w:r>
      <w:r w:rsidRPr="00A67033">
        <w:rPr>
          <w:rFonts w:ascii="Palatino Linotype" w:eastAsia="Arial" w:hAnsi="Palatino Linotype" w:cs="Arial"/>
          <w:i/>
          <w:spacing w:val="-1"/>
        </w:rPr>
        <w:t>d</w:t>
      </w:r>
      <w:r w:rsidRPr="00A67033">
        <w:rPr>
          <w:rFonts w:ascii="Palatino Linotype" w:eastAsia="Arial" w:hAnsi="Palatino Linotype" w:cs="Arial"/>
          <w:i/>
        </w:rPr>
        <w:t>e i</w:t>
      </w:r>
      <w:r w:rsidRPr="00A67033">
        <w:rPr>
          <w:rFonts w:ascii="Palatino Linotype" w:eastAsia="Arial" w:hAnsi="Palatino Linotype" w:cs="Arial"/>
          <w:i/>
          <w:spacing w:val="-2"/>
        </w:rPr>
        <w:t>n</w:t>
      </w:r>
      <w:r w:rsidRPr="00A67033">
        <w:rPr>
          <w:rFonts w:ascii="Palatino Linotype" w:eastAsia="Arial" w:hAnsi="Palatino Linotype" w:cs="Arial"/>
          <w:i/>
        </w:rPr>
        <w:t>f</w:t>
      </w:r>
      <w:r w:rsidRPr="00A67033">
        <w:rPr>
          <w:rFonts w:ascii="Palatino Linotype" w:eastAsia="Arial" w:hAnsi="Palatino Linotype" w:cs="Arial"/>
          <w:i/>
          <w:spacing w:val="1"/>
        </w:rPr>
        <w:t>o</w:t>
      </w:r>
      <w:r w:rsidRPr="00A67033">
        <w:rPr>
          <w:rFonts w:ascii="Palatino Linotype" w:eastAsia="Arial" w:hAnsi="Palatino Linotype" w:cs="Arial"/>
          <w:i/>
        </w:rPr>
        <w:t>r</w:t>
      </w:r>
      <w:r w:rsidRPr="00A67033">
        <w:rPr>
          <w:rFonts w:ascii="Palatino Linotype" w:eastAsia="Arial" w:hAnsi="Palatino Linotype" w:cs="Arial"/>
          <w:i/>
          <w:spacing w:val="-1"/>
        </w:rPr>
        <w:t>m</w:t>
      </w:r>
      <w:r w:rsidRPr="00A67033">
        <w:rPr>
          <w:rFonts w:ascii="Palatino Linotype" w:eastAsia="Arial" w:hAnsi="Palatino Linotype" w:cs="Arial"/>
          <w:i/>
          <w:spacing w:val="1"/>
        </w:rPr>
        <w:t>a</w:t>
      </w:r>
      <w:r w:rsidRPr="00A67033">
        <w:rPr>
          <w:rFonts w:ascii="Palatino Linotype" w:eastAsia="Arial" w:hAnsi="Palatino Linotype" w:cs="Arial"/>
          <w:i/>
        </w:rPr>
        <w:t>ció</w:t>
      </w:r>
      <w:r w:rsidRPr="00A67033">
        <w:rPr>
          <w:rFonts w:ascii="Palatino Linotype" w:eastAsia="Arial" w:hAnsi="Palatino Linotype" w:cs="Arial"/>
          <w:i/>
          <w:spacing w:val="1"/>
        </w:rPr>
        <w:t>n</w:t>
      </w:r>
      <w:r w:rsidRPr="00A67033">
        <w:rPr>
          <w:rFonts w:ascii="Palatino Linotype" w:eastAsia="Arial" w:hAnsi="Palatino Linotype" w:cs="Arial"/>
          <w:i/>
        </w:rPr>
        <w:t>.”</w:t>
      </w:r>
    </w:p>
    <w:p w:rsidR="00A17DDD" w:rsidRPr="00A67033" w:rsidRDefault="00A17DDD" w:rsidP="00A17DDD">
      <w:pPr>
        <w:spacing w:line="360" w:lineRule="auto"/>
        <w:jc w:val="both"/>
        <w:rPr>
          <w:rFonts w:ascii="Palatino Linotype" w:eastAsia="Calibri" w:hAnsi="Palatino Linotype" w:cs="Tahoma"/>
          <w:lang w:eastAsia="es-ES_tradnl"/>
        </w:rPr>
      </w:pPr>
    </w:p>
    <w:p w:rsidR="00A17DDD" w:rsidRPr="00A67033" w:rsidRDefault="00A17DDD" w:rsidP="00D56143">
      <w:pPr>
        <w:numPr>
          <w:ilvl w:val="0"/>
          <w:numId w:val="1"/>
        </w:numPr>
        <w:spacing w:line="360" w:lineRule="auto"/>
        <w:ind w:left="0" w:firstLine="0"/>
        <w:contextualSpacing/>
        <w:jc w:val="both"/>
        <w:rPr>
          <w:rFonts w:ascii="Palatino Linotype" w:hAnsi="Palatino Linotype" w:cs="Tahoma"/>
          <w:lang w:val="es-ES"/>
        </w:rPr>
      </w:pPr>
      <w:r w:rsidRPr="00A67033">
        <w:rPr>
          <w:rFonts w:ascii="Palatino Linotype" w:hAnsi="Palatino Linotype" w:cs="Tahoma"/>
          <w:lang w:val="es-ES"/>
        </w:rPr>
        <w:t xml:space="preserve">Por lo que, se concluye que los sujetos obligados únicamente proporcionan los </w:t>
      </w:r>
      <w:r w:rsidRPr="00A67033">
        <w:rPr>
          <w:rFonts w:ascii="Palatino Linotype" w:eastAsia="Calibri" w:hAnsi="Palatino Linotype" w:cs="Tahoma"/>
          <w:bCs/>
          <w:lang w:eastAsia="en-US"/>
        </w:rPr>
        <w:t>documentos</w:t>
      </w:r>
      <w:r w:rsidRPr="00A67033">
        <w:rPr>
          <w:rFonts w:ascii="Palatino Linotype" w:hAnsi="Palatino Linotype" w:cs="Tahoma"/>
          <w:lang w:val="es-ES"/>
        </w:rPr>
        <w:t xml:space="preserve"> que den cuenta de la información solicitada, como obren en sus archivos, sin tener que elaborarlos a las necesidades de</w:t>
      </w:r>
      <w:r w:rsidR="00F6651C" w:rsidRPr="00A67033">
        <w:rPr>
          <w:rFonts w:ascii="Palatino Linotype" w:hAnsi="Palatino Linotype" w:cs="Tahoma"/>
          <w:lang w:val="es-ES"/>
        </w:rPr>
        <w:t xml:space="preserve"> </w:t>
      </w:r>
      <w:r w:rsidRPr="00A67033">
        <w:rPr>
          <w:rFonts w:ascii="Palatino Linotype" w:hAnsi="Palatino Linotype" w:cs="Tahoma"/>
          <w:lang w:val="es-ES"/>
        </w:rPr>
        <w:t>l</w:t>
      </w:r>
      <w:r w:rsidR="00F6651C" w:rsidRPr="00A67033">
        <w:rPr>
          <w:rFonts w:ascii="Palatino Linotype" w:hAnsi="Palatino Linotype" w:cs="Tahoma"/>
          <w:lang w:val="es-ES"/>
        </w:rPr>
        <w:t>os</w:t>
      </w:r>
      <w:r w:rsidRPr="00A67033">
        <w:rPr>
          <w:rFonts w:ascii="Palatino Linotype" w:hAnsi="Palatino Linotype" w:cs="Tahoma"/>
          <w:lang w:val="es-ES"/>
        </w:rPr>
        <w:t xml:space="preserve"> </w:t>
      </w:r>
      <w:r w:rsidR="00F6651C" w:rsidRPr="00A67033">
        <w:rPr>
          <w:rFonts w:ascii="Palatino Linotype" w:hAnsi="Palatino Linotype" w:cs="Tahoma"/>
          <w:lang w:val="es-ES"/>
        </w:rPr>
        <w:t>r</w:t>
      </w:r>
      <w:r w:rsidRPr="00A67033">
        <w:rPr>
          <w:rFonts w:ascii="Palatino Linotype" w:hAnsi="Palatino Linotype" w:cs="Tahoma"/>
          <w:lang w:val="es-ES"/>
        </w:rPr>
        <w:t>ecurrente</w:t>
      </w:r>
      <w:r w:rsidR="00F6651C" w:rsidRPr="00A67033">
        <w:rPr>
          <w:rFonts w:ascii="Palatino Linotype" w:hAnsi="Palatino Linotype" w:cs="Tahoma"/>
          <w:lang w:val="es-ES"/>
        </w:rPr>
        <w:t>s</w:t>
      </w:r>
      <w:r w:rsidRPr="00A67033">
        <w:rPr>
          <w:rFonts w:ascii="Palatino Linotype" w:hAnsi="Palatino Linotype" w:cs="Tahoma"/>
          <w:lang w:val="es-ES"/>
        </w:rPr>
        <w:t>.</w:t>
      </w:r>
    </w:p>
    <w:p w:rsidR="008D4D83" w:rsidRPr="00A67033" w:rsidRDefault="008D4D83" w:rsidP="008D4D83">
      <w:pPr>
        <w:pStyle w:val="Prrafodelista"/>
        <w:rPr>
          <w:rFonts w:ascii="Palatino Linotype" w:hAnsi="Palatino Linotype" w:cs="Arial"/>
        </w:rPr>
      </w:pPr>
    </w:p>
    <w:p w:rsidR="00FA0D18" w:rsidRPr="00A67033" w:rsidRDefault="00A17DDD"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Retomando, para el caso de que se actualice la causal de clasificación,</w:t>
      </w:r>
      <w:r w:rsidR="00FA0D18" w:rsidRPr="00A67033">
        <w:rPr>
          <w:rFonts w:ascii="Palatino Linotype" w:hAnsi="Palatino Linotype" w:cs="Arial"/>
        </w:rPr>
        <w:t xml:space="preserve">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FA0D18" w:rsidRPr="00A67033" w:rsidRDefault="00FA0D18" w:rsidP="00FA0D18">
      <w:pPr>
        <w:jc w:val="both"/>
        <w:rPr>
          <w:rFonts w:ascii="Palatino Linotype" w:hAnsi="Palatino Linotype" w:cs="Arial"/>
        </w:rPr>
      </w:pP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i/>
        </w:rPr>
        <w:t>“</w:t>
      </w:r>
      <w:r w:rsidRPr="00A67033">
        <w:rPr>
          <w:rFonts w:ascii="Palatino Linotype" w:hAnsi="Palatino Linotype" w:cs="Arial"/>
          <w:b/>
          <w:i/>
        </w:rPr>
        <w:t>Artículo 122</w:t>
      </w:r>
      <w:r w:rsidRPr="00A67033">
        <w:rPr>
          <w:rFonts w:ascii="Palatino Linotype" w:hAnsi="Palatino Linotype" w:cs="Arial"/>
          <w:i/>
        </w:rPr>
        <w:t xml:space="preserve">. La clasificación es el proceso mediante el cual el sujeto obligado determina que la información en su poder </w:t>
      </w:r>
      <w:proofErr w:type="spellStart"/>
      <w:r w:rsidRPr="00A67033">
        <w:rPr>
          <w:rFonts w:ascii="Palatino Linotype" w:hAnsi="Palatino Linotype" w:cs="Arial"/>
          <w:i/>
        </w:rPr>
        <w:t>actualiza</w:t>
      </w:r>
      <w:proofErr w:type="spellEnd"/>
      <w:r w:rsidRPr="00A67033">
        <w:rPr>
          <w:rFonts w:ascii="Palatino Linotype" w:hAnsi="Palatino Linotype" w:cs="Arial"/>
          <w:i/>
        </w:rPr>
        <w:t xml:space="preserve"> alguno de los supuestos de reserva o confidencialidad, de conformidad con lo dispuesto en el presente título.</w:t>
      </w:r>
    </w:p>
    <w:p w:rsidR="00FA0D18" w:rsidRPr="00A67033" w:rsidRDefault="00FA0D18" w:rsidP="004B48BA">
      <w:pPr>
        <w:tabs>
          <w:tab w:val="left" w:pos="7797"/>
        </w:tabs>
        <w:spacing w:line="360" w:lineRule="auto"/>
        <w:ind w:left="709" w:right="760"/>
        <w:contextualSpacing/>
        <w:jc w:val="both"/>
        <w:rPr>
          <w:rFonts w:ascii="Palatino Linotype" w:hAnsi="Palatino Linotype" w:cs="Arial"/>
          <w:i/>
        </w:rPr>
      </w:pPr>
      <w:r w:rsidRPr="00A67033">
        <w:rPr>
          <w:rFonts w:ascii="Palatino Linotype" w:hAnsi="Palatino Linotype" w:cs="Arial"/>
          <w:i/>
        </w:rPr>
        <w:lastRenderedPageBreak/>
        <w:t>Los supuestos de reserva o confidencialidad previstos en las leyes deberán ser acordes con las bases, principios y disposiciones establecidos en la Ley General y, en ningún caso, podrán contravenirla.</w:t>
      </w:r>
    </w:p>
    <w:p w:rsidR="00FA0D18" w:rsidRPr="00A67033" w:rsidRDefault="00FA0D18" w:rsidP="004B48BA">
      <w:pPr>
        <w:tabs>
          <w:tab w:val="left" w:pos="7797"/>
        </w:tabs>
        <w:spacing w:line="360" w:lineRule="auto"/>
        <w:ind w:left="709" w:right="760"/>
        <w:contextualSpacing/>
        <w:jc w:val="both"/>
        <w:rPr>
          <w:rFonts w:ascii="Palatino Linotype" w:hAnsi="Palatino Linotype" w:cs="Arial"/>
          <w:i/>
        </w:rPr>
      </w:pPr>
      <w:r w:rsidRPr="00A67033">
        <w:rPr>
          <w:rFonts w:ascii="Palatino Linotype" w:hAnsi="Palatino Linotype" w:cs="Arial"/>
          <w:i/>
        </w:rPr>
        <w:t>Los titulares de las áreas de los sujetos obligados serán los responsables de clasificar la información, de conformidad con lo dispuesto en la presente Ley y demás disposiciones jurídicas aplicables.</w:t>
      </w:r>
    </w:p>
    <w:p w:rsidR="00FA0D18" w:rsidRPr="00A67033" w:rsidRDefault="00FA0D18" w:rsidP="004B48BA">
      <w:pPr>
        <w:spacing w:line="360" w:lineRule="auto"/>
        <w:ind w:left="709" w:right="760"/>
        <w:contextualSpacing/>
        <w:jc w:val="both"/>
        <w:rPr>
          <w:rFonts w:ascii="Palatino Linotype" w:hAnsi="Palatino Linotype" w:cs="Arial"/>
          <w:b/>
          <w:i/>
        </w:rPr>
      </w:pPr>
    </w:p>
    <w:p w:rsidR="00FA0D18" w:rsidRPr="00A67033" w:rsidRDefault="00FA0D18" w:rsidP="004B48BA">
      <w:pPr>
        <w:spacing w:line="360" w:lineRule="auto"/>
        <w:ind w:left="709" w:right="760"/>
        <w:contextualSpacing/>
        <w:jc w:val="both"/>
        <w:rPr>
          <w:rFonts w:ascii="Palatino Linotype" w:hAnsi="Palatino Linotype" w:cs="Arial"/>
          <w:b/>
          <w:i/>
        </w:rPr>
      </w:pPr>
      <w:r w:rsidRPr="00A67033">
        <w:rPr>
          <w:rFonts w:ascii="Palatino Linotype" w:hAnsi="Palatino Linotype" w:cs="Arial"/>
          <w:b/>
          <w:i/>
        </w:rPr>
        <w:t>Artículo 140. El acceso a la información pública será restringido excepcionalmente, cuando por razones de interés público, ésta sea clasificada como reservada, conforme a los criterios siguientes:</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I.</w:t>
      </w:r>
      <w:r w:rsidRPr="00A67033">
        <w:rPr>
          <w:rFonts w:ascii="Palatino Linotype" w:hAnsi="Palatino Linotype" w:cs="Arial"/>
          <w:i/>
        </w:rPr>
        <w:t xml:space="preserve"> Comprometa la seguridad pública y cuente con un propósito genuino y un efecto demostrable;</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II.</w:t>
      </w:r>
      <w:r w:rsidRPr="00A67033">
        <w:rPr>
          <w:rFonts w:ascii="Palatino Linotype" w:hAnsi="Palatino Linotype" w:cs="Arial"/>
          <w:i/>
        </w:rPr>
        <w:t xml:space="preserve"> Pueda menoscabar la conducción de las negociaciones y relaciones internacionales;</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III.</w:t>
      </w:r>
      <w:r w:rsidRPr="00A67033">
        <w:rPr>
          <w:rFonts w:ascii="Palatino Linotype" w:hAnsi="Palatino Linotype" w:cs="Arial"/>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IV.</w:t>
      </w:r>
      <w:r w:rsidRPr="00A67033">
        <w:rPr>
          <w:rFonts w:ascii="Palatino Linotype" w:hAnsi="Palatino Linotype" w:cs="Arial"/>
          <w:i/>
        </w:rPr>
        <w:t xml:space="preserve"> Ponga en riesgo la vida, la seguridad o la salud de una persona física;</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V.</w:t>
      </w:r>
      <w:r w:rsidRPr="00A67033">
        <w:rPr>
          <w:rFonts w:ascii="Palatino Linotype" w:hAnsi="Palatino Linotype" w:cs="Arial"/>
          <w:i/>
        </w:rPr>
        <w:t xml:space="preserve"> Aquella cuya divulgación obstruya o pueda causar un serio perjuicio a:</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1.</w:t>
      </w:r>
      <w:r w:rsidRPr="00A67033">
        <w:rPr>
          <w:rFonts w:ascii="Palatino Linotype" w:hAnsi="Palatino Linotype" w:cs="Arial"/>
          <w:i/>
        </w:rPr>
        <w:t xml:space="preserve"> Las actividades de fiscalización, verificación, inspección, comprobación y auditoría sobre el cumplimiento de las Leyes; o</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2.</w:t>
      </w:r>
      <w:r w:rsidRPr="00A67033">
        <w:rPr>
          <w:rFonts w:ascii="Palatino Linotype" w:hAnsi="Palatino Linotype" w:cs="Arial"/>
          <w:i/>
        </w:rPr>
        <w:t xml:space="preserve"> La recaudación de las contribuciones.</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lastRenderedPageBreak/>
        <w:t>VI.</w:t>
      </w:r>
      <w:r w:rsidRPr="00A67033">
        <w:rPr>
          <w:rFonts w:ascii="Palatino Linotype" w:hAnsi="Palatino Linotype" w:cs="Arial"/>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VII.</w:t>
      </w:r>
      <w:r w:rsidRPr="00A67033">
        <w:rPr>
          <w:rFonts w:ascii="Palatino Linotype" w:hAnsi="Palatino Linotype" w:cs="Arial"/>
          <w:i/>
        </w:rPr>
        <w:t xml:space="preserve"> La que contengan las opiniones, recomendaciones o puntos de vista que formen parte del proceso deliberativo de los servidores públicos, hasta en tanto sea adoptada la decisión definitiva, la cual deberá estar documentada;</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VIII.</w:t>
      </w:r>
      <w:r w:rsidRPr="00A67033">
        <w:rPr>
          <w:rFonts w:ascii="Palatino Linotype" w:hAnsi="Palatino Linotype" w:cs="Arial"/>
          <w:i/>
        </w:rPr>
        <w:t xml:space="preserve"> Vulnere la conducción de los expedientes judiciales o de los procedimientos administrativos seguidos en forma de juicio, en tanto no hayan quedado firmes;</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IX.</w:t>
      </w:r>
      <w:r w:rsidRPr="00A67033">
        <w:rPr>
          <w:rFonts w:ascii="Palatino Linotype" w:hAnsi="Palatino Linotype" w:cs="Arial"/>
          <w:i/>
        </w:rPr>
        <w:t xml:space="preserve"> Se encuentre contenida dentro de las investigaciones de hechos que la Ley señale como delitos y se tramiten ante el Ministerio Público;</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b/>
          <w:i/>
        </w:rPr>
        <w:t>X.</w:t>
      </w:r>
      <w:r w:rsidRPr="00A67033">
        <w:rPr>
          <w:rFonts w:ascii="Palatino Linotype" w:hAnsi="Palatino Linotype" w:cs="Arial"/>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FA0D18" w:rsidRPr="00A67033" w:rsidRDefault="00FA0D18" w:rsidP="004B48BA">
      <w:pPr>
        <w:spacing w:line="360" w:lineRule="auto"/>
        <w:ind w:left="709" w:right="760"/>
        <w:contextualSpacing/>
        <w:jc w:val="both"/>
        <w:rPr>
          <w:rFonts w:ascii="Palatino Linotype" w:hAnsi="Palatino Linotype" w:cs="Arial"/>
          <w:i/>
        </w:rPr>
      </w:pPr>
      <w:r w:rsidRPr="00A67033">
        <w:rPr>
          <w:rFonts w:ascii="Palatino Linotype" w:hAnsi="Palatino Linotype" w:cs="Arial"/>
          <w:i/>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FA0D18" w:rsidRPr="00A67033" w:rsidRDefault="00FA0D18" w:rsidP="004B48BA">
      <w:pPr>
        <w:spacing w:line="360" w:lineRule="auto"/>
        <w:ind w:left="709" w:right="760"/>
        <w:contextualSpacing/>
        <w:jc w:val="both"/>
        <w:rPr>
          <w:rFonts w:ascii="Palatino Linotype" w:hAnsi="Palatino Linotype" w:cs="Arial"/>
          <w:i/>
        </w:rPr>
      </w:pPr>
    </w:p>
    <w:p w:rsidR="00FA0D18" w:rsidRPr="00A67033" w:rsidRDefault="00FA0D18" w:rsidP="004B48BA">
      <w:pPr>
        <w:spacing w:line="360" w:lineRule="auto"/>
        <w:ind w:left="709" w:right="760"/>
        <w:contextualSpacing/>
        <w:jc w:val="both"/>
        <w:rPr>
          <w:rFonts w:ascii="Palatino Linotype" w:hAnsi="Palatino Linotype" w:cs="Arial"/>
          <w:b/>
          <w:i/>
          <w:sz w:val="22"/>
        </w:rPr>
      </w:pPr>
      <w:r w:rsidRPr="00A67033">
        <w:rPr>
          <w:rFonts w:ascii="Palatino Linotype" w:hAnsi="Palatino Linotype" w:cs="Arial"/>
          <w:b/>
          <w:i/>
        </w:rPr>
        <w:t>Artículo 141</w:t>
      </w:r>
      <w:r w:rsidRPr="00A67033">
        <w:rPr>
          <w:rFonts w:ascii="Palatino Linotype" w:hAnsi="Palatino Linotype" w:cs="Arial"/>
          <w:i/>
        </w:rPr>
        <w:t xml:space="preserve">. </w:t>
      </w:r>
      <w:r w:rsidRPr="00A67033">
        <w:rPr>
          <w:rFonts w:ascii="Palatino Linotype" w:hAnsi="Palatino Linotype" w:cs="Arial"/>
          <w:b/>
          <w:i/>
        </w:rPr>
        <w:t>Las causales de reserva previstas en este Capítulo se deberán fundar y motivar, a través de la aplicación de la prueba de daño a la que se hace referencia en el presente Título.”</w:t>
      </w:r>
    </w:p>
    <w:p w:rsidR="004B48BA" w:rsidRPr="00A67033" w:rsidRDefault="004B48BA" w:rsidP="004B48BA">
      <w:pPr>
        <w:spacing w:line="360" w:lineRule="auto"/>
        <w:ind w:left="709" w:right="760"/>
        <w:contextualSpacing/>
        <w:jc w:val="both"/>
        <w:rPr>
          <w:rFonts w:ascii="Palatino Linotype" w:hAnsi="Palatino Linotype" w:cs="Arial"/>
          <w:sz w:val="22"/>
        </w:rPr>
      </w:pPr>
      <w:r w:rsidRPr="00A67033">
        <w:rPr>
          <w:rFonts w:ascii="Palatino Linotype" w:hAnsi="Palatino Linotype" w:cs="Arial"/>
          <w:sz w:val="22"/>
        </w:rPr>
        <w:t>Énfasis añadido</w:t>
      </w:r>
    </w:p>
    <w:p w:rsidR="00FA0D18" w:rsidRPr="00A67033" w:rsidRDefault="00FA0D18" w:rsidP="00FA0D18">
      <w:pPr>
        <w:contextualSpacing/>
        <w:jc w:val="both"/>
        <w:rPr>
          <w:rFonts w:ascii="Palatino Linotype" w:hAnsi="Palatino Linotype" w:cs="Arial"/>
          <w:b/>
          <w:i/>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Ahora bien, el reservar la información, implica el reconocimiento por parte del </w:t>
      </w:r>
      <w:r w:rsidRPr="00A67033">
        <w:rPr>
          <w:rFonts w:ascii="Palatino Linotype" w:hAnsi="Palatino Linotype" w:cs="Arial"/>
          <w:b/>
        </w:rPr>
        <w:t>SUJETO OBLIGADO</w:t>
      </w:r>
      <w:r w:rsidRPr="00A67033">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Siendo pertinente aclarar que, la información clasificada bajo la premisa de reservada, no pierde el carácter de pública, sino que se reserva temporalmente del conocimiento público; es decir, </w:t>
      </w:r>
      <w:proofErr w:type="gramStart"/>
      <w:r w:rsidRPr="00A67033">
        <w:rPr>
          <w:rFonts w:ascii="Palatino Linotype" w:hAnsi="Palatino Linotype"/>
        </w:rPr>
        <w:t>que</w:t>
      </w:r>
      <w:proofErr w:type="gramEnd"/>
      <w:r w:rsidRPr="00A67033">
        <w:rPr>
          <w:rFonts w:ascii="Palatino Linotype" w:hAnsi="Palatino Linotype"/>
        </w:rPr>
        <w:t xml:space="preserve"> por un tiempo determinado, se conservará y custodiará la información de manera especial, y una vez transcurrido el plazo de reserva, el documento podrá divulgarse.</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bCs/>
        </w:rPr>
      </w:pPr>
      <w:r w:rsidRPr="00A67033">
        <w:rPr>
          <w:rFonts w:ascii="Palatino Linotype" w:hAnsi="Palatino Linotype"/>
          <w:bCs/>
        </w:rPr>
        <w:t xml:space="preserve">Por todo lo anterior, la reserva de la información implica una clasificación, la cual debe entenderse como el proceso mediante el cual </w:t>
      </w:r>
      <w:r w:rsidRPr="00A67033">
        <w:rPr>
          <w:rFonts w:ascii="Palatino Linotype" w:hAnsi="Palatino Linotype"/>
          <w:b/>
          <w:bCs/>
        </w:rPr>
        <w:t>EL SUJETO OBLIGADO</w:t>
      </w:r>
      <w:r w:rsidRPr="00A67033">
        <w:rPr>
          <w:rFonts w:ascii="Palatino Linotype" w:hAnsi="Palatino Linotype"/>
          <w:bCs/>
        </w:rPr>
        <w:t xml:space="preserve"> determina que la información en su poder actualizar alguno de los supuestos conforme a las normas aplicables.</w:t>
      </w: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lastRenderedPageBreak/>
        <w:t xml:space="preserve">En tal virtud, conforme al artículo 49, fracción VIII, de la </w:t>
      </w:r>
      <w:r w:rsidRPr="00A67033">
        <w:rPr>
          <w:rFonts w:ascii="Palatino Linotype" w:hAnsi="Palatino Linotype" w:cs="Arial"/>
        </w:rPr>
        <w:t>Ley de Transparencia y Acceso a la Información Pública del Estado de México y Municipios</w:t>
      </w:r>
      <w:r w:rsidRPr="00A67033">
        <w:rPr>
          <w:rFonts w:ascii="Palatino Linotype" w:hAnsi="Palatino Linotype"/>
        </w:rPr>
        <w:t xml:space="preserve">, los Comités de </w:t>
      </w:r>
      <w:r w:rsidRPr="00A67033">
        <w:rPr>
          <w:rFonts w:ascii="Palatino Linotype" w:hAnsi="Palatino Linotype"/>
          <w:bCs/>
        </w:rPr>
        <w:t>Transparencia</w:t>
      </w:r>
      <w:r w:rsidRPr="00A67033">
        <w:rPr>
          <w:rFonts w:ascii="Palatino Linotype" w:hAnsi="Palatino Linotype"/>
        </w:rPr>
        <w:t xml:space="preserve">,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A67033">
        <w:rPr>
          <w:rFonts w:ascii="Palatino Linotype" w:hAnsi="Palatino Linotype"/>
          <w:b/>
        </w:rPr>
        <w:t>SUJETO OBLIGADO</w:t>
      </w:r>
      <w:r w:rsidRPr="00A67033">
        <w:rPr>
          <w:rFonts w:ascii="Palatino Linotype" w:hAnsi="Palatino Linotype"/>
        </w:rPr>
        <w:t xml:space="preserve"> a concluir que el caso particular se ajusta al supuesto previsto por la norma legal invocada como fundamento; siendo que, además, </w:t>
      </w:r>
      <w:r w:rsidRPr="00A67033">
        <w:rPr>
          <w:rFonts w:ascii="Palatino Linotype" w:hAnsi="Palatino Linotype"/>
          <w:b/>
        </w:rPr>
        <w:t>EL SUJETO OBLIGADO</w:t>
      </w:r>
      <w:r w:rsidRPr="00A67033">
        <w:rPr>
          <w:rFonts w:ascii="Palatino Linotype" w:hAnsi="Palatino Linotype"/>
        </w:rPr>
        <w:t xml:space="preserve"> debe, en todo momento, aplicar una prueba de daño.</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w:t>
      </w:r>
      <w:r w:rsidRPr="00A67033">
        <w:rPr>
          <w:rFonts w:ascii="Palatino Linotype" w:hAnsi="Palatino Linotype"/>
        </w:rPr>
        <w:lastRenderedPageBreak/>
        <w:t>información y sólo podrán invocarlas cuando acrediten su procedencia, debiendo clasificar la información en el momento en que:</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9"/>
        </w:numPr>
        <w:spacing w:line="360" w:lineRule="auto"/>
        <w:ind w:left="1429"/>
        <w:jc w:val="both"/>
        <w:rPr>
          <w:rFonts w:ascii="Palatino Linotype" w:hAnsi="Palatino Linotype"/>
        </w:rPr>
      </w:pPr>
      <w:r w:rsidRPr="00A67033">
        <w:rPr>
          <w:rFonts w:ascii="Palatino Linotype" w:hAnsi="Palatino Linotype"/>
        </w:rPr>
        <w:t>Se reciba una solicitud de acceso a la información.</w:t>
      </w:r>
    </w:p>
    <w:p w:rsidR="00FA0D18" w:rsidRPr="00A67033" w:rsidRDefault="00FA0D18" w:rsidP="00D56143">
      <w:pPr>
        <w:numPr>
          <w:ilvl w:val="0"/>
          <w:numId w:val="9"/>
        </w:numPr>
        <w:spacing w:line="360" w:lineRule="auto"/>
        <w:ind w:left="1429"/>
        <w:jc w:val="both"/>
        <w:rPr>
          <w:rFonts w:ascii="Palatino Linotype" w:hAnsi="Palatino Linotype"/>
        </w:rPr>
      </w:pPr>
      <w:r w:rsidRPr="00A67033">
        <w:rPr>
          <w:rFonts w:ascii="Palatino Linotype" w:hAnsi="Palatino Linotype"/>
        </w:rPr>
        <w:t>Se determine mediante resolución de autoridad competente.</w:t>
      </w:r>
    </w:p>
    <w:p w:rsidR="00FA0D18" w:rsidRPr="00A67033" w:rsidRDefault="00FA0D18" w:rsidP="00D56143">
      <w:pPr>
        <w:numPr>
          <w:ilvl w:val="0"/>
          <w:numId w:val="9"/>
        </w:numPr>
        <w:spacing w:line="360" w:lineRule="auto"/>
        <w:ind w:left="1429"/>
        <w:jc w:val="both"/>
        <w:rPr>
          <w:rFonts w:ascii="Palatino Linotype" w:hAnsi="Palatino Linotype"/>
        </w:rPr>
      </w:pPr>
      <w:r w:rsidRPr="00A67033">
        <w:rPr>
          <w:rFonts w:ascii="Palatino Linotype" w:hAnsi="Palatino Linotype"/>
        </w:rPr>
        <w:t>Se generen versiones públicas para dar cumplimiento a las obligaciones de transparencia previstas en la Ley.</w:t>
      </w:r>
    </w:p>
    <w:p w:rsidR="00FA0D18" w:rsidRPr="00A67033" w:rsidRDefault="00FA0D18" w:rsidP="00FA0D18">
      <w:pPr>
        <w:spacing w:line="360" w:lineRule="auto"/>
        <w:ind w:left="1429"/>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0"/>
        </w:numPr>
        <w:spacing w:line="360" w:lineRule="auto"/>
        <w:ind w:left="1429"/>
        <w:jc w:val="both"/>
        <w:rPr>
          <w:rFonts w:ascii="Palatino Linotype" w:hAnsi="Palatino Linotype"/>
        </w:rPr>
      </w:pPr>
      <w:r w:rsidRPr="00A67033">
        <w:rPr>
          <w:rFonts w:ascii="Palatino Linotype" w:hAnsi="Palatino Linotype"/>
        </w:rPr>
        <w:t>La divulgación de la información representa un riesgo real, demostrable e identificable del perjuicio significativo al interés público o a la seguridad pública;</w:t>
      </w:r>
    </w:p>
    <w:p w:rsidR="00FA0D18" w:rsidRPr="00A67033" w:rsidRDefault="00FA0D18" w:rsidP="00D56143">
      <w:pPr>
        <w:numPr>
          <w:ilvl w:val="0"/>
          <w:numId w:val="10"/>
        </w:numPr>
        <w:spacing w:line="360" w:lineRule="auto"/>
        <w:ind w:left="1429"/>
        <w:jc w:val="both"/>
        <w:rPr>
          <w:rFonts w:ascii="Palatino Linotype" w:hAnsi="Palatino Linotype"/>
        </w:rPr>
      </w:pPr>
      <w:r w:rsidRPr="00A67033">
        <w:rPr>
          <w:rFonts w:ascii="Palatino Linotype" w:hAnsi="Palatino Linotype"/>
        </w:rPr>
        <w:t>El riesgo de perjuicio que supondría la divulgación supera el interés público general de que se difunda; y</w:t>
      </w:r>
    </w:p>
    <w:p w:rsidR="00FA0D18" w:rsidRPr="00A67033" w:rsidRDefault="00FA0D18" w:rsidP="00D56143">
      <w:pPr>
        <w:numPr>
          <w:ilvl w:val="0"/>
          <w:numId w:val="10"/>
        </w:numPr>
        <w:spacing w:line="360" w:lineRule="auto"/>
        <w:ind w:left="1429"/>
        <w:jc w:val="both"/>
        <w:rPr>
          <w:rFonts w:ascii="Palatino Linotype" w:hAnsi="Palatino Linotype"/>
        </w:rPr>
      </w:pPr>
      <w:r w:rsidRPr="00A67033">
        <w:rPr>
          <w:rFonts w:ascii="Palatino Linotype" w:hAnsi="Palatino Linotype"/>
        </w:rPr>
        <w:lastRenderedPageBreak/>
        <w:t xml:space="preserve">La limitación se adecua al principio de proporcionalidad y representa el medio menos restrictivo disponible para evitar el perjuicio. </w:t>
      </w:r>
    </w:p>
    <w:p w:rsidR="00FA0D18" w:rsidRPr="00A67033" w:rsidRDefault="00FA0D18" w:rsidP="00FA0D18">
      <w:pPr>
        <w:spacing w:line="360" w:lineRule="auto"/>
        <w:ind w:left="1429"/>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eastAsia="Calibri" w:hAnsi="Palatino Linotype" w:cs="Arial"/>
        </w:rPr>
      </w:pPr>
      <w:r w:rsidRPr="00A67033">
        <w:rPr>
          <w:rFonts w:ascii="Palatino Linotype" w:eastAsia="Calibri" w:hAnsi="Palatino Linotype" w:cs="Arial"/>
        </w:rPr>
        <w:t xml:space="preserve">De tal manera, las limitaciones al acceso a la información deben sustentarse en una </w:t>
      </w:r>
      <w:r w:rsidRPr="00A67033">
        <w:rPr>
          <w:rFonts w:ascii="Palatino Linotype" w:hAnsi="Palatino Linotype"/>
        </w:rPr>
        <w:t>adecuada</w:t>
      </w:r>
      <w:r w:rsidRPr="00A67033">
        <w:rPr>
          <w:rFonts w:ascii="Palatino Linotype" w:eastAsia="Calibri" w:hAnsi="Palatino Linotype" w:cs="Arial"/>
        </w:rPr>
        <w:t xml:space="preserve"> clasificación que debe distinguir y tomar en cuenta qué información puede generar un daño desproporcionado o innecesario a valores jurídicamente protegidos.</w:t>
      </w:r>
    </w:p>
    <w:p w:rsidR="00FA0D18" w:rsidRPr="00A67033" w:rsidRDefault="00FA0D18" w:rsidP="00FA0D18">
      <w:pPr>
        <w:spacing w:line="360" w:lineRule="auto"/>
        <w:jc w:val="both"/>
        <w:rPr>
          <w:rFonts w:ascii="Palatino Linotype" w:eastAsia="Calibri"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eastAsia="Calibri" w:hAnsi="Palatino Linotype" w:cs="Arial"/>
        </w:rPr>
      </w:pPr>
      <w:r w:rsidRPr="00A67033">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A67033">
        <w:rPr>
          <w:rFonts w:ascii="Palatino Linotype" w:eastAsia="Arial Unicode MS" w:hAnsi="Palatino Linotype" w:cs="Arial"/>
          <w:color w:val="000000"/>
        </w:rPr>
        <w:t>,</w:t>
      </w:r>
      <w:r w:rsidRPr="00A67033">
        <w:rPr>
          <w:rFonts w:ascii="Palatino Linotype" w:eastAsia="Calibri" w:hAnsi="Palatino Linotype" w:cs="Arial"/>
          <w:bCs/>
          <w:color w:val="000000"/>
        </w:rPr>
        <w:t xml:space="preserve"> que literalmente señala:</w:t>
      </w:r>
    </w:p>
    <w:p w:rsidR="00FA0D18" w:rsidRPr="00A67033" w:rsidRDefault="00FA0D18" w:rsidP="00FA0D18">
      <w:pPr>
        <w:jc w:val="both"/>
        <w:rPr>
          <w:rFonts w:ascii="Palatino Linotype" w:eastAsia="Calibri" w:hAnsi="Palatino Linotype" w:cs="Arial"/>
        </w:rPr>
      </w:pPr>
    </w:p>
    <w:p w:rsidR="00FA0D18" w:rsidRPr="00A67033" w:rsidRDefault="00FA0D18" w:rsidP="004B48BA">
      <w:pPr>
        <w:spacing w:line="360" w:lineRule="auto"/>
        <w:ind w:left="567" w:right="616"/>
        <w:jc w:val="both"/>
        <w:rPr>
          <w:rFonts w:ascii="Palatino Linotype" w:eastAsia="Calibri" w:hAnsi="Palatino Linotype"/>
          <w:i/>
          <w:szCs w:val="22"/>
        </w:rPr>
      </w:pPr>
      <w:r w:rsidRPr="00A67033">
        <w:rPr>
          <w:rFonts w:ascii="Palatino Linotype" w:eastAsia="Calibri" w:hAnsi="Palatino Linotype"/>
          <w:i/>
          <w:szCs w:val="22"/>
        </w:rPr>
        <w:t>“</w:t>
      </w:r>
      <w:r w:rsidRPr="00A67033">
        <w:rPr>
          <w:rFonts w:ascii="Palatino Linotype" w:eastAsia="Calibri" w:hAnsi="Palatino Linotype"/>
          <w:b/>
          <w:i/>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67033">
        <w:rPr>
          <w:rFonts w:ascii="Palatino Linotype" w:eastAsia="Calibri" w:hAnsi="Palatino Linotype"/>
          <w:i/>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w:t>
      </w:r>
      <w:r w:rsidRPr="00A67033">
        <w:rPr>
          <w:rFonts w:ascii="Palatino Linotype" w:eastAsia="Calibri" w:hAnsi="Palatino Linotype"/>
          <w:i/>
          <w:szCs w:val="22"/>
        </w:rPr>
        <w:lastRenderedPageBreak/>
        <w:t xml:space="preserve">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A67033">
        <w:rPr>
          <w:rFonts w:ascii="Palatino Linotype" w:eastAsia="Calibri" w:hAnsi="Palatino Linotype"/>
          <w:i/>
          <w:szCs w:val="22"/>
        </w:rPr>
        <w:t>officio</w:t>
      </w:r>
      <w:proofErr w:type="spellEnd"/>
      <w:r w:rsidRPr="00A67033">
        <w:rPr>
          <w:rFonts w:ascii="Palatino Linotype" w:eastAsia="Calibri" w:hAnsi="Palatino Linotype"/>
          <w:i/>
          <w:szCs w:val="22"/>
        </w:rPr>
        <w:t xml:space="preserve">, con el propósito de obtener una versión que sea pública </w:t>
      </w:r>
      <w:r w:rsidR="004B48BA" w:rsidRPr="00A67033">
        <w:rPr>
          <w:rFonts w:ascii="Palatino Linotype" w:eastAsia="Calibri" w:hAnsi="Palatino Linotype"/>
          <w:i/>
          <w:szCs w:val="22"/>
        </w:rPr>
        <w:t>para la parte interesada.”</w:t>
      </w:r>
    </w:p>
    <w:p w:rsidR="00FA0D18" w:rsidRPr="00A67033" w:rsidRDefault="00FA0D18" w:rsidP="00FA0D18">
      <w:pPr>
        <w:ind w:left="851" w:right="899"/>
        <w:jc w:val="both"/>
        <w:rPr>
          <w:rFonts w:ascii="Palatino Linotype" w:eastAsia="Calibri" w:hAnsi="Palatino Linotype" w:cs="Arial"/>
          <w:i/>
          <w:sz w:val="22"/>
          <w:szCs w:val="22"/>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Prueba de daño, que cobra relevancia puesto que sí ésta no arroja resultados contundentes </w:t>
      </w:r>
      <w:r w:rsidRPr="00A67033">
        <w:rPr>
          <w:rFonts w:ascii="Palatino Linotype" w:eastAsia="Calibri" w:hAnsi="Palatino Linotype" w:cs="Arial"/>
        </w:rPr>
        <w:t>sobre</w:t>
      </w:r>
      <w:r w:rsidRPr="00A67033">
        <w:rPr>
          <w:rFonts w:ascii="Palatino Linotype" w:hAnsi="Palatino Linotype"/>
        </w:rPr>
        <w:t xml:space="preserve"> un posible peligro, deberá de publicarse la información.</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De este modo, es necesario que </w:t>
      </w:r>
      <w:r w:rsidRPr="00A67033">
        <w:rPr>
          <w:rFonts w:ascii="Palatino Linotype" w:hAnsi="Palatino Linotype"/>
          <w:b/>
        </w:rPr>
        <w:t>EL SUJETO OBLIGADO</w:t>
      </w:r>
      <w:r w:rsidRPr="00A67033">
        <w:rPr>
          <w:rFonts w:ascii="Palatino Linotype" w:hAnsi="Palatino Linotype"/>
        </w:rPr>
        <w:t xml:space="preserve"> al aplicar la prueba de daño, distinga entre los supuestos por los cuales puede invocar la reserva de la </w:t>
      </w:r>
      <w:r w:rsidRPr="00A67033">
        <w:rPr>
          <w:rFonts w:ascii="Palatino Linotype" w:hAnsi="Palatino Linotype"/>
        </w:rPr>
        <w:lastRenderedPageBreak/>
        <w:t>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FA0D18" w:rsidRPr="00A67033" w:rsidRDefault="00FA0D18" w:rsidP="00FA0D18">
      <w:pPr>
        <w:spacing w:line="360" w:lineRule="auto"/>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lastRenderedPageBreak/>
        <w:t xml:space="preserve">Por tanto, la fundamentación y motivación consiste en la obligación que tiene todo ente público de </w:t>
      </w:r>
      <w:r w:rsidRPr="00A67033">
        <w:rPr>
          <w:rFonts w:ascii="Palatino Linotype" w:hAnsi="Palatino Linotype"/>
        </w:rPr>
        <w:t>expresar</w:t>
      </w:r>
      <w:r w:rsidRPr="00A67033">
        <w:rPr>
          <w:rFonts w:ascii="Palatino Linotype" w:hAnsi="Palatino Linotype" w:cs="Arial"/>
        </w:rPr>
        <w:t xml:space="preserve"> los preceptos jurídicos aplicables al asunto motivo del acto y las razones o argumentos de su actuar.</w:t>
      </w:r>
    </w:p>
    <w:p w:rsidR="00FA0D18" w:rsidRPr="00A67033" w:rsidRDefault="00FA0D18" w:rsidP="00FA0D18">
      <w:pPr>
        <w:spacing w:line="360" w:lineRule="auto"/>
        <w:jc w:val="both"/>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Al respecto, el máximo tribunal del país ha establecido jurisprudencia respecto a qué debe entenderse por fundamentación y motivación, en los siguientes términos:</w:t>
      </w:r>
    </w:p>
    <w:p w:rsidR="00FA0D18" w:rsidRPr="00A67033" w:rsidRDefault="00FA0D18" w:rsidP="00FA0D18">
      <w:pPr>
        <w:jc w:val="both"/>
        <w:rPr>
          <w:rFonts w:ascii="Palatino Linotype" w:hAnsi="Palatino Linotype" w:cs="Arial"/>
        </w:rPr>
      </w:pPr>
    </w:p>
    <w:p w:rsidR="00FA0D18" w:rsidRPr="00A67033" w:rsidRDefault="00FA0D18" w:rsidP="004B48BA">
      <w:pPr>
        <w:spacing w:line="360" w:lineRule="auto"/>
        <w:ind w:left="709" w:right="760"/>
        <w:contextualSpacing/>
        <w:jc w:val="both"/>
        <w:rPr>
          <w:rFonts w:ascii="Palatino Linotype" w:hAnsi="Palatino Linotype" w:cs="Arial"/>
          <w:i/>
          <w:sz w:val="22"/>
        </w:rPr>
      </w:pPr>
      <w:r w:rsidRPr="00A67033">
        <w:rPr>
          <w:rFonts w:ascii="Palatino Linotype" w:hAnsi="Palatino Linotype" w:cs="Arial"/>
          <w:i/>
          <w:sz w:val="22"/>
        </w:rPr>
        <w:t>“</w:t>
      </w:r>
      <w:r w:rsidRPr="00A67033">
        <w:rPr>
          <w:rFonts w:ascii="Palatino Linotype" w:hAnsi="Palatino Linotype" w:cs="Arial"/>
          <w:b/>
          <w:i/>
          <w:sz w:val="22"/>
        </w:rPr>
        <w:t xml:space="preserve">FUNDAMENTACION Y MOTIVACION. </w:t>
      </w:r>
      <w:r w:rsidRPr="00A67033">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roofErr w:type="gramStart"/>
      <w:r w:rsidRPr="00A67033">
        <w:rPr>
          <w:rFonts w:ascii="Palatino Linotype" w:hAnsi="Palatino Linotype" w:cs="Arial"/>
          <w:i/>
          <w:sz w:val="22"/>
        </w:rPr>
        <w:t>.”(</w:t>
      </w:r>
      <w:proofErr w:type="gramEnd"/>
      <w:r w:rsidRPr="00A67033">
        <w:rPr>
          <w:rFonts w:ascii="Palatino Linotype" w:hAnsi="Palatino Linotype" w:cs="Arial"/>
          <w:i/>
          <w:sz w:val="22"/>
        </w:rPr>
        <w:t>Sic)</w:t>
      </w:r>
    </w:p>
    <w:p w:rsidR="00FA0D18" w:rsidRPr="00A67033" w:rsidRDefault="00FA0D18" w:rsidP="00FA0D18">
      <w:pPr>
        <w:contextualSpacing/>
        <w:jc w:val="both"/>
        <w:rPr>
          <w:rFonts w:ascii="Palatino Linotype" w:hAnsi="Palatino Linotype" w:cs="Arial"/>
          <w:i/>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A0D18" w:rsidRPr="00A67033" w:rsidRDefault="00FA0D18" w:rsidP="00FA0D18">
      <w:pPr>
        <w:spacing w:line="360" w:lineRule="auto"/>
        <w:jc w:val="both"/>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A0D18" w:rsidRPr="00A67033" w:rsidRDefault="00FA0D18" w:rsidP="00FA0D18">
      <w:pPr>
        <w:jc w:val="both"/>
        <w:rPr>
          <w:rFonts w:ascii="Palatino Linotype" w:hAnsi="Palatino Linotype" w:cs="Arial"/>
        </w:rPr>
      </w:pPr>
    </w:p>
    <w:p w:rsidR="00FA0D18" w:rsidRPr="00A67033" w:rsidRDefault="00FA0D18" w:rsidP="004B48BA">
      <w:pPr>
        <w:spacing w:line="360" w:lineRule="auto"/>
        <w:ind w:left="567" w:right="616"/>
        <w:contextualSpacing/>
        <w:jc w:val="both"/>
        <w:rPr>
          <w:rFonts w:ascii="Palatino Linotype" w:hAnsi="Palatino Linotype" w:cs="Arial"/>
          <w:i/>
          <w:sz w:val="22"/>
        </w:rPr>
      </w:pPr>
      <w:r w:rsidRPr="00A67033">
        <w:rPr>
          <w:rFonts w:ascii="Palatino Linotype" w:hAnsi="Palatino Linotype" w:cs="Arial"/>
          <w:b/>
          <w:i/>
          <w:sz w:val="22"/>
        </w:rPr>
        <w:t>“FUNDAMENTACIÓN Y MOTIVACIÓN. EL ASPECTO FORMAL DE LA GARANTÍA Y SU FINALIDAD SE TRADUCEN EN EXPLICAR, JUSTIFICAR, POSIBILITAR LA DEFENSA Y COMUNICAR LA DECISIÓN</w:t>
      </w:r>
      <w:r w:rsidRPr="00A67033">
        <w:rPr>
          <w:rFonts w:ascii="Palatino Linotype" w:hAnsi="Palatino Linotype" w:cs="Arial"/>
          <w:i/>
          <w:sz w:val="22"/>
        </w:rPr>
        <w:t xml:space="preserve">. El contenido </w:t>
      </w:r>
      <w:r w:rsidRPr="00A67033">
        <w:rPr>
          <w:rFonts w:ascii="Palatino Linotype" w:hAnsi="Palatino Linotype" w:cs="Arial"/>
          <w:i/>
          <w:sz w:val="22"/>
        </w:rPr>
        <w:lastRenderedPageBreak/>
        <w:t xml:space="preserve">formal de la garantía de legalidad prevista en el artículo 16 constitucional relativa a la </w:t>
      </w:r>
      <w:r w:rsidRPr="00A67033">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67033">
        <w:rPr>
          <w:rFonts w:ascii="Palatino Linotype" w:hAnsi="Palatino Linotype" w:cs="Arial"/>
          <w:i/>
          <w:sz w:val="22"/>
        </w:rPr>
        <w:t xml:space="preserve">. Por tanto, </w:t>
      </w:r>
      <w:r w:rsidRPr="00A67033">
        <w:rPr>
          <w:rFonts w:ascii="Palatino Linotype" w:hAnsi="Palatino Linotype" w:cs="Arial"/>
          <w:b/>
          <w:i/>
          <w:sz w:val="22"/>
        </w:rPr>
        <w:t>no basta que el acto de autoridad apenas observe una motivación pro forma pero de una manera incongruente, insuficiente o imprecisa</w:t>
      </w:r>
      <w:r w:rsidRPr="00A67033">
        <w:rPr>
          <w:rFonts w:ascii="Palatino Linotype" w:hAnsi="Palatino Linotype" w:cs="Arial"/>
          <w:i/>
          <w:sz w:val="22"/>
        </w:rPr>
        <w:t>, que impida la finalidad del conocimiento, comprobación y defensa pertinente</w:t>
      </w:r>
      <w:r w:rsidRPr="00A67033">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67033">
        <w:rPr>
          <w:rFonts w:ascii="Palatino Linotype" w:hAnsi="Palatino Linotype" w:cs="Arial"/>
          <w:i/>
          <w:sz w:val="22"/>
        </w:rPr>
        <w:t>.”(Sic)</w:t>
      </w:r>
    </w:p>
    <w:p w:rsidR="00FA0D18" w:rsidRPr="00A67033" w:rsidRDefault="00FA0D18" w:rsidP="00FA0D18">
      <w:pPr>
        <w:contextualSpacing/>
        <w:jc w:val="both"/>
        <w:rPr>
          <w:rFonts w:ascii="Palatino Linotype" w:hAnsi="Palatino Linotype" w:cs="Arial"/>
          <w:i/>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 xml:space="preserve">En consecuencia, la fundamentación y motivación implica </w:t>
      </w:r>
      <w:proofErr w:type="gramStart"/>
      <w:r w:rsidRPr="00A67033">
        <w:rPr>
          <w:rFonts w:ascii="Palatino Linotype" w:hAnsi="Palatino Linotype" w:cs="Arial"/>
        </w:rPr>
        <w:t>que</w:t>
      </w:r>
      <w:proofErr w:type="gramEnd"/>
      <w:r w:rsidRPr="00A67033">
        <w:rPr>
          <w:rFonts w:ascii="Palatino Linotype" w:hAnsi="Palatino Linotype" w:cs="Arial"/>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A0D18" w:rsidRPr="00A67033" w:rsidRDefault="00FA0D18" w:rsidP="00FA0D18">
      <w:pPr>
        <w:spacing w:line="360" w:lineRule="auto"/>
        <w:jc w:val="both"/>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bCs/>
        </w:rPr>
        <w:lastRenderedPageBreak/>
        <w:t xml:space="preserve">Atento a lo anterior, </w:t>
      </w:r>
      <w:r w:rsidRPr="00A67033">
        <w:rPr>
          <w:rFonts w:ascii="Palatino Linotype" w:hAnsi="Palatino Linotype" w:cs="Arial"/>
          <w:lang w:eastAsia="es-MX"/>
        </w:rPr>
        <w:t xml:space="preserve">es necesario hacer hincapié que para el caso de que existan </w:t>
      </w:r>
      <w:r w:rsidRPr="00A67033">
        <w:rPr>
          <w:rFonts w:ascii="Palatino Linotype" w:hAnsi="Palatino Linotype"/>
        </w:rPr>
        <w:t xml:space="preserve">causas presentes que impiden la publicidad de la información durante cierto periodo de tiempo, </w:t>
      </w:r>
      <w:r w:rsidRPr="00A67033">
        <w:rPr>
          <w:rFonts w:ascii="Palatino Linotype" w:hAnsi="Palatino Linotype" w:cs="Arial"/>
          <w:lang w:eastAsia="es-MX"/>
        </w:rPr>
        <w:t xml:space="preserve">debe clasificar la información </w:t>
      </w:r>
      <w:r w:rsidRPr="00A67033">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FA0D18" w:rsidRPr="00A67033" w:rsidRDefault="00FA0D18" w:rsidP="00FA0D18">
      <w:pPr>
        <w:spacing w:line="360" w:lineRule="auto"/>
        <w:jc w:val="both"/>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 xml:space="preserve">Aunado a lo anterior, es de señalar que los Lineamientos Generales en materia de </w:t>
      </w:r>
      <w:r w:rsidRPr="00A67033">
        <w:rPr>
          <w:rFonts w:ascii="Palatino Linotype" w:hAnsi="Palatino Linotype"/>
          <w:bCs/>
        </w:rPr>
        <w:t>Clasificación</w:t>
      </w:r>
      <w:r w:rsidRPr="00A67033">
        <w:rPr>
          <w:rFonts w:ascii="Palatino Linotype" w:hAnsi="Palatino Linotype" w:cs="Arial"/>
        </w:rPr>
        <w:t xml:space="preserve"> y Desclasificación de la Información, así como para la elaboración de Versiones Públicas, expresan:</w:t>
      </w:r>
    </w:p>
    <w:p w:rsidR="00FA0D18" w:rsidRPr="00A67033" w:rsidRDefault="00FA0D18" w:rsidP="00FA0D18">
      <w:pPr>
        <w:ind w:left="851" w:right="902"/>
        <w:jc w:val="both"/>
        <w:rPr>
          <w:rFonts w:ascii="Palatino Linotype" w:hAnsi="Palatino Linotype" w:cs="Arial"/>
          <w:b/>
          <w:i/>
          <w:sz w:val="22"/>
          <w:szCs w:val="22"/>
          <w:lang w:eastAsia="es-MX"/>
        </w:rPr>
      </w:pP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w:t>
      </w:r>
      <w:r w:rsidRPr="00A67033">
        <w:rPr>
          <w:rFonts w:ascii="Palatino Linotype" w:hAnsi="Palatino Linotype" w:cs="Arial"/>
          <w:b/>
          <w:i/>
          <w:sz w:val="22"/>
          <w:szCs w:val="22"/>
          <w:lang w:eastAsia="es-MX"/>
        </w:rPr>
        <w:t>Vigésimo cuarto</w:t>
      </w:r>
      <w:r w:rsidRPr="00A67033">
        <w:rPr>
          <w:rFonts w:ascii="Palatino Linotype" w:hAnsi="Palatino Linotype" w:cs="Arial"/>
          <w:i/>
          <w:sz w:val="22"/>
          <w:szCs w:val="22"/>
          <w:lang w:eastAsia="es-MX"/>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p>
    <w:p w:rsidR="00FA0D18" w:rsidRPr="00A67033" w:rsidRDefault="00FA0D18" w:rsidP="00D56143">
      <w:pPr>
        <w:numPr>
          <w:ilvl w:val="0"/>
          <w:numId w:val="11"/>
        </w:numPr>
        <w:spacing w:line="360" w:lineRule="auto"/>
        <w:ind w:left="567" w:right="618" w:hanging="11"/>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La existencia de un procedimiento de verificación del cumplimiento de las leyes;</w:t>
      </w:r>
    </w:p>
    <w:p w:rsidR="00FA0D18" w:rsidRPr="00A67033" w:rsidRDefault="00FA0D18" w:rsidP="00D56143">
      <w:pPr>
        <w:numPr>
          <w:ilvl w:val="0"/>
          <w:numId w:val="11"/>
        </w:numPr>
        <w:spacing w:line="360" w:lineRule="auto"/>
        <w:ind w:left="567" w:right="618" w:hanging="11"/>
        <w:jc w:val="both"/>
        <w:rPr>
          <w:rFonts w:ascii="Palatino Linotype" w:hAnsi="Palatino Linotype" w:cs="Arial"/>
          <w:b/>
          <w:i/>
          <w:sz w:val="22"/>
          <w:szCs w:val="22"/>
          <w:lang w:eastAsia="es-MX"/>
        </w:rPr>
      </w:pPr>
      <w:r w:rsidRPr="00A67033">
        <w:rPr>
          <w:rFonts w:ascii="Palatino Linotype" w:hAnsi="Palatino Linotype" w:cs="Arial"/>
          <w:b/>
          <w:i/>
          <w:sz w:val="22"/>
          <w:szCs w:val="22"/>
          <w:lang w:eastAsia="es-MX"/>
        </w:rPr>
        <w:t>Que el procedimiento se encuentre en trámite;</w:t>
      </w:r>
    </w:p>
    <w:p w:rsidR="00FA0D18" w:rsidRPr="00A67033" w:rsidRDefault="00FA0D18" w:rsidP="00D56143">
      <w:pPr>
        <w:numPr>
          <w:ilvl w:val="0"/>
          <w:numId w:val="11"/>
        </w:numPr>
        <w:spacing w:line="360" w:lineRule="auto"/>
        <w:ind w:left="567" w:right="618" w:hanging="11"/>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La vinculación directa con las actividades que realiza la autoridad en el procedimiento de verificación del cumplimiento de las leyes, y</w:t>
      </w:r>
    </w:p>
    <w:p w:rsidR="00FA0D18" w:rsidRPr="00A67033" w:rsidRDefault="00FA0D18" w:rsidP="00D56143">
      <w:pPr>
        <w:numPr>
          <w:ilvl w:val="0"/>
          <w:numId w:val="11"/>
        </w:numPr>
        <w:spacing w:line="360" w:lineRule="auto"/>
        <w:ind w:left="567" w:right="618" w:hanging="11"/>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Que la difusión de la información impida u obstaculice las actividades de inspección, supervisión o vigilancia que realicen las autoridades en el procedimiento de verificación del cumplimiento de las leyes.</w:t>
      </w:r>
    </w:p>
    <w:p w:rsidR="00FA0D18" w:rsidRPr="00A67033" w:rsidRDefault="00FA0D18" w:rsidP="004B48BA">
      <w:pPr>
        <w:spacing w:line="360" w:lineRule="auto"/>
        <w:ind w:left="567" w:right="618"/>
        <w:contextualSpacing/>
        <w:jc w:val="both"/>
        <w:rPr>
          <w:rFonts w:ascii="Palatino Linotype" w:hAnsi="Palatino Linotype" w:cs="Arial"/>
          <w:b/>
          <w:i/>
          <w:sz w:val="22"/>
          <w:szCs w:val="22"/>
          <w:lang w:eastAsia="es-MX"/>
        </w:rPr>
      </w:pPr>
    </w:p>
    <w:p w:rsidR="00FA0D18" w:rsidRPr="00A67033" w:rsidRDefault="00FA0D18" w:rsidP="004B48BA">
      <w:pPr>
        <w:spacing w:line="360" w:lineRule="auto"/>
        <w:ind w:left="567" w:right="618"/>
        <w:jc w:val="both"/>
        <w:rPr>
          <w:rFonts w:ascii="Palatino Linotype" w:hAnsi="Palatino Linotype" w:cs="Arial"/>
          <w:b/>
          <w:i/>
          <w:sz w:val="22"/>
          <w:szCs w:val="22"/>
          <w:lang w:eastAsia="es-MX"/>
        </w:rPr>
      </w:pPr>
      <w:r w:rsidRPr="00A67033">
        <w:rPr>
          <w:rFonts w:ascii="Palatino Linotype" w:hAnsi="Palatino Linotype" w:cs="Arial"/>
          <w:b/>
          <w:i/>
          <w:sz w:val="22"/>
          <w:szCs w:val="22"/>
          <w:lang w:eastAsia="es-MX"/>
        </w:rPr>
        <w:t>Trigésimo.</w:t>
      </w:r>
      <w:r w:rsidRPr="00A67033">
        <w:rPr>
          <w:rFonts w:ascii="Palatino Linotype" w:hAnsi="Palatino Linotype" w:cs="Arial"/>
          <w:i/>
          <w:sz w:val="22"/>
          <w:szCs w:val="22"/>
          <w:lang w:eastAsia="es-MX"/>
        </w:rPr>
        <w:t xml:space="preserve"> De conformidad con el artículo 113, fracción XI de la Ley General, </w:t>
      </w:r>
      <w:r w:rsidRPr="00A67033">
        <w:rPr>
          <w:rFonts w:ascii="Palatino Linotype" w:hAnsi="Palatino Linotype" w:cs="Arial"/>
          <w:b/>
          <w:i/>
          <w:sz w:val="22"/>
          <w:szCs w:val="22"/>
          <w:lang w:eastAsia="es-MX"/>
        </w:rPr>
        <w:t>podrá considerarse como información reservada, aquella que vulnere</w:t>
      </w:r>
      <w:r w:rsidRPr="00A67033">
        <w:rPr>
          <w:rFonts w:ascii="Palatino Linotype" w:hAnsi="Palatino Linotype" w:cs="Arial"/>
          <w:i/>
          <w:sz w:val="22"/>
          <w:szCs w:val="22"/>
          <w:lang w:eastAsia="es-MX"/>
        </w:rPr>
        <w:t xml:space="preserve"> la conducción de </w:t>
      </w:r>
      <w:r w:rsidRPr="00A67033">
        <w:rPr>
          <w:rFonts w:ascii="Palatino Linotype" w:hAnsi="Palatino Linotype" w:cs="Arial"/>
          <w:i/>
          <w:sz w:val="22"/>
          <w:szCs w:val="22"/>
          <w:lang w:eastAsia="es-MX"/>
        </w:rPr>
        <w:lastRenderedPageBreak/>
        <w:t xml:space="preserve">los expedientes judiciales o de los </w:t>
      </w:r>
      <w:r w:rsidRPr="00A67033">
        <w:rPr>
          <w:rFonts w:ascii="Palatino Linotype" w:hAnsi="Palatino Linotype" w:cs="Arial"/>
          <w:b/>
          <w:i/>
          <w:sz w:val="22"/>
          <w:szCs w:val="22"/>
          <w:lang w:eastAsia="es-MX"/>
        </w:rPr>
        <w:t>procedimientos administrativos seguidos en forma de juicio</w:t>
      </w:r>
      <w:r w:rsidRPr="00A67033">
        <w:rPr>
          <w:rFonts w:ascii="Palatino Linotype" w:hAnsi="Palatino Linotype" w:cs="Arial"/>
          <w:i/>
          <w:sz w:val="22"/>
          <w:szCs w:val="22"/>
          <w:lang w:eastAsia="es-MX"/>
        </w:rPr>
        <w:t xml:space="preserve">, </w:t>
      </w:r>
      <w:r w:rsidRPr="00A67033">
        <w:rPr>
          <w:rFonts w:ascii="Palatino Linotype" w:hAnsi="Palatino Linotype" w:cs="Arial"/>
          <w:b/>
          <w:i/>
          <w:sz w:val="22"/>
          <w:szCs w:val="22"/>
          <w:lang w:eastAsia="es-MX"/>
        </w:rPr>
        <w:t>siempre y cuando se acrediten los siguientes elementos:</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p>
    <w:p w:rsidR="00FA0D18" w:rsidRPr="00A67033" w:rsidRDefault="00FA0D18" w:rsidP="00D56143">
      <w:pPr>
        <w:numPr>
          <w:ilvl w:val="0"/>
          <w:numId w:val="12"/>
        </w:numPr>
        <w:spacing w:line="360" w:lineRule="auto"/>
        <w:ind w:left="567" w:right="618" w:hanging="11"/>
        <w:jc w:val="both"/>
        <w:rPr>
          <w:rFonts w:ascii="Palatino Linotype" w:hAnsi="Palatino Linotype" w:cs="Arial"/>
          <w:b/>
          <w:i/>
          <w:sz w:val="22"/>
          <w:szCs w:val="22"/>
          <w:lang w:eastAsia="es-MX"/>
        </w:rPr>
      </w:pPr>
      <w:r w:rsidRPr="00A67033">
        <w:rPr>
          <w:rFonts w:ascii="Palatino Linotype" w:hAnsi="Palatino Linotype" w:cs="Arial"/>
          <w:b/>
          <w:i/>
          <w:sz w:val="22"/>
          <w:szCs w:val="22"/>
          <w:lang w:eastAsia="es-MX"/>
        </w:rPr>
        <w:t>La existencia de un juicio o procedimiento administrativo materialmente jurisdiccional, que se encuentre en trámite, y</w:t>
      </w:r>
    </w:p>
    <w:p w:rsidR="00FA0D18" w:rsidRPr="00A67033" w:rsidRDefault="00FA0D18" w:rsidP="00D56143">
      <w:pPr>
        <w:numPr>
          <w:ilvl w:val="0"/>
          <w:numId w:val="12"/>
        </w:numPr>
        <w:spacing w:line="360" w:lineRule="auto"/>
        <w:ind w:left="567" w:right="618" w:hanging="11"/>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Que la información solicitada se refiera a actuaciones, diligencias o constancias propias del procedimiento.</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Para los efectos del primer párrafo de este numeral, se considera procedimiento seguido en forma de juicio a aquel formalmente administrativo, pero materialmente jurisdiccional; esto es, en el que concurran los siguientes elementos:</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2. Que se cumplan las formalidades esenciales del procedimiento.</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i/>
          <w:sz w:val="22"/>
          <w:szCs w:val="22"/>
          <w:lang w:eastAsia="es-MX"/>
        </w:rPr>
        <w:t>…</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b/>
          <w:bCs/>
          <w:i/>
          <w:sz w:val="22"/>
          <w:szCs w:val="22"/>
          <w:lang w:eastAsia="es-MX"/>
        </w:rPr>
        <w:t>Trigésimo tercero. </w:t>
      </w:r>
      <w:r w:rsidRPr="00A67033">
        <w:rPr>
          <w:rFonts w:ascii="Palatino Linotype" w:hAnsi="Palatino Linotype" w:cs="Arial"/>
          <w:i/>
          <w:sz w:val="22"/>
          <w:szCs w:val="22"/>
          <w:lang w:eastAsia="es-MX"/>
        </w:rPr>
        <w:t>Para la aplicación de la prueba de daño a la que hace referencia el artículo 104 de la Ley General, los sujetos obligados atenderán lo siguiente:</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b/>
          <w:bCs/>
          <w:i/>
          <w:sz w:val="22"/>
          <w:szCs w:val="22"/>
          <w:lang w:eastAsia="es-MX"/>
        </w:rPr>
        <w:t xml:space="preserve">I. </w:t>
      </w:r>
      <w:r w:rsidRPr="00A67033">
        <w:rPr>
          <w:rFonts w:ascii="Palatino Linotype" w:hAnsi="Palatino Linotype" w:cs="Arial"/>
          <w:i/>
          <w:sz w:val="22"/>
          <w:szCs w:val="22"/>
          <w:lang w:eastAsia="es-MX"/>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b/>
          <w:bCs/>
          <w:i/>
          <w:sz w:val="22"/>
          <w:szCs w:val="22"/>
          <w:lang w:eastAsia="es-MX"/>
        </w:rPr>
        <w:lastRenderedPageBreak/>
        <w:t>II.</w:t>
      </w:r>
      <w:r w:rsidRPr="00A67033">
        <w:rPr>
          <w:rFonts w:ascii="Palatino Linotype" w:hAnsi="Palatino Linotype" w:cs="Arial"/>
          <w:i/>
          <w:sz w:val="22"/>
          <w:szCs w:val="22"/>
          <w:lang w:eastAsia="es-MX"/>
        </w:rPr>
        <w:t xml:space="preserve"> Mediante la ponderación de los intereses en conflicto, los sujetos obligados deberán demostrar que la publicidad de la información solicitada generaría un riesgo de perjuicio </w:t>
      </w:r>
      <w:proofErr w:type="gramStart"/>
      <w:r w:rsidRPr="00A67033">
        <w:rPr>
          <w:rFonts w:ascii="Palatino Linotype" w:hAnsi="Palatino Linotype" w:cs="Arial"/>
          <w:i/>
          <w:sz w:val="22"/>
          <w:szCs w:val="22"/>
          <w:lang w:eastAsia="es-MX"/>
        </w:rPr>
        <w:t>y</w:t>
      </w:r>
      <w:proofErr w:type="gramEnd"/>
      <w:r w:rsidRPr="00A67033">
        <w:rPr>
          <w:rFonts w:ascii="Palatino Linotype" w:hAnsi="Palatino Linotype" w:cs="Arial"/>
          <w:i/>
          <w:sz w:val="22"/>
          <w:szCs w:val="22"/>
          <w:lang w:eastAsia="es-MX"/>
        </w:rPr>
        <w:t xml:space="preserve"> por lo tanto, tendrán que acreditar que este último rebasa el interés público protegido por la reserva;</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b/>
          <w:bCs/>
          <w:i/>
          <w:sz w:val="22"/>
          <w:szCs w:val="22"/>
          <w:lang w:eastAsia="es-MX"/>
        </w:rPr>
        <w:t>III.</w:t>
      </w:r>
      <w:r w:rsidRPr="00A67033">
        <w:rPr>
          <w:rFonts w:ascii="Palatino Linotype" w:hAnsi="Palatino Linotype" w:cs="Arial"/>
          <w:i/>
          <w:sz w:val="22"/>
          <w:szCs w:val="22"/>
          <w:lang w:eastAsia="es-MX"/>
        </w:rPr>
        <w:t xml:space="preserve"> Se debe de acreditar el vínculo entre la difusión de la información y la afectación del interés jurídico tutelado de que se trate;</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b/>
          <w:bCs/>
          <w:i/>
          <w:sz w:val="22"/>
          <w:szCs w:val="22"/>
          <w:lang w:eastAsia="es-MX"/>
        </w:rPr>
        <w:t>IV.</w:t>
      </w:r>
      <w:r w:rsidRPr="00A67033">
        <w:rPr>
          <w:rFonts w:ascii="Palatino Linotype" w:hAnsi="Palatino Linotype" w:cs="Arial"/>
          <w:i/>
          <w:sz w:val="22"/>
          <w:szCs w:val="22"/>
          <w:lang w:eastAsia="es-MX"/>
        </w:rPr>
        <w:t xml:space="preserve"> Precisar las razones objetivas por las que la apertura de la información generaría una afectación, a través de los elementos de un riesgo real, demostrable e identificable;</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b/>
          <w:bCs/>
          <w:i/>
          <w:sz w:val="22"/>
          <w:szCs w:val="22"/>
          <w:lang w:eastAsia="es-MX"/>
        </w:rPr>
        <w:t>V.</w:t>
      </w:r>
      <w:r w:rsidRPr="00A67033">
        <w:rPr>
          <w:rFonts w:ascii="Palatino Linotype" w:hAnsi="Palatino Linotype" w:cs="Arial"/>
          <w:i/>
          <w:sz w:val="22"/>
          <w:szCs w:val="22"/>
          <w:lang w:eastAsia="es-MX"/>
        </w:rPr>
        <w:t xml:space="preserve"> En la motivación de la clasificación, el sujeto obligado deberá acreditar las circunstancias de modo, tiempo y lugar del daño, y</w:t>
      </w:r>
    </w:p>
    <w:p w:rsidR="00FA0D18" w:rsidRPr="00A67033" w:rsidRDefault="00FA0D18" w:rsidP="004B48BA">
      <w:pPr>
        <w:spacing w:line="360" w:lineRule="auto"/>
        <w:ind w:left="567" w:right="618"/>
        <w:jc w:val="both"/>
        <w:rPr>
          <w:rFonts w:ascii="Palatino Linotype" w:hAnsi="Palatino Linotype" w:cs="Arial"/>
          <w:i/>
          <w:sz w:val="22"/>
          <w:szCs w:val="22"/>
          <w:lang w:eastAsia="es-MX"/>
        </w:rPr>
      </w:pPr>
      <w:r w:rsidRPr="00A67033">
        <w:rPr>
          <w:rFonts w:ascii="Palatino Linotype" w:hAnsi="Palatino Linotype" w:cs="Arial"/>
          <w:b/>
          <w:bCs/>
          <w:i/>
          <w:sz w:val="22"/>
          <w:szCs w:val="22"/>
          <w:lang w:eastAsia="es-MX"/>
        </w:rPr>
        <w:t>VI.</w:t>
      </w:r>
      <w:r w:rsidRPr="00A67033">
        <w:rPr>
          <w:rFonts w:ascii="Palatino Linotype" w:hAnsi="Palatino Linotype" w:cs="Arial"/>
          <w:i/>
          <w:sz w:val="22"/>
          <w:szCs w:val="22"/>
          <w:lang w:eastAsia="es-MX"/>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rsidR="00FA0D18" w:rsidRPr="00A67033" w:rsidRDefault="00FA0D18" w:rsidP="00FA0D18">
      <w:pPr>
        <w:widowControl w:val="0"/>
        <w:autoSpaceDE w:val="0"/>
        <w:autoSpaceDN w:val="0"/>
        <w:adjustRightInd w:val="0"/>
        <w:jc w:val="both"/>
        <w:rPr>
          <w:rFonts w:ascii="Palatino Linotype" w:hAnsi="Palatino Linotype"/>
          <w:sz w:val="22"/>
          <w:szCs w:val="22"/>
          <w:lang w:eastAsia="es-MX"/>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lang w:eastAsia="es-MX"/>
        </w:rPr>
      </w:pPr>
      <w:r w:rsidRPr="00A67033">
        <w:rPr>
          <w:rFonts w:ascii="Palatino Linotype" w:hAnsi="Palatino Linotype"/>
          <w:lang w:eastAsia="es-MX"/>
        </w:rPr>
        <w:t xml:space="preserve">Es así que, la información </w:t>
      </w:r>
      <w:r w:rsidRPr="00A67033">
        <w:rPr>
          <w:rFonts w:ascii="Palatino Linotype" w:hAnsi="Palatino Linotype"/>
          <w:b/>
          <w:lang w:eastAsia="es-MX"/>
        </w:rPr>
        <w:t xml:space="preserve">podrá ser reservada cuando se vulnere la conducción de </w:t>
      </w:r>
      <w:r w:rsidRPr="00A67033">
        <w:rPr>
          <w:rFonts w:ascii="Palatino Linotype" w:hAnsi="Palatino Linotype" w:cs="Arial"/>
          <w:b/>
        </w:rPr>
        <w:t>procedimientos</w:t>
      </w:r>
      <w:r w:rsidRPr="00A67033">
        <w:rPr>
          <w:rFonts w:ascii="Palatino Linotype" w:hAnsi="Palatino Linotype"/>
          <w:b/>
          <w:lang w:eastAsia="es-MX"/>
        </w:rPr>
        <w:t xml:space="preserve"> administrativos seguidos en forma</w:t>
      </w:r>
      <w:r w:rsidRPr="00A67033">
        <w:rPr>
          <w:rFonts w:ascii="Palatino Linotype" w:hAnsi="Palatino Linotype"/>
          <w:lang w:eastAsia="es-MX"/>
        </w:rPr>
        <w:t xml:space="preserve"> de juicio, siempre y cuando se acredite la existencia de los mismos. </w:t>
      </w:r>
    </w:p>
    <w:p w:rsidR="00FA0D18" w:rsidRPr="00A67033" w:rsidRDefault="00FA0D18" w:rsidP="00FA0D18">
      <w:pPr>
        <w:widowControl w:val="0"/>
        <w:autoSpaceDE w:val="0"/>
        <w:autoSpaceDN w:val="0"/>
        <w:adjustRightInd w:val="0"/>
        <w:spacing w:line="360" w:lineRule="auto"/>
        <w:jc w:val="both"/>
        <w:rPr>
          <w:rFonts w:ascii="Palatino Linotype" w:hAnsi="Palatino Linotype"/>
          <w:lang w:eastAsia="es-MX"/>
        </w:rPr>
      </w:pPr>
    </w:p>
    <w:p w:rsidR="00FA0D18" w:rsidRPr="00A67033" w:rsidRDefault="00FA0D18" w:rsidP="00D56143">
      <w:pPr>
        <w:numPr>
          <w:ilvl w:val="0"/>
          <w:numId w:val="1"/>
        </w:numPr>
        <w:spacing w:line="360" w:lineRule="auto"/>
        <w:ind w:left="0" w:firstLine="0"/>
        <w:contextualSpacing/>
        <w:jc w:val="both"/>
        <w:rPr>
          <w:rFonts w:ascii="Palatino Linotype" w:eastAsia="Calibri" w:hAnsi="Palatino Linotype" w:cs="Tahoma"/>
          <w:lang w:eastAsia="es-ES_tradnl"/>
        </w:rPr>
      </w:pPr>
      <w:r w:rsidRPr="00A67033">
        <w:rPr>
          <w:rFonts w:ascii="Palatino Linotype" w:eastAsia="Calibri" w:hAnsi="Palatino Linotype" w:cs="Tahoma"/>
          <w:lang w:eastAsia="es-ES_tradnl"/>
        </w:rPr>
        <w:t xml:space="preserve">De la </w:t>
      </w:r>
      <w:r w:rsidRPr="00A67033">
        <w:rPr>
          <w:rFonts w:ascii="Palatino Linotype" w:hAnsi="Palatino Linotype"/>
          <w:lang w:eastAsia="es-MX"/>
        </w:rPr>
        <w:t>normatividad</w:t>
      </w:r>
      <w:r w:rsidRPr="00A67033">
        <w:rPr>
          <w:rFonts w:ascii="Palatino Linotype" w:eastAsia="Calibri" w:hAnsi="Palatino Linotype" w:cs="Tahoma"/>
          <w:lang w:eastAsia="es-ES_tradnl"/>
        </w:rPr>
        <w:t xml:space="preserve"> citada, se desprende que se podrá clasificar como información reservada aquella que vulnere la conducción de los expedientes judiciales o de los procedimientos administrativos seguidos en forma de juicio, en tanto no hayan causado estado. Es así que, para considerar que se actualiza dicha causal es necesario que se configuren los siguientes elementos:</w:t>
      </w:r>
    </w:p>
    <w:p w:rsidR="00FA0D18" w:rsidRPr="00A67033" w:rsidRDefault="00FA0D18" w:rsidP="00FA0D18">
      <w:pPr>
        <w:tabs>
          <w:tab w:val="left" w:pos="4962"/>
        </w:tabs>
        <w:spacing w:line="360" w:lineRule="auto"/>
        <w:jc w:val="both"/>
        <w:rPr>
          <w:rFonts w:ascii="Palatino Linotype" w:eastAsia="Calibri" w:hAnsi="Palatino Linotype" w:cs="Tahoma"/>
          <w:lang w:eastAsia="es-ES_tradnl"/>
        </w:rPr>
      </w:pPr>
    </w:p>
    <w:p w:rsidR="00FA0D18" w:rsidRPr="00A67033" w:rsidRDefault="00FA0D18" w:rsidP="00D56143">
      <w:pPr>
        <w:numPr>
          <w:ilvl w:val="0"/>
          <w:numId w:val="13"/>
        </w:numPr>
        <w:tabs>
          <w:tab w:val="left" w:pos="4962"/>
        </w:tabs>
        <w:spacing w:line="360" w:lineRule="auto"/>
        <w:contextualSpacing/>
        <w:jc w:val="both"/>
        <w:rPr>
          <w:rFonts w:ascii="Palatino Linotype" w:eastAsia="Calibri" w:hAnsi="Palatino Linotype" w:cs="Tahoma"/>
          <w:lang w:eastAsia="es-ES_tradnl"/>
        </w:rPr>
      </w:pPr>
      <w:r w:rsidRPr="00A67033">
        <w:rPr>
          <w:rFonts w:ascii="Palatino Linotype" w:eastAsia="Calibri" w:hAnsi="Palatino Linotype" w:cs="Tahoma"/>
          <w:lang w:eastAsia="es-ES_tradnl"/>
        </w:rPr>
        <w:lastRenderedPageBreak/>
        <w:t>La existencia de un juicio o procedimiento administrativo materialmente jurisdiccional, que se encuentre en trámite, y</w:t>
      </w:r>
    </w:p>
    <w:p w:rsidR="00FA0D18" w:rsidRPr="00A67033" w:rsidRDefault="00FA0D18" w:rsidP="00D56143">
      <w:pPr>
        <w:numPr>
          <w:ilvl w:val="0"/>
          <w:numId w:val="13"/>
        </w:numPr>
        <w:tabs>
          <w:tab w:val="left" w:pos="4962"/>
        </w:tabs>
        <w:spacing w:line="360" w:lineRule="auto"/>
        <w:contextualSpacing/>
        <w:jc w:val="both"/>
        <w:rPr>
          <w:rFonts w:ascii="Palatino Linotype" w:eastAsia="Calibri" w:hAnsi="Palatino Linotype" w:cs="Tahoma"/>
          <w:lang w:eastAsia="es-ES_tradnl"/>
        </w:rPr>
      </w:pPr>
      <w:r w:rsidRPr="00A67033">
        <w:rPr>
          <w:rFonts w:ascii="Palatino Linotype" w:eastAsia="Calibri" w:hAnsi="Palatino Linotype" w:cs="Tahoma"/>
          <w:lang w:eastAsia="es-ES_tradnl"/>
        </w:rPr>
        <w:t>Que la información solicitada se refiera a actuaciones, diligencias o constancias propias del procedimiento.</w:t>
      </w:r>
    </w:p>
    <w:p w:rsidR="00FA0D18" w:rsidRPr="00A67033" w:rsidRDefault="00FA0D18" w:rsidP="00FA0D18">
      <w:pPr>
        <w:tabs>
          <w:tab w:val="left" w:pos="4962"/>
        </w:tabs>
        <w:spacing w:line="360" w:lineRule="auto"/>
        <w:jc w:val="both"/>
        <w:rPr>
          <w:rFonts w:ascii="Palatino Linotype" w:eastAsia="Calibri" w:hAnsi="Palatino Linotype" w:cs="Tahoma"/>
          <w:lang w:eastAsia="es-ES_tradnl"/>
        </w:rPr>
      </w:pPr>
    </w:p>
    <w:p w:rsidR="00FA0D18" w:rsidRPr="00A67033" w:rsidRDefault="00FA0D18" w:rsidP="00D56143">
      <w:pPr>
        <w:numPr>
          <w:ilvl w:val="0"/>
          <w:numId w:val="1"/>
        </w:numPr>
        <w:spacing w:line="360" w:lineRule="auto"/>
        <w:ind w:left="0" w:firstLine="0"/>
        <w:contextualSpacing/>
        <w:jc w:val="both"/>
        <w:rPr>
          <w:rFonts w:ascii="Palatino Linotype" w:eastAsia="Calibri" w:hAnsi="Palatino Linotype" w:cs="Tahoma"/>
          <w:lang w:eastAsia="es-ES_tradnl"/>
        </w:rPr>
      </w:pPr>
      <w:r w:rsidRPr="00A67033">
        <w:rPr>
          <w:rFonts w:ascii="Palatino Linotype" w:eastAsia="Calibri" w:hAnsi="Palatino Linotype" w:cs="Tahoma"/>
          <w:lang w:eastAsia="es-ES_tradnl"/>
        </w:rPr>
        <w:t>Con base en lo expuesto, se advierte que la información susceptible de clasificarse como reservada bajo el supuesto referido, se debe acreditar que su difusión vulnera la conducción de los expedientes judiciales o procedimientos administrativos seguidos en forma de juicio, en tanto no hayan causado estado.</w:t>
      </w:r>
    </w:p>
    <w:p w:rsidR="00FA0D18" w:rsidRPr="00A67033" w:rsidRDefault="00FA0D18" w:rsidP="00FA0D18">
      <w:pPr>
        <w:tabs>
          <w:tab w:val="left" w:pos="4962"/>
        </w:tabs>
        <w:spacing w:line="360" w:lineRule="auto"/>
        <w:jc w:val="both"/>
        <w:rPr>
          <w:rFonts w:ascii="Palatino Linotype" w:eastAsia="Calibri" w:hAnsi="Palatino Linotype" w:cs="Tahoma"/>
          <w:lang w:eastAsia="es-ES_tradnl"/>
        </w:rPr>
      </w:pPr>
    </w:p>
    <w:p w:rsidR="00FA0D18" w:rsidRPr="00A67033" w:rsidRDefault="00FA0D18" w:rsidP="00D56143">
      <w:pPr>
        <w:numPr>
          <w:ilvl w:val="0"/>
          <w:numId w:val="1"/>
        </w:numPr>
        <w:spacing w:line="360" w:lineRule="auto"/>
        <w:ind w:left="0" w:firstLine="0"/>
        <w:contextualSpacing/>
        <w:jc w:val="both"/>
        <w:rPr>
          <w:rFonts w:ascii="Palatino Linotype" w:eastAsia="Calibri" w:hAnsi="Palatino Linotype" w:cs="Tahoma"/>
          <w:lang w:eastAsia="es-ES_tradnl"/>
        </w:rPr>
      </w:pPr>
      <w:r w:rsidRPr="00A67033">
        <w:rPr>
          <w:rFonts w:ascii="Palatino Linotype" w:eastAsia="Calibri" w:hAnsi="Palatino Linotype" w:cs="Tahoma"/>
          <w:lang w:eastAsia="es-ES_tradnl"/>
        </w:rPr>
        <w:t>En relación con lo anterior, es menester precisar que para que se trate de un 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“procedimiento en forma de juicio”, debe entenderse lato sensu,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 tal como se muestra a continuación:</w:t>
      </w:r>
    </w:p>
    <w:p w:rsidR="00FA0D18" w:rsidRPr="00A67033" w:rsidRDefault="00FA0D18" w:rsidP="00FA0D18">
      <w:pPr>
        <w:tabs>
          <w:tab w:val="left" w:pos="4962"/>
        </w:tabs>
        <w:jc w:val="both"/>
        <w:rPr>
          <w:rFonts w:ascii="Palatino Linotype" w:eastAsia="Calibri" w:hAnsi="Palatino Linotype" w:cs="Tahoma"/>
          <w:i/>
          <w:sz w:val="22"/>
          <w:szCs w:val="22"/>
          <w:lang w:eastAsia="es-ES_tradnl"/>
        </w:rPr>
      </w:pPr>
    </w:p>
    <w:p w:rsidR="00FA0D18" w:rsidRPr="00A67033" w:rsidRDefault="00FA0D18" w:rsidP="004B48BA">
      <w:pPr>
        <w:tabs>
          <w:tab w:val="left" w:pos="4962"/>
        </w:tabs>
        <w:spacing w:line="360" w:lineRule="auto"/>
        <w:ind w:left="567" w:right="567"/>
        <w:jc w:val="both"/>
        <w:rPr>
          <w:rFonts w:ascii="Palatino Linotype" w:eastAsia="Calibri" w:hAnsi="Palatino Linotype" w:cs="Tahoma"/>
          <w:i/>
          <w:szCs w:val="22"/>
          <w:lang w:eastAsia="es-ES_tradnl"/>
        </w:rPr>
      </w:pPr>
      <w:r w:rsidRPr="00A67033">
        <w:rPr>
          <w:rFonts w:ascii="Palatino Linotype" w:eastAsia="Calibri" w:hAnsi="Palatino Linotype" w:cs="Tahoma"/>
          <w:b/>
          <w:i/>
          <w:szCs w:val="22"/>
          <w:lang w:eastAsia="es-ES_tradnl"/>
        </w:rPr>
        <w:t xml:space="preserve">“PROCEDIMIENTOS EN FORMA DE JUICIO SEGUIDOS POR AUTORIDADES DISTINTAS DE TRIBUNALES A QUE SE REFIERE EL ARTÍCULO 114, FRACCIÓN II, PÁRRAFO SEGUNDO, DE LA LEY DE </w:t>
      </w:r>
      <w:r w:rsidRPr="00A67033">
        <w:rPr>
          <w:rFonts w:ascii="Palatino Linotype" w:eastAsia="Calibri" w:hAnsi="Palatino Linotype" w:cs="Tahoma"/>
          <w:b/>
          <w:i/>
          <w:szCs w:val="22"/>
          <w:lang w:eastAsia="es-ES_tradnl"/>
        </w:rPr>
        <w:lastRenderedPageBreak/>
        <w:t>AMPARO. SU CONCEPTO COMPRENDE TANTO AQUELLOS EN QUE LA AUTORIDAD DIRIME UNA CONTROVERSIA ENTRE PARTES CONTENDIENTES, COMO LOS PROCEDIMIENTOS MEDIANTE LOS QUE LA AUTORIDAD PREPARA SU RESOLUCIÓN DEFINITIVA CON INTERVENCIÓN DEL PARTICULAR.</w:t>
      </w:r>
      <w:r w:rsidRPr="00A67033">
        <w:rPr>
          <w:rFonts w:ascii="Palatino Linotype" w:eastAsia="Calibri" w:hAnsi="Palatino Linotype" w:cs="Tahoma"/>
          <w:i/>
          <w:szCs w:val="22"/>
          <w:lang w:eastAsia="es-ES_tradnl"/>
        </w:rPr>
        <w:t xml:space="preserve"> La Ley de Amparo establece </w:t>
      </w:r>
      <w:proofErr w:type="gramStart"/>
      <w:r w:rsidRPr="00A67033">
        <w:rPr>
          <w:rFonts w:ascii="Palatino Linotype" w:eastAsia="Calibri" w:hAnsi="Palatino Linotype" w:cs="Tahoma"/>
          <w:i/>
          <w:szCs w:val="22"/>
          <w:lang w:eastAsia="es-ES_tradnl"/>
        </w:rPr>
        <w:t>que</w:t>
      </w:r>
      <w:proofErr w:type="gramEnd"/>
      <w:r w:rsidRPr="00A67033">
        <w:rPr>
          <w:rFonts w:ascii="Palatino Linotype" w:eastAsia="Calibri" w:hAnsi="Palatino Linotype" w:cs="Tahoma"/>
          <w:i/>
          <w:szCs w:val="22"/>
          <w:lang w:eastAsia="es-ES_tradnl"/>
        </w:rPr>
        <w:t xml:space="preserv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A67033">
        <w:rPr>
          <w:rFonts w:ascii="Palatino Linotype" w:eastAsia="Calibri" w:hAnsi="Palatino Linotype" w:cs="Tahoma"/>
          <w:i/>
          <w:szCs w:val="22"/>
          <w:lang w:eastAsia="es-ES_tradnl"/>
        </w:rPr>
        <w:t>expeditez</w:t>
      </w:r>
      <w:proofErr w:type="spellEnd"/>
      <w:r w:rsidRPr="00A67033">
        <w:rPr>
          <w:rFonts w:ascii="Palatino Linotype" w:eastAsia="Calibri" w:hAnsi="Palatino Linotype" w:cs="Tahoma"/>
          <w:i/>
          <w:szCs w:val="22"/>
          <w:lang w:eastAsia="es-ES_tradnl"/>
        </w:rPr>
        <w:t xml:space="preserve"> de las diligencias procedimentales. Tal es la estructura que dicha Ley adopta en el amparo directo, así como en los procedimientos de ejecución y en los procedimientos de remate, como lo establece en sus artículos 158 y 114, fracción III,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w:t>
      </w:r>
      <w:r w:rsidRPr="00A67033">
        <w:rPr>
          <w:rFonts w:ascii="Palatino Linotype" w:eastAsia="Calibri" w:hAnsi="Palatino Linotype" w:cs="Tahoma"/>
          <w:b/>
          <w:i/>
          <w:szCs w:val="22"/>
          <w:lang w:eastAsia="es-ES_tradnl"/>
        </w:rPr>
        <w:t xml:space="preserve">"procedimiento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w:t>
      </w:r>
      <w:r w:rsidRPr="00A67033">
        <w:rPr>
          <w:rFonts w:ascii="Palatino Linotype" w:eastAsia="Calibri" w:hAnsi="Palatino Linotype" w:cs="Tahoma"/>
          <w:b/>
          <w:i/>
          <w:szCs w:val="22"/>
          <w:lang w:eastAsia="es-ES_tradnl"/>
        </w:rPr>
        <w:lastRenderedPageBreak/>
        <w:t>dentro de procedimiento, en todos debe de aplicarse la misma regla, conclusión que es acorde con la interpretación literal de dicho párrafo.”</w:t>
      </w:r>
    </w:p>
    <w:p w:rsidR="00FA0D18" w:rsidRPr="00A67033" w:rsidRDefault="00FA0D18" w:rsidP="00FA0D18">
      <w:pPr>
        <w:tabs>
          <w:tab w:val="left" w:pos="4962"/>
        </w:tabs>
        <w:jc w:val="both"/>
        <w:rPr>
          <w:rFonts w:ascii="Palatino Linotype" w:eastAsia="Calibri" w:hAnsi="Palatino Linotype" w:cs="Tahoma"/>
          <w:i/>
          <w:sz w:val="22"/>
          <w:szCs w:val="22"/>
          <w:lang w:eastAsia="es-ES_tradnl"/>
        </w:rPr>
      </w:pPr>
    </w:p>
    <w:p w:rsidR="00FA0D18" w:rsidRPr="00A67033" w:rsidRDefault="00FA0D18" w:rsidP="00D56143">
      <w:pPr>
        <w:numPr>
          <w:ilvl w:val="0"/>
          <w:numId w:val="1"/>
        </w:numPr>
        <w:spacing w:line="360" w:lineRule="auto"/>
        <w:ind w:left="0" w:firstLine="0"/>
        <w:contextualSpacing/>
        <w:jc w:val="both"/>
        <w:rPr>
          <w:rFonts w:ascii="Palatino Linotype" w:eastAsia="Arial Unicode MS" w:hAnsi="Palatino Linotype" w:cs="Arial"/>
          <w:lang w:val="es-ES"/>
        </w:rPr>
      </w:pPr>
      <w:r w:rsidRPr="00A67033">
        <w:rPr>
          <w:rFonts w:ascii="Palatino Linotype" w:hAnsi="Palatino Linotype" w:cs="Tahoma"/>
          <w:bCs/>
        </w:rPr>
        <w:t xml:space="preserve">En este orden de ideas, se advierte que para el caso de que los expedientes de las demandas laborales no hayan sido concluidos, </w:t>
      </w:r>
      <w:r w:rsidRPr="00A67033">
        <w:rPr>
          <w:rFonts w:ascii="Palatino Linotype" w:hAnsi="Palatino Linotype" w:cs="Tahoma"/>
          <w:b/>
          <w:bCs/>
        </w:rPr>
        <w:t>EL SUJETO OBLIGADO</w:t>
      </w:r>
      <w:r w:rsidRPr="00A67033">
        <w:rPr>
          <w:rFonts w:ascii="Palatino Linotype" w:hAnsi="Palatino Linotype" w:cs="Tahoma"/>
          <w:bCs/>
        </w:rPr>
        <w:t xml:space="preserve"> debe acreditar dicha situación y de manera fundada y motivada exponer las razones que lo llevaran a considerar la clasificación de la información solicitada por el Particular.</w:t>
      </w:r>
    </w:p>
    <w:p w:rsidR="00FA0D18" w:rsidRPr="00A67033" w:rsidRDefault="00FA0D18" w:rsidP="00FA0D18">
      <w:pPr>
        <w:spacing w:line="360" w:lineRule="auto"/>
        <w:jc w:val="both"/>
        <w:rPr>
          <w:rFonts w:ascii="Palatino Linotype" w:eastAsia="Arial Unicode MS" w:hAnsi="Palatino Linotype" w:cs="Arial"/>
          <w:lang w:val="es-ES"/>
        </w:rPr>
      </w:pPr>
    </w:p>
    <w:p w:rsidR="00FA0D18" w:rsidRPr="00A67033" w:rsidRDefault="00FA0D18" w:rsidP="00D56143">
      <w:pPr>
        <w:numPr>
          <w:ilvl w:val="0"/>
          <w:numId w:val="1"/>
        </w:numPr>
        <w:spacing w:line="360" w:lineRule="auto"/>
        <w:ind w:left="0" w:firstLine="0"/>
        <w:contextualSpacing/>
        <w:jc w:val="both"/>
        <w:rPr>
          <w:rFonts w:ascii="Palatino Linotype" w:eastAsia="Arial Unicode MS" w:hAnsi="Palatino Linotype" w:cs="Arial"/>
          <w:lang w:val="es-ES"/>
        </w:rPr>
      </w:pPr>
      <w:r w:rsidRPr="00A67033">
        <w:rPr>
          <w:rFonts w:ascii="Palatino Linotype" w:eastAsia="Arial Unicode MS" w:hAnsi="Palatino Linotype" w:cs="Arial"/>
          <w:lang w:val="es-ES"/>
        </w:rPr>
        <w:t xml:space="preserve">Por lo que, si las demandas interpuestas del primero de enero al treinta de abril, en contra del Ayuntamiento de Valle de Chalco Solidaridad, por despido injustificado; aún se </w:t>
      </w:r>
      <w:r w:rsidRPr="00A67033">
        <w:rPr>
          <w:rFonts w:ascii="Palatino Linotype" w:hAnsi="Palatino Linotype" w:cs="Tahoma"/>
          <w:bCs/>
        </w:rPr>
        <w:t>encuentran</w:t>
      </w:r>
      <w:r w:rsidRPr="00A67033">
        <w:rPr>
          <w:rFonts w:ascii="Palatino Linotype" w:eastAsia="Arial Unicode MS" w:hAnsi="Palatino Linotype" w:cs="Arial"/>
          <w:lang w:val="es-ES"/>
        </w:rPr>
        <w:t xml:space="preserve"> en trámite o se actualiza alguna causal de reserva contemplada en el artículo 140 de la Ley de la Materia, </w:t>
      </w:r>
      <w:r w:rsidRPr="00A67033">
        <w:rPr>
          <w:rFonts w:ascii="Palatino Linotype" w:eastAsia="Arial Unicode MS" w:hAnsi="Palatino Linotype" w:cs="Arial"/>
          <w:b/>
          <w:lang w:val="es-ES"/>
        </w:rPr>
        <w:t xml:space="preserve">EL SUJETO OBLIGADO </w:t>
      </w:r>
      <w:r w:rsidRPr="00A67033">
        <w:rPr>
          <w:rFonts w:ascii="Palatino Linotype" w:eastAsia="Arial Unicode MS" w:hAnsi="Palatino Linotype" w:cs="Arial"/>
          <w:lang w:val="es-ES"/>
        </w:rPr>
        <w:t xml:space="preserve">deberá fundar y motivar la negativa de proporcionar la información requerida por </w:t>
      </w:r>
      <w:r w:rsidRPr="00A67033">
        <w:rPr>
          <w:rFonts w:ascii="Palatino Linotype" w:eastAsia="Arial Unicode MS" w:hAnsi="Palatino Linotype" w:cs="Arial"/>
          <w:b/>
          <w:lang w:val="es-ES"/>
        </w:rPr>
        <w:t>EL RECURRENTE</w:t>
      </w:r>
      <w:r w:rsidRPr="00A67033">
        <w:rPr>
          <w:rFonts w:ascii="Palatino Linotype" w:eastAsia="Arial Unicode MS" w:hAnsi="Palatino Linotype" w:cs="Arial"/>
          <w:lang w:val="es-ES"/>
        </w:rPr>
        <w:t xml:space="preserve">, mediante Acuerdo de Clasificación de la información como Reserva, emitido a través de su Comité de Transparencia, el cual debe cumplir cabalmente con las formalidades referidas anteriormente. </w:t>
      </w:r>
    </w:p>
    <w:p w:rsidR="00FA0D18" w:rsidRPr="00A67033" w:rsidRDefault="00FA0D18" w:rsidP="00FA0D18">
      <w:pPr>
        <w:spacing w:line="360" w:lineRule="auto"/>
        <w:jc w:val="both"/>
        <w:rPr>
          <w:rFonts w:ascii="Palatino Linotype" w:eastAsia="Arial Unicode MS" w:hAnsi="Palatino Linotype" w:cs="Arial"/>
          <w:lang w:val="es-ES"/>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Lo anterior es así, pues los expedientes o procedimientos seguidos en forma de juicio,</w:t>
      </w:r>
      <w:r w:rsidR="00F6651C" w:rsidRPr="00A67033">
        <w:rPr>
          <w:rFonts w:ascii="Palatino Linotype" w:hAnsi="Palatino Linotype"/>
        </w:rPr>
        <w:t xml:space="preserve"> </w:t>
      </w:r>
      <w:r w:rsidR="00F6651C" w:rsidRPr="00A67033">
        <w:rPr>
          <w:rFonts w:ascii="Palatino Linotype" w:hAnsi="Palatino Linotype"/>
          <w:b/>
        </w:rPr>
        <w:t>o como resulta del caso concreto, documentales inmersos en ellos,</w:t>
      </w:r>
      <w:r w:rsidRPr="00A67033">
        <w:rPr>
          <w:rFonts w:ascii="Palatino Linotype" w:hAnsi="Palatino Linotype"/>
        </w:rPr>
        <w:t xml:space="preserve"> </w:t>
      </w:r>
      <w:r w:rsidRPr="00A67033">
        <w:rPr>
          <w:rFonts w:ascii="Palatino Linotype" w:eastAsia="Arial Unicode MS" w:hAnsi="Palatino Linotype" w:cs="Arial"/>
          <w:lang w:val="es-ES"/>
        </w:rPr>
        <w:t>no</w:t>
      </w:r>
      <w:r w:rsidRPr="00A67033">
        <w:rPr>
          <w:rFonts w:ascii="Palatino Linotype" w:hAnsi="Palatino Linotype"/>
        </w:rPr>
        <w:t xml:space="preserve"> puede ser entregados sin que éstos hayan concluido, ya que al divulgar dicha información sin que los procedimientos judiciales hayan quedado firmes o hayan causado estado, se podría poner en riesgo la conducción de los mismos, al entorpecer las actuaciones del Órgano Jurisdiccional o alterar las etapas procesales, causando una inminente afectación en la administración de la justicia. </w:t>
      </w:r>
    </w:p>
    <w:p w:rsidR="00FA0D18" w:rsidRPr="00A67033" w:rsidRDefault="00FA0D18" w:rsidP="00FA0D18">
      <w:pPr>
        <w:spacing w:line="360" w:lineRule="auto"/>
        <w:ind w:right="51"/>
        <w:jc w:val="both"/>
        <w:rPr>
          <w:rFonts w:ascii="Palatino Linotype" w:hAnsi="Palatino Linotype"/>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rPr>
        <w:lastRenderedPageBreak/>
        <w:t xml:space="preserve">Ahora bien, por cuanto hace a los juicios </w:t>
      </w:r>
      <w:r w:rsidRPr="00A67033">
        <w:rPr>
          <w:rFonts w:ascii="Palatino Linotype" w:hAnsi="Palatino Linotype" w:cs="Arial"/>
        </w:rPr>
        <w:t xml:space="preserve">concluidos con la emisión de un laudo no favorable a los intereses personales de los actores, debe considerarse como información confidencial, en razón de que el hecho de presentar una demanda laboral y participar en el juicio correspondiente implica y presupone un acto de voluntad de quien lo realiza. </w:t>
      </w:r>
    </w:p>
    <w:p w:rsidR="00FA0D18" w:rsidRPr="00A67033" w:rsidRDefault="00FA0D18" w:rsidP="00FA0D18">
      <w:pPr>
        <w:spacing w:line="360" w:lineRule="auto"/>
        <w:ind w:right="49"/>
        <w:jc w:val="both"/>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bCs/>
        </w:rPr>
      </w:pPr>
      <w:r w:rsidRPr="00A67033">
        <w:rPr>
          <w:rFonts w:ascii="Palatino Linotype" w:hAnsi="Palatino Linotype" w:cs="Arial"/>
        </w:rPr>
        <w:t xml:space="preserve">Por otro lado, con relación a los juicios que se hayan concluido definitivamente, en los que </w:t>
      </w:r>
      <w:r w:rsidRPr="00A67033">
        <w:rPr>
          <w:rFonts w:ascii="Palatino Linotype" w:hAnsi="Palatino Linotype"/>
        </w:rPr>
        <w:t>se</w:t>
      </w:r>
      <w:r w:rsidRPr="00A67033">
        <w:rPr>
          <w:rFonts w:ascii="Palatino Linotype" w:hAnsi="Palatino Linotype" w:cs="Arial"/>
        </w:rPr>
        <w:t xml:space="preserve"> haya dictado un laudo en el que se condena al Sujeto Obligado al cumplimiento de lo reclamado, ya sea a la reinstalación del servidor público o al pago de indemnización y/o prestaciones económicas, es procedente ordenar la entrega en razón de que dada su naturaleza, ésta es de</w:t>
      </w:r>
      <w:r w:rsidRPr="00A67033">
        <w:rPr>
          <w:rFonts w:ascii="Palatino Linotype" w:hAnsi="Palatino Linotype" w:cs="Arial"/>
          <w:bCs/>
        </w:rPr>
        <w:t xml:space="preserve"> interés general y de alcance público, puesto que su acceso</w:t>
      </w:r>
      <w:r w:rsidRPr="00A67033">
        <w:rPr>
          <w:rFonts w:ascii="Palatino Linotype" w:hAnsi="Palatino Linotype" w:cs="Arial"/>
        </w:rPr>
        <w:t xml:space="preserve"> </w:t>
      </w:r>
      <w:r w:rsidRPr="00A67033">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asimismo, </w:t>
      </w:r>
      <w:r w:rsidRPr="00A67033">
        <w:rPr>
          <w:rFonts w:ascii="Palatino Linotype" w:hAnsi="Palatino Linotype" w:cs="Arial"/>
        </w:rPr>
        <w:t xml:space="preserve">devienen en una erogación con cargo al presupuesto de egresos, de la cual se deben rendir cuentas, para mayor referencia se cita dicho </w:t>
      </w:r>
      <w:r w:rsidRPr="00A67033">
        <w:rPr>
          <w:rFonts w:ascii="Palatino Linotype" w:hAnsi="Palatino Linotype" w:cs="Arial"/>
          <w:bCs/>
        </w:rPr>
        <w:t xml:space="preserve">precepto legal: </w:t>
      </w:r>
    </w:p>
    <w:p w:rsidR="00FA0D18" w:rsidRPr="00A67033" w:rsidRDefault="00FA0D18" w:rsidP="00FA0D18">
      <w:pPr>
        <w:jc w:val="both"/>
        <w:rPr>
          <w:rFonts w:ascii="Palatino Linotype" w:hAnsi="Palatino Linotype" w:cs="Arial"/>
          <w:bCs/>
          <w:sz w:val="22"/>
          <w:szCs w:val="22"/>
        </w:rPr>
      </w:pPr>
    </w:p>
    <w:p w:rsidR="00FA0D18" w:rsidRPr="00A67033" w:rsidRDefault="00FA0D18" w:rsidP="004B48BA">
      <w:pPr>
        <w:tabs>
          <w:tab w:val="left" w:pos="8222"/>
        </w:tabs>
        <w:spacing w:line="360" w:lineRule="auto"/>
        <w:ind w:left="567" w:right="616"/>
        <w:jc w:val="both"/>
        <w:rPr>
          <w:rFonts w:ascii="Palatino Linotype" w:hAnsi="Palatino Linotype" w:cs="Arial"/>
          <w:bCs/>
          <w:i/>
          <w:szCs w:val="22"/>
        </w:rPr>
      </w:pPr>
      <w:r w:rsidRPr="00A67033">
        <w:rPr>
          <w:rFonts w:ascii="Palatino Linotype" w:hAnsi="Palatino Linotype" w:cs="Arial"/>
          <w:bCs/>
          <w:i/>
          <w:szCs w:val="22"/>
        </w:rPr>
        <w:t>“</w:t>
      </w:r>
      <w:r w:rsidRPr="00A67033">
        <w:rPr>
          <w:rFonts w:ascii="Palatino Linotype" w:hAnsi="Palatino Linotype" w:cs="Arial"/>
          <w:b/>
          <w:bCs/>
          <w:i/>
          <w:szCs w:val="22"/>
        </w:rPr>
        <w:t>Artículo 23</w:t>
      </w:r>
      <w:r w:rsidRPr="00A67033">
        <w:rPr>
          <w:rFonts w:ascii="Palatino Linotype" w:hAnsi="Palatino Linotype" w:cs="Arial"/>
          <w:bCs/>
          <w:i/>
          <w:szCs w:val="22"/>
        </w:rPr>
        <w:t xml:space="preserve"> Son </w:t>
      </w:r>
      <w:r w:rsidRPr="00A67033">
        <w:rPr>
          <w:rFonts w:ascii="Palatino Linotype" w:eastAsia="Calibri" w:hAnsi="Palatino Linotype" w:cs="Arial"/>
          <w:i/>
          <w:szCs w:val="22"/>
          <w:lang w:eastAsia="en-US"/>
        </w:rPr>
        <w:t>sujetos</w:t>
      </w:r>
      <w:r w:rsidRPr="00A67033">
        <w:rPr>
          <w:rFonts w:ascii="Palatino Linotype" w:hAnsi="Palatino Linotype" w:cs="Arial"/>
          <w:bCs/>
          <w:i/>
          <w:szCs w:val="22"/>
        </w:rPr>
        <w:t xml:space="preserve"> obligados a transparentar y permitir el acceso a su información y proteger los datos personales que obren en su poder:</w:t>
      </w:r>
    </w:p>
    <w:p w:rsidR="00FA0D18" w:rsidRPr="00A67033" w:rsidRDefault="00FA0D18" w:rsidP="004B48BA">
      <w:pPr>
        <w:spacing w:line="360" w:lineRule="auto"/>
        <w:ind w:left="567" w:right="616"/>
        <w:jc w:val="both"/>
        <w:rPr>
          <w:rFonts w:ascii="Palatino Linotype" w:hAnsi="Palatino Linotype" w:cs="Arial"/>
          <w:bCs/>
          <w:i/>
          <w:szCs w:val="22"/>
        </w:rPr>
      </w:pPr>
    </w:p>
    <w:p w:rsidR="00FA0D18" w:rsidRPr="00A67033" w:rsidRDefault="00FA0D18" w:rsidP="004B48BA">
      <w:pPr>
        <w:tabs>
          <w:tab w:val="left" w:pos="8222"/>
        </w:tabs>
        <w:spacing w:line="360" w:lineRule="auto"/>
        <w:ind w:left="567" w:right="616"/>
        <w:jc w:val="both"/>
        <w:rPr>
          <w:rFonts w:ascii="Palatino Linotype" w:hAnsi="Palatino Linotype" w:cs="Arial"/>
          <w:bCs/>
          <w:i/>
          <w:szCs w:val="22"/>
        </w:rPr>
      </w:pPr>
      <w:r w:rsidRPr="00A67033">
        <w:rPr>
          <w:rFonts w:ascii="Palatino Linotype" w:hAnsi="Palatino Linotype" w:cs="Arial"/>
          <w:b/>
          <w:bCs/>
          <w:i/>
          <w:szCs w:val="22"/>
        </w:rPr>
        <w:lastRenderedPageBreak/>
        <w:t>IV.</w:t>
      </w:r>
      <w:r w:rsidRPr="00A67033">
        <w:rPr>
          <w:rFonts w:ascii="Palatino Linotype" w:hAnsi="Palatino Linotype" w:cs="Arial"/>
          <w:bCs/>
          <w:i/>
          <w:szCs w:val="22"/>
        </w:rPr>
        <w:t xml:space="preserve"> Los ayuntamientos </w:t>
      </w:r>
      <w:r w:rsidRPr="00A67033">
        <w:rPr>
          <w:rFonts w:ascii="Palatino Linotype" w:hAnsi="Palatino Linotype" w:cs="Arial"/>
          <w:b/>
          <w:bCs/>
          <w:i/>
          <w:szCs w:val="22"/>
          <w:u w:val="single"/>
        </w:rPr>
        <w:t>y las dependencias, organismos, órganos y entidades de la administración municipal;</w:t>
      </w:r>
    </w:p>
    <w:p w:rsidR="00FA0D18" w:rsidRPr="00A67033" w:rsidRDefault="00FA0D18" w:rsidP="004B48BA">
      <w:pPr>
        <w:spacing w:line="360" w:lineRule="auto"/>
        <w:ind w:left="567" w:right="616"/>
        <w:jc w:val="both"/>
        <w:rPr>
          <w:rFonts w:ascii="Palatino Linotype" w:hAnsi="Palatino Linotype" w:cs="Arial"/>
          <w:bCs/>
          <w:i/>
          <w:szCs w:val="22"/>
        </w:rPr>
      </w:pPr>
    </w:p>
    <w:p w:rsidR="00FA0D18" w:rsidRPr="00A67033" w:rsidRDefault="00FA0D18" w:rsidP="004B48BA">
      <w:pPr>
        <w:tabs>
          <w:tab w:val="left" w:pos="8222"/>
        </w:tabs>
        <w:spacing w:line="360" w:lineRule="auto"/>
        <w:ind w:left="567" w:right="616"/>
        <w:jc w:val="both"/>
        <w:rPr>
          <w:rFonts w:ascii="Palatino Linotype" w:hAnsi="Palatino Linotype" w:cs="Arial"/>
          <w:bCs/>
          <w:i/>
          <w:szCs w:val="22"/>
        </w:rPr>
      </w:pPr>
      <w:r w:rsidRPr="00A67033">
        <w:rPr>
          <w:rFonts w:ascii="Palatino Linotype" w:hAnsi="Palatino Linotype" w:cs="Arial"/>
          <w:bCs/>
          <w:i/>
          <w:szCs w:val="22"/>
        </w:rPr>
        <w:t>Los sujetos obligados deberán hacer pública toda aquella información relativa a los montos y las personas a quienes entreguen, por cualquier motivo, recursos públicos, así como los informes que dichas personas les entreguen sobre el uso y de</w:t>
      </w:r>
      <w:r w:rsidR="004B48BA" w:rsidRPr="00A67033">
        <w:rPr>
          <w:rFonts w:ascii="Palatino Linotype" w:hAnsi="Palatino Linotype" w:cs="Arial"/>
          <w:bCs/>
          <w:i/>
          <w:szCs w:val="22"/>
        </w:rPr>
        <w:t>stino de dichos recursos.”</w:t>
      </w:r>
    </w:p>
    <w:p w:rsidR="004B48BA" w:rsidRPr="00A67033" w:rsidRDefault="004B48BA" w:rsidP="004B48BA">
      <w:pPr>
        <w:tabs>
          <w:tab w:val="left" w:pos="8222"/>
        </w:tabs>
        <w:spacing w:line="360" w:lineRule="auto"/>
        <w:ind w:left="567" w:right="616"/>
        <w:jc w:val="both"/>
        <w:rPr>
          <w:rFonts w:ascii="Palatino Linotype" w:hAnsi="Palatino Linotype" w:cs="Arial"/>
          <w:b/>
          <w:bCs/>
          <w:szCs w:val="22"/>
        </w:rPr>
      </w:pPr>
      <w:r w:rsidRPr="00A67033">
        <w:rPr>
          <w:rFonts w:ascii="Palatino Linotype" w:hAnsi="Palatino Linotype" w:cs="Arial"/>
          <w:bCs/>
          <w:szCs w:val="22"/>
        </w:rPr>
        <w:t>Énfasis añadido</w:t>
      </w:r>
    </w:p>
    <w:p w:rsidR="00FA0D18" w:rsidRPr="00A67033" w:rsidRDefault="00FA0D18" w:rsidP="00FA0D18">
      <w:pPr>
        <w:autoSpaceDE w:val="0"/>
        <w:autoSpaceDN w:val="0"/>
        <w:adjustRightInd w:val="0"/>
        <w:jc w:val="both"/>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 xml:space="preserve">En atención a lo anterior, </w:t>
      </w:r>
      <w:r w:rsidR="00127869" w:rsidRPr="00A67033">
        <w:rPr>
          <w:rFonts w:ascii="Palatino Linotype" w:hAnsi="Palatino Linotype" w:cs="Arial"/>
        </w:rPr>
        <w:t xml:space="preserve">la información solicitada por </w:t>
      </w:r>
      <w:r w:rsidR="00127869" w:rsidRPr="00A67033">
        <w:rPr>
          <w:rFonts w:ascii="Palatino Linotype" w:hAnsi="Palatino Linotype" w:cs="Arial"/>
          <w:b/>
        </w:rPr>
        <w:t>EL RECURRENTE</w:t>
      </w:r>
      <w:r w:rsidRPr="00A67033">
        <w:rPr>
          <w:rFonts w:ascii="Palatino Linotype" w:hAnsi="Palatino Linotype" w:cs="Arial"/>
        </w:rPr>
        <w:t>, al tratarse de la entrega de recursos públicos que forman parte del presupuesto del Sujeto Obligado, a quienes fueran servidores públicos, debe ser pública, ya que además de garantizar el ejercicio de acceso a la información y transparentar la gestión pública, favorece a la rendición de cuentas, pues con ello, se verificaría la cantidad de dinero que fue entregada a un particular en su carácter de ex servidor público, en cumplimiento a una resolución  judicial.</w:t>
      </w:r>
    </w:p>
    <w:p w:rsidR="00FA0D18" w:rsidRPr="00A67033" w:rsidRDefault="00FA0D18" w:rsidP="00FA0D18">
      <w:pPr>
        <w:spacing w:line="360" w:lineRule="auto"/>
        <w:ind w:right="49"/>
        <w:jc w:val="both"/>
        <w:rPr>
          <w:rFonts w:ascii="Palatino Linotype" w:hAnsi="Palatino Linotype" w:cs="Arial"/>
          <w:lang w:val="es-ES"/>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 xml:space="preserve">Por cuanto hace a los expedientes que se encuentren en trámite, </w:t>
      </w:r>
      <w:r w:rsidRPr="00A67033">
        <w:rPr>
          <w:rFonts w:ascii="Palatino Linotype" w:hAnsi="Palatino Linotype"/>
          <w:b/>
        </w:rPr>
        <w:t>así como los expedientes concluidos en los que el laudo no resultó favorable para la parte actora</w:t>
      </w:r>
      <w:r w:rsidRPr="00A67033">
        <w:rPr>
          <w:rFonts w:ascii="Palatino Linotype" w:hAnsi="Palatino Linotype"/>
        </w:rPr>
        <w:t xml:space="preserve">, el Comité de Transparencia deberá emitir el Acuerdo de Clasificación correspondiente en términos precisados con anterioridad. </w:t>
      </w:r>
    </w:p>
    <w:p w:rsidR="00FA0D18" w:rsidRPr="00A67033" w:rsidRDefault="00FA0D18" w:rsidP="00FA0D18">
      <w:pPr>
        <w:shd w:val="clear" w:color="auto" w:fill="FFFFFF"/>
        <w:spacing w:line="360" w:lineRule="auto"/>
        <w:ind w:right="49"/>
        <w:jc w:val="both"/>
        <w:rPr>
          <w:rFonts w:ascii="Palatino Linotype" w:hAnsi="Palatino Linotype"/>
          <w:lang w:val="es-ES"/>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bCs/>
        </w:rPr>
      </w:pPr>
      <w:r w:rsidRPr="00A67033">
        <w:rPr>
          <w:rFonts w:ascii="Palatino Linotype" w:hAnsi="Palatino Linotype"/>
          <w:lang w:val="es-ES"/>
        </w:rPr>
        <w:t xml:space="preserve">Es así que, </w:t>
      </w:r>
      <w:r w:rsidRPr="00A67033">
        <w:rPr>
          <w:rFonts w:ascii="Palatino Linotype" w:hAnsi="Palatino Linotype" w:cs="Arial"/>
        </w:rPr>
        <w:t xml:space="preserve">los documentos de los cuales se ordena su entrega deberán ser entregados en </w:t>
      </w:r>
      <w:r w:rsidRPr="00A67033">
        <w:rPr>
          <w:rFonts w:ascii="Palatino Linotype" w:hAnsi="Palatino Linotype" w:cs="Arial"/>
          <w:b/>
        </w:rPr>
        <w:t>versión pública</w:t>
      </w:r>
      <w:r w:rsidRPr="00A67033">
        <w:rPr>
          <w:rFonts w:ascii="Palatino Linotype" w:hAnsi="Palatino Linotype" w:cs="Arial"/>
        </w:rPr>
        <w:t>; pues, el</w:t>
      </w:r>
      <w:r w:rsidRPr="00A67033">
        <w:rPr>
          <w:rFonts w:ascii="Palatino Linotype" w:hAnsi="Palatino Linotype" w:cs="Arial"/>
          <w:bCs/>
        </w:rPr>
        <w:t xml:space="preserve"> derecho de acceso a la información pública tiene como limitante el respeto a la intimidad y a la vida privada de las personas, es </w:t>
      </w:r>
      <w:r w:rsidRPr="00A67033">
        <w:rPr>
          <w:rFonts w:ascii="Palatino Linotype" w:hAnsi="Palatino Linotype" w:cs="Arial"/>
          <w:bCs/>
        </w:rPr>
        <w:lastRenderedPageBreak/>
        <w:t xml:space="preserve">por ello que este </w:t>
      </w:r>
      <w:r w:rsidRPr="00A67033">
        <w:rPr>
          <w:rFonts w:ascii="Palatino Linotype" w:hAnsi="Palatino Linotype"/>
        </w:rPr>
        <w:t>Instituto</w:t>
      </w:r>
      <w:r w:rsidRPr="00A67033">
        <w:rPr>
          <w:rFonts w:ascii="Palatino Linotype" w:hAnsi="Palatino Linotype" w:cs="Arial"/>
          <w:bCs/>
        </w:rPr>
        <w:t xml:space="preserve">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FA0D18" w:rsidRPr="00A67033" w:rsidRDefault="00FA0D18" w:rsidP="00FA0D18">
      <w:pPr>
        <w:spacing w:line="360" w:lineRule="auto"/>
        <w:jc w:val="both"/>
        <w:rPr>
          <w:rFonts w:ascii="Palatino Linotype" w:eastAsia="Calibri" w:hAnsi="Palatino Linotype" w:cs="Arial"/>
          <w:bCs/>
          <w:lang w:eastAsia="en-US"/>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bCs/>
        </w:rPr>
      </w:pPr>
      <w:r w:rsidRPr="00A67033">
        <w:rPr>
          <w:rFonts w:ascii="Palatino Linotype" w:hAnsi="Palatino Linotype" w:cs="Arial"/>
          <w:bCs/>
        </w:rPr>
        <w:t xml:space="preserve">A este </w:t>
      </w:r>
      <w:r w:rsidRPr="00A67033">
        <w:rPr>
          <w:rFonts w:ascii="Palatino Linotype" w:hAnsi="Palatino Linotype"/>
          <w:lang w:val="es-ES"/>
        </w:rPr>
        <w:t>respecto</w:t>
      </w:r>
      <w:r w:rsidRPr="00A67033">
        <w:rPr>
          <w:rFonts w:ascii="Palatino Linotype" w:hAnsi="Palatino Linotype" w:cs="Arial"/>
          <w:bCs/>
        </w:rPr>
        <w:t>, los artículos 3, fracciones IX, XX, XXI y XLV; 51 y 52 de la Ley de Transparencia y Acceso a la Información Pública del Estado de México y Municipios establecen:</w:t>
      </w:r>
    </w:p>
    <w:p w:rsidR="00FA0D18" w:rsidRPr="00A67033" w:rsidRDefault="00FA0D18" w:rsidP="00FA0D18">
      <w:pPr>
        <w:autoSpaceDE w:val="0"/>
        <w:autoSpaceDN w:val="0"/>
        <w:adjustRightInd w:val="0"/>
        <w:ind w:right="899"/>
        <w:jc w:val="both"/>
        <w:rPr>
          <w:rFonts w:ascii="Palatino Linotype" w:hAnsi="Palatino Linotype" w:cs="Arial"/>
        </w:rPr>
      </w:pPr>
    </w:p>
    <w:p w:rsidR="00FA0D18" w:rsidRPr="00A67033" w:rsidRDefault="00FA0D18" w:rsidP="004B48BA">
      <w:pPr>
        <w:spacing w:line="360" w:lineRule="auto"/>
        <w:ind w:left="709" w:right="618"/>
        <w:jc w:val="both"/>
        <w:rPr>
          <w:rFonts w:ascii="Palatino Linotype" w:hAnsi="Palatino Linotype"/>
          <w:i/>
          <w:szCs w:val="22"/>
        </w:rPr>
      </w:pPr>
      <w:r w:rsidRPr="00A67033">
        <w:rPr>
          <w:rFonts w:ascii="Palatino Linotype" w:hAnsi="Palatino Linotype" w:cs="Arial"/>
          <w:b/>
          <w:bCs/>
          <w:i/>
          <w:noProof/>
          <w:szCs w:val="22"/>
        </w:rPr>
        <w:t>“</w:t>
      </w:r>
      <w:r w:rsidRPr="00A67033">
        <w:rPr>
          <w:rFonts w:ascii="Palatino Linotype" w:hAnsi="Palatino Linotype" w:cs="Arial"/>
          <w:b/>
          <w:bCs/>
          <w:i/>
          <w:szCs w:val="22"/>
        </w:rPr>
        <w:t xml:space="preserve">Artículo 3. </w:t>
      </w:r>
      <w:r w:rsidRPr="00A67033">
        <w:rPr>
          <w:rFonts w:ascii="Palatino Linotype" w:hAnsi="Palatino Linotype"/>
          <w:i/>
          <w:szCs w:val="22"/>
        </w:rPr>
        <w:t xml:space="preserve">Para los efectos de la presente Ley se entenderá por: </w:t>
      </w:r>
    </w:p>
    <w:p w:rsidR="00FA0D18" w:rsidRPr="00A67033" w:rsidRDefault="00FA0D18" w:rsidP="004B48BA">
      <w:pPr>
        <w:spacing w:line="360" w:lineRule="auto"/>
        <w:ind w:left="709" w:right="618"/>
        <w:jc w:val="both"/>
        <w:rPr>
          <w:rFonts w:ascii="Palatino Linotype" w:hAnsi="Palatino Linotype" w:cs="Arial"/>
          <w:i/>
          <w:szCs w:val="22"/>
        </w:rPr>
      </w:pPr>
      <w:r w:rsidRPr="00A67033">
        <w:rPr>
          <w:rFonts w:ascii="Palatino Linotype" w:hAnsi="Palatino Linotype" w:cs="Arial"/>
          <w:b/>
          <w:i/>
          <w:szCs w:val="22"/>
        </w:rPr>
        <w:t>IX.</w:t>
      </w:r>
      <w:r w:rsidRPr="00A67033">
        <w:rPr>
          <w:rFonts w:ascii="Palatino Linotype" w:hAnsi="Palatino Linotype" w:cs="Arial"/>
          <w:i/>
          <w:szCs w:val="22"/>
        </w:rPr>
        <w:t xml:space="preserve"> </w:t>
      </w:r>
      <w:r w:rsidRPr="00A67033">
        <w:rPr>
          <w:rFonts w:ascii="Palatino Linotype" w:hAnsi="Palatino Linotype" w:cs="Arial"/>
          <w:b/>
          <w:i/>
          <w:szCs w:val="22"/>
        </w:rPr>
        <w:t xml:space="preserve">Datos personales: </w:t>
      </w:r>
      <w:r w:rsidRPr="00A67033">
        <w:rPr>
          <w:rFonts w:ascii="Palatino Linotype" w:hAnsi="Palatino Linotype" w:cs="Arial"/>
          <w:i/>
          <w:szCs w:val="22"/>
        </w:rPr>
        <w:t xml:space="preserve">La información concerniente a una persona, identificada o identificable según lo dispuesto por la Ley de </w:t>
      </w:r>
      <w:r w:rsidRPr="00A67033">
        <w:rPr>
          <w:rFonts w:ascii="Palatino Linotype" w:hAnsi="Palatino Linotype"/>
          <w:i/>
          <w:szCs w:val="22"/>
        </w:rPr>
        <w:t>Protección</w:t>
      </w:r>
      <w:r w:rsidRPr="00A67033">
        <w:rPr>
          <w:rFonts w:ascii="Palatino Linotype" w:hAnsi="Palatino Linotype" w:cs="Arial"/>
          <w:i/>
          <w:szCs w:val="22"/>
        </w:rPr>
        <w:t xml:space="preserve"> de Datos Personales del Estado de México; </w:t>
      </w:r>
    </w:p>
    <w:p w:rsidR="00FA0D18" w:rsidRPr="00A67033" w:rsidRDefault="00FA0D18" w:rsidP="004B48BA">
      <w:pPr>
        <w:spacing w:line="360" w:lineRule="auto"/>
        <w:ind w:left="709" w:right="618"/>
        <w:jc w:val="both"/>
        <w:rPr>
          <w:rFonts w:ascii="Palatino Linotype" w:hAnsi="Palatino Linotype" w:cs="Arial"/>
          <w:i/>
          <w:szCs w:val="22"/>
        </w:rPr>
      </w:pPr>
      <w:r w:rsidRPr="00A67033">
        <w:rPr>
          <w:rFonts w:ascii="Palatino Linotype" w:hAnsi="Palatino Linotype" w:cs="Arial"/>
          <w:b/>
          <w:i/>
          <w:szCs w:val="22"/>
        </w:rPr>
        <w:t>XX.</w:t>
      </w:r>
      <w:r w:rsidRPr="00A67033">
        <w:rPr>
          <w:rFonts w:ascii="Palatino Linotype" w:hAnsi="Palatino Linotype" w:cs="Arial"/>
          <w:i/>
          <w:szCs w:val="22"/>
        </w:rPr>
        <w:t xml:space="preserve"> </w:t>
      </w:r>
      <w:r w:rsidRPr="00A67033">
        <w:rPr>
          <w:rFonts w:ascii="Palatino Linotype" w:hAnsi="Palatino Linotype" w:cs="Arial"/>
          <w:b/>
          <w:i/>
          <w:szCs w:val="22"/>
        </w:rPr>
        <w:t>Información clasificada:</w:t>
      </w:r>
      <w:r w:rsidRPr="00A67033">
        <w:rPr>
          <w:rFonts w:ascii="Palatino Linotype" w:hAnsi="Palatino Linotype" w:cs="Arial"/>
          <w:i/>
          <w:szCs w:val="22"/>
        </w:rPr>
        <w:t xml:space="preserve"> Aquella considerada por la presente Ley como reservada o confidencial; </w:t>
      </w:r>
    </w:p>
    <w:p w:rsidR="00FA0D18" w:rsidRPr="00A67033" w:rsidRDefault="00FA0D18" w:rsidP="004B48BA">
      <w:pPr>
        <w:spacing w:line="360" w:lineRule="auto"/>
        <w:ind w:left="709" w:right="618"/>
        <w:jc w:val="both"/>
        <w:rPr>
          <w:rFonts w:ascii="Palatino Linotype" w:hAnsi="Palatino Linotype" w:cs="Arial"/>
          <w:i/>
          <w:szCs w:val="22"/>
        </w:rPr>
      </w:pPr>
      <w:r w:rsidRPr="00A67033">
        <w:rPr>
          <w:rFonts w:ascii="Palatino Linotype" w:hAnsi="Palatino Linotype" w:cs="Arial"/>
          <w:b/>
          <w:i/>
          <w:szCs w:val="22"/>
        </w:rPr>
        <w:t>XXI.</w:t>
      </w:r>
      <w:r w:rsidRPr="00A67033">
        <w:rPr>
          <w:rFonts w:ascii="Palatino Linotype" w:hAnsi="Palatino Linotype" w:cs="Arial"/>
          <w:i/>
          <w:szCs w:val="22"/>
        </w:rPr>
        <w:t xml:space="preserve"> </w:t>
      </w:r>
      <w:r w:rsidRPr="00A67033">
        <w:rPr>
          <w:rFonts w:ascii="Palatino Linotype" w:hAnsi="Palatino Linotype" w:cs="Arial"/>
          <w:b/>
          <w:i/>
          <w:szCs w:val="22"/>
        </w:rPr>
        <w:t>Información confidencial</w:t>
      </w:r>
      <w:r w:rsidRPr="00A67033">
        <w:rPr>
          <w:rFonts w:ascii="Palatino Linotype" w:hAnsi="Palatino Linotype" w:cs="Arial"/>
          <w:i/>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FA0D18" w:rsidRPr="00A67033" w:rsidRDefault="00FA0D18" w:rsidP="004B48BA">
      <w:pPr>
        <w:spacing w:line="360" w:lineRule="auto"/>
        <w:ind w:left="709" w:right="618"/>
        <w:jc w:val="both"/>
        <w:rPr>
          <w:rFonts w:ascii="Palatino Linotype" w:hAnsi="Palatino Linotype" w:cs="Arial"/>
          <w:i/>
          <w:szCs w:val="22"/>
        </w:rPr>
      </w:pPr>
      <w:r w:rsidRPr="00A67033">
        <w:rPr>
          <w:rFonts w:ascii="Palatino Linotype" w:hAnsi="Palatino Linotype" w:cs="Arial"/>
          <w:b/>
          <w:i/>
          <w:szCs w:val="22"/>
        </w:rPr>
        <w:t>XLV. Versión pública:</w:t>
      </w:r>
      <w:r w:rsidRPr="00A67033">
        <w:rPr>
          <w:rFonts w:ascii="Palatino Linotype" w:hAnsi="Palatino Linotype" w:cs="Arial"/>
          <w:i/>
          <w:szCs w:val="22"/>
        </w:rPr>
        <w:t xml:space="preserve"> Documento en el que se elimine, suprime o borra la información clasificada como reservada o confidencial para permitir su acceso. </w:t>
      </w:r>
    </w:p>
    <w:p w:rsidR="00FA0D18" w:rsidRPr="00A67033" w:rsidRDefault="00FA0D18" w:rsidP="004B48BA">
      <w:pPr>
        <w:spacing w:line="360" w:lineRule="auto"/>
        <w:ind w:left="709" w:right="618"/>
        <w:jc w:val="both"/>
        <w:rPr>
          <w:rFonts w:ascii="Palatino Linotype" w:hAnsi="Palatino Linotype" w:cs="Arial"/>
          <w:i/>
          <w:szCs w:val="22"/>
        </w:rPr>
      </w:pPr>
      <w:r w:rsidRPr="00A67033">
        <w:rPr>
          <w:rFonts w:ascii="Palatino Linotype" w:hAnsi="Palatino Linotype" w:cs="Arial"/>
          <w:b/>
          <w:i/>
          <w:szCs w:val="22"/>
        </w:rPr>
        <w:lastRenderedPageBreak/>
        <w:t>Artículo 51.</w:t>
      </w:r>
      <w:r w:rsidRPr="00A67033">
        <w:rPr>
          <w:rFonts w:ascii="Palatino Linotype" w:hAnsi="Palatino Linotype" w:cs="Arial"/>
          <w:i/>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67033">
        <w:rPr>
          <w:rFonts w:ascii="Palatino Linotype" w:hAnsi="Palatino Linotype" w:cs="Arial"/>
          <w:b/>
          <w:i/>
          <w:szCs w:val="22"/>
        </w:rPr>
        <w:t xml:space="preserve">y tendrá la responsabilidad de verificar en cada caso que la misma no sea confidencial o reservada. </w:t>
      </w:r>
      <w:r w:rsidRPr="00A67033">
        <w:rPr>
          <w:rFonts w:ascii="Palatino Linotype" w:hAnsi="Palatino Linotype" w:cs="Arial"/>
          <w:i/>
          <w:szCs w:val="22"/>
        </w:rPr>
        <w:t xml:space="preserve">Dicha Unidad contará con las facultades internas necesarias para gestionar la atención a las solicitudes de información en los términos de la Ley General y la presente Ley. </w:t>
      </w:r>
    </w:p>
    <w:p w:rsidR="00FA0D18" w:rsidRPr="00A67033" w:rsidRDefault="00FA0D18" w:rsidP="004B48BA">
      <w:pPr>
        <w:spacing w:line="360" w:lineRule="auto"/>
        <w:ind w:left="709" w:right="618"/>
        <w:jc w:val="both"/>
        <w:rPr>
          <w:rFonts w:ascii="Palatino Linotype" w:hAnsi="Palatino Linotype" w:cs="Arial"/>
          <w:i/>
          <w:szCs w:val="22"/>
        </w:rPr>
      </w:pPr>
      <w:r w:rsidRPr="00A67033">
        <w:rPr>
          <w:rFonts w:ascii="Palatino Linotype" w:hAnsi="Palatino Linotype" w:cs="Arial"/>
          <w:b/>
          <w:i/>
          <w:szCs w:val="22"/>
        </w:rPr>
        <w:t>Artículo 52.</w:t>
      </w:r>
      <w:r w:rsidRPr="00A67033">
        <w:rPr>
          <w:rFonts w:ascii="Palatino Linotype" w:hAnsi="Palatino Linotype" w:cs="Arial"/>
          <w:i/>
          <w:szCs w:val="22"/>
        </w:rPr>
        <w:t xml:space="preserve"> Las solicitudes de acceso a la información y las respuestas que se les dé, incluyendo, en su caso, </w:t>
      </w:r>
      <w:r w:rsidRPr="00A67033">
        <w:rPr>
          <w:rFonts w:ascii="Palatino Linotype" w:hAnsi="Palatino Linotype" w:cs="Arial"/>
          <w:i/>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67033">
        <w:rPr>
          <w:rFonts w:ascii="Palatino Linotype" w:hAnsi="Palatino Linotype" w:cs="Arial"/>
          <w:i/>
          <w:szCs w:val="22"/>
        </w:rPr>
        <w:t>, siempre y cuando la resolución de referencia se someta a un proceso de disociación, es decir, no haga identificable al titular de tales datos personales.</w:t>
      </w:r>
      <w:r w:rsidRPr="00A67033">
        <w:rPr>
          <w:rFonts w:ascii="Palatino Linotype" w:hAnsi="Palatino Linotype" w:cs="Arial"/>
          <w:bCs/>
          <w:i/>
          <w:noProof/>
          <w:szCs w:val="22"/>
        </w:rPr>
        <w:t>”</w:t>
      </w:r>
    </w:p>
    <w:p w:rsidR="00FA0D18" w:rsidRPr="00A67033" w:rsidRDefault="00FA0D18" w:rsidP="00FA0D18">
      <w:pPr>
        <w:ind w:right="899" w:firstLine="708"/>
        <w:jc w:val="both"/>
        <w:rPr>
          <w:rFonts w:ascii="Palatino Linotype" w:hAnsi="Palatino Linotype" w:cs="Arial"/>
          <w:sz w:val="22"/>
          <w:szCs w:val="22"/>
        </w:rPr>
      </w:pPr>
      <w:r w:rsidRPr="00A67033">
        <w:rPr>
          <w:rFonts w:ascii="Palatino Linotype" w:hAnsi="Palatino Linotype" w:cs="Arial"/>
          <w:sz w:val="22"/>
          <w:szCs w:val="22"/>
        </w:rPr>
        <w:t>(Énfasis añadido)</w:t>
      </w:r>
    </w:p>
    <w:p w:rsidR="00FA0D18" w:rsidRPr="00A67033" w:rsidRDefault="00FA0D18" w:rsidP="00FA0D18">
      <w:pPr>
        <w:ind w:right="899" w:firstLine="708"/>
        <w:jc w:val="both"/>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 xml:space="preserve">Así, los datos personales que obren en poder de los Sujetos Obligados deben estar </w:t>
      </w:r>
      <w:r w:rsidRPr="00A67033">
        <w:rPr>
          <w:rFonts w:ascii="Palatino Linotype" w:hAnsi="Palatino Linotype" w:cs="Arial"/>
          <w:bCs/>
        </w:rPr>
        <w:t>protegidos</w:t>
      </w:r>
      <w:r w:rsidRPr="00A67033">
        <w:rPr>
          <w:rFonts w:ascii="Palatino Linotype" w:hAnsi="Palatino Linotype" w:cs="Arial"/>
        </w:rPr>
        <w:t xml:space="preserve">,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FA0D18" w:rsidRPr="00A67033" w:rsidRDefault="00FA0D18" w:rsidP="004B48BA">
      <w:pPr>
        <w:spacing w:line="360" w:lineRule="auto"/>
        <w:ind w:left="567" w:right="616"/>
        <w:jc w:val="both"/>
        <w:rPr>
          <w:rFonts w:ascii="Palatino Linotype" w:eastAsia="Arial Unicode MS" w:hAnsi="Palatino Linotype" w:cs="Arial"/>
          <w:i/>
        </w:rPr>
      </w:pPr>
      <w:r w:rsidRPr="00A67033">
        <w:rPr>
          <w:rFonts w:ascii="Palatino Linotype" w:eastAsia="Arial Unicode MS" w:hAnsi="Palatino Linotype" w:cs="Arial"/>
          <w:b/>
          <w:i/>
        </w:rPr>
        <w:lastRenderedPageBreak/>
        <w:t>“Artículo 22.</w:t>
      </w:r>
      <w:r w:rsidRPr="00A67033">
        <w:rPr>
          <w:rFonts w:ascii="Palatino Linotype" w:eastAsia="Arial Unicode MS"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  </w:t>
      </w:r>
    </w:p>
    <w:p w:rsidR="004B48BA" w:rsidRPr="00A67033" w:rsidRDefault="004B48BA" w:rsidP="004B48BA">
      <w:pPr>
        <w:spacing w:line="360" w:lineRule="auto"/>
        <w:ind w:left="567" w:right="616"/>
        <w:jc w:val="both"/>
        <w:rPr>
          <w:rFonts w:ascii="Palatino Linotype" w:eastAsia="Arial Unicode MS" w:hAnsi="Palatino Linotype" w:cs="Arial"/>
          <w:i/>
        </w:rPr>
      </w:pPr>
    </w:p>
    <w:p w:rsidR="00FA0D18" w:rsidRPr="00A67033" w:rsidRDefault="00FA0D18" w:rsidP="004B48BA">
      <w:pPr>
        <w:spacing w:line="360" w:lineRule="auto"/>
        <w:ind w:left="567" w:right="616"/>
        <w:jc w:val="both"/>
        <w:rPr>
          <w:rFonts w:ascii="Palatino Linotype" w:eastAsia="Arial Unicode MS" w:hAnsi="Palatino Linotype" w:cs="Arial"/>
          <w:i/>
        </w:rPr>
      </w:pPr>
      <w:r w:rsidRPr="00A67033">
        <w:rPr>
          <w:rFonts w:ascii="Palatino Linotype" w:eastAsia="Arial Unicode MS" w:hAnsi="Palatino Linotype" w:cs="Arial"/>
          <w:b/>
          <w:i/>
        </w:rPr>
        <w:t>Artículo 38.</w:t>
      </w:r>
      <w:r w:rsidRPr="00A67033">
        <w:rPr>
          <w:rFonts w:ascii="Palatino Linotype" w:eastAsia="Arial Unicode MS"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67033">
        <w:rPr>
          <w:rFonts w:ascii="Palatino Linotype" w:eastAsia="Arial Unicode MS" w:hAnsi="Palatino Linotype" w:cs="Arial"/>
          <w:b/>
          <w:i/>
        </w:rPr>
        <w:t>”</w:t>
      </w:r>
      <w:r w:rsidRPr="00A67033">
        <w:rPr>
          <w:rFonts w:ascii="Palatino Linotype" w:eastAsia="Arial Unicode MS" w:hAnsi="Palatino Linotype" w:cs="Arial"/>
          <w:i/>
        </w:rPr>
        <w:t xml:space="preserve"> </w:t>
      </w:r>
    </w:p>
    <w:p w:rsidR="00FA0D18" w:rsidRPr="00A67033" w:rsidRDefault="00FA0D18" w:rsidP="00FA0D18">
      <w:pPr>
        <w:ind w:left="851" w:right="850"/>
        <w:jc w:val="both"/>
        <w:rPr>
          <w:rFonts w:ascii="Palatino Linotype" w:eastAsia="Arial Unicode MS" w:hAnsi="Palatino Linotype" w:cs="Arial"/>
          <w:i/>
          <w:sz w:val="22"/>
          <w:szCs w:val="22"/>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FA0D18" w:rsidRPr="00A67033" w:rsidRDefault="00FA0D18" w:rsidP="00FA0D18">
      <w:pPr>
        <w:spacing w:line="360" w:lineRule="auto"/>
        <w:jc w:val="both"/>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67033">
        <w:rPr>
          <w:rFonts w:ascii="Palatino Linotype" w:eastAsia="Arial Unicode MS" w:hAnsi="Palatino Linotype" w:cs="Arial"/>
        </w:rPr>
        <w:t xml:space="preserve"> que debe ser </w:t>
      </w:r>
      <w:r w:rsidRPr="00A67033">
        <w:rPr>
          <w:rFonts w:ascii="Palatino Linotype" w:eastAsia="Arial Unicode MS" w:hAnsi="Palatino Linotype" w:cs="Arial"/>
        </w:rPr>
        <w:lastRenderedPageBreak/>
        <w:t xml:space="preserve">protegida por </w:t>
      </w:r>
      <w:r w:rsidRPr="00A67033">
        <w:rPr>
          <w:rFonts w:ascii="Palatino Linotype" w:eastAsia="Arial Unicode MS" w:hAnsi="Palatino Linotype" w:cs="Arial"/>
          <w:b/>
        </w:rPr>
        <w:t>EL SUJETO OBLIGADO,</w:t>
      </w:r>
      <w:r w:rsidRPr="00A67033">
        <w:rPr>
          <w:rFonts w:ascii="Palatino Linotype" w:eastAsia="Arial Unicode MS" w:hAnsi="Palatino Linotype" w:cs="Arial"/>
        </w:rPr>
        <w:t xml:space="preserve"> por lo </w:t>
      </w:r>
      <w:r w:rsidRPr="00A67033">
        <w:rPr>
          <w:rFonts w:ascii="Palatino Linotype" w:hAnsi="Palatino Linotype" w:cs="Arial"/>
        </w:rPr>
        <w:t>que, todo dato personal susceptible de clasificación debe ser protegido.</w:t>
      </w:r>
    </w:p>
    <w:p w:rsidR="00FA0D18" w:rsidRPr="00A67033" w:rsidRDefault="00FA0D18" w:rsidP="00FA0D18">
      <w:pPr>
        <w:spacing w:line="360" w:lineRule="auto"/>
        <w:jc w:val="both"/>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27869" w:rsidRPr="00A67033" w:rsidRDefault="00127869" w:rsidP="00127869">
      <w:pPr>
        <w:pStyle w:val="Prrafodelista"/>
        <w:rPr>
          <w:rFonts w:ascii="Palatino Linotype" w:hAnsi="Palatino Linotype" w:cs="Arial"/>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A0D18" w:rsidRPr="00A67033" w:rsidRDefault="00FA0D18" w:rsidP="00FA0D18">
      <w:pPr>
        <w:jc w:val="both"/>
        <w:rPr>
          <w:rFonts w:ascii="Palatino Linotype" w:hAnsi="Palatino Linotype" w:cs="Arial"/>
        </w:rPr>
      </w:pP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 xml:space="preserve">“Artículo 49. </w:t>
      </w:r>
      <w:r w:rsidRPr="00A67033">
        <w:rPr>
          <w:rFonts w:ascii="Palatino Linotype" w:hAnsi="Palatino Linotype" w:cs="Arial"/>
          <w:i/>
          <w:szCs w:val="22"/>
        </w:rPr>
        <w:t>Los Comités de Transparencia tendrán las siguientes atribuciones:</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VIII.</w:t>
      </w:r>
      <w:r w:rsidRPr="00A67033">
        <w:rPr>
          <w:rFonts w:ascii="Palatino Linotype" w:hAnsi="Palatino Linotype" w:cs="Arial"/>
          <w:i/>
          <w:szCs w:val="22"/>
        </w:rPr>
        <w:t xml:space="preserve"> Aprobar, modificar o revocar la clasificación de la información;</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Artículo 132.</w:t>
      </w:r>
      <w:r w:rsidRPr="00A67033">
        <w:rPr>
          <w:rFonts w:ascii="Palatino Linotype" w:hAnsi="Palatino Linotype" w:cs="Arial"/>
          <w:i/>
          <w:szCs w:val="22"/>
        </w:rPr>
        <w:t xml:space="preserve"> La clasificación de la información se llevará a cabo en el momento en que:</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I.</w:t>
      </w:r>
      <w:r w:rsidRPr="00A67033">
        <w:rPr>
          <w:rFonts w:ascii="Palatino Linotype" w:hAnsi="Palatino Linotype" w:cs="Arial"/>
          <w:i/>
          <w:szCs w:val="22"/>
        </w:rPr>
        <w:t xml:space="preserve"> Se reciba una solicitud de acceso a la información;</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II.</w:t>
      </w:r>
      <w:r w:rsidRPr="00A67033">
        <w:rPr>
          <w:rFonts w:ascii="Palatino Linotype" w:hAnsi="Palatino Linotype" w:cs="Arial"/>
          <w:i/>
          <w:szCs w:val="22"/>
        </w:rPr>
        <w:t xml:space="preserve"> Se determine mediante resolución de autoridad competente; o</w:t>
      </w:r>
    </w:p>
    <w:p w:rsidR="00FA0D18" w:rsidRPr="00A67033" w:rsidRDefault="00FA0D18" w:rsidP="00127869">
      <w:pPr>
        <w:ind w:left="567" w:right="616"/>
        <w:jc w:val="both"/>
        <w:rPr>
          <w:rFonts w:ascii="Palatino Linotype" w:hAnsi="Palatino Linotype" w:cs="Arial"/>
          <w:b/>
          <w:i/>
          <w:szCs w:val="22"/>
        </w:rPr>
      </w:pPr>
      <w:r w:rsidRPr="00A67033">
        <w:rPr>
          <w:rFonts w:ascii="Palatino Linotype" w:hAnsi="Palatino Linotype" w:cs="Arial"/>
          <w:i/>
          <w:szCs w:val="22"/>
        </w:rPr>
        <w:t>III. Se generen versiones públicas para dar cumplimiento a las obligaciones de transparencia previstas en esta Ley.</w:t>
      </w:r>
      <w:r w:rsidRPr="00A67033">
        <w:rPr>
          <w:rFonts w:ascii="Palatino Linotype" w:hAnsi="Palatino Linotype" w:cs="Arial"/>
          <w:b/>
          <w:i/>
          <w:szCs w:val="22"/>
        </w:rPr>
        <w:t>”</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lastRenderedPageBreak/>
        <w:t>“</w:t>
      </w:r>
      <w:proofErr w:type="gramStart"/>
      <w:r w:rsidRPr="00A67033">
        <w:rPr>
          <w:rFonts w:ascii="Palatino Linotype" w:hAnsi="Palatino Linotype" w:cs="Arial"/>
          <w:b/>
          <w:i/>
          <w:szCs w:val="22"/>
        </w:rPr>
        <w:t>Segundo.-</w:t>
      </w:r>
      <w:proofErr w:type="gramEnd"/>
      <w:r w:rsidRPr="00A67033">
        <w:rPr>
          <w:rFonts w:ascii="Palatino Linotype" w:hAnsi="Palatino Linotype" w:cs="Arial"/>
          <w:i/>
          <w:szCs w:val="22"/>
        </w:rPr>
        <w:t xml:space="preserve"> Para efectos de los presentes Lineamientos Generales, se entenderá por:</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XVIII.</w:t>
      </w:r>
      <w:r w:rsidRPr="00A67033">
        <w:rPr>
          <w:rFonts w:ascii="Palatino Linotype" w:hAnsi="Palatino Linotype" w:cs="Arial"/>
          <w:i/>
          <w:szCs w:val="22"/>
        </w:rPr>
        <w:t xml:space="preserve">  </w:t>
      </w:r>
      <w:r w:rsidRPr="00A67033">
        <w:rPr>
          <w:rFonts w:ascii="Palatino Linotype" w:hAnsi="Palatino Linotype" w:cs="Arial"/>
          <w:b/>
          <w:i/>
          <w:szCs w:val="22"/>
        </w:rPr>
        <w:t>Versión pública:</w:t>
      </w:r>
      <w:r w:rsidRPr="00A67033">
        <w:rPr>
          <w:rFonts w:ascii="Palatino Linotype" w:hAnsi="Palatino Linotype" w:cs="Arial"/>
          <w:i/>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Cuarto.</w:t>
      </w:r>
      <w:r w:rsidRPr="00A67033">
        <w:rPr>
          <w:rFonts w:ascii="Palatino Linotype" w:hAnsi="Palatino Linotype" w:cs="Arial"/>
          <w:i/>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i/>
          <w:szCs w:val="22"/>
        </w:rPr>
        <w:t>Los sujetos obligados deberán aplicar, de manera estricta, las excepciones al derecho de acceso a la información y sólo podrán invocarlas cuando acrediten su procedencia.</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Quinto.</w:t>
      </w:r>
      <w:r w:rsidRPr="00A67033">
        <w:rPr>
          <w:rFonts w:ascii="Palatino Linotype" w:hAnsi="Palatino Linotype" w:cs="Arial"/>
          <w:i/>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Sexto.</w:t>
      </w:r>
      <w:r w:rsidRPr="00A67033">
        <w:rPr>
          <w:rFonts w:ascii="Palatino Linotype" w:hAnsi="Palatino Linotype" w:cs="Arial"/>
          <w:i/>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i/>
          <w:szCs w:val="22"/>
        </w:rPr>
        <w:t>La clasificación de información se realizará conforme a un análisis caso por caso, mediante la aplicación de la prueba de daño y de interés público.</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Séptimo.</w:t>
      </w:r>
      <w:r w:rsidRPr="00A67033">
        <w:rPr>
          <w:rFonts w:ascii="Palatino Linotype" w:hAnsi="Palatino Linotype" w:cs="Arial"/>
          <w:i/>
          <w:szCs w:val="22"/>
        </w:rPr>
        <w:t xml:space="preserve"> La clasificación de la información se llevará a cabo en el momento en que:</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I.</w:t>
      </w:r>
      <w:r w:rsidRPr="00A67033">
        <w:rPr>
          <w:rFonts w:ascii="Palatino Linotype" w:hAnsi="Palatino Linotype" w:cs="Arial"/>
          <w:i/>
          <w:szCs w:val="22"/>
        </w:rPr>
        <w:t xml:space="preserve">        Se reciba una solicitud de acceso a la información;</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II.</w:t>
      </w:r>
      <w:r w:rsidRPr="00A67033">
        <w:rPr>
          <w:rFonts w:ascii="Palatino Linotype" w:hAnsi="Palatino Linotype" w:cs="Arial"/>
          <w:i/>
          <w:szCs w:val="22"/>
        </w:rPr>
        <w:t xml:space="preserve">       Se determine mediante resolución de autoridad competente, o</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lastRenderedPageBreak/>
        <w:t>III.</w:t>
      </w:r>
      <w:r w:rsidRPr="00A67033">
        <w:rPr>
          <w:rFonts w:ascii="Palatino Linotype" w:hAnsi="Palatino Linotype" w:cs="Arial"/>
          <w:i/>
          <w:szCs w:val="22"/>
        </w:rPr>
        <w:t xml:space="preserve">      Se generen versiones públicas para dar cumplimiento a las obligaciones de transparencia previstas en la Ley General, la Ley Federal y las correspondientes de las entidades federativas.</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i/>
          <w:szCs w:val="22"/>
        </w:rPr>
        <w:t>Los titulares de las áreas deberán revisar la clasificación al momento de la recepción de una solicitud de acceso a la información, para verificar si encuadra en una causal de reserva o de confidencialidad.</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Octavo.</w:t>
      </w:r>
      <w:r w:rsidRPr="00A67033">
        <w:rPr>
          <w:rFonts w:ascii="Palatino Linotype" w:hAnsi="Palatino Linotype" w:cs="Arial"/>
          <w:i/>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i/>
          <w:szCs w:val="22"/>
        </w:rPr>
        <w:t>Para motivar la clasificación se deberán señalar las razones o circunstancias especiales que lo llevaron a concluir que el caso particular se ajusta al supuesto previsto por la norma legal invocada como fundamento.</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i/>
          <w:szCs w:val="22"/>
        </w:rPr>
        <w:t>En caso de referirse a información reservada, la motivación de la clasificación también deberá comprender las circunstancias que justifican el establecimiento de determinado plazo de reserva.</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i/>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i/>
          <w:szCs w:val="22"/>
        </w:rPr>
        <w:t>Los documentos contenidos en los archivos históricos y los identificados como históricos confidenciales no serán susceptibles de clasificación como reservados.</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Noveno.</w:t>
      </w:r>
      <w:r w:rsidRPr="00A67033">
        <w:rPr>
          <w:rFonts w:ascii="Palatino Linotype" w:hAnsi="Palatino Linotype" w:cs="Arial"/>
          <w:i/>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b/>
          <w:i/>
          <w:szCs w:val="22"/>
        </w:rPr>
        <w:t>Décimo.</w:t>
      </w:r>
      <w:r w:rsidRPr="00A67033">
        <w:rPr>
          <w:rFonts w:ascii="Palatino Linotype" w:hAnsi="Palatino Linotype" w:cs="Arial"/>
          <w:i/>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A0D18" w:rsidRPr="00A67033" w:rsidRDefault="00FA0D18" w:rsidP="00127869">
      <w:pPr>
        <w:ind w:left="567" w:right="616"/>
        <w:jc w:val="both"/>
        <w:rPr>
          <w:rFonts w:ascii="Palatino Linotype" w:hAnsi="Palatino Linotype" w:cs="Arial"/>
          <w:i/>
          <w:szCs w:val="22"/>
        </w:rPr>
      </w:pPr>
      <w:r w:rsidRPr="00A67033">
        <w:rPr>
          <w:rFonts w:ascii="Palatino Linotype" w:hAnsi="Palatino Linotype" w:cs="Arial"/>
          <w:i/>
          <w:szCs w:val="22"/>
        </w:rPr>
        <w:t>En ausencia de los titulares de las áreas, la información será clasificada o desclasificada por la persona que lo supla, en términos de la normativa que rija la actuación del sujeto obligado.</w:t>
      </w:r>
    </w:p>
    <w:p w:rsidR="00FA0D18" w:rsidRPr="00A67033" w:rsidRDefault="00FA0D18" w:rsidP="00127869">
      <w:pPr>
        <w:ind w:left="567" w:right="616"/>
        <w:jc w:val="both"/>
        <w:rPr>
          <w:rFonts w:ascii="Palatino Linotype" w:hAnsi="Palatino Linotype" w:cs="Arial"/>
          <w:b/>
          <w:i/>
          <w:sz w:val="22"/>
          <w:szCs w:val="22"/>
        </w:rPr>
      </w:pPr>
      <w:r w:rsidRPr="00A67033">
        <w:rPr>
          <w:rFonts w:ascii="Palatino Linotype" w:hAnsi="Palatino Linotype" w:cs="Arial"/>
          <w:b/>
          <w:i/>
          <w:szCs w:val="22"/>
        </w:rPr>
        <w:lastRenderedPageBreak/>
        <w:t>Décimo primero.</w:t>
      </w:r>
      <w:r w:rsidRPr="00A67033">
        <w:rPr>
          <w:rFonts w:ascii="Palatino Linotype" w:hAnsi="Palatino Linotype" w:cs="Arial"/>
          <w:i/>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67033">
        <w:rPr>
          <w:rFonts w:ascii="Palatino Linotype" w:hAnsi="Palatino Linotype" w:cs="Arial"/>
          <w:b/>
          <w:i/>
          <w:szCs w:val="22"/>
        </w:rPr>
        <w:t>”</w:t>
      </w:r>
    </w:p>
    <w:p w:rsidR="00FA0D18" w:rsidRPr="00A67033" w:rsidRDefault="00FA0D18" w:rsidP="00FA0D18">
      <w:pPr>
        <w:ind w:left="851" w:right="899"/>
        <w:jc w:val="both"/>
        <w:rPr>
          <w:rFonts w:ascii="Palatino Linotype" w:hAnsi="Palatino Linotype" w:cs="Arial"/>
          <w:b/>
          <w:bCs/>
          <w:i/>
          <w:noProof/>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FA0D18" w:rsidRPr="00A67033" w:rsidRDefault="00FA0D18" w:rsidP="00FA0D18">
      <w:pPr>
        <w:spacing w:line="360" w:lineRule="auto"/>
        <w:ind w:right="-93"/>
        <w:jc w:val="both"/>
        <w:rPr>
          <w:rFonts w:ascii="Palatino Linotype" w:hAnsi="Palatino Linotype" w:cs="Arial"/>
          <w:lang w:eastAsia="es-MX"/>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lang w:eastAsia="es-CO"/>
        </w:rPr>
      </w:pPr>
      <w:r w:rsidRPr="00A67033">
        <w:rPr>
          <w:rFonts w:ascii="Palatino Linotype" w:hAnsi="Palatino Linotype" w:cs="Arial"/>
        </w:rPr>
        <w:t xml:space="preserve">Consecuentemente, se destaca que la versión pública que elabore </w:t>
      </w:r>
      <w:r w:rsidRPr="00A67033">
        <w:rPr>
          <w:rFonts w:ascii="Palatino Linotype" w:hAnsi="Palatino Linotype" w:cs="Arial"/>
          <w:b/>
        </w:rPr>
        <w:t>EL SUJETO OBLIGADO</w:t>
      </w:r>
      <w:r w:rsidRPr="00A67033">
        <w:rPr>
          <w:rFonts w:ascii="Palatino Linotype" w:hAnsi="Palatino Linotype" w:cs="Arial"/>
        </w:rPr>
        <w:t xml:space="preserve"> debe cumplir con las formalidades exigidas en la Ley, por lo que para tal efecto emitirá el </w:t>
      </w:r>
      <w:r w:rsidRPr="00A67033">
        <w:rPr>
          <w:rFonts w:ascii="Palatino Linotype" w:hAnsi="Palatino Linotype" w:cs="Arial"/>
          <w:b/>
        </w:rPr>
        <w:t>Acuerdo del Comité de Transparencia</w:t>
      </w:r>
      <w:r w:rsidRPr="00A6703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67033">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A0D18" w:rsidRPr="00A67033" w:rsidRDefault="00FA0D18" w:rsidP="00FA0D18">
      <w:pPr>
        <w:autoSpaceDE w:val="0"/>
        <w:autoSpaceDN w:val="0"/>
        <w:adjustRightInd w:val="0"/>
        <w:spacing w:line="360" w:lineRule="auto"/>
        <w:ind w:right="-91"/>
        <w:jc w:val="both"/>
        <w:rPr>
          <w:rFonts w:ascii="Palatino Linotype" w:hAnsi="Palatino Linotype" w:cs="Arial"/>
          <w:lang w:eastAsia="es-CO"/>
        </w:rPr>
      </w:pPr>
    </w:p>
    <w:p w:rsidR="00FA0D18" w:rsidRPr="00A67033" w:rsidRDefault="00FA0D18" w:rsidP="00D56143">
      <w:pPr>
        <w:numPr>
          <w:ilvl w:val="0"/>
          <w:numId w:val="1"/>
        </w:numPr>
        <w:spacing w:line="360" w:lineRule="auto"/>
        <w:ind w:left="0" w:firstLine="0"/>
        <w:contextualSpacing/>
        <w:jc w:val="both"/>
        <w:rPr>
          <w:rFonts w:ascii="Palatino Linotype" w:hAnsi="Palatino Linotype" w:cs="Arial"/>
          <w:lang w:eastAsia="es-CO"/>
        </w:rPr>
      </w:pPr>
      <w:r w:rsidRPr="00A67033">
        <w:rPr>
          <w:rFonts w:ascii="Palatino Linotype" w:hAnsi="Palatino Linotype" w:cs="Arial"/>
          <w:lang w:eastAsia="es-CO"/>
        </w:rPr>
        <w:t xml:space="preserve">Por otro lado, no se omite comentar que, respecto al número de expediente recaído a las </w:t>
      </w:r>
      <w:r w:rsidRPr="00A67033">
        <w:rPr>
          <w:rFonts w:ascii="Palatino Linotype" w:hAnsi="Palatino Linotype" w:cs="Arial"/>
        </w:rPr>
        <w:t>demandas</w:t>
      </w:r>
      <w:r w:rsidRPr="00A67033">
        <w:rPr>
          <w:rFonts w:ascii="Palatino Linotype" w:hAnsi="Palatino Linotype" w:cs="Arial"/>
          <w:lang w:eastAsia="es-CO"/>
        </w:rPr>
        <w:t xml:space="preserve"> interpuestas, corresponde a información pública, </w:t>
      </w:r>
      <w:r w:rsidRPr="00A67033">
        <w:rPr>
          <w:rFonts w:ascii="Palatino Linotype" w:hAnsi="Palatino Linotype" w:cs="Arial"/>
          <w:lang w:eastAsia="es-CO"/>
        </w:rPr>
        <w:lastRenderedPageBreak/>
        <w:t xml:space="preserve">independientemente de la etapa procesal en que se encuentra, lo anterior tiene sustento en el criterio 15/2006 de la Suprema Corte de Justicia de la Nación, el cual refiere lo siguiente: </w:t>
      </w:r>
    </w:p>
    <w:p w:rsidR="00FA0D18" w:rsidRPr="00A67033" w:rsidRDefault="00FA0D18" w:rsidP="00FA0D18">
      <w:pPr>
        <w:autoSpaceDE w:val="0"/>
        <w:autoSpaceDN w:val="0"/>
        <w:adjustRightInd w:val="0"/>
        <w:spacing w:line="360" w:lineRule="auto"/>
        <w:ind w:right="-91"/>
        <w:jc w:val="both"/>
        <w:rPr>
          <w:rFonts w:ascii="Palatino Linotype" w:hAnsi="Palatino Linotype" w:cs="Arial"/>
          <w:lang w:eastAsia="es-CO"/>
        </w:rPr>
      </w:pPr>
    </w:p>
    <w:p w:rsidR="00FA0D18" w:rsidRPr="00A67033" w:rsidRDefault="00FA0D18" w:rsidP="00805D0F">
      <w:pPr>
        <w:spacing w:line="360" w:lineRule="auto"/>
        <w:ind w:left="567" w:right="616"/>
        <w:jc w:val="both"/>
        <w:rPr>
          <w:rFonts w:ascii="Palatino Linotype" w:hAnsi="Palatino Linotype" w:cs="Arial"/>
          <w:i/>
          <w:szCs w:val="22"/>
        </w:rPr>
      </w:pPr>
      <w:r w:rsidRPr="00A67033">
        <w:rPr>
          <w:rFonts w:ascii="Palatino Linotype" w:hAnsi="Palatino Linotype" w:cs="Arial"/>
          <w:i/>
          <w:szCs w:val="22"/>
        </w:rPr>
        <w:t>“</w:t>
      </w:r>
      <w:r w:rsidRPr="00A67033">
        <w:rPr>
          <w:rFonts w:ascii="Palatino Linotype" w:hAnsi="Palatino Linotype" w:cs="Arial"/>
          <w:b/>
          <w:i/>
          <w:szCs w:val="22"/>
        </w:rPr>
        <w:t>EXPEDIENTES LABORALES ADMINISTRATIVOS DE LOS SERVIDORES PÚBLICOS DE LA SUPREMA CORTE DE JUSTICIA DE LA NACIÓN. ES PÚBLICA LA INFORMACIÓN QUE EN ELLOS SE CONTIENE, SALVO LOS DATOS PERSONALES</w:t>
      </w:r>
      <w:r w:rsidRPr="00A67033">
        <w:rPr>
          <w:rFonts w:ascii="Palatino Linotype" w:hAnsi="Palatino Linotype" w:cs="Arial"/>
          <w:i/>
          <w:szCs w:val="22"/>
        </w:rPr>
        <w:t xml:space="preserve">.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w:t>
      </w:r>
      <w:r w:rsidRPr="00A67033">
        <w:rPr>
          <w:rFonts w:ascii="Palatino Linotype" w:hAnsi="Palatino Linotype" w:cs="Arial"/>
          <w:i/>
          <w:szCs w:val="22"/>
        </w:rPr>
        <w:lastRenderedPageBreak/>
        <w:t xml:space="preserve">comercialización requiera el consentimiento de los individuos a los que pertenezcan. </w:t>
      </w:r>
    </w:p>
    <w:p w:rsidR="00FA0D18" w:rsidRPr="00A67033" w:rsidRDefault="00FA0D18" w:rsidP="00805D0F">
      <w:pPr>
        <w:ind w:left="567" w:right="616"/>
        <w:jc w:val="both"/>
        <w:rPr>
          <w:rFonts w:ascii="Palatino Linotype" w:hAnsi="Palatino Linotype" w:cs="Arial"/>
          <w:i/>
          <w:szCs w:val="22"/>
        </w:rPr>
      </w:pPr>
      <w:r w:rsidRPr="00A67033">
        <w:rPr>
          <w:rFonts w:ascii="Palatino Linotype" w:hAnsi="Palatino Linotype" w:cs="Arial"/>
          <w:b/>
          <w:i/>
          <w:szCs w:val="22"/>
        </w:rPr>
        <w:t>Clasificación de Información</w:t>
      </w:r>
      <w:r w:rsidRPr="00A67033">
        <w:rPr>
          <w:rFonts w:ascii="Palatino Linotype" w:hAnsi="Palatino Linotype" w:cs="Arial"/>
          <w:i/>
          <w:szCs w:val="22"/>
        </w:rPr>
        <w:t xml:space="preserve"> 28/2006-A. 29 de agosto de 2006. Unanimidad de votos.”</w:t>
      </w:r>
    </w:p>
    <w:p w:rsidR="00FA0D18" w:rsidRPr="00A67033" w:rsidRDefault="00FA0D18" w:rsidP="00FA0D18">
      <w:pPr>
        <w:ind w:left="851" w:right="902"/>
        <w:jc w:val="both"/>
        <w:rPr>
          <w:rFonts w:ascii="Palatino Linotype" w:hAnsi="Palatino Linotype" w:cs="Arial"/>
          <w:i/>
          <w:sz w:val="22"/>
          <w:szCs w:val="22"/>
        </w:rPr>
      </w:pPr>
    </w:p>
    <w:p w:rsidR="00FA0D18" w:rsidRPr="00A67033" w:rsidRDefault="00FA0D18" w:rsidP="00805D0F">
      <w:pPr>
        <w:spacing w:line="360" w:lineRule="auto"/>
        <w:contextualSpacing/>
        <w:jc w:val="both"/>
        <w:rPr>
          <w:rFonts w:ascii="Palatino Linotype" w:hAnsi="Palatino Linotype" w:cs="Arial"/>
          <w:lang w:val="es-ES"/>
        </w:rPr>
      </w:pPr>
    </w:p>
    <w:p w:rsidR="00F648E1" w:rsidRPr="00A67033" w:rsidRDefault="00FA0D18" w:rsidP="00D56143">
      <w:pPr>
        <w:numPr>
          <w:ilvl w:val="0"/>
          <w:numId w:val="1"/>
        </w:numPr>
        <w:spacing w:line="360" w:lineRule="auto"/>
        <w:ind w:left="0" w:firstLine="0"/>
        <w:contextualSpacing/>
        <w:jc w:val="both"/>
        <w:rPr>
          <w:rFonts w:ascii="Palatino Linotype" w:hAnsi="Palatino Linotype" w:cs="Arial"/>
          <w:lang w:val="es-ES"/>
        </w:rPr>
      </w:pPr>
      <w:r w:rsidRPr="00A67033">
        <w:rPr>
          <w:rFonts w:ascii="Palatino Linotype" w:hAnsi="Palatino Linotype"/>
        </w:rPr>
        <w:t>Por otro lado</w:t>
      </w:r>
      <w:r w:rsidR="007C5090" w:rsidRPr="00A67033">
        <w:rPr>
          <w:rFonts w:ascii="Palatino Linotype" w:hAnsi="Palatino Linotype"/>
        </w:rPr>
        <w:t xml:space="preserve">, </w:t>
      </w:r>
      <w:r w:rsidR="00F648E1" w:rsidRPr="00A67033">
        <w:rPr>
          <w:rFonts w:ascii="Palatino Linotype" w:hAnsi="Palatino Linotype"/>
        </w:rPr>
        <w:t xml:space="preserve">ante la falta de respuesta del </w:t>
      </w:r>
      <w:r w:rsidR="00F648E1" w:rsidRPr="00A67033">
        <w:rPr>
          <w:rFonts w:ascii="Palatino Linotype" w:hAnsi="Palatino Linotype"/>
          <w:b/>
        </w:rPr>
        <w:t>SUJETO OBLIGADO</w:t>
      </w:r>
      <w:r w:rsidR="00F648E1" w:rsidRPr="00A67033">
        <w:rPr>
          <w:rFonts w:ascii="Palatino Linotype" w:hAnsi="Palatino Linotype"/>
        </w:rPr>
        <w:t xml:space="preserve">, </w:t>
      </w:r>
      <w:r w:rsidR="00805D0F" w:rsidRPr="00A67033">
        <w:rPr>
          <w:rFonts w:ascii="Palatino Linotype" w:hAnsi="Palatino Linotype"/>
          <w:b/>
        </w:rPr>
        <w:t>no se tiene la certeza de que en el lapso temporal referido se hayan interpuesto demandas laborales por parte del o los titulares de la unidad de información</w:t>
      </w:r>
      <w:r w:rsidR="00805D0F" w:rsidRPr="00A67033">
        <w:rPr>
          <w:rFonts w:ascii="Palatino Linotype" w:hAnsi="Palatino Linotype"/>
        </w:rPr>
        <w:t xml:space="preserve">, </w:t>
      </w:r>
      <w:r w:rsidR="00F648E1" w:rsidRPr="00A67033">
        <w:rPr>
          <w:rFonts w:ascii="Palatino Linotype" w:hAnsi="Palatino Linotype"/>
        </w:rPr>
        <w:t xml:space="preserve">por lo que </w:t>
      </w:r>
      <w:r w:rsidR="00F648E1" w:rsidRPr="00A67033">
        <w:rPr>
          <w:rFonts w:ascii="Palatino Linotype" w:hAnsi="Palatino Linotype" w:cs="Arial"/>
          <w:lang w:val="es-ES"/>
        </w:rPr>
        <w:t xml:space="preserve">debe considerarse que, es posible que esta información no se localice, </w:t>
      </w:r>
      <w:r w:rsidR="00E7460A" w:rsidRPr="00A67033">
        <w:rPr>
          <w:rFonts w:ascii="Palatino Linotype" w:hAnsi="Palatino Linotype" w:cs="Arial"/>
          <w:lang w:val="es-ES"/>
        </w:rPr>
        <w:t xml:space="preserve">porque no se haya </w:t>
      </w:r>
      <w:r w:rsidR="00805D0F" w:rsidRPr="00A67033">
        <w:rPr>
          <w:rFonts w:ascii="Palatino Linotype" w:hAnsi="Palatino Linotype" w:cs="Arial"/>
          <w:lang w:val="es-ES"/>
        </w:rPr>
        <w:t>poseído o administrado</w:t>
      </w:r>
      <w:r w:rsidR="00F648E1" w:rsidRPr="00A67033">
        <w:rPr>
          <w:rFonts w:ascii="Palatino Linotype" w:hAnsi="Palatino Linotype" w:cs="Arial"/>
          <w:lang w:val="es-ES"/>
        </w:rPr>
        <w:t>.</w:t>
      </w:r>
    </w:p>
    <w:p w:rsidR="00F648E1" w:rsidRPr="00A67033" w:rsidRDefault="00F648E1" w:rsidP="00F648E1">
      <w:pPr>
        <w:spacing w:line="360" w:lineRule="auto"/>
        <w:contextualSpacing/>
        <w:rPr>
          <w:rFonts w:ascii="Palatino Linotype" w:hAnsi="Palatino Linotype" w:cs="Arial"/>
          <w:lang w:val="es-ES"/>
        </w:rPr>
      </w:pPr>
    </w:p>
    <w:p w:rsidR="005D1419" w:rsidRPr="00A67033" w:rsidRDefault="005D1419"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Palatino Linotype" w:hAnsi="Palatino Linotype" w:cs="Palatino Linotype"/>
          <w:color w:val="000000"/>
        </w:rPr>
        <w:t xml:space="preserve">En esa línea de pensamiento, si luego de la búsqueda exhaustiva y razonable de la información, </w:t>
      </w:r>
      <w:r w:rsidRPr="00A67033">
        <w:rPr>
          <w:rFonts w:ascii="Palatino Linotype" w:hAnsi="Palatino Linotype" w:cs="Arial"/>
        </w:rPr>
        <w:t>prevaleciera</w:t>
      </w:r>
      <w:r w:rsidRPr="00A67033">
        <w:rPr>
          <w:rFonts w:ascii="Palatino Linotype" w:eastAsia="Palatino Linotype" w:hAnsi="Palatino Linotype" w:cs="Palatino Linotype"/>
          <w:color w:val="000000"/>
        </w:rPr>
        <w:t xml:space="preserve"> el sentido de no contar con ninguna información al respecto </w:t>
      </w:r>
      <w:r w:rsidRPr="00A67033">
        <w:rPr>
          <w:rFonts w:ascii="Palatino Linotype" w:hAnsi="Palatino Linotype"/>
        </w:rPr>
        <w:t xml:space="preserve">se deberá dar observancia a lo dispuesto en la </w:t>
      </w:r>
      <w:r w:rsidRPr="00A67033">
        <w:rPr>
          <w:rFonts w:ascii="Palatino Linotype" w:hAnsi="Palatino Linotype" w:cs="Arial"/>
        </w:rPr>
        <w:t xml:space="preserve">Ley de Transparencia y Acceso a la Información Pública del Estado de México y Municipios, en su artículo 19, que dispone lo siguiente: </w:t>
      </w:r>
    </w:p>
    <w:p w:rsidR="005D1419" w:rsidRPr="00A67033" w:rsidRDefault="005D1419" w:rsidP="005D1419">
      <w:pPr>
        <w:pStyle w:val="Prrafodelista"/>
        <w:spacing w:line="360" w:lineRule="auto"/>
        <w:ind w:left="851" w:right="425"/>
        <w:jc w:val="both"/>
        <w:rPr>
          <w:rFonts w:ascii="Palatino Linotype" w:eastAsia="Calibri" w:hAnsi="Palatino Linotype"/>
          <w:b/>
          <w:i/>
        </w:rPr>
      </w:pPr>
    </w:p>
    <w:p w:rsidR="005D1419" w:rsidRPr="00A67033" w:rsidRDefault="005D1419" w:rsidP="005D1419">
      <w:pPr>
        <w:pStyle w:val="Prrafodelista"/>
        <w:spacing w:line="360" w:lineRule="auto"/>
        <w:ind w:left="567" w:right="425"/>
        <w:jc w:val="both"/>
        <w:rPr>
          <w:rFonts w:ascii="Palatino Linotype" w:eastAsia="Calibri" w:hAnsi="Palatino Linotype"/>
          <w:i/>
        </w:rPr>
      </w:pPr>
      <w:r w:rsidRPr="00A67033">
        <w:rPr>
          <w:rFonts w:ascii="Palatino Linotype" w:eastAsia="Calibri" w:hAnsi="Palatino Linotype"/>
          <w:b/>
          <w:i/>
        </w:rPr>
        <w:t>“Artículo 19.</w:t>
      </w:r>
      <w:r w:rsidRPr="00A67033">
        <w:rPr>
          <w:rFonts w:ascii="Palatino Linotype" w:eastAsia="Calibri" w:hAnsi="Palatino Linotype"/>
          <w:i/>
        </w:rPr>
        <w:t xml:space="preserve"> Se presume que la información debe existir si se refiere a las facultades, competencias y funciones que los ordenamientos jurídicos aplicables otorgan a los sujetos obligados.</w:t>
      </w:r>
    </w:p>
    <w:p w:rsidR="005D1419" w:rsidRPr="00A67033" w:rsidRDefault="005D1419" w:rsidP="005D1419">
      <w:pPr>
        <w:pStyle w:val="Prrafodelista"/>
        <w:spacing w:line="360" w:lineRule="auto"/>
        <w:ind w:left="567" w:right="425"/>
        <w:jc w:val="both"/>
        <w:rPr>
          <w:rFonts w:ascii="Palatino Linotype" w:eastAsia="Calibri" w:hAnsi="Palatino Linotype"/>
          <w:b/>
          <w:i/>
        </w:rPr>
      </w:pPr>
      <w:r w:rsidRPr="00A67033">
        <w:rPr>
          <w:rFonts w:ascii="Palatino Linotype" w:eastAsia="Calibri" w:hAnsi="Palatino Linotype"/>
          <w:b/>
          <w:i/>
        </w:rPr>
        <w:t>En los casos en que ciertas facultades, competencias o funciones no se hayan ejercido, se debe motivar la respuesta en función de las causas que motiven tal circunstancia.</w:t>
      </w:r>
    </w:p>
    <w:p w:rsidR="005D1419" w:rsidRPr="00A67033" w:rsidRDefault="005D1419" w:rsidP="005D1419">
      <w:pPr>
        <w:pStyle w:val="Prrafodelista"/>
        <w:spacing w:line="360" w:lineRule="auto"/>
        <w:ind w:left="567" w:right="425"/>
        <w:jc w:val="both"/>
        <w:rPr>
          <w:rFonts w:ascii="Palatino Linotype" w:eastAsia="Calibri" w:hAnsi="Palatino Linotype"/>
          <w:i/>
        </w:rPr>
      </w:pPr>
      <w:r w:rsidRPr="00A67033">
        <w:rPr>
          <w:rFonts w:ascii="Palatino Linotype" w:eastAsia="Calibri" w:hAnsi="Palatino Linotype"/>
          <w:i/>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D1419" w:rsidRPr="00A67033" w:rsidRDefault="005D1419" w:rsidP="005D1419">
      <w:pPr>
        <w:pStyle w:val="Prrafodelista"/>
        <w:spacing w:line="360" w:lineRule="auto"/>
        <w:ind w:left="567" w:right="425"/>
        <w:jc w:val="both"/>
        <w:rPr>
          <w:rFonts w:ascii="Palatino Linotype" w:eastAsia="Calibri" w:hAnsi="Palatino Linotype"/>
        </w:rPr>
      </w:pPr>
      <w:r w:rsidRPr="00A67033">
        <w:rPr>
          <w:rFonts w:ascii="Palatino Linotype" w:eastAsia="Calibri" w:hAnsi="Palatino Linotype"/>
        </w:rPr>
        <w:t>(Énfasis añadido)</w:t>
      </w:r>
    </w:p>
    <w:p w:rsidR="005D1419" w:rsidRPr="00A67033" w:rsidRDefault="005D1419" w:rsidP="005D1419">
      <w:pPr>
        <w:pStyle w:val="Prrafodelista"/>
        <w:spacing w:line="360" w:lineRule="auto"/>
        <w:ind w:left="567" w:right="425"/>
        <w:jc w:val="both"/>
        <w:rPr>
          <w:rFonts w:ascii="Palatino Linotype" w:eastAsia="Calibri" w:hAnsi="Palatino Linotype"/>
        </w:rPr>
      </w:pPr>
    </w:p>
    <w:p w:rsidR="005D1419" w:rsidRPr="00A67033" w:rsidRDefault="005D1419" w:rsidP="00D56143">
      <w:pPr>
        <w:numPr>
          <w:ilvl w:val="0"/>
          <w:numId w:val="1"/>
        </w:numPr>
        <w:spacing w:line="360" w:lineRule="auto"/>
        <w:ind w:left="0" w:firstLine="0"/>
        <w:contextualSpacing/>
        <w:jc w:val="both"/>
        <w:rPr>
          <w:rFonts w:ascii="Palatino Linotype" w:eastAsia="Calibri" w:hAnsi="Palatino Linotype"/>
        </w:rPr>
      </w:pPr>
      <w:r w:rsidRPr="00A67033">
        <w:rPr>
          <w:rFonts w:ascii="Palatino Linotype" w:eastAsia="Calibri" w:hAnsi="Palatino Linotype"/>
        </w:rPr>
        <w:t>El</w:t>
      </w:r>
      <w:r w:rsidRPr="00A67033">
        <w:rPr>
          <w:rFonts w:ascii="Palatino Linotype" w:eastAsia="Calibri" w:hAnsi="Palatino Linotype" w:cs="Arial"/>
        </w:rPr>
        <w:t xml:space="preserve"> </w:t>
      </w:r>
      <w:r w:rsidRPr="00A67033">
        <w:rPr>
          <w:rFonts w:ascii="Palatino Linotype" w:eastAsia="Palatino Linotype" w:hAnsi="Palatino Linotype" w:cs="Palatino Linotype"/>
          <w:color w:val="000000"/>
        </w:rPr>
        <w:t>segundo</w:t>
      </w:r>
      <w:r w:rsidRPr="00A67033">
        <w:rPr>
          <w:rFonts w:ascii="Palatino Linotype" w:eastAsia="Calibri" w:hAnsi="Palatino Linotype" w:cs="Arial"/>
        </w:rPr>
        <w:t xml:space="preserve"> párrafo, alude a actos no realizados y contemplados en alguna hipótesis </w:t>
      </w:r>
      <w:r w:rsidRPr="00A67033">
        <w:rPr>
          <w:rFonts w:ascii="Palatino Linotype" w:hAnsi="Palatino Linotype" w:cs="Arial"/>
        </w:rPr>
        <w:t>jurídica</w:t>
      </w:r>
      <w:r w:rsidRPr="00A67033">
        <w:rPr>
          <w:rFonts w:ascii="Palatino Linotype" w:hAnsi="Palatino Linotype"/>
        </w:rPr>
        <w:t>,</w:t>
      </w:r>
      <w:r w:rsidRPr="00A67033">
        <w:rPr>
          <w:rFonts w:ascii="Palatino Linotype" w:eastAsia="Calibri" w:hAnsi="Palatino Linotype" w:cs="Arial"/>
        </w:rPr>
        <w:t xml:space="preserve">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w:t>
      </w:r>
    </w:p>
    <w:p w:rsidR="005D1419" w:rsidRPr="00A67033" w:rsidRDefault="005D1419" w:rsidP="005D1419">
      <w:pPr>
        <w:pStyle w:val="Prrafodelista"/>
        <w:spacing w:line="360" w:lineRule="auto"/>
        <w:ind w:left="0"/>
        <w:jc w:val="both"/>
        <w:rPr>
          <w:rFonts w:ascii="Palatino Linotype" w:eastAsia="Calibri" w:hAnsi="Palatino Linotype"/>
        </w:rPr>
      </w:pPr>
    </w:p>
    <w:p w:rsidR="005D1419" w:rsidRPr="00A67033" w:rsidRDefault="005D1419" w:rsidP="00D56143">
      <w:pPr>
        <w:numPr>
          <w:ilvl w:val="0"/>
          <w:numId w:val="1"/>
        </w:numPr>
        <w:spacing w:line="360" w:lineRule="auto"/>
        <w:ind w:left="0" w:firstLine="0"/>
        <w:contextualSpacing/>
        <w:jc w:val="both"/>
        <w:rPr>
          <w:rFonts w:ascii="Palatino Linotype" w:eastAsia="Calibri" w:hAnsi="Palatino Linotype"/>
        </w:rPr>
      </w:pPr>
      <w:r w:rsidRPr="00A67033">
        <w:rPr>
          <w:rFonts w:ascii="Palatino Linotype" w:eastAsia="Calibri" w:hAnsi="Palatino Linotype" w:cs="Arial"/>
        </w:rPr>
        <w:t xml:space="preserve">En estos casos, el sujeto obligado, al emitir su respuesta o cumplir con la resolución </w:t>
      </w:r>
      <w:r w:rsidRPr="00A67033">
        <w:rPr>
          <w:rFonts w:ascii="Palatino Linotype" w:hAnsi="Palatino Linotype" w:cs="Arial"/>
        </w:rPr>
        <w:t>emitida</w:t>
      </w:r>
      <w:r w:rsidRPr="00A67033">
        <w:rPr>
          <w:rFonts w:ascii="Palatino Linotype" w:eastAsia="Calibri" w:hAnsi="Palatino Linotype" w:cs="Arial"/>
        </w:rPr>
        <w:t xml:space="preserve"> por éste Órgano Garante, para el caso de no encontrar información al respecto deberá manifestar, de manera precisa y clara, las razones que expliquen las causas por las que no se ha realizado el acto de autoridad y, en consecuencia, no se ha documentado decisión alguna.</w:t>
      </w:r>
    </w:p>
    <w:p w:rsidR="00805D0F" w:rsidRPr="00A67033" w:rsidRDefault="00805D0F" w:rsidP="00805D0F">
      <w:pPr>
        <w:pStyle w:val="Prrafodelista"/>
        <w:rPr>
          <w:rFonts w:ascii="Palatino Linotype" w:eastAsia="Calibri" w:hAnsi="Palatino Linotype"/>
        </w:rPr>
      </w:pPr>
    </w:p>
    <w:p w:rsidR="00E7460A" w:rsidRPr="00A67033" w:rsidRDefault="009845EF"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Por lo anteriormente expuesto</w:t>
      </w:r>
      <w:r w:rsidR="00E7460A" w:rsidRPr="00A67033">
        <w:rPr>
          <w:rFonts w:ascii="Palatino Linotype" w:hAnsi="Palatino Linotype" w:cs="Arial"/>
        </w:rPr>
        <w:t xml:space="preserve">, se actualizan los principios de presunción de existencia y el </w:t>
      </w:r>
      <w:r w:rsidR="00E7460A" w:rsidRPr="00A67033">
        <w:rPr>
          <w:rFonts w:ascii="Palatino Linotype" w:hAnsi="Palatino Linotype" w:cs="Arial"/>
          <w:b/>
        </w:rPr>
        <w:t xml:space="preserve">principio de documentar </w:t>
      </w:r>
      <w:r w:rsidRPr="00A67033">
        <w:rPr>
          <w:rFonts w:ascii="Palatino Linotype" w:hAnsi="Palatino Linotype" w:cs="Arial"/>
          <w:b/>
        </w:rPr>
        <w:t>por probablemente corresponder a soporte documental generado por una administración pública municipal anterior a la actual</w:t>
      </w:r>
      <w:r w:rsidRPr="00A67033">
        <w:rPr>
          <w:rFonts w:ascii="Palatino Linotype" w:hAnsi="Palatino Linotype" w:cs="Arial"/>
        </w:rPr>
        <w:t xml:space="preserve">, </w:t>
      </w:r>
      <w:r w:rsidR="00E7460A" w:rsidRPr="00A67033">
        <w:rPr>
          <w:rFonts w:ascii="Palatino Linotype" w:hAnsi="Palatino Linotype" w:cs="Arial"/>
        </w:rPr>
        <w:t xml:space="preserve">que corresponde a los sujetos obligados cuando se refiere a las facultades, competencias o funciones que tienen encomendadas, así como a la obligatoriedad </w:t>
      </w:r>
      <w:r w:rsidR="00E7460A" w:rsidRPr="00A67033">
        <w:rPr>
          <w:rFonts w:ascii="Palatino Linotype" w:hAnsi="Palatino Linotype" w:cs="Arial"/>
        </w:rPr>
        <w:lastRenderedPageBreak/>
        <w:t xml:space="preserve">que tienen los funcionarios de documentar el ejercicio de sus atribuciones y funciones. </w:t>
      </w:r>
    </w:p>
    <w:p w:rsidR="00E7460A" w:rsidRPr="00A67033" w:rsidRDefault="00E7460A" w:rsidP="00E7460A">
      <w:pPr>
        <w:pStyle w:val="Prrafodelista"/>
        <w:spacing w:line="360" w:lineRule="auto"/>
        <w:ind w:left="426" w:right="142"/>
        <w:jc w:val="both"/>
        <w:rPr>
          <w:rFonts w:ascii="Palatino Linotype" w:hAnsi="Palatino Linotype" w:cs="Arial"/>
        </w:rPr>
      </w:pPr>
    </w:p>
    <w:p w:rsidR="00E7460A" w:rsidRPr="00A67033" w:rsidRDefault="00E7460A" w:rsidP="00D56143">
      <w:pPr>
        <w:numPr>
          <w:ilvl w:val="0"/>
          <w:numId w:val="1"/>
        </w:numPr>
        <w:spacing w:line="360" w:lineRule="auto"/>
        <w:ind w:left="0" w:firstLine="0"/>
        <w:contextualSpacing/>
        <w:jc w:val="both"/>
        <w:rPr>
          <w:rFonts w:ascii="Palatino Linotype" w:eastAsia="Times New Roman" w:hAnsi="Palatino Linotype" w:cs="Arial"/>
          <w:lang w:val="es-ES" w:eastAsia="es-MX"/>
        </w:rPr>
      </w:pPr>
      <w:r w:rsidRPr="00A67033">
        <w:rPr>
          <w:rFonts w:ascii="Palatino Linotype" w:eastAsia="Times New Roman" w:hAnsi="Palatino Linotype" w:cs="Arial"/>
          <w:lang w:val="es-ES" w:eastAsia="es-MX"/>
        </w:rPr>
        <w:t xml:space="preserve">De la misma forma, </w:t>
      </w:r>
      <w:r w:rsidRPr="00A67033">
        <w:rPr>
          <w:rFonts w:ascii="Palatino Linotype" w:eastAsia="MS Mincho" w:hAnsi="Palatino Linotype" w:cs="Times New Roman"/>
        </w:rPr>
        <w:t>de acuerdo al contenido del artículo 160</w:t>
      </w:r>
      <w:r w:rsidRPr="00A67033">
        <w:rPr>
          <w:rFonts w:ascii="Palatino Linotype" w:eastAsia="Times New Roman" w:hAnsi="Palatino Linotype" w:cs="Arial"/>
        </w:rPr>
        <w:t xml:space="preserve"> de la Ley </w:t>
      </w:r>
      <w:r w:rsidRPr="00A67033">
        <w:rPr>
          <w:rFonts w:ascii="Palatino Linotype" w:eastAsia="MS Mincho" w:hAnsi="Palatino Linotype" w:cs="Tahoma"/>
        </w:rPr>
        <w:t xml:space="preserve">General de </w:t>
      </w:r>
      <w:r w:rsidRPr="00A67033">
        <w:rPr>
          <w:rFonts w:ascii="Palatino Linotype" w:hAnsi="Palatino Linotype" w:cs="Arial"/>
        </w:rPr>
        <w:t>Transparencia</w:t>
      </w:r>
      <w:r w:rsidRPr="00A67033">
        <w:rPr>
          <w:rFonts w:ascii="Palatino Linotype" w:eastAsia="MS Mincho" w:hAnsi="Palatino Linotype" w:cs="Tahoma"/>
        </w:rPr>
        <w:t xml:space="preserve"> y Acceso a la Información Pública que a la letra dispone:</w:t>
      </w:r>
    </w:p>
    <w:p w:rsidR="00E7460A" w:rsidRPr="00A67033" w:rsidRDefault="00E7460A" w:rsidP="00E7460A">
      <w:pPr>
        <w:pStyle w:val="Prrafodelista"/>
        <w:rPr>
          <w:rFonts w:ascii="Palatino Linotype" w:eastAsia="Times New Roman" w:hAnsi="Palatino Linotype" w:cs="Arial"/>
          <w:lang w:val="es-ES" w:eastAsia="es-MX"/>
        </w:rPr>
      </w:pPr>
    </w:p>
    <w:p w:rsidR="00E7460A" w:rsidRPr="00A67033" w:rsidRDefault="00E7460A" w:rsidP="00E7460A">
      <w:pPr>
        <w:spacing w:line="360" w:lineRule="auto"/>
        <w:ind w:left="709" w:right="616"/>
        <w:contextualSpacing/>
        <w:jc w:val="both"/>
        <w:rPr>
          <w:rFonts w:ascii="Palatino Linotype" w:eastAsia="Times New Roman" w:hAnsi="Palatino Linotype" w:cs="Arial"/>
          <w:i/>
          <w:lang w:eastAsia="gl-ES"/>
        </w:rPr>
      </w:pPr>
      <w:r w:rsidRPr="00A67033">
        <w:rPr>
          <w:rFonts w:ascii="Palatino Linotype" w:eastAsia="Times New Roman" w:hAnsi="Palatino Linotype" w:cs="Arial"/>
          <w:b/>
          <w:i/>
          <w:lang w:eastAsia="gl-ES"/>
        </w:rPr>
        <w:t>Artículo 160</w:t>
      </w:r>
      <w:r w:rsidRPr="00A67033">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E7460A" w:rsidRPr="00A67033" w:rsidRDefault="00E7460A" w:rsidP="00E7460A">
      <w:pPr>
        <w:spacing w:line="360" w:lineRule="auto"/>
        <w:ind w:left="851" w:right="616"/>
        <w:contextualSpacing/>
        <w:jc w:val="both"/>
        <w:rPr>
          <w:rFonts w:ascii="Palatino Linotype" w:eastAsia="Times New Roman" w:hAnsi="Palatino Linotype" w:cs="Arial"/>
          <w:i/>
          <w:lang w:eastAsia="gl-ES"/>
        </w:rPr>
      </w:pPr>
    </w:p>
    <w:p w:rsidR="00E7460A" w:rsidRPr="00A67033" w:rsidRDefault="009845EF" w:rsidP="00D56143">
      <w:pPr>
        <w:numPr>
          <w:ilvl w:val="0"/>
          <w:numId w:val="1"/>
        </w:numPr>
        <w:spacing w:line="360" w:lineRule="auto"/>
        <w:ind w:left="0" w:firstLine="0"/>
        <w:contextualSpacing/>
        <w:jc w:val="both"/>
        <w:rPr>
          <w:rFonts w:ascii="Palatino Linotype" w:eastAsia="Calibri" w:hAnsi="Palatino Linotype" w:cs="Arial"/>
        </w:rPr>
      </w:pPr>
      <w:r w:rsidRPr="00A67033">
        <w:rPr>
          <w:rFonts w:ascii="Palatino Linotype" w:eastAsia="Calibri" w:hAnsi="Palatino Linotype" w:cs="Arial"/>
        </w:rPr>
        <w:t>Así, c</w:t>
      </w:r>
      <w:r w:rsidR="00E7460A" w:rsidRPr="00A67033">
        <w:rPr>
          <w:rFonts w:ascii="Palatino Linotype" w:eastAsia="Calibri" w:hAnsi="Palatino Linotype" w:cs="Arial"/>
        </w:rPr>
        <w:t xml:space="preserve">omo se puede advertir el derecho del particular de acceder a los documentos que obran en posesión del </w:t>
      </w:r>
      <w:r w:rsidRPr="00A67033">
        <w:rPr>
          <w:rFonts w:ascii="Palatino Linotype" w:eastAsia="Calibri" w:hAnsi="Palatino Linotype" w:cs="Arial"/>
          <w:b/>
        </w:rPr>
        <w:t>SUJETO OBLIGADO</w:t>
      </w:r>
      <w:r w:rsidRPr="00A67033">
        <w:rPr>
          <w:rFonts w:ascii="Palatino Linotype" w:eastAsia="Calibri" w:hAnsi="Palatino Linotype" w:cs="Arial"/>
        </w:rPr>
        <w:t xml:space="preserve"> </w:t>
      </w:r>
      <w:r w:rsidR="00E7460A" w:rsidRPr="00A67033">
        <w:rPr>
          <w:rFonts w:ascii="Palatino Linotype" w:eastAsia="Calibri" w:hAnsi="Palatino Linotype" w:cs="Arial"/>
        </w:rPr>
        <w:t xml:space="preserve">se encuentra limitado, en virtud de que no le fue entregada la información; </w:t>
      </w:r>
      <w:r w:rsidRPr="00A67033">
        <w:rPr>
          <w:rFonts w:ascii="Palatino Linotype" w:eastAsia="Calibri" w:hAnsi="Palatino Linotype" w:cs="Arial"/>
        </w:rPr>
        <w:t>se incumplió</w:t>
      </w:r>
      <w:r w:rsidR="00E7460A" w:rsidRPr="00A67033">
        <w:rPr>
          <w:rFonts w:ascii="Palatino Linotype" w:eastAsia="Calibri" w:hAnsi="Palatino Linotype" w:cs="Arial"/>
        </w:rPr>
        <w:t xml:space="preserve"> lo previsto en el artículo 4 de la Ley de la Materia,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w:t>
      </w:r>
      <w:r w:rsidR="00E7460A" w:rsidRPr="00A67033">
        <w:rPr>
          <w:rFonts w:ascii="Palatino Linotype" w:eastAsia="Calibri" w:hAnsi="Palatino Linotype" w:cs="Arial"/>
        </w:rPr>
        <w:lastRenderedPageBreak/>
        <w:t>como un derecho fundamental es que todo Sujeto Obligado debe ceñir su actuar a la conservación patrimonial de sus archivos documentales y posteriormente el acceso de la información pública.</w:t>
      </w:r>
    </w:p>
    <w:p w:rsidR="00E7460A" w:rsidRPr="00A67033" w:rsidRDefault="00E7460A" w:rsidP="00E7460A">
      <w:pPr>
        <w:spacing w:line="360" w:lineRule="auto"/>
        <w:contextualSpacing/>
        <w:jc w:val="both"/>
        <w:rPr>
          <w:rFonts w:ascii="Palatino Linotype" w:hAnsi="Palatino Linotype" w:cs="Arial"/>
        </w:rPr>
      </w:pPr>
    </w:p>
    <w:p w:rsidR="00E7460A" w:rsidRPr="00A67033" w:rsidRDefault="00E7460A"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Calibri" w:hAnsi="Palatino Linotype" w:cs="Arial"/>
        </w:rPr>
        <w:t>Consecuentemente</w:t>
      </w:r>
      <w:r w:rsidRPr="00A67033">
        <w:rPr>
          <w:rFonts w:ascii="Palatino Linotype" w:hAnsi="Palatino Linotype"/>
        </w:rPr>
        <w:t>, no fue posible tener por satisfecho el derecho de acceso a la información del hoy recurrente</w:t>
      </w:r>
      <w:r w:rsidRPr="00A67033">
        <w:rPr>
          <w:rFonts w:ascii="Palatino Linotype" w:hAnsi="Palatino Linotype"/>
          <w:b/>
          <w:i/>
        </w:rPr>
        <w:t xml:space="preserve"> </w:t>
      </w:r>
      <w:r w:rsidRPr="00A67033">
        <w:rPr>
          <w:rFonts w:ascii="Palatino Linotype" w:hAnsi="Palatino Linotype"/>
        </w:rPr>
        <w:t>en virtud de que en</w:t>
      </w:r>
      <w:r w:rsidRPr="00A67033">
        <w:rPr>
          <w:rFonts w:ascii="Palatino Linotype" w:hAnsi="Palatino Linotype" w:cs="Arial"/>
        </w:rPr>
        <w:t xml:space="preserve"> primer término es preciso referir que estamos ante el escenario de documentos los cuales son considerados públicos, es decir, la naturaleza de los oficios y de los asuntos que se traten, sirve de referencia los artículos 1, 2, 5 y 6 de la Ley de Documentos Administrativos e Históricos del Estado de México que a continuación se trascriben:</w:t>
      </w:r>
    </w:p>
    <w:p w:rsidR="00E7460A" w:rsidRPr="00A67033" w:rsidRDefault="00E7460A" w:rsidP="00E7460A">
      <w:pPr>
        <w:pStyle w:val="Prrafodelista"/>
        <w:rPr>
          <w:rFonts w:ascii="Palatino Linotype" w:hAnsi="Palatino Linotype" w:cs="Arial"/>
        </w:rPr>
      </w:pPr>
    </w:p>
    <w:p w:rsidR="00E7460A" w:rsidRPr="00A67033" w:rsidRDefault="00E7460A" w:rsidP="00E7460A">
      <w:pPr>
        <w:spacing w:line="360" w:lineRule="auto"/>
        <w:ind w:left="567" w:right="616"/>
        <w:jc w:val="both"/>
        <w:rPr>
          <w:rFonts w:ascii="Palatino Linotype" w:hAnsi="Palatino Linotype" w:cs="Arial"/>
          <w:i/>
        </w:rPr>
      </w:pPr>
      <w:r w:rsidRPr="00A67033">
        <w:rPr>
          <w:rFonts w:ascii="Palatino Linotype" w:hAnsi="Palatino Linotype" w:cs="Arial"/>
          <w:i/>
        </w:rPr>
        <w:t xml:space="preserve">“Artículo 1. La presente Ley, </w:t>
      </w:r>
      <w:r w:rsidRPr="00A67033">
        <w:rPr>
          <w:rFonts w:ascii="Palatino Linotype" w:hAnsi="Palatino Linotype" w:cs="Arial"/>
          <w:b/>
          <w:i/>
          <w:u w:val="single"/>
        </w:rPr>
        <w:t xml:space="preserve">es de orden público e interés social y tiene por objeto normar y regular la administración de documentos administrativos </w:t>
      </w:r>
      <w:r w:rsidRPr="00A67033">
        <w:rPr>
          <w:rFonts w:ascii="Palatino Linotype" w:hAnsi="Palatino Linotype" w:cs="Arial"/>
          <w:i/>
        </w:rPr>
        <w:t>e históricos</w:t>
      </w:r>
      <w:r w:rsidRPr="00A67033">
        <w:rPr>
          <w:rFonts w:ascii="Palatino Linotype" w:hAnsi="Palatino Linotype" w:cs="Arial"/>
          <w:b/>
          <w:i/>
          <w:u w:val="single"/>
        </w:rPr>
        <w:t xml:space="preserve"> de las autoridades del Estado</w:t>
      </w:r>
      <w:r w:rsidRPr="00A67033">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rsidR="009845EF" w:rsidRPr="00A67033" w:rsidRDefault="009845EF" w:rsidP="00E7460A">
      <w:pPr>
        <w:spacing w:line="360" w:lineRule="auto"/>
        <w:ind w:left="567" w:right="616"/>
        <w:jc w:val="both"/>
        <w:rPr>
          <w:rFonts w:ascii="Palatino Linotype" w:hAnsi="Palatino Linotype" w:cs="Arial"/>
          <w:i/>
        </w:rPr>
      </w:pPr>
    </w:p>
    <w:p w:rsidR="00E7460A" w:rsidRPr="00A67033" w:rsidRDefault="00E7460A" w:rsidP="00E7460A">
      <w:pPr>
        <w:spacing w:line="360" w:lineRule="auto"/>
        <w:ind w:left="567" w:right="616"/>
        <w:jc w:val="both"/>
        <w:rPr>
          <w:rFonts w:ascii="Palatino Linotype" w:hAnsi="Palatino Linotype" w:cs="Arial"/>
          <w:b/>
          <w:i/>
          <w:u w:val="single"/>
        </w:rPr>
      </w:pPr>
      <w:r w:rsidRPr="00A67033">
        <w:rPr>
          <w:rFonts w:ascii="Palatino Linotype" w:hAnsi="Palatino Linotype" w:cs="Arial"/>
          <w:i/>
        </w:rPr>
        <w:t xml:space="preserve">“Artículo 2.- Para los efectos de esta Ley, </w:t>
      </w:r>
      <w:r w:rsidRPr="00A67033">
        <w:rPr>
          <w:rFonts w:ascii="Palatino Linotype" w:hAnsi="Palatino Linotype" w:cs="Arial"/>
          <w:b/>
          <w:i/>
          <w:u w:val="single"/>
        </w:rPr>
        <w:t xml:space="preserve">se entiende por Administración de Documentos: </w:t>
      </w:r>
    </w:p>
    <w:p w:rsidR="00E7460A" w:rsidRPr="00A67033" w:rsidRDefault="00E7460A" w:rsidP="00E7460A">
      <w:pPr>
        <w:spacing w:line="360" w:lineRule="auto"/>
        <w:ind w:left="567" w:right="616"/>
        <w:jc w:val="both"/>
        <w:rPr>
          <w:rFonts w:ascii="Palatino Linotype" w:hAnsi="Palatino Linotype" w:cs="Arial"/>
          <w:i/>
        </w:rPr>
      </w:pPr>
      <w:r w:rsidRPr="00A67033">
        <w:rPr>
          <w:rFonts w:ascii="Palatino Linotype" w:hAnsi="Palatino Linotype" w:cs="Arial"/>
          <w:i/>
        </w:rPr>
        <w:t xml:space="preserve">a) </w:t>
      </w:r>
      <w:r w:rsidRPr="00A67033">
        <w:rPr>
          <w:rFonts w:ascii="Palatino Linotype" w:hAnsi="Palatino Linotype" w:cs="Arial"/>
          <w:b/>
          <w:i/>
          <w:u w:val="single"/>
        </w:rPr>
        <w:t>Los actos tendientes a inventariar, regular, coordinar y dinamizar el funcionamiento y uso de los documentos existentes</w:t>
      </w:r>
      <w:r w:rsidRPr="00A67033">
        <w:rPr>
          <w:rFonts w:ascii="Palatino Linotype" w:hAnsi="Palatino Linotype" w:cs="Arial"/>
          <w:i/>
        </w:rPr>
        <w:t xml:space="preserve"> en los Archivos Administrativos e Históricos de los Poderes del Estado, Municipios y Organismos Auxiliares y en su caso, los que posean particulares.</w:t>
      </w:r>
    </w:p>
    <w:p w:rsidR="00E7460A" w:rsidRPr="00A67033" w:rsidRDefault="00E7460A" w:rsidP="00E7460A">
      <w:pPr>
        <w:spacing w:line="360" w:lineRule="auto"/>
        <w:ind w:left="567" w:right="616"/>
        <w:jc w:val="both"/>
        <w:rPr>
          <w:rFonts w:ascii="Palatino Linotype" w:hAnsi="Palatino Linotype" w:cs="Arial"/>
          <w:i/>
        </w:rPr>
      </w:pPr>
      <w:r w:rsidRPr="00A67033">
        <w:rPr>
          <w:rFonts w:ascii="Palatino Linotype" w:hAnsi="Palatino Linotype" w:cs="Arial"/>
          <w:i/>
        </w:rPr>
        <w:lastRenderedPageBreak/>
        <w:t xml:space="preserve">b) </w:t>
      </w:r>
      <w:r w:rsidRPr="00A67033">
        <w:rPr>
          <w:rFonts w:ascii="Palatino Linotype" w:hAnsi="Palatino Linotype" w:cs="Arial"/>
          <w:b/>
          <w:i/>
          <w:u w:val="single"/>
        </w:rPr>
        <w:t>Los actos que se realicen para generar, recibir, mantener, custodiar, reconstruir, depurar o destruir Documentos Administrativos</w:t>
      </w:r>
      <w:r w:rsidRPr="00A67033">
        <w:rPr>
          <w:rFonts w:ascii="Palatino Linotype" w:hAnsi="Palatino Linotype" w:cs="Arial"/>
          <w:i/>
        </w:rPr>
        <w:t xml:space="preserve"> o Históricos, que por su importancia sean fuentes esenciales de información acerca del pasado y presente de la vida institucional del Estado.”</w:t>
      </w:r>
    </w:p>
    <w:p w:rsidR="00E7460A" w:rsidRPr="00A67033" w:rsidRDefault="00E7460A" w:rsidP="00E7460A">
      <w:pPr>
        <w:spacing w:line="360" w:lineRule="auto"/>
        <w:ind w:left="567" w:right="616"/>
        <w:jc w:val="both"/>
        <w:rPr>
          <w:rFonts w:ascii="Palatino Linotype" w:hAnsi="Palatino Linotype" w:cs="Arial"/>
          <w:i/>
        </w:rPr>
      </w:pPr>
    </w:p>
    <w:p w:rsidR="00E7460A" w:rsidRPr="00A67033" w:rsidRDefault="00E7460A" w:rsidP="00E7460A">
      <w:pPr>
        <w:spacing w:line="360" w:lineRule="auto"/>
        <w:ind w:left="567" w:right="616"/>
        <w:jc w:val="both"/>
        <w:rPr>
          <w:rFonts w:ascii="Palatino Linotype" w:hAnsi="Palatino Linotype" w:cs="Arial"/>
          <w:i/>
        </w:rPr>
      </w:pPr>
      <w:r w:rsidRPr="00A67033">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rsidR="00E7460A" w:rsidRPr="00A67033" w:rsidRDefault="00E7460A" w:rsidP="00E7460A">
      <w:pPr>
        <w:spacing w:line="360" w:lineRule="auto"/>
        <w:ind w:left="567" w:right="616"/>
        <w:jc w:val="both"/>
        <w:rPr>
          <w:rFonts w:ascii="Palatino Linotype" w:hAnsi="Palatino Linotype" w:cs="Arial"/>
          <w:i/>
        </w:rPr>
      </w:pPr>
    </w:p>
    <w:p w:rsidR="00E7460A" w:rsidRPr="00A67033" w:rsidRDefault="00E7460A" w:rsidP="00E7460A">
      <w:pPr>
        <w:spacing w:line="360" w:lineRule="auto"/>
        <w:ind w:left="567" w:right="616"/>
        <w:jc w:val="both"/>
        <w:rPr>
          <w:rFonts w:ascii="Palatino Linotype" w:hAnsi="Palatino Linotype" w:cs="Arial"/>
          <w:b/>
          <w:i/>
          <w:u w:val="single"/>
        </w:rPr>
      </w:pPr>
      <w:r w:rsidRPr="00A67033">
        <w:rPr>
          <w:rFonts w:ascii="Palatino Linotype" w:hAnsi="Palatino Linotype" w:cs="Arial"/>
          <w:i/>
        </w:rPr>
        <w:t xml:space="preserve">“Artículo 5.- </w:t>
      </w:r>
      <w:r w:rsidRPr="00A67033">
        <w:rPr>
          <w:rFonts w:ascii="Palatino Linotype" w:hAnsi="Palatino Linotype" w:cs="Arial"/>
          <w:b/>
          <w:i/>
          <w:u w:val="single"/>
        </w:rPr>
        <w:t>El servidor público, encargado de recibir documentos, los registrará en el acto de su recepción, indicando el destino que deba darse a cada uno</w:t>
      </w:r>
    </w:p>
    <w:p w:rsidR="00E7460A" w:rsidRPr="00A67033" w:rsidRDefault="00E7460A" w:rsidP="00E7460A">
      <w:pPr>
        <w:spacing w:line="360" w:lineRule="auto"/>
        <w:ind w:left="567" w:right="616"/>
        <w:jc w:val="both"/>
        <w:rPr>
          <w:rFonts w:ascii="Palatino Linotype" w:hAnsi="Palatino Linotype" w:cs="Arial"/>
          <w:i/>
        </w:rPr>
      </w:pPr>
    </w:p>
    <w:p w:rsidR="00E7460A" w:rsidRPr="00A67033" w:rsidRDefault="00E7460A" w:rsidP="00E7460A">
      <w:pPr>
        <w:spacing w:line="360" w:lineRule="auto"/>
        <w:ind w:left="567" w:right="616"/>
        <w:jc w:val="both"/>
        <w:rPr>
          <w:rFonts w:ascii="Palatino Linotype" w:hAnsi="Palatino Linotype" w:cs="Arial"/>
          <w:i/>
        </w:rPr>
      </w:pPr>
      <w:r w:rsidRPr="00A67033">
        <w:rPr>
          <w:rFonts w:ascii="Palatino Linotype" w:hAnsi="Palatino Linotype" w:cs="Arial"/>
          <w:i/>
        </w:rPr>
        <w:t xml:space="preserve">“Artículo 6.- </w:t>
      </w:r>
      <w:r w:rsidRPr="00A67033">
        <w:rPr>
          <w:rFonts w:ascii="Palatino Linotype" w:hAnsi="Palatino Linotype" w:cs="Arial"/>
          <w:b/>
          <w:i/>
          <w:u w:val="single"/>
        </w:rPr>
        <w:t>Los usuarios tendrán acceso a la información de los documentos, conforme a lo dispuesto por la ley de la materia</w:t>
      </w:r>
      <w:r w:rsidRPr="00A67033">
        <w:rPr>
          <w:rFonts w:ascii="Palatino Linotype" w:hAnsi="Palatino Linotype" w:cs="Arial"/>
          <w:i/>
        </w:rPr>
        <w:t>.”</w:t>
      </w:r>
    </w:p>
    <w:p w:rsidR="00E7460A" w:rsidRPr="00A67033" w:rsidRDefault="00E7460A" w:rsidP="00E7460A">
      <w:pPr>
        <w:spacing w:line="360" w:lineRule="auto"/>
        <w:ind w:left="567" w:right="851"/>
        <w:jc w:val="both"/>
        <w:rPr>
          <w:rFonts w:ascii="Palatino Linotype" w:hAnsi="Palatino Linotype" w:cs="Arial"/>
        </w:rPr>
      </w:pPr>
      <w:r w:rsidRPr="00A67033">
        <w:rPr>
          <w:rFonts w:ascii="Palatino Linotype" w:hAnsi="Palatino Linotype" w:cs="Arial"/>
        </w:rPr>
        <w:t>(Énfasis añadido)</w:t>
      </w:r>
    </w:p>
    <w:p w:rsidR="00E7460A" w:rsidRPr="00A67033" w:rsidRDefault="00E7460A" w:rsidP="00E7460A">
      <w:pPr>
        <w:spacing w:line="360" w:lineRule="auto"/>
        <w:ind w:left="851" w:right="851"/>
        <w:jc w:val="both"/>
        <w:rPr>
          <w:rFonts w:ascii="Palatino Linotype" w:hAnsi="Palatino Linotype" w:cs="Arial"/>
        </w:rPr>
      </w:pPr>
    </w:p>
    <w:p w:rsidR="00E7460A" w:rsidRPr="00A67033" w:rsidRDefault="00E7460A" w:rsidP="00D56143">
      <w:pPr>
        <w:numPr>
          <w:ilvl w:val="0"/>
          <w:numId w:val="1"/>
        </w:numPr>
        <w:spacing w:before="240" w:after="240" w:line="360" w:lineRule="auto"/>
        <w:ind w:left="0" w:right="49" w:firstLine="0"/>
        <w:contextualSpacing/>
        <w:jc w:val="both"/>
        <w:rPr>
          <w:rFonts w:ascii="Palatino Linotype" w:hAnsi="Palatino Linotype"/>
        </w:rPr>
      </w:pPr>
      <w:r w:rsidRPr="00A67033">
        <w:rPr>
          <w:rFonts w:ascii="Palatino Linotype" w:hAnsi="Palatino Linotype"/>
        </w:rPr>
        <w:t xml:space="preserve">De los preceptos jurídicos invocados con anterioridad se desprende que la Ley que regula los documentos en el Estado indica que es de orden público e interés social, es </w:t>
      </w:r>
      <w:r w:rsidRPr="00A67033">
        <w:rPr>
          <w:rFonts w:ascii="Palatino Linotype" w:eastAsia="Calibri" w:hAnsi="Palatino Linotype" w:cs="Arial"/>
        </w:rPr>
        <w:t>decir</w:t>
      </w:r>
      <w:r w:rsidRPr="00A67033">
        <w:rPr>
          <w:rFonts w:ascii="Palatino Linotype" w:hAnsi="Palatino Linotype"/>
        </w:rPr>
        <w:t xml:space="preserve">, tiene efectos </w:t>
      </w:r>
      <w:r w:rsidRPr="00A67033">
        <w:rPr>
          <w:rFonts w:ascii="Palatino Linotype" w:hAnsi="Palatino Linotype"/>
          <w:i/>
        </w:rPr>
        <w:t>erga omnes</w:t>
      </w:r>
      <w:r w:rsidRPr="00A67033">
        <w:rPr>
          <w:rFonts w:ascii="Palatino Linotype" w:hAnsi="Palatino Linotype"/>
        </w:rPr>
        <w:t xml:space="preserve"> los cuales todas aquellas autoridades que estén en el territorio mexiquense les aplica la Ley en cuestión tratándose en materia de documentos, así mismo como lo es el Sujeto Obligado, juega un papel de autoridad, es decir, se configura el hecho de que estamos ante una dependencia que </w:t>
      </w:r>
      <w:r w:rsidRPr="00A67033">
        <w:rPr>
          <w:rFonts w:ascii="Palatino Linotype" w:hAnsi="Palatino Linotype"/>
        </w:rPr>
        <w:lastRenderedPageBreak/>
        <w:t>realiza actos de autoridad y que estos mismos se deben documentar como la Ley de la materia lo señala.</w:t>
      </w:r>
    </w:p>
    <w:p w:rsidR="00E7460A" w:rsidRPr="00A67033" w:rsidRDefault="00E7460A" w:rsidP="00E7460A">
      <w:pPr>
        <w:spacing w:before="240" w:after="240" w:line="360" w:lineRule="auto"/>
        <w:ind w:left="284" w:right="49"/>
        <w:contextualSpacing/>
        <w:jc w:val="both"/>
        <w:rPr>
          <w:rFonts w:ascii="Palatino Linotype" w:hAnsi="Palatino Linotype"/>
        </w:rPr>
      </w:pPr>
    </w:p>
    <w:p w:rsidR="00E7460A" w:rsidRPr="00A67033" w:rsidRDefault="00E7460A"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cs="Arial"/>
        </w:rPr>
        <w:t xml:space="preserve">Por otro lado, las instituciones encargadas de la administración de documentos y que a su vez en </w:t>
      </w:r>
      <w:r w:rsidRPr="00A67033">
        <w:rPr>
          <w:rFonts w:ascii="Palatino Linotype" w:hAnsi="Palatino Linotype"/>
        </w:rPr>
        <w:t>relación</w:t>
      </w:r>
      <w:r w:rsidRPr="00A67033">
        <w:rPr>
          <w:rFonts w:ascii="Palatino Linotype" w:hAnsi="Palatino Linotype" w:cs="Arial"/>
        </w:rPr>
        <w:t xml:space="preserve"> con lo anterior realizan actos de autoridad, deben llevar una correcta administración de los documentos que generan y reciben, en el entendido que la administración no solo lleva el resguardo de los documentos sino también el inventario, regulación, coordinación y dinamización en el funcionamiento y uso de estos.</w:t>
      </w:r>
    </w:p>
    <w:p w:rsidR="009845EF" w:rsidRPr="00A67033" w:rsidRDefault="009845EF" w:rsidP="009845EF">
      <w:pPr>
        <w:pStyle w:val="Prrafodelista"/>
        <w:rPr>
          <w:rFonts w:ascii="Palatino Linotype" w:hAnsi="Palatino Linotype" w:cs="Arial"/>
        </w:rPr>
      </w:pPr>
    </w:p>
    <w:p w:rsidR="009F09BC" w:rsidRPr="00A67033" w:rsidRDefault="009F09BC" w:rsidP="009F09BC">
      <w:pPr>
        <w:pStyle w:val="Ttulo2"/>
        <w:rPr>
          <w:rFonts w:ascii="Palatino Linotype" w:hAnsi="Palatino Linotype"/>
          <w:b/>
          <w:color w:val="auto"/>
          <w:sz w:val="24"/>
          <w:szCs w:val="24"/>
        </w:rPr>
      </w:pPr>
      <w:bookmarkStart w:id="150" w:name="_Toc531859120"/>
      <w:bookmarkStart w:id="151" w:name="_Toc2871952"/>
      <w:bookmarkStart w:id="152" w:name="_Toc20246253"/>
      <w:bookmarkStart w:id="153" w:name="_Toc24023250"/>
      <w:bookmarkStart w:id="154" w:name="_Toc26461369"/>
      <w:bookmarkStart w:id="155" w:name="_Toc29481474"/>
      <w:bookmarkStart w:id="156" w:name="_Toc36648201"/>
      <w:bookmarkStart w:id="157" w:name="_Toc36732268"/>
      <w:bookmarkStart w:id="158" w:name="_Toc38560292"/>
      <w:bookmarkStart w:id="159" w:name="_Toc83128590"/>
      <w:bookmarkStart w:id="160" w:name="_Toc473799824"/>
      <w:bookmarkStart w:id="161" w:name="_Toc487025370"/>
      <w:bookmarkStart w:id="162" w:name="_Toc493790438"/>
      <w:bookmarkStart w:id="163" w:name="_Toc495606558"/>
      <w:bookmarkStart w:id="164" w:name="_Toc497297048"/>
      <w:bookmarkStart w:id="165" w:name="_Toc498503756"/>
      <w:bookmarkStart w:id="166" w:name="_Toc499201876"/>
      <w:bookmarkStart w:id="167" w:name="_Toc524000321"/>
      <w:r w:rsidRPr="00A67033">
        <w:rPr>
          <w:rFonts w:ascii="Palatino Linotype" w:hAnsi="Palatino Linotype"/>
          <w:b/>
          <w:color w:val="auto"/>
          <w:sz w:val="24"/>
          <w:szCs w:val="24"/>
        </w:rPr>
        <w:t xml:space="preserve">QUINTO. De la </w:t>
      </w:r>
      <w:bookmarkEnd w:id="150"/>
      <w:bookmarkEnd w:id="151"/>
      <w:r w:rsidRPr="00A67033">
        <w:rPr>
          <w:rFonts w:ascii="Palatino Linotype" w:hAnsi="Palatino Linotype"/>
          <w:b/>
          <w:color w:val="auto"/>
          <w:sz w:val="24"/>
          <w:szCs w:val="24"/>
        </w:rPr>
        <w:t>versión pública</w:t>
      </w:r>
      <w:bookmarkEnd w:id="152"/>
      <w:bookmarkEnd w:id="153"/>
      <w:bookmarkEnd w:id="154"/>
      <w:bookmarkEnd w:id="155"/>
      <w:bookmarkEnd w:id="156"/>
      <w:bookmarkEnd w:id="157"/>
      <w:bookmarkEnd w:id="158"/>
      <w:bookmarkEnd w:id="159"/>
    </w:p>
    <w:p w:rsidR="009F09BC" w:rsidRPr="00A67033" w:rsidRDefault="009F09BC" w:rsidP="009F09BC">
      <w:pPr>
        <w:rPr>
          <w:rFonts w:ascii="Palatino Linotype" w:hAnsi="Palatino Linotype"/>
          <w:lang w:val="es-MX" w:eastAsia="en-US"/>
        </w:rPr>
      </w:pPr>
    </w:p>
    <w:bookmarkEnd w:id="160"/>
    <w:bookmarkEnd w:id="161"/>
    <w:bookmarkEnd w:id="162"/>
    <w:bookmarkEnd w:id="163"/>
    <w:bookmarkEnd w:id="164"/>
    <w:bookmarkEnd w:id="165"/>
    <w:bookmarkEnd w:id="166"/>
    <w:bookmarkEnd w:id="167"/>
    <w:p w:rsidR="009F09BC" w:rsidRPr="00A67033" w:rsidRDefault="009845EF" w:rsidP="00D56143">
      <w:pPr>
        <w:numPr>
          <w:ilvl w:val="0"/>
          <w:numId w:val="1"/>
        </w:numPr>
        <w:spacing w:line="360" w:lineRule="auto"/>
        <w:ind w:left="0" w:firstLine="0"/>
        <w:contextualSpacing/>
        <w:jc w:val="both"/>
        <w:rPr>
          <w:rFonts w:ascii="Palatino Linotype" w:hAnsi="Palatino Linotype"/>
        </w:rPr>
      </w:pPr>
      <w:r w:rsidRPr="00A67033">
        <w:rPr>
          <w:rFonts w:ascii="Palatino Linotype" w:hAnsi="Palatino Linotype"/>
        </w:rPr>
        <w:t>Por otro lado, d</w:t>
      </w:r>
      <w:r w:rsidR="009F09BC" w:rsidRPr="00A67033">
        <w:rPr>
          <w:rFonts w:ascii="Palatino Linotype" w:hAnsi="Palatino Linotype"/>
        </w:rPr>
        <w:t xml:space="preserve">ebe </w:t>
      </w:r>
      <w:r w:rsidR="009F09BC" w:rsidRPr="00A67033">
        <w:rPr>
          <w:rFonts w:ascii="Palatino Linotype" w:hAnsi="Palatino Linotype" w:cs="Arial"/>
        </w:rPr>
        <w:t>destacarse</w:t>
      </w:r>
      <w:r w:rsidR="009F09BC" w:rsidRPr="00A67033">
        <w:rPr>
          <w:rFonts w:ascii="Palatino Linotype" w:hAnsi="Palatino Linotype"/>
        </w:rPr>
        <w:t xml:space="preserve"> que la información que se ha tenido a bien ordenar, dada su propia y especial </w:t>
      </w:r>
      <w:r w:rsidR="009F09BC" w:rsidRPr="00A67033">
        <w:rPr>
          <w:rFonts w:ascii="Palatino Linotype" w:eastAsia="MS Mincho" w:hAnsi="Palatino Linotype" w:cs="Arial"/>
        </w:rPr>
        <w:t>naturaleza</w:t>
      </w:r>
      <w:r w:rsidR="009F09BC" w:rsidRPr="00A67033">
        <w:rPr>
          <w:rFonts w:ascii="Palatino Linotype" w:hAnsi="Palatino Linotype"/>
        </w:rPr>
        <w:t xml:space="preserve">, </w:t>
      </w:r>
      <w:r w:rsidR="009E68D3" w:rsidRPr="00A67033">
        <w:rPr>
          <w:rFonts w:ascii="Palatino Linotype" w:hAnsi="Palatino Linotype"/>
          <w:b/>
        </w:rPr>
        <w:t>contiene</w:t>
      </w:r>
      <w:r w:rsidR="009F09BC" w:rsidRPr="00A67033">
        <w:rPr>
          <w:rFonts w:ascii="Palatino Linotype" w:hAnsi="Palatino Linotype"/>
          <w:b/>
        </w:rPr>
        <w:t xml:space="preserve"> </w:t>
      </w:r>
      <w:r w:rsidRPr="00A67033">
        <w:rPr>
          <w:rFonts w:ascii="Palatino Linotype" w:hAnsi="Palatino Linotype"/>
          <w:b/>
        </w:rPr>
        <w:t xml:space="preserve">eminentemente </w:t>
      </w:r>
      <w:r w:rsidR="009F09BC" w:rsidRPr="00A67033">
        <w:rPr>
          <w:rFonts w:ascii="Palatino Linotype" w:hAnsi="Palatino Linotype"/>
          <w:b/>
        </w:rPr>
        <w:t>datos personales susceptibles de ser protegidos mediante una versión pública</w:t>
      </w:r>
      <w:r w:rsidR="009F09BC" w:rsidRPr="00A67033">
        <w:rPr>
          <w:rFonts w:ascii="Palatino Linotype" w:hAnsi="Palatino Linotype"/>
        </w:rPr>
        <w:t xml:space="preserve">, la cual deberá estar soportada por el Acta del Comité de Transparencia que se emita para tal efecto, debiéndola poner a disposición del hoy </w:t>
      </w:r>
      <w:r w:rsidR="009F09BC" w:rsidRPr="00A67033">
        <w:rPr>
          <w:rFonts w:ascii="Palatino Linotype" w:hAnsi="Palatino Linotype"/>
          <w:b/>
        </w:rPr>
        <w:t>RECURRENTE</w:t>
      </w:r>
      <w:r w:rsidR="009A2251" w:rsidRPr="00A67033">
        <w:rPr>
          <w:rFonts w:ascii="Palatino Linotype" w:hAnsi="Palatino Linotype"/>
        </w:rPr>
        <w:t>.</w:t>
      </w:r>
    </w:p>
    <w:p w:rsidR="00002446" w:rsidRPr="00A67033" w:rsidRDefault="00002446" w:rsidP="00002446">
      <w:pPr>
        <w:spacing w:line="360" w:lineRule="auto"/>
        <w:contextualSpacing/>
        <w:jc w:val="both"/>
        <w:rPr>
          <w:rFonts w:ascii="Palatino Linotype" w:hAnsi="Palatino Linotype"/>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La clasificación total o parcial de la información requerida, mediante solicitud de acceso a la </w:t>
      </w:r>
      <w:r w:rsidRPr="00A67033">
        <w:rPr>
          <w:rFonts w:ascii="Palatino Linotype" w:hAnsi="Palatino Linotype"/>
        </w:rPr>
        <w:t>información</w:t>
      </w:r>
      <w:r w:rsidRPr="00A67033">
        <w:rPr>
          <w:rFonts w:ascii="Palatino Linotype" w:eastAsia="MS Gothic" w:hAnsi="Palatino Linotype" w:cs="Times New Roman"/>
        </w:rPr>
        <w:t xml:space="preserve"> pública, constituye una restricción al derecho humano de acceso a la información. Como reiteradamente han dicho, diversos órganos jurisdiccionales, ningún derecho es absoluto</w:t>
      </w:r>
      <w:r w:rsidRPr="00A67033">
        <w:rPr>
          <w:rFonts w:ascii="Palatino Linotype" w:eastAsia="MS Gothic" w:hAnsi="Palatino Linotype" w:cs="Times New Roman"/>
          <w:vertAlign w:val="superscript"/>
        </w:rPr>
        <w:footnoteReference w:id="5"/>
      </w:r>
      <w:r w:rsidRPr="00A67033">
        <w:rPr>
          <w:rFonts w:ascii="Palatino Linotype" w:eastAsia="MS Gothic" w:hAnsi="Palatino Linotype" w:cs="Times New Roman"/>
        </w:rPr>
        <w:t xml:space="preserve"> aunque cualquier límite o restricción, </w:t>
      </w:r>
      <w:r w:rsidRPr="00A67033">
        <w:rPr>
          <w:rFonts w:ascii="Palatino Linotype" w:eastAsia="MS Gothic" w:hAnsi="Palatino Linotype" w:cs="Times New Roman"/>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A67033">
        <w:rPr>
          <w:rFonts w:ascii="Palatino Linotype" w:eastAsia="MS Gothic" w:hAnsi="Palatino Linotype" w:cs="Times New Roman"/>
          <w:vertAlign w:val="superscript"/>
        </w:rPr>
        <w:footnoteReference w:id="6"/>
      </w:r>
      <w:r w:rsidRPr="00A67033">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53FB7" w:rsidRPr="00A67033" w:rsidRDefault="00053FB7" w:rsidP="00053FB7">
      <w:pPr>
        <w:pStyle w:val="Prrafodelista"/>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D56143">
      <w:pPr>
        <w:pStyle w:val="Prrafodelista"/>
        <w:numPr>
          <w:ilvl w:val="0"/>
          <w:numId w:val="7"/>
        </w:numPr>
        <w:tabs>
          <w:tab w:val="left" w:pos="142"/>
          <w:tab w:val="left" w:pos="284"/>
          <w:tab w:val="left" w:pos="426"/>
        </w:tabs>
        <w:spacing w:line="360" w:lineRule="auto"/>
        <w:jc w:val="both"/>
        <w:outlineLvl w:val="2"/>
        <w:rPr>
          <w:rFonts w:ascii="Palatino Linotype" w:hAnsi="Palatino Linotype" w:cs="Arial"/>
          <w:b/>
        </w:rPr>
      </w:pPr>
      <w:bookmarkStart w:id="168" w:name="_Toc51863315"/>
      <w:bookmarkStart w:id="169" w:name="_Toc52444649"/>
      <w:bookmarkStart w:id="170" w:name="_Toc57154368"/>
      <w:bookmarkStart w:id="171" w:name="_Toc65170174"/>
      <w:bookmarkStart w:id="172" w:name="_Toc66371800"/>
      <w:bookmarkStart w:id="173" w:name="_Toc67584835"/>
      <w:bookmarkStart w:id="174" w:name="_Toc70070911"/>
      <w:bookmarkStart w:id="175" w:name="_Toc70593358"/>
      <w:bookmarkStart w:id="176" w:name="_Toc71290717"/>
      <w:bookmarkStart w:id="177" w:name="_Toc71291223"/>
      <w:bookmarkStart w:id="178" w:name="_Toc71674122"/>
      <w:bookmarkStart w:id="179" w:name="_Toc83128591"/>
      <w:r w:rsidRPr="00A67033">
        <w:rPr>
          <w:rFonts w:ascii="Palatino Linotype" w:hAnsi="Palatino Linotype" w:cs="Arial"/>
          <w:b/>
        </w:rPr>
        <w:t>Requisitos previos.</w:t>
      </w:r>
      <w:bookmarkEnd w:id="168"/>
      <w:bookmarkEnd w:id="169"/>
      <w:bookmarkEnd w:id="170"/>
      <w:bookmarkEnd w:id="171"/>
      <w:bookmarkEnd w:id="172"/>
      <w:bookmarkEnd w:id="173"/>
      <w:bookmarkEnd w:id="174"/>
      <w:bookmarkEnd w:id="175"/>
      <w:bookmarkEnd w:id="176"/>
      <w:bookmarkEnd w:id="177"/>
      <w:bookmarkEnd w:id="178"/>
      <w:bookmarkEnd w:id="179"/>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A67033" w:rsidRDefault="009F09BC" w:rsidP="009F09BC">
      <w:pPr>
        <w:pStyle w:val="Prrafodelista"/>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A67033">
        <w:rPr>
          <w:rFonts w:ascii="Palatino Linotype" w:eastAsia="MS Gothic" w:hAnsi="Palatino Linotype" w:cs="Times New Roman"/>
          <w:b/>
          <w:u w:val="single"/>
        </w:rPr>
        <w:t>no se puede hacer un acuerdo para clasificar de manera general todos los documentos de un expediente o área</w:t>
      </w:r>
      <w:r w:rsidRPr="00A67033">
        <w:rPr>
          <w:rFonts w:ascii="Palatino Linotype" w:eastAsia="MS Gothic" w:hAnsi="Palatino Linotype" w:cs="Times New Roman"/>
          <w:b/>
        </w:rPr>
        <w:t xml:space="preserve">,  </w:t>
      </w:r>
      <w:r w:rsidRPr="00A67033">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D56143">
      <w:pPr>
        <w:pStyle w:val="Prrafodelista"/>
        <w:numPr>
          <w:ilvl w:val="0"/>
          <w:numId w:val="7"/>
        </w:numPr>
        <w:tabs>
          <w:tab w:val="left" w:pos="142"/>
          <w:tab w:val="left" w:pos="284"/>
          <w:tab w:val="left" w:pos="426"/>
        </w:tabs>
        <w:spacing w:line="360" w:lineRule="auto"/>
        <w:jc w:val="both"/>
        <w:outlineLvl w:val="2"/>
        <w:rPr>
          <w:rFonts w:ascii="Palatino Linotype" w:hAnsi="Palatino Linotype" w:cs="Arial"/>
          <w:b/>
        </w:rPr>
      </w:pPr>
      <w:bookmarkStart w:id="180" w:name="_Toc51863316"/>
      <w:bookmarkStart w:id="181" w:name="_Toc52444650"/>
      <w:bookmarkStart w:id="182" w:name="_Toc57154369"/>
      <w:bookmarkStart w:id="183" w:name="_Toc65170175"/>
      <w:bookmarkStart w:id="184" w:name="_Toc66371801"/>
      <w:bookmarkStart w:id="185" w:name="_Toc67584836"/>
      <w:bookmarkStart w:id="186" w:name="_Toc70070912"/>
      <w:bookmarkStart w:id="187" w:name="_Toc70593359"/>
      <w:bookmarkStart w:id="188" w:name="_Toc71290718"/>
      <w:bookmarkStart w:id="189" w:name="_Toc71291224"/>
      <w:bookmarkStart w:id="190" w:name="_Toc71674123"/>
      <w:bookmarkStart w:id="191" w:name="_Toc83128592"/>
      <w:r w:rsidRPr="00A67033">
        <w:rPr>
          <w:rFonts w:ascii="Palatino Linotype" w:hAnsi="Palatino Linotype" w:cs="Arial"/>
          <w:b/>
        </w:rPr>
        <w:lastRenderedPageBreak/>
        <w:t>Supuestos de clasificación.</w:t>
      </w:r>
      <w:bookmarkEnd w:id="180"/>
      <w:bookmarkEnd w:id="181"/>
      <w:bookmarkEnd w:id="182"/>
      <w:bookmarkEnd w:id="183"/>
      <w:bookmarkEnd w:id="184"/>
      <w:bookmarkEnd w:id="185"/>
      <w:bookmarkEnd w:id="186"/>
      <w:bookmarkEnd w:id="187"/>
      <w:bookmarkEnd w:id="188"/>
      <w:bookmarkEnd w:id="189"/>
      <w:bookmarkEnd w:id="190"/>
      <w:bookmarkEnd w:id="191"/>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Las disposiciones constitucionales y legales en la materia establecen los dos supuestos generales para clasificar la información: por reserva y por confidencialidad.</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Los artículos 143 y 116 de la Ley Estatal y de la Ley General, respectivamente, señalan los supuestos para que la información pueda ser clasificada como confidencial:</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67033">
        <w:rPr>
          <w:rFonts w:ascii="Palatino Linotype" w:hAnsi="Palatino Linotype" w:cs="Bookman Old Style"/>
          <w:bCs/>
          <w:i/>
          <w:color w:val="000000"/>
        </w:rPr>
        <w:t xml:space="preserve">“I. </w:t>
      </w:r>
      <w:r w:rsidRPr="00A67033">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A67033"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67033">
        <w:rPr>
          <w:rFonts w:ascii="Palatino Linotype" w:hAnsi="Palatino Linotype" w:cs="Bookman Old Style"/>
          <w:bCs/>
          <w:i/>
          <w:color w:val="000000"/>
        </w:rPr>
        <w:t xml:space="preserve">II. </w:t>
      </w:r>
      <w:r w:rsidRPr="00A6703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A67033"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67033">
        <w:rPr>
          <w:rFonts w:ascii="Palatino Linotype" w:hAnsi="Palatino Linotype" w:cs="Bookman Old Style"/>
          <w:bCs/>
          <w:i/>
          <w:color w:val="000000"/>
        </w:rPr>
        <w:t xml:space="preserve">III. </w:t>
      </w:r>
      <w:r w:rsidRPr="00A67033">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A67033"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6703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A67033"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A67033">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E68D3" w:rsidRPr="00A67033" w:rsidRDefault="009E68D3"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53FB7" w:rsidRPr="00A67033" w:rsidRDefault="00053FB7" w:rsidP="00053FB7">
      <w:pPr>
        <w:spacing w:line="360" w:lineRule="auto"/>
        <w:contextualSpacing/>
        <w:jc w:val="both"/>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Como consecuencia de lo anterior, el </w:t>
      </w:r>
      <w:r w:rsidRPr="00A67033">
        <w:rPr>
          <w:rFonts w:ascii="Palatino Linotype" w:eastAsia="MS Gothic" w:hAnsi="Palatino Linotype" w:cs="Times New Roman"/>
          <w:b/>
        </w:rPr>
        <w:t>SUJETO OBLIGADO</w:t>
      </w:r>
      <w:r w:rsidRPr="00A67033">
        <w:rPr>
          <w:rFonts w:ascii="Palatino Linotype" w:eastAsia="MS Gothic" w:hAnsi="Palatino Linotype" w:cs="Times New Roman"/>
        </w:rPr>
        <w:t xml:space="preserve"> debe identificar claramente el tipo de información y hacer un juicio de subsunción o encaje</w:t>
      </w:r>
      <w:r w:rsidRPr="00A67033">
        <w:rPr>
          <w:rFonts w:ascii="Palatino Linotype" w:eastAsia="MS Gothic" w:hAnsi="Palatino Linotype" w:cs="Times New Roman"/>
          <w:vertAlign w:val="superscript"/>
        </w:rPr>
        <w:footnoteReference w:id="7"/>
      </w:r>
      <w:r w:rsidRPr="00A67033">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rsidR="009F09BC" w:rsidRPr="00A67033" w:rsidRDefault="009F09BC" w:rsidP="009F09BC">
      <w:pPr>
        <w:pStyle w:val="Prrafodelista"/>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9A2251" w:rsidRPr="00A67033" w:rsidRDefault="009A2251" w:rsidP="009A2251">
      <w:pPr>
        <w:pStyle w:val="Prrafodelista"/>
        <w:rPr>
          <w:rFonts w:ascii="Palatino Linotype" w:hAnsi="Palatino Linotype" w:cs="Arial"/>
        </w:rPr>
      </w:pP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rPr>
        <w:t>“</w:t>
      </w:r>
      <w:r w:rsidRPr="00A67033">
        <w:rPr>
          <w:rFonts w:ascii="Palatino Linotype" w:hAnsi="Palatino Linotype" w:cs="Arial"/>
          <w:b/>
          <w:i/>
        </w:rPr>
        <w:t>Quincuagésimo.</w:t>
      </w:r>
      <w:r w:rsidRPr="00A67033">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E68D3" w:rsidRPr="00A67033" w:rsidRDefault="009E68D3"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b/>
          <w:i/>
        </w:rPr>
        <w:t>Quincuagésimo primero.</w:t>
      </w:r>
      <w:r w:rsidRPr="00A67033">
        <w:rPr>
          <w:rFonts w:ascii="Palatino Linotype" w:hAnsi="Palatino Linotype" w:cs="Arial"/>
          <w:i/>
        </w:rPr>
        <w:t xml:space="preserve"> La leyenda en los documentos clasificados indicará:</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rPr>
        <w:lastRenderedPageBreak/>
        <w:t>I. La fecha de sesión del Comité de Transparencia en donde se confirmó la clasificación, en su caso;</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rPr>
        <w:t>II. El nombre del área;</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rPr>
        <w:t>III. La palabra reservado o confidencial;</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rPr>
        <w:t>IV. Las partes o secciones reservadas o confidenciales, en su caso;</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rPr>
        <w:t>V. El fundamento legal;</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rPr>
        <w:t>VI. El periodo de reserva, y</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rPr>
        <w:t>VII. La rúbrica del titular del área.</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b/>
          <w:i/>
        </w:rPr>
        <w:t>Quincuagésimo segundo.</w:t>
      </w:r>
      <w:r w:rsidRPr="00A67033">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A67033"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b/>
          <w:i/>
        </w:rPr>
        <w:t>Quincuagésimo tercero.</w:t>
      </w:r>
      <w:r w:rsidRPr="00A67033">
        <w:rPr>
          <w:rFonts w:ascii="Palatino Linotype" w:hAnsi="Palatino Linotype" w:cs="Arial"/>
          <w:i/>
        </w:rPr>
        <w:t xml:space="preserve"> El formato para señalar la clasificación parcial de un documento, es el siguiente:</w:t>
      </w:r>
    </w:p>
    <w:p w:rsidR="00A31268" w:rsidRPr="00A67033" w:rsidRDefault="00127869"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A67033">
        <w:rPr>
          <w:rFonts w:ascii="Palatino Linotype" w:hAnsi="Palatino Linotype" w:cs="Arial"/>
          <w:i/>
          <w:noProof/>
          <w:lang w:val="es-E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140772</wp:posOffset>
                </wp:positionV>
                <wp:extent cx="5593277" cy="3099460"/>
                <wp:effectExtent l="0" t="0" r="26670" b="24765"/>
                <wp:wrapNone/>
                <wp:docPr id="12" name="Conector recto 12"/>
                <wp:cNvGraphicFramePr/>
                <a:graphic xmlns:a="http://schemas.openxmlformats.org/drawingml/2006/main">
                  <a:graphicData uri="http://schemas.microsoft.com/office/word/2010/wordprocessingShape">
                    <wps:wsp>
                      <wps:cNvCnPr/>
                      <wps:spPr>
                        <a:xfrm>
                          <a:off x="0" y="0"/>
                          <a:ext cx="5593277" cy="30994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D49C3" id="Conector recto 1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11.1pt" to="829.6pt,2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" strokecolor="black [3200]" strokeweight="1.5pt">
                <v:stroke joinstyle="miter"/>
                <w10:wrap anchorx="margin"/>
              </v:line>
            </w:pict>
          </mc:Fallback>
        </mc:AlternateContent>
      </w:r>
    </w:p>
    <w:p w:rsidR="009F09BC" w:rsidRPr="00A67033"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A67033">
        <w:rPr>
          <w:rFonts w:ascii="Palatino Linotype" w:hAnsi="Palatino Linotype" w:cs="Arial"/>
          <w:i/>
          <w:noProof/>
          <w:lang w:val="es-ES"/>
        </w:rPr>
        <w:lastRenderedPageBreak/>
        <w:drawing>
          <wp:inline distT="0" distB="0" distL="0" distR="0" wp14:anchorId="2E6835A7" wp14:editId="6EDF19F0">
            <wp:extent cx="4264660" cy="3526971"/>
            <wp:effectExtent l="57150" t="57150" r="116840" b="11176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9381" cy="346471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Una vez hecho lo anterior, se remite la información al Titular de la Unidad de Transparencia, con el acuerdo de clasificación correspondiente, para que sea sometido al conocimiento del Comité de Transparencia.</w:t>
      </w:r>
    </w:p>
    <w:p w:rsidR="009F09BC" w:rsidRPr="00A67033"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A67033"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2" w:name="_Toc51863317"/>
      <w:bookmarkStart w:id="193" w:name="_Toc52444651"/>
      <w:bookmarkStart w:id="194" w:name="_Toc57154370"/>
      <w:bookmarkStart w:id="195" w:name="_Toc65170176"/>
      <w:bookmarkStart w:id="196" w:name="_Toc66371802"/>
      <w:bookmarkStart w:id="197" w:name="_Toc67584837"/>
      <w:bookmarkStart w:id="198" w:name="_Toc70070913"/>
      <w:bookmarkStart w:id="199" w:name="_Toc70593360"/>
      <w:bookmarkStart w:id="200" w:name="_Toc71290719"/>
      <w:bookmarkStart w:id="201" w:name="_Toc71291225"/>
      <w:bookmarkStart w:id="202" w:name="_Toc71674124"/>
      <w:bookmarkStart w:id="203" w:name="_Toc83128593"/>
      <w:r w:rsidRPr="00A67033">
        <w:rPr>
          <w:rFonts w:ascii="Palatino Linotype" w:hAnsi="Palatino Linotype" w:cs="Arial"/>
          <w:b/>
        </w:rPr>
        <w:t>III. La intervención del Comité de Transparencia.</w:t>
      </w:r>
      <w:bookmarkEnd w:id="192"/>
      <w:bookmarkEnd w:id="193"/>
      <w:bookmarkEnd w:id="194"/>
      <w:bookmarkEnd w:id="195"/>
      <w:bookmarkEnd w:id="196"/>
      <w:bookmarkEnd w:id="197"/>
      <w:bookmarkEnd w:id="198"/>
      <w:bookmarkEnd w:id="199"/>
      <w:bookmarkEnd w:id="200"/>
      <w:bookmarkEnd w:id="201"/>
      <w:bookmarkEnd w:id="202"/>
      <w:bookmarkEnd w:id="203"/>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A67033">
        <w:rPr>
          <w:rFonts w:ascii="Palatino Linotype" w:hAnsi="Palatino Linotype" w:cs="Arial"/>
          <w:b/>
        </w:rPr>
        <w:t>a) Formalidades para emitir el Acuerdo de Clasificación.</w:t>
      </w: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A67033">
        <w:rPr>
          <w:rFonts w:ascii="Palatino Linotype" w:eastAsia="MS Gothic" w:hAnsi="Palatino Linotype" w:cs="Times New Roman"/>
          <w:b/>
          <w:u w:val="single"/>
        </w:rPr>
        <w:t xml:space="preserve">confirmar, modificar o </w:t>
      </w:r>
      <w:r w:rsidRPr="00A67033">
        <w:rPr>
          <w:rFonts w:ascii="Palatino Linotype" w:eastAsia="MS Gothic" w:hAnsi="Palatino Linotype" w:cs="Times New Roman"/>
          <w:b/>
          <w:u w:val="single"/>
        </w:rPr>
        <w:lastRenderedPageBreak/>
        <w:t>revocar</w:t>
      </w:r>
      <w:r w:rsidRPr="00A67033">
        <w:rPr>
          <w:rFonts w:ascii="Palatino Linotype" w:eastAsia="MS Gothic" w:hAnsi="Palatino Linotype" w:cs="Times New Roman"/>
        </w:rPr>
        <w:t xml:space="preserve"> la clasificación de la información que ha hecho el titular del área que administra la información. Por lo tanto, el Comité </w:t>
      </w:r>
      <w:r w:rsidRPr="00A67033">
        <w:rPr>
          <w:rFonts w:ascii="Palatino Linotype" w:eastAsia="MS Gothic" w:hAnsi="Palatino Linotype" w:cs="Times New Roman"/>
          <w:b/>
          <w:u w:val="single"/>
        </w:rPr>
        <w:t>no aprueba</w:t>
      </w:r>
      <w:r w:rsidRPr="00A67033">
        <w:rPr>
          <w:rFonts w:ascii="Palatino Linotype" w:eastAsia="MS Gothic" w:hAnsi="Palatino Linotype" w:cs="Times New Roman"/>
        </w:rPr>
        <w:t xml:space="preserve"> la clasificación, sino que revisa lo que ha hecho el titular del área y confirma, modifica o revoca la decisión a través de un acuerdo.</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A67033">
        <w:rPr>
          <w:rFonts w:ascii="Palatino Linotype" w:eastAsia="MS Gothic" w:hAnsi="Palatino Linotype" w:cs="Times New Roman"/>
          <w:b/>
          <w:u w:val="single"/>
        </w:rPr>
        <w:t>el acto reúna con los requisitos elementales</w:t>
      </w:r>
      <w:r w:rsidRPr="00A67033">
        <w:rPr>
          <w:rFonts w:ascii="Palatino Linotype" w:eastAsia="MS Gothic" w:hAnsi="Palatino Linotype" w:cs="Times New Roman"/>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A67033" w:rsidRDefault="006D15D0" w:rsidP="006D15D0">
      <w:pPr>
        <w:pStyle w:val="Prrafodelista"/>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A67033" w:rsidRDefault="009F09BC" w:rsidP="00D56143">
      <w:pPr>
        <w:pStyle w:val="Prrafodelista"/>
        <w:numPr>
          <w:ilvl w:val="0"/>
          <w:numId w:val="6"/>
        </w:numPr>
        <w:tabs>
          <w:tab w:val="left" w:pos="142"/>
          <w:tab w:val="left" w:pos="284"/>
          <w:tab w:val="left" w:pos="426"/>
        </w:tabs>
        <w:spacing w:line="360" w:lineRule="auto"/>
        <w:jc w:val="both"/>
        <w:rPr>
          <w:rFonts w:ascii="Palatino Linotype" w:hAnsi="Palatino Linotype" w:cs="Arial"/>
          <w:b/>
        </w:rPr>
      </w:pPr>
      <w:r w:rsidRPr="00A67033">
        <w:rPr>
          <w:rFonts w:ascii="Palatino Linotype" w:hAnsi="Palatino Linotype" w:cs="Arial"/>
          <w:b/>
        </w:rPr>
        <w:lastRenderedPageBreak/>
        <w:t>Requisitos de fondo del Acuerdo de Clasificación.</w:t>
      </w: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4C9A" w:rsidRPr="00A67033">
        <w:rPr>
          <w:rFonts w:ascii="Palatino Linotype" w:eastAsia="MS Gothic" w:hAnsi="Palatino Linotype" w:cs="Times New Roman"/>
        </w:rPr>
        <w:t>Generales, al</w:t>
      </w:r>
      <w:r w:rsidRPr="00A67033">
        <w:rPr>
          <w:rFonts w:ascii="Palatino Linotype" w:eastAsia="MS Gothic" w:hAnsi="Palatino Linotype" w:cs="Times New Roman"/>
        </w:rPr>
        <w:t xml:space="preserve"> señalar que la carga de la prueba, para justificar las restricciones, corresponde a los sujetos obligados, por lo que deberán fundar y motivar debidamente la clasificación.</w:t>
      </w:r>
    </w:p>
    <w:p w:rsidR="009F09BC" w:rsidRPr="00A67033"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De lo anterior, se desprende </w:t>
      </w:r>
      <w:proofErr w:type="gramStart"/>
      <w:r w:rsidRPr="00A67033">
        <w:rPr>
          <w:rFonts w:ascii="Palatino Linotype" w:eastAsia="MS Gothic" w:hAnsi="Palatino Linotype" w:cs="Times New Roman"/>
        </w:rPr>
        <w:t>que</w:t>
      </w:r>
      <w:proofErr w:type="gramEnd"/>
      <w:r w:rsidRPr="00A67033">
        <w:rPr>
          <w:rFonts w:ascii="Palatino Linotype" w:eastAsia="MS Gothic" w:hAnsi="Palatino Linotype" w:cs="Times New Roman"/>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A67033" w:rsidRDefault="009F09BC" w:rsidP="009F09BC">
      <w:pPr>
        <w:pStyle w:val="Prrafodelista"/>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w:t>
      </w:r>
      <w:r w:rsidRPr="00A67033">
        <w:rPr>
          <w:rFonts w:ascii="Palatino Linotype" w:eastAsia="MS Gothic" w:hAnsi="Palatino Linotype" w:cs="Times New Roman"/>
          <w:i/>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w:t>
      </w:r>
      <w:r w:rsidRPr="00A67033">
        <w:rPr>
          <w:rFonts w:ascii="Palatino Linotype" w:eastAsia="MS Gothic" w:hAnsi="Palatino Linotype" w:cs="Times New Roman"/>
          <w:i/>
        </w:rPr>
        <w:lastRenderedPageBreak/>
        <w:t>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67033">
        <w:rPr>
          <w:rFonts w:ascii="Palatino Linotype" w:eastAsia="MS Gothic" w:hAnsi="Palatino Linotype" w:cs="Times New Roman"/>
        </w:rPr>
        <w:t>....”</w:t>
      </w:r>
      <w:r w:rsidRPr="00A67033">
        <w:rPr>
          <w:rFonts w:ascii="Palatino Linotype" w:eastAsia="MS Gothic" w:hAnsi="Palatino Linotype" w:cs="Times New Roman"/>
          <w:vertAlign w:val="superscript"/>
        </w:rPr>
        <w:footnoteReference w:id="8"/>
      </w:r>
    </w:p>
    <w:p w:rsidR="009F09BC" w:rsidRPr="00A67033" w:rsidRDefault="009F09BC" w:rsidP="009F09BC">
      <w:pPr>
        <w:pStyle w:val="Prrafodelista"/>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E68D3" w:rsidP="009E68D3">
      <w:pPr>
        <w:spacing w:line="276" w:lineRule="auto"/>
        <w:ind w:left="567" w:right="618"/>
        <w:contextualSpacing/>
        <w:jc w:val="both"/>
        <w:rPr>
          <w:rFonts w:ascii="Palatino Linotype" w:hAnsi="Palatino Linotype" w:cs="Arial"/>
          <w:i/>
          <w:color w:val="000000"/>
        </w:rPr>
      </w:pPr>
      <w:r w:rsidRPr="00A67033">
        <w:rPr>
          <w:rFonts w:ascii="Palatino Linotype" w:hAnsi="Palatino Linotype" w:cs="Arial"/>
          <w:b/>
          <w:i/>
          <w:color w:val="000000"/>
        </w:rPr>
        <w:t>“</w:t>
      </w:r>
      <w:r w:rsidR="009F09BC" w:rsidRPr="00A67033">
        <w:rPr>
          <w:rFonts w:ascii="Palatino Linotype" w:hAnsi="Palatino Linotype" w:cs="Arial"/>
          <w:b/>
          <w:i/>
          <w:color w:val="000000"/>
        </w:rPr>
        <w:t>FUNDAMENTACIÓN Y MOTIVACIÓN.</w:t>
      </w:r>
      <w:r w:rsidR="009F09BC" w:rsidRPr="00A67033">
        <w:rPr>
          <w:rFonts w:ascii="Palatino Linotype" w:hAnsi="Palatino Linotype" w:cs="Arial"/>
          <w:i/>
          <w:color w:val="000000"/>
        </w:rPr>
        <w:t xml:space="preserve"> “La </w:t>
      </w:r>
      <w:r w:rsidR="009F09BC" w:rsidRPr="00A67033">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9F09BC" w:rsidRPr="00A67033">
        <w:rPr>
          <w:rFonts w:ascii="Palatino Linotype" w:hAnsi="Palatino Linotype" w:cs="Arial"/>
          <w:i/>
          <w:color w:val="000000"/>
        </w:rPr>
        <w:t>.”</w:t>
      </w:r>
    </w:p>
    <w:p w:rsidR="009F09BC" w:rsidRPr="00A67033" w:rsidRDefault="009F09BC" w:rsidP="009E68D3">
      <w:pPr>
        <w:spacing w:line="360" w:lineRule="auto"/>
        <w:ind w:left="567" w:right="618"/>
        <w:contextualSpacing/>
        <w:jc w:val="both"/>
        <w:rPr>
          <w:rFonts w:ascii="Palatino Linotype" w:hAnsi="Palatino Linotype" w:cs="Arial"/>
          <w:i/>
          <w:color w:val="000000"/>
        </w:rPr>
      </w:pPr>
      <w:r w:rsidRPr="00A67033">
        <w:rPr>
          <w:rFonts w:ascii="Palatino Linotype" w:hAnsi="Palatino Linotype" w:cs="Arial"/>
          <w:i/>
          <w:color w:val="000000"/>
        </w:rPr>
        <w:t>SEGUNDO TRIBUNAL COLEGIADO DEL SEXTO CIRCUITO.</w:t>
      </w:r>
    </w:p>
    <w:p w:rsidR="009F09BC" w:rsidRPr="00A67033" w:rsidRDefault="009F09BC" w:rsidP="009E68D3">
      <w:pPr>
        <w:spacing w:line="360" w:lineRule="auto"/>
        <w:ind w:left="567" w:right="618"/>
        <w:contextualSpacing/>
        <w:jc w:val="both"/>
        <w:rPr>
          <w:rFonts w:ascii="Palatino Linotype" w:hAnsi="Palatino Linotype" w:cs="Arial"/>
          <w:i/>
          <w:color w:val="000000"/>
        </w:rPr>
      </w:pPr>
      <w:r w:rsidRPr="00A67033">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A67033" w:rsidRDefault="009F09BC" w:rsidP="009E68D3">
      <w:pPr>
        <w:spacing w:line="360" w:lineRule="auto"/>
        <w:ind w:left="567" w:right="618"/>
        <w:contextualSpacing/>
        <w:jc w:val="both"/>
        <w:rPr>
          <w:rFonts w:ascii="Palatino Linotype" w:hAnsi="Palatino Linotype" w:cs="Arial"/>
          <w:i/>
          <w:color w:val="000000"/>
        </w:rPr>
      </w:pPr>
      <w:r w:rsidRPr="00A67033">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A67033">
        <w:rPr>
          <w:rFonts w:ascii="Palatino Linotype" w:hAnsi="Palatino Linotype" w:cs="Arial"/>
          <w:i/>
          <w:color w:val="000000"/>
        </w:rPr>
        <w:t>Esponda</w:t>
      </w:r>
      <w:proofErr w:type="spellEnd"/>
      <w:r w:rsidRPr="00A67033">
        <w:rPr>
          <w:rFonts w:ascii="Palatino Linotype" w:hAnsi="Palatino Linotype" w:cs="Arial"/>
          <w:i/>
          <w:color w:val="000000"/>
        </w:rPr>
        <w:t xml:space="preserve"> Rincón.</w:t>
      </w:r>
    </w:p>
    <w:p w:rsidR="009F09BC" w:rsidRPr="00A67033" w:rsidRDefault="009F09BC" w:rsidP="009E68D3">
      <w:pPr>
        <w:spacing w:line="360" w:lineRule="auto"/>
        <w:ind w:left="567" w:right="618"/>
        <w:contextualSpacing/>
        <w:jc w:val="both"/>
        <w:rPr>
          <w:rFonts w:ascii="Palatino Linotype" w:hAnsi="Palatino Linotype" w:cs="Arial"/>
          <w:i/>
          <w:color w:val="000000"/>
        </w:rPr>
      </w:pPr>
      <w:r w:rsidRPr="00A67033">
        <w:rPr>
          <w:rFonts w:ascii="Palatino Linotype" w:hAnsi="Palatino Linotype" w:cs="Arial"/>
          <w:i/>
          <w:color w:val="000000"/>
        </w:rPr>
        <w:lastRenderedPageBreak/>
        <w:t xml:space="preserve">Amparo en revisión 333/88. </w:t>
      </w:r>
      <w:proofErr w:type="spellStart"/>
      <w:r w:rsidRPr="00A67033">
        <w:rPr>
          <w:rFonts w:ascii="Palatino Linotype" w:hAnsi="Palatino Linotype" w:cs="Arial"/>
          <w:i/>
          <w:color w:val="000000"/>
        </w:rPr>
        <w:t>Adilia</w:t>
      </w:r>
      <w:proofErr w:type="spellEnd"/>
      <w:r w:rsidRPr="00A67033">
        <w:rPr>
          <w:rFonts w:ascii="Palatino Linotype" w:hAnsi="Palatino Linotype" w:cs="Arial"/>
          <w:i/>
          <w:color w:val="000000"/>
        </w:rPr>
        <w:t xml:space="preserve"> Romero. 26 de octubre de 1988. Unanimidad de votos. Ponente: Arnoldo Nájera Virgen. Secretario: Enrique Crispín Campos Ramírez.</w:t>
      </w:r>
    </w:p>
    <w:p w:rsidR="009F09BC" w:rsidRPr="00A67033" w:rsidRDefault="009F09BC" w:rsidP="009E68D3">
      <w:pPr>
        <w:spacing w:line="360" w:lineRule="auto"/>
        <w:ind w:left="567" w:right="618"/>
        <w:contextualSpacing/>
        <w:jc w:val="both"/>
        <w:rPr>
          <w:rFonts w:ascii="Palatino Linotype" w:hAnsi="Palatino Linotype" w:cs="Arial"/>
          <w:i/>
          <w:color w:val="000000"/>
        </w:rPr>
      </w:pPr>
      <w:r w:rsidRPr="00A67033">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A67033">
        <w:rPr>
          <w:rFonts w:ascii="Palatino Linotype" w:hAnsi="Palatino Linotype" w:cs="Arial"/>
          <w:i/>
          <w:color w:val="000000"/>
        </w:rPr>
        <w:t>Goyzueta</w:t>
      </w:r>
      <w:proofErr w:type="spellEnd"/>
      <w:r w:rsidRPr="00A67033">
        <w:rPr>
          <w:rFonts w:ascii="Palatino Linotype" w:hAnsi="Palatino Linotype" w:cs="Arial"/>
          <w:i/>
          <w:color w:val="000000"/>
        </w:rPr>
        <w:t>. Secretario: Gonzalo Carrera Molina.</w:t>
      </w:r>
    </w:p>
    <w:p w:rsidR="009F09BC" w:rsidRPr="00A67033" w:rsidRDefault="009F09BC" w:rsidP="009E68D3">
      <w:pPr>
        <w:spacing w:line="360" w:lineRule="auto"/>
        <w:ind w:left="567" w:right="618"/>
        <w:contextualSpacing/>
        <w:jc w:val="both"/>
        <w:rPr>
          <w:rFonts w:ascii="Palatino Linotype" w:hAnsi="Palatino Linotype" w:cs="Arial"/>
          <w:i/>
          <w:color w:val="000000"/>
        </w:rPr>
      </w:pPr>
      <w:r w:rsidRPr="00A67033">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A67033">
        <w:rPr>
          <w:rFonts w:ascii="Palatino Linotype" w:hAnsi="Palatino Linotype" w:cs="Arial"/>
          <w:i/>
          <w:color w:val="000000"/>
        </w:rPr>
        <w:t>Baigts</w:t>
      </w:r>
      <w:proofErr w:type="spellEnd"/>
      <w:r w:rsidRPr="00A67033">
        <w:rPr>
          <w:rFonts w:ascii="Palatino Linotype" w:hAnsi="Palatino Linotype" w:cs="Arial"/>
          <w:i/>
          <w:color w:val="000000"/>
        </w:rPr>
        <w:t xml:space="preserve"> Muñoz.</w:t>
      </w:r>
      <w:r w:rsidR="009E68D3" w:rsidRPr="00A67033">
        <w:rPr>
          <w:rFonts w:ascii="Palatino Linotype" w:hAnsi="Palatino Linotype" w:cs="Arial"/>
          <w:i/>
          <w:color w:val="000000"/>
        </w:rPr>
        <w:t>”</w:t>
      </w:r>
    </w:p>
    <w:p w:rsidR="009F09BC" w:rsidRPr="00A67033" w:rsidRDefault="009F09BC" w:rsidP="009F09BC">
      <w:pPr>
        <w:spacing w:line="360" w:lineRule="auto"/>
        <w:ind w:left="851" w:right="618"/>
        <w:contextualSpacing/>
        <w:jc w:val="both"/>
        <w:rPr>
          <w:rFonts w:ascii="Palatino Linotype" w:hAnsi="Palatino Linotype" w:cs="Arial"/>
          <w:i/>
          <w:color w:val="000000"/>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 </w:t>
      </w:r>
      <w:r w:rsidRPr="00A67033">
        <w:rPr>
          <w:rFonts w:ascii="Palatino Linotype" w:hAnsi="Palatino Linotype" w:cs="Arial"/>
        </w:rPr>
        <w:t>Así</w:t>
      </w:r>
      <w:r w:rsidRPr="00A67033">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A67033">
        <w:rPr>
          <w:rFonts w:ascii="Palatino Linotype" w:hAnsi="Palatino Linotype" w:cs="Arial"/>
        </w:rPr>
        <w:t>claramente</w:t>
      </w:r>
      <w:r w:rsidRPr="00A67033">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 En ese mismo sentido, el numeral trigésimo tercero fracción V de los </w:t>
      </w:r>
      <w:r w:rsidRPr="00A67033">
        <w:rPr>
          <w:rFonts w:ascii="Palatino Linotype" w:hAnsi="Palatino Linotype" w:cs="Arial"/>
        </w:rPr>
        <w:t>Lineamientos</w:t>
      </w:r>
      <w:r w:rsidRPr="00A67033">
        <w:rPr>
          <w:rFonts w:ascii="Palatino Linotype" w:eastAsia="MS Gothic" w:hAnsi="Palatino Linotype" w:cs="Times New Roman"/>
        </w:rPr>
        <w:t xml:space="preserve"> Generales, precisa que para motivar la clasificación se deben acreditar las circunstancias de tiempo, modo y lugar.</w:t>
      </w:r>
    </w:p>
    <w:p w:rsidR="009E68D3" w:rsidRPr="00A67033" w:rsidRDefault="009E68D3" w:rsidP="009E68D3">
      <w:pPr>
        <w:pStyle w:val="Prrafodelista"/>
        <w:rPr>
          <w:rFonts w:ascii="Palatino Linotype" w:hAnsi="Palatino Linotype" w:cs="Arial"/>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s="Arial"/>
        </w:rPr>
      </w:pPr>
      <w:r w:rsidRPr="00A67033">
        <w:rPr>
          <w:rFonts w:ascii="Palatino Linotype" w:eastAsia="MS Gothic" w:hAnsi="Palatino Linotype" w:cs="Times New Roman"/>
        </w:rPr>
        <w:t xml:space="preserve">Ahora bien, </w:t>
      </w:r>
      <w:r w:rsidRPr="00A67033">
        <w:rPr>
          <w:rFonts w:ascii="Palatino Linotype" w:eastAsia="MS Gothic" w:hAnsi="Palatino Linotype" w:cs="Times New Roman"/>
          <w:b/>
          <w:u w:val="single"/>
        </w:rPr>
        <w:t>para cada caso además de fundar y motivar</w:t>
      </w:r>
      <w:r w:rsidRPr="00A67033">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67033">
        <w:rPr>
          <w:rFonts w:ascii="Palatino Linotype" w:eastAsia="MS Gothic" w:hAnsi="Palatino Linotype" w:cs="Times New Roman"/>
          <w:vertAlign w:val="superscript"/>
        </w:rPr>
        <w:footnoteReference w:id="9"/>
      </w:r>
      <w:r w:rsidRPr="00A67033">
        <w:rPr>
          <w:rFonts w:ascii="Palatino Linotype" w:eastAsia="MS Gothic" w:hAnsi="Palatino Linotype" w:cs="Times New Roman"/>
        </w:rPr>
        <w:t xml:space="preserve"> del servidor público que no tienen ninguna injerencia en el tema de la transparencia y la rendición de cuentas, por ejemplo, </w:t>
      </w:r>
      <w:r w:rsidRPr="00A67033">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A67033"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67033" w:rsidRDefault="009F09BC" w:rsidP="00D56143">
      <w:pPr>
        <w:pStyle w:val="Ttulo2"/>
        <w:numPr>
          <w:ilvl w:val="0"/>
          <w:numId w:val="4"/>
        </w:numPr>
        <w:spacing w:line="259" w:lineRule="auto"/>
        <w:rPr>
          <w:rFonts w:ascii="Palatino Linotype" w:hAnsi="Palatino Linotype"/>
          <w:b/>
          <w:color w:val="000000" w:themeColor="text1"/>
          <w:sz w:val="24"/>
          <w:szCs w:val="24"/>
        </w:rPr>
      </w:pPr>
      <w:bookmarkStart w:id="204" w:name="_Toc70082953"/>
      <w:bookmarkStart w:id="205" w:name="_Toc70593361"/>
      <w:bookmarkStart w:id="206" w:name="_Toc71674125"/>
      <w:bookmarkStart w:id="207" w:name="_Toc83128594"/>
      <w:r w:rsidRPr="00A67033">
        <w:rPr>
          <w:rFonts w:ascii="Palatino Linotype" w:hAnsi="Palatino Linotype"/>
          <w:b/>
          <w:color w:val="000000" w:themeColor="text1"/>
          <w:sz w:val="24"/>
          <w:szCs w:val="24"/>
        </w:rPr>
        <w:t>Determinación</w:t>
      </w:r>
      <w:bookmarkEnd w:id="204"/>
      <w:bookmarkEnd w:id="205"/>
      <w:bookmarkEnd w:id="206"/>
      <w:bookmarkEnd w:id="207"/>
    </w:p>
    <w:p w:rsidR="009F09BC" w:rsidRPr="00A67033" w:rsidRDefault="009F09BC" w:rsidP="009F09BC">
      <w:pPr>
        <w:rPr>
          <w:rFonts w:ascii="Palatino Linotype" w:hAnsi="Palatino Linotype"/>
          <w:lang w:val="es-MX" w:eastAsia="en-US"/>
        </w:rPr>
      </w:pPr>
    </w:p>
    <w:p w:rsidR="009F09BC" w:rsidRPr="00A67033" w:rsidRDefault="009F09BC" w:rsidP="00D56143">
      <w:pPr>
        <w:numPr>
          <w:ilvl w:val="0"/>
          <w:numId w:val="1"/>
        </w:numPr>
        <w:spacing w:line="360" w:lineRule="auto"/>
        <w:ind w:left="0" w:firstLine="0"/>
        <w:contextualSpacing/>
        <w:jc w:val="both"/>
        <w:rPr>
          <w:rFonts w:ascii="Palatino Linotype" w:hAnsi="Palatino Linotype"/>
          <w:color w:val="000000" w:themeColor="text1"/>
        </w:rPr>
      </w:pPr>
      <w:r w:rsidRPr="00A67033">
        <w:rPr>
          <w:rFonts w:ascii="Palatino Linotype" w:hAnsi="Palatino Linotype"/>
        </w:rPr>
        <w:t xml:space="preserve">Por lo anteriormente expuesto, este Órgano Garante considera fundadas </w:t>
      </w:r>
      <w:r w:rsidRPr="00A67033">
        <w:rPr>
          <w:rFonts w:ascii="Palatino Linotype" w:eastAsia="MS Gothic" w:hAnsi="Palatino Linotype" w:cs="Times New Roman"/>
        </w:rPr>
        <w:t>las</w:t>
      </w:r>
      <w:r w:rsidRPr="00A67033">
        <w:rPr>
          <w:rFonts w:ascii="Palatino Linotype" w:hAnsi="Palatino Linotype"/>
        </w:rPr>
        <w:t xml:space="preserve"> razones o motivos de inconformidad que plantea </w:t>
      </w:r>
      <w:r w:rsidR="009A2251" w:rsidRPr="00A67033">
        <w:rPr>
          <w:rFonts w:ascii="Palatino Linotype" w:hAnsi="Palatino Linotype"/>
        </w:rPr>
        <w:t>e</w:t>
      </w:r>
      <w:r w:rsidRPr="00A67033">
        <w:rPr>
          <w:rFonts w:ascii="Palatino Linotype" w:hAnsi="Palatino Linotype"/>
        </w:rPr>
        <w:t>l</w:t>
      </w:r>
      <w:r w:rsidRPr="00A67033">
        <w:rPr>
          <w:rFonts w:ascii="Palatino Linotype" w:hAnsi="Palatino Linotype"/>
          <w:b/>
        </w:rPr>
        <w:t xml:space="preserve"> RECURRENTE</w:t>
      </w:r>
      <w:r w:rsidRPr="00A67033">
        <w:rPr>
          <w:rFonts w:ascii="Palatino Linotype" w:hAnsi="Palatino Linotype"/>
        </w:rPr>
        <w:t xml:space="preserve">, determinando </w:t>
      </w:r>
      <w:r w:rsidRPr="00A67033">
        <w:rPr>
          <w:rFonts w:ascii="Palatino Linotype" w:hAnsi="Palatino Linotype"/>
          <w:b/>
        </w:rPr>
        <w:t>REVOCAR</w:t>
      </w:r>
      <w:r w:rsidRPr="00A67033">
        <w:rPr>
          <w:rFonts w:ascii="Palatino Linotype" w:hAnsi="Palatino Linotype"/>
        </w:rPr>
        <w:t xml:space="preserve"> la respuesta del </w:t>
      </w:r>
      <w:r w:rsidRPr="00A67033">
        <w:rPr>
          <w:rFonts w:ascii="Palatino Linotype" w:hAnsi="Palatino Linotype"/>
          <w:b/>
        </w:rPr>
        <w:t>SUJETO OBLIGADO</w:t>
      </w:r>
      <w:r w:rsidRPr="00A67033">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A67033">
        <w:rPr>
          <w:rFonts w:ascii="Palatino Linotype" w:hAnsi="Palatino Linotype"/>
          <w:color w:val="000000" w:themeColor="text1"/>
          <w:lang w:val="es-ES" w:eastAsia="es-MX"/>
        </w:rPr>
        <w:t xml:space="preserve">este </w:t>
      </w:r>
      <w:r w:rsidRPr="00A67033">
        <w:rPr>
          <w:rFonts w:ascii="Palatino Linotype" w:hAnsi="Palatino Linotype"/>
          <w:b/>
          <w:bCs/>
          <w:color w:val="000000" w:themeColor="text1"/>
          <w:lang w:val="es-ES" w:eastAsia="es-MX"/>
        </w:rPr>
        <w:t>ÓRGANO GARANTE</w:t>
      </w:r>
      <w:r w:rsidRPr="00A67033">
        <w:rPr>
          <w:rFonts w:ascii="Palatino Linotype" w:hAnsi="Palatino Linotype"/>
          <w:color w:val="000000" w:themeColor="text1"/>
          <w:lang w:val="es-ES" w:eastAsia="es-MX"/>
        </w:rPr>
        <w:t xml:space="preserve"> emite los siguientes</w:t>
      </w:r>
      <w:r w:rsidRPr="00A67033">
        <w:rPr>
          <w:rFonts w:ascii="Palatino Linotype" w:hAnsi="Palatino Linotype"/>
          <w:color w:val="000000" w:themeColor="text1"/>
        </w:rPr>
        <w:t>.</w:t>
      </w:r>
    </w:p>
    <w:p w:rsidR="009F09BC" w:rsidRPr="00A67033"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208" w:name="_Toc504500693"/>
      <w:bookmarkStart w:id="209" w:name="_Toc534742545"/>
      <w:bookmarkStart w:id="210" w:name="_Toc2248738"/>
      <w:bookmarkStart w:id="211" w:name="_Toc34819440"/>
      <w:bookmarkStart w:id="212" w:name="_Toc51259595"/>
      <w:bookmarkStart w:id="213" w:name="_Toc83128595"/>
      <w:r w:rsidRPr="00A67033">
        <w:rPr>
          <w:rFonts w:ascii="Palatino Linotype" w:eastAsia="Calibri" w:hAnsi="Palatino Linotype"/>
          <w:b/>
          <w:color w:val="000000" w:themeColor="text1"/>
          <w:sz w:val="24"/>
          <w:szCs w:val="24"/>
          <w:lang w:val="es-ES"/>
        </w:rPr>
        <w:lastRenderedPageBreak/>
        <w:t>R E S O L U T I V O S</w:t>
      </w:r>
      <w:bookmarkEnd w:id="208"/>
      <w:bookmarkEnd w:id="209"/>
      <w:bookmarkEnd w:id="210"/>
      <w:bookmarkEnd w:id="211"/>
      <w:bookmarkEnd w:id="212"/>
      <w:bookmarkEnd w:id="213"/>
    </w:p>
    <w:p w:rsidR="00CE7B83" w:rsidRPr="00A67033" w:rsidRDefault="00CE7B83" w:rsidP="00CE7B83">
      <w:pPr>
        <w:rPr>
          <w:rFonts w:ascii="Palatino Linotype" w:hAnsi="Palatino Linotype"/>
          <w:lang w:val="es-ES"/>
        </w:rPr>
      </w:pPr>
    </w:p>
    <w:p w:rsidR="009F09BC" w:rsidRPr="00A67033" w:rsidRDefault="009F09BC" w:rsidP="00CE7B83">
      <w:pPr>
        <w:spacing w:line="360" w:lineRule="auto"/>
        <w:jc w:val="both"/>
        <w:rPr>
          <w:rFonts w:ascii="Palatino Linotype" w:eastAsia="Times New Roman" w:hAnsi="Palatino Linotype" w:cs="Arial"/>
          <w:lang w:val="es-ES"/>
        </w:rPr>
      </w:pPr>
      <w:r w:rsidRPr="00A67033">
        <w:rPr>
          <w:rFonts w:ascii="Palatino Linotype" w:eastAsia="Times New Roman" w:hAnsi="Palatino Linotype" w:cs="Arial"/>
          <w:b/>
        </w:rPr>
        <w:t>PRIMERO</w:t>
      </w:r>
      <w:r w:rsidRPr="00A67033">
        <w:rPr>
          <w:rFonts w:ascii="Palatino Linotype" w:eastAsia="Times New Roman" w:hAnsi="Palatino Linotype" w:cs="Arial"/>
          <w:lang w:val="es-ES"/>
        </w:rPr>
        <w:t>. Resultan</w:t>
      </w:r>
      <w:r w:rsidR="009845EF" w:rsidRPr="00A67033">
        <w:rPr>
          <w:rFonts w:ascii="Palatino Linotype" w:eastAsia="Times New Roman" w:hAnsi="Palatino Linotype" w:cs="Arial"/>
          <w:lang w:val="es-ES"/>
        </w:rPr>
        <w:t xml:space="preserve"> </w:t>
      </w:r>
      <w:r w:rsidRPr="00A67033">
        <w:rPr>
          <w:rFonts w:ascii="Palatino Linotype" w:eastAsia="Times New Roman" w:hAnsi="Palatino Linotype" w:cs="Arial"/>
          <w:lang w:val="es-ES"/>
        </w:rPr>
        <w:t>fundadas las razones o motivos de inconformidad hechos valer en</w:t>
      </w:r>
      <w:r w:rsidR="009A2251" w:rsidRPr="00A67033">
        <w:rPr>
          <w:rFonts w:ascii="Palatino Linotype" w:eastAsia="Times New Roman" w:hAnsi="Palatino Linotype" w:cs="Arial"/>
          <w:lang w:val="es-ES"/>
        </w:rPr>
        <w:t xml:space="preserve"> el</w:t>
      </w:r>
      <w:r w:rsidRPr="00A67033">
        <w:rPr>
          <w:rFonts w:ascii="Palatino Linotype" w:eastAsia="Times New Roman" w:hAnsi="Palatino Linotype" w:cs="Arial"/>
          <w:lang w:val="es-ES"/>
        </w:rPr>
        <w:t xml:space="preserve"> Recurso de Revisión </w:t>
      </w:r>
      <w:r w:rsidR="00AE2D73" w:rsidRPr="00A67033">
        <w:rPr>
          <w:rFonts w:ascii="Palatino Linotype" w:hAnsi="Palatino Linotype"/>
          <w:b/>
        </w:rPr>
        <w:t>05243/INFOEM/IP/RR/2022</w:t>
      </w:r>
      <w:r w:rsidRPr="00A67033">
        <w:rPr>
          <w:rFonts w:ascii="Palatino Linotype" w:hAnsi="Palatino Linotype"/>
        </w:rPr>
        <w:t>,</w:t>
      </w:r>
      <w:r w:rsidRPr="00A67033">
        <w:rPr>
          <w:rFonts w:ascii="Palatino Linotype" w:eastAsia="Times New Roman" w:hAnsi="Palatino Linotype" w:cs="Arial"/>
          <w:b/>
          <w:lang w:val="es-ES"/>
        </w:rPr>
        <w:t xml:space="preserve"> </w:t>
      </w:r>
      <w:r w:rsidRPr="00A67033">
        <w:rPr>
          <w:rFonts w:ascii="Palatino Linotype" w:eastAsia="Times New Roman" w:hAnsi="Palatino Linotype" w:cs="Arial"/>
          <w:lang w:val="es-ES"/>
        </w:rPr>
        <w:t xml:space="preserve">en términos de los Considerandos </w:t>
      </w:r>
      <w:r w:rsidRPr="00A67033">
        <w:rPr>
          <w:rFonts w:ascii="Palatino Linotype" w:eastAsia="Times New Roman" w:hAnsi="Palatino Linotype" w:cs="Arial"/>
          <w:b/>
          <w:lang w:val="es-ES"/>
        </w:rPr>
        <w:t xml:space="preserve">CUARTO </w:t>
      </w:r>
      <w:r w:rsidRPr="00A67033">
        <w:rPr>
          <w:rFonts w:ascii="Palatino Linotype" w:eastAsia="Times New Roman" w:hAnsi="Palatino Linotype" w:cs="Arial"/>
          <w:lang w:val="es-ES"/>
        </w:rPr>
        <w:t>y</w:t>
      </w:r>
      <w:r w:rsidRPr="00A67033">
        <w:rPr>
          <w:rFonts w:ascii="Palatino Linotype" w:eastAsia="Times New Roman" w:hAnsi="Palatino Linotype" w:cs="Arial"/>
          <w:b/>
          <w:lang w:val="es-ES"/>
        </w:rPr>
        <w:t xml:space="preserve"> QUINTO </w:t>
      </w:r>
      <w:r w:rsidRPr="00A67033">
        <w:rPr>
          <w:rFonts w:ascii="Palatino Linotype" w:eastAsia="Times New Roman" w:hAnsi="Palatino Linotype" w:cs="Arial"/>
          <w:lang w:val="es-ES"/>
        </w:rPr>
        <w:t xml:space="preserve">de la presente resolución. </w:t>
      </w:r>
    </w:p>
    <w:p w:rsidR="00CE7B83" w:rsidRPr="00A67033" w:rsidRDefault="00CE7B83" w:rsidP="00CE7B83">
      <w:pPr>
        <w:spacing w:line="360" w:lineRule="auto"/>
        <w:jc w:val="both"/>
        <w:rPr>
          <w:rFonts w:ascii="Palatino Linotype" w:eastAsia="Times New Roman" w:hAnsi="Palatino Linotype" w:cs="Arial"/>
          <w:lang w:val="es-ES"/>
        </w:rPr>
      </w:pPr>
    </w:p>
    <w:p w:rsidR="009F09BC" w:rsidRPr="00A67033" w:rsidRDefault="009F09BC" w:rsidP="00CE7B83">
      <w:pPr>
        <w:spacing w:line="360" w:lineRule="auto"/>
        <w:jc w:val="both"/>
        <w:rPr>
          <w:rFonts w:ascii="Palatino Linotype" w:eastAsia="MS Mincho" w:hAnsi="Palatino Linotype" w:cs="Times New Roman"/>
          <w:color w:val="000000" w:themeColor="text1"/>
        </w:rPr>
      </w:pPr>
      <w:bookmarkStart w:id="214" w:name="_Toc503891607"/>
      <w:bookmarkStart w:id="215" w:name="_Toc511647757"/>
      <w:bookmarkStart w:id="216" w:name="_Toc511647818"/>
      <w:bookmarkStart w:id="217" w:name="_Toc477891768"/>
      <w:bookmarkStart w:id="218" w:name="_Toc477891858"/>
      <w:bookmarkStart w:id="219" w:name="_Toc481576259"/>
      <w:bookmarkStart w:id="220" w:name="_Toc492590391"/>
      <w:bookmarkStart w:id="221" w:name="_Toc462653937"/>
      <w:bookmarkStart w:id="222" w:name="_Toc453696502"/>
      <w:bookmarkStart w:id="223" w:name="_Toc454301155"/>
      <w:r w:rsidRPr="00A67033">
        <w:rPr>
          <w:rFonts w:ascii="Palatino Linotype" w:eastAsia="Times New Roman" w:hAnsi="Palatino Linotype" w:cs="Times New Roman"/>
          <w:b/>
        </w:rPr>
        <w:t>SEGUNDO.</w:t>
      </w:r>
      <w:bookmarkEnd w:id="214"/>
      <w:bookmarkEnd w:id="215"/>
      <w:bookmarkEnd w:id="216"/>
      <w:r w:rsidRPr="00A67033">
        <w:rPr>
          <w:rFonts w:ascii="Palatino Linotype" w:eastAsia="Times New Roman" w:hAnsi="Palatino Linotype" w:cs="Times New Roman"/>
          <w:b/>
        </w:rPr>
        <w:t xml:space="preserve"> </w:t>
      </w:r>
      <w:bookmarkEnd w:id="217"/>
      <w:bookmarkEnd w:id="218"/>
      <w:bookmarkEnd w:id="219"/>
      <w:bookmarkEnd w:id="220"/>
      <w:bookmarkEnd w:id="221"/>
      <w:bookmarkEnd w:id="222"/>
      <w:bookmarkEnd w:id="223"/>
      <w:r w:rsidRPr="00A67033">
        <w:rPr>
          <w:rFonts w:ascii="Palatino Linotype" w:eastAsia="MS Mincho" w:hAnsi="Palatino Linotype" w:cs="Times New Roman"/>
          <w:color w:val="000000" w:themeColor="text1"/>
        </w:rPr>
        <w:t xml:space="preserve">Se </w:t>
      </w:r>
      <w:r w:rsidRPr="00A67033">
        <w:rPr>
          <w:rFonts w:ascii="Palatino Linotype" w:eastAsia="MS Mincho" w:hAnsi="Palatino Linotype" w:cs="Times New Roman"/>
          <w:b/>
          <w:color w:val="000000" w:themeColor="text1"/>
        </w:rPr>
        <w:t xml:space="preserve">REVOCA </w:t>
      </w:r>
      <w:r w:rsidRPr="00A67033">
        <w:rPr>
          <w:rFonts w:ascii="Palatino Linotype" w:eastAsia="MS Mincho" w:hAnsi="Palatino Linotype" w:cs="Times New Roman"/>
          <w:color w:val="000000" w:themeColor="text1"/>
        </w:rPr>
        <w:t xml:space="preserve">la respuesta emitida por </w:t>
      </w:r>
      <w:r w:rsidR="002453DA" w:rsidRPr="00A67033">
        <w:rPr>
          <w:rFonts w:ascii="Palatino Linotype" w:eastAsia="MS Mincho" w:hAnsi="Palatino Linotype" w:cs="Times New Roman"/>
          <w:color w:val="000000" w:themeColor="text1"/>
        </w:rPr>
        <w:t xml:space="preserve">el </w:t>
      </w:r>
      <w:r w:rsidR="00AE2D73" w:rsidRPr="00A67033">
        <w:rPr>
          <w:rFonts w:ascii="Palatino Linotype" w:eastAsia="MS Mincho" w:hAnsi="Palatino Linotype" w:cs="Times New Roman"/>
          <w:b/>
          <w:color w:val="000000" w:themeColor="text1"/>
        </w:rPr>
        <w:t xml:space="preserve">Ayuntamiento de </w:t>
      </w:r>
      <w:proofErr w:type="spellStart"/>
      <w:r w:rsidR="00AE2D73" w:rsidRPr="00A67033">
        <w:rPr>
          <w:rFonts w:ascii="Palatino Linotype" w:eastAsia="MS Mincho" w:hAnsi="Palatino Linotype" w:cs="Times New Roman"/>
          <w:b/>
          <w:color w:val="000000" w:themeColor="text1"/>
        </w:rPr>
        <w:t>Xalatlaco</w:t>
      </w:r>
      <w:proofErr w:type="spellEnd"/>
      <w:r w:rsidRPr="00A67033">
        <w:rPr>
          <w:rFonts w:ascii="Palatino Linotype" w:eastAsia="MS Mincho" w:hAnsi="Palatino Linotype" w:cs="Times New Roman"/>
          <w:b/>
          <w:color w:val="000000" w:themeColor="text1"/>
        </w:rPr>
        <w:t xml:space="preserve"> </w:t>
      </w:r>
      <w:r w:rsidRPr="00A67033">
        <w:rPr>
          <w:rFonts w:ascii="Palatino Linotype" w:eastAsia="MS Mincho" w:hAnsi="Palatino Linotype" w:cs="Times New Roman"/>
          <w:color w:val="000000" w:themeColor="text1"/>
        </w:rPr>
        <w:t xml:space="preserve">y se </w:t>
      </w:r>
      <w:r w:rsidRPr="00A67033">
        <w:rPr>
          <w:rFonts w:ascii="Palatino Linotype" w:eastAsia="MS Mincho" w:hAnsi="Palatino Linotype" w:cs="Times New Roman"/>
          <w:b/>
          <w:color w:val="000000" w:themeColor="text1"/>
        </w:rPr>
        <w:t>ORDENA</w:t>
      </w:r>
      <w:r w:rsidRPr="00A67033">
        <w:rPr>
          <w:rFonts w:ascii="Palatino Linotype" w:eastAsia="MS Mincho" w:hAnsi="Palatino Linotype" w:cs="Times New Roman"/>
          <w:color w:val="000000" w:themeColor="text1"/>
        </w:rPr>
        <w:t xml:space="preserve"> entregar vía Sistema de Acceso a la Información Mexiquense </w:t>
      </w:r>
      <w:r w:rsidRPr="00A67033">
        <w:rPr>
          <w:rFonts w:ascii="Palatino Linotype" w:eastAsia="MS Mincho" w:hAnsi="Palatino Linotype" w:cs="Times New Roman"/>
          <w:b/>
          <w:color w:val="000000" w:themeColor="text1"/>
        </w:rPr>
        <w:t>(SAIMEX)</w:t>
      </w:r>
      <w:r w:rsidRPr="00A67033">
        <w:rPr>
          <w:rFonts w:ascii="Palatino Linotype" w:eastAsia="MS Mincho" w:hAnsi="Palatino Linotype" w:cs="Times New Roman"/>
          <w:color w:val="000000" w:themeColor="text1"/>
        </w:rPr>
        <w:t xml:space="preserve">, en versión pública, </w:t>
      </w:r>
      <w:r w:rsidR="00AA0736" w:rsidRPr="00A67033">
        <w:rPr>
          <w:rFonts w:ascii="Palatino Linotype" w:eastAsia="MS Mincho" w:hAnsi="Palatino Linotype" w:cs="Times New Roman"/>
          <w:color w:val="000000" w:themeColor="text1"/>
        </w:rPr>
        <w:t>la siguiente información</w:t>
      </w:r>
      <w:r w:rsidR="00A31268" w:rsidRPr="00A67033">
        <w:rPr>
          <w:rFonts w:ascii="Palatino Linotype" w:hAnsi="Palatino Linotype" w:cs="Arial"/>
          <w:b/>
        </w:rPr>
        <w:t xml:space="preserve"> </w:t>
      </w:r>
      <w:r w:rsidR="00AA0736" w:rsidRPr="00A67033">
        <w:rPr>
          <w:rFonts w:ascii="Palatino Linotype" w:hAnsi="Palatino Linotype" w:cs="Arial"/>
        </w:rPr>
        <w:t>referente</w:t>
      </w:r>
      <w:r w:rsidR="00373465" w:rsidRPr="00A67033">
        <w:rPr>
          <w:rFonts w:ascii="Palatino Linotype" w:hAnsi="Palatino Linotype" w:cs="Arial"/>
        </w:rPr>
        <w:t xml:space="preserve"> a la o las demandas laborales presentadas por el </w:t>
      </w:r>
      <w:r w:rsidR="00AA0736" w:rsidRPr="00A67033">
        <w:rPr>
          <w:rFonts w:ascii="Palatino Linotype" w:hAnsi="Palatino Linotype" w:cs="Arial"/>
        </w:rPr>
        <w:t>o los t</w:t>
      </w:r>
      <w:r w:rsidR="00373465" w:rsidRPr="00A67033">
        <w:rPr>
          <w:rFonts w:ascii="Palatino Linotype" w:hAnsi="Palatino Linotype" w:cs="Arial"/>
        </w:rPr>
        <w:t>itular</w:t>
      </w:r>
      <w:r w:rsidR="00AA0736" w:rsidRPr="00A67033">
        <w:rPr>
          <w:rFonts w:ascii="Palatino Linotype" w:hAnsi="Palatino Linotype" w:cs="Arial"/>
        </w:rPr>
        <w:t>es</w:t>
      </w:r>
      <w:r w:rsidR="00373465" w:rsidRPr="00A67033">
        <w:rPr>
          <w:rFonts w:ascii="Palatino Linotype" w:hAnsi="Palatino Linotype" w:cs="Arial"/>
        </w:rPr>
        <w:t xml:space="preserve"> de la Unidad de Transparencia en contra el Ayuntamiento de </w:t>
      </w:r>
      <w:proofErr w:type="spellStart"/>
      <w:r w:rsidR="00373465" w:rsidRPr="00A67033">
        <w:rPr>
          <w:rFonts w:ascii="Palatino Linotype" w:hAnsi="Palatino Linotype" w:cs="Arial"/>
        </w:rPr>
        <w:t>Xalatlaco</w:t>
      </w:r>
      <w:proofErr w:type="spellEnd"/>
      <w:r w:rsidR="00373465" w:rsidRPr="00A67033">
        <w:rPr>
          <w:rFonts w:ascii="Palatino Linotype" w:hAnsi="Palatino Linotype" w:cs="Arial"/>
        </w:rPr>
        <w:t>, del 1 de enero de 2019 al 30 de enero de 2020</w:t>
      </w:r>
      <w:r w:rsidR="00CE7B83" w:rsidRPr="00A67033">
        <w:rPr>
          <w:rFonts w:ascii="Palatino Linotype" w:eastAsia="MS Mincho" w:hAnsi="Palatino Linotype" w:cs="Times New Roman"/>
          <w:color w:val="000000" w:themeColor="text1"/>
        </w:rPr>
        <w:t>:</w:t>
      </w:r>
    </w:p>
    <w:p w:rsidR="00CE7B83" w:rsidRPr="00A67033" w:rsidRDefault="00CE7B83" w:rsidP="00CE7B83">
      <w:pPr>
        <w:spacing w:line="360" w:lineRule="auto"/>
        <w:jc w:val="both"/>
        <w:rPr>
          <w:rFonts w:ascii="Palatino Linotype" w:eastAsia="MS Mincho" w:hAnsi="Palatino Linotype" w:cs="Times New Roman"/>
          <w:color w:val="000000" w:themeColor="text1"/>
        </w:rPr>
      </w:pPr>
    </w:p>
    <w:p w:rsidR="00373465" w:rsidRPr="00A67033" w:rsidRDefault="00373465" w:rsidP="00AA0736">
      <w:pPr>
        <w:spacing w:line="360" w:lineRule="auto"/>
        <w:ind w:left="992"/>
        <w:jc w:val="both"/>
        <w:rPr>
          <w:rFonts w:ascii="Palatino Linotype" w:hAnsi="Palatino Linotype" w:cs="Arial"/>
          <w:b/>
        </w:rPr>
      </w:pPr>
      <w:bookmarkStart w:id="224" w:name="_Toc503891610"/>
      <w:bookmarkStart w:id="225" w:name="_Toc453696503"/>
      <w:bookmarkStart w:id="226" w:name="_Toc454301156"/>
      <w:bookmarkStart w:id="227" w:name="_Toc462653938"/>
      <w:bookmarkStart w:id="228" w:name="_Toc477891769"/>
      <w:bookmarkStart w:id="229" w:name="_Toc477891859"/>
      <w:bookmarkStart w:id="230" w:name="_Toc481576260"/>
      <w:bookmarkStart w:id="231" w:name="_Toc492590392"/>
      <w:r w:rsidRPr="00A67033">
        <w:rPr>
          <w:rFonts w:ascii="Palatino Linotype" w:hAnsi="Palatino Linotype" w:cs="Arial"/>
          <w:b/>
        </w:rPr>
        <w:t>a)</w:t>
      </w:r>
      <w:r w:rsidRPr="00A67033">
        <w:rPr>
          <w:rFonts w:ascii="Palatino Linotype" w:hAnsi="Palatino Linotype" w:cs="Arial"/>
          <w:b/>
        </w:rPr>
        <w:tab/>
        <w:t>Número de expediente;</w:t>
      </w:r>
    </w:p>
    <w:p w:rsidR="00373465" w:rsidRPr="00A67033" w:rsidRDefault="00373465" w:rsidP="00AA0736">
      <w:pPr>
        <w:spacing w:line="360" w:lineRule="auto"/>
        <w:ind w:left="992"/>
        <w:jc w:val="both"/>
        <w:rPr>
          <w:rFonts w:ascii="Palatino Linotype" w:hAnsi="Palatino Linotype" w:cs="Arial"/>
          <w:b/>
        </w:rPr>
      </w:pPr>
      <w:r w:rsidRPr="00A67033">
        <w:rPr>
          <w:rFonts w:ascii="Palatino Linotype" w:hAnsi="Palatino Linotype" w:cs="Arial"/>
          <w:b/>
        </w:rPr>
        <w:t>b)</w:t>
      </w:r>
      <w:r w:rsidRPr="00A67033">
        <w:rPr>
          <w:rFonts w:ascii="Palatino Linotype" w:hAnsi="Palatino Linotype" w:cs="Arial"/>
          <w:b/>
        </w:rPr>
        <w:tab/>
        <w:t>Monto de lo demandado; y</w:t>
      </w:r>
    </w:p>
    <w:p w:rsidR="009C39C8" w:rsidRPr="00A67033" w:rsidRDefault="00373465" w:rsidP="00AA0736">
      <w:pPr>
        <w:spacing w:line="360" w:lineRule="auto"/>
        <w:ind w:left="992"/>
        <w:jc w:val="both"/>
        <w:rPr>
          <w:rFonts w:ascii="Palatino Linotype" w:hAnsi="Palatino Linotype" w:cs="Arial"/>
          <w:b/>
        </w:rPr>
      </w:pPr>
      <w:r w:rsidRPr="00A67033">
        <w:rPr>
          <w:rFonts w:ascii="Palatino Linotype" w:hAnsi="Palatino Linotype" w:cs="Arial"/>
          <w:b/>
        </w:rPr>
        <w:t>c)</w:t>
      </w:r>
      <w:r w:rsidRPr="00A67033">
        <w:rPr>
          <w:rFonts w:ascii="Palatino Linotype" w:hAnsi="Palatino Linotype" w:cs="Arial"/>
          <w:b/>
        </w:rPr>
        <w:tab/>
        <w:t>Causal.</w:t>
      </w:r>
    </w:p>
    <w:p w:rsidR="00373465" w:rsidRPr="00A67033" w:rsidRDefault="00373465" w:rsidP="00AA0736">
      <w:pPr>
        <w:spacing w:line="360" w:lineRule="auto"/>
        <w:jc w:val="both"/>
        <w:rPr>
          <w:rFonts w:ascii="Palatino Linotype" w:hAnsi="Palatino Linotype" w:cs="Arial"/>
          <w:b/>
        </w:rPr>
      </w:pPr>
    </w:p>
    <w:p w:rsidR="009F09BC" w:rsidRPr="00A67033" w:rsidRDefault="009F09BC" w:rsidP="00CE7B83">
      <w:pPr>
        <w:spacing w:line="360" w:lineRule="auto"/>
        <w:jc w:val="both"/>
        <w:rPr>
          <w:rFonts w:ascii="Palatino Linotype" w:eastAsia="Calibri" w:hAnsi="Palatino Linotype" w:cs="Arial"/>
        </w:rPr>
      </w:pPr>
      <w:r w:rsidRPr="00A6703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00AA0736" w:rsidRPr="00A67033">
        <w:rPr>
          <w:rFonts w:ascii="Palatino Linotype" w:eastAsia="Calibri" w:hAnsi="Palatino Linotype" w:cs="Arial"/>
          <w:b/>
        </w:rPr>
        <w:t>EL RECURRENTE</w:t>
      </w:r>
      <w:r w:rsidRPr="00A67033">
        <w:rPr>
          <w:rFonts w:ascii="Palatino Linotype" w:eastAsia="Calibri" w:hAnsi="Palatino Linotype" w:cs="Arial"/>
        </w:rPr>
        <w:t>.</w:t>
      </w:r>
    </w:p>
    <w:p w:rsidR="00A31268" w:rsidRPr="00A67033" w:rsidRDefault="00A31268" w:rsidP="00CE7B83">
      <w:pPr>
        <w:spacing w:line="360" w:lineRule="auto"/>
        <w:jc w:val="both"/>
        <w:rPr>
          <w:rFonts w:ascii="Palatino Linotype" w:eastAsia="Calibri" w:hAnsi="Palatino Linotype" w:cs="Arial"/>
          <w:b/>
        </w:rPr>
      </w:pPr>
    </w:p>
    <w:p w:rsidR="00AA0736" w:rsidRPr="00A67033" w:rsidRDefault="00AA0736" w:rsidP="00AA0736">
      <w:pPr>
        <w:spacing w:line="360" w:lineRule="auto"/>
        <w:jc w:val="both"/>
        <w:rPr>
          <w:rFonts w:ascii="Palatino Linotype" w:eastAsia="Calibri" w:hAnsi="Palatino Linotype" w:cs="Arial"/>
          <w:bCs/>
        </w:rPr>
      </w:pPr>
      <w:r w:rsidRPr="00A67033">
        <w:rPr>
          <w:rFonts w:ascii="Palatino Linotype" w:eastAsia="Calibri" w:hAnsi="Palatino Linotype" w:cs="Arial"/>
          <w:bCs/>
        </w:rPr>
        <w:lastRenderedPageBreak/>
        <w:t xml:space="preserve">Para el caso de que la información de los </w:t>
      </w:r>
      <w:r w:rsidRPr="00A67033">
        <w:rPr>
          <w:rFonts w:ascii="Palatino Linotype" w:eastAsia="Calibri" w:hAnsi="Palatino Linotype" w:cs="Arial"/>
          <w:b/>
          <w:bCs/>
        </w:rPr>
        <w:t xml:space="preserve">incisos b) </w:t>
      </w:r>
      <w:r w:rsidRPr="00A67033">
        <w:rPr>
          <w:rFonts w:ascii="Palatino Linotype" w:eastAsia="Calibri" w:hAnsi="Palatino Linotype" w:cs="Arial"/>
          <w:bCs/>
        </w:rPr>
        <w:t>y</w:t>
      </w:r>
      <w:r w:rsidRPr="00A67033">
        <w:rPr>
          <w:rFonts w:ascii="Palatino Linotype" w:eastAsia="Calibri" w:hAnsi="Palatino Linotype" w:cs="Arial"/>
          <w:b/>
          <w:bCs/>
        </w:rPr>
        <w:t xml:space="preserve"> c)</w:t>
      </w:r>
      <w:r w:rsidRPr="00A67033">
        <w:rPr>
          <w:rFonts w:ascii="Palatino Linotype" w:eastAsia="Calibri" w:hAnsi="Palatino Linotype" w:cs="Arial"/>
          <w:bCs/>
        </w:rPr>
        <w:t xml:space="preserve">, este relacionada con </w:t>
      </w:r>
      <w:r w:rsidRPr="00A67033">
        <w:rPr>
          <w:rFonts w:ascii="Palatino Linotype" w:eastAsia="Calibri" w:hAnsi="Palatino Linotype" w:cs="Arial"/>
          <w:b/>
          <w:bCs/>
        </w:rPr>
        <w:t>procedimientos en trámite</w:t>
      </w:r>
      <w:r w:rsidR="00127869" w:rsidRPr="00A67033">
        <w:rPr>
          <w:rFonts w:ascii="Palatino Linotype" w:eastAsia="Calibri" w:hAnsi="Palatino Linotype" w:cs="Arial"/>
          <w:bCs/>
        </w:rPr>
        <w:t xml:space="preserve"> o </w:t>
      </w:r>
      <w:r w:rsidR="00127869" w:rsidRPr="00A67033">
        <w:rPr>
          <w:rFonts w:ascii="Palatino Linotype" w:eastAsia="Calibri" w:hAnsi="Palatino Linotype" w:cs="Arial"/>
          <w:b/>
          <w:bCs/>
        </w:rPr>
        <w:t>el laudo no haya resultado favorable para la parte actora</w:t>
      </w:r>
      <w:r w:rsidR="00127869" w:rsidRPr="00A67033">
        <w:rPr>
          <w:rFonts w:ascii="Palatino Linotype" w:eastAsia="Calibri" w:hAnsi="Palatino Linotype" w:cs="Arial"/>
          <w:bCs/>
        </w:rPr>
        <w:t>,</w:t>
      </w:r>
      <w:r w:rsidRPr="00A67033">
        <w:rPr>
          <w:rFonts w:ascii="Palatino Linotype" w:eastAsia="Calibri" w:hAnsi="Palatino Linotype" w:cs="Arial"/>
          <w:bCs/>
        </w:rPr>
        <w:t xml:space="preserve"> se deberá proporcionar el Acuerdo del Comité de Transparencia, donde las clasifique de manera fundada y motivada en términos de los artículos 49, fracciones II y VIII, 140, fracción VI y 141 de la Ley de Transparencia y Acceso a la Información Pública del Estado de México y Municipios</w:t>
      </w:r>
    </w:p>
    <w:p w:rsidR="00AA0736" w:rsidRPr="00A67033" w:rsidRDefault="00AA0736" w:rsidP="00373465">
      <w:pPr>
        <w:pStyle w:val="Prrafodelista"/>
        <w:autoSpaceDE w:val="0"/>
        <w:autoSpaceDN w:val="0"/>
        <w:adjustRightInd w:val="0"/>
        <w:spacing w:line="360" w:lineRule="auto"/>
        <w:ind w:left="0" w:right="-93"/>
        <w:jc w:val="both"/>
        <w:rPr>
          <w:rFonts w:ascii="Palatino Linotype" w:hAnsi="Palatino Linotype"/>
        </w:rPr>
      </w:pPr>
    </w:p>
    <w:p w:rsidR="00373465" w:rsidRPr="00A67033" w:rsidRDefault="00373465" w:rsidP="00373465">
      <w:pPr>
        <w:pStyle w:val="Prrafodelista"/>
        <w:autoSpaceDE w:val="0"/>
        <w:autoSpaceDN w:val="0"/>
        <w:adjustRightInd w:val="0"/>
        <w:spacing w:line="360" w:lineRule="auto"/>
        <w:ind w:left="0" w:right="-93"/>
        <w:jc w:val="both"/>
        <w:rPr>
          <w:rFonts w:ascii="Palatino Linotype" w:eastAsia="Calibri" w:hAnsi="Palatino Linotype" w:cs="Arial"/>
          <w:color w:val="000000" w:themeColor="text1"/>
        </w:rPr>
      </w:pPr>
      <w:r w:rsidRPr="00A67033">
        <w:rPr>
          <w:rFonts w:ascii="Palatino Linotype" w:hAnsi="Palatino Linotype"/>
        </w:rPr>
        <w:t xml:space="preserve">Para el caso que la información que se ordena en </w:t>
      </w:r>
      <w:proofErr w:type="gramStart"/>
      <w:r w:rsidRPr="00A67033">
        <w:rPr>
          <w:rFonts w:ascii="Palatino Linotype" w:hAnsi="Palatino Linotype"/>
        </w:rPr>
        <w:t xml:space="preserve">el </w:t>
      </w:r>
      <w:r w:rsidR="00AA0736" w:rsidRPr="00A67033">
        <w:rPr>
          <w:rFonts w:ascii="Palatino Linotype" w:hAnsi="Palatino Linotype"/>
          <w:b/>
        </w:rPr>
        <w:t>i</w:t>
      </w:r>
      <w:r w:rsidRPr="00A67033">
        <w:rPr>
          <w:rFonts w:ascii="Palatino Linotype" w:hAnsi="Palatino Linotype"/>
          <w:b/>
        </w:rPr>
        <w:t>ncisos</w:t>
      </w:r>
      <w:proofErr w:type="gramEnd"/>
      <w:r w:rsidRPr="00A67033">
        <w:rPr>
          <w:rFonts w:ascii="Palatino Linotype" w:hAnsi="Palatino Linotype"/>
          <w:b/>
        </w:rPr>
        <w:t xml:space="preserve"> </w:t>
      </w:r>
      <w:r w:rsidR="00AA0736" w:rsidRPr="00A67033">
        <w:rPr>
          <w:rFonts w:ascii="Palatino Linotype" w:hAnsi="Palatino Linotype"/>
          <w:b/>
        </w:rPr>
        <w:t xml:space="preserve">a), </w:t>
      </w:r>
      <w:r w:rsidRPr="00A67033">
        <w:rPr>
          <w:rFonts w:ascii="Palatino Linotype" w:hAnsi="Palatino Linotype"/>
          <w:b/>
        </w:rPr>
        <w:t xml:space="preserve">b) y c), </w:t>
      </w:r>
      <w:r w:rsidRPr="00A67033">
        <w:rPr>
          <w:rFonts w:ascii="Palatino Linotype" w:eastAsia="Calibri" w:hAnsi="Palatino Linotype" w:cs="Arial"/>
          <w:b/>
          <w:color w:val="000000" w:themeColor="text1"/>
        </w:rPr>
        <w:t xml:space="preserve">no haya sido poseída </w:t>
      </w:r>
      <w:r w:rsidR="00127869" w:rsidRPr="00A67033">
        <w:rPr>
          <w:rFonts w:ascii="Palatino Linotype" w:eastAsia="Calibri" w:hAnsi="Palatino Linotype" w:cs="Arial"/>
          <w:b/>
          <w:color w:val="000000" w:themeColor="text1"/>
        </w:rPr>
        <w:t>o</w:t>
      </w:r>
      <w:r w:rsidRPr="00A67033">
        <w:rPr>
          <w:rFonts w:ascii="Palatino Linotype" w:eastAsia="Calibri" w:hAnsi="Palatino Linotype" w:cs="Arial"/>
          <w:b/>
          <w:color w:val="000000" w:themeColor="text1"/>
        </w:rPr>
        <w:t xml:space="preserve"> administrada</w:t>
      </w:r>
      <w:r w:rsidRPr="00A67033">
        <w:rPr>
          <w:rFonts w:ascii="Palatino Linotype" w:eastAsia="Calibri" w:hAnsi="Palatino Linotype" w:cs="Arial"/>
          <w:color w:val="000000" w:themeColor="text1"/>
        </w:rPr>
        <w:t xml:space="preserve">, el </w:t>
      </w:r>
      <w:r w:rsidRPr="00A67033">
        <w:rPr>
          <w:rFonts w:ascii="Palatino Linotype" w:eastAsia="Calibri" w:hAnsi="Palatino Linotype" w:cs="Arial"/>
          <w:b/>
          <w:color w:val="000000" w:themeColor="text1"/>
        </w:rPr>
        <w:t>SUJETO OBLIGADO</w:t>
      </w:r>
      <w:r w:rsidRPr="00A67033">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rsidR="00373465" w:rsidRPr="00A67033" w:rsidRDefault="00373465" w:rsidP="00A31268">
      <w:pPr>
        <w:pStyle w:val="Prrafodelista"/>
        <w:autoSpaceDE w:val="0"/>
        <w:autoSpaceDN w:val="0"/>
        <w:adjustRightInd w:val="0"/>
        <w:spacing w:line="360" w:lineRule="auto"/>
        <w:ind w:left="0" w:right="-93"/>
        <w:jc w:val="both"/>
        <w:rPr>
          <w:rFonts w:ascii="Palatino Linotype" w:hAnsi="Palatino Linotype"/>
        </w:rPr>
      </w:pPr>
    </w:p>
    <w:p w:rsidR="009F09BC" w:rsidRPr="00A67033"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32" w:name="_Toc511647758"/>
      <w:bookmarkStart w:id="233" w:name="_Toc511647819"/>
      <w:r w:rsidRPr="00A67033">
        <w:rPr>
          <w:rFonts w:ascii="Palatino Linotype" w:eastAsia="Times New Roman" w:hAnsi="Palatino Linotype" w:cs="Times New Roman"/>
          <w:b/>
        </w:rPr>
        <w:t>TERCERO.</w:t>
      </w:r>
      <w:bookmarkEnd w:id="224"/>
      <w:bookmarkEnd w:id="232"/>
      <w:bookmarkEnd w:id="233"/>
      <w:r w:rsidRPr="00A67033">
        <w:rPr>
          <w:rFonts w:ascii="Palatino Linotype" w:eastAsia="Times New Roman" w:hAnsi="Palatino Linotype" w:cs="Times New Roman"/>
          <w:b/>
        </w:rPr>
        <w:t xml:space="preserve"> </w:t>
      </w:r>
      <w:bookmarkEnd w:id="225"/>
      <w:bookmarkEnd w:id="226"/>
      <w:bookmarkEnd w:id="227"/>
      <w:bookmarkEnd w:id="228"/>
      <w:bookmarkEnd w:id="229"/>
      <w:bookmarkEnd w:id="230"/>
      <w:bookmarkEnd w:id="231"/>
      <w:r w:rsidRPr="00A67033">
        <w:rPr>
          <w:rFonts w:ascii="Palatino Linotype" w:eastAsia="Palatino Linotype" w:hAnsi="Palatino Linotype" w:cs="Palatino Linotype"/>
          <w:b/>
        </w:rPr>
        <w:t xml:space="preserve">Notifíquese </w:t>
      </w:r>
      <w:r w:rsidRPr="00A67033">
        <w:rPr>
          <w:rFonts w:ascii="Palatino Linotype" w:eastAsia="Palatino Linotype" w:hAnsi="Palatino Linotype" w:cs="Palatino Linotype"/>
        </w:rPr>
        <w:t xml:space="preserve">al Titular de la Unidad de Transparencia del </w:t>
      </w:r>
      <w:r w:rsidRPr="00A67033">
        <w:rPr>
          <w:rFonts w:ascii="Palatino Linotype" w:eastAsia="Palatino Linotype" w:hAnsi="Palatino Linotype" w:cs="Palatino Linotype"/>
          <w:b/>
        </w:rPr>
        <w:t>SUJETO OBLIGADO</w:t>
      </w:r>
      <w:r w:rsidR="00CE7B83" w:rsidRPr="00A67033">
        <w:rPr>
          <w:rFonts w:ascii="Palatino Linotype" w:eastAsia="Palatino Linotype" w:hAnsi="Palatino Linotype" w:cs="Palatino Linotype"/>
          <w:b/>
        </w:rPr>
        <w:t xml:space="preserve"> </w:t>
      </w:r>
      <w:r w:rsidR="00CE7B83" w:rsidRPr="00A67033">
        <w:rPr>
          <w:rFonts w:ascii="Palatino Linotype" w:eastAsia="Palatino Linotype" w:hAnsi="Palatino Linotype" w:cs="Palatino Linotype"/>
        </w:rPr>
        <w:t>vía SAIMEX</w:t>
      </w:r>
      <w:r w:rsidRPr="00A6703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67033">
        <w:rPr>
          <w:rFonts w:ascii="Palatino Linotype" w:eastAsia="Times New Roman" w:hAnsi="Palatino Linotype" w:cs="Times New Roman"/>
          <w:shd w:val="clear" w:color="auto" w:fill="FFFFFF"/>
        </w:rPr>
        <w:t xml:space="preserve">vigente, dé cumplimiento a lo ordenado dentro del plazo de </w:t>
      </w:r>
      <w:r w:rsidR="00782A12" w:rsidRPr="00A67033">
        <w:rPr>
          <w:rFonts w:ascii="Palatino Linotype" w:eastAsia="Times New Roman" w:hAnsi="Palatino Linotype" w:cs="Times New Roman"/>
          <w:b/>
          <w:shd w:val="clear" w:color="auto" w:fill="FFFFFF"/>
        </w:rPr>
        <w:t>diez</w:t>
      </w:r>
      <w:r w:rsidRPr="00A67033">
        <w:rPr>
          <w:rFonts w:ascii="Palatino Linotype" w:eastAsia="Times New Roman" w:hAnsi="Palatino Linotype" w:cs="Times New Roman"/>
          <w:b/>
          <w:shd w:val="clear" w:color="auto" w:fill="FFFFFF"/>
        </w:rPr>
        <w:t xml:space="preserve"> días hábiles</w:t>
      </w:r>
      <w:r w:rsidRPr="00A67033">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A67033" w:rsidRDefault="0057514F" w:rsidP="00CE7B83">
      <w:pPr>
        <w:spacing w:line="360" w:lineRule="auto"/>
        <w:jc w:val="both"/>
        <w:rPr>
          <w:rFonts w:ascii="Palatino Linotype" w:hAnsi="Palatino Linotype" w:cs="Arial"/>
          <w:b/>
        </w:rPr>
      </w:pPr>
    </w:p>
    <w:p w:rsidR="0057514F" w:rsidRPr="00A67033" w:rsidRDefault="0057514F" w:rsidP="00CE7B83">
      <w:pPr>
        <w:spacing w:line="360" w:lineRule="auto"/>
        <w:jc w:val="both"/>
        <w:rPr>
          <w:rFonts w:ascii="Palatino Linotype" w:eastAsia="Calibri" w:hAnsi="Palatino Linotype" w:cs="Arial"/>
          <w:bCs/>
        </w:rPr>
      </w:pPr>
      <w:r w:rsidRPr="00A67033">
        <w:rPr>
          <w:rFonts w:ascii="Palatino Linotype" w:hAnsi="Palatino Linotype" w:cs="Arial"/>
          <w:b/>
        </w:rPr>
        <w:t xml:space="preserve">CUARTO. </w:t>
      </w:r>
      <w:r w:rsidRPr="00A67033">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A67033">
        <w:rPr>
          <w:rFonts w:ascii="Palatino Linotype" w:eastAsia="Calibri" w:hAnsi="Palatino Linotype" w:cs="Arial"/>
          <w:b/>
          <w:bCs/>
        </w:rPr>
        <w:t>SUJETO OBLIGADO</w:t>
      </w:r>
      <w:r w:rsidRPr="00A67033">
        <w:rPr>
          <w:rFonts w:ascii="Palatino Linotype" w:eastAsia="Calibri" w:hAnsi="Palatino Linotype" w:cs="Arial"/>
          <w:bCs/>
        </w:rPr>
        <w:t xml:space="preserve"> de manera fundada y motivada, podrá solicitar una ampliación de plazo para el cumplimiento de la presente resolución.</w:t>
      </w:r>
    </w:p>
    <w:p w:rsidR="00CE7B83" w:rsidRPr="00A67033" w:rsidRDefault="00CE7B83" w:rsidP="00CE7B83">
      <w:pPr>
        <w:spacing w:line="360" w:lineRule="auto"/>
        <w:jc w:val="both"/>
        <w:rPr>
          <w:rFonts w:ascii="Palatino Linotype" w:eastAsia="Calibri" w:hAnsi="Palatino Linotype" w:cs="Arial"/>
          <w:bCs/>
        </w:rPr>
      </w:pPr>
    </w:p>
    <w:p w:rsidR="009F09BC" w:rsidRPr="00A67033"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34" w:name="_Toc492590393"/>
      <w:bookmarkStart w:id="235" w:name="_Toc503891611"/>
      <w:bookmarkStart w:id="236" w:name="_Toc511647759"/>
      <w:bookmarkStart w:id="237" w:name="_Toc511647820"/>
      <w:r w:rsidRPr="00A67033">
        <w:rPr>
          <w:rFonts w:ascii="Palatino Linotype" w:eastAsia="Times New Roman" w:hAnsi="Palatino Linotype" w:cs="Times New Roman"/>
          <w:b/>
        </w:rPr>
        <w:lastRenderedPageBreak/>
        <w:t>QUIN</w:t>
      </w:r>
      <w:r w:rsidR="009F09BC" w:rsidRPr="00A67033">
        <w:rPr>
          <w:rFonts w:ascii="Palatino Linotype" w:eastAsia="Times New Roman" w:hAnsi="Palatino Linotype" w:cs="Times New Roman"/>
          <w:b/>
        </w:rPr>
        <w:t xml:space="preserve">TO. </w:t>
      </w:r>
      <w:r w:rsidR="009F09BC" w:rsidRPr="00A67033">
        <w:rPr>
          <w:rFonts w:ascii="Palatino Linotype" w:eastAsia="Times New Roman" w:hAnsi="Palatino Linotype" w:cs="Times New Roman"/>
        </w:rPr>
        <w:t>Notifíquese</w:t>
      </w:r>
      <w:bookmarkEnd w:id="234"/>
      <w:bookmarkEnd w:id="235"/>
      <w:bookmarkEnd w:id="236"/>
      <w:bookmarkEnd w:id="237"/>
      <w:r w:rsidR="009F09BC" w:rsidRPr="00A67033">
        <w:rPr>
          <w:rFonts w:ascii="Palatino Linotype" w:eastAsia="Times New Roman" w:hAnsi="Palatino Linotype" w:cs="Times New Roman"/>
        </w:rPr>
        <w:t xml:space="preserve"> a </w:t>
      </w:r>
      <w:r w:rsidR="00AA0736" w:rsidRPr="00A67033">
        <w:rPr>
          <w:rFonts w:ascii="Palatino Linotype" w:eastAsia="Times New Roman" w:hAnsi="Palatino Linotype" w:cs="Times New Roman"/>
          <w:b/>
        </w:rPr>
        <w:t>EL RECURRENTE</w:t>
      </w:r>
      <w:r w:rsidR="009F09BC" w:rsidRPr="00A67033">
        <w:rPr>
          <w:rFonts w:ascii="Palatino Linotype" w:eastAsia="Times New Roman" w:hAnsi="Palatino Linotype" w:cs="Times New Roman"/>
        </w:rPr>
        <w:t xml:space="preserve"> la presente</w:t>
      </w:r>
      <w:r w:rsidR="009F09BC" w:rsidRPr="00A67033">
        <w:rPr>
          <w:rFonts w:ascii="Palatino Linotype" w:eastAsia="Times New Roman" w:hAnsi="Palatino Linotype" w:cs="Times New Roman"/>
          <w:lang w:val="es-ES" w:eastAsia="es-MX"/>
        </w:rPr>
        <w:t xml:space="preserve"> resolución</w:t>
      </w:r>
      <w:r w:rsidR="00CE7B83" w:rsidRPr="00A67033">
        <w:rPr>
          <w:rFonts w:ascii="Palatino Linotype" w:eastAsia="Times New Roman" w:hAnsi="Palatino Linotype" w:cs="Times New Roman"/>
          <w:lang w:val="es-ES" w:eastAsia="es-MX"/>
        </w:rPr>
        <w:t>, vía SAIMEX</w:t>
      </w:r>
      <w:r w:rsidR="006D15D0" w:rsidRPr="00A67033">
        <w:rPr>
          <w:rFonts w:ascii="Palatino Linotype" w:eastAsia="Times New Roman" w:hAnsi="Palatino Linotype" w:cs="Times New Roman"/>
          <w:lang w:val="es-ES" w:eastAsia="es-MX"/>
        </w:rPr>
        <w:t>.</w:t>
      </w:r>
    </w:p>
    <w:p w:rsidR="00301D4B" w:rsidRPr="00A67033" w:rsidRDefault="00301D4B" w:rsidP="00CE7B83">
      <w:pPr>
        <w:tabs>
          <w:tab w:val="left" w:pos="8080"/>
        </w:tabs>
        <w:spacing w:line="360" w:lineRule="auto"/>
        <w:ind w:right="49"/>
        <w:jc w:val="both"/>
        <w:rPr>
          <w:rFonts w:ascii="Palatino Linotype" w:eastAsia="Times New Roman" w:hAnsi="Palatino Linotype" w:cs="Times New Roman"/>
          <w:lang w:val="es-ES" w:eastAsia="es-MX"/>
        </w:rPr>
      </w:pPr>
    </w:p>
    <w:p w:rsidR="009F09BC" w:rsidRPr="00A67033"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A67033">
        <w:rPr>
          <w:rFonts w:ascii="Palatino Linotype" w:eastAsia="Calibri" w:hAnsi="Palatino Linotype" w:cs="Times New Roman"/>
          <w:b/>
          <w:lang w:val="es-MX" w:eastAsia="en-US"/>
        </w:rPr>
        <w:t>SEX</w:t>
      </w:r>
      <w:r w:rsidR="009F09BC" w:rsidRPr="00A67033">
        <w:rPr>
          <w:rFonts w:ascii="Palatino Linotype" w:eastAsia="Calibri" w:hAnsi="Palatino Linotype" w:cs="Times New Roman"/>
          <w:b/>
          <w:lang w:val="es-MX" w:eastAsia="en-US"/>
        </w:rPr>
        <w:t>TO.</w:t>
      </w:r>
      <w:r w:rsidR="009F09BC" w:rsidRPr="00A67033">
        <w:rPr>
          <w:rFonts w:ascii="Palatino Linotype" w:eastAsia="Calibri" w:hAnsi="Palatino Linotype" w:cs="Times New Roman"/>
          <w:lang w:val="es-MX" w:eastAsia="en-US"/>
        </w:rPr>
        <w:t xml:space="preserve"> </w:t>
      </w:r>
      <w:r w:rsidR="009F09BC" w:rsidRPr="00A67033">
        <w:rPr>
          <w:rFonts w:ascii="Palatino Linotype" w:eastAsia="Times New Roman" w:hAnsi="Palatino Linotype" w:cs="Times New Roman"/>
          <w:lang w:val="es-ES" w:eastAsia="es-MX"/>
        </w:rPr>
        <w:t xml:space="preserve">Se hace del conocimiento de </w:t>
      </w:r>
      <w:r w:rsidR="00AA0736" w:rsidRPr="00A67033">
        <w:rPr>
          <w:rFonts w:ascii="Palatino Linotype" w:eastAsia="Times New Roman" w:hAnsi="Palatino Linotype" w:cs="Times New Roman"/>
          <w:b/>
          <w:lang w:val="es-ES" w:eastAsia="es-MX"/>
        </w:rPr>
        <w:t>EL RECURRENTE</w:t>
      </w:r>
      <w:r w:rsidR="009F09BC" w:rsidRPr="00A67033">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A67033">
        <w:rPr>
          <w:rFonts w:ascii="Palatino Linotype" w:eastAsia="Times New Roman" w:hAnsi="Palatino Linotype" w:cs="Times New Roman"/>
          <w:bCs/>
          <w:lang w:val="es-ES" w:eastAsia="es-MX"/>
        </w:rPr>
        <w:t>vía juicio de amparo</w:t>
      </w:r>
      <w:r w:rsidR="009F09BC" w:rsidRPr="00A67033">
        <w:rPr>
          <w:rFonts w:ascii="Palatino Linotype" w:eastAsia="Times New Roman" w:hAnsi="Palatino Linotype" w:cs="Times New Roman"/>
          <w:lang w:val="es-ES" w:eastAsia="es-MX"/>
        </w:rPr>
        <w:t> en los términos de las leyes aplicables.</w:t>
      </w:r>
    </w:p>
    <w:p w:rsidR="00053FB7" w:rsidRPr="00A67033" w:rsidRDefault="00053FB7" w:rsidP="00CE7B83">
      <w:pPr>
        <w:shd w:val="clear" w:color="auto" w:fill="FFFFFF"/>
        <w:spacing w:line="360" w:lineRule="auto"/>
        <w:jc w:val="both"/>
        <w:rPr>
          <w:rFonts w:ascii="Palatino Linotype" w:eastAsia="Times New Roman" w:hAnsi="Palatino Linotype" w:cs="Times New Roman"/>
          <w:lang w:val="es-ES" w:eastAsia="es-MX"/>
        </w:rPr>
      </w:pPr>
    </w:p>
    <w:p w:rsidR="00434EA7" w:rsidRDefault="00434EA7" w:rsidP="00434EA7">
      <w:pPr>
        <w:spacing w:before="240" w:after="240" w:line="360" w:lineRule="auto"/>
        <w:ind w:firstLine="1"/>
        <w:jc w:val="both"/>
        <w:rPr>
          <w:rFonts w:ascii="Palatino Linotype" w:hAnsi="Palatino Linotype"/>
        </w:rPr>
      </w:pPr>
      <w:r w:rsidRPr="00A6703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(08) DE JUNIO DE DOS MIL VEINTIDÓS, ANTE EL SECRETARIO TÉCNICO DEL PLENO ALEXIS TAPIA RAMÍREZ.</w:t>
      </w:r>
      <w:r w:rsidRPr="00624AAD">
        <w:rPr>
          <w:rFonts w:ascii="Palatino Linotype" w:hAnsi="Palatino Linotype"/>
        </w:rPr>
        <w:t xml:space="preserve"> </w:t>
      </w: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tabs>
          <w:tab w:val="left" w:pos="3374"/>
        </w:tabs>
        <w:rPr>
          <w:rFonts w:ascii="Palatino Linotype" w:hAnsi="Palatino Linotype"/>
        </w:rPr>
      </w:pPr>
      <w:r w:rsidRPr="003529DE">
        <w:rPr>
          <w:rFonts w:ascii="Palatino Linotype" w:hAnsi="Palatino Linotype"/>
        </w:rPr>
        <w:tab/>
      </w: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sectPr w:rsidR="00053FB7" w:rsidRPr="003529DE" w:rsidSect="00E61C13">
      <w:headerReference w:type="even" r:id="rId11"/>
      <w:headerReference w:type="default" r:id="rId12"/>
      <w:footerReference w:type="default" r:id="rId13"/>
      <w:headerReference w:type="first" r:id="rId14"/>
      <w:footerReference w:type="first" r:id="rId15"/>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B6E" w:rsidRDefault="00EE1B6E" w:rsidP="003B7751">
      <w:r>
        <w:separator/>
      </w:r>
    </w:p>
  </w:endnote>
  <w:endnote w:type="continuationSeparator" w:id="0">
    <w:p w:rsidR="00EE1B6E" w:rsidRDefault="00EE1B6E"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Myriad Pro">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2207A3" w:rsidRPr="002D6DD8" w:rsidRDefault="002207A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340B">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6340B">
              <w:rPr>
                <w:rFonts w:ascii="Palatino Linotype" w:hAnsi="Palatino Linotype"/>
                <w:bCs/>
                <w:noProof/>
                <w:sz w:val="20"/>
              </w:rPr>
              <w:t>70</w:t>
            </w:r>
            <w:r>
              <w:rPr>
                <w:rFonts w:ascii="Palatino Linotype" w:hAnsi="Palatino Linotype"/>
                <w:bCs/>
                <w:noProof/>
                <w:sz w:val="20"/>
              </w:rPr>
              <w:fldChar w:fldCharType="end"/>
            </w:r>
          </w:p>
        </w:sdtContent>
      </w:sdt>
    </w:sdtContent>
  </w:sdt>
  <w:p w:rsidR="002207A3" w:rsidRDefault="002207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7A3" w:rsidRPr="000B69FA" w:rsidRDefault="002207A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340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6340B">
      <w:rPr>
        <w:rFonts w:ascii="Palatino Linotype" w:hAnsi="Palatino Linotype"/>
        <w:bCs/>
        <w:noProof/>
        <w:sz w:val="20"/>
      </w:rPr>
      <w:t>70</w:t>
    </w:r>
    <w:r>
      <w:rPr>
        <w:rFonts w:ascii="Palatino Linotype" w:hAnsi="Palatino Linotype"/>
        <w:bCs/>
        <w:noProof/>
        <w:sz w:val="20"/>
      </w:rPr>
      <w:fldChar w:fldCharType="end"/>
    </w:r>
  </w:p>
  <w:p w:rsidR="002207A3" w:rsidRDefault="002207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B6E" w:rsidRDefault="00EE1B6E" w:rsidP="003B7751">
      <w:r>
        <w:separator/>
      </w:r>
    </w:p>
  </w:footnote>
  <w:footnote w:type="continuationSeparator" w:id="0">
    <w:p w:rsidR="00EE1B6E" w:rsidRDefault="00EE1B6E" w:rsidP="003B7751">
      <w:r>
        <w:continuationSeparator/>
      </w:r>
    </w:p>
  </w:footnote>
  <w:footnote w:id="1">
    <w:p w:rsidR="002207A3" w:rsidRPr="009C43C2" w:rsidRDefault="002207A3"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2207A3" w:rsidRPr="009C43C2" w:rsidRDefault="002207A3"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2207A3" w:rsidRPr="009C43C2" w:rsidRDefault="002207A3"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2207A3" w:rsidRDefault="002207A3"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2207A3" w:rsidRDefault="002207A3"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w:t>
      </w:r>
      <w:proofErr w:type="gramStart"/>
      <w:r>
        <w:rPr>
          <w:rFonts w:ascii="Palatino Linotype" w:hAnsi="Palatino Linotype"/>
          <w:sz w:val="14"/>
        </w:rPr>
        <w:t>y</w:t>
      </w:r>
      <w:proofErr w:type="gramEnd"/>
      <w:r>
        <w:rPr>
          <w:rFonts w:ascii="Palatino Linotype" w:hAnsi="Palatino Linotype"/>
          <w:sz w:val="14"/>
        </w:rPr>
        <w:t xml:space="preserve">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2207A3" w:rsidRDefault="002207A3" w:rsidP="009F09BC">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w:t>
      </w:r>
      <w:proofErr w:type="gramStart"/>
      <w:r>
        <w:rPr>
          <w:rFonts w:ascii="Palatino Linotype" w:hAnsi="Palatino Linotype"/>
          <w:sz w:val="14"/>
        </w:rPr>
        <w:t>Febrero</w:t>
      </w:r>
      <w:proofErr w:type="gramEnd"/>
      <w:r>
        <w:rPr>
          <w:rFonts w:ascii="Palatino Linotype" w:hAnsi="Palatino Linotype"/>
          <w:sz w:val="14"/>
        </w:rPr>
        <w:t xml:space="preserve">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6">
    <w:p w:rsidR="002207A3" w:rsidRDefault="002207A3"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2207A3" w:rsidRDefault="002207A3"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rFonts w:ascii="Palatino Linotype" w:hAnsi="Palatino Linotype"/>
          <w:sz w:val="18"/>
          <w:lang w:val="es-ES"/>
        </w:rPr>
        <w:t>propiedades  a</w:t>
      </w:r>
      <w:proofErr w:type="gramEnd"/>
      <w:r>
        <w:rPr>
          <w:rFonts w:ascii="Palatino Linotype" w:hAnsi="Palatino Linotype"/>
          <w:sz w:val="18"/>
          <w:lang w:val="es-ES"/>
        </w:rPr>
        <w:t>, b, c y d diremos que no es un J. Todo esto, en verdad, son obviedades, casi perogrulladas, pero veremos que conviene aquí explicitarlas e ir paso a paso.</w:t>
      </w:r>
    </w:p>
    <w:p w:rsidR="002207A3" w:rsidRDefault="002207A3"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207A3" w:rsidRDefault="002207A3"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8">
    <w:p w:rsidR="002207A3" w:rsidRDefault="002207A3"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w:t>
      </w:r>
      <w:proofErr w:type="gramStart"/>
      <w:r>
        <w:rPr>
          <w:rFonts w:ascii="Palatino Linotype" w:hAnsi="Palatino Linotype"/>
          <w:sz w:val="18"/>
          <w:lang w:val="es-ES"/>
        </w:rPr>
        <w:t>http://sjf.scjn.gob.mx/sjfsist/Documentos/Tesis/203/203143.pdf  el</w:t>
      </w:r>
      <w:proofErr w:type="gramEnd"/>
      <w:r>
        <w:rPr>
          <w:rFonts w:ascii="Palatino Linotype" w:hAnsi="Palatino Linotype"/>
          <w:sz w:val="18"/>
          <w:lang w:val="es-ES"/>
        </w:rPr>
        <w:t xml:space="preserve"> viernes 16 de junio de 2017.</w:t>
      </w:r>
    </w:p>
  </w:footnote>
  <w:footnote w:id="9">
    <w:p w:rsidR="002207A3" w:rsidRDefault="002207A3"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2207A3" w:rsidRDefault="002207A3" w:rsidP="009F09BC">
      <w:pPr>
        <w:pStyle w:val="Textonotapie"/>
        <w:jc w:val="both"/>
        <w:rPr>
          <w:rFonts w:ascii="Palatino Linotype" w:hAnsi="Palatino Linotype"/>
          <w:sz w:val="18"/>
        </w:rPr>
      </w:pPr>
      <w:r>
        <w:rPr>
          <w:rFonts w:ascii="Palatino Linotype" w:hAnsi="Palatino Linotype"/>
          <w:sz w:val="18"/>
        </w:rPr>
        <w:t xml:space="preserve"> (…)</w:t>
      </w:r>
    </w:p>
    <w:p w:rsidR="002207A3" w:rsidRDefault="002207A3"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7A3" w:rsidRDefault="002207A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207A3" w:rsidTr="006A04B6">
      <w:trPr>
        <w:trHeight w:val="227"/>
      </w:trPr>
      <w:tc>
        <w:tcPr>
          <w:tcW w:w="2976" w:type="dxa"/>
          <w:vAlign w:val="center"/>
          <w:hideMark/>
        </w:tcPr>
        <w:p w:rsidR="002207A3" w:rsidRPr="00674A46" w:rsidRDefault="002207A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2207A3" w:rsidRPr="00485ED8" w:rsidRDefault="002207A3" w:rsidP="00D230AD">
          <w:pPr>
            <w:pStyle w:val="Encabezado"/>
            <w:rPr>
              <w:rFonts w:ascii="Palatino Linotype" w:hAnsi="Palatino Linotype"/>
              <w:b/>
              <w:sz w:val="22"/>
              <w:szCs w:val="22"/>
            </w:rPr>
          </w:pPr>
          <w:r>
            <w:rPr>
              <w:rFonts w:ascii="Palatino Linotype" w:hAnsi="Palatino Linotype" w:cs="Arial"/>
              <w:b/>
              <w:bCs/>
              <w:sz w:val="22"/>
              <w:szCs w:val="22"/>
              <w:lang w:eastAsia="es-MX"/>
            </w:rPr>
            <w:t>05243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2207A3" w:rsidTr="006A04B6">
      <w:trPr>
        <w:trHeight w:val="242"/>
      </w:trPr>
      <w:tc>
        <w:tcPr>
          <w:tcW w:w="2976" w:type="dxa"/>
          <w:vAlign w:val="center"/>
          <w:hideMark/>
        </w:tcPr>
        <w:p w:rsidR="002207A3" w:rsidRPr="00674A46" w:rsidRDefault="002207A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2207A3" w:rsidRPr="00485ED8" w:rsidRDefault="002207A3" w:rsidP="009F09BC">
          <w:pPr>
            <w:pStyle w:val="Encabezado"/>
            <w:jc w:val="both"/>
            <w:rPr>
              <w:rFonts w:ascii="Palatino Linotype" w:hAnsi="Palatino Linotype"/>
              <w:b/>
              <w:sz w:val="22"/>
              <w:szCs w:val="22"/>
            </w:rPr>
          </w:pPr>
          <w:r w:rsidRPr="00AE2D73">
            <w:rPr>
              <w:rFonts w:ascii="Palatino Linotype" w:hAnsi="Palatino Linotype"/>
              <w:b/>
              <w:bCs/>
              <w:color w:val="000000"/>
              <w:sz w:val="22"/>
              <w:szCs w:val="22"/>
            </w:rPr>
            <w:t xml:space="preserve">Ayuntamiento de </w:t>
          </w:r>
          <w:proofErr w:type="spellStart"/>
          <w:r w:rsidRPr="00AE2D73">
            <w:rPr>
              <w:rFonts w:ascii="Palatino Linotype" w:hAnsi="Palatino Linotype"/>
              <w:b/>
              <w:bCs/>
              <w:color w:val="000000"/>
              <w:sz w:val="22"/>
              <w:szCs w:val="22"/>
            </w:rPr>
            <w:t>Xalatlaco</w:t>
          </w:r>
          <w:proofErr w:type="spellEnd"/>
        </w:p>
      </w:tc>
    </w:tr>
    <w:tr w:rsidR="002207A3" w:rsidTr="006A04B6">
      <w:trPr>
        <w:trHeight w:val="342"/>
      </w:trPr>
      <w:tc>
        <w:tcPr>
          <w:tcW w:w="2976" w:type="dxa"/>
          <w:vAlign w:val="center"/>
          <w:hideMark/>
        </w:tcPr>
        <w:p w:rsidR="002207A3" w:rsidRPr="00674A46" w:rsidRDefault="002207A3"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2207A3" w:rsidRPr="00485ED8" w:rsidRDefault="002207A3"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2207A3" w:rsidRPr="00AE046A" w:rsidRDefault="002207A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2207A3" w:rsidTr="006A04B6">
      <w:trPr>
        <w:trHeight w:val="227"/>
      </w:trPr>
      <w:tc>
        <w:tcPr>
          <w:tcW w:w="2977" w:type="dxa"/>
          <w:vAlign w:val="center"/>
          <w:hideMark/>
        </w:tcPr>
        <w:p w:rsidR="002207A3" w:rsidRPr="00674A46" w:rsidRDefault="002207A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2207A3" w:rsidRPr="00485ED8" w:rsidRDefault="002207A3" w:rsidP="008A699B">
          <w:pPr>
            <w:pStyle w:val="Encabezado"/>
            <w:rPr>
              <w:rFonts w:ascii="Palatino Linotype" w:hAnsi="Palatino Linotype"/>
              <w:b/>
              <w:sz w:val="22"/>
              <w:szCs w:val="22"/>
            </w:rPr>
          </w:pPr>
          <w:r>
            <w:rPr>
              <w:rFonts w:ascii="Palatino Linotype" w:hAnsi="Palatino Linotype" w:cs="Arial"/>
              <w:b/>
              <w:bCs/>
              <w:sz w:val="22"/>
              <w:szCs w:val="22"/>
              <w:lang w:eastAsia="es-MX"/>
            </w:rPr>
            <w:t>05243</w:t>
          </w:r>
          <w:r w:rsidRPr="00DE2F5A">
            <w:rPr>
              <w:rFonts w:ascii="Palatino Linotype" w:hAnsi="Palatino Linotype" w:cs="Arial"/>
              <w:b/>
              <w:bCs/>
              <w:sz w:val="22"/>
              <w:szCs w:val="22"/>
              <w:lang w:eastAsia="es-MX"/>
            </w:rPr>
            <w:t>/INFOEM/IP/RR/2022</w:t>
          </w:r>
        </w:p>
      </w:tc>
    </w:tr>
    <w:tr w:rsidR="002207A3" w:rsidTr="00652937">
      <w:trPr>
        <w:trHeight w:val="242"/>
      </w:trPr>
      <w:tc>
        <w:tcPr>
          <w:tcW w:w="2977" w:type="dxa"/>
          <w:vAlign w:val="center"/>
          <w:hideMark/>
        </w:tcPr>
        <w:p w:rsidR="002207A3" w:rsidRPr="00674A46" w:rsidRDefault="002207A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2207A3" w:rsidRPr="00B75F20" w:rsidRDefault="002207A3" w:rsidP="009F09BC">
          <w:pPr>
            <w:pStyle w:val="Encabezado"/>
            <w:tabs>
              <w:tab w:val="left" w:pos="521"/>
            </w:tabs>
            <w:rPr>
              <w:rFonts w:ascii="Palatino Linotype" w:hAnsi="Palatino Linotype"/>
              <w:b/>
              <w:sz w:val="22"/>
              <w:szCs w:val="22"/>
            </w:rPr>
          </w:pPr>
          <w:r>
            <w:rPr>
              <w:rFonts w:ascii="Palatino Linotype" w:hAnsi="Palatino Linotype"/>
              <w:b/>
              <w:sz w:val="22"/>
              <w:szCs w:val="22"/>
            </w:rPr>
            <w:t xml:space="preserve">XXXXX </w:t>
          </w:r>
          <w:proofErr w:type="spellStart"/>
          <w:r>
            <w:rPr>
              <w:rFonts w:ascii="Palatino Linotype" w:hAnsi="Palatino Linotype"/>
              <w:b/>
              <w:sz w:val="22"/>
              <w:szCs w:val="22"/>
            </w:rPr>
            <w:t>XXXXX</w:t>
          </w:r>
          <w:proofErr w:type="spellEnd"/>
          <w:r>
            <w:rPr>
              <w:rFonts w:ascii="Palatino Linotype" w:hAnsi="Palatino Linotype"/>
              <w:b/>
              <w:sz w:val="22"/>
              <w:szCs w:val="22"/>
            </w:rPr>
            <w:t xml:space="preserve"> XXXXXX</w:t>
          </w:r>
        </w:p>
      </w:tc>
    </w:tr>
    <w:tr w:rsidR="002207A3" w:rsidTr="006A04B6">
      <w:trPr>
        <w:trHeight w:val="342"/>
      </w:trPr>
      <w:tc>
        <w:tcPr>
          <w:tcW w:w="2977" w:type="dxa"/>
          <w:vAlign w:val="center"/>
        </w:tcPr>
        <w:p w:rsidR="002207A3" w:rsidRPr="00674A46" w:rsidRDefault="002207A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2207A3" w:rsidRPr="00674A46" w:rsidRDefault="002207A3" w:rsidP="009F09BC">
          <w:pPr>
            <w:pStyle w:val="Encabezado"/>
            <w:jc w:val="both"/>
            <w:rPr>
              <w:rFonts w:ascii="Palatino Linotype" w:hAnsi="Palatino Linotype"/>
              <w:b/>
              <w:sz w:val="22"/>
              <w:szCs w:val="22"/>
            </w:rPr>
          </w:pPr>
          <w:r w:rsidRPr="00AE2D73">
            <w:rPr>
              <w:rFonts w:ascii="Palatino Linotype" w:hAnsi="Palatino Linotype"/>
              <w:b/>
              <w:bCs/>
              <w:color w:val="000000"/>
              <w:sz w:val="22"/>
              <w:szCs w:val="22"/>
            </w:rPr>
            <w:t xml:space="preserve">Ayuntamiento de </w:t>
          </w:r>
          <w:proofErr w:type="spellStart"/>
          <w:r w:rsidRPr="00AE2D73">
            <w:rPr>
              <w:rFonts w:ascii="Palatino Linotype" w:hAnsi="Palatino Linotype"/>
              <w:b/>
              <w:bCs/>
              <w:color w:val="000000"/>
              <w:sz w:val="22"/>
              <w:szCs w:val="22"/>
            </w:rPr>
            <w:t>Xalatlaco</w:t>
          </w:r>
          <w:proofErr w:type="spellEnd"/>
        </w:p>
      </w:tc>
    </w:tr>
    <w:tr w:rsidR="002207A3" w:rsidTr="006A04B6">
      <w:trPr>
        <w:trHeight w:val="342"/>
      </w:trPr>
      <w:tc>
        <w:tcPr>
          <w:tcW w:w="2977" w:type="dxa"/>
          <w:vAlign w:val="center"/>
        </w:tcPr>
        <w:p w:rsidR="002207A3" w:rsidRPr="00674A46" w:rsidRDefault="002207A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2207A3" w:rsidRPr="00674A46" w:rsidRDefault="002207A3"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2207A3" w:rsidRPr="00C222C0" w:rsidRDefault="002207A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495"/>
    <w:multiLevelType w:val="hybridMultilevel"/>
    <w:tmpl w:val="E49A8700"/>
    <w:lvl w:ilvl="0" w:tplc="721CF90A">
      <w:start w:val="1"/>
      <w:numFmt w:val="upperRoman"/>
      <w:lvlText w:val="%1."/>
      <w:lvlJc w:val="left"/>
      <w:pPr>
        <w:ind w:left="561"/>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1" w:tplc="9028E9B4">
      <w:start w:val="1"/>
      <w:numFmt w:val="lowerLetter"/>
      <w:lvlText w:val="%2"/>
      <w:lvlJc w:val="left"/>
      <w:pPr>
        <w:ind w:left="164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2" w:tplc="1EC600D6">
      <w:start w:val="1"/>
      <w:numFmt w:val="lowerRoman"/>
      <w:lvlText w:val="%3"/>
      <w:lvlJc w:val="left"/>
      <w:pPr>
        <w:ind w:left="236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3" w:tplc="56F6A2D8">
      <w:start w:val="1"/>
      <w:numFmt w:val="decimal"/>
      <w:lvlText w:val="%4"/>
      <w:lvlJc w:val="left"/>
      <w:pPr>
        <w:ind w:left="308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4" w:tplc="C37024EA">
      <w:start w:val="1"/>
      <w:numFmt w:val="lowerLetter"/>
      <w:lvlText w:val="%5"/>
      <w:lvlJc w:val="left"/>
      <w:pPr>
        <w:ind w:left="380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5" w:tplc="8400985E">
      <w:start w:val="1"/>
      <w:numFmt w:val="lowerRoman"/>
      <w:lvlText w:val="%6"/>
      <w:lvlJc w:val="left"/>
      <w:pPr>
        <w:ind w:left="452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6" w:tplc="D2B63B34">
      <w:start w:val="1"/>
      <w:numFmt w:val="decimal"/>
      <w:lvlText w:val="%7"/>
      <w:lvlJc w:val="left"/>
      <w:pPr>
        <w:ind w:left="524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7" w:tplc="87CADE98">
      <w:start w:val="1"/>
      <w:numFmt w:val="lowerLetter"/>
      <w:lvlText w:val="%8"/>
      <w:lvlJc w:val="left"/>
      <w:pPr>
        <w:ind w:left="596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8" w:tplc="16528788">
      <w:start w:val="1"/>
      <w:numFmt w:val="lowerRoman"/>
      <w:lvlText w:val="%9"/>
      <w:lvlJc w:val="left"/>
      <w:pPr>
        <w:ind w:left="668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6D7267"/>
    <w:multiLevelType w:val="hybridMultilevel"/>
    <w:tmpl w:val="1FDEF9F4"/>
    <w:lvl w:ilvl="0" w:tplc="2DEE535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DD66A2E"/>
    <w:multiLevelType w:val="hybridMultilevel"/>
    <w:tmpl w:val="4FB40916"/>
    <w:lvl w:ilvl="0" w:tplc="DF3452E6">
      <w:start w:val="5"/>
      <w:numFmt w:val="upperRoman"/>
      <w:lvlText w:val="%1."/>
      <w:lvlJc w:val="left"/>
      <w:pPr>
        <w:ind w:left="561"/>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1" w:tplc="BDF05164">
      <w:start w:val="1"/>
      <w:numFmt w:val="lowerLetter"/>
      <w:lvlText w:val="%2"/>
      <w:lvlJc w:val="left"/>
      <w:pPr>
        <w:ind w:left="164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2" w:tplc="DC02D7AE">
      <w:start w:val="1"/>
      <w:numFmt w:val="lowerRoman"/>
      <w:lvlText w:val="%3"/>
      <w:lvlJc w:val="left"/>
      <w:pPr>
        <w:ind w:left="236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3" w:tplc="E1D8CAD6">
      <w:start w:val="1"/>
      <w:numFmt w:val="decimal"/>
      <w:lvlText w:val="%4"/>
      <w:lvlJc w:val="left"/>
      <w:pPr>
        <w:ind w:left="308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4" w:tplc="FDA43EF8">
      <w:start w:val="1"/>
      <w:numFmt w:val="lowerLetter"/>
      <w:lvlText w:val="%5"/>
      <w:lvlJc w:val="left"/>
      <w:pPr>
        <w:ind w:left="380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5" w:tplc="2DA2F734">
      <w:start w:val="1"/>
      <w:numFmt w:val="lowerRoman"/>
      <w:lvlText w:val="%6"/>
      <w:lvlJc w:val="left"/>
      <w:pPr>
        <w:ind w:left="452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6" w:tplc="249AAE7A">
      <w:start w:val="1"/>
      <w:numFmt w:val="decimal"/>
      <w:lvlText w:val="%7"/>
      <w:lvlJc w:val="left"/>
      <w:pPr>
        <w:ind w:left="524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7" w:tplc="25B26290">
      <w:start w:val="1"/>
      <w:numFmt w:val="lowerLetter"/>
      <w:lvlText w:val="%8"/>
      <w:lvlJc w:val="left"/>
      <w:pPr>
        <w:ind w:left="596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lvl w:ilvl="8" w:tplc="AD342220">
      <w:start w:val="1"/>
      <w:numFmt w:val="lowerRoman"/>
      <w:lvlText w:val="%9"/>
      <w:lvlJc w:val="left"/>
      <w:pPr>
        <w:ind w:left="6686"/>
      </w:pPr>
      <w:rPr>
        <w:rFonts w:ascii="Palatino Linotype" w:eastAsia="Palatino Linotype" w:hAnsi="Palatino Linotype" w:cs="Palatino Linotype"/>
        <w:b w:val="0"/>
        <w:i/>
        <w:iCs/>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7DB146D0"/>
    <w:multiLevelType w:val="hybridMultilevel"/>
    <w:tmpl w:val="9A088F8E"/>
    <w:lvl w:ilvl="0" w:tplc="C7FCA2F8">
      <w:start w:val="1"/>
      <w:numFmt w:val="bullet"/>
      <w:lvlText w:val="•"/>
      <w:lvlJc w:val="left"/>
      <w:pPr>
        <w:ind w:left="5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48EDB0E">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62109786">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83EAAFE">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0987DD8">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C20F222">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B565638">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C7E85E8">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B4C7D6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num w:numId="1">
    <w:abstractNumId w:val="7"/>
  </w:num>
  <w:num w:numId="2">
    <w:abstractNumId w:val="14"/>
  </w:num>
  <w:num w:numId="3">
    <w:abstractNumId w:val="4"/>
  </w:num>
  <w:num w:numId="4">
    <w:abstractNumId w:val="11"/>
  </w:num>
  <w:num w:numId="5">
    <w:abstractNumId w:val="3"/>
  </w:num>
  <w:num w:numId="6">
    <w:abstractNumId w:val="10"/>
  </w:num>
  <w:num w:numId="7">
    <w:abstractNumId w:val="13"/>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num>
  <w:num w:numId="12">
    <w:abstractNumId w:val="5"/>
  </w:num>
  <w:num w:numId="13">
    <w:abstractNumId w:val="1"/>
  </w:num>
  <w:num w:numId="14">
    <w:abstractNumId w:val="0"/>
  </w:num>
  <w:num w:numId="15">
    <w:abstractNumId w:val="12"/>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C53"/>
    <w:rsid w:val="00030FBC"/>
    <w:rsid w:val="00036137"/>
    <w:rsid w:val="000373F6"/>
    <w:rsid w:val="00051287"/>
    <w:rsid w:val="00053FB7"/>
    <w:rsid w:val="000803F7"/>
    <w:rsid w:val="0008243D"/>
    <w:rsid w:val="000E1A02"/>
    <w:rsid w:val="000E4891"/>
    <w:rsid w:val="000F1081"/>
    <w:rsid w:val="000F2C90"/>
    <w:rsid w:val="00114502"/>
    <w:rsid w:val="00124FD1"/>
    <w:rsid w:val="00127869"/>
    <w:rsid w:val="001352F5"/>
    <w:rsid w:val="00140C4A"/>
    <w:rsid w:val="001448BA"/>
    <w:rsid w:val="00170D82"/>
    <w:rsid w:val="00173F2B"/>
    <w:rsid w:val="001A18E7"/>
    <w:rsid w:val="001C4290"/>
    <w:rsid w:val="001D23C1"/>
    <w:rsid w:val="001D373F"/>
    <w:rsid w:val="001D5404"/>
    <w:rsid w:val="001D630C"/>
    <w:rsid w:val="001E755B"/>
    <w:rsid w:val="002207A3"/>
    <w:rsid w:val="00220982"/>
    <w:rsid w:val="00223C06"/>
    <w:rsid w:val="00237FA4"/>
    <w:rsid w:val="002453DA"/>
    <w:rsid w:val="00264C9A"/>
    <w:rsid w:val="002650A0"/>
    <w:rsid w:val="00272CA2"/>
    <w:rsid w:val="00277FAC"/>
    <w:rsid w:val="002901F4"/>
    <w:rsid w:val="00291500"/>
    <w:rsid w:val="002A3B71"/>
    <w:rsid w:val="002C0D3C"/>
    <w:rsid w:val="002C3821"/>
    <w:rsid w:val="002C3FE3"/>
    <w:rsid w:val="002C4997"/>
    <w:rsid w:val="002D294C"/>
    <w:rsid w:val="0030094A"/>
    <w:rsid w:val="00301D4B"/>
    <w:rsid w:val="00312281"/>
    <w:rsid w:val="00323FFD"/>
    <w:rsid w:val="003437D9"/>
    <w:rsid w:val="003529DE"/>
    <w:rsid w:val="00353F1D"/>
    <w:rsid w:val="0037157C"/>
    <w:rsid w:val="00373465"/>
    <w:rsid w:val="003758FB"/>
    <w:rsid w:val="003833B3"/>
    <w:rsid w:val="00386912"/>
    <w:rsid w:val="003933C4"/>
    <w:rsid w:val="003A15C8"/>
    <w:rsid w:val="003B505A"/>
    <w:rsid w:val="003B7751"/>
    <w:rsid w:val="003C13F1"/>
    <w:rsid w:val="003C40DB"/>
    <w:rsid w:val="003D688A"/>
    <w:rsid w:val="003E2861"/>
    <w:rsid w:val="003E66D2"/>
    <w:rsid w:val="0040132E"/>
    <w:rsid w:val="00403D64"/>
    <w:rsid w:val="00407FDA"/>
    <w:rsid w:val="004118FA"/>
    <w:rsid w:val="00425842"/>
    <w:rsid w:val="00434EA7"/>
    <w:rsid w:val="00437672"/>
    <w:rsid w:val="004433FA"/>
    <w:rsid w:val="00456CFF"/>
    <w:rsid w:val="00457062"/>
    <w:rsid w:val="004B48BA"/>
    <w:rsid w:val="004E4EE6"/>
    <w:rsid w:val="004E6CE4"/>
    <w:rsid w:val="004F34D1"/>
    <w:rsid w:val="0050702D"/>
    <w:rsid w:val="0051715A"/>
    <w:rsid w:val="005331D8"/>
    <w:rsid w:val="00541549"/>
    <w:rsid w:val="005432D0"/>
    <w:rsid w:val="00546076"/>
    <w:rsid w:val="00547ACE"/>
    <w:rsid w:val="005507B0"/>
    <w:rsid w:val="00554A21"/>
    <w:rsid w:val="00555D81"/>
    <w:rsid w:val="00556E0A"/>
    <w:rsid w:val="00563F2E"/>
    <w:rsid w:val="0057514F"/>
    <w:rsid w:val="00575E75"/>
    <w:rsid w:val="00583A39"/>
    <w:rsid w:val="005B076D"/>
    <w:rsid w:val="005B6702"/>
    <w:rsid w:val="005C5021"/>
    <w:rsid w:val="005D1419"/>
    <w:rsid w:val="005D2F1C"/>
    <w:rsid w:val="005D4C57"/>
    <w:rsid w:val="0062406B"/>
    <w:rsid w:val="00647F7C"/>
    <w:rsid w:val="00652937"/>
    <w:rsid w:val="00657639"/>
    <w:rsid w:val="006672E1"/>
    <w:rsid w:val="00680C93"/>
    <w:rsid w:val="006A04B6"/>
    <w:rsid w:val="006A6390"/>
    <w:rsid w:val="006B3ED3"/>
    <w:rsid w:val="006B5C73"/>
    <w:rsid w:val="006D15D0"/>
    <w:rsid w:val="006D6CC1"/>
    <w:rsid w:val="006E7397"/>
    <w:rsid w:val="006E7C94"/>
    <w:rsid w:val="00701BF5"/>
    <w:rsid w:val="00711062"/>
    <w:rsid w:val="007142AB"/>
    <w:rsid w:val="007142D6"/>
    <w:rsid w:val="00716BCA"/>
    <w:rsid w:val="00720371"/>
    <w:rsid w:val="0074110E"/>
    <w:rsid w:val="00742823"/>
    <w:rsid w:val="00775EB2"/>
    <w:rsid w:val="00782A12"/>
    <w:rsid w:val="007851DB"/>
    <w:rsid w:val="007A33A8"/>
    <w:rsid w:val="007A460E"/>
    <w:rsid w:val="007A6A1A"/>
    <w:rsid w:val="007B5042"/>
    <w:rsid w:val="007C5090"/>
    <w:rsid w:val="00804DAA"/>
    <w:rsid w:val="00805D0F"/>
    <w:rsid w:val="0082142B"/>
    <w:rsid w:val="008227A9"/>
    <w:rsid w:val="008341FB"/>
    <w:rsid w:val="008468BF"/>
    <w:rsid w:val="008526F4"/>
    <w:rsid w:val="008563C8"/>
    <w:rsid w:val="008573BF"/>
    <w:rsid w:val="0086792A"/>
    <w:rsid w:val="00873EB6"/>
    <w:rsid w:val="008A699B"/>
    <w:rsid w:val="008B0637"/>
    <w:rsid w:val="008B5E75"/>
    <w:rsid w:val="008C1ED7"/>
    <w:rsid w:val="008D4D83"/>
    <w:rsid w:val="008E330F"/>
    <w:rsid w:val="008E6574"/>
    <w:rsid w:val="008F1F1A"/>
    <w:rsid w:val="008F6998"/>
    <w:rsid w:val="008F6D18"/>
    <w:rsid w:val="00911A75"/>
    <w:rsid w:val="009126F1"/>
    <w:rsid w:val="009335F9"/>
    <w:rsid w:val="00945135"/>
    <w:rsid w:val="00957311"/>
    <w:rsid w:val="009845EF"/>
    <w:rsid w:val="009972BB"/>
    <w:rsid w:val="009A2251"/>
    <w:rsid w:val="009B4602"/>
    <w:rsid w:val="009C39C8"/>
    <w:rsid w:val="009D5A32"/>
    <w:rsid w:val="009E68D3"/>
    <w:rsid w:val="009F09BC"/>
    <w:rsid w:val="009F5917"/>
    <w:rsid w:val="00A14813"/>
    <w:rsid w:val="00A17DDD"/>
    <w:rsid w:val="00A23E82"/>
    <w:rsid w:val="00A305ED"/>
    <w:rsid w:val="00A31268"/>
    <w:rsid w:val="00A626EB"/>
    <w:rsid w:val="00A67033"/>
    <w:rsid w:val="00AA0736"/>
    <w:rsid w:val="00AA657D"/>
    <w:rsid w:val="00AB75C6"/>
    <w:rsid w:val="00AD316E"/>
    <w:rsid w:val="00AD63B4"/>
    <w:rsid w:val="00AE2D73"/>
    <w:rsid w:val="00AE71C7"/>
    <w:rsid w:val="00AF4BBC"/>
    <w:rsid w:val="00B07BF8"/>
    <w:rsid w:val="00B11CDD"/>
    <w:rsid w:val="00B530E8"/>
    <w:rsid w:val="00B86242"/>
    <w:rsid w:val="00BA4537"/>
    <w:rsid w:val="00BF3FB5"/>
    <w:rsid w:val="00C03BA3"/>
    <w:rsid w:val="00C0715F"/>
    <w:rsid w:val="00C105CC"/>
    <w:rsid w:val="00C14F2A"/>
    <w:rsid w:val="00C21FAE"/>
    <w:rsid w:val="00C242A7"/>
    <w:rsid w:val="00C31129"/>
    <w:rsid w:val="00C41B2B"/>
    <w:rsid w:val="00C41E57"/>
    <w:rsid w:val="00C46D6A"/>
    <w:rsid w:val="00C47C3D"/>
    <w:rsid w:val="00C54D99"/>
    <w:rsid w:val="00C85E64"/>
    <w:rsid w:val="00C87396"/>
    <w:rsid w:val="00C90814"/>
    <w:rsid w:val="00C91F0F"/>
    <w:rsid w:val="00CA1063"/>
    <w:rsid w:val="00CB757D"/>
    <w:rsid w:val="00CC5B2F"/>
    <w:rsid w:val="00CE7B83"/>
    <w:rsid w:val="00CF0D2B"/>
    <w:rsid w:val="00D0058C"/>
    <w:rsid w:val="00D021A5"/>
    <w:rsid w:val="00D16FC7"/>
    <w:rsid w:val="00D230AD"/>
    <w:rsid w:val="00D31FC8"/>
    <w:rsid w:val="00D47231"/>
    <w:rsid w:val="00D56143"/>
    <w:rsid w:val="00D6224B"/>
    <w:rsid w:val="00D81329"/>
    <w:rsid w:val="00D84DEA"/>
    <w:rsid w:val="00D96104"/>
    <w:rsid w:val="00DA6D37"/>
    <w:rsid w:val="00DB753F"/>
    <w:rsid w:val="00DD0347"/>
    <w:rsid w:val="00DE2F5A"/>
    <w:rsid w:val="00DF03A5"/>
    <w:rsid w:val="00DF3E8F"/>
    <w:rsid w:val="00E118BA"/>
    <w:rsid w:val="00E11F1E"/>
    <w:rsid w:val="00E125C7"/>
    <w:rsid w:val="00E17429"/>
    <w:rsid w:val="00E56172"/>
    <w:rsid w:val="00E5636B"/>
    <w:rsid w:val="00E566C9"/>
    <w:rsid w:val="00E61C13"/>
    <w:rsid w:val="00E61DA9"/>
    <w:rsid w:val="00E6340B"/>
    <w:rsid w:val="00E7460A"/>
    <w:rsid w:val="00E92E04"/>
    <w:rsid w:val="00EB21AE"/>
    <w:rsid w:val="00EB4127"/>
    <w:rsid w:val="00EC7947"/>
    <w:rsid w:val="00ED1D6B"/>
    <w:rsid w:val="00ED3A35"/>
    <w:rsid w:val="00ED5A7A"/>
    <w:rsid w:val="00ED6E75"/>
    <w:rsid w:val="00EE1B6E"/>
    <w:rsid w:val="00F16087"/>
    <w:rsid w:val="00F24A04"/>
    <w:rsid w:val="00F35B0C"/>
    <w:rsid w:val="00F42ADB"/>
    <w:rsid w:val="00F50F06"/>
    <w:rsid w:val="00F52E40"/>
    <w:rsid w:val="00F648E1"/>
    <w:rsid w:val="00F6651C"/>
    <w:rsid w:val="00F72588"/>
    <w:rsid w:val="00F7371C"/>
    <w:rsid w:val="00F946B5"/>
    <w:rsid w:val="00FA0D18"/>
    <w:rsid w:val="00FA6B92"/>
    <w:rsid w:val="00FB6D42"/>
    <w:rsid w:val="00FD2FA4"/>
    <w:rsid w:val="00FE10CD"/>
    <w:rsid w:val="00FE3FBE"/>
    <w:rsid w:val="00FE6761"/>
    <w:rsid w:val="00FF0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45C724"/>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FA0D18"/>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nhideWhenUsed/>
    <w:qFormat/>
    <w:rsid w:val="00FA0D18"/>
    <w:pPr>
      <w:keepNext/>
      <w:keepLines/>
      <w:spacing w:before="40"/>
      <w:outlineLvl w:val="5"/>
    </w:pPr>
    <w:rPr>
      <w:rFonts w:asciiTheme="majorHAnsi" w:eastAsiaTheme="majorEastAsia" w:hAnsiTheme="majorHAnsi" w:cstheme="majorBidi"/>
      <w:color w:val="1F4D78" w:themeColor="accent1" w:themeShade="7F"/>
      <w:lang w:val="es-ES"/>
    </w:rPr>
  </w:style>
  <w:style w:type="paragraph" w:styleId="Ttulo7">
    <w:name w:val="heading 7"/>
    <w:basedOn w:val="Normal"/>
    <w:next w:val="Normal"/>
    <w:link w:val="Ttulo7Car"/>
    <w:uiPriority w:val="9"/>
    <w:semiHidden/>
    <w:unhideWhenUsed/>
    <w:qFormat/>
    <w:rsid w:val="00FA0D18"/>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FA0D18"/>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FA0D18"/>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12281"/>
  </w:style>
  <w:style w:type="character" w:customStyle="1" w:styleId="Ttulo3Car">
    <w:name w:val="Título 3 Car"/>
    <w:basedOn w:val="Fuentedeprrafopredeter"/>
    <w:link w:val="Ttulo3"/>
    <w:uiPriority w:val="9"/>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uiPriority w:val="99"/>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uiPriority w:val="99"/>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uiPriority w:val="99"/>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rsid w:val="00FA0D18"/>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FA0D18"/>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uiPriority w:val="9"/>
    <w:semiHidden/>
    <w:rsid w:val="00FA0D18"/>
    <w:rPr>
      <w:rFonts w:eastAsiaTheme="minorEastAsia"/>
      <w:sz w:val="24"/>
      <w:szCs w:val="24"/>
      <w:lang w:val="en-US"/>
    </w:rPr>
  </w:style>
  <w:style w:type="character" w:customStyle="1" w:styleId="Ttulo8Car">
    <w:name w:val="Título 8 Car"/>
    <w:basedOn w:val="Fuentedeprrafopredeter"/>
    <w:link w:val="Ttulo8"/>
    <w:uiPriority w:val="9"/>
    <w:semiHidden/>
    <w:rsid w:val="00FA0D18"/>
    <w:rPr>
      <w:rFonts w:eastAsiaTheme="minorEastAsia"/>
      <w:i/>
      <w:iCs/>
      <w:sz w:val="24"/>
      <w:szCs w:val="24"/>
      <w:lang w:val="en-US"/>
    </w:rPr>
  </w:style>
  <w:style w:type="character" w:customStyle="1" w:styleId="Ttulo9Car">
    <w:name w:val="Título 9 Car"/>
    <w:basedOn w:val="Fuentedeprrafopredeter"/>
    <w:link w:val="Ttulo9"/>
    <w:uiPriority w:val="9"/>
    <w:semiHidden/>
    <w:rsid w:val="00FA0D18"/>
    <w:rPr>
      <w:rFonts w:asciiTheme="majorHAnsi" w:eastAsiaTheme="majorEastAsia" w:hAnsiTheme="majorHAnsi" w:cstheme="majorBidi"/>
      <w:lang w:val="en-US"/>
    </w:rPr>
  </w:style>
  <w:style w:type="paragraph" w:customStyle="1" w:styleId="Listavistosa-nfasis11">
    <w:name w:val="Lista vistosa - Énfasis 11"/>
    <w:basedOn w:val="Normal"/>
    <w:link w:val="Listavistosa-nfasis1Car"/>
    <w:uiPriority w:val="34"/>
    <w:qFormat/>
    <w:rsid w:val="00FA0D18"/>
    <w:pPr>
      <w:ind w:left="708"/>
    </w:pPr>
    <w:rPr>
      <w:rFonts w:ascii="Times New Roman" w:eastAsia="Times New Roman" w:hAnsi="Times New Roman" w:cs="Times New Roman"/>
      <w:lang w:val="es-MX"/>
    </w:rPr>
  </w:style>
  <w:style w:type="character" w:customStyle="1" w:styleId="Listavistosa-nfasis1Car">
    <w:name w:val="Lista vistosa - Énfasis 1 Car"/>
    <w:link w:val="Listavistosa-nfasis11"/>
    <w:uiPriority w:val="34"/>
    <w:locked/>
    <w:rsid w:val="00FA0D18"/>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FA0D18"/>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uiPriority w:val="99"/>
    <w:rsid w:val="00FA0D18"/>
    <w:rPr>
      <w:rFonts w:ascii="Courier New" w:eastAsia="Times New Roman" w:hAnsi="Courier New" w:cs="Times New Roman"/>
      <w:sz w:val="20"/>
      <w:szCs w:val="20"/>
      <w:lang w:val="es-MX"/>
    </w:rPr>
  </w:style>
  <w:style w:type="character" w:customStyle="1" w:styleId="TextosinformatoCar">
    <w:name w:val="Texto sin formato Car"/>
    <w:basedOn w:val="Fuentedeprrafopredeter"/>
    <w:link w:val="Textosinformato"/>
    <w:uiPriority w:val="99"/>
    <w:rsid w:val="00FA0D18"/>
    <w:rPr>
      <w:rFonts w:ascii="Courier New" w:eastAsia="Times New Roman" w:hAnsi="Courier New" w:cs="Times New Roman"/>
      <w:sz w:val="20"/>
      <w:szCs w:val="20"/>
      <w:lang w:eastAsia="es-ES"/>
    </w:rPr>
  </w:style>
  <w:style w:type="paragraph" w:customStyle="1" w:styleId="Standard">
    <w:name w:val="Standard"/>
    <w:uiPriority w:val="99"/>
    <w:rsid w:val="00FA0D1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A0D18"/>
    <w:rPr>
      <w:rFonts w:ascii="Arial" w:hAnsi="Arial" w:cs="Arial" w:hint="default"/>
      <w:b/>
      <w:bCs/>
      <w:sz w:val="18"/>
      <w:szCs w:val="18"/>
    </w:rPr>
  </w:style>
  <w:style w:type="paragraph" w:customStyle="1" w:styleId="Pa2">
    <w:name w:val="Pa2"/>
    <w:basedOn w:val="Normal"/>
    <w:next w:val="Normal"/>
    <w:uiPriority w:val="99"/>
    <w:rsid w:val="00FA0D18"/>
    <w:pPr>
      <w:autoSpaceDE w:val="0"/>
      <w:autoSpaceDN w:val="0"/>
      <w:adjustRightInd w:val="0"/>
      <w:spacing w:line="240" w:lineRule="atLeast"/>
    </w:pPr>
    <w:rPr>
      <w:rFonts w:ascii="Helvetica" w:eastAsia="Times New Roman" w:hAnsi="Helvetica" w:cs="Times New Roman"/>
      <w:lang w:eastAsia="es-ES_tradnl"/>
    </w:rPr>
  </w:style>
  <w:style w:type="paragraph" w:customStyle="1" w:styleId="q">
    <w:name w:val="q"/>
    <w:basedOn w:val="Normal"/>
    <w:uiPriority w:val="99"/>
    <w:rsid w:val="00FA0D18"/>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FA0D18"/>
  </w:style>
  <w:style w:type="character" w:customStyle="1" w:styleId="h">
    <w:name w:val="h"/>
    <w:basedOn w:val="Fuentedeprrafopredeter"/>
    <w:rsid w:val="00FA0D18"/>
  </w:style>
  <w:style w:type="character" w:styleId="CitaHTML">
    <w:name w:val="HTML Cite"/>
    <w:uiPriority w:val="99"/>
    <w:semiHidden/>
    <w:unhideWhenUsed/>
    <w:rsid w:val="00FA0D18"/>
    <w:rPr>
      <w:i/>
      <w:iCs/>
    </w:rPr>
  </w:style>
  <w:style w:type="paragraph" w:customStyle="1" w:styleId="RSCGnotaalpie">
    <w:name w:val="RSCG nota al pie"/>
    <w:basedOn w:val="Normal"/>
    <w:uiPriority w:val="99"/>
    <w:qFormat/>
    <w:rsid w:val="00FA0D18"/>
    <w:pPr>
      <w:spacing w:after="120"/>
      <w:jc w:val="both"/>
    </w:pPr>
    <w:rPr>
      <w:rFonts w:ascii="Palatino" w:eastAsia="Times New Roman" w:hAnsi="Palatino"/>
      <w:sz w:val="22"/>
      <w:szCs w:val="22"/>
      <w:lang w:val="es-MX" w:eastAsia="en-US"/>
    </w:rPr>
  </w:style>
  <w:style w:type="character" w:customStyle="1" w:styleId="lbl-encabezado-blanco2">
    <w:name w:val="lbl-encabezado-blanco2"/>
    <w:rsid w:val="00FA0D18"/>
    <w:rPr>
      <w:color w:val="FFFFFF"/>
    </w:rPr>
  </w:style>
  <w:style w:type="character" w:customStyle="1" w:styleId="TextoCar">
    <w:name w:val="Texto Car"/>
    <w:link w:val="Texto"/>
    <w:locked/>
    <w:rsid w:val="00FA0D18"/>
    <w:rPr>
      <w:rFonts w:ascii="Arial" w:eastAsia="Times New Roman" w:hAnsi="Arial" w:cs="Arial"/>
      <w:sz w:val="18"/>
      <w:szCs w:val="18"/>
      <w:lang w:eastAsia="es-ES"/>
    </w:rPr>
  </w:style>
  <w:style w:type="paragraph" w:customStyle="1" w:styleId="ANOTACION">
    <w:name w:val="ANOTACION"/>
    <w:basedOn w:val="Normal"/>
    <w:link w:val="ANOTACIONCar"/>
    <w:rsid w:val="00FA0D18"/>
    <w:pPr>
      <w:spacing w:before="101" w:after="101"/>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FA0D18"/>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FA0D18"/>
    <w:rPr>
      <w:i/>
      <w:iCs/>
    </w:rPr>
  </w:style>
  <w:style w:type="paragraph" w:styleId="Bibliografa">
    <w:name w:val="Bibliography"/>
    <w:basedOn w:val="Normal"/>
    <w:next w:val="Normal"/>
    <w:uiPriority w:val="37"/>
    <w:semiHidden/>
    <w:unhideWhenUsed/>
    <w:rsid w:val="00FA0D18"/>
    <w:rPr>
      <w:rFonts w:ascii="Times New Roman" w:eastAsia="Times New Roman" w:hAnsi="Times New Roman" w:cs="Times New Roman"/>
      <w:lang w:val="es-MX"/>
    </w:rPr>
  </w:style>
  <w:style w:type="paragraph" w:customStyle="1" w:styleId="ROMANOS">
    <w:name w:val="ROMANOS"/>
    <w:basedOn w:val="Normal"/>
    <w:link w:val="ROMANOSCar"/>
    <w:rsid w:val="00FA0D18"/>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FA0D18"/>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FA0D18"/>
  </w:style>
  <w:style w:type="character" w:customStyle="1" w:styleId="Ninguno">
    <w:name w:val="Ninguno"/>
    <w:rsid w:val="00FA0D18"/>
    <w:rPr>
      <w:lang w:val="es-ES_tradnl"/>
    </w:rPr>
  </w:style>
  <w:style w:type="paragraph" w:customStyle="1" w:styleId="Cuerpo">
    <w:name w:val="Cuerpo"/>
    <w:rsid w:val="00FA0D18"/>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FA0D18"/>
    <w:pPr>
      <w:numPr>
        <w:numId w:val="8"/>
      </w:numPr>
    </w:pPr>
  </w:style>
  <w:style w:type="paragraph" w:customStyle="1" w:styleId="INCISO">
    <w:name w:val="INCISO"/>
    <w:basedOn w:val="Normal"/>
    <w:rsid w:val="00FA0D18"/>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FA0D18"/>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FA0D18"/>
  </w:style>
  <w:style w:type="paragraph" w:customStyle="1" w:styleId="m5212863947045306324gmail-msonormal">
    <w:name w:val="m_5212863947045306324gmail-msonormal"/>
    <w:basedOn w:val="Normal"/>
    <w:rsid w:val="00FA0D18"/>
    <w:pPr>
      <w:spacing w:before="100" w:beforeAutospacing="1" w:after="100" w:afterAutospacing="1"/>
    </w:pPr>
    <w:rPr>
      <w:rFonts w:ascii="Times New Roman" w:eastAsia="Times New Roman" w:hAnsi="Times New Roman" w:cs="Times New Roman"/>
      <w:lang w:val="es-MX" w:eastAsia="es-MX"/>
    </w:rPr>
  </w:style>
  <w:style w:type="character" w:customStyle="1" w:styleId="user-highlighted-active">
    <w:name w:val="user-highlighted-active"/>
    <w:basedOn w:val="Fuentedeprrafopredeter"/>
    <w:rsid w:val="00FA0D18"/>
  </w:style>
  <w:style w:type="paragraph" w:styleId="Lista">
    <w:name w:val="List"/>
    <w:basedOn w:val="Normal"/>
    <w:uiPriority w:val="99"/>
    <w:unhideWhenUsed/>
    <w:rsid w:val="00FA0D18"/>
    <w:pPr>
      <w:ind w:left="283" w:hanging="283"/>
      <w:contextualSpacing/>
    </w:pPr>
    <w:rPr>
      <w:rFonts w:ascii="Times New Roman" w:eastAsia="Times New Roman" w:hAnsi="Times New Roman" w:cs="Times New Roman"/>
      <w:lang w:val="es-ES"/>
    </w:rPr>
  </w:style>
  <w:style w:type="paragraph" w:styleId="Lista2">
    <w:name w:val="List 2"/>
    <w:basedOn w:val="Normal"/>
    <w:uiPriority w:val="99"/>
    <w:unhideWhenUsed/>
    <w:rsid w:val="00FA0D18"/>
    <w:pPr>
      <w:ind w:left="566" w:hanging="283"/>
      <w:contextualSpacing/>
    </w:pPr>
    <w:rPr>
      <w:rFonts w:ascii="Times New Roman" w:eastAsia="Times New Roman" w:hAnsi="Times New Roman" w:cs="Times New Roman"/>
      <w:lang w:val="es-ES"/>
    </w:rPr>
  </w:style>
  <w:style w:type="paragraph" w:styleId="Lista3">
    <w:name w:val="List 3"/>
    <w:basedOn w:val="Normal"/>
    <w:uiPriority w:val="99"/>
    <w:unhideWhenUsed/>
    <w:rsid w:val="00FA0D18"/>
    <w:pPr>
      <w:ind w:left="849" w:hanging="283"/>
      <w:contextualSpacing/>
    </w:pPr>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A0D18"/>
    <w:pPr>
      <w:spacing w:after="120"/>
      <w:ind w:left="283"/>
    </w:pPr>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rsid w:val="00FA0D1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FA0D1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A0D18"/>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FA0D18"/>
  </w:style>
  <w:style w:type="character" w:customStyle="1" w:styleId="titulorubrolgt">
    <w:name w:val="titulorubrolgt"/>
    <w:basedOn w:val="Fuentedeprrafopredeter"/>
    <w:rsid w:val="00FA0D18"/>
  </w:style>
  <w:style w:type="paragraph" w:customStyle="1" w:styleId="Text">
    <w:name w:val="Text"/>
    <w:basedOn w:val="Normal"/>
    <w:link w:val="TextChar"/>
    <w:rsid w:val="00FA0D18"/>
    <w:pPr>
      <w:spacing w:after="240"/>
    </w:pPr>
    <w:rPr>
      <w:rFonts w:ascii="Times New Roman" w:eastAsia="Times New Roman" w:hAnsi="Times New Roman" w:cs="Times New Roman"/>
      <w:szCs w:val="20"/>
      <w:lang w:val="en-US" w:eastAsia="en-US"/>
    </w:rPr>
  </w:style>
  <w:style w:type="character" w:customStyle="1" w:styleId="TextChar">
    <w:name w:val="Text Char"/>
    <w:link w:val="Text"/>
    <w:locked/>
    <w:rsid w:val="00FA0D18"/>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FA0D18"/>
    <w:pPr>
      <w:spacing w:line="360" w:lineRule="auto"/>
      <w:ind w:left="709" w:right="709"/>
      <w:jc w:val="both"/>
    </w:pPr>
    <w:rPr>
      <w:rFonts w:ascii="Arial" w:eastAsia="Times New Roman" w:hAnsi="Arial" w:cs="Arial"/>
      <w:b/>
      <w:bCs/>
      <w:i/>
      <w:iCs/>
      <w:sz w:val="30"/>
      <w:szCs w:val="30"/>
      <w:lang w:val="es-MX" w:eastAsia="es-MX"/>
    </w:rPr>
  </w:style>
  <w:style w:type="paragraph" w:customStyle="1" w:styleId="FAFunotente1">
    <w:name w:val="FA Fu?notente1"/>
    <w:basedOn w:val="Normal"/>
    <w:next w:val="Textonotapie"/>
    <w:uiPriority w:val="99"/>
    <w:rsid w:val="00FA0D18"/>
    <w:rPr>
      <w:rFonts w:eastAsia="Cambria"/>
      <w:sz w:val="20"/>
      <w:szCs w:val="20"/>
      <w:lang w:val="es-MX" w:eastAsia="en-US"/>
    </w:rPr>
  </w:style>
  <w:style w:type="paragraph" w:styleId="Textonotaalfinal">
    <w:name w:val="endnote text"/>
    <w:basedOn w:val="Normal"/>
    <w:link w:val="TextonotaalfinalCar"/>
    <w:uiPriority w:val="99"/>
    <w:semiHidden/>
    <w:unhideWhenUsed/>
    <w:rsid w:val="00FA0D18"/>
    <w:rPr>
      <w:rFonts w:ascii="Times New Roman" w:eastAsia="Times New Roman" w:hAnsi="Times New Roman" w:cs="Times New Roman"/>
      <w:sz w:val="20"/>
      <w:szCs w:val="20"/>
      <w:lang w:val="es-ES"/>
    </w:rPr>
  </w:style>
  <w:style w:type="character" w:customStyle="1" w:styleId="TextonotaalfinalCar">
    <w:name w:val="Texto nota al final Car"/>
    <w:basedOn w:val="Fuentedeprrafopredeter"/>
    <w:link w:val="Textonotaalfinal"/>
    <w:uiPriority w:val="99"/>
    <w:semiHidden/>
    <w:rsid w:val="00FA0D18"/>
    <w:rPr>
      <w:rFonts w:ascii="Times New Roman" w:eastAsia="Times New Roman" w:hAnsi="Times New Roman" w:cs="Times New Roman"/>
      <w:sz w:val="20"/>
      <w:szCs w:val="20"/>
      <w:lang w:val="es-ES" w:eastAsia="es-ES"/>
    </w:rPr>
  </w:style>
  <w:style w:type="paragraph" w:customStyle="1" w:styleId="Pa9">
    <w:name w:val="Pa9"/>
    <w:basedOn w:val="Normal"/>
    <w:next w:val="Normal"/>
    <w:uiPriority w:val="99"/>
    <w:rsid w:val="00FA0D18"/>
    <w:pPr>
      <w:autoSpaceDE w:val="0"/>
      <w:autoSpaceDN w:val="0"/>
      <w:adjustRightInd w:val="0"/>
      <w:spacing w:line="241" w:lineRule="atLeast"/>
    </w:pPr>
    <w:rPr>
      <w:rFonts w:ascii="Myriad Pro" w:eastAsiaTheme="minorHAnsi" w:hAnsi="Myriad Pro"/>
      <w:lang w:val="es-MX" w:eastAsia="en-US"/>
    </w:rPr>
  </w:style>
  <w:style w:type="paragraph" w:customStyle="1" w:styleId="Pa5">
    <w:name w:val="Pa5"/>
    <w:basedOn w:val="Normal"/>
    <w:next w:val="Normal"/>
    <w:uiPriority w:val="99"/>
    <w:rsid w:val="00FA0D18"/>
    <w:pPr>
      <w:autoSpaceDE w:val="0"/>
      <w:autoSpaceDN w:val="0"/>
      <w:adjustRightInd w:val="0"/>
      <w:spacing w:line="201" w:lineRule="atLeast"/>
    </w:pPr>
    <w:rPr>
      <w:rFonts w:ascii="Myriad Pro" w:eastAsiaTheme="minorHAnsi" w:hAnsi="Myriad Pro"/>
      <w:lang w:val="es-MX" w:eastAsia="en-US"/>
    </w:rPr>
  </w:style>
  <w:style w:type="paragraph" w:customStyle="1" w:styleId="m5127500252372250437gmail-paragraph">
    <w:name w:val="m_5127500252372250437gmail-paragraph"/>
    <w:basedOn w:val="Normal"/>
    <w:uiPriority w:val="99"/>
    <w:rsid w:val="00FA0D18"/>
    <w:pPr>
      <w:spacing w:before="100" w:beforeAutospacing="1" w:after="100" w:afterAutospacing="1"/>
    </w:pPr>
    <w:rPr>
      <w:rFonts w:ascii="Times New Roman" w:eastAsia="Times New Roman" w:hAnsi="Times New Roman" w:cs="Times New Roman"/>
      <w:lang w:val="es-MX" w:eastAsia="es-MX"/>
    </w:rPr>
  </w:style>
  <w:style w:type="paragraph" w:customStyle="1" w:styleId="m-60081275284358516gmail-msolistparagraph">
    <w:name w:val="m_-60081275284358516gmail-msolistparagraph"/>
    <w:basedOn w:val="Normal"/>
    <w:uiPriority w:val="99"/>
    <w:rsid w:val="00FA0D18"/>
    <w:pPr>
      <w:spacing w:before="100" w:beforeAutospacing="1" w:after="100" w:afterAutospacing="1"/>
    </w:pPr>
    <w:rPr>
      <w:rFonts w:ascii="Times New Roman" w:eastAsia="Times New Roman" w:hAnsi="Times New Roman" w:cs="Times New Roman"/>
      <w:lang w:val="es-MX" w:eastAsia="es-MX"/>
    </w:rPr>
  </w:style>
  <w:style w:type="character" w:styleId="Refdenotaalfinal">
    <w:name w:val="endnote reference"/>
    <w:basedOn w:val="Fuentedeprrafopredeter"/>
    <w:uiPriority w:val="99"/>
    <w:semiHidden/>
    <w:unhideWhenUsed/>
    <w:rsid w:val="00FA0D18"/>
    <w:rPr>
      <w:vertAlign w:val="superscript"/>
    </w:rPr>
  </w:style>
  <w:style w:type="character" w:customStyle="1" w:styleId="medium">
    <w:name w:val="medium"/>
    <w:basedOn w:val="Fuentedeprrafopredeter"/>
    <w:rsid w:val="00FA0D18"/>
  </w:style>
  <w:style w:type="character" w:customStyle="1" w:styleId="numeroconsecutivo">
    <w:name w:val="numeroconsecutivo"/>
    <w:basedOn w:val="Fuentedeprrafopredeter"/>
    <w:rsid w:val="00FA0D18"/>
  </w:style>
  <w:style w:type="character" w:customStyle="1" w:styleId="ctr">
    <w:name w:val="ctr"/>
    <w:basedOn w:val="Fuentedeprrafopredeter"/>
    <w:rsid w:val="00FA0D18"/>
  </w:style>
  <w:style w:type="character" w:customStyle="1" w:styleId="A1">
    <w:name w:val="A1"/>
    <w:uiPriority w:val="99"/>
    <w:rsid w:val="00FA0D18"/>
    <w:rPr>
      <w:rFonts w:ascii="Myriad Pro" w:hAnsi="Myriad Pro" w:cs="Myriad Pro" w:hint="default"/>
      <w:color w:val="000000"/>
      <w:sz w:val="22"/>
      <w:szCs w:val="22"/>
    </w:rPr>
  </w:style>
  <w:style w:type="character" w:customStyle="1" w:styleId="nombrefraccder">
    <w:name w:val="nombrefraccder"/>
    <w:basedOn w:val="Fuentedeprrafopredeter"/>
    <w:rsid w:val="00FA0D18"/>
  </w:style>
  <w:style w:type="character" w:customStyle="1" w:styleId="numberfraccder">
    <w:name w:val="numberfraccder"/>
    <w:basedOn w:val="Fuentedeprrafopredeter"/>
    <w:rsid w:val="00FA0D18"/>
  </w:style>
  <w:style w:type="character" w:customStyle="1" w:styleId="m5127500252372250437gmail-normaltextrun">
    <w:name w:val="m_5127500252372250437gmail-normaltextrun"/>
    <w:basedOn w:val="Fuentedeprrafopredeter"/>
    <w:rsid w:val="00FA0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5B14B-A90A-4318-8594-8BDD826F7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70</Pages>
  <Words>15385</Words>
  <Characters>84620</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Lenovo</cp:lastModifiedBy>
  <cp:revision>18</cp:revision>
  <dcterms:created xsi:type="dcterms:W3CDTF">2022-05-25T17:55:00Z</dcterms:created>
  <dcterms:modified xsi:type="dcterms:W3CDTF">2022-07-12T03:20:00Z</dcterms:modified>
</cp:coreProperties>
</file>