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020181A4"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154698">
        <w:rPr>
          <w:rFonts w:ascii="Palatino Linotype" w:hAnsi="Palatino Linotype" w:cs="Arial"/>
          <w:color w:val="000000"/>
          <w:lang w:eastAsia="es-MX"/>
        </w:rPr>
        <w:t>veintinueve</w:t>
      </w:r>
      <w:r w:rsidR="00A1656C">
        <w:rPr>
          <w:rFonts w:ascii="Palatino Linotype" w:hAnsi="Palatino Linotype" w:cs="Arial"/>
          <w:color w:val="000000"/>
          <w:lang w:eastAsia="es-MX"/>
        </w:rPr>
        <w:t xml:space="preserve"> de junio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16DE8476"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154698" w:rsidRPr="00154698">
        <w:rPr>
          <w:rFonts w:ascii="Palatino Linotype" w:hAnsi="Palatino Linotype" w:cs="Arial"/>
          <w:b/>
          <w:bCs/>
          <w:lang w:eastAsia="es-MX"/>
        </w:rPr>
        <w:t>05015/INFOEM/IP/RR/2022</w:t>
      </w:r>
      <w:r w:rsidR="000D4CB2" w:rsidRPr="00B21190">
        <w:rPr>
          <w:rFonts w:ascii="Palatino Linotype" w:hAnsi="Palatino Linotype" w:cs="Arial"/>
        </w:rPr>
        <w:t xml:space="preserve">, </w:t>
      </w:r>
      <w:r w:rsidR="00154698" w:rsidRPr="007C3942">
        <w:rPr>
          <w:rFonts w:ascii="Palatino Linotype" w:hAnsi="Palatino Linotype" w:cs="Arial"/>
        </w:rPr>
        <w:t>interpuesto por</w:t>
      </w:r>
      <w:r w:rsidR="00154698">
        <w:rPr>
          <w:rFonts w:ascii="Palatino Linotype" w:hAnsi="Palatino Linotype" w:cs="Arial"/>
        </w:rPr>
        <w:t xml:space="preserve"> el </w:t>
      </w:r>
      <w:r w:rsidR="004411E1">
        <w:rPr>
          <w:rFonts w:ascii="Palatino Linotype" w:hAnsi="Palatino Linotype" w:cs="Arial"/>
          <w:b/>
        </w:rPr>
        <w:t>XXXXXX XXXXXXX XXXXXXXXXX</w:t>
      </w:r>
      <w:r w:rsidR="00154698" w:rsidRPr="007C3942">
        <w:rPr>
          <w:rFonts w:ascii="Palatino Linotype" w:hAnsi="Palatino Linotype" w:cs="Arial"/>
        </w:rPr>
        <w:t xml:space="preserve">, quien en lo sucesivo y para efectos prácticos se le denominara </w:t>
      </w:r>
      <w:r w:rsidR="00154698">
        <w:rPr>
          <w:rFonts w:ascii="Palatino Linotype" w:hAnsi="Palatino Linotype" w:cs="Arial"/>
          <w:b/>
        </w:rPr>
        <w:t>el</w:t>
      </w:r>
      <w:r w:rsidR="00154698" w:rsidRPr="007C3942">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154698" w:rsidRPr="00154698">
        <w:rPr>
          <w:rFonts w:ascii="Palatino Linotype" w:hAnsi="Palatino Linotype" w:cs="Arial"/>
          <w:b/>
        </w:rPr>
        <w:t>Ayuntamiento de Rayón</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51138835"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154698">
        <w:rPr>
          <w:rFonts w:ascii="Palatino Linotype" w:hAnsi="Palatino Linotype" w:cs="Arial"/>
        </w:rPr>
        <w:t>siete de marzo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154698" w:rsidRPr="00154698">
        <w:rPr>
          <w:rFonts w:ascii="Palatino Linotype" w:hAnsi="Palatino Linotype" w:cs="Arial"/>
          <w:b/>
        </w:rPr>
        <w:t>00021/RAYON/IP/2022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61689946" w14:textId="48D4B9FB" w:rsidR="00AE61AD" w:rsidRPr="0014624E" w:rsidRDefault="008D6D96" w:rsidP="0014624E">
      <w:pPr>
        <w:ind w:left="851" w:right="851"/>
        <w:jc w:val="both"/>
        <w:rPr>
          <w:rFonts w:ascii="Palatino Linotype" w:hAnsi="Palatino Linotype"/>
          <w:i/>
          <w:lang w:val="es-ES_tradnl"/>
        </w:rPr>
      </w:pPr>
      <w:r w:rsidRPr="006B26E3">
        <w:rPr>
          <w:rFonts w:ascii="Palatino Linotype" w:hAnsi="Palatino Linotype"/>
          <w:i/>
          <w:lang w:val="es-ES_tradnl"/>
        </w:rPr>
        <w:t>“</w:t>
      </w:r>
      <w:r w:rsidR="00154698" w:rsidRPr="00154698">
        <w:rPr>
          <w:rFonts w:ascii="Palatino Linotype" w:hAnsi="Palatino Linotype"/>
          <w:i/>
          <w:lang w:val="es-ES_tradnl"/>
        </w:rPr>
        <w:t xml:space="preserve">Monto de las percepciones mensuales del presidente (a) municipal, síndico (a) y regidores del ayuntamiento, </w:t>
      </w:r>
      <w:proofErr w:type="spellStart"/>
      <w:r w:rsidR="00154698" w:rsidRPr="00154698">
        <w:rPr>
          <w:rFonts w:ascii="Palatino Linotype" w:hAnsi="Palatino Linotype"/>
          <w:i/>
          <w:lang w:val="es-ES_tradnl"/>
        </w:rPr>
        <w:t>ademas</w:t>
      </w:r>
      <w:proofErr w:type="spellEnd"/>
      <w:r w:rsidR="00154698" w:rsidRPr="00154698">
        <w:rPr>
          <w:rFonts w:ascii="Palatino Linotype" w:hAnsi="Palatino Linotype"/>
          <w:i/>
          <w:lang w:val="es-ES_tradnl"/>
        </w:rPr>
        <w:t xml:space="preserve"> del</w:t>
      </w:r>
      <w:bookmarkStart w:id="0" w:name="_GoBack"/>
      <w:bookmarkEnd w:id="0"/>
      <w:r w:rsidR="00154698" w:rsidRPr="00154698">
        <w:rPr>
          <w:rFonts w:ascii="Palatino Linotype" w:hAnsi="Palatino Linotype"/>
          <w:i/>
          <w:lang w:val="es-ES_tradnl"/>
        </w:rPr>
        <w:t xml:space="preserve"> tesorero (desglosado por sueldo bruto, gratificaciones, bonos, primas, deducciones, sueldo neto) correspondiente al ejercicio fiscal 2022. Copia del talón de pago o recibo de pago al presidente o presidenta municipal de los meses de enero, febrero y marzo, si corresponde</w:t>
      </w:r>
      <w:r w:rsidRPr="006B26E3">
        <w:rPr>
          <w:rFonts w:ascii="Palatino Linotype" w:hAnsi="Palatino Linotype"/>
          <w:i/>
          <w:lang w:val="es-ES_tradnl"/>
        </w:rPr>
        <w:t>”</w:t>
      </w:r>
      <w:r w:rsidRPr="006B26E3">
        <w:rPr>
          <w:rFonts w:ascii="Palatino Linotype" w:hAnsi="Palatino Linotype"/>
          <w:lang w:val="es-ES_tradnl"/>
        </w:rPr>
        <w:t xml:space="preserve"> [Sic]</w:t>
      </w: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lastRenderedPageBreak/>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0BB804A1"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54698">
        <w:rPr>
          <w:rFonts w:ascii="Palatino Linotype" w:hAnsi="Palatino Linotype" w:cs="Arial"/>
        </w:rPr>
        <w:t>veinticinco</w:t>
      </w:r>
      <w:r w:rsidR="00A1656C">
        <w:rPr>
          <w:rFonts w:ascii="Palatino Linotype" w:hAnsi="Palatino Linotype" w:cs="Arial"/>
        </w:rPr>
        <w:t xml:space="preserve"> de marzo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73E93CD3" w14:textId="77777777" w:rsidR="00154698" w:rsidRPr="00154698" w:rsidRDefault="008D6D96" w:rsidP="00154698">
      <w:pPr>
        <w:ind w:left="851" w:right="851"/>
        <w:jc w:val="right"/>
        <w:rPr>
          <w:rFonts w:ascii="Palatino Linotype" w:hAnsi="Palatino Linotype" w:cs="Arial"/>
          <w:i/>
        </w:rPr>
      </w:pPr>
      <w:r w:rsidRPr="006E2D8D">
        <w:rPr>
          <w:rFonts w:ascii="Palatino Linotype" w:hAnsi="Palatino Linotype" w:cs="Arial"/>
          <w:i/>
        </w:rPr>
        <w:t xml:space="preserve"> “</w:t>
      </w:r>
      <w:r w:rsidR="00154698" w:rsidRPr="00154698">
        <w:rPr>
          <w:rFonts w:ascii="Palatino Linotype" w:hAnsi="Palatino Linotype" w:cs="Arial"/>
          <w:i/>
        </w:rPr>
        <w:t xml:space="preserve">Folio de la solicitud: </w:t>
      </w:r>
      <w:r w:rsidR="00154698" w:rsidRPr="00154698">
        <w:rPr>
          <w:rFonts w:ascii="Palatino Linotype" w:hAnsi="Palatino Linotype" w:cs="Arial"/>
          <w:b/>
          <w:i/>
          <w:u w:val="single"/>
        </w:rPr>
        <w:t>00021/RAYON/IP/2022</w:t>
      </w:r>
    </w:p>
    <w:p w14:paraId="28576546" w14:textId="77777777" w:rsidR="00154698" w:rsidRDefault="00154698" w:rsidP="00154698">
      <w:pPr>
        <w:ind w:left="851" w:right="851"/>
        <w:jc w:val="both"/>
        <w:rPr>
          <w:rFonts w:ascii="Palatino Linotype" w:hAnsi="Palatino Linotype" w:cs="Arial"/>
          <w:i/>
        </w:rPr>
      </w:pPr>
    </w:p>
    <w:p w14:paraId="55CF501B" w14:textId="77777777" w:rsidR="00154698" w:rsidRPr="00154698" w:rsidRDefault="00154698" w:rsidP="00154698">
      <w:pPr>
        <w:ind w:left="851" w:right="851"/>
        <w:jc w:val="both"/>
        <w:rPr>
          <w:rFonts w:ascii="Palatino Linotype" w:hAnsi="Palatino Linotype" w:cs="Arial"/>
          <w:i/>
        </w:rPr>
      </w:pPr>
      <w:r w:rsidRPr="0015469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a interponer recurso de revisión en términos de lo establecido en los artículos 176, 177 y 178 de la Ley invocada.”</w:t>
      </w:r>
    </w:p>
    <w:p w14:paraId="3BD4F22A" w14:textId="77777777" w:rsidR="00154698" w:rsidRDefault="00154698" w:rsidP="00154698">
      <w:pPr>
        <w:ind w:left="851" w:right="851"/>
        <w:jc w:val="both"/>
        <w:rPr>
          <w:rFonts w:ascii="Palatino Linotype" w:hAnsi="Palatino Linotype" w:cs="Arial"/>
          <w:i/>
        </w:rPr>
      </w:pPr>
    </w:p>
    <w:p w14:paraId="0D40F38E" w14:textId="77777777" w:rsidR="00154698" w:rsidRPr="00154698" w:rsidRDefault="00154698" w:rsidP="00154698">
      <w:pPr>
        <w:ind w:left="851" w:right="851"/>
        <w:jc w:val="both"/>
        <w:rPr>
          <w:rFonts w:ascii="Palatino Linotype" w:hAnsi="Palatino Linotype" w:cs="Arial"/>
          <w:i/>
        </w:rPr>
      </w:pPr>
      <w:r w:rsidRPr="00154698">
        <w:rPr>
          <w:rFonts w:ascii="Palatino Linotype" w:hAnsi="Palatino Linotype" w:cs="Arial"/>
          <w:i/>
        </w:rPr>
        <w:t>ATENTAMENTE</w:t>
      </w:r>
    </w:p>
    <w:p w14:paraId="3D71D1C1" w14:textId="0FCC369A" w:rsidR="008D6D96" w:rsidRPr="002246A2" w:rsidRDefault="00154698" w:rsidP="00154698">
      <w:pPr>
        <w:ind w:left="851" w:right="851"/>
        <w:jc w:val="both"/>
        <w:rPr>
          <w:rFonts w:ascii="Palatino Linotype" w:hAnsi="Palatino Linotype" w:cs="Arial"/>
          <w:i/>
        </w:rPr>
      </w:pPr>
      <w:r w:rsidRPr="00154698">
        <w:rPr>
          <w:rFonts w:ascii="Palatino Linotype" w:hAnsi="Palatino Linotype" w:cs="Arial"/>
          <w:i/>
        </w:rPr>
        <w:t>C. Edgar Roberto Dávila Jiménez</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59E9D5C3"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1" w:name="_Hlk99652498"/>
      <w:r w:rsidRPr="00BB0886">
        <w:rPr>
          <w:rFonts w:ascii="Palatino Linotype" w:hAnsi="Palatino Linotype"/>
          <w:b/>
          <w:bCs/>
          <w:i/>
          <w:iCs/>
          <w:color w:val="000000"/>
        </w:rPr>
        <w:t>“</w:t>
      </w:r>
      <w:r w:rsidRPr="004213E0">
        <w:rPr>
          <w:rFonts w:ascii="Palatino Linotype" w:hAnsi="Palatino Linotype"/>
          <w:b/>
          <w:bCs/>
          <w:i/>
          <w:iCs/>
          <w:color w:val="000000"/>
        </w:rPr>
        <w:t>CCF25032022.pdf</w:t>
      </w:r>
      <w:r w:rsidRPr="00BB0886">
        <w:rPr>
          <w:rFonts w:ascii="Palatino Linotype" w:hAnsi="Palatino Linotype"/>
          <w:b/>
          <w:bCs/>
          <w:i/>
          <w:iCs/>
          <w:color w:val="000000"/>
        </w:rPr>
        <w:t>”</w:t>
      </w:r>
      <w:bookmarkEnd w:id="1"/>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70CD4DA2"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4213E0">
        <w:rPr>
          <w:rFonts w:ascii="Palatino Linotype" w:hAnsi="Palatino Linotype" w:cs="Arial"/>
        </w:rPr>
        <w:t>veintiocho</w:t>
      </w:r>
      <w:r w:rsidR="00A1656C">
        <w:rPr>
          <w:rFonts w:ascii="Palatino Linotype" w:hAnsi="Palatino Linotype" w:cs="Arial"/>
        </w:rPr>
        <w:t xml:space="preserve"> de marzo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4213E0" w:rsidRPr="004213E0">
        <w:rPr>
          <w:rFonts w:ascii="Palatino Linotype" w:hAnsi="Palatino Linotype" w:cs="Arial"/>
          <w:b/>
          <w:bCs/>
          <w:lang w:eastAsia="es-MX"/>
        </w:rPr>
        <w:t>05015/INFOEM/IP/RR/2022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2C9CC16F"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4213E0" w:rsidRPr="004213E0">
        <w:rPr>
          <w:rFonts w:ascii="Palatino Linotype" w:hAnsi="Palatino Linotype" w:cs="Arial"/>
          <w:bCs/>
          <w:i/>
        </w:rPr>
        <w:t xml:space="preserve">No entrega información solicitada. </w:t>
      </w:r>
      <w:proofErr w:type="spellStart"/>
      <w:r w:rsidR="004213E0" w:rsidRPr="004213E0">
        <w:rPr>
          <w:rFonts w:ascii="Palatino Linotype" w:hAnsi="Palatino Linotype" w:cs="Arial"/>
          <w:bCs/>
          <w:i/>
        </w:rPr>
        <w:t>Pedi</w:t>
      </w:r>
      <w:proofErr w:type="spellEnd"/>
      <w:r w:rsidR="004213E0" w:rsidRPr="004213E0">
        <w:rPr>
          <w:rFonts w:ascii="Palatino Linotype" w:hAnsi="Palatino Linotype" w:cs="Arial"/>
          <w:bCs/>
          <w:i/>
        </w:rPr>
        <w:t xml:space="preserve"> datos de las percepciones del alcalde, regidores, </w:t>
      </w:r>
      <w:proofErr w:type="spellStart"/>
      <w:r w:rsidR="004213E0" w:rsidRPr="004213E0">
        <w:rPr>
          <w:rFonts w:ascii="Palatino Linotype" w:hAnsi="Palatino Linotype" w:cs="Arial"/>
          <w:bCs/>
          <w:i/>
        </w:rPr>
        <w:t>sindico</w:t>
      </w:r>
      <w:proofErr w:type="spellEnd"/>
      <w:r w:rsidR="004213E0" w:rsidRPr="004213E0">
        <w:rPr>
          <w:rFonts w:ascii="Palatino Linotype" w:hAnsi="Palatino Linotype" w:cs="Arial"/>
          <w:bCs/>
          <w:i/>
        </w:rPr>
        <w:t xml:space="preserve"> y </w:t>
      </w:r>
      <w:proofErr w:type="gramStart"/>
      <w:r w:rsidR="004213E0" w:rsidRPr="004213E0">
        <w:rPr>
          <w:rFonts w:ascii="Palatino Linotype" w:hAnsi="Palatino Linotype" w:cs="Arial"/>
          <w:bCs/>
          <w:i/>
        </w:rPr>
        <w:t>tesorero ,</w:t>
      </w:r>
      <w:proofErr w:type="gramEnd"/>
      <w:r w:rsidR="004213E0" w:rsidRPr="004213E0">
        <w:rPr>
          <w:rFonts w:ascii="Palatino Linotype" w:hAnsi="Palatino Linotype" w:cs="Arial"/>
          <w:bCs/>
          <w:i/>
        </w:rPr>
        <w:t xml:space="preserve"> desglosada por sueldo bruto, gratificaciones, bonos y sueldo neto mensual.</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00FDE263"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4213E0" w:rsidRPr="004213E0">
        <w:rPr>
          <w:rFonts w:ascii="Palatino Linotype" w:hAnsi="Palatino Linotype" w:cs="Arial"/>
          <w:bCs/>
          <w:i/>
        </w:rPr>
        <w:t xml:space="preserve">Responde, pero no entrega la información </w:t>
      </w:r>
      <w:proofErr w:type="gramStart"/>
      <w:r w:rsidR="004213E0" w:rsidRPr="004213E0">
        <w:rPr>
          <w:rFonts w:ascii="Palatino Linotype" w:hAnsi="Palatino Linotype" w:cs="Arial"/>
          <w:bCs/>
          <w:i/>
        </w:rPr>
        <w:t>solicitada .</w:t>
      </w:r>
      <w:proofErr w:type="gramEnd"/>
      <w:r w:rsidR="004213E0" w:rsidRPr="004213E0">
        <w:rPr>
          <w:rFonts w:ascii="Palatino Linotype" w:hAnsi="Palatino Linotype" w:cs="Arial"/>
          <w:bCs/>
          <w:i/>
        </w:rPr>
        <w:t xml:space="preserve"> Señala que la hará llegar por medio magnético</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5EAFFCCF" w14:textId="226D38FA" w:rsidR="009F3DA1" w:rsidRPr="004213E0"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213E0">
        <w:rPr>
          <w:rFonts w:ascii="Palatino Linotype" w:eastAsiaTheme="minorHAnsi" w:hAnsi="Palatino Linotype" w:cs="Arial"/>
        </w:rPr>
        <w:t>treinta</w:t>
      </w:r>
      <w:r w:rsidR="00CB4146">
        <w:rPr>
          <w:rFonts w:ascii="Palatino Linotype" w:eastAsiaTheme="minorHAnsi" w:hAnsi="Palatino Linotype" w:cs="Arial"/>
        </w:rPr>
        <w:t xml:space="preserve"> de marzo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F8FB25B" w14:textId="77777777" w:rsidR="0014624E" w:rsidRDefault="0014624E" w:rsidP="003D0754">
      <w:pPr>
        <w:spacing w:line="360" w:lineRule="auto"/>
        <w:jc w:val="both"/>
        <w:rPr>
          <w:rFonts w:ascii="Palatino Linotype" w:hAnsi="Palatino Linotype" w:cs="Arial"/>
          <w:b/>
          <w:sz w:val="28"/>
        </w:rPr>
      </w:pPr>
    </w:p>
    <w:p w14:paraId="2F676C3C" w14:textId="77777777" w:rsidR="0014624E" w:rsidRDefault="0014624E" w:rsidP="003D0754">
      <w:pPr>
        <w:spacing w:line="360" w:lineRule="auto"/>
        <w:jc w:val="both"/>
        <w:rPr>
          <w:rFonts w:ascii="Palatino Linotype" w:hAnsi="Palatino Linotype" w:cs="Arial"/>
          <w:b/>
          <w:sz w:val="28"/>
        </w:rPr>
      </w:pP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C7236B3" w14:textId="77777777" w:rsidR="004213E0" w:rsidRDefault="004213E0" w:rsidP="004213E0">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1A5DCBC4" w14:textId="77777777" w:rsidR="004213E0" w:rsidRDefault="004213E0" w:rsidP="004213E0">
      <w:pPr>
        <w:spacing w:line="360" w:lineRule="auto"/>
        <w:jc w:val="both"/>
        <w:rPr>
          <w:rFonts w:ascii="Palatino Linotype" w:eastAsiaTheme="minorHAnsi" w:hAnsi="Palatino Linotype" w:cs="Arial"/>
        </w:rPr>
      </w:pPr>
    </w:p>
    <w:p w14:paraId="32BA5E25" w14:textId="0C6F8941" w:rsidR="004213E0" w:rsidRPr="00C557D7" w:rsidRDefault="004213E0" w:rsidP="004213E0">
      <w:pPr>
        <w:spacing w:line="360" w:lineRule="auto"/>
        <w:jc w:val="both"/>
        <w:rPr>
          <w:rFonts w:ascii="Palatino Linotype" w:eastAsiaTheme="minorHAnsi" w:hAnsi="Palatino Linotype" w:cs="Arial"/>
        </w:rPr>
      </w:pPr>
      <w:r w:rsidRPr="004213E0">
        <w:rPr>
          <w:rFonts w:ascii="Palatino Linotype" w:eastAsiaTheme="minorHAnsi" w:hAnsi="Palatino Linotype" w:cs="Arial"/>
          <w:noProof/>
          <w:lang w:val="es-MX" w:eastAsia="es-MX"/>
        </w:rPr>
        <w:drawing>
          <wp:inline distT="0" distB="0" distL="0" distR="0" wp14:anchorId="45B9FC36" wp14:editId="0728956E">
            <wp:extent cx="5760720" cy="1664335"/>
            <wp:effectExtent l="190500" t="190500" r="182880"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4335"/>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2EF79D19" w14:textId="171C1CD7" w:rsidR="00F1409B" w:rsidRPr="0014624E" w:rsidRDefault="009F3DA1" w:rsidP="0014624E">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4213E0">
        <w:rPr>
          <w:rFonts w:ascii="Palatino Linotype" w:hAnsi="Palatino Linotype"/>
        </w:rPr>
        <w:t>dieciocho</w:t>
      </w:r>
      <w:r w:rsidR="0045589A">
        <w:rPr>
          <w:rFonts w:ascii="Palatino Linotype" w:hAnsi="Palatino Linotype"/>
        </w:rPr>
        <w:t xml:space="preserve"> de mayo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Default="00F1409B" w:rsidP="005874D3">
      <w:pPr>
        <w:spacing w:line="360" w:lineRule="auto"/>
        <w:rPr>
          <w:rFonts w:ascii="Palatino Linotype" w:hAnsi="Palatino Linotype"/>
          <w:b/>
          <w:sz w:val="28"/>
          <w:szCs w:val="28"/>
        </w:rPr>
      </w:pP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28B35C15" w14:textId="4FF07CC8"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4213E0">
        <w:rPr>
          <w:rFonts w:ascii="Palatino Linotype" w:hAnsi="Palatino Linotype"/>
        </w:rPr>
        <w:t>veinte</w:t>
      </w:r>
      <w:r>
        <w:rPr>
          <w:rFonts w:ascii="Palatino Linotype" w:hAnsi="Palatino Linotype"/>
        </w:rPr>
        <w:t xml:space="preserve"> de mayo</w:t>
      </w:r>
      <w:r w:rsidRPr="00FE7E4C">
        <w:rPr>
          <w:rFonts w:ascii="Palatino Linotype" w:hAnsi="Palatino Linotype"/>
        </w:rPr>
        <w:t xml:space="preserve"> de </w:t>
      </w:r>
      <w:proofErr w:type="gramStart"/>
      <w:r w:rsidRPr="00FE7E4C">
        <w:rPr>
          <w:rFonts w:ascii="Palatino Linotype" w:hAnsi="Palatino Linotype"/>
        </w:rPr>
        <w:t>dos mil veintiuno</w:t>
      </w:r>
      <w:proofErr w:type="gramEnd"/>
      <w:r w:rsidRPr="00FE7E4C">
        <w:rPr>
          <w:rFonts w:ascii="Palatino Linotype" w:hAnsi="Palatino Linotype"/>
        </w:rPr>
        <w:t xml:space="preserve">, se amplió el término para resolver el recurso de revisión en términos del artículo 181 párrafo tercero de la Ley de </w:t>
      </w:r>
      <w:r w:rsidRPr="00FE7E4C">
        <w:rPr>
          <w:rFonts w:ascii="Palatino Linotype" w:hAnsi="Palatino Linotype"/>
        </w:rPr>
        <w:lastRenderedPageBreak/>
        <w:t>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w:t>
      </w:r>
      <w:proofErr w:type="gramStart"/>
      <w:r w:rsidRPr="00B01D73">
        <w:rPr>
          <w:rFonts w:ascii="Palatino Linotype" w:hAnsi="Palatino Linotype" w:cstheme="majorHAnsi"/>
        </w:rPr>
        <w:t>que</w:t>
      </w:r>
      <w:proofErr w:type="gramEnd"/>
      <w:r w:rsidRPr="00B01D73">
        <w:rPr>
          <w:rFonts w:ascii="Palatino Linotype" w:hAnsi="Palatino Linotype" w:cstheme="majorHAnsi"/>
        </w:rPr>
        <w:t xml:space="preserv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w:t>
      </w:r>
      <w:r w:rsidRPr="001B0A88">
        <w:rPr>
          <w:rFonts w:ascii="Palatino Linotype" w:hAnsi="Palatino Linotype"/>
          <w:lang w:val="es-MX"/>
        </w:rPr>
        <w:lastRenderedPageBreak/>
        <w:t>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18855099" w:rsidR="00912A21" w:rsidRPr="00597C13" w:rsidRDefault="00B177DF"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533DC85" w:rsidR="00912A21" w:rsidRPr="0006149A" w:rsidRDefault="00B177DF"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w:t>
      </w:r>
      <w:r w:rsidRPr="00FF39C1">
        <w:rPr>
          <w:rFonts w:ascii="Palatino Linotype" w:eastAsiaTheme="minorHAnsi" w:hAnsi="Palatino Linotype" w:cs="Arial"/>
          <w:lang w:val="es-MX" w:eastAsia="en-US"/>
        </w:rPr>
        <w:lastRenderedPageBreak/>
        <w:t xml:space="preserve">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7D856959" w:rsidR="00847043" w:rsidRPr="00847043" w:rsidRDefault="00A74EA8" w:rsidP="00814736">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BD1BFE" w:rsidRPr="00BD1BFE">
        <w:rPr>
          <w:rFonts w:ascii="Palatino Linotype" w:hAnsi="Palatino Linotype" w:cs="Arial"/>
          <w:i/>
          <w:lang w:eastAsia="es-MX"/>
        </w:rPr>
        <w:t xml:space="preserve">Monto de las percepciones mensuales del presidente (a) municipal, síndico (a) y regidores del ayuntamiento, </w:t>
      </w:r>
      <w:proofErr w:type="spellStart"/>
      <w:r w:rsidR="00BD1BFE" w:rsidRPr="00BD1BFE">
        <w:rPr>
          <w:rFonts w:ascii="Palatino Linotype" w:hAnsi="Palatino Linotype" w:cs="Arial"/>
          <w:i/>
          <w:lang w:eastAsia="es-MX"/>
        </w:rPr>
        <w:t>ademas</w:t>
      </w:r>
      <w:proofErr w:type="spellEnd"/>
      <w:r w:rsidR="00BD1BFE" w:rsidRPr="00BD1BFE">
        <w:rPr>
          <w:rFonts w:ascii="Palatino Linotype" w:hAnsi="Palatino Linotype" w:cs="Arial"/>
          <w:i/>
          <w:lang w:eastAsia="es-MX"/>
        </w:rPr>
        <w:t xml:space="preserve"> del tesorero (desglosado por sueldo bruto, gratificaciones, bonos, primas, deducciones, sueldo neto) correspondiente al ejercicio fiscal 2022. Copia del talón de pago o recibo de pago al presidente o presidenta municipal de los meses de enero, febrero y marzo, si corresponde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2028E893"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760FCC">
        <w:rPr>
          <w:rFonts w:ascii="Palatino Linotype" w:hAnsi="Palatino Linotype"/>
        </w:rPr>
        <w:t>,</w:t>
      </w:r>
      <w:r w:rsidR="00BD1BFE">
        <w:rPr>
          <w:rFonts w:ascii="Palatino Linotype" w:hAnsi="Palatino Linotype"/>
        </w:rPr>
        <w:t xml:space="preserve"> del periodo comprendido del 01 de enero al 07 de marzo de 2022,</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0F79194E" w14:textId="47FE4151" w:rsidR="00BD1BFE" w:rsidRPr="00BD1BFE" w:rsidRDefault="00BD1BFE" w:rsidP="00BD1BFE">
      <w:pPr>
        <w:pStyle w:val="Prrafodelista"/>
        <w:numPr>
          <w:ilvl w:val="0"/>
          <w:numId w:val="17"/>
        </w:numPr>
        <w:spacing w:line="360" w:lineRule="auto"/>
        <w:jc w:val="both"/>
        <w:rPr>
          <w:rFonts w:ascii="Palatino Linotype" w:hAnsi="Palatino Linotype"/>
        </w:rPr>
      </w:pPr>
      <w:bookmarkStart w:id="2" w:name="_Hlk96702671"/>
      <w:bookmarkStart w:id="3" w:name="_Hlk99657083"/>
      <w:r w:rsidRPr="00BD1BFE">
        <w:rPr>
          <w:rFonts w:ascii="Palatino Linotype" w:hAnsi="Palatino Linotype"/>
        </w:rPr>
        <w:t>Documento que dé cuenta de sueldo bruto, sueldo neto, gratificaciones, bonos, primas y deducciones, del Síndico Municipal</w:t>
      </w:r>
      <w:r>
        <w:rPr>
          <w:rFonts w:ascii="Palatino Linotype" w:hAnsi="Palatino Linotype"/>
        </w:rPr>
        <w:t>,</w:t>
      </w:r>
      <w:r w:rsidRPr="00BD1BFE">
        <w:rPr>
          <w:rFonts w:ascii="Palatino Linotype" w:hAnsi="Palatino Linotype"/>
        </w:rPr>
        <w:t xml:space="preserve"> Regidores, y Tesorero Municipal.</w:t>
      </w:r>
    </w:p>
    <w:p w14:paraId="33CC845A" w14:textId="4FEA0D1D" w:rsidR="00BD1BFE" w:rsidRPr="00BD1BFE" w:rsidRDefault="00BD1BFE" w:rsidP="00BD1BFE">
      <w:pPr>
        <w:pStyle w:val="Prrafodelista"/>
        <w:numPr>
          <w:ilvl w:val="0"/>
          <w:numId w:val="17"/>
        </w:numPr>
        <w:spacing w:line="360" w:lineRule="auto"/>
        <w:jc w:val="both"/>
        <w:rPr>
          <w:rFonts w:ascii="Palatino Linotype" w:hAnsi="Palatino Linotype"/>
        </w:rPr>
      </w:pPr>
      <w:r w:rsidRPr="00BD1BFE">
        <w:rPr>
          <w:rFonts w:ascii="Palatino Linotype" w:hAnsi="Palatino Linotype"/>
        </w:rPr>
        <w:lastRenderedPageBreak/>
        <w:t>Recibos de nómina</w:t>
      </w:r>
      <w:r>
        <w:rPr>
          <w:rFonts w:ascii="Palatino Linotype" w:hAnsi="Palatino Linotype"/>
        </w:rPr>
        <w:t xml:space="preserve"> </w:t>
      </w:r>
      <w:r w:rsidR="00F01DC1">
        <w:rPr>
          <w:rFonts w:ascii="Palatino Linotype" w:hAnsi="Palatino Linotype"/>
        </w:rPr>
        <w:t>generados de</w:t>
      </w:r>
      <w:r>
        <w:rPr>
          <w:rFonts w:ascii="Palatino Linotype" w:hAnsi="Palatino Linotype"/>
        </w:rPr>
        <w:t>l</w:t>
      </w:r>
      <w:r w:rsidRPr="00BD1BFE">
        <w:rPr>
          <w:rFonts w:ascii="Palatino Linotype" w:hAnsi="Palatino Linotype"/>
        </w:rPr>
        <w:t xml:space="preserve"> Presidente o Presidenta Municipal, así como documentos donde consten gratificaciones, bonos, primas y deducciones de todos los con</w:t>
      </w:r>
      <w:r>
        <w:rPr>
          <w:rFonts w:ascii="Palatino Linotype" w:hAnsi="Palatino Linotype"/>
        </w:rPr>
        <w:t>ceptos.</w:t>
      </w:r>
    </w:p>
    <w:bookmarkEnd w:id="2"/>
    <w:bookmarkEnd w:id="3"/>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53F20F7A" w14:textId="2B435F6B" w:rsidR="00437943" w:rsidRDefault="000F5CBE" w:rsidP="00642DC5">
      <w:pPr>
        <w:pStyle w:val="Prrafodelista"/>
        <w:spacing w:line="360" w:lineRule="auto"/>
        <w:ind w:left="0"/>
        <w:contextualSpacing/>
        <w:jc w:val="both"/>
        <w:rPr>
          <w:rFonts w:ascii="Palatino Linotype" w:hAnsi="Palatino Linotype"/>
          <w:bCs/>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w:t>
      </w:r>
      <w:r w:rsidR="00642DC5">
        <w:rPr>
          <w:rFonts w:ascii="Palatino Linotype" w:hAnsi="Palatino Linotype"/>
          <w:bCs/>
          <w:color w:val="000000"/>
          <w:lang w:val="es-ES_tradnl"/>
        </w:rPr>
        <w:t>informando</w:t>
      </w:r>
      <w:r w:rsidR="008B7EC0">
        <w:rPr>
          <w:rFonts w:ascii="Palatino Linotype" w:hAnsi="Palatino Linotype"/>
          <w:bCs/>
          <w:color w:val="000000"/>
          <w:lang w:val="es-ES_tradnl"/>
        </w:rPr>
        <w:t xml:space="preserve"> a través del Tesorero Municipal mediante oficio No. PMR/TM/0045/2022</w:t>
      </w:r>
      <w:r w:rsidR="00642DC5">
        <w:rPr>
          <w:rFonts w:ascii="Palatino Linotype" w:hAnsi="Palatino Linotype"/>
          <w:bCs/>
          <w:color w:val="000000"/>
          <w:lang w:val="es-ES_tradnl"/>
        </w:rPr>
        <w:t xml:space="preserve"> que</w:t>
      </w:r>
      <w:r w:rsidR="008B7EC0">
        <w:rPr>
          <w:rFonts w:ascii="Palatino Linotype" w:hAnsi="Palatino Linotype"/>
          <w:bCs/>
          <w:color w:val="000000"/>
          <w:lang w:val="es-ES_tradnl"/>
        </w:rPr>
        <w:t>,</w:t>
      </w:r>
      <w:r w:rsidR="00437943" w:rsidRPr="00437943">
        <w:t xml:space="preserve"> </w:t>
      </w:r>
      <w:r w:rsidR="008B7EC0">
        <w:rPr>
          <w:rFonts w:ascii="Palatino Linotype" w:hAnsi="Palatino Linotype"/>
          <w:bCs/>
          <w:color w:val="000000"/>
          <w:lang w:val="es-ES_tradnl"/>
        </w:rPr>
        <w:t>se remite la información solicitada en medio magnético</w:t>
      </w:r>
      <w:r w:rsidR="00642DC5" w:rsidRPr="00642DC5">
        <w:rPr>
          <w:rFonts w:ascii="Palatino Linotype" w:hAnsi="Palatino Linotype"/>
          <w:bCs/>
          <w:color w:val="000000"/>
          <w:lang w:val="es-ES_tradnl"/>
        </w:rPr>
        <w:t>,</w:t>
      </w:r>
      <w:r w:rsidR="00437943">
        <w:rPr>
          <w:rFonts w:ascii="Palatino Linotype" w:hAnsi="Palatino Linotype"/>
          <w:bCs/>
          <w:color w:val="000000"/>
          <w:lang w:val="es-ES_tradnl"/>
        </w:rPr>
        <w:t xml:space="preserve"> sin que se advierta documento alguno que sustente la entrega de dicha información.</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lastRenderedPageBreak/>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lastRenderedPageBreak/>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0D1F3A63" w14:textId="77777777" w:rsidR="00905A21" w:rsidRDefault="00905A21" w:rsidP="00905A21">
      <w:pPr>
        <w:tabs>
          <w:tab w:val="left" w:pos="709"/>
        </w:tabs>
        <w:spacing w:line="360" w:lineRule="auto"/>
        <w:ind w:right="51"/>
        <w:jc w:val="both"/>
        <w:rPr>
          <w:rFonts w:ascii="Palatino Linotype" w:hAnsi="Palatino Linotype" w:cs="Arial"/>
        </w:rPr>
      </w:pPr>
      <w:r w:rsidRPr="00303385">
        <w:rPr>
          <w:rFonts w:ascii="Palatino Linotype" w:hAnsi="Palatino Linotype" w:cs="Arial"/>
        </w:rPr>
        <w:lastRenderedPageBreak/>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1EB7304D" w14:textId="2D1D1F23" w:rsidR="00905A21" w:rsidRP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Señalado lo anterior, es de precisar que se obvia el análisis de la competencia por parte del Sujeto Obligado, para generar, administrar o poseer la información solicitada, dado que éste ha asumido la misma, mediante los documentos remitidos en respuesta.</w:t>
      </w:r>
    </w:p>
    <w:p w14:paraId="74C4B46A" w14:textId="77777777" w:rsidR="00905A21" w:rsidRPr="00905A21" w:rsidRDefault="00905A21" w:rsidP="00905A21">
      <w:pPr>
        <w:autoSpaceDE w:val="0"/>
        <w:autoSpaceDN w:val="0"/>
        <w:adjustRightInd w:val="0"/>
        <w:spacing w:line="360" w:lineRule="auto"/>
        <w:jc w:val="both"/>
        <w:rPr>
          <w:rFonts w:ascii="Palatino Linotype" w:hAnsi="Palatino Linotype"/>
        </w:rPr>
      </w:pPr>
    </w:p>
    <w:p w14:paraId="394A3A6C" w14:textId="018647FE" w:rsid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del mismo.</w:t>
      </w:r>
    </w:p>
    <w:p w14:paraId="38AE2C12" w14:textId="77777777" w:rsidR="00A27E33" w:rsidRPr="00A87485" w:rsidRDefault="00A27E33" w:rsidP="00A27E33">
      <w:pPr>
        <w:spacing w:line="360" w:lineRule="auto"/>
        <w:jc w:val="both"/>
        <w:rPr>
          <w:rFonts w:ascii="Palatino Linotype" w:eastAsia="Calibri" w:hAnsi="Palatino Linotype"/>
          <w:lang w:val="es-MX" w:eastAsia="es-MX"/>
        </w:rPr>
      </w:pPr>
    </w:p>
    <w:p w14:paraId="0CDD7DE4" w14:textId="45C4926D" w:rsidR="00A27E33" w:rsidRDefault="00A27E33" w:rsidP="00F01DC1">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Ahora bien, respecto </w:t>
      </w:r>
      <w:r>
        <w:rPr>
          <w:rFonts w:ascii="Palatino Linotype" w:eastAsia="Calibri" w:hAnsi="Palatino Linotype" w:cs="Arial"/>
          <w:lang w:val="es-MX" w:eastAsia="en-US"/>
        </w:rPr>
        <w:t xml:space="preserve">a </w:t>
      </w:r>
      <w:r w:rsidR="00F01DC1">
        <w:rPr>
          <w:rFonts w:ascii="Palatino Linotype" w:eastAsia="Calibri" w:hAnsi="Palatino Linotype" w:cs="Arial"/>
          <w:lang w:val="es-MX" w:eastAsia="en-US"/>
        </w:rPr>
        <w:t>la información solicitada,</w:t>
      </w:r>
      <w:r w:rsidRPr="00A87485">
        <w:rPr>
          <w:rFonts w:ascii="Palatino Linotype" w:eastAsia="Calibri" w:hAnsi="Palatino Linotype" w:cs="Arial"/>
          <w:lang w:val="es-MX" w:eastAsia="en-US"/>
        </w:rPr>
        <w:t xml:space="preserve"> correspondiente a la entrega de los </w:t>
      </w:r>
      <w:r>
        <w:rPr>
          <w:rFonts w:ascii="Palatino Linotype" w:eastAsia="Calibri" w:hAnsi="Palatino Linotype" w:cs="Arial"/>
          <w:lang w:val="es-MX" w:eastAsia="en-US"/>
        </w:rPr>
        <w:t>documentos en donde con</w:t>
      </w:r>
      <w:r w:rsidR="00F01DC1">
        <w:rPr>
          <w:rFonts w:ascii="Palatino Linotype" w:eastAsia="Calibri" w:hAnsi="Palatino Linotype" w:cs="Arial"/>
          <w:lang w:val="es-MX" w:eastAsia="en-US"/>
        </w:rPr>
        <w:t xml:space="preserve">ste el </w:t>
      </w:r>
      <w:r w:rsidR="00F01DC1" w:rsidRPr="00F01DC1">
        <w:rPr>
          <w:rFonts w:ascii="Palatino Linotype" w:eastAsia="Calibri" w:hAnsi="Palatino Linotype" w:cs="Arial"/>
          <w:lang w:val="es-MX" w:eastAsia="en-US"/>
        </w:rPr>
        <w:t>sueldo bruto, sueldo neto, gratificaciones, bonos, primas y deducciones, del Síndico Municipal, R</w:t>
      </w:r>
      <w:r w:rsidR="00F01DC1">
        <w:rPr>
          <w:rFonts w:ascii="Palatino Linotype" w:eastAsia="Calibri" w:hAnsi="Palatino Linotype" w:cs="Arial"/>
          <w:lang w:val="es-MX" w:eastAsia="en-US"/>
        </w:rPr>
        <w:t>egidores, y Tesorero Municipal, así como los r</w:t>
      </w:r>
      <w:r w:rsidR="00F01DC1" w:rsidRPr="00F01DC1">
        <w:rPr>
          <w:rFonts w:ascii="Palatino Linotype" w:eastAsia="Calibri" w:hAnsi="Palatino Linotype" w:cs="Arial"/>
          <w:lang w:val="es-MX" w:eastAsia="en-US"/>
        </w:rPr>
        <w:t>ecibos de nómina generados del Pr</w:t>
      </w:r>
      <w:r w:rsidR="00F01DC1">
        <w:rPr>
          <w:rFonts w:ascii="Palatino Linotype" w:eastAsia="Calibri" w:hAnsi="Palatino Linotype" w:cs="Arial"/>
          <w:lang w:val="es-MX" w:eastAsia="en-US"/>
        </w:rPr>
        <w:t>esidente o Presidenta Municipal y</w:t>
      </w:r>
      <w:r w:rsidR="00F01DC1" w:rsidRPr="00F01DC1">
        <w:rPr>
          <w:rFonts w:ascii="Palatino Linotype" w:eastAsia="Calibri" w:hAnsi="Palatino Linotype" w:cs="Arial"/>
          <w:lang w:val="es-MX" w:eastAsia="en-US"/>
        </w:rPr>
        <w:t xml:space="preserve"> </w:t>
      </w:r>
      <w:r w:rsidR="00F01DC1">
        <w:rPr>
          <w:rFonts w:ascii="Palatino Linotype" w:eastAsia="Calibri" w:hAnsi="Palatino Linotype" w:cs="Arial"/>
          <w:lang w:val="es-MX" w:eastAsia="en-US"/>
        </w:rPr>
        <w:t>los</w:t>
      </w:r>
      <w:r w:rsidR="00F01DC1" w:rsidRPr="00F01DC1">
        <w:rPr>
          <w:rFonts w:ascii="Palatino Linotype" w:eastAsia="Calibri" w:hAnsi="Palatino Linotype" w:cs="Arial"/>
          <w:lang w:val="es-MX" w:eastAsia="en-US"/>
        </w:rPr>
        <w:t xml:space="preserve"> documentos </w:t>
      </w:r>
      <w:r w:rsidR="00F01DC1">
        <w:rPr>
          <w:rFonts w:ascii="Palatino Linotype" w:eastAsia="Calibri" w:hAnsi="Palatino Linotype" w:cs="Arial"/>
          <w:lang w:val="es-MX" w:eastAsia="en-US"/>
        </w:rPr>
        <w:t>que den cuenta de sus</w:t>
      </w:r>
      <w:r w:rsidR="00F01DC1" w:rsidRPr="00F01DC1">
        <w:rPr>
          <w:rFonts w:ascii="Palatino Linotype" w:eastAsia="Calibri" w:hAnsi="Palatino Linotype" w:cs="Arial"/>
          <w:lang w:val="es-MX" w:eastAsia="en-US"/>
        </w:rPr>
        <w:t xml:space="preserve"> gratificaciones, bonos, primas y ded</w:t>
      </w:r>
      <w:r w:rsidR="00F01DC1">
        <w:rPr>
          <w:rFonts w:ascii="Palatino Linotype" w:eastAsia="Calibri" w:hAnsi="Palatino Linotype" w:cs="Arial"/>
          <w:lang w:val="es-MX" w:eastAsia="en-US"/>
        </w:rPr>
        <w:t>ucciones,</w:t>
      </w:r>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debemos destacar que el Sujeto Obligado no negó la existencia de dicho</w:t>
      </w:r>
      <w:r w:rsidR="00F01DC1">
        <w:rPr>
          <w:rFonts w:ascii="Palatino Linotype" w:eastAsia="Calibri" w:hAnsi="Palatino Linotype"/>
          <w:lang w:val="es-MX" w:eastAsia="es-MX"/>
        </w:rPr>
        <w:t>s</w:t>
      </w:r>
      <w:r w:rsidRPr="00A87485">
        <w:rPr>
          <w:rFonts w:ascii="Palatino Linotype" w:eastAsia="Calibri" w:hAnsi="Palatino Linotype"/>
          <w:lang w:val="es-MX" w:eastAsia="es-MX"/>
        </w:rPr>
        <w:t xml:space="preserve"> documento</w:t>
      </w:r>
      <w:r w:rsidR="00F01DC1">
        <w:rPr>
          <w:rFonts w:ascii="Palatino Linotype" w:eastAsia="Calibri" w:hAnsi="Palatino Linotype"/>
          <w:lang w:val="es-MX" w:eastAsia="es-MX"/>
        </w:rPr>
        <w:t>s</w:t>
      </w:r>
      <w:r w:rsidRPr="00A87485">
        <w:rPr>
          <w:rFonts w:ascii="Palatino Linotype" w:eastAsia="Calibri" w:hAnsi="Palatino Linotype" w:cs="Arial"/>
          <w:lang w:val="es-MX" w:eastAsia="en-US"/>
        </w:rPr>
        <w:t xml:space="preserve">, es decir, </w:t>
      </w:r>
      <w:r w:rsidRPr="00A87485">
        <w:rPr>
          <w:rFonts w:ascii="Palatino Linotype" w:eastAsia="Calibri" w:hAnsi="Palatino Linotype" w:cs="Arial"/>
          <w:b/>
          <w:lang w:val="es-MX" w:eastAsia="en-US"/>
        </w:rPr>
        <w:t>el Sujeto Obligado</w:t>
      </w:r>
      <w:r w:rsidR="00EA218A">
        <w:rPr>
          <w:rFonts w:ascii="Palatino Linotype" w:eastAsia="Calibri" w:hAnsi="Palatino Linotype" w:cs="Arial"/>
          <w:lang w:val="es-MX" w:eastAsia="en-US"/>
        </w:rPr>
        <w:t xml:space="preserve"> manifestó hacer entrega de la información solicitada sin que se advierta constancia dentro del expediente electrónico </w:t>
      </w:r>
      <w:r>
        <w:rPr>
          <w:rFonts w:ascii="Palatino Linotype" w:eastAsia="Calibri" w:hAnsi="Palatino Linotype" w:cs="Arial"/>
          <w:lang w:val="es-MX" w:eastAsia="en-US"/>
        </w:rPr>
        <w:t xml:space="preserve"> </w:t>
      </w:r>
      <w:r w:rsidR="00EA218A">
        <w:rPr>
          <w:rFonts w:ascii="Palatino Linotype" w:eastAsia="Calibri" w:hAnsi="Palatino Linotype" w:cs="Arial"/>
          <w:lang w:val="es-MX" w:eastAsia="en-US"/>
        </w:rPr>
        <w:t>del SAIMEX que haya remitido información alguna.</w:t>
      </w:r>
    </w:p>
    <w:p w14:paraId="28335504" w14:textId="77777777" w:rsidR="00A27E33" w:rsidRDefault="00A27E33" w:rsidP="00A27E33">
      <w:pPr>
        <w:spacing w:line="360" w:lineRule="auto"/>
        <w:jc w:val="both"/>
        <w:rPr>
          <w:rFonts w:ascii="Palatino Linotype" w:eastAsia="Calibri" w:hAnsi="Palatino Linotype" w:cs="Arial"/>
          <w:lang w:val="es-MX" w:eastAsia="en-US"/>
        </w:rPr>
      </w:pPr>
    </w:p>
    <w:p w14:paraId="54515557" w14:textId="1CFE8006"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 </w:t>
      </w:r>
      <w:r>
        <w:rPr>
          <w:rFonts w:ascii="Palatino Linotype" w:eastAsia="Calibri" w:hAnsi="Palatino Linotype" w:cs="Arial"/>
          <w:lang w:val="es-MX" w:eastAsia="en-US"/>
        </w:rPr>
        <w:t>E</w:t>
      </w:r>
      <w:r w:rsidRPr="00A87485">
        <w:rPr>
          <w:rFonts w:ascii="Palatino Linotype" w:eastAsia="Calibri" w:hAnsi="Palatino Linotype" w:cs="Arial"/>
          <w:lang w:val="es-MX" w:eastAsia="en-US"/>
        </w:rPr>
        <w:t>n virtud</w:t>
      </w:r>
      <w:r>
        <w:rPr>
          <w:rFonts w:ascii="Palatino Linotype" w:eastAsia="Calibri" w:hAnsi="Palatino Linotype" w:cs="Arial"/>
          <w:lang w:val="es-MX" w:eastAsia="en-US"/>
        </w:rPr>
        <w:t xml:space="preserve"> de lo anterior</w:t>
      </w:r>
      <w:r w:rsidRPr="00A87485">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Pr>
          <w:rFonts w:ascii="Palatino Linotype" w:eastAsia="Calibri" w:hAnsi="Palatino Linotype" w:cs="Arial"/>
          <w:lang w:val="es-MX" w:eastAsia="en-US"/>
        </w:rPr>
        <w:t xml:space="preserve"> </w:t>
      </w:r>
      <w:r w:rsidRPr="00215429">
        <w:rPr>
          <w:rFonts w:ascii="Palatino Linotype" w:eastAsia="Calibri" w:hAnsi="Palatino Linotype" w:cs="Arial"/>
          <w:lang w:val="es-MX" w:eastAsia="en-US"/>
        </w:rPr>
        <w:t xml:space="preserve">los documentos en donde conste </w:t>
      </w:r>
      <w:r w:rsidR="00EA218A">
        <w:rPr>
          <w:rFonts w:ascii="Palatino Linotype" w:eastAsia="Calibri" w:hAnsi="Palatino Linotype" w:cs="Arial"/>
          <w:lang w:val="es-MX" w:eastAsia="en-US"/>
        </w:rPr>
        <w:t>la información solicitada</w:t>
      </w:r>
      <w:r>
        <w:rPr>
          <w:rFonts w:ascii="Palatino Linotype" w:eastAsia="Calibri" w:hAnsi="Palatino Linotype" w:cs="Arial"/>
          <w:lang w:val="es-MX" w:eastAsia="en-US"/>
        </w:rPr>
        <w:t>,</w:t>
      </w:r>
      <w:r w:rsidRPr="00A87485">
        <w:rPr>
          <w:rFonts w:ascii="Palatino Linotype" w:eastAsia="Calibri" w:hAnsi="Palatino Linotype" w:cs="Arial"/>
          <w:lang w:val="es-MX" w:eastAsia="en-US"/>
        </w:rPr>
        <w:t xml:space="preserve"> en la modalidad elegida por el particular, es decir mediante el SAIMEX</w:t>
      </w:r>
      <w:r>
        <w:rPr>
          <w:rFonts w:ascii="Palatino Linotype" w:eastAsia="Calibri" w:hAnsi="Palatino Linotype" w:cs="Arial"/>
          <w:lang w:val="es-MX" w:eastAsia="en-US"/>
        </w:rPr>
        <w:t>, en versión pública, acompañado de Acuerdo de clasificación que sustente su elaboración.</w:t>
      </w:r>
    </w:p>
    <w:p w14:paraId="707E69F3" w14:textId="77777777" w:rsidR="00A16B84" w:rsidRPr="00A16B84" w:rsidRDefault="00A16B84" w:rsidP="00A16B84">
      <w:pPr>
        <w:spacing w:line="360" w:lineRule="auto"/>
        <w:jc w:val="both"/>
        <w:rPr>
          <w:rFonts w:ascii="Palatino Linotype" w:eastAsiaTheme="minorHAnsi" w:hAnsi="Palatino Linotype" w:cs="Arial"/>
          <w:b/>
          <w:lang w:eastAsia="en-US"/>
        </w:rPr>
      </w:pPr>
    </w:p>
    <w:p w14:paraId="625B78C9" w14:textId="3BE6AF5E" w:rsidR="00A16B84" w:rsidRDefault="00A16B84" w:rsidP="00A16B84">
      <w:pPr>
        <w:spacing w:line="360" w:lineRule="auto"/>
        <w:jc w:val="both"/>
        <w:rPr>
          <w:rFonts w:ascii="Palatino Linotype" w:eastAsiaTheme="minorHAnsi" w:hAnsi="Palatino Linotype" w:cs="Arial"/>
          <w:bCs/>
          <w:lang w:eastAsia="en-US"/>
        </w:rPr>
      </w:pPr>
      <w:r w:rsidRPr="00A16B84">
        <w:rPr>
          <w:rFonts w:ascii="Palatino Linotype" w:eastAsiaTheme="minorHAnsi" w:hAnsi="Palatino Linotype" w:cs="Arial"/>
          <w:lang w:eastAsia="en-US"/>
        </w:rPr>
        <w:t>En este sentido, de acuerdo a la naturaleza de la información solicitada se concluye que ésta es de</w:t>
      </w:r>
      <w:r w:rsidRPr="00A16B84">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ascii="Palatino Linotype" w:eastAsiaTheme="minorHAnsi" w:hAnsi="Palatino Linotype" w:cs="Arial"/>
          <w:lang w:eastAsia="en-US"/>
        </w:rPr>
        <w:t xml:space="preserve"> </w:t>
      </w:r>
      <w:r w:rsidRPr="00A16B84">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BE28BE8" w14:textId="77777777" w:rsidR="00B73FCF" w:rsidRPr="00A16B84"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A16B84" w:rsidRDefault="00A16B84" w:rsidP="00B73FCF">
      <w:pPr>
        <w:ind w:left="851" w:right="851"/>
        <w:jc w:val="both"/>
        <w:rPr>
          <w:rFonts w:ascii="Palatino Linotype" w:eastAsiaTheme="minorHAnsi" w:hAnsi="Palatino Linotype" w:cs="Arial"/>
          <w:bCs/>
          <w:i/>
          <w:sz w:val="22"/>
          <w:szCs w:val="22"/>
          <w:lang w:eastAsia="en-US"/>
        </w:rPr>
      </w:pPr>
      <w:r w:rsidRPr="00A16B84">
        <w:rPr>
          <w:rFonts w:ascii="Palatino Linotype" w:eastAsiaTheme="minorHAnsi" w:hAnsi="Palatino Linotype" w:cs="Arial"/>
          <w:bCs/>
          <w:i/>
          <w:sz w:val="22"/>
          <w:szCs w:val="22"/>
          <w:lang w:eastAsia="en-US"/>
        </w:rPr>
        <w:t>“</w:t>
      </w:r>
      <w:r w:rsidRPr="00A16B84">
        <w:rPr>
          <w:rFonts w:ascii="Palatino Linotype" w:eastAsiaTheme="minorHAnsi" w:hAnsi="Palatino Linotype" w:cs="Arial"/>
          <w:b/>
          <w:bCs/>
          <w:i/>
          <w:sz w:val="22"/>
          <w:szCs w:val="22"/>
          <w:lang w:eastAsia="en-US"/>
        </w:rPr>
        <w:t>Artículo 23</w:t>
      </w:r>
      <w:r w:rsidRPr="00A16B84">
        <w:rPr>
          <w:rFonts w:ascii="Palatino Linotype" w:eastAsiaTheme="minorHAnsi" w:hAnsi="Palatino Linotype" w:cs="Arial"/>
          <w:bCs/>
          <w:i/>
          <w:sz w:val="22"/>
          <w:szCs w:val="22"/>
          <w:lang w:eastAsia="en-US"/>
        </w:rPr>
        <w:t xml:space="preserve"> Son </w:t>
      </w:r>
      <w:r w:rsidRPr="00A16B84">
        <w:rPr>
          <w:rFonts w:ascii="Palatino Linotype" w:eastAsia="MS Mincho" w:hAnsi="Palatino Linotype" w:cs="Arial"/>
          <w:i/>
          <w:sz w:val="22"/>
          <w:szCs w:val="22"/>
          <w:lang w:eastAsia="en-US"/>
        </w:rPr>
        <w:t>sujetos</w:t>
      </w:r>
      <w:r w:rsidRPr="00A16B84">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Default="00A16B84" w:rsidP="00B73FCF">
      <w:pPr>
        <w:ind w:left="851" w:right="851"/>
        <w:jc w:val="both"/>
        <w:rPr>
          <w:rFonts w:ascii="Palatino Linotype" w:eastAsiaTheme="minorHAnsi" w:hAnsi="Palatino Linotype" w:cs="Arial"/>
          <w:b/>
          <w:bCs/>
          <w:i/>
          <w:sz w:val="22"/>
          <w:szCs w:val="22"/>
          <w:u w:val="single"/>
          <w:lang w:eastAsia="en-US"/>
        </w:rPr>
      </w:pPr>
      <w:r w:rsidRPr="00A16B84">
        <w:rPr>
          <w:rFonts w:ascii="Palatino Linotype" w:eastAsiaTheme="minorHAnsi" w:hAnsi="Palatino Linotype" w:cs="Arial"/>
          <w:b/>
          <w:bCs/>
          <w:i/>
          <w:sz w:val="22"/>
          <w:szCs w:val="22"/>
          <w:lang w:eastAsia="en-US"/>
        </w:rPr>
        <w:t>IV.</w:t>
      </w:r>
      <w:r w:rsidRPr="00A16B84">
        <w:rPr>
          <w:rFonts w:ascii="Palatino Linotype" w:eastAsiaTheme="minorHAnsi" w:hAnsi="Palatino Linotype" w:cs="Arial"/>
          <w:bCs/>
          <w:i/>
          <w:sz w:val="22"/>
          <w:szCs w:val="22"/>
          <w:lang w:eastAsia="en-US"/>
        </w:rPr>
        <w:t xml:space="preserve"> Los ayuntamientos </w:t>
      </w:r>
      <w:r w:rsidRPr="00A16B84">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A16B84"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Cs/>
          <w:i/>
          <w:sz w:val="22"/>
          <w:szCs w:val="22"/>
          <w:lang w:eastAsia="en-US"/>
        </w:rPr>
        <w:lastRenderedPageBreak/>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ascii="Palatino Linotype" w:eastAsiaTheme="minorHAnsi" w:hAnsi="Palatino Linotype" w:cs="Arial"/>
          <w:b/>
          <w:bCs/>
          <w:i/>
          <w:sz w:val="22"/>
          <w:szCs w:val="22"/>
          <w:lang w:eastAsia="en-US"/>
        </w:rPr>
        <w:t>[Sic]</w:t>
      </w:r>
    </w:p>
    <w:p w14:paraId="34009209" w14:textId="77777777" w:rsidR="00A16B84" w:rsidRPr="00A16B84" w:rsidRDefault="00A16B84" w:rsidP="00A16B84">
      <w:pPr>
        <w:spacing w:line="360" w:lineRule="auto"/>
        <w:jc w:val="both"/>
        <w:rPr>
          <w:rFonts w:ascii="Palatino Linotype" w:eastAsiaTheme="minorHAnsi" w:hAnsi="Palatino Linotype" w:cs="Arial"/>
          <w:lang w:eastAsia="en-US"/>
        </w:rPr>
      </w:pPr>
    </w:p>
    <w:p w14:paraId="269557CC" w14:textId="58A5202B" w:rsidR="00B73FCF" w:rsidRPr="008D7CEE" w:rsidRDefault="00A16B84" w:rsidP="008D7CEE">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A16B84">
        <w:rPr>
          <w:rFonts w:ascii="Palatino Linotype" w:eastAsiaTheme="minorHAnsi" w:hAnsi="Palatino Linotype" w:cs="Arial"/>
          <w:b/>
          <w:lang w:eastAsia="en-US"/>
        </w:rPr>
        <w:t>01/2003</w:t>
      </w:r>
      <w:r w:rsidRPr="00A16B84">
        <w:rPr>
          <w:rFonts w:ascii="Palatino Linotype" w:eastAsiaTheme="minorHAnsi" w:hAnsi="Palatino Linotype" w:cs="Arial"/>
          <w:lang w:eastAsia="en-US"/>
        </w:rPr>
        <w:t xml:space="preserve"> y </w:t>
      </w:r>
      <w:r w:rsidRPr="00A16B84">
        <w:rPr>
          <w:rFonts w:ascii="Palatino Linotype" w:eastAsiaTheme="minorHAnsi" w:hAnsi="Palatino Linotype" w:cs="Arial"/>
          <w:b/>
          <w:lang w:eastAsia="en-US"/>
        </w:rPr>
        <w:t>02/2003</w:t>
      </w:r>
      <w:r w:rsidRPr="00A16B84">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5C5C033D" w14:textId="77777777" w:rsidR="00B73FCF" w:rsidRDefault="00B73FCF" w:rsidP="00A16B84">
      <w:pPr>
        <w:spacing w:line="360" w:lineRule="auto"/>
        <w:ind w:left="851" w:right="851"/>
        <w:jc w:val="center"/>
        <w:rPr>
          <w:rFonts w:ascii="Palatino Linotype" w:eastAsiaTheme="minorHAnsi" w:hAnsi="Palatino Linotype" w:cs="Arial"/>
          <w:b/>
          <w:i/>
          <w:sz w:val="22"/>
          <w:szCs w:val="22"/>
          <w:lang w:eastAsia="en-US"/>
        </w:rPr>
      </w:pPr>
    </w:p>
    <w:p w14:paraId="3A331F65" w14:textId="4A55E5C1" w:rsidR="00A16B84" w:rsidRPr="00A16B84" w:rsidRDefault="00A16B84" w:rsidP="00A16B84">
      <w:pPr>
        <w:spacing w:line="360" w:lineRule="auto"/>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01/2003.</w:t>
      </w:r>
    </w:p>
    <w:p w14:paraId="5648387C"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A16B84">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6B84">
        <w:rPr>
          <w:rFonts w:ascii="Palatino Linotype" w:eastAsiaTheme="minorHAnsi" w:hAnsi="Palatino Linotype" w:cs="Arial"/>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16B84">
        <w:rPr>
          <w:rFonts w:ascii="Palatino Linotype" w:eastAsiaTheme="minorHAnsi" w:hAnsi="Palatino Linotype" w:cs="Arial"/>
          <w:i/>
          <w:sz w:val="22"/>
          <w:szCs w:val="22"/>
          <w:u w:val="single"/>
          <w:lang w:eastAsia="en-US"/>
        </w:rPr>
        <w:t>…”</w:t>
      </w:r>
      <w:r w:rsidRPr="00A16B84">
        <w:rPr>
          <w:rFonts w:ascii="Palatino Linotype" w:eastAsiaTheme="minorHAnsi" w:hAnsi="Palatino Linotype" w:cs="Arial"/>
          <w:i/>
          <w:sz w:val="22"/>
          <w:szCs w:val="22"/>
          <w:lang w:eastAsia="en-US"/>
        </w:rPr>
        <w:t xml:space="preserve"> </w:t>
      </w:r>
      <w:r w:rsidRPr="00A16B84">
        <w:rPr>
          <w:rFonts w:ascii="Palatino Linotype" w:eastAsiaTheme="minorHAnsi" w:hAnsi="Palatino Linotype" w:cs="Arial"/>
          <w:b/>
          <w:bCs/>
          <w:i/>
          <w:sz w:val="22"/>
          <w:szCs w:val="22"/>
          <w:lang w:eastAsia="en-US"/>
        </w:rPr>
        <w:t>[Sic]</w:t>
      </w:r>
    </w:p>
    <w:p w14:paraId="2BABE23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p>
    <w:p w14:paraId="7C12F4EE"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02/2003.</w:t>
      </w:r>
    </w:p>
    <w:p w14:paraId="7E4B4631"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A16B84">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w:t>
      </w:r>
      <w:r w:rsidRPr="00A16B84">
        <w:rPr>
          <w:rFonts w:ascii="Palatino Linotype" w:eastAsiaTheme="minorHAnsi" w:hAnsi="Palatino Linotype" w:cs="Arial"/>
          <w:i/>
          <w:sz w:val="22"/>
          <w:szCs w:val="22"/>
          <w:lang w:eastAsia="en-US"/>
        </w:rPr>
        <w:lastRenderedPageBreak/>
        <w:t xml:space="preserve">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6B84">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6B84">
        <w:rPr>
          <w:rFonts w:ascii="Palatino Linotype" w:eastAsiaTheme="minorHAnsi" w:hAnsi="Palatino Linotype" w:cs="Arial"/>
          <w:i/>
          <w:sz w:val="22"/>
          <w:szCs w:val="22"/>
          <w:lang w:eastAsia="en-US"/>
        </w:rPr>
        <w:t xml:space="preserve"> el sistema de compensación…” </w:t>
      </w:r>
      <w:r w:rsidRPr="00A16B84">
        <w:rPr>
          <w:rFonts w:ascii="Palatino Linotype" w:eastAsiaTheme="minorHAnsi" w:hAnsi="Palatino Linotype" w:cs="Arial"/>
          <w:b/>
          <w:i/>
          <w:sz w:val="22"/>
          <w:szCs w:val="22"/>
          <w:lang w:eastAsia="en-US"/>
        </w:rPr>
        <w:t>[Sic]</w:t>
      </w:r>
    </w:p>
    <w:p w14:paraId="28D0D032" w14:textId="77777777" w:rsidR="00A16B84" w:rsidRPr="00A16B84" w:rsidRDefault="00A16B84" w:rsidP="00A16B84">
      <w:pPr>
        <w:spacing w:line="360" w:lineRule="auto"/>
        <w:jc w:val="both"/>
        <w:rPr>
          <w:rFonts w:ascii="Palatino Linotype" w:eastAsiaTheme="minorHAnsi" w:hAnsi="Palatino Linotype" w:cs="Arial"/>
          <w:lang w:eastAsia="en-US"/>
        </w:rPr>
      </w:pPr>
    </w:p>
    <w:p w14:paraId="6DCFD485" w14:textId="1F17B849"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En este sentido, </w:t>
      </w:r>
      <w:r w:rsidRPr="00A16B84">
        <w:rPr>
          <w:rFonts w:ascii="Palatino Linotype" w:eastAsiaTheme="minorHAnsi" w:hAnsi="Palatino Linotype" w:cs="Arial"/>
          <w:b/>
          <w:lang w:eastAsia="en-US"/>
        </w:rPr>
        <w:t>El Sujeto Obligado</w:t>
      </w:r>
      <w:r w:rsidRPr="00A16B84">
        <w:rPr>
          <w:rFonts w:ascii="Palatino Linotype" w:eastAsiaTheme="minorHAnsi" w:hAnsi="Palatino Linotype" w:cs="Arial"/>
          <w:lang w:eastAsia="en-US"/>
        </w:rPr>
        <w:t xml:space="preserve"> se encuentra constreñido a entregar la información solicitada por </w:t>
      </w:r>
      <w:r w:rsidRPr="00A16B84">
        <w:rPr>
          <w:rFonts w:ascii="Palatino Linotype" w:eastAsiaTheme="minorHAnsi" w:hAnsi="Palatino Linotype" w:cs="Arial"/>
          <w:b/>
          <w:color w:val="000000"/>
          <w:lang w:eastAsia="es-MX"/>
        </w:rPr>
        <w:t>El</w:t>
      </w:r>
      <w:r w:rsidRPr="00A16B84">
        <w:rPr>
          <w:rFonts w:ascii="Palatino Linotype" w:eastAsiaTheme="minorHAnsi" w:hAnsi="Palatino Linotype" w:cs="Arial"/>
          <w:b/>
          <w:color w:val="000000"/>
          <w:lang w:val="es-MX" w:eastAsia="es-MX"/>
        </w:rPr>
        <w:t xml:space="preserve"> Recurrente</w:t>
      </w:r>
      <w:r w:rsidRPr="00A16B84">
        <w:rPr>
          <w:rFonts w:ascii="Palatino Linotype" w:eastAsiaTheme="minorHAnsi" w:hAnsi="Palatino Linotype" w:cs="Arial"/>
          <w:lang w:eastAsia="en-US"/>
        </w:rPr>
        <w:t xml:space="preserve">, de acuerdo a lo dispuesto por los artículos 3, fracción XI y 12 </w:t>
      </w:r>
      <w:r w:rsidRPr="00A16B84">
        <w:rPr>
          <w:rFonts w:ascii="Palatino Linotype" w:eastAsiaTheme="minorHAnsi" w:hAnsi="Palatino Linotype" w:cs="Arial"/>
          <w:bCs/>
          <w:lang w:eastAsia="en-US"/>
        </w:rPr>
        <w:t>de la Ley de Transparencia y Acceso a la Información Pública del Estado de México y Municipios</w:t>
      </w:r>
      <w:r w:rsidRPr="00A16B84">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6C058283" w14:textId="77777777" w:rsidR="00B73FCF" w:rsidRPr="00A16B84" w:rsidRDefault="00B73FCF" w:rsidP="00A16B84">
      <w:pPr>
        <w:spacing w:line="360" w:lineRule="auto"/>
        <w:jc w:val="both"/>
        <w:rPr>
          <w:rFonts w:ascii="Palatino Linotype" w:eastAsiaTheme="minorHAnsi" w:hAnsi="Palatino Linotype" w:cs="Arial"/>
          <w:lang w:eastAsia="en-US"/>
        </w:rPr>
      </w:pPr>
    </w:p>
    <w:p w14:paraId="5918E1A9"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Siendo aplicable, el criterio </w:t>
      </w:r>
      <w:r w:rsidRPr="00A16B84">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16B84">
        <w:rPr>
          <w:rFonts w:ascii="Palatino Linotype" w:eastAsiaTheme="minorHAnsi" w:hAnsi="Palatino Linotype" w:cs="Arial"/>
          <w:lang w:eastAsia="en-US"/>
        </w:rPr>
        <w:t>cuyo rubro y texto dispone:</w:t>
      </w:r>
    </w:p>
    <w:p w14:paraId="2A95E73D"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0002-11</w:t>
      </w:r>
    </w:p>
    <w:p w14:paraId="53D4D6A4"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A16B84">
        <w:rPr>
          <w:rFonts w:ascii="Palatino Linotype" w:eastAsiaTheme="minorHAnsi" w:hAnsi="Palatino Linotype" w:cs="Arial"/>
          <w:b/>
          <w:bCs/>
          <w:i/>
          <w:sz w:val="22"/>
          <w:szCs w:val="22"/>
          <w:lang w:eastAsia="en-US"/>
        </w:rPr>
        <w:t xml:space="preserve">V, XV, Y XVI, </w:t>
      </w:r>
      <w:r w:rsidRPr="00A16B84">
        <w:rPr>
          <w:rFonts w:ascii="Palatino Linotype" w:eastAsiaTheme="minorHAnsi" w:hAnsi="Palatino Linotype" w:cs="Arial"/>
          <w:b/>
          <w:i/>
          <w:sz w:val="22"/>
          <w:szCs w:val="22"/>
          <w:lang w:eastAsia="en-US"/>
        </w:rPr>
        <w:t>32, 4,11 Y 41.</w:t>
      </w:r>
      <w:r w:rsidRPr="00A16B84">
        <w:rPr>
          <w:rFonts w:ascii="Palatino Linotype" w:eastAsiaTheme="minorHAnsi" w:hAnsi="Palatino Linotype" w:cs="Arial"/>
          <w:i/>
          <w:sz w:val="22"/>
          <w:szCs w:val="22"/>
          <w:lang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A16B84">
        <w:rPr>
          <w:rFonts w:ascii="Palatino Linotype" w:eastAsiaTheme="minorHAnsi" w:hAnsi="Palatino Linotype" w:cs="Arial"/>
          <w:i/>
          <w:sz w:val="22"/>
          <w:szCs w:val="22"/>
          <w:lang w:eastAsia="en-US"/>
        </w:rPr>
        <w:lastRenderedPageBreak/>
        <w:t>organismos públicos, en virtud del ejercicio de sus funciones de derecho público, sin importar su fuente, soporte o fecha de elaboración.</w:t>
      </w:r>
    </w:p>
    <w:p w14:paraId="273B365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En </w:t>
      </w:r>
      <w:proofErr w:type="gramStart"/>
      <w:r w:rsidRPr="00A16B84">
        <w:rPr>
          <w:rFonts w:ascii="Palatino Linotype" w:eastAsiaTheme="minorHAnsi" w:hAnsi="Palatino Linotype" w:cs="Arial"/>
          <w:i/>
          <w:sz w:val="22"/>
          <w:szCs w:val="22"/>
          <w:lang w:eastAsia="en-US"/>
        </w:rPr>
        <w:t>consecuencia</w:t>
      </w:r>
      <w:proofErr w:type="gramEnd"/>
      <w:r w:rsidRPr="00A16B84">
        <w:rPr>
          <w:rFonts w:ascii="Palatino Linotype" w:eastAsiaTheme="minorHAnsi" w:hAnsi="Palatino Linotype" w:cs="Arial"/>
          <w:i/>
          <w:sz w:val="22"/>
          <w:szCs w:val="22"/>
          <w:lang w:eastAsia="en-US"/>
        </w:rPr>
        <w:t xml:space="preserve"> el acceso a la información se refiere a que se cumplan cualquiera de los siguientes tres supuestos:</w:t>
      </w:r>
    </w:p>
    <w:p w14:paraId="25A126AA" w14:textId="77777777" w:rsidR="00A16B84" w:rsidRPr="00A16B84" w:rsidRDefault="00A16B84" w:rsidP="00B73FCF">
      <w:pPr>
        <w:ind w:left="851" w:right="851"/>
        <w:jc w:val="both"/>
        <w:rPr>
          <w:rFonts w:ascii="Palatino Linotype" w:eastAsiaTheme="minorHAnsi" w:hAnsi="Palatino Linotype" w:cs="Arial"/>
          <w:b/>
          <w:i/>
          <w:sz w:val="22"/>
          <w:szCs w:val="22"/>
          <w:u w:val="single"/>
          <w:lang w:eastAsia="en-US"/>
        </w:rPr>
      </w:pPr>
      <w:r w:rsidRPr="00A16B84">
        <w:rPr>
          <w:rFonts w:ascii="Palatino Linotype" w:eastAsiaTheme="minorHAnsi" w:hAnsi="Palatino Linotype" w:cs="Arial"/>
          <w:b/>
          <w:i/>
          <w:sz w:val="22"/>
          <w:szCs w:val="22"/>
          <w:u w:val="single"/>
          <w:lang w:eastAsia="en-US"/>
        </w:rPr>
        <w:t xml:space="preserve">1) Que se trate de información registrada en cualquier soporte documental, </w:t>
      </w:r>
      <w:proofErr w:type="gramStart"/>
      <w:r w:rsidRPr="00A16B84">
        <w:rPr>
          <w:rFonts w:ascii="Palatino Linotype" w:eastAsiaTheme="minorHAnsi" w:hAnsi="Palatino Linotype" w:cs="Arial"/>
          <w:b/>
          <w:i/>
          <w:sz w:val="22"/>
          <w:szCs w:val="22"/>
          <w:u w:val="single"/>
          <w:lang w:eastAsia="en-US"/>
        </w:rPr>
        <w:t>que</w:t>
      </w:r>
      <w:proofErr w:type="gramEnd"/>
      <w:r w:rsidRPr="00A16B84">
        <w:rPr>
          <w:rFonts w:ascii="Palatino Linotype" w:eastAsiaTheme="minorHAnsi" w:hAnsi="Palatino Linotype" w:cs="Arial"/>
          <w:b/>
          <w:i/>
          <w:sz w:val="22"/>
          <w:szCs w:val="22"/>
          <w:u w:val="single"/>
          <w:lang w:eastAsia="en-US"/>
        </w:rPr>
        <w:t xml:space="preserve"> en ejercicio de las atribuciones conferidas, sea generada por los Sujetos Obligados;</w:t>
      </w:r>
    </w:p>
    <w:p w14:paraId="325506E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2)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sea administrada por los Sujetos Obligados, y</w:t>
      </w:r>
    </w:p>
    <w:p w14:paraId="02F76A4C"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i/>
          <w:sz w:val="22"/>
          <w:szCs w:val="22"/>
          <w:lang w:eastAsia="en-US"/>
        </w:rPr>
        <w:t xml:space="preserve">3)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 encuentre en posesión de los Sujetos Obligados.” </w:t>
      </w:r>
      <w:r w:rsidRPr="00A16B84">
        <w:rPr>
          <w:rFonts w:ascii="Palatino Linotype" w:eastAsiaTheme="minorHAnsi" w:hAnsi="Palatino Linotype" w:cs="Arial"/>
          <w:b/>
          <w:i/>
          <w:sz w:val="22"/>
          <w:szCs w:val="22"/>
          <w:lang w:eastAsia="en-US"/>
        </w:rPr>
        <w:t>[Sic]</w:t>
      </w:r>
    </w:p>
    <w:p w14:paraId="68B5A1ED"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p>
    <w:p w14:paraId="1B11E369" w14:textId="4FE9207C" w:rsid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3D901149" w14:textId="77777777" w:rsidR="00B73FCF" w:rsidRPr="00A16B84" w:rsidRDefault="00B73FCF" w:rsidP="00A16B84">
      <w:pPr>
        <w:autoSpaceDE w:val="0"/>
        <w:autoSpaceDN w:val="0"/>
        <w:adjustRightInd w:val="0"/>
        <w:spacing w:line="360" w:lineRule="auto"/>
        <w:jc w:val="both"/>
        <w:rPr>
          <w:rFonts w:ascii="Palatino Linotype" w:eastAsiaTheme="minorHAnsi" w:hAnsi="Palatino Linotype" w:cs="Arial"/>
          <w:lang w:val="es-MX" w:eastAsia="en-US"/>
        </w:rPr>
      </w:pPr>
    </w:p>
    <w:p w14:paraId="184DE3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24. </w:t>
      </w:r>
      <w:r w:rsidRPr="00A16B84">
        <w:rPr>
          <w:rFonts w:ascii="Palatino Linotype" w:eastAsiaTheme="minorHAns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7F13D9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XII. </w:t>
      </w:r>
      <w:r w:rsidRPr="00A16B84">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A16B84">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78265A2"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92. </w:t>
      </w:r>
      <w:r w:rsidRPr="00A16B84">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81DB95"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w:t>
      </w:r>
      <w:r w:rsidRPr="00A16B84">
        <w:rPr>
          <w:rFonts w:ascii="Palatino Linotype" w:eastAsiaTheme="minorHAnsi" w:hAnsi="Palatino Linotype" w:cs="Arial"/>
          <w:i/>
          <w:color w:val="000000"/>
          <w:sz w:val="22"/>
          <w:szCs w:val="22"/>
          <w:lang w:val="es-MX" w:eastAsia="en-US"/>
        </w:rPr>
        <w:t>)</w:t>
      </w:r>
    </w:p>
    <w:p w14:paraId="30D1B3E7"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bCs/>
          <w:i/>
          <w:sz w:val="22"/>
          <w:szCs w:val="22"/>
          <w:u w:val="single"/>
          <w:lang w:val="es-MX" w:eastAsia="en-US"/>
        </w:rPr>
        <w:t xml:space="preserve">VIII. </w:t>
      </w:r>
      <w:r w:rsidRPr="00A16B84">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EF7769"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i/>
          <w:sz w:val="22"/>
          <w:szCs w:val="22"/>
          <w:u w:val="single"/>
          <w:lang w:val="es-MX" w:eastAsia="en-US"/>
        </w:rPr>
        <w:t>(…)”</w:t>
      </w:r>
      <w:r w:rsidRPr="00A16B84">
        <w:rPr>
          <w:rFonts w:ascii="Palatino Linotype" w:eastAsiaTheme="minorHAnsi" w:hAnsi="Palatino Linotype" w:cstheme="minorBidi"/>
          <w:i/>
          <w:sz w:val="22"/>
          <w:szCs w:val="22"/>
          <w:u w:val="single"/>
          <w:lang w:val="es-MX" w:eastAsia="en-US"/>
        </w:rPr>
        <w:t xml:space="preserve"> </w:t>
      </w:r>
      <w:r w:rsidRPr="00A16B84">
        <w:rPr>
          <w:rFonts w:ascii="Palatino Linotype" w:eastAsiaTheme="minorHAnsi" w:hAnsi="Palatino Linotype" w:cstheme="minorBidi"/>
          <w:b/>
          <w:i/>
          <w:sz w:val="22"/>
          <w:szCs w:val="22"/>
          <w:u w:val="single"/>
          <w:lang w:val="es-MX" w:eastAsia="en-US"/>
        </w:rPr>
        <w:t>[Sic]</w:t>
      </w:r>
    </w:p>
    <w:p w14:paraId="38C4F6D3" w14:textId="77777777" w:rsidR="00A16B84" w:rsidRPr="00A16B84" w:rsidRDefault="00A16B84" w:rsidP="00A16B84">
      <w:pPr>
        <w:autoSpaceDE w:val="0"/>
        <w:autoSpaceDN w:val="0"/>
        <w:adjustRightInd w:val="0"/>
        <w:spacing w:line="360" w:lineRule="auto"/>
        <w:ind w:right="851"/>
        <w:jc w:val="both"/>
        <w:rPr>
          <w:rFonts w:ascii="Palatino Linotype" w:eastAsiaTheme="minorHAnsi" w:hAnsi="Palatino Linotype" w:cstheme="minorBidi"/>
          <w:b/>
          <w:i/>
          <w:sz w:val="22"/>
          <w:szCs w:val="22"/>
          <w:lang w:val="es-MX" w:eastAsia="en-US"/>
        </w:rPr>
      </w:pPr>
    </w:p>
    <w:p w14:paraId="773DC3E8" w14:textId="77777777" w:rsidR="00A16B84" w:rsidRPr="00A16B84" w:rsidRDefault="00A16B84" w:rsidP="00A16B84">
      <w:pPr>
        <w:spacing w:line="360" w:lineRule="auto"/>
        <w:contextualSpacing/>
        <w:jc w:val="both"/>
        <w:rPr>
          <w:rFonts w:ascii="Palatino Linotype" w:eastAsia="MS Mincho" w:hAnsi="Palatino Linotype"/>
          <w:lang w:val="es-MX" w:eastAsia="en-US"/>
        </w:rPr>
      </w:pPr>
      <w:r w:rsidRPr="00A16B84">
        <w:rPr>
          <w:rFonts w:ascii="Palatino Linotype" w:eastAsia="MS Mincho" w:hAnsi="Palatino Linotype" w:cs="Tahoma"/>
          <w:lang w:val="es-MX" w:eastAsia="en-US"/>
        </w:rPr>
        <w:t xml:space="preserve">Así, la Ley de Transparencia y Acceso a la Información Pública del Estado de México y Municipios </w:t>
      </w:r>
      <w:r w:rsidRPr="00A16B84">
        <w:rPr>
          <w:rFonts w:ascii="Palatino Linotype" w:eastAsia="Arial Unicode MS" w:hAnsi="Palatino Linotype" w:cs="Arial"/>
          <w:lang w:val="es-MX" w:eastAsia="en-US"/>
        </w:rPr>
        <w:t xml:space="preserve">en el artículo 92 </w:t>
      </w:r>
      <w:r w:rsidRPr="00A16B84">
        <w:rPr>
          <w:rFonts w:ascii="Palatino Linotype" w:eastAsia="Arial Unicode MS" w:hAnsi="Palatino Linotype"/>
          <w:lang w:val="es-MX" w:eastAsia="en-US"/>
        </w:rPr>
        <w:t>fracción VIII, señala que</w:t>
      </w:r>
      <w:r w:rsidRPr="00A16B84">
        <w:rPr>
          <w:rFonts w:ascii="Palatino Linotype" w:eastAsia="MS Mincho" w:hAnsi="Palatino Linotype" w:cs="Tahoma"/>
          <w:lang w:val="es-MX" w:eastAsia="en-US"/>
        </w:rPr>
        <w:t xml:space="preserve"> la </w:t>
      </w:r>
      <w:r w:rsidRPr="00A16B84">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16B84">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A16B84">
        <w:rPr>
          <w:rFonts w:ascii="Palatino Linotype" w:eastAsia="MS Mincho" w:hAnsi="Palatino Linotype"/>
          <w:lang w:val="es-MX"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17919185" w14:textId="77777777" w:rsidR="00A16B84" w:rsidRPr="00A16B84" w:rsidRDefault="00A16B84" w:rsidP="00A16B84">
      <w:pPr>
        <w:spacing w:line="360" w:lineRule="auto"/>
        <w:contextualSpacing/>
        <w:jc w:val="both"/>
        <w:rPr>
          <w:rFonts w:ascii="Palatino Linotype" w:eastAsia="MS Mincho" w:hAnsi="Palatino Linotype"/>
          <w:lang w:val="es-MX" w:eastAsia="en-US"/>
        </w:rPr>
      </w:pPr>
    </w:p>
    <w:p w14:paraId="46886712" w14:textId="100D2FDD" w:rsidR="00A16B84" w:rsidRDefault="00A16B84" w:rsidP="00A16B84">
      <w:pPr>
        <w:spacing w:line="360" w:lineRule="auto"/>
        <w:jc w:val="both"/>
        <w:rPr>
          <w:rFonts w:ascii="Palatino Linotype" w:eastAsiaTheme="minorHAnsi" w:hAnsi="Palatino Linotype" w:cs="Arial"/>
          <w:b/>
          <w:lang w:val="es-MX" w:eastAsia="en-US"/>
        </w:rPr>
      </w:pPr>
      <w:r w:rsidRPr="00A16B84">
        <w:rPr>
          <w:rFonts w:ascii="Palatino Linotype" w:eastAsiaTheme="minorHAnsi" w:hAnsi="Palatino Linotype" w:cs="Arial"/>
          <w:lang w:val="es-MX" w:eastAsia="en-US"/>
        </w:rPr>
        <w:t xml:space="preserve">Atento a lo anterior, resulta claro que existe la obligación del </w:t>
      </w:r>
      <w:r w:rsidRPr="00A16B84">
        <w:rPr>
          <w:rFonts w:ascii="Palatino Linotype" w:eastAsiaTheme="minorHAnsi" w:hAnsi="Palatino Linotype" w:cs="Arial"/>
          <w:b/>
          <w:lang w:val="es-MX" w:eastAsia="en-US"/>
        </w:rPr>
        <w:t>Sujeto Obligado</w:t>
      </w:r>
      <w:r w:rsidRPr="00A16B84">
        <w:rPr>
          <w:rFonts w:ascii="Palatino Linotype" w:eastAsiaTheme="minorHAnsi" w:hAnsi="Palatino Linotype" w:cs="Arial"/>
          <w:lang w:val="es-MX" w:eastAsia="en-US"/>
        </w:rPr>
        <w:t xml:space="preserve">, de </w:t>
      </w:r>
      <w:r w:rsidR="008D7CEE">
        <w:rPr>
          <w:rFonts w:ascii="Palatino Linotype" w:eastAsiaTheme="minorHAnsi" w:hAnsi="Palatino Linotype" w:cs="Arial"/>
          <w:lang w:val="es-MX" w:eastAsia="en-US"/>
        </w:rPr>
        <w:t>generar</w:t>
      </w:r>
      <w:r w:rsidRPr="00A16B84">
        <w:rPr>
          <w:rFonts w:ascii="Palatino Linotype" w:eastAsiaTheme="minorHAnsi" w:hAnsi="Palatino Linotype" w:cs="Arial"/>
          <w:lang w:val="es-MX" w:eastAsia="en-US"/>
        </w:rPr>
        <w:t xml:space="preserve"> </w:t>
      </w:r>
      <w:r w:rsidR="00E106B3">
        <w:rPr>
          <w:rFonts w:ascii="Palatino Linotype" w:eastAsiaTheme="minorHAnsi" w:hAnsi="Palatino Linotype" w:cs="Arial"/>
          <w:lang w:val="es-MX" w:eastAsia="en-US"/>
        </w:rPr>
        <w:t>los documentos que den cuenta de</w:t>
      </w:r>
      <w:r w:rsidR="008D7CEE" w:rsidRPr="008D7CEE">
        <w:rPr>
          <w:rFonts w:ascii="Palatino Linotype" w:eastAsiaTheme="minorHAnsi" w:hAnsi="Palatino Linotype" w:cs="Arial"/>
          <w:lang w:val="es-MX" w:eastAsia="en-US"/>
        </w:rPr>
        <w:t xml:space="preserve"> </w:t>
      </w:r>
      <w:r w:rsidR="00E106B3">
        <w:rPr>
          <w:rFonts w:ascii="Palatino Linotype" w:eastAsiaTheme="minorHAnsi" w:hAnsi="Palatino Linotype" w:cs="Arial"/>
          <w:lang w:val="es-MX" w:eastAsia="en-US"/>
        </w:rPr>
        <w:t>la remuneración bruta y neta,</w:t>
      </w:r>
      <w:r w:rsidR="00E106B3" w:rsidRPr="00E106B3">
        <w:rPr>
          <w:rFonts w:ascii="Palatino Linotype" w:eastAsiaTheme="minorHAnsi" w:hAnsi="Palatino Linotype" w:cs="Arial"/>
          <w:lang w:val="es-MX" w:eastAsia="en-US"/>
        </w:rPr>
        <w:t xml:space="preserve"> percepciones, incluyendo sueldos, prestaciones, gratificaciones, primas, comis</w:t>
      </w:r>
      <w:r w:rsidR="00E106B3">
        <w:rPr>
          <w:rFonts w:ascii="Palatino Linotype" w:eastAsiaTheme="minorHAnsi" w:hAnsi="Palatino Linotype" w:cs="Arial"/>
          <w:lang w:val="es-MX" w:eastAsia="en-US"/>
        </w:rPr>
        <w:t>iones, dietas, bonos, estímulos e</w:t>
      </w:r>
      <w:r w:rsidR="00E106B3" w:rsidRPr="00E106B3">
        <w:rPr>
          <w:rFonts w:ascii="Palatino Linotype" w:eastAsiaTheme="minorHAnsi" w:hAnsi="Palatino Linotype" w:cs="Arial"/>
          <w:lang w:val="es-MX" w:eastAsia="en-US"/>
        </w:rPr>
        <w:t xml:space="preserve"> ingresos</w:t>
      </w:r>
      <w:r w:rsidR="00E106B3">
        <w:rPr>
          <w:rFonts w:ascii="Palatino Linotype" w:eastAsiaTheme="minorHAnsi" w:hAnsi="Palatino Linotype" w:cs="Arial"/>
          <w:lang w:val="es-MX" w:eastAsia="en-US"/>
        </w:rPr>
        <w:t xml:space="preserve"> </w:t>
      </w:r>
      <w:r w:rsidR="008D7CEE" w:rsidRPr="008D7CEE">
        <w:rPr>
          <w:rFonts w:ascii="Palatino Linotype" w:eastAsiaTheme="minorHAnsi" w:hAnsi="Palatino Linotype" w:cs="Arial"/>
          <w:lang w:val="es-MX" w:eastAsia="en-US"/>
        </w:rPr>
        <w:t>del personal adscrito al Sujeto Obligado</w:t>
      </w:r>
      <w:r w:rsidRPr="00A16B84">
        <w:rPr>
          <w:rFonts w:ascii="Palatino Linotype" w:eastAsiaTheme="minorHAnsi" w:hAnsi="Palatino Linotype" w:cs="Arial"/>
          <w:lang w:val="es-MX" w:eastAsia="en-US"/>
        </w:rPr>
        <w:t xml:space="preserve">; en </w:t>
      </w:r>
      <w:r w:rsidR="00B73FCF" w:rsidRPr="00A16B84">
        <w:rPr>
          <w:rFonts w:ascii="Palatino Linotype" w:eastAsiaTheme="minorHAnsi" w:hAnsi="Palatino Linotype" w:cs="Arial"/>
          <w:lang w:val="es-MX" w:eastAsia="en-US"/>
        </w:rPr>
        <w:t>consecuencia,</w:t>
      </w:r>
      <w:r w:rsidRPr="00A16B84">
        <w:rPr>
          <w:rFonts w:ascii="Palatino Linotype" w:eastAsiaTheme="minorHAnsi" w:hAnsi="Palatino Linotype" w:cs="Arial"/>
          <w:lang w:val="es-MX" w:eastAsia="en-US"/>
        </w:rPr>
        <w:t xml:space="preserve"> la información solicitada por </w:t>
      </w:r>
      <w:r w:rsidR="00B73FCF">
        <w:rPr>
          <w:rFonts w:ascii="Palatino Linotype" w:eastAsiaTheme="minorHAnsi" w:hAnsi="Palatino Linotype" w:cs="Arial"/>
          <w:b/>
          <w:lang w:val="es-MX" w:eastAsia="en-US"/>
        </w:rPr>
        <w:t>el</w:t>
      </w:r>
      <w:r w:rsidRPr="00A16B84">
        <w:rPr>
          <w:rFonts w:ascii="Palatino Linotype" w:eastAsiaTheme="minorHAnsi" w:hAnsi="Palatino Linotype" w:cs="Arial"/>
          <w:b/>
          <w:lang w:val="es-MX" w:eastAsia="en-US"/>
        </w:rPr>
        <w:t xml:space="preserve"> Recurrente </w:t>
      </w:r>
      <w:r w:rsidRPr="00A16B84">
        <w:rPr>
          <w:rFonts w:ascii="Palatino Linotype" w:eastAsiaTheme="minorHAnsi" w:hAnsi="Palatino Linotype" w:cs="Arial"/>
          <w:lang w:val="es-MX" w:eastAsia="en-US"/>
        </w:rPr>
        <w:t xml:space="preserve">debe obrar en los archivos del </w:t>
      </w:r>
      <w:r w:rsidRPr="00A16B84">
        <w:rPr>
          <w:rFonts w:ascii="Palatino Linotype" w:eastAsiaTheme="minorHAnsi" w:hAnsi="Palatino Linotype" w:cs="Arial"/>
          <w:b/>
          <w:lang w:val="es-MX" w:eastAsia="en-US"/>
        </w:rPr>
        <w:t xml:space="preserve">Sujeto Obligado. </w:t>
      </w:r>
    </w:p>
    <w:p w14:paraId="039A8FD2" w14:textId="798131BC" w:rsidR="00B73FCF" w:rsidRDefault="00B73FCF" w:rsidP="00A16B84">
      <w:pPr>
        <w:spacing w:line="360" w:lineRule="auto"/>
        <w:jc w:val="both"/>
        <w:rPr>
          <w:rFonts w:ascii="Palatino Linotype" w:eastAsiaTheme="minorHAnsi" w:hAnsi="Palatino Linotype" w:cs="Arial"/>
          <w:lang w:val="es-MX" w:eastAsia="en-US"/>
        </w:rPr>
      </w:pPr>
    </w:p>
    <w:p w14:paraId="1D6D37C3" w14:textId="1B1EA70A" w:rsidR="00FC4B95" w:rsidRDefault="008D7CEE" w:rsidP="00FC4B95">
      <w:pPr>
        <w:spacing w:after="240" w:line="360" w:lineRule="auto"/>
        <w:jc w:val="both"/>
        <w:rPr>
          <w:rFonts w:ascii="Palatino Linotype" w:hAnsi="Palatino Linotype"/>
        </w:rPr>
      </w:pPr>
      <w:r w:rsidRPr="00B81A2B">
        <w:rPr>
          <w:rFonts w:ascii="Palatino Linotype" w:hAnsi="Palatino Linotype" w:cs="Arial"/>
        </w:rPr>
        <w:t>En esa tesitura, de acuerdo a lo inmerso en el expediente que nos ocupa</w:t>
      </w:r>
      <w:r>
        <w:rPr>
          <w:rFonts w:ascii="Palatino Linotype" w:hAnsi="Palatino Linotype" w:cs="Arial"/>
        </w:rPr>
        <w:t>,</w:t>
      </w:r>
      <w:r w:rsidRPr="006635FF">
        <w:rPr>
          <w:rFonts w:ascii="Palatino Linotype" w:hAnsi="Palatino Linotype" w:cs="Arial"/>
        </w:rPr>
        <w:t xml:space="preserve"> es dable ordenar la entrega en versión pública</w:t>
      </w:r>
      <w:r>
        <w:rPr>
          <w:rFonts w:ascii="Palatino Linotype" w:hAnsi="Palatino Linotype" w:cs="Arial"/>
        </w:rPr>
        <w:t xml:space="preserve">, </w:t>
      </w:r>
      <w:r w:rsidR="00FC4B95">
        <w:rPr>
          <w:rFonts w:ascii="Palatino Linotype" w:hAnsi="Palatino Linotype"/>
        </w:rPr>
        <w:t xml:space="preserve">del periodo comprendido </w:t>
      </w:r>
      <w:r w:rsidR="0014624E">
        <w:rPr>
          <w:rFonts w:ascii="Palatino Linotype" w:hAnsi="Palatino Linotype"/>
        </w:rPr>
        <w:t>de la primera quincena de enero a la segunda quincena de febrero</w:t>
      </w:r>
      <w:r w:rsidR="00FC4B95">
        <w:rPr>
          <w:rFonts w:ascii="Palatino Linotype" w:hAnsi="Palatino Linotype"/>
        </w:rPr>
        <w:t xml:space="preserve"> de 2022, de lo siguiente</w:t>
      </w:r>
      <w:r w:rsidR="00FC4B95" w:rsidRPr="00E152F9">
        <w:rPr>
          <w:rFonts w:ascii="Palatino Linotype" w:hAnsi="Palatino Linotype"/>
        </w:rPr>
        <w:t>:</w:t>
      </w:r>
    </w:p>
    <w:p w14:paraId="020103A5" w14:textId="77777777" w:rsidR="00FC4B95" w:rsidRPr="00BD1BFE" w:rsidRDefault="00FC4B95" w:rsidP="00FC4B95">
      <w:pPr>
        <w:pStyle w:val="Prrafodelista"/>
        <w:numPr>
          <w:ilvl w:val="0"/>
          <w:numId w:val="37"/>
        </w:numPr>
        <w:spacing w:line="360" w:lineRule="auto"/>
        <w:jc w:val="both"/>
        <w:rPr>
          <w:rFonts w:ascii="Palatino Linotype" w:hAnsi="Palatino Linotype"/>
        </w:rPr>
      </w:pPr>
      <w:r w:rsidRPr="00BD1BFE">
        <w:rPr>
          <w:rFonts w:ascii="Palatino Linotype" w:hAnsi="Palatino Linotype"/>
        </w:rPr>
        <w:t>Documento que dé cuenta de sueldo bruto, sueldo neto, gratificaciones, bonos, primas y deducciones, del Síndico Municipal</w:t>
      </w:r>
      <w:r>
        <w:rPr>
          <w:rFonts w:ascii="Palatino Linotype" w:hAnsi="Palatino Linotype"/>
        </w:rPr>
        <w:t>,</w:t>
      </w:r>
      <w:r w:rsidRPr="00BD1BFE">
        <w:rPr>
          <w:rFonts w:ascii="Palatino Linotype" w:hAnsi="Palatino Linotype"/>
        </w:rPr>
        <w:t xml:space="preserve"> Regidores, y Tesorero Municipal.</w:t>
      </w:r>
    </w:p>
    <w:p w14:paraId="0F7D5EC4" w14:textId="44D732DF" w:rsidR="008D7CEE" w:rsidRPr="00FC4B95" w:rsidRDefault="00FC4B95" w:rsidP="00FC4B95">
      <w:pPr>
        <w:pStyle w:val="Prrafodelista"/>
        <w:numPr>
          <w:ilvl w:val="0"/>
          <w:numId w:val="37"/>
        </w:numPr>
        <w:spacing w:line="360" w:lineRule="auto"/>
        <w:jc w:val="both"/>
        <w:rPr>
          <w:rFonts w:ascii="Palatino Linotype" w:hAnsi="Palatino Linotype"/>
        </w:rPr>
      </w:pPr>
      <w:r w:rsidRPr="00BD1BFE">
        <w:rPr>
          <w:rFonts w:ascii="Palatino Linotype" w:hAnsi="Palatino Linotype"/>
        </w:rPr>
        <w:lastRenderedPageBreak/>
        <w:t>Recibos de nómina</w:t>
      </w:r>
      <w:r>
        <w:rPr>
          <w:rFonts w:ascii="Palatino Linotype" w:hAnsi="Palatino Linotype"/>
        </w:rPr>
        <w:t xml:space="preserve"> generados del</w:t>
      </w:r>
      <w:r w:rsidRPr="00BD1BFE">
        <w:rPr>
          <w:rFonts w:ascii="Palatino Linotype" w:hAnsi="Palatino Linotype"/>
        </w:rPr>
        <w:t xml:space="preserve"> Presidente o Presidenta Municipal, así como documentos donde consten gratificaciones, bonos, primas y deducciones de todos los con</w:t>
      </w:r>
      <w:r>
        <w:rPr>
          <w:rFonts w:ascii="Palatino Linotype" w:hAnsi="Palatino Linotype"/>
        </w:rPr>
        <w:t>ceptos.</w:t>
      </w:r>
    </w:p>
    <w:p w14:paraId="6C5DE0EC" w14:textId="77777777" w:rsidR="008D7CEE" w:rsidRPr="00A16B84" w:rsidRDefault="008D7CEE" w:rsidP="00A16B84">
      <w:pPr>
        <w:spacing w:line="360" w:lineRule="auto"/>
        <w:jc w:val="both"/>
        <w:rPr>
          <w:rFonts w:ascii="Palatino Linotype" w:eastAsiaTheme="minorHAnsi" w:hAnsi="Palatino Linotype" w:cs="Arial"/>
          <w:lang w:val="es-MX" w:eastAsia="en-US"/>
        </w:rPr>
      </w:pPr>
    </w:p>
    <w:p w14:paraId="3B29B493" w14:textId="0788E4AD" w:rsidR="00C87CEB" w:rsidRDefault="00A16B84" w:rsidP="00C87CEB">
      <w:pPr>
        <w:spacing w:line="360" w:lineRule="auto"/>
        <w:jc w:val="both"/>
        <w:rPr>
          <w:rFonts w:ascii="Palatino Linotype" w:eastAsiaTheme="minorHAnsi" w:hAnsi="Palatino Linotype" w:cs="Arial"/>
          <w:szCs w:val="22"/>
          <w:lang w:eastAsia="en-US"/>
        </w:rPr>
      </w:pPr>
      <w:r w:rsidRPr="00A16B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se destaca que</w:t>
      </w:r>
      <w:r w:rsidR="00C87CEB" w:rsidRPr="00C87CEB">
        <w:rPr>
          <w:rFonts w:ascii="Palatino Linotype" w:hAnsi="Palatino Linotype" w:cs="Arial"/>
        </w:rPr>
        <w:t xml:space="preserve">,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29B97AB2" w14:textId="77777777" w:rsidR="006375BF" w:rsidRPr="0014624E" w:rsidRDefault="006375BF" w:rsidP="00C87CEB">
      <w:pPr>
        <w:spacing w:line="360" w:lineRule="auto"/>
        <w:jc w:val="both"/>
        <w:rPr>
          <w:rFonts w:ascii="Palatino Linotype" w:eastAsiaTheme="minorHAnsi" w:hAnsi="Palatino Linotype" w:cstheme="minorBidi"/>
          <w:b/>
          <w:bCs/>
          <w:lang w:val="es-MX" w:eastAsia="en-US"/>
        </w:rPr>
      </w:pPr>
    </w:p>
    <w:p w14:paraId="4A014B76" w14:textId="77777777" w:rsidR="00C87CEB" w:rsidRPr="00C87CEB"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2EB8C276" w14:textId="77777777" w:rsidR="00C87CEB" w:rsidRPr="00C87CEB"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4F3AAA36"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C87CEB">
        <w:rPr>
          <w:rFonts w:ascii="Palatino Linotype" w:eastAsiaTheme="minorHAnsi" w:hAnsi="Palatino Linotype" w:cs="Arial"/>
          <w:b/>
          <w:lang w:val="es-MX" w:eastAsia="en-US"/>
        </w:rPr>
        <w:t>Recurrente</w:t>
      </w:r>
      <w:r w:rsidRPr="00C87CEB">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w:t>
      </w:r>
    </w:p>
    <w:p w14:paraId="522406A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3.</w:t>
      </w:r>
      <w:r w:rsidRPr="00C87CEB">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E8C10A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IX</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Datos personales:</w:t>
      </w:r>
      <w:r w:rsidRPr="00C87CE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 Información clasificada:</w:t>
      </w:r>
      <w:r w:rsidRPr="00C87CEB">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XXI. Información confidencial:</w:t>
      </w:r>
      <w:r w:rsidRPr="00C87CE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XLV. Versión pública:</w:t>
      </w:r>
      <w:r w:rsidRPr="00C87CE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 xml:space="preserve">Artículo 51. </w:t>
      </w:r>
      <w:r w:rsidRPr="00C87CEB">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87CEB">
        <w:rPr>
          <w:rFonts w:ascii="Palatino Linotype" w:eastAsiaTheme="minorHAnsi" w:hAnsi="Palatino Linotype" w:cs="Arial"/>
          <w:b/>
          <w:i/>
          <w:sz w:val="22"/>
          <w:lang w:val="es-MX" w:eastAsia="en-US"/>
        </w:rPr>
        <w:t>y tendrá la responsabilidad de verificar en cada caso que la misma no sea confidencial o reservada</w:t>
      </w:r>
      <w:r w:rsidRPr="00C87CEB">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52.</w:t>
      </w:r>
      <w:r w:rsidRPr="00C87CEB">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2D7120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C87CEB">
        <w:rPr>
          <w:rFonts w:ascii="Palatino Linotype" w:eastAsiaTheme="minorHAnsi" w:hAnsi="Palatino Linotype" w:cs="Arial"/>
          <w:lang w:val="es-MX" w:eastAsia="en-US"/>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22.</w:t>
      </w:r>
      <w:r w:rsidRPr="00C87CEB">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E719B8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38.</w:t>
      </w:r>
      <w:r w:rsidRPr="00C87CEB">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D8661E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C87CEB" w:rsidRDefault="00C87CEB" w:rsidP="00C87CEB">
      <w:pPr>
        <w:spacing w:line="360" w:lineRule="auto"/>
        <w:jc w:val="both"/>
        <w:rPr>
          <w:rFonts w:ascii="Palatino Linotype" w:eastAsiaTheme="minorHAnsi" w:hAnsi="Palatino Linotype" w:cs="Arial"/>
          <w:b/>
          <w:lang w:val="es-MX" w:eastAsia="en-US"/>
        </w:rPr>
      </w:pPr>
      <w:r w:rsidRPr="00C87CEB">
        <w:rPr>
          <w:rFonts w:ascii="Palatino Linotype" w:eastAsiaTheme="minorHAnsi" w:hAnsi="Palatino Linotype" w:cs="Arial"/>
          <w:lang w:val="es-MX" w:eastAsia="en-U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w:t>
      </w:r>
      <w:r w:rsidRPr="00C87CEB">
        <w:rPr>
          <w:rFonts w:ascii="Palatino Linotype" w:eastAsiaTheme="minorHAnsi" w:hAnsi="Palatino Linotype" w:cs="Arial"/>
          <w:b/>
          <w:lang w:val="es-MX" w:eastAsia="en-US"/>
        </w:rPr>
        <w:t>ISSEMYM</w:t>
      </w:r>
      <w:r w:rsidRPr="00C87CEB">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C87CEB">
        <w:rPr>
          <w:rFonts w:ascii="Palatino Linotype" w:eastAsiaTheme="minorHAnsi" w:hAnsi="Palatino Linotype" w:cs="Arial"/>
          <w:b/>
          <w:lang w:val="es-MX" w:eastAsia="en-US"/>
        </w:rPr>
        <w:t>cuotas</w:t>
      </w:r>
      <w:r w:rsidRPr="00C87CEB">
        <w:rPr>
          <w:rFonts w:ascii="Palatino Linotype" w:eastAsiaTheme="minorHAnsi" w:hAnsi="Palatino Linotype" w:cs="Arial"/>
          <w:lang w:val="es-MX" w:eastAsia="en-US"/>
        </w:rPr>
        <w:t xml:space="preserve"> por </w:t>
      </w:r>
      <w:r w:rsidRPr="00C87CEB">
        <w:rPr>
          <w:rFonts w:ascii="Palatino Linotype" w:eastAsiaTheme="minorHAnsi" w:hAnsi="Palatino Linotype" w:cs="Arial"/>
          <w:b/>
          <w:lang w:val="es-MX" w:eastAsia="en-US"/>
        </w:rPr>
        <w:t>seguridad social, Cadenas Originales y Sellos Digitales</w:t>
      </w:r>
    </w:p>
    <w:p w14:paraId="2701640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w:t>
      </w:r>
    </w:p>
    <w:p w14:paraId="7B6684D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al </w:t>
      </w:r>
      <w:r w:rsidRPr="00C87CEB">
        <w:rPr>
          <w:rFonts w:ascii="Palatino Linotype" w:eastAsiaTheme="minorHAnsi" w:hAnsi="Palatino Linotype" w:cs="Arial"/>
          <w:b/>
          <w:lang w:val="es-MX" w:eastAsia="en-US"/>
        </w:rPr>
        <w:t>Registro Federal de Contribuyentes de las personas físicas</w:t>
      </w:r>
      <w:r w:rsidRPr="00C87CEB">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la cual para su obtención es necesario acreditar personalidad, fecha de nacimiento entre otros con documentos oficiales.</w:t>
      </w:r>
    </w:p>
    <w:p w14:paraId="2CA580D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Registro Federal de Contribuyentes (RFC) de personas físicas</w:t>
      </w:r>
      <w:r w:rsidRPr="00C87CEB">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ED207A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De lo anterior, se desprende que el Registro Federal de Contribuyentes se vincula al nombre de su titular, permitiendo identificar la edad de la persona, fecha de nacimiento, así como su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Única de Registro de Población</w:t>
      </w:r>
      <w:r w:rsidRPr="00C87CEB">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Lo anterior, tiene sustento en los artículos 86 y 91, de la Ley General de Población, la cual señala lo siguiente:</w:t>
      </w:r>
    </w:p>
    <w:p w14:paraId="5DFACE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86.</w:t>
      </w:r>
      <w:r w:rsidRPr="00C87CEB">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91.</w:t>
      </w:r>
      <w:r w:rsidRPr="00C87CEB">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w:t>
      </w:r>
      <w:r w:rsidRPr="00C87CEB">
        <w:rPr>
          <w:rFonts w:ascii="Palatino Linotype" w:eastAsiaTheme="minorHAnsi" w:hAnsi="Palatino Linotype" w:cs="Arial"/>
          <w:lang w:val="es-MX" w:eastAsia="en-US"/>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847A57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0E7563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86953E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Clave Única de Registro de Población (CURP).</w:t>
      </w:r>
      <w:r w:rsidRPr="00C87CEB">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C416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C98D5A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C87CEB">
        <w:rPr>
          <w:rFonts w:ascii="Palatino Linotype" w:eastAsiaTheme="minorHAnsi" w:hAnsi="Palatino Linotype" w:cs="Arial"/>
          <w:lang w:val="es-MX" w:eastAsia="en-US"/>
        </w:rPr>
        <w:lastRenderedPageBreak/>
        <w:t>de México y Municipios y  4 fracción XI de la Ley de Protección de Datos Personales en Posesión de Sujetos Obligados del Estado de México y Municipios.</w:t>
      </w:r>
    </w:p>
    <w:p w14:paraId="0E49324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los </w:t>
      </w:r>
      <w:r w:rsidRPr="00C87CEB">
        <w:rPr>
          <w:rFonts w:ascii="Palatino Linotype" w:eastAsiaTheme="minorHAnsi" w:hAnsi="Palatino Linotype" w:cs="Arial"/>
          <w:b/>
          <w:lang w:val="es-MX" w:eastAsia="en-US"/>
        </w:rPr>
        <w:t>préstamos o descuentos de carácter personal</w:t>
      </w:r>
      <w:r w:rsidRPr="00C87CEB">
        <w:rPr>
          <w:rFonts w:ascii="Palatino Linotype" w:eastAsiaTheme="minorHAnsi" w:hAnsi="Palatino Linotype" w:cs="Arial"/>
          <w:lang w:val="es-MX" w:eastAsia="en-US"/>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87CEB">
        <w:rPr>
          <w:rFonts w:ascii="Palatino Linotype" w:eastAsiaTheme="minorHAnsi" w:hAnsi="Palatino Linotype" w:cs="Arial"/>
          <w:lang w:val="es-MX" w:eastAsia="en-US"/>
        </w:rPr>
        <w:t>contrario</w:t>
      </w:r>
      <w:proofErr w:type="gramEnd"/>
      <w:r w:rsidRPr="00C87CEB">
        <w:rPr>
          <w:rFonts w:ascii="Palatino Linotype" w:eastAsiaTheme="minorHAnsi" w:hAnsi="Palatino Linotype" w:cs="Arial"/>
          <w:lang w:val="es-MX" w:eastAsia="en-US"/>
        </w:rPr>
        <w:t xml:space="preserve"> con ello se violentaría la protección de información confidencial, porque incide en la intimidad de un individuo identificado.</w:t>
      </w:r>
    </w:p>
    <w:p w14:paraId="23334FE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ARTICULO 84.</w:t>
      </w:r>
      <w:r w:rsidRPr="00C87CEB">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Cuotas sindicales;</w:t>
      </w:r>
    </w:p>
    <w:p w14:paraId="151183B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IV.</w:t>
      </w:r>
      <w:r w:rsidRPr="00C87CEB">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w:t>
      </w:r>
      <w:r w:rsidRPr="00C87CEB">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w:t>
      </w:r>
      <w:r w:rsidRPr="00C87CEB">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w:t>
      </w:r>
      <w:r w:rsidRPr="00C87CEB">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CD23E8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8B5D04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05259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En ese sentido, las </w:t>
      </w:r>
      <w:r w:rsidRPr="00C87CEB">
        <w:rPr>
          <w:rFonts w:ascii="Palatino Linotype" w:eastAsiaTheme="minorHAnsi" w:hAnsi="Palatino Linotype" w:cs="Arial"/>
          <w:b/>
          <w:lang w:val="es-MX" w:eastAsia="en-US"/>
        </w:rPr>
        <w:t>Cadenas Originales</w:t>
      </w:r>
      <w:r w:rsidRPr="00C87CEB">
        <w:rPr>
          <w:rFonts w:ascii="Palatino Linotype" w:eastAsiaTheme="minorHAnsi" w:hAnsi="Palatino Linotype" w:cs="Arial"/>
          <w:lang w:val="es-MX" w:eastAsia="en-US"/>
        </w:rPr>
        <w:t xml:space="preserve"> y </w:t>
      </w:r>
      <w:r w:rsidRPr="00C87CEB">
        <w:rPr>
          <w:rFonts w:ascii="Palatino Linotype" w:eastAsiaTheme="minorHAnsi" w:hAnsi="Palatino Linotype" w:cs="Arial"/>
          <w:b/>
          <w:lang w:val="es-MX" w:eastAsia="en-US"/>
        </w:rPr>
        <w:t>Sellos Digitales</w:t>
      </w:r>
      <w:r w:rsidRPr="00C87CEB">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87CEB">
        <w:rPr>
          <w:rFonts w:ascii="Palatino Linotype" w:eastAsiaTheme="minorHAnsi" w:hAnsi="Palatino Linotype" w:cs="Arial"/>
          <w:b/>
          <w:lang w:val="es-MX" w:eastAsia="en-US"/>
        </w:rPr>
        <w:t>vinculación</w:t>
      </w:r>
      <w:r w:rsidRPr="00C87CEB">
        <w:rPr>
          <w:rFonts w:ascii="Palatino Linotype" w:eastAsiaTheme="minorHAnsi" w:hAnsi="Palatino Linotype" w:cs="Arial"/>
          <w:lang w:val="es-MX" w:eastAsia="en-US"/>
        </w:rPr>
        <w:t xml:space="preserve"> entre la </w:t>
      </w:r>
      <w:r w:rsidRPr="00C87CEB">
        <w:rPr>
          <w:rFonts w:ascii="Palatino Linotype" w:eastAsiaTheme="minorHAnsi" w:hAnsi="Palatino Linotype" w:cs="Arial"/>
          <w:b/>
          <w:lang w:val="es-MX" w:eastAsia="en-US"/>
        </w:rPr>
        <w:t>identidad de un sujeto o entidad</w:t>
      </w:r>
      <w:r w:rsidRPr="00C87CEB">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C87CEB">
        <w:rPr>
          <w:rFonts w:ascii="Palatino Linotype" w:eastAsiaTheme="minorHAnsi" w:hAnsi="Palatino Linotype" w:cs="Arial"/>
          <w:b/>
          <w:lang w:val="es-MX" w:eastAsia="en-US"/>
        </w:rPr>
        <w:t>para acreditar la autoría de los comprobantes fiscales digitales</w:t>
      </w:r>
      <w:r w:rsidRPr="00C87CEB">
        <w:rPr>
          <w:rFonts w:ascii="Palatino Linotype" w:eastAsiaTheme="minorHAnsi" w:hAnsi="Palatino Linotype" w:cs="Arial"/>
          <w:lang w:val="es-MX" w:eastAsia="en-US"/>
        </w:rPr>
        <w:t>. En ese tenor se transcriben los artículos señalados con antelación para mejor ilustración:</w:t>
      </w:r>
    </w:p>
    <w:p w14:paraId="5A7EEE5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28B329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17-G.-</w:t>
      </w:r>
      <w:r w:rsidRPr="00C87CEB">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4120854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b/>
          <w:i/>
          <w:sz w:val="22"/>
          <w:lang w:val="es-MX" w:eastAsia="en-US"/>
        </w:rPr>
        <w:tab/>
      </w:r>
      <w:r w:rsidRPr="00C87CEB">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7A6A88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6F9BF67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29.</w:t>
      </w:r>
      <w:r w:rsidRPr="00C87CEB">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D4A3E1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43DE27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a que se refiere el párrafo anterior deberán cumplir con las obligaciones siguientes:</w:t>
      </w:r>
    </w:p>
    <w:p w14:paraId="45268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19DA6C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w:t>
      </w:r>
    </w:p>
    <w:p w14:paraId="4814E7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64FF429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FAAC7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C87CEB">
        <w:rPr>
          <w:rFonts w:ascii="Palatino Linotype" w:eastAsiaTheme="minorHAnsi" w:hAnsi="Palatino Linotype" w:cs="Arial"/>
          <w:i/>
          <w:sz w:val="22"/>
          <w:lang w:val="es-MX" w:eastAsia="en-US"/>
        </w:rPr>
        <w:lastRenderedPageBreak/>
        <w:t>fiscales digitales por Internet que expidan las personas físicas y morales, el cual queda sujeto a la regulación aplicable al uso de la firma electrónica avanzada.”</w:t>
      </w:r>
    </w:p>
    <w:p w14:paraId="45A2B435"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DE82C7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que hace a los </w:t>
      </w: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y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por lo cual, deberán ser protegidos.</w:t>
      </w:r>
    </w:p>
    <w:p w14:paraId="1EFEE1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32DC48C" w14:textId="4BEB641C" w:rsid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C87CEB"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4DC2E"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49.</w:t>
      </w:r>
      <w:r w:rsidRPr="00C87CEB">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9FE526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132.</w:t>
      </w:r>
      <w:r w:rsidRPr="00C87CEB">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Se reciba una solicitud de acceso a la información;</w:t>
      </w:r>
    </w:p>
    <w:p w14:paraId="35CA84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III. Se generen versiones públicas para dar cumplimiento a las obligaciones de transparencia previstas en esta Ley.”</w:t>
      </w:r>
    </w:p>
    <w:p w14:paraId="7B7145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roofErr w:type="gramStart"/>
      <w:r w:rsidRPr="00C87CEB">
        <w:rPr>
          <w:rFonts w:ascii="Palatino Linotype" w:eastAsiaTheme="minorHAnsi" w:hAnsi="Palatino Linotype" w:cs="Arial"/>
          <w:b/>
          <w:i/>
          <w:sz w:val="22"/>
          <w:lang w:val="es-MX" w:eastAsia="en-US"/>
        </w:rPr>
        <w:t>Segundo</w:t>
      </w:r>
      <w:r w:rsidRPr="00C87CEB">
        <w:rPr>
          <w:rFonts w:ascii="Palatino Linotype" w:eastAsiaTheme="minorHAnsi" w:hAnsi="Palatino Linotype" w:cs="Arial"/>
          <w:i/>
          <w:sz w:val="22"/>
          <w:lang w:val="es-MX" w:eastAsia="en-US"/>
        </w:rPr>
        <w:t>.-</w:t>
      </w:r>
      <w:proofErr w:type="gramEnd"/>
      <w:r w:rsidRPr="00C87CEB">
        <w:rPr>
          <w:rFonts w:ascii="Palatino Linotype" w:eastAsiaTheme="minorHAnsi" w:hAnsi="Palatino Linotype" w:cs="Arial"/>
          <w:i/>
          <w:sz w:val="22"/>
          <w:lang w:val="es-MX" w:eastAsia="en-US"/>
        </w:rPr>
        <w:t xml:space="preserve"> Para efectos de los presentes Lineamientos Generales, se entenderá por:</w:t>
      </w:r>
    </w:p>
    <w:p w14:paraId="438CCB2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0B5AAE9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XVIII</w:t>
      </w:r>
      <w:r w:rsidRPr="00C87CEB">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Cuarto</w:t>
      </w:r>
      <w:r w:rsidRPr="00C87CEB">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Quinto</w:t>
      </w:r>
      <w:r w:rsidRPr="00C87CEB">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Sexto</w:t>
      </w:r>
      <w:r w:rsidRPr="00C87CEB">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Séptimo</w:t>
      </w:r>
      <w:r w:rsidRPr="00C87CEB">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Se determine mediante resolución de autoridad competente, o</w:t>
      </w:r>
    </w:p>
    <w:p w14:paraId="2459463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Octavo</w:t>
      </w:r>
      <w:r w:rsidRPr="00C87CEB">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56D73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Noveno</w:t>
      </w:r>
      <w:r w:rsidRPr="00C87CEB">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w:t>
      </w:r>
      <w:r w:rsidRPr="00C87CEB">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8129269" w14:textId="06F6E612" w:rsidR="00C87CEB" w:rsidRDefault="00C87CEB" w:rsidP="00F1409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 primero.</w:t>
      </w:r>
      <w:r w:rsidRPr="00C87CEB">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8E4E81A" w14:textId="77777777" w:rsidR="00E00254" w:rsidRPr="00F1409B" w:rsidRDefault="00E00254" w:rsidP="00F1409B">
      <w:pPr>
        <w:ind w:left="567" w:right="567"/>
        <w:jc w:val="both"/>
        <w:rPr>
          <w:rFonts w:ascii="Palatino Linotype" w:eastAsiaTheme="minorHAnsi" w:hAnsi="Palatino Linotype" w:cs="Arial"/>
          <w:i/>
          <w:sz w:val="22"/>
          <w:lang w:val="es-MX" w:eastAsia="en-US"/>
        </w:rPr>
      </w:pPr>
    </w:p>
    <w:p w14:paraId="6B87893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A77F8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679630B"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49D94E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097E7A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w:t>
      </w:r>
      <w:r w:rsidRPr="00C87CEB">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9E3E4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F332D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C87CEB">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73648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AE488F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consecuencia, la fundamentación y motivación implica </w:t>
      </w:r>
      <w:proofErr w:type="gramStart"/>
      <w:r w:rsidRPr="00C87CEB">
        <w:rPr>
          <w:rFonts w:ascii="Palatino Linotype" w:eastAsiaTheme="minorHAnsi" w:hAnsi="Palatino Linotype" w:cs="Arial"/>
          <w:lang w:val="es-MX" w:eastAsia="en-US"/>
        </w:rPr>
        <w:t>que</w:t>
      </w:r>
      <w:proofErr w:type="gramEnd"/>
      <w:r w:rsidRPr="00C87CEB">
        <w:rPr>
          <w:rFonts w:ascii="Palatino Linotype" w:eastAsiaTheme="minorHAnsi" w:hAnsi="Palatino Linotype" w:cs="Arial"/>
          <w:lang w:val="es-MX" w:eastAsia="en-US"/>
        </w:rPr>
        <w:t xml:space="preserve"> en el acto de autoridad, además de contenerse los supuestos jurídicos aplicables se expliquen claramente, por qué, a través de la utilización de la norma se emitió el acto. De este modo, la persona </w:t>
      </w:r>
      <w:r w:rsidRPr="00C87CEB">
        <w:rPr>
          <w:rFonts w:ascii="Palatino Linotype" w:eastAsiaTheme="minorHAnsi" w:hAnsi="Palatino Linotype" w:cs="Arial"/>
          <w:lang w:val="es-MX" w:eastAsia="en-US"/>
        </w:rPr>
        <w:lastRenderedPageBreak/>
        <w:t>que se siente afectada pueda impugnar la decisión, permitiéndole una real y auténtica defensa.</w:t>
      </w:r>
    </w:p>
    <w:p w14:paraId="7C66C06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Pr="00C87CEB" w:rsidRDefault="00C87CEB" w:rsidP="00EA16D9">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18612CD9"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434741" w:rsidRPr="00434741">
        <w:rPr>
          <w:rFonts w:ascii="Palatino Linotype" w:eastAsiaTheme="minorHAnsi" w:hAnsi="Palatino Linotype" w:cs="Arial"/>
          <w:b/>
          <w:szCs w:val="22"/>
          <w:lang w:val="es-MX" w:eastAsia="en-US"/>
        </w:rPr>
        <w:t>00021/RAYON/IP/2022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572D7EF8"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434741" w:rsidRPr="00434741">
        <w:rPr>
          <w:rFonts w:ascii="Palatino Linotype" w:eastAsiaTheme="minorHAnsi" w:hAnsi="Palatino Linotype" w:cs="Arial"/>
          <w:b/>
          <w:szCs w:val="22"/>
          <w:lang w:val="es-MX" w:eastAsia="en-US"/>
        </w:rPr>
        <w:t>00021/RAYON/IP/2022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434741">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23CF621E"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434741">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 xml:space="preserve">en versión pública, </w:t>
      </w:r>
      <w:r w:rsidR="00434741">
        <w:rPr>
          <w:rFonts w:ascii="Palatino Linotype" w:hAnsi="Palatino Linotype"/>
        </w:rPr>
        <w:t>del periodo comprendido de</w:t>
      </w:r>
      <w:r w:rsidR="006A64E6">
        <w:rPr>
          <w:rFonts w:ascii="Palatino Linotype" w:hAnsi="Palatino Linotype"/>
        </w:rPr>
        <w:t xml:space="preserve"> la primera quincena de enero a la segunda quincena de febrero </w:t>
      </w:r>
      <w:r w:rsidR="00434741">
        <w:rPr>
          <w:rFonts w:ascii="Palatino Linotype" w:hAnsi="Palatino Linotype"/>
        </w:rPr>
        <w:t>de 2022, de lo siguiente</w:t>
      </w:r>
      <w:r w:rsidR="00434741" w:rsidRPr="00E152F9">
        <w:rPr>
          <w:rFonts w:ascii="Palatino Linotype" w:hAnsi="Palatino Linotype"/>
        </w:rPr>
        <w:t>:</w:t>
      </w:r>
    </w:p>
    <w:p w14:paraId="013C3395" w14:textId="77777777" w:rsidR="00434741" w:rsidRPr="00434741" w:rsidRDefault="00434741" w:rsidP="00434741">
      <w:pPr>
        <w:pStyle w:val="Prrafodelista"/>
        <w:numPr>
          <w:ilvl w:val="0"/>
          <w:numId w:val="39"/>
        </w:numPr>
        <w:spacing w:line="360" w:lineRule="auto"/>
        <w:jc w:val="both"/>
        <w:rPr>
          <w:rFonts w:ascii="Palatino Linotype" w:hAnsi="Palatino Linotype"/>
          <w:i/>
        </w:rPr>
      </w:pPr>
      <w:r w:rsidRPr="00434741">
        <w:rPr>
          <w:rFonts w:ascii="Palatino Linotype" w:hAnsi="Palatino Linotype"/>
          <w:i/>
        </w:rPr>
        <w:t>Documento que dé cuenta de sueldo bruto, sueldo neto, gratificaciones, bonos, primas y deducciones, del Síndico Municipal, Regidores, y Tesorero Municipal.</w:t>
      </w:r>
    </w:p>
    <w:p w14:paraId="7D939BA4" w14:textId="77777777" w:rsidR="00434741" w:rsidRPr="00434741" w:rsidRDefault="00434741" w:rsidP="00434741">
      <w:pPr>
        <w:pStyle w:val="Prrafodelista"/>
        <w:numPr>
          <w:ilvl w:val="0"/>
          <w:numId w:val="39"/>
        </w:numPr>
        <w:spacing w:line="360" w:lineRule="auto"/>
        <w:jc w:val="both"/>
        <w:rPr>
          <w:rFonts w:ascii="Palatino Linotype" w:hAnsi="Palatino Linotype"/>
          <w:i/>
        </w:rPr>
      </w:pPr>
      <w:r w:rsidRPr="00434741">
        <w:rPr>
          <w:rFonts w:ascii="Palatino Linotype" w:hAnsi="Palatino Linotype"/>
          <w:i/>
        </w:rPr>
        <w:t>Recibos de nómina generados del Presidente o Presidenta Municipal, así como documentos donde consten gratificaciones, bonos, primas y deducciones de todos los conceptos.</w:t>
      </w:r>
    </w:p>
    <w:p w14:paraId="2A3911BF" w14:textId="42716FAF" w:rsidR="00BD34CA" w:rsidRPr="00F1409B"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A6A96F0" w14:textId="4F014A9C"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lastRenderedPageBreak/>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5C159147"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CB298F" w:rsidRPr="00CB298F">
        <w:rPr>
          <w:rFonts w:ascii="Palatino Linotype" w:hAnsi="Palatino Linotype" w:cs="Arial"/>
          <w:b/>
          <w:bCs/>
          <w:lang w:val="es-MX"/>
        </w:rPr>
        <w:t>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27932DC9"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w:t>
      </w:r>
      <w:r w:rsidRPr="00DB5147">
        <w:rPr>
          <w:rFonts w:ascii="Palatino Linotype" w:hAnsi="Palatino Linotype"/>
        </w:rPr>
        <w:lastRenderedPageBreak/>
        <w:t>POR LOS COMISIONADOS JOSÉ MARTÍNEZ VILCHIS, MARÍA DEL ROSARIO MEJÍA AYALA, SHARON CRISTINA MORALES MARTÍNEZ</w:t>
      </w:r>
      <w:r w:rsidR="005A5B74">
        <w:rPr>
          <w:rFonts w:ascii="Palatino Linotype" w:hAnsi="Palatino Linotype"/>
        </w:rPr>
        <w:t xml:space="preserve"> (AUSENCIA JUSTIFICADA)</w:t>
      </w:r>
      <w:r w:rsidRPr="00DB5147">
        <w:rPr>
          <w:rFonts w:ascii="Palatino Linotype" w:hAnsi="Palatino Linotype"/>
        </w:rPr>
        <w:t xml:space="preserve">, LUIS GUSTAVO PARRA NORIEGA </w:t>
      </w:r>
      <w:r w:rsidR="00C94A1D">
        <w:rPr>
          <w:rFonts w:ascii="Palatino Linotype" w:hAnsi="Palatino Linotype"/>
        </w:rPr>
        <w:t xml:space="preserve"> </w:t>
      </w:r>
      <w:r w:rsidRPr="00DB5147">
        <w:rPr>
          <w:rFonts w:ascii="Palatino Linotype" w:hAnsi="Palatino Linotype"/>
        </w:rPr>
        <w:t xml:space="preserve">Y GUADALUPE RAMÍREZ PEÑA; EN LA </w:t>
      </w:r>
      <w:r w:rsidR="00226EEE">
        <w:rPr>
          <w:rFonts w:ascii="Palatino Linotype" w:hAnsi="Palatino Linotype"/>
        </w:rPr>
        <w:t>VIGÉSIMA</w:t>
      </w:r>
      <w:r w:rsidR="00EA16D9">
        <w:rPr>
          <w:rFonts w:ascii="Palatino Linotype" w:hAnsi="Palatino Linotype"/>
        </w:rPr>
        <w:t xml:space="preserve"> </w:t>
      </w:r>
      <w:r w:rsidR="00434741">
        <w:rPr>
          <w:rFonts w:ascii="Palatino Linotype" w:hAnsi="Palatino Linotype"/>
        </w:rPr>
        <w:t>CUARTA</w:t>
      </w:r>
      <w:r w:rsidRPr="00DB5147">
        <w:rPr>
          <w:rFonts w:ascii="Palatino Linotype" w:hAnsi="Palatino Linotype"/>
        </w:rPr>
        <w:t xml:space="preserve"> SESIÓN ORDINARIA CELEBRADA EL </w:t>
      </w:r>
      <w:r w:rsidR="00434741">
        <w:rPr>
          <w:rFonts w:ascii="Palatino Linotype" w:hAnsi="Palatino Linotype"/>
        </w:rPr>
        <w:t>VEINTINUEVE</w:t>
      </w:r>
      <w:r w:rsidR="00226EEE">
        <w:rPr>
          <w:rFonts w:ascii="Palatino Linotype" w:hAnsi="Palatino Linotype"/>
        </w:rPr>
        <w:t xml:space="preserve"> DE JUNIO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91666" w14:textId="77777777" w:rsidR="003A663C" w:rsidRDefault="003A663C" w:rsidP="00D34057">
      <w:r>
        <w:separator/>
      </w:r>
    </w:p>
  </w:endnote>
  <w:endnote w:type="continuationSeparator" w:id="0">
    <w:p w14:paraId="44EE9462" w14:textId="77777777" w:rsidR="003A663C" w:rsidRDefault="003A663C"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6655CFAE"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5FE7">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5FE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4CCB1618"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4411E1">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4411E1">
      <w:rPr>
        <w:rFonts w:ascii="Palatino Linotype" w:hAnsi="Palatino Linotype"/>
        <w:b/>
        <w:bCs/>
        <w:noProof/>
        <w:sz w:val="20"/>
      </w:rPr>
      <w:t>41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A20C2" w14:textId="77777777" w:rsidR="003A663C" w:rsidRDefault="003A663C" w:rsidP="00D34057">
      <w:r>
        <w:separator/>
      </w:r>
    </w:p>
  </w:footnote>
  <w:footnote w:type="continuationSeparator" w:id="0">
    <w:p w14:paraId="70D6ADDD" w14:textId="77777777" w:rsidR="003A663C" w:rsidRDefault="003A663C"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3A663C">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F1A02BD" w:rsidR="00A01730" w:rsidRDefault="00154698" w:rsidP="00564DB2">
          <w:pPr>
            <w:spacing w:after="120" w:line="256" w:lineRule="auto"/>
            <w:ind w:left="-486" w:right="214" w:firstLine="1585"/>
            <w:jc w:val="right"/>
            <w:rPr>
              <w:rFonts w:ascii="Palatino Linotype" w:hAnsi="Palatino Linotype" w:cs="Arial"/>
              <w:szCs w:val="20"/>
            </w:rPr>
          </w:pPr>
          <w:r w:rsidRPr="00154698">
            <w:rPr>
              <w:rFonts w:ascii="Palatino Linotype" w:hAnsi="Palatino Linotype" w:cs="Arial"/>
              <w:bCs/>
              <w:lang w:eastAsia="es-MX"/>
            </w:rPr>
            <w:t>05015/INFOEM/IP/RR/2022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0F4705AA" w:rsidR="00A01730" w:rsidRDefault="00154698" w:rsidP="00E31501">
          <w:pPr>
            <w:spacing w:line="256" w:lineRule="auto"/>
            <w:ind w:left="-72" w:right="214" w:firstLine="284"/>
            <w:jc w:val="right"/>
            <w:rPr>
              <w:rFonts w:ascii="Palatino Linotype" w:hAnsi="Palatino Linotype" w:cs="Arial"/>
              <w:szCs w:val="20"/>
            </w:rPr>
          </w:pPr>
          <w:r w:rsidRPr="00154698">
            <w:rPr>
              <w:rFonts w:ascii="Palatino Linotype" w:hAnsi="Palatino Linotype" w:cs="Arial"/>
              <w:szCs w:val="20"/>
            </w:rPr>
            <w:t>Ayuntamiento de Rayón</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999C3AA" w:rsidR="00A01730" w:rsidRPr="00B4142F" w:rsidRDefault="00154698" w:rsidP="004558D1">
          <w:pPr>
            <w:spacing w:after="120" w:line="256" w:lineRule="auto"/>
            <w:ind w:left="-486" w:right="214" w:firstLine="1408"/>
            <w:jc w:val="right"/>
            <w:rPr>
              <w:rFonts w:ascii="Palatino Linotype" w:hAnsi="Palatino Linotype" w:cs="Arial"/>
              <w:szCs w:val="20"/>
            </w:rPr>
          </w:pPr>
          <w:r w:rsidRPr="00154698">
            <w:rPr>
              <w:rFonts w:ascii="Palatino Linotype" w:hAnsi="Palatino Linotype" w:cs="Arial"/>
              <w:bCs/>
              <w:lang w:eastAsia="es-MX"/>
            </w:rPr>
            <w:t>05015/INFOEM/IP/RR/2022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18BBBBD" w:rsidR="00A01730" w:rsidRPr="00F06FED" w:rsidRDefault="004411E1"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5FECE05" w:rsidR="00A01730" w:rsidRDefault="00154698" w:rsidP="001A7EEE">
          <w:pPr>
            <w:spacing w:line="256" w:lineRule="auto"/>
            <w:ind w:left="-495" w:right="214" w:firstLine="843"/>
            <w:jc w:val="right"/>
            <w:rPr>
              <w:rFonts w:ascii="Palatino Linotype" w:hAnsi="Palatino Linotype" w:cs="Arial"/>
              <w:szCs w:val="20"/>
            </w:rPr>
          </w:pPr>
          <w:r w:rsidRPr="00154698">
            <w:rPr>
              <w:rFonts w:ascii="Palatino Linotype" w:hAnsi="Palatino Linotype" w:cs="Arial"/>
              <w:szCs w:val="20"/>
            </w:rPr>
            <w:t>Ayuntamiento de Rayón</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3A663C">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10"/>
  </w:num>
  <w:num w:numId="3">
    <w:abstractNumId w:val="26"/>
  </w:num>
  <w:num w:numId="4">
    <w:abstractNumId w:val="25"/>
  </w:num>
  <w:num w:numId="5">
    <w:abstractNumId w:val="36"/>
  </w:num>
  <w:num w:numId="6">
    <w:abstractNumId w:val="27"/>
  </w:num>
  <w:num w:numId="7">
    <w:abstractNumId w:val="21"/>
  </w:num>
  <w:num w:numId="8">
    <w:abstractNumId w:val="29"/>
  </w:num>
  <w:num w:numId="9">
    <w:abstractNumId w:val="20"/>
  </w:num>
  <w:num w:numId="10">
    <w:abstractNumId w:val="19"/>
  </w:num>
  <w:num w:numId="11">
    <w:abstractNumId w:val="0"/>
  </w:num>
  <w:num w:numId="12">
    <w:abstractNumId w:val="18"/>
  </w:num>
  <w:num w:numId="13">
    <w:abstractNumId w:val="13"/>
  </w:num>
  <w:num w:numId="14">
    <w:abstractNumId w:val="17"/>
  </w:num>
  <w:num w:numId="15">
    <w:abstractNumId w:val="35"/>
  </w:num>
  <w:num w:numId="16">
    <w:abstractNumId w:val="28"/>
  </w:num>
  <w:num w:numId="17">
    <w:abstractNumId w:val="5"/>
  </w:num>
  <w:num w:numId="18">
    <w:abstractNumId w:val="15"/>
  </w:num>
  <w:num w:numId="19">
    <w:abstractNumId w:val="8"/>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23"/>
  </w:num>
  <w:num w:numId="29">
    <w:abstractNumId w:val="16"/>
  </w:num>
  <w:num w:numId="30">
    <w:abstractNumId w:val="30"/>
  </w:num>
  <w:num w:numId="31">
    <w:abstractNumId w:val="32"/>
  </w:num>
  <w:num w:numId="32">
    <w:abstractNumId w:val="3"/>
  </w:num>
  <w:num w:numId="33">
    <w:abstractNumId w:val="24"/>
  </w:num>
  <w:num w:numId="34">
    <w:abstractNumId w:val="33"/>
  </w:num>
  <w:num w:numId="35">
    <w:abstractNumId w:val="34"/>
  </w:num>
  <w:num w:numId="36">
    <w:abstractNumId w:val="6"/>
  </w:num>
  <w:num w:numId="37">
    <w:abstractNumId w:val="7"/>
  </w:num>
  <w:num w:numId="38">
    <w:abstractNumId w:val="12"/>
  </w:num>
  <w:num w:numId="39">
    <w:abstractNumId w:val="1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5033A"/>
    <w:rsid w:val="00050780"/>
    <w:rsid w:val="00055AB9"/>
    <w:rsid w:val="000A5A65"/>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7A89"/>
    <w:rsid w:val="00215429"/>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A663C"/>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11E1"/>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A5B74"/>
    <w:rsid w:val="005B0651"/>
    <w:rsid w:val="005B201D"/>
    <w:rsid w:val="005B4D50"/>
    <w:rsid w:val="005B5976"/>
    <w:rsid w:val="005B7C1F"/>
    <w:rsid w:val="005C3D98"/>
    <w:rsid w:val="005E1C1B"/>
    <w:rsid w:val="005E50F1"/>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A2320"/>
    <w:rsid w:val="006A64E6"/>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A5FE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1DC1"/>
    <w:rsid w:val="00F06299"/>
    <w:rsid w:val="00F11AD3"/>
    <w:rsid w:val="00F1409B"/>
    <w:rsid w:val="00F16EF8"/>
    <w:rsid w:val="00F20A68"/>
    <w:rsid w:val="00F21527"/>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E1FB8-821E-4489-9CB1-8DBE2B23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41</Pages>
  <Words>10413</Words>
  <Characters>57272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20</cp:revision>
  <cp:lastPrinted>2018-04-05T14:31:00Z</cp:lastPrinted>
  <dcterms:created xsi:type="dcterms:W3CDTF">2022-06-17T18:00:00Z</dcterms:created>
  <dcterms:modified xsi:type="dcterms:W3CDTF">2022-07-10T03:48:00Z</dcterms:modified>
</cp:coreProperties>
</file>