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diez de febrero del dos mil veintidós</w:t>
      </w:r>
      <w:r>
        <w:rPr>
          <w:rFonts w:ascii="Palatino Linotype" w:eastAsia="Palatino Linotype" w:hAnsi="Palatino Linotype" w:cs="Palatino Linotype"/>
        </w:rPr>
        <w:t>.</w:t>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05934/INFOEM/IP/RR/2021</w:t>
      </w:r>
      <w:r>
        <w:rPr>
          <w:rFonts w:ascii="Palatino Linotype" w:eastAsia="Palatino Linotype" w:hAnsi="Palatino Linotype" w:cs="Palatino Linotype"/>
        </w:rPr>
        <w:t xml:space="preserve">, interpuesto por </w:t>
      </w:r>
      <w:r w:rsidR="00AE11AE" w:rsidRPr="00AE11AE">
        <w:rPr>
          <w:rFonts w:ascii="Palatino Linotype" w:eastAsia="Palatino Linotype" w:hAnsi="Palatino Linotype" w:cs="Palatino Linotype"/>
          <w:b/>
        </w:rPr>
        <w:t>xxxxxx xxxxxx</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w:t>
      </w:r>
      <w:r>
        <w:rPr>
          <w:rFonts w:ascii="Palatino Linotype" w:eastAsia="Palatino Linotype" w:hAnsi="Palatino Linotype" w:cs="Palatino Linotype"/>
        </w:rPr>
        <w:t xml:space="preserve">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 la</w:t>
      </w:r>
      <w:r>
        <w:rPr>
          <w:rFonts w:ascii="Palatino Linotype" w:eastAsia="Palatino Linotype" w:hAnsi="Palatino Linotype" w:cs="Palatino Linotype"/>
          <w:b/>
        </w:rPr>
        <w:t xml:space="preserve"> Gubernatura,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913A86" w:rsidRDefault="002F08A5">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 xml:space="preserve">veintidós de noviembre de dos mil veintiuno, </w:t>
      </w:r>
      <w:r>
        <w:rPr>
          <w:rFonts w:ascii="Palatino Linotype" w:eastAsia="Palatino Linotype" w:hAnsi="Palatino Linotype" w:cs="Palatino Linotype"/>
        </w:rPr>
        <w:t xml:space="preserve">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a través de la Plataforma Nacional de Tranparencia (PNT), la cual se encuentra vinculada al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00261/GUBERNA/IP/2021, </w:t>
      </w:r>
      <w:r>
        <w:rPr>
          <w:rFonts w:ascii="Palatino Linotype" w:eastAsia="Palatino Linotype" w:hAnsi="Palatino Linotype" w:cs="Palatino Linotype"/>
        </w:rPr>
        <w:t xml:space="preserve">mediante la cual requirió la información siguiente: </w:t>
      </w:r>
    </w:p>
    <w:p w:rsidR="00913A86" w:rsidRDefault="002F08A5">
      <w:pPr>
        <w:spacing w:before="240" w:after="240" w:line="276" w:lineRule="auto"/>
        <w:ind w:left="426"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“Con fundamento en los artículos 10, 11, 12, 13, 15, 16 y 17 de la Ley General de Transparencia y Acceso a la Información Pública solicito lo siguiente: Solicito a la Dirección General de Recursos Humanos o departamento encargado de los Recursos Humanos la VERSION PUBLICA de </w:t>
      </w:r>
      <w:r>
        <w:rPr>
          <w:rFonts w:ascii="Palatino Linotype" w:eastAsia="Palatino Linotype" w:hAnsi="Palatino Linotype" w:cs="Palatino Linotype"/>
          <w:b/>
          <w:i/>
          <w:sz w:val="22"/>
          <w:szCs w:val="22"/>
          <w:u w:val="single"/>
        </w:rPr>
        <w:t>los recibos de pagos o recibo de nómina del mes de octubre del 2021 que comprueben el pago</w:t>
      </w:r>
      <w:r>
        <w:rPr>
          <w:rFonts w:ascii="Palatino Linotype" w:eastAsia="Palatino Linotype" w:hAnsi="Palatino Linotype" w:cs="Palatino Linotype"/>
          <w:i/>
          <w:sz w:val="22"/>
          <w:szCs w:val="22"/>
        </w:rPr>
        <w:t xml:space="preserve"> por concepto salarial de todos servidores públicos de la Oficina del Ejecutivo y de la Secretaria General de Gobierno de estructura, honorarios, confianza, jefes de departamento, subdirectores, </w:t>
      </w:r>
      <w:r>
        <w:rPr>
          <w:rFonts w:ascii="Palatino Linotype" w:eastAsia="Palatino Linotype" w:hAnsi="Palatino Linotype" w:cs="Palatino Linotype"/>
          <w:i/>
          <w:sz w:val="22"/>
          <w:szCs w:val="22"/>
        </w:rPr>
        <w:lastRenderedPageBreak/>
        <w:t>directores, directores generales, directores generales adjuntos, titulares de unidades, secretario general de gobierno y gobernador del Estado. (En el caso de la Ciudad de Mexico, el de la oficina de la Jefatura de Gobierno de la CDMX) Cabe señalar que la información solicitada se requiere en de manera digital en formato de documentos portátiles (Portable Document Format, PDF) por lo tanto no aplica para consulta directa y no se requiere pago debido que no la necesito certificada.” (Sic).</w:t>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p>
    <w:p w:rsidR="00364BD3" w:rsidRDefault="00364BD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581650" cy="5238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523875"/>
                    </a:xfrm>
                    <a:prstGeom prst="rect">
                      <a:avLst/>
                    </a:prstGeom>
                    <a:noFill/>
                    <a:ln>
                      <a:noFill/>
                    </a:ln>
                  </pic:spPr>
                </pic:pic>
              </a:graphicData>
            </a:graphic>
          </wp:inline>
        </w:drawing>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2. Incompetencia del Sujeto Obligado para atender la solicitud de información. </w:t>
      </w:r>
      <w:r>
        <w:rPr>
          <w:rFonts w:ascii="Palatino Linotype" w:eastAsia="Palatino Linotype" w:hAnsi="Palatino Linotype" w:cs="Palatino Linotype"/>
        </w:rPr>
        <w:t>En fecha</w:t>
      </w:r>
      <w:r>
        <w:rPr>
          <w:rFonts w:ascii="Palatino Linotype" w:eastAsia="Palatino Linotype" w:hAnsi="Palatino Linotype" w:cs="Palatino Linotype"/>
          <w:b/>
        </w:rPr>
        <w:t xml:space="preserve"> veinticinco de noviembre de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la incompetencia para atender la solicitud de información sustancialmente en los siguientes términos: </w:t>
      </w:r>
    </w:p>
    <w:p w:rsidR="00913A86" w:rsidRDefault="002F08A5">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anexa documento.</w:t>
      </w:r>
    </w:p>
    <w:p w:rsidR="00913A86" w:rsidRDefault="002F08A5">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913A86" w:rsidRDefault="002F08A5">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Licenciado en Contaduría Rodolfo García Muñoz”</w:t>
      </w:r>
    </w:p>
    <w:p w:rsidR="00913A86" w:rsidRDefault="002F08A5">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Archivo adjunto: </w:t>
      </w:r>
      <w:r>
        <w:rPr>
          <w:rFonts w:ascii="Palatino Linotype" w:eastAsia="Palatino Linotype" w:hAnsi="Palatino Linotype" w:cs="Palatino Linotype"/>
        </w:rPr>
        <w:t xml:space="preserve">El Sujeto Obligado remitió </w:t>
      </w:r>
      <w:r>
        <w:rPr>
          <w:rFonts w:ascii="Palatino Linotype" w:eastAsia="Palatino Linotype" w:hAnsi="Palatino Linotype" w:cs="Palatino Linotype"/>
          <w:color w:val="000000"/>
        </w:rPr>
        <w:t xml:space="preserve">el archivo electrónico que a continuación se describe: </w:t>
      </w:r>
    </w:p>
    <w:p w:rsidR="00913A86" w:rsidRDefault="002F08A5">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“0261 respuesta.pdf”: </w:t>
      </w:r>
      <w:r>
        <w:rPr>
          <w:rFonts w:ascii="Palatino Linotype" w:eastAsia="Palatino Linotype" w:hAnsi="Palatino Linotype" w:cs="Palatino Linotype"/>
          <w:color w:val="000000"/>
        </w:rPr>
        <w:t xml:space="preserve">Documento de seis fojas en el que medularmente se informa la incompetencia de la Gubernatura para generar la información requerida, se insertan las siguientes capturas de pantalla a efecto de ilustrar lo señalado: </w:t>
      </w:r>
    </w:p>
    <w:p w:rsidR="00913A86" w:rsidRDefault="002F08A5">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5372100" cy="6715125"/>
            <wp:effectExtent l="0" t="0" r="0" b="0"/>
            <wp:docPr id="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372100" cy="6715125"/>
                    </a:xfrm>
                    <a:prstGeom prst="rect">
                      <a:avLst/>
                    </a:prstGeom>
                    <a:ln/>
                  </pic:spPr>
                </pic:pic>
              </a:graphicData>
            </a:graphic>
          </wp:inline>
        </w:drawing>
      </w:r>
    </w:p>
    <w:p w:rsidR="00913A86" w:rsidRDefault="00913A86">
      <w:pPr>
        <w:spacing w:before="240" w:after="240" w:line="360" w:lineRule="auto"/>
        <w:ind w:left="567" w:right="900"/>
        <w:jc w:val="both"/>
        <w:rPr>
          <w:rFonts w:ascii="Palatino Linotype" w:eastAsia="Palatino Linotype" w:hAnsi="Palatino Linotype" w:cs="Palatino Linotype"/>
          <w:color w:val="000000"/>
        </w:rPr>
      </w:pPr>
    </w:p>
    <w:p w:rsidR="00913A86" w:rsidRDefault="00913A86">
      <w:pPr>
        <w:spacing w:before="240" w:after="240" w:line="360" w:lineRule="auto"/>
        <w:ind w:left="567" w:right="900"/>
        <w:rPr>
          <w:rFonts w:ascii="Palatino Linotype" w:eastAsia="Palatino Linotype" w:hAnsi="Palatino Linotype" w:cs="Palatino Linotype"/>
          <w:color w:val="000000"/>
        </w:rPr>
      </w:pPr>
    </w:p>
    <w:p w:rsidR="00913A86" w:rsidRDefault="00296B89">
      <w:pPr>
        <w:spacing w:before="240" w:after="240" w:line="360" w:lineRule="auto"/>
        <w:ind w:left="567" w:right="900"/>
        <w:jc w:val="center"/>
        <w:rPr>
          <w:rFonts w:ascii="Palatino Linotype" w:eastAsia="Palatino Linotype" w:hAnsi="Palatino Linotype" w:cs="Palatino Linotype"/>
          <w:b/>
          <w:i/>
          <w:color w:val="000000"/>
        </w:rPr>
      </w:pPr>
      <w:r>
        <w:rPr>
          <w:noProof/>
          <w:lang w:val="es-MX"/>
        </w:rPr>
        <mc:AlternateContent>
          <mc:Choice Requires="wps">
            <w:drawing>
              <wp:anchor distT="0" distB="0" distL="114300" distR="114300" simplePos="0" relativeHeight="251658240" behindDoc="0" locked="0" layoutInCell="1" hidden="0" allowOverlap="1" wp14:anchorId="79D05A0E" wp14:editId="491BB40F">
                <wp:simplePos x="0" y="0"/>
                <wp:positionH relativeFrom="column">
                  <wp:posOffset>215265</wp:posOffset>
                </wp:positionH>
                <wp:positionV relativeFrom="paragraph">
                  <wp:posOffset>4657725</wp:posOffset>
                </wp:positionV>
                <wp:extent cx="5219700" cy="2228850"/>
                <wp:effectExtent l="0" t="0" r="19050" b="19050"/>
                <wp:wrapNone/>
                <wp:docPr id="48" name=""/>
                <wp:cNvGraphicFramePr/>
                <a:graphic xmlns:a="http://schemas.openxmlformats.org/drawingml/2006/main">
                  <a:graphicData uri="http://schemas.microsoft.com/office/word/2010/wordprocessingShape">
                    <wps:wsp>
                      <wps:cNvCnPr/>
                      <wps:spPr>
                        <a:xfrm>
                          <a:off x="0" y="0"/>
                          <a:ext cx="5219700" cy="2228850"/>
                        </a:xfrm>
                        <a:prstGeom prst="straightConnector1">
                          <a:avLst/>
                        </a:prstGeom>
                        <a:noFill/>
                        <a:ln w="9525"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2BD0C6D3" id="_x0000_t32" coordsize="21600,21600" o:spt="32" o:oned="t" path="m,l21600,21600e" filled="f">
                <v:path arrowok="t" fillok="f" o:connecttype="none"/>
                <o:lock v:ext="edit" shapetype="t"/>
              </v:shapetype>
              <v:shape id="Conector recto de flecha 48" o:spid="_x0000_s1026" type="#_x0000_t32" style="position:absolute;margin-left:16.95pt;margin-top:366.75pt;width:411pt;height:1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" strokecolor="black [3200]">
                <v:stroke startarrowwidth="narrow" startarrowlength="short" endarrowwidth="narrow" endarrowlength="short"/>
              </v:shape>
            </w:pict>
          </mc:Fallback>
        </mc:AlternateContent>
      </w:r>
      <w:r w:rsidR="002F08A5">
        <w:rPr>
          <w:rFonts w:ascii="Palatino Linotype" w:eastAsia="Palatino Linotype" w:hAnsi="Palatino Linotype" w:cs="Palatino Linotype"/>
          <w:b/>
          <w:i/>
          <w:noProof/>
          <w:color w:val="000000"/>
          <w:lang w:val="es-MX"/>
        </w:rPr>
        <w:drawing>
          <wp:inline distT="0" distB="0" distL="0" distR="0" wp14:anchorId="13C76792" wp14:editId="63DD110C">
            <wp:extent cx="5581650" cy="466725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581650" cy="4667250"/>
                    </a:xfrm>
                    <a:prstGeom prst="rect">
                      <a:avLst/>
                    </a:prstGeom>
                    <a:ln/>
                  </pic:spPr>
                </pic:pic>
              </a:graphicData>
            </a:graphic>
          </wp:inline>
        </w:drawing>
      </w:r>
    </w:p>
    <w:p w:rsidR="00913A86" w:rsidRDefault="002F08A5">
      <w:pPr>
        <w:spacing w:before="240"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5572125" cy="6638925"/>
            <wp:effectExtent l="0" t="0" r="0" b="0"/>
            <wp:docPr id="5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572125" cy="6638925"/>
                    </a:xfrm>
                    <a:prstGeom prst="rect">
                      <a:avLst/>
                    </a:prstGeom>
                    <a:ln/>
                  </pic:spPr>
                </pic:pic>
              </a:graphicData>
            </a:graphic>
          </wp:inline>
        </w:drawing>
      </w:r>
    </w:p>
    <w:p w:rsidR="00913A86" w:rsidRDefault="00913A86">
      <w:pPr>
        <w:spacing w:before="240" w:after="240" w:line="360" w:lineRule="auto"/>
        <w:ind w:right="900"/>
        <w:jc w:val="both"/>
        <w:rPr>
          <w:rFonts w:ascii="Palatino Linotype" w:eastAsia="Palatino Linotype" w:hAnsi="Palatino Linotype" w:cs="Palatino Linotype"/>
          <w:color w:val="000000"/>
        </w:rPr>
      </w:pPr>
    </w:p>
    <w:p w:rsidR="00913A86" w:rsidRDefault="00913A86">
      <w:pPr>
        <w:spacing w:before="240" w:after="240" w:line="360" w:lineRule="auto"/>
        <w:ind w:right="900"/>
        <w:jc w:val="both"/>
        <w:rPr>
          <w:rFonts w:ascii="Palatino Linotype" w:eastAsia="Palatino Linotype" w:hAnsi="Palatino Linotype" w:cs="Palatino Linotype"/>
          <w:color w:val="000000"/>
        </w:rPr>
      </w:pPr>
    </w:p>
    <w:p w:rsidR="00913A86" w:rsidRDefault="002F08A5">
      <w:pPr>
        <w:spacing w:before="240"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5581650" cy="4057650"/>
            <wp:effectExtent l="0" t="0" r="0" b="0"/>
            <wp:docPr id="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581650" cy="4057650"/>
                    </a:xfrm>
                    <a:prstGeom prst="rect">
                      <a:avLst/>
                    </a:prstGeom>
                    <a:ln/>
                  </pic:spPr>
                </pic:pic>
              </a:graphicData>
            </a:graphic>
          </wp:inline>
        </w:drawing>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interpuso el recurso de revisión materia del presente estudio el día </w:t>
      </w:r>
      <w:r>
        <w:rPr>
          <w:rFonts w:ascii="Palatino Linotype" w:eastAsia="Palatino Linotype" w:hAnsi="Palatino Linotype" w:cs="Palatino Linotype"/>
          <w:b/>
        </w:rPr>
        <w:t>veintinueve de noviembre de dos mil veintiuno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rsidR="00913A86" w:rsidRDefault="002F08A5">
      <w:pPr>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rsidR="00913A86" w:rsidRDefault="00913A86">
      <w:pPr>
        <w:ind w:right="567"/>
        <w:jc w:val="both"/>
        <w:rPr>
          <w:rFonts w:ascii="Palatino Linotype" w:eastAsia="Palatino Linotype" w:hAnsi="Palatino Linotype" w:cs="Palatino Linotype"/>
          <w:i/>
          <w:sz w:val="22"/>
          <w:szCs w:val="22"/>
        </w:rPr>
      </w:pPr>
    </w:p>
    <w:p w:rsidR="00913A86" w:rsidRDefault="002F08A5">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(Sic).</w:t>
      </w:r>
    </w:p>
    <w:p w:rsidR="00913A86" w:rsidRDefault="002F08A5">
      <w:pPr>
        <w:spacing w:before="240" w:after="240"/>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rsidR="00913A86" w:rsidRDefault="002F08A5">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niegan a entregar la informacion, son opacos y dicen que no es de su competencia mientras claramente la solicitud está dirigida al sujeto obligado en comento”</w:t>
      </w:r>
    </w:p>
    <w:p w:rsidR="00913A86" w:rsidRDefault="00913A86">
      <w:pPr>
        <w:ind w:right="49"/>
        <w:jc w:val="both"/>
        <w:rPr>
          <w:rFonts w:ascii="Palatino Linotype" w:eastAsia="Palatino Linotype" w:hAnsi="Palatino Linotype" w:cs="Palatino Linotype"/>
          <w:i/>
          <w:sz w:val="22"/>
          <w:szCs w:val="22"/>
        </w:rPr>
      </w:pPr>
    </w:p>
    <w:p w:rsidR="00913A86" w:rsidRDefault="002F08A5">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rsidR="00913A86" w:rsidRDefault="00913A86">
      <w:pPr>
        <w:widowControl w:val="0"/>
        <w:spacing w:line="360" w:lineRule="auto"/>
        <w:ind w:right="49"/>
        <w:jc w:val="both"/>
        <w:rPr>
          <w:rFonts w:ascii="Palatino Linotype" w:eastAsia="Palatino Linotype" w:hAnsi="Palatino Linotype" w:cs="Palatino Linotype"/>
        </w:rPr>
      </w:pPr>
    </w:p>
    <w:p w:rsidR="00913A86" w:rsidRDefault="002F08A5">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Pr>
          <w:rFonts w:ascii="Palatino Linotype" w:eastAsia="Palatino Linotype" w:hAnsi="Palatino Linotype" w:cs="Palatino Linotype"/>
          <w:b/>
        </w:rPr>
        <w:t xml:space="preserve"> tres de diciembre de dos mil veintiuno </w:t>
      </w:r>
      <w:r>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rsidR="00913A86" w:rsidRDefault="00913A86">
      <w:pPr>
        <w:widowControl w:val="0"/>
        <w:spacing w:line="360" w:lineRule="auto"/>
        <w:ind w:right="49"/>
        <w:jc w:val="both"/>
        <w:rPr>
          <w:rFonts w:ascii="Palatino Linotype" w:eastAsia="Palatino Linotype" w:hAnsi="Palatino Linotype" w:cs="Palatino Linotype"/>
        </w:rPr>
      </w:pPr>
    </w:p>
    <w:p w:rsidR="00913A86" w:rsidRDefault="002F08A5">
      <w:pPr>
        <w:widowControl w:val="0"/>
        <w:spacing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el </w:t>
      </w:r>
      <w:r>
        <w:rPr>
          <w:rFonts w:ascii="Palatino Linotype" w:eastAsia="Palatino Linotype" w:hAnsi="Palatino Linotype" w:cs="Palatino Linotype"/>
          <w:b/>
        </w:rPr>
        <w:t>trece de diciembre del dos mil veintiuno</w:t>
      </w:r>
      <w:r>
        <w:rPr>
          <w:rFonts w:ascii="Palatino Linotype" w:eastAsia="Palatino Linotype" w:hAnsi="Palatino Linotype" w:cs="Palatino Linotype"/>
        </w:rPr>
        <w:t xml:space="preserve">, mediante los archivos electrónicos: </w:t>
      </w:r>
      <w:r>
        <w:rPr>
          <w:rFonts w:ascii="Palatino Linotype" w:eastAsia="Palatino Linotype" w:hAnsi="Palatino Linotype" w:cs="Palatino Linotype"/>
          <w:b/>
          <w:i/>
        </w:rPr>
        <w:t>“</w:t>
      </w:r>
      <w:r>
        <w:rPr>
          <w:rFonts w:ascii="Palatino Linotype" w:eastAsia="Palatino Linotype" w:hAnsi="Palatino Linotype" w:cs="Palatino Linotype"/>
          <w:b/>
          <w:i/>
        </w:rPr>
        <w:tab/>
        <w:t xml:space="preserve">Informe de justificación 0261 2021.PDF”, </w:t>
      </w:r>
      <w:r>
        <w:rPr>
          <w:rFonts w:ascii="Palatino Linotype" w:eastAsia="Palatino Linotype" w:hAnsi="Palatino Linotype" w:cs="Palatino Linotype"/>
        </w:rPr>
        <w:t xml:space="preserve">el cual se puso a la vista del particular en fecha </w:t>
      </w:r>
      <w:r>
        <w:rPr>
          <w:rFonts w:ascii="Palatino Linotype" w:eastAsia="Palatino Linotype" w:hAnsi="Palatino Linotype" w:cs="Palatino Linotype"/>
          <w:b/>
        </w:rPr>
        <w:t>veintiocho de enero de dos mil veintidós</w:t>
      </w:r>
      <w:r>
        <w:rPr>
          <w:rFonts w:ascii="Palatino Linotype" w:eastAsia="Palatino Linotype" w:hAnsi="Palatino Linotype" w:cs="Palatino Linotype"/>
        </w:rPr>
        <w:t>, asimismo cabe señalar que la parte recurrente fue omisa en emitir pronunciamientos, ofrecer pruebas o alegatos, por lo que se tiene por precluido su derecho.</w:t>
      </w:r>
    </w:p>
    <w:p w:rsidR="00913A86" w:rsidRDefault="00913A86">
      <w:pPr>
        <w:widowControl w:val="0"/>
        <w:spacing w:line="360" w:lineRule="auto"/>
        <w:ind w:right="49"/>
        <w:jc w:val="both"/>
        <w:rPr>
          <w:rFonts w:ascii="Palatino Linotype" w:eastAsia="Palatino Linotype" w:hAnsi="Palatino Linotype" w:cs="Palatino Linotype"/>
        </w:rPr>
      </w:pPr>
    </w:p>
    <w:p w:rsidR="00913A86" w:rsidRDefault="002F08A5">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7. Ampliación del plazo.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treinta y uno de enero de dos mil veintidós</w:t>
      </w:r>
      <w:r>
        <w:rPr>
          <w:rFonts w:ascii="Palatino Linotype" w:eastAsia="Palatino Linotype" w:hAnsi="Palatino Linotype" w:cs="Palatino Linotype"/>
        </w:rPr>
        <w:t>, este Instituto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en la anualidad próxima pasada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sidRPr="00296B89">
        <w:rPr>
          <w:rFonts w:ascii="Palatino Linotype" w:eastAsia="Palatino Linotype" w:hAnsi="Palatino Linotype" w:cs="Palatino Linotype"/>
          <w:b/>
        </w:rPr>
        <w:t>tres</w:t>
      </w:r>
      <w:r w:rsidRPr="00296B89">
        <w:rPr>
          <w:rFonts w:ascii="Palatino Linotype" w:eastAsia="Palatino Linotype" w:hAnsi="Palatino Linotype" w:cs="Palatino Linotype"/>
          <w:b/>
          <w:color w:val="000000"/>
        </w:rPr>
        <w:t xml:space="preserve"> de febrero </w:t>
      </w:r>
      <w:r w:rsidRPr="00296B89">
        <w:rPr>
          <w:rFonts w:ascii="Palatino Linotype" w:eastAsia="Palatino Linotype" w:hAnsi="Palatino Linotype" w:cs="Palatino Linotype"/>
          <w:b/>
        </w:rPr>
        <w:t>de dos mil veintidós</w:t>
      </w:r>
      <w:r w:rsidRPr="00296B89">
        <w:rPr>
          <w:rFonts w:ascii="Palatino Linotype" w:eastAsia="Palatino Linotype" w:hAnsi="Palatino Linotype" w:cs="Palatino Linotype"/>
        </w:rPr>
        <w:t>,</w:t>
      </w:r>
      <w:r>
        <w:rPr>
          <w:rFonts w:ascii="Palatino Linotype" w:eastAsia="Palatino Linotype" w:hAnsi="Palatino Linotype" w:cs="Palatino Linotype"/>
        </w:rPr>
        <w:t xml:space="preserve"> se procedió a decretar el cierre de instrucción respectivo y no existiendo diligencia pendiente de desahogo, se ordenó emitir la resolución que conforme a derecho proceda.</w:t>
      </w:r>
    </w:p>
    <w:p w:rsidR="00913A86" w:rsidRDefault="002F08A5">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rsidR="00913A86" w:rsidRDefault="002F08A5">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913A86" w:rsidRDefault="002F08A5">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 xml:space="preserve">De conformidad con los requisitos de oportunidad que debe reunir el recurso de revisión interpuesto, previsto en el artículo 178, párrafo primero de la Ley de Transparencia y Acceso a la Información Pública del Estado de México y Municipios vigente, en la especie se advierte que el presente medio de impugnación fue interpuesto dentro del plazo de quince días previsto en el dispositivo referido,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incompetencia para otorgar respuesta a la solicitud de información el día </w:t>
      </w:r>
      <w:r>
        <w:rPr>
          <w:rFonts w:ascii="Palatino Linotype" w:eastAsia="Palatino Linotype" w:hAnsi="Palatino Linotype" w:cs="Palatino Linotype"/>
          <w:b/>
        </w:rPr>
        <w:t>veinticinco de noviembre de dos mil veintiuno</w:t>
      </w:r>
      <w:r>
        <w:rPr>
          <w:rFonts w:ascii="Palatino Linotype" w:eastAsia="Palatino Linotype" w:hAnsi="Palatino Linotype" w:cs="Palatino Linotype"/>
        </w:rPr>
        <w:t xml:space="preserve">, mientras que el solicitante presentó su recurso de revisión el día </w:t>
      </w:r>
      <w:r>
        <w:rPr>
          <w:rFonts w:ascii="Palatino Linotype" w:eastAsia="Palatino Linotype" w:hAnsi="Palatino Linotype" w:cs="Palatino Linotype"/>
          <w:b/>
        </w:rPr>
        <w:t>veintinueve de noviembre de dos mil veintiuno</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segundo día hábil</w:t>
      </w:r>
      <w:r>
        <w:rPr>
          <w:rFonts w:ascii="Palatino Linotype" w:eastAsia="Palatino Linotype" w:hAnsi="Palatino Linotype" w:cs="Palatino Linotype"/>
        </w:rPr>
        <w:t xml:space="preserve"> siguiente en que tuvo conocimiento de la respuesta impugnada, de tal forma, se considera que la interposición del presente medio de impugnación se encuentra dentro de los márgenes temporales previstos en el citado precepto legal.</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del formato de interposición del recurso, se advierte que el artículo 180 de la Ley de Transparencia y Acceso a la Información Pública del Estado de México y Municipios, establece los siguientes elementos formales para la presentación del recurso:</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180.</w:t>
      </w:r>
      <w:r>
        <w:rPr>
          <w:rFonts w:ascii="Palatino Linotype" w:eastAsia="Palatino Linotype" w:hAnsi="Palatino Linotype" w:cs="Palatino Linotype"/>
          <w:i/>
          <w:sz w:val="22"/>
          <w:szCs w:val="22"/>
        </w:rPr>
        <w:t xml:space="preserve"> El recurso de revisión contendrá: </w:t>
      </w:r>
    </w:p>
    <w:p w:rsidR="00913A86" w:rsidRDefault="002F08A5">
      <w:pPr>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13A86" w:rsidRDefault="002F08A5">
      <w:pPr>
        <w:spacing w:after="120"/>
        <w:ind w:left="1134" w:right="902"/>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II. El nombre del solicitante que recurre o de su representante y, en su caso, del tercero interesado, así como la dirección o medio que señale para recibir notificaciones; </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913A86" w:rsidRDefault="002F08A5">
      <w:pPr>
        <w:spacing w:after="120"/>
        <w:ind w:left="1134" w:right="902"/>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En caso de que el recurso se interponga de manera electrónica no será indispensable que contengan los requisitos establecidos en las fracciones II, IV, VII y VIII.”</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artículo 181 del citado ordenamiento dispone, que:</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181.</w:t>
      </w:r>
      <w:r>
        <w:rPr>
          <w:rFonts w:ascii="Palatino Linotype" w:eastAsia="Palatino Linotype" w:hAnsi="Palatino Linotype" w:cs="Palatino Linotype"/>
          <w:i/>
          <w:sz w:val="22"/>
          <w:szCs w:val="22"/>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rsidR="00913A86" w:rsidRDefault="002F08A5">
      <w:pPr>
        <w:spacing w:after="12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Para el caso de interposición del recurso de revisión a través de la Plataforma Nacional o la plataforma que para tales efectos habilite el Instituto, éste podrá solicitar al particular subsane las deficiencias por ese medio.”</w:t>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la interpretación sistemática a los artículos transcritos se advierten los requisitos de los recursos de revisión y por el otro la potestad de este Instituto para requerir al recurrente, por una sola ocasión y a través del medio que haya elegido para recibir notificaciones a fin de que subsane las omisiones de sus recursos o bien que aplique la suplencia de la queja a favor del recurrente sin cambiar los hechos expuestos.</w:t>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Sobre el particular, de la revisión al expediente electrónico del SAIMEX se desprende que la parte solicitante, en ejercicio de su derecho de acceso a la información pública, y ahora recurrente, </w:t>
      </w:r>
      <w:r>
        <w:rPr>
          <w:rFonts w:ascii="Palatino Linotype" w:eastAsia="Palatino Linotype" w:hAnsi="Palatino Linotype" w:cs="Palatino Linotype"/>
          <w:b/>
          <w:color w:val="000000"/>
        </w:rPr>
        <w:t>no proporcionó datos que lo hagan identificable, por ende no se tiene certeza sobre su identidad,</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toda vez que en el apartado de nombre expresó únicamente “</w:t>
      </w:r>
      <w:r w:rsidR="00AE11AE">
        <w:rPr>
          <w:rFonts w:ascii="Palatino Linotype" w:eastAsia="Palatino Linotype" w:hAnsi="Palatino Linotype" w:cs="Palatino Linotype"/>
          <w:b/>
        </w:rPr>
        <w:t>xxxxxx xxxxxx</w:t>
      </w:r>
      <w:r>
        <w:rPr>
          <w:rFonts w:ascii="Palatino Linotype" w:eastAsia="Palatino Linotype" w:hAnsi="Palatino Linotype" w:cs="Palatino Linotype"/>
        </w:rPr>
        <w:t>”, lo cual, en estricto sentido provoca que no se colmen los requisitos establecidos en el citado artículo 180 de la Ley de Transparencia.</w:t>
      </w:r>
      <w:bookmarkStart w:id="0" w:name="_GoBack"/>
      <w:bookmarkEnd w:id="0"/>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Empero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Pr>
          <w:rFonts w:ascii="Palatino Linotype" w:eastAsia="Palatino Linotype" w:hAnsi="Palatino Linotype" w:cs="Palatino Linotype"/>
          <w:b/>
          <w:i/>
        </w:rPr>
        <w:t>sine qua non</w:t>
      </w:r>
      <w:r>
        <w:rPr>
          <w:rFonts w:ascii="Palatino Linotype" w:eastAsia="Palatino Linotype" w:hAnsi="Palatino Linotype" w:cs="Palatino Linotype"/>
        </w:rPr>
        <w:t xml:space="preserve"> que los particulares y, en su caso, los recurrentes deban señalar, por el contrario la Ley de Transparencia prevé en su artículo 155, párrafos segundo, tercero y cuarto, la posibilidad de que las solicitudes de información sean anónimas, con nombre incompleto o seudónimo.</w:t>
      </w:r>
    </w:p>
    <w:p w:rsidR="00913A86" w:rsidRDefault="002F08A5">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Correlativo a ello, cabe mencionar que los artículos 6, apartado A, fracciones I, II, III y IV de la Constitución Política de los Estados Unidos Mexicanos y 5 trigésimo, trigésimo primero y trigésimo segundo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Para efectos de lo dispuesto en el presente artículo se observará lo siguiente: </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Para el ejercicio del derecho de acceso a la información, la Federación, los Estados y el Distrito Federal, en el ámbito de sus respectivas competencias, se regirán por los siguientes principios y bases: </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La información que se refiere a la vida privada y los datos personales será protegida en los términos y con las excepciones que fijen las leyes. </w:t>
      </w:r>
    </w:p>
    <w:p w:rsidR="00913A86" w:rsidRDefault="002F08A5">
      <w:pPr>
        <w:spacing w:after="120"/>
        <w:ind w:left="851" w:right="902"/>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III. Toda persona, sin necesidad de acreditar interés alguno o justificar su utilización, tendrá acceso gratuito a la información pública, a sus datos personales o a la rectificación de éstos. </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Se establecerán mecanismos de acceso a la información y procedimientos de revisión expeditos que se sustanciarán ante los organismos autónomos especializados e imparciales que establece esta Constitución.” </w:t>
      </w:r>
    </w:p>
    <w:p w:rsidR="00913A86" w:rsidRDefault="002F08A5">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rsidR="00913A86" w:rsidRDefault="002F08A5">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13A86" w:rsidRDefault="002F08A5">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13A86" w:rsidRDefault="002F08A5">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derecho se regirá por los principios y bases siguientes:</w:t>
      </w:r>
    </w:p>
    <w:p w:rsidR="00913A86" w:rsidRDefault="002F08A5">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13A86" w:rsidRDefault="002F08A5">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13A86" w:rsidRDefault="002F08A5">
      <w:pPr>
        <w:spacing w:after="120"/>
        <w:ind w:left="851"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 III. Toda persona, sin necesidad de acreditar interés alguno o justificar su utilización, tendrá acceso gratuito a la información pública, a sus datos personales o a la rectificación de éstos;</w:t>
      </w:r>
    </w:p>
    <w:p w:rsidR="00913A86" w:rsidRDefault="002F08A5">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13A86" w:rsidRDefault="002F08A5">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913A86" w:rsidRDefault="002F08A5">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Por otra parte, del contenido del artículo 1 de la Constitución Política de los Estados Unidos Mexicanos, se destaca lo siguiente:</w:t>
      </w:r>
    </w:p>
    <w:p w:rsidR="00913A86" w:rsidRDefault="002F08A5">
      <w:pPr>
        <w:tabs>
          <w:tab w:val="left" w:pos="7655"/>
        </w:tabs>
        <w:spacing w:after="120"/>
        <w:ind w:left="1134" w:right="1325"/>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13A86" w:rsidRDefault="002F08A5">
      <w:pPr>
        <w:spacing w:after="120"/>
        <w:ind w:left="1134" w:right="13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rsidR="00913A86" w:rsidRDefault="002F08A5">
      <w:pPr>
        <w:spacing w:after="120"/>
        <w:ind w:left="1134" w:right="13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913A86" w:rsidRDefault="002F08A5">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913A86" w:rsidRDefault="002F08A5">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Robustece lo anterior, el Criterio 6/2014 del entonces Instituto Federal de Acceso a la Información y Protección de Datos, el cual se reproduce para una mayor referencia:</w:t>
      </w:r>
    </w:p>
    <w:p w:rsidR="00913A86" w:rsidRDefault="002F08A5">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913A86" w:rsidRDefault="002F08A5">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913A86" w:rsidRDefault="002F08A5">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913A86" w:rsidRDefault="002F08A5">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rsidR="00913A86" w:rsidRDefault="002F08A5">
      <w:pPr>
        <w:spacing w:before="240" w:after="240" w:line="360" w:lineRule="auto"/>
        <w:ind w:right="49"/>
        <w:jc w:val="both"/>
        <w:rPr>
          <w:rFonts w:ascii="Quattrocento Sans" w:eastAsia="Quattrocento Sans" w:hAnsi="Quattrocento Sans" w:cs="Quattrocento Sans"/>
        </w:rPr>
      </w:pPr>
      <w:r>
        <w:rPr>
          <w:rFonts w:ascii="Palatino Linotype" w:eastAsia="Palatino Linotype" w:hAnsi="Palatino Linotype" w:cs="Palatino Linotype"/>
        </w:rPr>
        <w:t xml:space="preserve">Así las cosas,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 al actualizarse lo dispuesto en los artículos 176 y 179 fracciones </w:t>
      </w:r>
      <w:r>
        <w:rPr>
          <w:rFonts w:ascii="Palatino Linotype" w:eastAsia="Palatino Linotype" w:hAnsi="Palatino Linotype" w:cs="Palatino Linotype"/>
          <w:b/>
        </w:rPr>
        <w:t xml:space="preserve">I y IV </w:t>
      </w:r>
      <w:r>
        <w:rPr>
          <w:rFonts w:ascii="Palatino Linotype" w:eastAsia="Palatino Linotype" w:hAnsi="Palatino Linotype" w:cs="Palatino Linotype"/>
        </w:rPr>
        <w:t>del ordenamiento legal citado, que establecen los supuestos en que puede interponerse el recurso de revisión:</w:t>
      </w:r>
    </w:p>
    <w:p w:rsidR="00913A86" w:rsidRDefault="002F08A5">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176.</w:t>
      </w:r>
      <w:r>
        <w:rPr>
          <w:rFonts w:ascii="Palatino Linotype" w:eastAsia="Palatino Linotype" w:hAnsi="Palatino Linotype" w:cs="Palatino Linotype"/>
          <w:i/>
          <w:sz w:val="22"/>
          <w:szCs w:val="22"/>
        </w:rPr>
        <w:t xml:space="preserve"> El recurso de revisión es la garantía secundaria mediante la cual se pretende reparar cualquier posible afectación al derecho de acceso a la información pública en términos del presente y del siguiente Capítulo.</w:t>
      </w:r>
    </w:p>
    <w:p w:rsidR="00913A86" w:rsidRDefault="002F08A5">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rsidR="00913A86" w:rsidRDefault="002F08A5">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p>
    <w:p w:rsidR="00913A86" w:rsidRDefault="002F08A5">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13A86" w:rsidRDefault="002F08A5">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IV. La declaración de incompetencia por el sujeto obligado;</w:t>
      </w:r>
    </w:p>
    <w:p w:rsidR="00913A86" w:rsidRDefault="002F08A5">
      <w:pPr>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 ” </w:t>
      </w:r>
    </w:p>
    <w:p w:rsidR="00913A86" w:rsidRDefault="002F08A5">
      <w:pPr>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rsidR="00913A86" w:rsidRDefault="002F08A5">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Previo al estudio del presente asunto, es conveniente recordar que la parte solicitante requirió al sujeto obligado en ambas solicitudes, le proporcionara lo siguiente:</w:t>
      </w:r>
    </w:p>
    <w:p w:rsidR="00913A86" w:rsidRDefault="002F08A5">
      <w:pPr>
        <w:numPr>
          <w:ilvl w:val="0"/>
          <w:numId w:val="5"/>
        </w:numPr>
        <w:pBdr>
          <w:top w:val="nil"/>
          <w:left w:val="nil"/>
          <w:bottom w:val="nil"/>
          <w:right w:val="nil"/>
          <w:between w:val="nil"/>
        </w:pBdr>
        <w:tabs>
          <w:tab w:val="left" w:pos="7513"/>
        </w:tabs>
        <w:spacing w:after="240" w:line="360" w:lineRule="auto"/>
        <w:ind w:right="709"/>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color w:val="000000"/>
        </w:rPr>
        <w:t xml:space="preserve">La Versión </w:t>
      </w:r>
      <w:r>
        <w:rPr>
          <w:rFonts w:ascii="Palatino Linotype" w:eastAsia="Palatino Linotype" w:hAnsi="Palatino Linotype" w:cs="Palatino Linotype"/>
        </w:rPr>
        <w:t>Pública</w:t>
      </w:r>
      <w:r>
        <w:rPr>
          <w:rFonts w:ascii="Palatino Linotype" w:eastAsia="Palatino Linotype" w:hAnsi="Palatino Linotype" w:cs="Palatino Linotype"/>
          <w:color w:val="000000"/>
        </w:rPr>
        <w:t xml:space="preserve"> de los </w:t>
      </w:r>
      <w:r>
        <w:rPr>
          <w:rFonts w:ascii="Palatino Linotype" w:eastAsia="Palatino Linotype" w:hAnsi="Palatino Linotype" w:cs="Palatino Linotype"/>
          <w:b/>
          <w:color w:val="000000"/>
          <w:u w:val="single"/>
        </w:rPr>
        <w:t>Recibos de Pagos o Recibo de Nómina</w:t>
      </w:r>
      <w:r>
        <w:rPr>
          <w:rFonts w:ascii="Palatino Linotype" w:eastAsia="Palatino Linotype" w:hAnsi="Palatino Linotype" w:cs="Palatino Linotype"/>
          <w:color w:val="000000"/>
        </w:rPr>
        <w:t xml:space="preserve"> del Mes de Octubre del 2021 que comprueben el pago por concepto salarial de todos servidores públicos </w:t>
      </w:r>
      <w:r>
        <w:rPr>
          <w:rFonts w:ascii="Palatino Linotype" w:eastAsia="Palatino Linotype" w:hAnsi="Palatino Linotype" w:cs="Palatino Linotype"/>
          <w:b/>
          <w:color w:val="000000"/>
          <w:u w:val="single"/>
        </w:rPr>
        <w:t xml:space="preserve">de la Oficina del Ejecutivo y de la </w:t>
      </w:r>
      <w:r>
        <w:rPr>
          <w:rFonts w:ascii="Palatino Linotype" w:eastAsia="Palatino Linotype" w:hAnsi="Palatino Linotype" w:cs="Palatino Linotype"/>
          <w:b/>
          <w:u w:val="single"/>
        </w:rPr>
        <w:t>Secretaría</w:t>
      </w:r>
      <w:r>
        <w:rPr>
          <w:rFonts w:ascii="Palatino Linotype" w:eastAsia="Palatino Linotype" w:hAnsi="Palatino Linotype" w:cs="Palatino Linotype"/>
          <w:b/>
          <w:color w:val="000000"/>
          <w:u w:val="single"/>
        </w:rPr>
        <w:t xml:space="preserve"> General de Gobierno</w:t>
      </w:r>
      <w:r>
        <w:rPr>
          <w:rFonts w:ascii="Palatino Linotype" w:eastAsia="Palatino Linotype" w:hAnsi="Palatino Linotype" w:cs="Palatino Linotype"/>
          <w:color w:val="000000"/>
        </w:rPr>
        <w:t xml:space="preserve"> de Estructura, Honorarios, Confianza, Jefes de Departamento, Subdirectores, Directores, Directores Generales, Directores Generales Adjuntos, Titulares de Unidades, Secretario General de Gobierno y Gobernador Del Estado. (En el caso de la Ciudad de México, el de la Oficina </w:t>
      </w:r>
      <w:r>
        <w:rPr>
          <w:rFonts w:ascii="Palatino Linotype" w:eastAsia="Palatino Linotype" w:hAnsi="Palatino Linotype" w:cs="Palatino Linotype"/>
          <w:b/>
          <w:color w:val="000000"/>
          <w:u w:val="single"/>
        </w:rPr>
        <w:t xml:space="preserve">de la Jefatura de Gobierno de la CDMX) </w:t>
      </w:r>
    </w:p>
    <w:p w:rsidR="00913A86" w:rsidRPr="00296B89" w:rsidRDefault="00296B89">
      <w:pPr>
        <w:tabs>
          <w:tab w:val="left" w:pos="751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Sujeto Obligado manifestó </w:t>
      </w:r>
      <w:r w:rsidRPr="00296B89">
        <w:rPr>
          <w:rFonts w:ascii="Palatino Linotype" w:eastAsia="Palatino Linotype" w:hAnsi="Palatino Linotype" w:cs="Palatino Linotype"/>
        </w:rPr>
        <w:t>la incompetencia de la Gubernatura para generar la información requerida</w:t>
      </w:r>
      <w:r>
        <w:rPr>
          <w:rFonts w:ascii="Palatino Linotype" w:eastAsia="Palatino Linotype" w:hAnsi="Palatino Linotype" w:cs="Palatino Linotype"/>
        </w:rPr>
        <w:t>, virtud de que la unidad competente dentro del Poder Ejecutivo del Estado es la Secretaría de Finanzas, asimismo por cuanto hace a la información correspondiente a la Ciudad de México, le refirió que dirija su solicitud a la Jefatura de la Ciudad de México por la Plataforma Nacional de Transparencia.</w:t>
      </w:r>
    </w:p>
    <w:p w:rsidR="00913A86" w:rsidRDefault="002F08A5">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Conocida la notificación de incompetencia para atender la solicitud, el particular, al no estar conforme con los términos de la misma, interpuso el recurso de revisión que nos ocupa, donde señaló como motivos de inconformidad: “</w:t>
      </w:r>
      <w:r>
        <w:rPr>
          <w:rFonts w:ascii="Palatino Linotype" w:eastAsia="Palatino Linotype" w:hAnsi="Palatino Linotype" w:cs="Palatino Linotype"/>
          <w:i/>
        </w:rPr>
        <w:t>Se niegan a entregar la informacion, son opacos y dicen que no es de su competencia mientras claramente la solicitud está dirigida al sujeto obligado en comento”</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 lugar, se procede al análisis del agravio hecho valer por la ahora parte Recurrente, concerniente a la declaración de incompetencia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otorgar respuesta a la solicitud de información que apertura el expediente en análisis, para ello resulta pertinente traer a colación el siguiente cuadro a efecto de determinar si con los pronunciamientos vertidos mediante los soportes documentales, se colman los requerimientos de la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w:t>
      </w:r>
    </w:p>
    <w:p w:rsidR="00364BD3" w:rsidRDefault="00364BD3">
      <w:pPr>
        <w:spacing w:before="240" w:after="240" w:line="360" w:lineRule="auto"/>
        <w:jc w:val="both"/>
        <w:rPr>
          <w:rFonts w:ascii="Palatino Linotype" w:eastAsia="Palatino Linotype" w:hAnsi="Palatino Linotype" w:cs="Palatino Linotype"/>
        </w:rPr>
      </w:pPr>
    </w:p>
    <w:tbl>
      <w:tblPr>
        <w:tblStyle w:val="a"/>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6"/>
        <w:gridCol w:w="2926"/>
        <w:gridCol w:w="2927"/>
      </w:tblGrid>
      <w:tr w:rsidR="00913A86">
        <w:tc>
          <w:tcPr>
            <w:tcW w:w="2926" w:type="dxa"/>
            <w:shd w:val="clear" w:color="auto" w:fill="76923C"/>
          </w:tcPr>
          <w:p w:rsidR="00913A86" w:rsidRDefault="002F08A5">
            <w:pPr>
              <w:spacing w:before="240" w:after="240"/>
              <w:jc w:val="center"/>
              <w:rPr>
                <w:rFonts w:ascii="Palatino Linotype" w:eastAsia="Palatino Linotype" w:hAnsi="Palatino Linotype" w:cs="Palatino Linotype"/>
                <w:color w:val="FFFFFF"/>
              </w:rPr>
            </w:pPr>
            <w:r>
              <w:rPr>
                <w:rFonts w:ascii="Palatino Linotype" w:eastAsia="Palatino Linotype" w:hAnsi="Palatino Linotype" w:cs="Palatino Linotype"/>
                <w:color w:val="FFFFFF"/>
              </w:rPr>
              <w:t>Solicitud</w:t>
            </w:r>
          </w:p>
        </w:tc>
        <w:tc>
          <w:tcPr>
            <w:tcW w:w="2926" w:type="dxa"/>
            <w:shd w:val="clear" w:color="auto" w:fill="76923C"/>
          </w:tcPr>
          <w:p w:rsidR="00913A86" w:rsidRDefault="002F08A5">
            <w:pPr>
              <w:spacing w:before="240" w:after="240"/>
              <w:jc w:val="center"/>
              <w:rPr>
                <w:rFonts w:ascii="Palatino Linotype" w:eastAsia="Palatino Linotype" w:hAnsi="Palatino Linotype" w:cs="Palatino Linotype"/>
                <w:color w:val="FFFFFF"/>
              </w:rPr>
            </w:pPr>
            <w:r>
              <w:rPr>
                <w:rFonts w:ascii="Palatino Linotype" w:eastAsia="Palatino Linotype" w:hAnsi="Palatino Linotype" w:cs="Palatino Linotype"/>
                <w:color w:val="FFFFFF"/>
              </w:rPr>
              <w:t>Declaración de incompetencia</w:t>
            </w:r>
          </w:p>
        </w:tc>
        <w:tc>
          <w:tcPr>
            <w:tcW w:w="2927" w:type="dxa"/>
            <w:shd w:val="clear" w:color="auto" w:fill="76923C"/>
          </w:tcPr>
          <w:p w:rsidR="00913A86" w:rsidRDefault="002F08A5">
            <w:pPr>
              <w:spacing w:before="240" w:after="240"/>
              <w:jc w:val="center"/>
              <w:rPr>
                <w:rFonts w:ascii="Palatino Linotype" w:eastAsia="Palatino Linotype" w:hAnsi="Palatino Linotype" w:cs="Palatino Linotype"/>
                <w:color w:val="FFFFFF"/>
              </w:rPr>
            </w:pPr>
            <w:r>
              <w:rPr>
                <w:rFonts w:ascii="Palatino Linotype" w:eastAsia="Palatino Linotype" w:hAnsi="Palatino Linotype" w:cs="Palatino Linotype"/>
                <w:color w:val="FFFFFF"/>
              </w:rPr>
              <w:t>Colma</w:t>
            </w:r>
          </w:p>
        </w:tc>
      </w:tr>
      <w:tr w:rsidR="00913A86">
        <w:tc>
          <w:tcPr>
            <w:tcW w:w="2926" w:type="dxa"/>
          </w:tcPr>
          <w:p w:rsidR="00913A86" w:rsidRDefault="002F08A5">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sz w:val="20"/>
                <w:szCs w:val="20"/>
              </w:rPr>
              <w:t>La Versión Pública de los Recibos de Pagos o Recibo de Nómina del Mes de Octubre del 2021 que comprueben el pago por concepto salarial de todos servidores públicos de la Oficina del Ejecutivo y de la Secretaría General de Gobierno de Estructura, Honorarios, Confianza, Jefes de Departamento, Subdirectores, Directores, Directores Generales, Directores Generales Adjuntos, Titulares de Unidades, Secretario General de Gobierno y Gobernador Del Estado.</w:t>
            </w:r>
          </w:p>
        </w:tc>
        <w:tc>
          <w:tcPr>
            <w:tcW w:w="2926" w:type="dxa"/>
          </w:tcPr>
          <w:p w:rsidR="00913A86" w:rsidRDefault="002F08A5">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sz w:val="20"/>
                <w:szCs w:val="20"/>
              </w:rPr>
              <w:t>Mediante el documento “</w:t>
            </w:r>
            <w:r>
              <w:rPr>
                <w:rFonts w:ascii="Palatino Linotype" w:eastAsia="Palatino Linotype" w:hAnsi="Palatino Linotype" w:cs="Palatino Linotype"/>
                <w:b/>
                <w:i/>
                <w:sz w:val="20"/>
                <w:szCs w:val="20"/>
              </w:rPr>
              <w:t xml:space="preserve">0261 respuesta.pdf”, </w:t>
            </w:r>
            <w:r>
              <w:rPr>
                <w:rFonts w:ascii="Palatino Linotype" w:eastAsia="Palatino Linotype" w:hAnsi="Palatino Linotype" w:cs="Palatino Linotype"/>
                <w:sz w:val="20"/>
                <w:szCs w:val="20"/>
              </w:rPr>
              <w:t>el Sujeto Obligado refiere que dentro de los archivos de la gubernatura no se encontró antecedente alguno relativo a generar ese tipo de información. Adicionalmente la Coordinadora de Administración y Servidora Pública Habilitada de la Unidad de Apoyo a la Administración General refirió que la información referente a las remuneraciones del personal se encuentran publicadas en el portal IPOMEX, sin embargo, la información requerida es competencia de la Secretaría de Finanzas</w:t>
            </w:r>
          </w:p>
        </w:tc>
        <w:tc>
          <w:tcPr>
            <w:tcW w:w="2927" w:type="dxa"/>
          </w:tcPr>
          <w:p w:rsidR="00913A86" w:rsidRDefault="002F08A5">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rPr>
              <w:t>Si</w:t>
            </w:r>
          </w:p>
        </w:tc>
      </w:tr>
      <w:tr w:rsidR="00913A86">
        <w:tc>
          <w:tcPr>
            <w:tcW w:w="2926" w:type="dxa"/>
          </w:tcPr>
          <w:p w:rsidR="00913A86" w:rsidRDefault="002F08A5">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sz w:val="20"/>
                <w:szCs w:val="20"/>
              </w:rPr>
              <w:t>En el caso de la Ciudad de México, el de la Oficina de la Jefatura de Gobierno de la CDMX</w:t>
            </w:r>
          </w:p>
        </w:tc>
        <w:tc>
          <w:tcPr>
            <w:tcW w:w="2926" w:type="dxa"/>
          </w:tcPr>
          <w:p w:rsidR="00913A86" w:rsidRDefault="002F08A5">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el caso de requerir información de la Ciudad de México, se orienta al particular en el archivo electrónico “</w:t>
            </w:r>
            <w:r>
              <w:rPr>
                <w:rFonts w:ascii="Palatino Linotype" w:eastAsia="Palatino Linotype" w:hAnsi="Palatino Linotype" w:cs="Palatino Linotype"/>
                <w:b/>
                <w:i/>
                <w:sz w:val="20"/>
                <w:szCs w:val="20"/>
              </w:rPr>
              <w:t>0261 respuesta.pdf</w:t>
            </w:r>
            <w:r>
              <w:rPr>
                <w:rFonts w:ascii="Palatino Linotype" w:eastAsia="Palatino Linotype" w:hAnsi="Palatino Linotype" w:cs="Palatino Linotype"/>
                <w:sz w:val="20"/>
                <w:szCs w:val="20"/>
              </w:rPr>
              <w:t>” para que dirija su solicitud a la Jefatura de la Ciudad de México.</w:t>
            </w:r>
          </w:p>
        </w:tc>
        <w:tc>
          <w:tcPr>
            <w:tcW w:w="2927" w:type="dxa"/>
          </w:tcPr>
          <w:p w:rsidR="00913A86" w:rsidRDefault="002F08A5">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rPr>
              <w:t>Si</w:t>
            </w:r>
          </w:p>
        </w:tc>
      </w:tr>
    </w:tbl>
    <w:p w:rsidR="00913A86" w:rsidRDefault="00913A86">
      <w:pPr>
        <w:spacing w:before="240" w:after="240" w:line="360" w:lineRule="auto"/>
        <w:jc w:val="both"/>
        <w:rPr>
          <w:rFonts w:ascii="Palatino Linotype" w:eastAsia="Palatino Linotype" w:hAnsi="Palatino Linotype" w:cs="Palatino Linotype"/>
        </w:rPr>
      </w:pP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mediante el archivo electrónico: </w:t>
      </w:r>
      <w:r>
        <w:rPr>
          <w:rFonts w:ascii="Palatino Linotype" w:eastAsia="Palatino Linotype" w:hAnsi="Palatino Linotype" w:cs="Palatino Linotype"/>
          <w:b/>
          <w:i/>
        </w:rPr>
        <w:t xml:space="preserve">“Informe de justificación 0261 2021.PDF”, </w:t>
      </w:r>
      <w:r>
        <w:rPr>
          <w:rFonts w:ascii="Palatino Linotype" w:eastAsia="Palatino Linotype" w:hAnsi="Palatino Linotype" w:cs="Palatino Linotype"/>
        </w:rPr>
        <w:t xml:space="preserve">mediante el cual amplió los argumentos de respuesta vertida inicialmente que dio origen a la interposición del recurso de revisión que nos ocupa, asimismo se tiene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no emitió alegatos, manifestaciones o pronunciamiento alguno que a su derecho conviniera, luego entonces, se tiene por precluido su derecho para tal efecto.</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para mejor proveer del presente estudio, se insertan capturas de pantalla en las que se aprecia el contenido del informe justificado, el cual se dio medularmente en los siguientes términos:</w:t>
      </w:r>
      <w:r>
        <w:rPr>
          <w:noProof/>
          <w:lang w:val="es-MX"/>
        </w:rPr>
        <mc:AlternateContent>
          <mc:Choice Requires="wpg">
            <w:drawing>
              <wp:anchor distT="0" distB="0" distL="114300" distR="114300" simplePos="0" relativeHeight="251659264" behindDoc="0" locked="0" layoutInCell="1" hidden="0" allowOverlap="1">
                <wp:simplePos x="0" y="0"/>
                <wp:positionH relativeFrom="column">
                  <wp:posOffset>228600</wp:posOffset>
                </wp:positionH>
                <wp:positionV relativeFrom="paragraph">
                  <wp:posOffset>939800</wp:posOffset>
                </wp:positionV>
                <wp:extent cx="5086350" cy="4438650"/>
                <wp:effectExtent l="0" t="0" r="0" b="0"/>
                <wp:wrapNone/>
                <wp:docPr id="47" name=""/>
                <wp:cNvGraphicFramePr/>
                <a:graphic xmlns:a="http://schemas.openxmlformats.org/drawingml/2006/main">
                  <a:graphicData uri="http://schemas.microsoft.com/office/word/2010/wordprocessingShape">
                    <wps:wsp>
                      <wps:cNvCnPr/>
                      <wps:spPr>
                        <a:xfrm>
                          <a:off x="2807588" y="1565438"/>
                          <a:ext cx="5076825" cy="44291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wp:posOffset>
                </wp:positionH>
                <wp:positionV relativeFrom="paragraph">
                  <wp:posOffset>939800</wp:posOffset>
                </wp:positionV>
                <wp:extent cx="5086350" cy="4438650"/>
                <wp:effectExtent b="0" l="0" r="0" t="0"/>
                <wp:wrapNone/>
                <wp:docPr id="47"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5086350" cy="4438650"/>
                        </a:xfrm>
                        <a:prstGeom prst="rect"/>
                        <a:ln/>
                      </pic:spPr>
                    </pic:pic>
                  </a:graphicData>
                </a:graphic>
              </wp:anchor>
            </w:drawing>
          </mc:Fallback>
        </mc:AlternateContent>
      </w:r>
    </w:p>
    <w:p w:rsidR="00913A86" w:rsidRDefault="00913A86">
      <w:pPr>
        <w:spacing w:line="360" w:lineRule="auto"/>
        <w:ind w:left="567" w:right="851"/>
        <w:jc w:val="both"/>
        <w:rPr>
          <w:rFonts w:ascii="Palatino Linotype" w:eastAsia="Palatino Linotype" w:hAnsi="Palatino Linotype" w:cs="Palatino Linotype"/>
          <w:b/>
          <w:i/>
        </w:rPr>
      </w:pPr>
    </w:p>
    <w:p w:rsidR="00913A86" w:rsidRDefault="00913A86">
      <w:pPr>
        <w:spacing w:line="360" w:lineRule="auto"/>
        <w:ind w:left="567" w:right="851"/>
        <w:jc w:val="both"/>
        <w:rPr>
          <w:rFonts w:ascii="Palatino Linotype" w:eastAsia="Palatino Linotype" w:hAnsi="Palatino Linotype" w:cs="Palatino Linotype"/>
        </w:rPr>
      </w:pPr>
    </w:p>
    <w:p w:rsidR="00913A86" w:rsidRDefault="00913A86">
      <w:pPr>
        <w:spacing w:line="360" w:lineRule="auto"/>
        <w:ind w:left="567" w:right="851"/>
        <w:jc w:val="both"/>
        <w:rPr>
          <w:rFonts w:ascii="Palatino Linotype" w:eastAsia="Palatino Linotype" w:hAnsi="Palatino Linotype" w:cs="Palatino Linotype"/>
        </w:rPr>
      </w:pPr>
    </w:p>
    <w:p w:rsidR="00913A86" w:rsidRDefault="00913A86">
      <w:pPr>
        <w:spacing w:line="360" w:lineRule="auto"/>
        <w:ind w:left="567" w:right="851"/>
        <w:jc w:val="both"/>
        <w:rPr>
          <w:rFonts w:ascii="Palatino Linotype" w:eastAsia="Palatino Linotype" w:hAnsi="Palatino Linotype" w:cs="Palatino Linotype"/>
        </w:rPr>
      </w:pPr>
    </w:p>
    <w:p w:rsidR="00913A86" w:rsidRDefault="002F08A5">
      <w:pPr>
        <w:spacing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581650" cy="7581900"/>
            <wp:effectExtent l="0" t="0" r="0" b="0"/>
            <wp:docPr id="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581650" cy="7581900"/>
                    </a:xfrm>
                    <a:prstGeom prst="rect">
                      <a:avLst/>
                    </a:prstGeom>
                    <a:ln/>
                  </pic:spPr>
                </pic:pic>
              </a:graphicData>
            </a:graphic>
          </wp:inline>
        </w:drawing>
      </w:r>
    </w:p>
    <w:p w:rsidR="00913A86" w:rsidRDefault="002F08A5">
      <w:pPr>
        <w:spacing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b/>
          <w:i/>
          <w:noProof/>
          <w:lang w:val="es-MX"/>
        </w:rPr>
        <w:drawing>
          <wp:inline distT="0" distB="0" distL="0" distR="0">
            <wp:extent cx="5581650" cy="7124700"/>
            <wp:effectExtent l="0" t="0" r="0" b="0"/>
            <wp:docPr id="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581650" cy="7124700"/>
                    </a:xfrm>
                    <a:prstGeom prst="rect">
                      <a:avLst/>
                    </a:prstGeom>
                    <a:ln/>
                  </pic:spPr>
                </pic:pic>
              </a:graphicData>
            </a:graphic>
          </wp:inline>
        </w:drawing>
      </w:r>
    </w:p>
    <w:p w:rsidR="00913A86" w:rsidRDefault="00913A86">
      <w:pPr>
        <w:spacing w:line="360" w:lineRule="auto"/>
        <w:ind w:left="567" w:right="851"/>
        <w:jc w:val="both"/>
        <w:rPr>
          <w:rFonts w:ascii="Palatino Linotype" w:eastAsia="Palatino Linotype" w:hAnsi="Palatino Linotype" w:cs="Palatino Linotype"/>
          <w:b/>
          <w:i/>
        </w:rPr>
      </w:pPr>
    </w:p>
    <w:p w:rsidR="00913A86" w:rsidRDefault="002F08A5">
      <w:pPr>
        <w:spacing w:line="360" w:lineRule="auto"/>
        <w:ind w:left="567" w:right="851"/>
        <w:jc w:val="both"/>
        <w:rPr>
          <w:rFonts w:ascii="Palatino Linotype" w:eastAsia="Palatino Linotype" w:hAnsi="Palatino Linotype" w:cs="Palatino Linotype"/>
          <w:b/>
          <w:i/>
        </w:rPr>
      </w:pPr>
      <w:r>
        <w:rPr>
          <w:rFonts w:ascii="Palatino Linotype" w:eastAsia="Palatino Linotype" w:hAnsi="Palatino Linotype" w:cs="Palatino Linotype"/>
          <w:b/>
          <w:i/>
          <w:noProof/>
          <w:lang w:val="es-MX"/>
        </w:rPr>
        <w:drawing>
          <wp:inline distT="0" distB="0" distL="0" distR="0">
            <wp:extent cx="5534025" cy="7658100"/>
            <wp:effectExtent l="0" t="0" r="0" b="0"/>
            <wp:docPr id="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534025" cy="7658100"/>
                    </a:xfrm>
                    <a:prstGeom prst="rect">
                      <a:avLst/>
                    </a:prstGeom>
                    <a:ln/>
                  </pic:spPr>
                </pic:pic>
              </a:graphicData>
            </a:graphic>
          </wp:inline>
        </w:drawing>
      </w:r>
    </w:p>
    <w:p w:rsidR="00913A86" w:rsidRPr="00296B89" w:rsidRDefault="002F08A5" w:rsidP="00296B89">
      <w:pPr>
        <w:spacing w:line="360" w:lineRule="auto"/>
        <w:ind w:left="567" w:right="851"/>
        <w:jc w:val="both"/>
        <w:rPr>
          <w:rFonts w:ascii="Palatino Linotype" w:eastAsia="Palatino Linotype" w:hAnsi="Palatino Linotype" w:cs="Palatino Linotype"/>
          <w:b/>
          <w:i/>
        </w:rPr>
      </w:pPr>
      <w:r>
        <w:rPr>
          <w:rFonts w:ascii="Palatino Linotype" w:eastAsia="Palatino Linotype" w:hAnsi="Palatino Linotype" w:cs="Palatino Linotype"/>
          <w:b/>
          <w:i/>
          <w:noProof/>
          <w:lang w:val="es-MX"/>
        </w:rPr>
        <w:drawing>
          <wp:inline distT="0" distB="0" distL="0" distR="0">
            <wp:extent cx="5219700" cy="7343775"/>
            <wp:effectExtent l="0" t="0" r="0" b="0"/>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219700" cy="7343775"/>
                    </a:xfrm>
                    <a:prstGeom prst="rect">
                      <a:avLst/>
                    </a:prstGeom>
                    <a:ln/>
                  </pic:spPr>
                </pic:pic>
              </a:graphicData>
            </a:graphic>
          </wp:inline>
        </w:drawing>
      </w:r>
    </w:p>
    <w:p w:rsidR="00913A86" w:rsidRDefault="002F08A5">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noProof/>
          <w:color w:val="222222"/>
          <w:lang w:val="es-MX"/>
        </w:rPr>
        <w:drawing>
          <wp:inline distT="0" distB="0" distL="0" distR="0">
            <wp:extent cx="4610100" cy="7219950"/>
            <wp:effectExtent l="0" t="0" r="0" b="0"/>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610100" cy="7219950"/>
                    </a:xfrm>
                    <a:prstGeom prst="rect">
                      <a:avLst/>
                    </a:prstGeom>
                    <a:ln/>
                  </pic:spPr>
                </pic:pic>
              </a:graphicData>
            </a:graphic>
          </wp:inline>
        </w:drawing>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orden de ideas, debe precisarse que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cuando la misma no sea competencia del Sujeto Obligado ante el cual se formule la solicitud de acceso.</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que los Comités de Transparencia tienen entre sus atribuciones confirmar, modificar o revocar la declaración de incompetencia que realicen los titulares de las unidades administrativas.</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cuando las Unidades de Transparencia determinen la notoria incompetencia por parte de los Sujetos Obligados deberán comunicar al solicitante la misma dentro de los tres días posteriores a la recepción de la solicitud.</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se logra observar, si bien la Ley de la materia, prevé el supuesto de incompetencia para que los Sujetos Obligados den atención a solicitudes de información, también lo es, que no se precisa en que consiste dicho concepto; sobre dicha situación, según Cabanellas, Guillermo (1993), en el “Diccionario Jurídico Elemental” (p. 32 y 161), precisó los siguientes conceptos:</w:t>
      </w:r>
    </w:p>
    <w:p w:rsidR="00913A86" w:rsidRDefault="00913A86">
      <w:pPr>
        <w:spacing w:line="360" w:lineRule="auto"/>
        <w:jc w:val="both"/>
        <w:rPr>
          <w:rFonts w:ascii="Palatino Linotype" w:eastAsia="Palatino Linotype" w:hAnsi="Palatino Linotype" w:cs="Palatino Linotype"/>
          <w:color w:val="000000"/>
          <w:sz w:val="22"/>
          <w:szCs w:val="22"/>
        </w:rPr>
      </w:pPr>
    </w:p>
    <w:p w:rsidR="00913A86" w:rsidRDefault="002F08A5">
      <w:pPr>
        <w:numPr>
          <w:ilvl w:val="0"/>
          <w:numId w:val="6"/>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Competencia: </w:t>
      </w:r>
      <w:r>
        <w:rPr>
          <w:rFonts w:ascii="Palatino Linotype" w:eastAsia="Palatino Linotype" w:hAnsi="Palatino Linotype" w:cs="Palatino Linotype"/>
          <w:color w:val="000000"/>
          <w:sz w:val="22"/>
          <w:szCs w:val="22"/>
        </w:rPr>
        <w:t>La capacidad de una autoridad para conocer sobre una materia o asunto.</w:t>
      </w:r>
    </w:p>
    <w:p w:rsidR="00913A86" w:rsidRDefault="00913A86">
      <w:pPr>
        <w:spacing w:line="360" w:lineRule="auto"/>
        <w:ind w:left="780"/>
        <w:jc w:val="both"/>
        <w:rPr>
          <w:rFonts w:ascii="Palatino Linotype" w:eastAsia="Palatino Linotype" w:hAnsi="Palatino Linotype" w:cs="Palatino Linotype"/>
          <w:color w:val="000000"/>
          <w:sz w:val="22"/>
          <w:szCs w:val="22"/>
        </w:rPr>
      </w:pPr>
    </w:p>
    <w:p w:rsidR="00913A86" w:rsidRDefault="002F08A5">
      <w:pPr>
        <w:numPr>
          <w:ilvl w:val="0"/>
          <w:numId w:val="6"/>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Incompetencia:</w:t>
      </w:r>
      <w:r>
        <w:rPr>
          <w:rFonts w:ascii="Palatino Linotype" w:eastAsia="Palatino Linotype" w:hAnsi="Palatino Linotype" w:cs="Palatino Linotype"/>
          <w:color w:val="000000"/>
          <w:sz w:val="22"/>
          <w:szCs w:val="22"/>
        </w:rPr>
        <w:t xml:space="preserve"> Falta de Competencia.</w:t>
      </w:r>
    </w:p>
    <w:p w:rsidR="00913A86" w:rsidRDefault="00913A86">
      <w:pPr>
        <w:spacing w:line="360" w:lineRule="auto"/>
        <w:jc w:val="both"/>
        <w:rPr>
          <w:rFonts w:ascii="Palatino Linotype" w:eastAsia="Palatino Linotype" w:hAnsi="Palatino Linotype" w:cs="Palatino Linotype"/>
          <w:color w:val="000000"/>
          <w:sz w:val="22"/>
          <w:szCs w:val="22"/>
        </w:rPr>
      </w:pPr>
    </w:p>
    <w:p w:rsidR="00913A86" w:rsidRDefault="002F08A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lo que, </w:t>
      </w:r>
      <w:r>
        <w:rPr>
          <w:rFonts w:ascii="Palatino Linotype" w:eastAsia="Palatino Linotype" w:hAnsi="Palatino Linotype" w:cs="Palatino Linotype"/>
          <w:b/>
          <w:color w:val="000000"/>
          <w:sz w:val="22"/>
          <w:szCs w:val="22"/>
        </w:rPr>
        <w:t>la incompetencia</w:t>
      </w:r>
      <w:r>
        <w:rPr>
          <w:rFonts w:ascii="Palatino Linotype" w:eastAsia="Palatino Linotype" w:hAnsi="Palatino Linotype" w:cs="Palatino Linotype"/>
          <w:color w:val="000000"/>
          <w:sz w:val="22"/>
          <w:szCs w:val="22"/>
        </w:rPr>
        <w:t xml:space="preserve">,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rsidR="00913A86" w:rsidRDefault="00913A86">
      <w:pPr>
        <w:spacing w:line="360" w:lineRule="auto"/>
        <w:jc w:val="both"/>
        <w:rPr>
          <w:rFonts w:ascii="Palatino Linotype" w:eastAsia="Palatino Linotype" w:hAnsi="Palatino Linotype" w:cs="Palatino Linotype"/>
          <w:color w:val="000000"/>
          <w:sz w:val="22"/>
          <w:szCs w:val="22"/>
        </w:rPr>
      </w:pPr>
    </w:p>
    <w:p w:rsidR="00913A86" w:rsidRDefault="002F08A5">
      <w:pPr>
        <w:spacing w:line="360"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0"/>
          <w:szCs w:val="20"/>
        </w:rPr>
        <w:t xml:space="preserve">“LEGITIMACIÓN DE FUNCIONARIOS PÚBLICOS. LOS TRIBUNALES DE AMPARO, POR ESTAR VINCULADOS CON EL CONCEPTO DE COMPETENCIA A QUE SE REFIERE EL ARTÍCULO 16 CONSTITUCIONAL, NO PUEDEN CONOCER DE AQUÉLLA. </w:t>
      </w:r>
      <w:r>
        <w:rPr>
          <w:rFonts w:ascii="Palatino Linotype" w:eastAsia="Palatino Linotype" w:hAnsi="Palatino Linotype" w:cs="Palatino Linotype"/>
          <w:i/>
          <w:color w:val="000000"/>
          <w:sz w:val="20"/>
          <w:szCs w:val="20"/>
        </w:rPr>
        <w:t>El artículo </w:t>
      </w:r>
      <w:hyperlink r:id="rId19">
        <w:r>
          <w:rPr>
            <w:rFonts w:ascii="Palatino Linotype" w:eastAsia="Palatino Linotype" w:hAnsi="Palatino Linotype" w:cs="Palatino Linotype"/>
            <w:i/>
            <w:color w:val="0000FF"/>
            <w:sz w:val="20"/>
            <w:szCs w:val="20"/>
            <w:u w:val="single"/>
          </w:rPr>
          <w:t>16 constitucional</w:t>
        </w:r>
      </w:hyperlink>
      <w:r>
        <w:rPr>
          <w:rFonts w:ascii="Palatino Linotype" w:eastAsia="Palatino Linotype" w:hAnsi="Palatino Linotype" w:cs="Palatino Linotype"/>
          <w:i/>
          <w:color w:val="000000"/>
          <w:sz w:val="20"/>
          <w:szCs w:val="20"/>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rsidR="00913A86" w:rsidRDefault="00913A86">
      <w:pPr>
        <w:spacing w:line="360" w:lineRule="auto"/>
        <w:jc w:val="both"/>
        <w:rPr>
          <w:rFonts w:ascii="Palatino Linotype" w:eastAsia="Palatino Linotype" w:hAnsi="Palatino Linotype" w:cs="Palatino Linotype"/>
          <w:color w:val="000000"/>
          <w:sz w:val="22"/>
          <w:szCs w:val="22"/>
        </w:rPr>
      </w:pPr>
    </w:p>
    <w:p w:rsidR="00913A86" w:rsidRDefault="002F08A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 misma manera, resulta necesario traer a colación, el Criterio 13/17, emitido por el Instituto Nacional de Transparencia, Acceso a la Información y Protección de Datos Personales, que dispone lo siguiente: </w:t>
      </w:r>
    </w:p>
    <w:p w:rsidR="00913A86" w:rsidRDefault="00913A86">
      <w:pPr>
        <w:spacing w:line="360" w:lineRule="auto"/>
        <w:jc w:val="both"/>
        <w:rPr>
          <w:rFonts w:ascii="Palatino Linotype" w:eastAsia="Palatino Linotype" w:hAnsi="Palatino Linotype" w:cs="Palatino Linotype"/>
          <w:color w:val="000000"/>
          <w:sz w:val="22"/>
          <w:szCs w:val="22"/>
        </w:rPr>
      </w:pPr>
    </w:p>
    <w:p w:rsidR="00913A86" w:rsidRDefault="002F08A5">
      <w:pPr>
        <w:spacing w:line="360" w:lineRule="auto"/>
        <w:ind w:left="567" w:right="567"/>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r>
        <w:rPr>
          <w:rFonts w:ascii="Palatino Linotype" w:eastAsia="Palatino Linotype" w:hAnsi="Palatino Linotype" w:cs="Palatino Linotype"/>
          <w:b/>
          <w:i/>
          <w:color w:val="000000"/>
          <w:sz w:val="20"/>
          <w:szCs w:val="20"/>
        </w:rPr>
        <w:t xml:space="preserve">Incompetencia. </w:t>
      </w:r>
      <w:r>
        <w:rPr>
          <w:rFonts w:ascii="Palatino Linotype" w:eastAsia="Palatino Linotype" w:hAnsi="Palatino Linotype" w:cs="Palatino Linotype"/>
          <w:i/>
          <w:color w:val="000000"/>
          <w:sz w:val="20"/>
          <w:szCs w:val="20"/>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rsidR="00913A86" w:rsidRDefault="00913A86">
      <w:pPr>
        <w:spacing w:line="360" w:lineRule="auto"/>
        <w:jc w:val="both"/>
        <w:rPr>
          <w:rFonts w:ascii="Palatino Linotype" w:eastAsia="Palatino Linotype" w:hAnsi="Palatino Linotype" w:cs="Palatino Linotype"/>
          <w:color w:val="000000"/>
          <w:sz w:val="22"/>
          <w:szCs w:val="22"/>
        </w:rPr>
      </w:pPr>
    </w:p>
    <w:p w:rsidR="00913A86" w:rsidRDefault="002F08A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tal virtud, la </w:t>
      </w:r>
      <w:r>
        <w:rPr>
          <w:rFonts w:ascii="Palatino Linotype" w:eastAsia="Palatino Linotype" w:hAnsi="Palatino Linotype" w:cs="Palatino Linotype"/>
          <w:b/>
          <w:color w:val="000000"/>
        </w:rPr>
        <w:t xml:space="preserve">incompetencia </w:t>
      </w:r>
      <w:r>
        <w:rPr>
          <w:rFonts w:ascii="Palatino Linotype" w:eastAsia="Palatino Linotype" w:hAnsi="Palatino Linotype" w:cs="Palatino Linotype"/>
          <w:color w:val="000000"/>
        </w:rPr>
        <w:t>implica que de conformidad con las atribuciones conferidas al Sujeto Obligado, no habría razón por la cual éste deba contar con la información solicitada, en cuyo caso, tendría que orientar al particular para que acuda a la instancia competente.</w:t>
      </w:r>
    </w:p>
    <w:p w:rsidR="00913A86" w:rsidRDefault="00913A86">
      <w:pPr>
        <w:spacing w:line="360" w:lineRule="auto"/>
        <w:jc w:val="both"/>
        <w:rPr>
          <w:rFonts w:ascii="Palatino Linotype" w:eastAsia="Palatino Linotype" w:hAnsi="Palatino Linotype" w:cs="Palatino Linotype"/>
          <w:color w:val="000000"/>
        </w:rPr>
      </w:pPr>
    </w:p>
    <w:p w:rsidR="00913A86" w:rsidRDefault="002F08A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rsidR="00913A86" w:rsidRDefault="00913A86">
      <w:pPr>
        <w:spacing w:line="360" w:lineRule="auto"/>
        <w:jc w:val="both"/>
        <w:rPr>
          <w:rFonts w:ascii="Palatino Linotype" w:eastAsia="Palatino Linotype" w:hAnsi="Palatino Linotype" w:cs="Palatino Linotype"/>
          <w:color w:val="000000"/>
        </w:rPr>
      </w:pPr>
    </w:p>
    <w:p w:rsidR="00913A86" w:rsidRDefault="002F08A5">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 De las facultades de la gubernatura para generar la información solicitada</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tanto, a continuación, se analiza si en la especie, la Gubernatura cuenta con atribuciones para conocer sobre la información requerida; para ello es necesario traer a colación el Manual General de Organización de la Gubernatura publicado en el Periódico Oficial Gaceta de Gobierno en julio de 2018, vigente al no haber sido abrogado, visible en el enlace: </w:t>
      </w:r>
      <w:hyperlink r:id="rId20">
        <w:r>
          <w:rPr>
            <w:rFonts w:ascii="Palatino Linotype" w:eastAsia="Palatino Linotype" w:hAnsi="Palatino Linotype" w:cs="Palatino Linotype"/>
            <w:color w:val="0000FF"/>
            <w:u w:val="single"/>
          </w:rPr>
          <w:t>http://legislacion.edomex.gob.mx/sites/legislacion.edomex.gob.mx/files/files/pdf/gct/2018/jul312.pdf</w:t>
        </w:r>
      </w:hyperlink>
      <w:r>
        <w:rPr>
          <w:rFonts w:ascii="Palatino Linotype" w:eastAsia="Palatino Linotype" w:hAnsi="Palatino Linotype" w:cs="Palatino Linotype"/>
        </w:rPr>
        <w:t>, prevé en su página 7, numeral IV, el Organigrama de la Gubernatura, el cual se inserta a fin de ejemplificar las unidades administrativas que comprenden la estructura orgánica del Sujeto Obligado:</w:t>
      </w:r>
    </w:p>
    <w:p w:rsidR="00913A86" w:rsidRDefault="002F08A5">
      <w:pPr>
        <w:spacing w:before="240" w:after="240" w:line="360" w:lineRule="auto"/>
        <w:jc w:val="center"/>
        <w:rPr>
          <w:rFonts w:ascii="Palatino Linotype" w:eastAsia="Palatino Linotype" w:hAnsi="Palatino Linotype" w:cs="Palatino Linotype"/>
          <w:highlight w:val="yellow"/>
        </w:rPr>
      </w:pPr>
      <w:r>
        <w:rPr>
          <w:rFonts w:ascii="Palatino Linotype" w:eastAsia="Palatino Linotype" w:hAnsi="Palatino Linotype" w:cs="Palatino Linotype"/>
          <w:noProof/>
          <w:highlight w:val="yellow"/>
          <w:lang w:val="es-MX"/>
        </w:rPr>
        <w:drawing>
          <wp:inline distT="0" distB="0" distL="0" distR="0">
            <wp:extent cx="3581400" cy="3467100"/>
            <wp:effectExtent l="0" t="0" r="0" b="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r="1827" b="2412"/>
                    <a:stretch>
                      <a:fillRect/>
                    </a:stretch>
                  </pic:blipFill>
                  <pic:spPr>
                    <a:xfrm>
                      <a:off x="0" y="0"/>
                      <a:ext cx="3581400" cy="3467100"/>
                    </a:xfrm>
                    <a:prstGeom prst="rect">
                      <a:avLst/>
                    </a:prstGeom>
                    <a:ln/>
                  </pic:spPr>
                </pic:pic>
              </a:graphicData>
            </a:graphic>
          </wp:inline>
        </w:drawing>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Del organigrama que se muestra, se advierte que la Gubernatura se integra por una Secretaría particular, de la que a su vez se desprenden la Secretaría Particular Adjunta, la Secretaría Auxiliar y la Secretaría Privada; unidades administrativas que en términos de la misma normatividad en cita, cuentan con las siguientes funciones:</w:t>
      </w:r>
    </w:p>
    <w:p w:rsidR="00913A86" w:rsidRDefault="002F08A5">
      <w:pPr>
        <w:tabs>
          <w:tab w:val="left" w:pos="8364"/>
        </w:tabs>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“201100000 SECRETARÍA PARTICULAR </w:t>
      </w:r>
    </w:p>
    <w:p w:rsidR="00913A86" w:rsidRDefault="002F08A5">
      <w:pPr>
        <w:tabs>
          <w:tab w:val="left" w:pos="8364"/>
        </w:tabs>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OBJETIVO: Contribuir al eficiente desarrollo de las funciones de la o del titular del Ejecutivo Estatal, mediante la organización y coordinación de las actividades propias de su cargo, así como mantenerla o mantenerlo informado sobre los compromisos oficiales contraídos. </w:t>
      </w:r>
    </w:p>
    <w:p w:rsidR="00913A86" w:rsidRDefault="002F08A5">
      <w:pPr>
        <w:tabs>
          <w:tab w:val="left" w:pos="8364"/>
        </w:tabs>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FUNCIONES: </w:t>
      </w:r>
    </w:p>
    <w:p w:rsidR="00913A86" w:rsidRDefault="002F08A5">
      <w:pPr>
        <w:tabs>
          <w:tab w:val="left" w:pos="8364"/>
        </w:tabs>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Programar, previo acuerdo con la o el titular del Ejecutivo Estatal, las solicitudes de audiencias, acuerdos, reuniones de trabajo, visitas, giras, entrevistas y demás eventos en los que la o el C. Gobernador deba participar, a fin de calendarizar y coordinar Ia realización de sus actividades. </w:t>
      </w:r>
    </w:p>
    <w:p w:rsidR="00913A86" w:rsidRDefault="002F08A5">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Atender las solicitudes de audiencia personales y por escrito, que las y los ciudadanos formulen a la o al titular del Ejecutivo Estatal.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Registrar en la agenda de la o del titular del Ejecutivo Estatal, los compromisos derivados de sus funciones.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Acordar periódicamente con la C. Gobernadora o el C. Gobernador, a fin de enterarla o enterarlo de los asuntos que le sean planteados en forma verbal o por escrito.</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Preparar las reuniones de trabajo de la o del C. Gobernador con la o el C. Presidente de la República y con funcionarias y funcionarios de las dependencias de las diferentes instancias de Gobierno, proporcionándole Ia información necesaria para apoyar Ia adecuada toma de decisiones.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Coordinar, dirigir y controlar las actividades de las unidades administrativas adscritas a la Secretaría Particular.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Coordinar los mecanismos de seguimiento a las instrucciones giradas por la C. Gobernadora o el C. Gobernador, tanto en las giras y eventos, como en la documentación que le sea presentada en audiencias y acuerdos.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Coordinar la elaboración de los programas de actividades y supervisar que todo evento en el que participe la o el C. Gobernador, se realice conforme a lo previsto. Supervisar, con base en el programa de giras de la o del C. Gobernador, la oportuna atención de los requerimientos para cada una de ellas, y coordinarse con las áreas correspondientes.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Recibir y turnar las instrucciones de la C. Gobernadora o del C. Gobernador, a las y los titulares de las dependencias, realizando su seguimiento a fin de verificar su cumplimiento.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Establecer comunicación y coordinarse con las y los funcionarios designados por la o el C. Gobernador, para que asistan en su representación a diversos actos y/o eventos.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Apoyar con oportunidad, eficacia y eficiencia los asuntos que atienda directamente la o el titular del Ejecutivo Estatal, garantizando el cumplimiento de los acuerdos y decisiones que dicte en cada caso.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Establecer coordinación con autoridades federales, estatales y municipales, cuando las funciones propias de la o del C. Gobernador, así lo requieran.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Controlar y tramitar Ia correspondencia dirigida a la C. Gobernadora o al C. Gobernador, así como analizar Ia información y llevar el control de Ia gestión de los compromisos del mismo.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Desarrollar las demás funciones inherentes al área de su competencia y las que le encomiende la o el C. Gobernador.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201200000 SECRETARÍA PARTICULAR ADJUNTA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OBJETIVO: Coadyuvar en las actividades que realiza la C. Gobernadora o el C. Gobernador en giras, eventos, reuniones u otras, mediante el otorgamiento oportuno de apoyos informativos, de comunicación y atención directa, así como instruir el seguimiento de los asuntos que le sean turnados por la o el titular del Ejecutivo Estatal.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FUNCIONES: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Asistir a la o al C. Gobernador en sus giras, reuniones y demás eventos en los que participe. Integrar la información y documentos que requiera la C. Gobernadora o el C. Gobernador, en las actividades que realiza.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Atender y canalizar a las instancias correspondientes, a las personas que instruya la o el C. Gobernador.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Tramitar los asuntos que la o el titular del Ejecutivo Estatal le encomiende, y realizar el seguimiento en su atención.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Revisar, analizar y resumir la información emitida en los medios de comunicación y órganos institucionales de los Gobiernos Estatal y Federal, para hacerla del conocimiento de la o del titular del Ejecutivo y de la Secretaría Particular.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Mantener comunicación permanente con las áreas competentes, para coordinarse en el desarrollo de giras de trabajo y eventos, puntualizando la forma y los tiempos de éstas, y las necesidades de información o de apoyos materiales que se requieran.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Remitir a las instancias correspondientes las solicitudes y demandas de la población, recibidas por la o el C. Gobernador en los actos que participa.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Desarrollar las demás funciones inherentes al área de su competencia y las que le encomiende la o el titular del Ejecutivo Estatal y la Secretaria o el Secretario Particular de la o del C. Gobernador.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201120000 SECRETARÍA AUXILIAR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OBJETIVO: Apoyar a la o al Secretario Particular de la C. Gobernadora o del C. Gobernador del Estado, en Ia atención y tramitación de los asuntos que le confiera.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FUNCIONES: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Coordinar y atender los asuntos, así como desempeñar las comisiones que la o el Secretario Particular de la o del C. Gobernador le encomiende.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Apoyar a la o al Secretario Particular de la C. Gobernadora o del C. Gobernador en la planeación, coordinación, organización y supervisión de los programas para la celebración de los actos públicos y privados, que presida la o el titular del Poder Ejecutivo.</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Coadyuvar en el desarrollo de las audiencias que le sean delegadas por la o el Secretario Particular.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Efectuar el seguimiento e informar a la Secretaría Particular de la o del C. Gobernador, sobre el cumplimiento de los acuerdos y asuntos turnados a las diversas instancias gubernamentales, así como a los diferentes sectores de Ia sociedad.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Recibir, turnar y supervisar Ia adecuada y oportuna atención de demandas y solicitudes planteadas a la C. Gobernadora o al C. Gobernador.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Supervisar que los apoyos que se requieran para el desarrollo de los actos, eventos y ceremonias en que participe el C. Gobernador, se proporcionen de manera eficiente, oportuna y en los términos requeridos.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Vigilar la recepción, trámite y control de Ia correspondencia dirigida a la o al titular del Ejecutivo Estatal.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Supervisar que las audiencias públicas se desarrollen conforme a las normas y lineamientos que determine la o el titular del Ejecutivo Estatal, garantizando óptimos resultados.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Suplir a la Secretaria o al Secretario Particular de la C. Gobernadora o del C. Gobernador en sus ausencias para Ia atención del despacho de los asuntos a su cargo.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Desarrollar las demás funciones inherentes al área de su competencia y las que le encomiende la o el titular del Ejecutivo Estatal y la Secretaria o el Secretario Particular de la o del C. Gobernador.</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201101000 SECRETARÍA PRIVADA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OBJETIVO: Brindar atención directa a la C. Gobernadora o al C. Gobernador en las actividades de carácter privado, supervisando su desarrollo y realizando su seguimiento.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FUNCIONES: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Atender los asuntos privados que le encomiende la o el C. Gobernador.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Procurar atención a las personas que asisten a audiencia con la o el titular del Ejecutivo Estatal.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Supervisar que las actividades oficiales que presida la o el C. Gobernador, se realicen conforme al protocolo que para el efecto corresponda.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Asistir a la C. Gobernadora o al C. Gobernador en las reuniones de trabajo que se realicen en recintos oficiales.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Supervisar el estado que guardan las oficinas de la o del C. Gobernador, y gestionar ante las instancias correspondientes, la dotación de los recursos humanos y materiales, confirmando que sea la óptima para el desarrollo de las actividades programadas.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Formular oportunamente las misivas de respuesta a las atenciones recibidas por la o el C. Gobernador, así como las y los integrantes de su familia.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Mantener el registro y control sobre la correspondencia privada de la o del C. Gobernador y, en su caso, canalizarla a las instancias correspondientes para su atención. Actualizar los directorios de consulta permanente de la o del titular del Ejecutivo Estatal.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Coordinar el protocolo de compromisos de carácter institucional y personales de la C. Gobernadora o del C. Gobernador en los recintos oficiales.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Atender las instrucciones y responsabilidades que le encomiende la o el titular del Ejecutivo Estatal. </w:t>
      </w:r>
    </w:p>
    <w:p w:rsidR="00913A86" w:rsidRDefault="002F08A5">
      <w:pPr>
        <w:spacing w:before="240" w:after="240"/>
        <w:ind w:left="426"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Desarrollar las demás funciones inherentes al área de su competencia y las que le encomiende la o el titular del Ejecutivo Estatal y la Secretaria o el Secretario Particular de la o del C. Gobernador.”</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puede advertirse de las funciones descritas, las unidades administrativas que pertenecen al Sujeto Obligado en el presente Recurso de Revisión no cuentan con la competencia o funciones para conocer, generar o archivar la información relativa a generar, conocer o archivar la nómina o recibos de pago de los servidores públicos adscritos al </w:t>
      </w:r>
      <w:r>
        <w:rPr>
          <w:rFonts w:ascii="Palatino Linotype" w:eastAsia="Palatino Linotype" w:hAnsi="Palatino Linotype" w:cs="Palatino Linotype"/>
          <w:b/>
        </w:rPr>
        <w:t>Sujeto Obligado</w:t>
      </w:r>
      <w:r>
        <w:rPr>
          <w:rFonts w:ascii="Palatino Linotype" w:eastAsia="Palatino Linotype" w:hAnsi="Palatino Linotype" w:cs="Palatino Linotype"/>
        </w:rPr>
        <w:t>, ya que únicamente tienen la finalidad de coadyuvar con el Gobernador del Estado en el desempeño de sus funciones y la toma de decisiones.</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 precisar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informe justificado mencionó que el Sujeto Obligado que puede conocer de la información solicitada es la Secretaría de Finanzas, ello encuentra sustento en los siguientes preceptos legales:</w:t>
      </w:r>
    </w:p>
    <w:p w:rsidR="00913A86" w:rsidRDefault="002F08A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Ley Orgánica de la Administración Pública del Estado de México</w:t>
      </w:r>
    </w:p>
    <w:p w:rsidR="00913A86" w:rsidRDefault="002F08A5">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i/>
          <w:sz w:val="22"/>
          <w:szCs w:val="22"/>
        </w:rPr>
        <w:t>Para el estudio, planeación y despacho de los asuntos, en los diversos ramos de la Administración Pública del Estado, auxiliarán al Titular del Ejecutivo, las siguientes dependencias:</w:t>
      </w:r>
    </w:p>
    <w:p w:rsidR="00913A86" w:rsidRDefault="002F08A5">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13A86" w:rsidRDefault="002F08A5">
      <w:pPr>
        <w:spacing w:before="240" w:after="240"/>
        <w:ind w:left="567"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III. Secretaría de Finanzas;</w:t>
      </w:r>
    </w:p>
    <w:p w:rsidR="00913A86" w:rsidRDefault="002F08A5">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13A86" w:rsidRDefault="002F08A5">
      <w:pPr>
        <w:spacing w:before="240" w:after="240"/>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23.</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Secretaría de Finanzas, es la encargada de la planeación, programación, presupuestación y evaluación de las actividades del Poder Ejecutivo, de la administración financiera y tributaria de la hacienda pública del Estado y de prestar el apoyo administrativo y tecnológico que requieran las dependencias del Poder Ejecutivo del Estado.</w:t>
      </w:r>
    </w:p>
    <w:p w:rsidR="00913A86" w:rsidRDefault="002F08A5">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24.- </w:t>
      </w:r>
      <w:r>
        <w:rPr>
          <w:rFonts w:ascii="Palatino Linotype" w:eastAsia="Palatino Linotype" w:hAnsi="Palatino Linotype" w:cs="Palatino Linotype"/>
          <w:i/>
          <w:sz w:val="22"/>
          <w:szCs w:val="22"/>
        </w:rPr>
        <w:t>A la Secretaría de Finanzas, corresponde el despacho de los siguientes asuntos:</w:t>
      </w:r>
    </w:p>
    <w:p w:rsidR="00913A86" w:rsidRDefault="002F08A5">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913A86" w:rsidRDefault="002F08A5">
      <w:pPr>
        <w:spacing w:before="240" w:after="240"/>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XXXIII. Vigilar el cumplimiento de las disposiciones legales que rijan las relaciones entre el Gobierno del Estado y los servidores públicos;</w:t>
      </w:r>
    </w:p>
    <w:p w:rsidR="00913A86" w:rsidRDefault="002F08A5">
      <w:pPr>
        <w:spacing w:before="240" w:after="240"/>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XXXIV. Seleccionar, contratar, capacitar y controlar al personal del Poder Ejecutivo del Estado;</w:t>
      </w:r>
    </w:p>
    <w:p w:rsidR="00913A86" w:rsidRDefault="00913A86">
      <w:pPr>
        <w:spacing w:before="240" w:after="240"/>
        <w:ind w:left="567" w:right="851"/>
        <w:jc w:val="both"/>
        <w:rPr>
          <w:rFonts w:ascii="Palatino Linotype" w:eastAsia="Palatino Linotype" w:hAnsi="Palatino Linotype" w:cs="Palatino Linotype"/>
          <w:b/>
          <w:i/>
          <w:sz w:val="22"/>
          <w:szCs w:val="22"/>
        </w:rPr>
      </w:pPr>
    </w:p>
    <w:p w:rsidR="00913A86" w:rsidRDefault="002F08A5">
      <w:pPr>
        <w:spacing w:before="240" w:after="240"/>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XXXV. Tramitar los nombramientos, remociones, renuncias, licencias y jubilaciones de los funcionarios y trabajadores del Poder Ejecutivo del Estado;</w:t>
      </w:r>
    </w:p>
    <w:p w:rsidR="00913A86" w:rsidRDefault="002F08A5">
      <w:pPr>
        <w:spacing w:before="240" w:after="240"/>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XXXVI. Mantener al corriente el escalafón de los trabajadores al servicio del Gobierno del Estado;”</w:t>
      </w:r>
    </w:p>
    <w:p w:rsidR="00913A86" w:rsidRDefault="002F08A5">
      <w:pPr>
        <w:spacing w:before="240" w:after="240"/>
        <w:ind w:right="851"/>
        <w:jc w:val="both"/>
        <w:rPr>
          <w:rFonts w:ascii="Palatino Linotype" w:eastAsia="Palatino Linotype" w:hAnsi="Palatino Linotype" w:cs="Palatino Linotype"/>
          <w:b/>
        </w:rPr>
      </w:pPr>
      <w:r>
        <w:rPr>
          <w:rFonts w:ascii="Palatino Linotype" w:eastAsia="Palatino Linotype" w:hAnsi="Palatino Linotype" w:cs="Palatino Linotype"/>
          <w:b/>
        </w:rPr>
        <w:t>Reglamento Interior de la Secretaría de Finanzas</w:t>
      </w:r>
    </w:p>
    <w:p w:rsidR="00913A86" w:rsidRDefault="002F08A5">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29.- </w:t>
      </w:r>
      <w:r>
        <w:rPr>
          <w:rFonts w:ascii="Palatino Linotype" w:eastAsia="Palatino Linotype" w:hAnsi="Palatino Linotype" w:cs="Palatino Linotype"/>
          <w:i/>
          <w:sz w:val="22"/>
          <w:szCs w:val="22"/>
        </w:rPr>
        <w:t>Corresponde al Subsecretario de Administración el ejercicio de las siguientes atribuciones:</w:t>
      </w:r>
    </w:p>
    <w:p w:rsidR="00913A86" w:rsidRDefault="002F08A5">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913A86" w:rsidRDefault="002F08A5">
      <w:pPr>
        <w:spacing w:before="240" w:after="240"/>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X. Autorizar la creación de plazas de personal que soliciten las dependencias y los organismos auxiliares, en términos de lo establecido en la normativa aplicable, y conforme a los lineamientos que, en su caso, establezca el Secretario. </w:t>
      </w:r>
    </w:p>
    <w:p w:rsidR="00913A86" w:rsidRDefault="002F08A5">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13A86" w:rsidRDefault="002F08A5">
      <w:pPr>
        <w:spacing w:before="240" w:after="240"/>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XIII. Autorizar la estrategia y las acciones que orienten la política salarial, las remuneraciones al personal, las prestaciones socioeconómicas, el proceso escalafonario, la gestión del capital humano, y los asuntos laborales del Poder Ejecutivo del Gobierno del Estado.</w:t>
      </w:r>
    </w:p>
    <w:p w:rsidR="00913A86" w:rsidRDefault="002F08A5">
      <w:pPr>
        <w:spacing w:before="240" w:after="240"/>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30.- Quedan adscritas a la Subsecretaría de Administración:</w:t>
      </w:r>
    </w:p>
    <w:p w:rsidR="00913A86" w:rsidRDefault="002F08A5">
      <w:pPr>
        <w:numPr>
          <w:ilvl w:val="0"/>
          <w:numId w:val="1"/>
        </w:numPr>
        <w:pBdr>
          <w:top w:val="nil"/>
          <w:left w:val="nil"/>
          <w:bottom w:val="nil"/>
          <w:right w:val="nil"/>
          <w:between w:val="nil"/>
        </w:pBdr>
        <w:spacing w:before="240" w:after="240"/>
        <w:ind w:left="567" w:right="851"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Dirección General de Personal.</w:t>
      </w:r>
    </w:p>
    <w:p w:rsidR="00913A86" w:rsidRDefault="002F08A5">
      <w:pPr>
        <w:spacing w:before="240" w:after="240"/>
        <w:ind w:left="426"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31.- Corresponde a la Dirección General de Personal:</w:t>
      </w:r>
    </w:p>
    <w:p w:rsidR="00913A86" w:rsidRDefault="002F08A5">
      <w:pPr>
        <w:spacing w:before="240" w:after="240"/>
        <w:ind w:left="426"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913A86" w:rsidRDefault="002F08A5">
      <w:pPr>
        <w:spacing w:before="240" w:after="240"/>
        <w:ind w:left="426"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VII. Aplicar las disposiciones que norman la remuneración y prestaciones que deban otorgarse a los servidores públicos del Poder Ejecutivo del Gobierno del Estado, en concordancia con las estructuras orgánico funcionales y los catálogos de puestos aprobados.</w:t>
      </w:r>
    </w:p>
    <w:p w:rsidR="00913A86" w:rsidRDefault="002F08A5">
      <w:pPr>
        <w:spacing w:before="240" w:after="240"/>
        <w:ind w:left="426"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913A86" w:rsidRDefault="002F08A5">
      <w:pPr>
        <w:spacing w:before="240" w:after="240"/>
        <w:ind w:left="426"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XII. Coordinar acciones con la Dirección General de Recaudación para que, en forma oportuna, se entreguen los documentos de percepciones a los servidores públicos del Poder Ejecutivo del Estado, cuando esta dirección actúe como centro de pago.</w:t>
      </w:r>
    </w:p>
    <w:p w:rsidR="00913A86" w:rsidRDefault="00913A86">
      <w:pPr>
        <w:spacing w:before="240" w:after="240"/>
        <w:ind w:left="426" w:right="851"/>
        <w:jc w:val="both"/>
        <w:rPr>
          <w:rFonts w:ascii="Palatino Linotype" w:eastAsia="Palatino Linotype" w:hAnsi="Palatino Linotype" w:cs="Palatino Linotype"/>
          <w:b/>
          <w:i/>
          <w:sz w:val="22"/>
          <w:szCs w:val="22"/>
        </w:rPr>
      </w:pPr>
    </w:p>
    <w:p w:rsidR="00913A86" w:rsidRDefault="002F08A5">
      <w:pPr>
        <w:spacing w:before="240" w:after="240"/>
        <w:ind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Manual General de Organización de la Secretaría de Finanzas</w:t>
      </w:r>
    </w:p>
    <w:p w:rsidR="00913A86" w:rsidRDefault="002F08A5">
      <w:pPr>
        <w:spacing w:before="240" w:after="240"/>
        <w:ind w:left="426"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20706004000000L DIRECCIÓN GENERAL DE PERSONAL </w:t>
      </w:r>
    </w:p>
    <w:p w:rsidR="00913A86" w:rsidRDefault="002F08A5">
      <w:pPr>
        <w:spacing w:before="240" w:after="240"/>
        <w:ind w:left="426"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 xml:space="preserve">OBJETIVO: </w:t>
      </w:r>
      <w:r>
        <w:rPr>
          <w:rFonts w:ascii="Palatino Linotype" w:eastAsia="Palatino Linotype" w:hAnsi="Palatino Linotype" w:cs="Palatino Linotype"/>
          <w:b/>
          <w:i/>
          <w:sz w:val="22"/>
          <w:szCs w:val="22"/>
        </w:rPr>
        <w:t>Coordinar y normar las actividades orientadas al cumplimiento de las metas establecidas en materia de desarrollo y administración de personal, a través de la operación eficaz del Sistema Integral de Personal.</w:t>
      </w:r>
    </w:p>
    <w:p w:rsidR="00913A86" w:rsidRDefault="002F08A5">
      <w:pPr>
        <w:spacing w:before="240" w:after="240"/>
        <w:ind w:left="426"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w:t>
      </w:r>
    </w:p>
    <w:p w:rsidR="00913A86" w:rsidRDefault="002F08A5">
      <w:pPr>
        <w:numPr>
          <w:ilvl w:val="0"/>
          <w:numId w:val="2"/>
        </w:numPr>
        <w:pBdr>
          <w:top w:val="nil"/>
          <w:left w:val="nil"/>
          <w:bottom w:val="nil"/>
          <w:right w:val="nil"/>
          <w:between w:val="nil"/>
        </w:pBdr>
        <w:spacing w:before="240" w:after="240"/>
        <w:ind w:left="567" w:right="992"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Dar cumplimiento a las disposiciones que normen la remuneración de las y los servidores públicos, de conformidad con las estructuras orgánico funcionales y los catálogos de puestos aprobados.</w:t>
      </w:r>
    </w:p>
    <w:p w:rsidR="00913A86" w:rsidRDefault="002F08A5">
      <w:pPr>
        <w:pBdr>
          <w:top w:val="nil"/>
          <w:left w:val="nil"/>
          <w:bottom w:val="nil"/>
          <w:right w:val="nil"/>
          <w:between w:val="nil"/>
        </w:pBdr>
        <w:spacing w:before="240" w:after="240"/>
        <w:ind w:left="567" w:right="99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w:t>
      </w:r>
    </w:p>
    <w:p w:rsidR="00913A86" w:rsidRDefault="002F08A5">
      <w:pPr>
        <w:numPr>
          <w:ilvl w:val="0"/>
          <w:numId w:val="2"/>
        </w:numPr>
        <w:pBdr>
          <w:top w:val="nil"/>
          <w:left w:val="nil"/>
          <w:bottom w:val="nil"/>
          <w:right w:val="nil"/>
          <w:between w:val="nil"/>
        </w:pBdr>
        <w:spacing w:before="240" w:after="240"/>
        <w:ind w:left="567" w:right="992"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Entregar las remuneraciones a las y los servidores públicos de las dependencias y órganos administrativos desconcentrados del Poder Ejecutivo, en coordinación con la Dirección General de Recaudación.</w:t>
      </w:r>
    </w:p>
    <w:p w:rsidR="00913A86" w:rsidRDefault="002F08A5">
      <w:pPr>
        <w:pBdr>
          <w:top w:val="nil"/>
          <w:left w:val="nil"/>
          <w:bottom w:val="nil"/>
          <w:right w:val="nil"/>
          <w:between w:val="nil"/>
        </w:pBdr>
        <w:spacing w:before="240" w:after="240"/>
        <w:ind w:left="567" w:right="99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w:t>
      </w:r>
    </w:p>
    <w:p w:rsidR="00913A86" w:rsidRDefault="002F08A5">
      <w:pPr>
        <w:numPr>
          <w:ilvl w:val="0"/>
          <w:numId w:val="2"/>
        </w:numPr>
        <w:pBdr>
          <w:top w:val="nil"/>
          <w:left w:val="nil"/>
          <w:bottom w:val="nil"/>
          <w:right w:val="nil"/>
          <w:between w:val="nil"/>
        </w:pBdr>
        <w:spacing w:before="240" w:after="240"/>
        <w:ind w:left="567" w:right="851"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Autorizar los pagos por conceptos de sueldo, prestaciones y otras disposiciones normativas que gestionan las dependencias y órganos administrativos desconcentrados del Poder Ejecutivo Estatal, así como las pensiones por gracia.</w:t>
      </w:r>
    </w:p>
    <w:p w:rsidR="00913A86" w:rsidRDefault="00913A86">
      <w:pPr>
        <w:spacing w:before="240" w:after="240"/>
        <w:ind w:left="567" w:right="851"/>
        <w:jc w:val="both"/>
        <w:rPr>
          <w:rFonts w:ascii="Palatino Linotype" w:eastAsia="Palatino Linotype" w:hAnsi="Palatino Linotype" w:cs="Palatino Linotype"/>
          <w:i/>
          <w:sz w:val="22"/>
          <w:szCs w:val="22"/>
        </w:rPr>
      </w:pP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se tiene que tal y como lo refiere el Sujeto Obligado, la Gubernatura no es competente para generar o archivar la documentación correspondiente a los recibos de nómina del personal adscrito a la Gubernatura,</w:t>
      </w:r>
      <w:r>
        <w:rPr>
          <w:rFonts w:ascii="Palatino Linotype" w:eastAsia="Palatino Linotype" w:hAnsi="Palatino Linotype" w:cs="Palatino Linotype"/>
          <w:i/>
        </w:rPr>
        <w:t xml:space="preserve"> </w:t>
      </w:r>
      <w:r>
        <w:rPr>
          <w:rFonts w:ascii="Palatino Linotype" w:eastAsia="Palatino Linotype" w:hAnsi="Palatino Linotype" w:cs="Palatino Linotype"/>
        </w:rPr>
        <w:t>la Secretaría General de Gobierno, de estructura, honorarios, confianza, jefes de departamento, subdirectores, directores, directores generales, directores generales adjuntos, titulares de unidades, secretario general de gobierno y gobernador del Estado; ya que esta es generad</w:t>
      </w:r>
      <w:r w:rsidR="00995E05">
        <w:rPr>
          <w:rFonts w:ascii="Palatino Linotype" w:eastAsia="Palatino Linotype" w:hAnsi="Palatino Linotype" w:cs="Palatino Linotype"/>
        </w:rPr>
        <w:t xml:space="preserve">a por la Secretaría de Finanzas; </w:t>
      </w:r>
      <w:r w:rsidR="00995E05" w:rsidRPr="00995E05">
        <w:rPr>
          <w:rFonts w:ascii="Palatino Linotype" w:eastAsia="Palatino Linotype" w:hAnsi="Palatino Linotype" w:cs="Palatino Linotype"/>
        </w:rPr>
        <w:t>en atención a ello se dejan a salvo los derechos del Particular para que; en caso de considerarlo conveniente a sus intereses solicite a dicho Sujeto Obligado la nómina o recibos de pago correspondientes</w:t>
      </w:r>
    </w:p>
    <w:p w:rsidR="00995E05" w:rsidRDefault="007B7757">
      <w:pPr>
        <w:spacing w:before="240" w:after="240" w:line="360" w:lineRule="auto"/>
        <w:jc w:val="both"/>
        <w:rPr>
          <w:rFonts w:ascii="Palatino Linotype" w:eastAsia="Palatino Linotype" w:hAnsi="Palatino Linotype" w:cs="Palatino Linotype"/>
        </w:rPr>
      </w:pPr>
      <w:r w:rsidRPr="007B7757">
        <w:rPr>
          <w:rFonts w:ascii="Palatino Linotype" w:eastAsia="Palatino Linotype" w:hAnsi="Palatino Linotype" w:cs="Palatino Linotype"/>
        </w:rPr>
        <w:t>Aunado a lo anterior, es pertinente señalar que</w:t>
      </w:r>
      <w:r>
        <w:rPr>
          <w:rFonts w:ascii="Palatino Linotype" w:eastAsia="Palatino Linotype" w:hAnsi="Palatino Linotype" w:cs="Palatino Linotype"/>
        </w:rPr>
        <w:t xml:space="preserve"> el Sujeto Obligado manifestó su</w:t>
      </w:r>
      <w:r w:rsidRPr="007B7757">
        <w:rPr>
          <w:rFonts w:ascii="Palatino Linotype" w:eastAsia="Palatino Linotype" w:hAnsi="Palatino Linotype" w:cs="Palatino Linotype"/>
        </w:rPr>
        <w:t xml:space="preserve"> incompetencia parcial, correspondiente a que no cuenta con la competencia para generar los recibos de nómina; sin embargo, se advierte que el Sujeto Obligado sí puede tener en sus archivos un documento que dé cuenta de las remuneraciones que recibieron los servidores públicos adscritos a la Gubernatura, lo anterior es así, en virtud de que el Sujeto Obligado se encuentra constreñido a publicitar la información que resulta pública en el sitio de Información Pública de Oficio Mexiquense (IPOMEX), de conformidad con las tablas de aplicabilidad, que emite este Instituto de Transparencia, Acceso a la Información Pública y Protección de Datos Personales del Estado de México y Municipios</w:t>
      </w:r>
      <w:r>
        <w:rPr>
          <w:rFonts w:ascii="Palatino Linotype" w:eastAsia="Palatino Linotype" w:hAnsi="Palatino Linotype" w:cs="Palatino Linotype"/>
        </w:rPr>
        <w:t xml:space="preserve"> </w:t>
      </w:r>
      <w:r w:rsidRPr="007B7757">
        <w:rPr>
          <w:rFonts w:ascii="Palatino Linotype" w:eastAsia="Palatino Linotype" w:hAnsi="Palatino Linotype" w:cs="Palatino Linotype"/>
        </w:rPr>
        <w:t>y que en relación al Sujeto Obligado se muestran aplicables las siguientes:</w:t>
      </w:r>
    </w:p>
    <w:p w:rsidR="007B7757" w:rsidRDefault="007B775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2336" behindDoc="0" locked="0" layoutInCell="1" allowOverlap="1">
                <wp:simplePos x="0" y="0"/>
                <wp:positionH relativeFrom="column">
                  <wp:posOffset>-3810</wp:posOffset>
                </wp:positionH>
                <wp:positionV relativeFrom="paragraph">
                  <wp:posOffset>2203450</wp:posOffset>
                </wp:positionV>
                <wp:extent cx="4859020" cy="209550"/>
                <wp:effectExtent l="57150" t="38100" r="74930" b="95250"/>
                <wp:wrapNone/>
                <wp:docPr id="4" name="Rectángulo 4"/>
                <wp:cNvGraphicFramePr/>
                <a:graphic xmlns:a="http://schemas.openxmlformats.org/drawingml/2006/main">
                  <a:graphicData uri="http://schemas.microsoft.com/office/word/2010/wordprocessingShape">
                    <wps:wsp>
                      <wps:cNvSpPr/>
                      <wps:spPr>
                        <a:xfrm>
                          <a:off x="0" y="0"/>
                          <a:ext cx="4859020" cy="20955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9EF6A2" id="Rectángulo 4" o:spid="_x0000_s1026" style="position:absolute;margin-left:-.3pt;margin-top:173.5pt;width:382.6pt;height:1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" filled="f" strokecolor="#002060" strokeweight="2.25pt">
                <v:shadow on="t" color="black" opacity="22937f" origin=",.5" offset="0,.63889mm"/>
              </v:rect>
            </w:pict>
          </mc:Fallback>
        </mc:AlternateContent>
      </w:r>
      <w:r>
        <w:rPr>
          <w:rFonts w:ascii="Palatino Linotype" w:eastAsia="Palatino Linotype" w:hAnsi="Palatino Linotype" w:cs="Palatino Linotype"/>
          <w:noProof/>
          <w:lang w:val="es-MX"/>
        </w:rPr>
        <w:drawing>
          <wp:inline distT="0" distB="0" distL="0" distR="0" wp14:anchorId="481F09C3" wp14:editId="69C65055">
            <wp:extent cx="4859020" cy="32131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9020" cy="3213100"/>
                    </a:xfrm>
                    <a:prstGeom prst="rect">
                      <a:avLst/>
                    </a:prstGeom>
                    <a:noFill/>
                  </pic:spPr>
                </pic:pic>
              </a:graphicData>
            </a:graphic>
          </wp:inline>
        </w:drawing>
      </w:r>
    </w:p>
    <w:p w:rsidR="007B7757" w:rsidRPr="007B7757" w:rsidRDefault="007B7757" w:rsidP="007B7757">
      <w:pPr>
        <w:spacing w:before="240" w:after="240" w:line="360" w:lineRule="auto"/>
        <w:jc w:val="both"/>
        <w:rPr>
          <w:rFonts w:ascii="Palatino Linotype" w:hAnsi="Palatino Linotype" w:cs="Arial"/>
          <w:bCs/>
          <w:szCs w:val="28"/>
          <w:lang w:eastAsia="es-ES"/>
        </w:rPr>
      </w:pPr>
      <w:r w:rsidRPr="007B7757">
        <w:rPr>
          <w:rFonts w:ascii="Palatino Linotype" w:hAnsi="Palatino Linotype" w:cs="Arial"/>
          <w:bCs/>
          <w:szCs w:val="28"/>
          <w:lang w:eastAsia="es-ES"/>
        </w:rPr>
        <w:t>Como se puede observar de acuerdo con la Tabla de Aplicabilidad, el Sujeto Obligado es competente para publicar la información correspondiente al artículo 92 fracción VIII de la Ley de Transparencia y Acceso a la Información Pública del Estado de México y Municipios; misma que a la letra señala:</w:t>
      </w:r>
    </w:p>
    <w:p w:rsidR="007B7757" w:rsidRPr="007B7757" w:rsidRDefault="007B7757" w:rsidP="007B7757">
      <w:pPr>
        <w:spacing w:before="240" w:after="240"/>
        <w:ind w:left="567" w:right="567"/>
        <w:jc w:val="both"/>
        <w:rPr>
          <w:rFonts w:ascii="Palatino Linotype" w:hAnsi="Palatino Linotype" w:cs="Arial"/>
          <w:bCs/>
          <w:i/>
          <w:sz w:val="22"/>
          <w:szCs w:val="28"/>
          <w:lang w:eastAsia="es-ES"/>
        </w:rPr>
      </w:pPr>
      <w:r w:rsidRPr="007B7757">
        <w:rPr>
          <w:rFonts w:ascii="Palatino Linotype" w:hAnsi="Palatino Linotype" w:cs="Arial"/>
          <w:bCs/>
          <w:i/>
          <w:sz w:val="22"/>
          <w:szCs w:val="28"/>
          <w:lang w:eastAsia="es-ES"/>
        </w:rPr>
        <w:t xml:space="preserve">“Capítulo II </w:t>
      </w:r>
    </w:p>
    <w:p w:rsidR="007B7757" w:rsidRPr="007B7757" w:rsidRDefault="007B7757" w:rsidP="007B7757">
      <w:pPr>
        <w:spacing w:before="240" w:after="240"/>
        <w:ind w:left="567" w:right="567"/>
        <w:jc w:val="both"/>
        <w:rPr>
          <w:rFonts w:ascii="Palatino Linotype" w:hAnsi="Palatino Linotype" w:cs="Arial"/>
          <w:bCs/>
          <w:i/>
          <w:sz w:val="22"/>
          <w:szCs w:val="28"/>
          <w:lang w:eastAsia="es-ES"/>
        </w:rPr>
      </w:pPr>
      <w:r w:rsidRPr="007B7757">
        <w:rPr>
          <w:rFonts w:ascii="Palatino Linotype" w:hAnsi="Palatino Linotype" w:cs="Arial"/>
          <w:bCs/>
          <w:i/>
          <w:sz w:val="22"/>
          <w:szCs w:val="28"/>
          <w:lang w:eastAsia="es-ES"/>
        </w:rPr>
        <w:t xml:space="preserve">De las Obligaciones de Transparencia Comunes </w:t>
      </w:r>
    </w:p>
    <w:p w:rsidR="007B7757" w:rsidRPr="007B7757" w:rsidRDefault="007B7757" w:rsidP="007B7757">
      <w:pPr>
        <w:spacing w:before="240" w:after="240"/>
        <w:ind w:left="567" w:right="567"/>
        <w:jc w:val="both"/>
        <w:rPr>
          <w:rFonts w:ascii="Palatino Linotype" w:hAnsi="Palatino Linotype" w:cs="Arial"/>
          <w:bCs/>
          <w:i/>
          <w:sz w:val="22"/>
          <w:szCs w:val="28"/>
          <w:lang w:eastAsia="es-ES"/>
        </w:rPr>
      </w:pPr>
      <w:r w:rsidRPr="007B7757">
        <w:rPr>
          <w:rFonts w:ascii="Palatino Linotype" w:hAnsi="Palatino Linotype" w:cs="Arial"/>
          <w:bCs/>
          <w:i/>
          <w:sz w:val="22"/>
          <w:szCs w:val="28"/>
          <w:lang w:eastAsia="es-ES"/>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7B7757" w:rsidRPr="007B7757" w:rsidRDefault="007B7757" w:rsidP="007B7757">
      <w:pPr>
        <w:spacing w:before="240" w:after="240"/>
        <w:ind w:left="567" w:right="567"/>
        <w:jc w:val="both"/>
        <w:rPr>
          <w:rFonts w:ascii="Palatino Linotype" w:hAnsi="Palatino Linotype" w:cs="Arial"/>
          <w:bCs/>
          <w:i/>
          <w:sz w:val="22"/>
          <w:szCs w:val="28"/>
          <w:lang w:eastAsia="es-ES"/>
        </w:rPr>
      </w:pPr>
      <w:r w:rsidRPr="007B7757">
        <w:rPr>
          <w:rFonts w:ascii="Palatino Linotype" w:hAnsi="Palatino Linotype" w:cs="Arial"/>
          <w:bCs/>
          <w:i/>
          <w:sz w:val="22"/>
          <w:szCs w:val="28"/>
          <w:lang w:eastAsia="es-ES"/>
        </w:rPr>
        <w:t xml:space="preserve">I al VII </w:t>
      </w:r>
    </w:p>
    <w:p w:rsidR="007B7757" w:rsidRPr="007B7757" w:rsidRDefault="007B7757" w:rsidP="007B7757">
      <w:pPr>
        <w:spacing w:before="240" w:after="240"/>
        <w:ind w:left="567" w:right="567"/>
        <w:jc w:val="both"/>
        <w:rPr>
          <w:rFonts w:ascii="Palatino Linotype" w:hAnsi="Palatino Linotype" w:cs="Arial"/>
          <w:bCs/>
          <w:i/>
          <w:sz w:val="22"/>
          <w:szCs w:val="28"/>
          <w:lang w:eastAsia="es-ES"/>
        </w:rPr>
      </w:pPr>
      <w:r w:rsidRPr="007B7757">
        <w:rPr>
          <w:rFonts w:ascii="Palatino Linotype" w:hAnsi="Palatino Linotype" w:cs="Arial"/>
          <w:bCs/>
          <w:i/>
          <w:sz w:val="22"/>
          <w:szCs w:val="28"/>
          <w:lang w:eastAsia="es-ES"/>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7B7757" w:rsidRPr="007B7757" w:rsidRDefault="007B7757" w:rsidP="007B7757">
      <w:pPr>
        <w:spacing w:before="240" w:after="240" w:line="360" w:lineRule="auto"/>
        <w:jc w:val="both"/>
        <w:rPr>
          <w:rFonts w:ascii="Palatino Linotype" w:hAnsi="Palatino Linotype" w:cs="Arial"/>
          <w:bCs/>
          <w:szCs w:val="28"/>
          <w:lang w:eastAsia="es-ES"/>
        </w:rPr>
      </w:pPr>
      <w:r w:rsidRPr="007B7757">
        <w:rPr>
          <w:rFonts w:ascii="Palatino Linotype" w:hAnsi="Palatino Linotype" w:cs="Arial"/>
          <w:bCs/>
          <w:szCs w:val="28"/>
          <w:lang w:eastAsia="es-ES"/>
        </w:rPr>
        <w:t xml:space="preserve">En consecuencia, se procedió a observar el contenido del sitio de Información Pública de Oficio Mexiquense (IPOMEX); correspondiente al Sujeto Obligado en seguida se visitó el apartado correspondiente a la fracción antes citada, de las remuneraciones de los servidores públicos, y consecuentemente fueron localizados los siguientes registros: </w:t>
      </w:r>
    </w:p>
    <w:p w:rsidR="007B7757" w:rsidRDefault="007B7757" w:rsidP="007B7757">
      <w:pPr>
        <w:spacing w:before="240" w:after="240" w:line="360" w:lineRule="auto"/>
        <w:jc w:val="both"/>
        <w:rPr>
          <w:rFonts w:ascii="Palatino Linotype" w:hAnsi="Palatino Linotype" w:cs="Arial"/>
          <w:bCs/>
          <w:szCs w:val="28"/>
          <w:lang w:eastAsia="es-ES"/>
        </w:rPr>
      </w:pPr>
      <w:r w:rsidRPr="007B7757">
        <w:rPr>
          <w:rFonts w:ascii="Palatino Linotype" w:hAnsi="Palatino Linotype" w:cs="Arial"/>
          <w:bCs/>
          <w:noProof/>
          <w:szCs w:val="28"/>
          <w:lang w:val="es-MX"/>
        </w:rPr>
        <w:drawing>
          <wp:inline distT="0" distB="0" distL="0" distR="0" wp14:anchorId="5B57520B" wp14:editId="3FF356B9">
            <wp:extent cx="3590925" cy="42957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0925" cy="4295775"/>
                    </a:xfrm>
                    <a:prstGeom prst="rect">
                      <a:avLst/>
                    </a:prstGeom>
                    <a:noFill/>
                    <a:ln>
                      <a:noFill/>
                    </a:ln>
                  </pic:spPr>
                </pic:pic>
              </a:graphicData>
            </a:graphic>
          </wp:inline>
        </w:drawing>
      </w:r>
    </w:p>
    <w:p w:rsidR="007B7757" w:rsidRPr="007B7757" w:rsidRDefault="007B7757" w:rsidP="007B7757">
      <w:pPr>
        <w:spacing w:before="240" w:after="240" w:line="360" w:lineRule="auto"/>
        <w:jc w:val="both"/>
        <w:rPr>
          <w:rFonts w:ascii="Palatino Linotype" w:hAnsi="Palatino Linotype" w:cs="Arial"/>
          <w:bCs/>
          <w:szCs w:val="28"/>
          <w:lang w:eastAsia="es-ES"/>
        </w:rPr>
      </w:pPr>
    </w:p>
    <w:p w:rsidR="007B7757" w:rsidRDefault="007B7757" w:rsidP="007B7757">
      <w:pPr>
        <w:spacing w:before="240" w:after="240" w:line="360" w:lineRule="auto"/>
        <w:jc w:val="both"/>
        <w:rPr>
          <w:rFonts w:ascii="Palatino Linotype" w:hAnsi="Palatino Linotype" w:cs="Arial"/>
          <w:bCs/>
          <w:szCs w:val="28"/>
          <w:lang w:eastAsia="es-ES"/>
        </w:rPr>
      </w:pPr>
    </w:p>
    <w:p w:rsidR="007B7757" w:rsidRDefault="007B7757" w:rsidP="007B7757">
      <w:pPr>
        <w:spacing w:before="240" w:after="240" w:line="360" w:lineRule="auto"/>
        <w:jc w:val="both"/>
        <w:rPr>
          <w:rFonts w:ascii="Palatino Linotype" w:hAnsi="Palatino Linotype" w:cs="Arial"/>
          <w:bCs/>
          <w:szCs w:val="28"/>
          <w:lang w:eastAsia="es-ES"/>
        </w:rPr>
      </w:pPr>
      <w:r>
        <w:rPr>
          <w:rFonts w:ascii="Palatino Linotype" w:hAnsi="Palatino Linotype" w:cs="Arial"/>
          <w:bCs/>
          <w:noProof/>
          <w:szCs w:val="28"/>
          <w:lang w:val="es-MX"/>
        </w:rPr>
        <w:drawing>
          <wp:inline distT="0" distB="0" distL="0" distR="0">
            <wp:extent cx="5353050" cy="41052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3050" cy="4105275"/>
                    </a:xfrm>
                    <a:prstGeom prst="rect">
                      <a:avLst/>
                    </a:prstGeom>
                    <a:noFill/>
                    <a:ln>
                      <a:noFill/>
                    </a:ln>
                  </pic:spPr>
                </pic:pic>
              </a:graphicData>
            </a:graphic>
          </wp:inline>
        </w:drawing>
      </w:r>
    </w:p>
    <w:p w:rsidR="007B7757" w:rsidRDefault="007B7757" w:rsidP="007B7757">
      <w:pPr>
        <w:spacing w:before="240" w:after="240" w:line="360" w:lineRule="auto"/>
        <w:jc w:val="both"/>
        <w:rPr>
          <w:rFonts w:ascii="Palatino Linotype" w:eastAsia="Palatino Linotype" w:hAnsi="Palatino Linotype" w:cs="Palatino Linotype"/>
        </w:rPr>
      </w:pPr>
      <w:r w:rsidRPr="007B7757">
        <w:rPr>
          <w:rFonts w:ascii="Palatino Linotype" w:hAnsi="Palatino Linotype" w:cs="Arial"/>
          <w:bCs/>
          <w:szCs w:val="28"/>
          <w:lang w:eastAsia="es-ES"/>
        </w:rPr>
        <w:t>En atención a lo antes expuesto, se advierte que el Sujeto Obligado a través del Titular de la Unidad de Transparencia aporta la información al sitio de Información Pública de Oficio Mexiquense (IPOMEX) y si bien, el pago generado con motivo de las remuneraciones a los servidores públicos lo genera la Secretaría de Finanzas, también es cierto que dicha Secretaría debe informa</w:t>
      </w:r>
      <w:r>
        <w:rPr>
          <w:rFonts w:ascii="Palatino Linotype" w:hAnsi="Palatino Linotype" w:cs="Arial"/>
          <w:bCs/>
          <w:szCs w:val="28"/>
          <w:lang w:eastAsia="es-ES"/>
        </w:rPr>
        <w:t>r</w:t>
      </w:r>
      <w:r w:rsidRPr="007B7757">
        <w:rPr>
          <w:rFonts w:ascii="Palatino Linotype" w:hAnsi="Palatino Linotype" w:cs="Arial"/>
          <w:bCs/>
          <w:szCs w:val="28"/>
          <w:lang w:eastAsia="es-ES"/>
        </w:rPr>
        <w:t xml:space="preserve"> al personal de la Gubernatura sobre las remuneraciones a fin de que se ingrese dicha información en el sitio de Información Pública de Oficio Mexiquense (IPOMEX); por lo que dicha información es la única que obra en sus archivos y por tanto, fue oportuno analizar si lo publicado en el sitio en mención da cuenta de lo solicitado, ya que se trata de la información que obra en los archivos del Sujeto Obligado.</w:t>
      </w:r>
    </w:p>
    <w:p w:rsidR="007B7757" w:rsidRDefault="007B7757">
      <w:pPr>
        <w:spacing w:before="240" w:after="240" w:line="360" w:lineRule="auto"/>
        <w:jc w:val="both"/>
        <w:rPr>
          <w:rFonts w:ascii="Palatino Linotype" w:eastAsia="Palatino Linotype" w:hAnsi="Palatino Linotype" w:cs="Palatino Linotype"/>
        </w:rPr>
      </w:pPr>
      <w:r w:rsidRPr="007B7757">
        <w:rPr>
          <w:rFonts w:ascii="Palatino Linotype" w:eastAsia="Palatino Linotype" w:hAnsi="Palatino Linotype" w:cs="Palatino Linotype"/>
        </w:rPr>
        <w:t xml:space="preserve">En atención a lo antes expuesto, se tiene que mediante </w:t>
      </w:r>
      <w:r w:rsidR="00736CD9">
        <w:rPr>
          <w:rFonts w:ascii="Palatino Linotype" w:eastAsia="Palatino Linotype" w:hAnsi="Palatino Linotype" w:cs="Palatino Linotype"/>
        </w:rPr>
        <w:t xml:space="preserve">respuesta e </w:t>
      </w:r>
      <w:r w:rsidRPr="007B7757">
        <w:rPr>
          <w:rFonts w:ascii="Palatino Linotype" w:eastAsia="Palatino Linotype" w:hAnsi="Palatino Linotype" w:cs="Palatino Linotype"/>
        </w:rPr>
        <w:t xml:space="preserve"> Informe Justificado, el Sujeto Obligado dio cuenta de </w:t>
      </w:r>
      <w:r w:rsidR="00736CD9">
        <w:rPr>
          <w:rFonts w:ascii="Palatino Linotype" w:eastAsia="Palatino Linotype" w:hAnsi="Palatino Linotype" w:cs="Palatino Linotype"/>
        </w:rPr>
        <w:t>la incompetencia</w:t>
      </w:r>
      <w:r w:rsidRPr="007B7757">
        <w:rPr>
          <w:rFonts w:ascii="Palatino Linotype" w:eastAsia="Palatino Linotype" w:hAnsi="Palatino Linotype" w:cs="Palatino Linotype"/>
        </w:rPr>
        <w:t xml:space="preserve"> para conocer de la información; pues si bien no conoce del documento que dé cuenta de los recibos con motivo del pago salarial, ya que no cuenta con ninguna área que genere la información; pues es una facultad concedida a otro Sujeto Obligado; este informe permitió advertir que el Sujeto Obligado únicamente tiene conocimiento de los montos que refleja el sitio de Información Pública de Oficio Mexiquense (IPOMEX), el cual permite observar las remuneraciones de los servidores públicos que actualmente se desempeñan en el Sujeto Ob</w:t>
      </w:r>
      <w:r w:rsidR="00736CD9">
        <w:rPr>
          <w:rFonts w:ascii="Palatino Linotype" w:eastAsia="Palatino Linotype" w:hAnsi="Palatino Linotype" w:cs="Palatino Linotype"/>
        </w:rPr>
        <w:t>ligado; en consecuencia, ampli</w:t>
      </w:r>
      <w:r w:rsidRPr="007B7757">
        <w:rPr>
          <w:rFonts w:ascii="Palatino Linotype" w:eastAsia="Palatino Linotype" w:hAnsi="Palatino Linotype" w:cs="Palatino Linotype"/>
        </w:rPr>
        <w:t xml:space="preserve">ó su respuesta inicial y proporcionó la información necesaria para </w:t>
      </w:r>
      <w:r w:rsidR="00736CD9">
        <w:rPr>
          <w:rFonts w:ascii="Palatino Linotype" w:eastAsia="Palatino Linotype" w:hAnsi="Palatino Linotype" w:cs="Palatino Linotype"/>
        </w:rPr>
        <w:t xml:space="preserve">confirmar la respuesta vertida en </w:t>
      </w:r>
      <w:r w:rsidRPr="007B7757">
        <w:rPr>
          <w:rFonts w:ascii="Palatino Linotype" w:eastAsia="Palatino Linotype" w:hAnsi="Palatino Linotype" w:cs="Palatino Linotype"/>
        </w:rPr>
        <w:t xml:space="preserve">el presente Recurso de Revisión. </w:t>
      </w:r>
    </w:p>
    <w:p w:rsidR="00913A86" w:rsidRDefault="002F08A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2.- De los recibos de nómina de la Oficina de la Jefatura de Gobierno de la CDMX</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Sobre este punto, se orientó al particular en el archivo electrónico</w:t>
      </w:r>
      <w:r>
        <w:rPr>
          <w:rFonts w:ascii="Palatino Linotype" w:eastAsia="Palatino Linotype" w:hAnsi="Palatino Linotype" w:cs="Palatino Linotype"/>
          <w:b/>
        </w:rPr>
        <w:t xml:space="preserve"> “</w:t>
      </w:r>
      <w:r>
        <w:rPr>
          <w:rFonts w:ascii="Palatino Linotype" w:eastAsia="Palatino Linotype" w:hAnsi="Palatino Linotype" w:cs="Palatino Linotype"/>
          <w:b/>
          <w:i/>
        </w:rPr>
        <w:t>0261 respuesta.pdf</w:t>
      </w:r>
      <w:r>
        <w:rPr>
          <w:rFonts w:ascii="Palatino Linotype" w:eastAsia="Palatino Linotype" w:hAnsi="Palatino Linotype" w:cs="Palatino Linotype"/>
          <w:b/>
        </w:rPr>
        <w:t xml:space="preserve">” </w:t>
      </w:r>
      <w:r>
        <w:rPr>
          <w:rFonts w:ascii="Palatino Linotype" w:eastAsia="Palatino Linotype" w:hAnsi="Palatino Linotype" w:cs="Palatino Linotype"/>
        </w:rPr>
        <w:t>para que dirija su solicitud a la Jefatura de la Ciudad de México</w:t>
      </w:r>
      <w:r>
        <w:rPr>
          <w:rFonts w:ascii="Palatino Linotype" w:eastAsia="Palatino Linotype" w:hAnsi="Palatino Linotype" w:cs="Palatino Linotype"/>
          <w:b/>
        </w:rPr>
        <w:t xml:space="preserve">, </w:t>
      </w:r>
      <w:r>
        <w:rPr>
          <w:rFonts w:ascii="Palatino Linotype" w:eastAsia="Palatino Linotype" w:hAnsi="Palatino Linotype" w:cs="Palatino Linotype"/>
        </w:rPr>
        <w:t>en este sentido, debe precisarse que este Órgano Garante realizó una consulta en el padrón de Sujetos Obligados, el cual es un documento público actualizado en forma permanente y divulgado a través de la Gaceta Oficial de la Ciudad de México,</w:t>
      </w:r>
      <w:r w:rsidR="00296B89">
        <w:rPr>
          <w:rFonts w:ascii="Palatino Linotype" w:eastAsia="Palatino Linotype" w:hAnsi="Palatino Linotype" w:cs="Palatino Linotype"/>
        </w:rPr>
        <w:t xml:space="preserve"> del </w:t>
      </w:r>
      <w:r w:rsidR="00736CD9">
        <w:rPr>
          <w:noProof/>
          <w:lang w:val="es-MX"/>
        </w:rPr>
        <mc:AlternateContent>
          <mc:Choice Requires="wps">
            <w:drawing>
              <wp:anchor distT="0" distB="0" distL="114300" distR="114300" simplePos="0" relativeHeight="251661312" behindDoc="0" locked="0" layoutInCell="1" hidden="0" allowOverlap="1" wp14:anchorId="45EF9A8D" wp14:editId="1408DEE7">
                <wp:simplePos x="0" y="0"/>
                <wp:positionH relativeFrom="column">
                  <wp:posOffset>-358140</wp:posOffset>
                </wp:positionH>
                <wp:positionV relativeFrom="paragraph">
                  <wp:posOffset>1514475</wp:posOffset>
                </wp:positionV>
                <wp:extent cx="6539230" cy="561975"/>
                <wp:effectExtent l="0" t="0" r="0" b="0"/>
                <wp:wrapNone/>
                <wp:docPr id="49" name=""/>
                <wp:cNvGraphicFramePr/>
                <a:graphic xmlns:a="http://schemas.openxmlformats.org/drawingml/2006/main">
                  <a:graphicData uri="http://schemas.microsoft.com/office/word/2010/wordprocessingShape">
                    <wps:wsp>
                      <wps:cNvSpPr/>
                      <wps:spPr>
                        <a:xfrm>
                          <a:off x="0" y="0"/>
                          <a:ext cx="6539230" cy="561975"/>
                        </a:xfrm>
                        <a:prstGeom prst="rect">
                          <a:avLst/>
                        </a:prstGeom>
                        <a:noFill/>
                        <a:ln w="38100" cap="flat" cmpd="sng">
                          <a:solidFill>
                            <a:srgbClr val="002060"/>
                          </a:solidFill>
                          <a:prstDash val="solid"/>
                          <a:round/>
                          <a:headEnd type="none" w="sm" len="sm"/>
                          <a:tailEnd type="none" w="sm" len="sm"/>
                        </a:ln>
                      </wps:spPr>
                      <wps:txbx>
                        <w:txbxContent>
                          <w:p w:rsidR="00913A86" w:rsidRDefault="00913A86">
                            <w:pPr>
                              <w:textDirection w:val="btLr"/>
                            </w:pPr>
                          </w:p>
                        </w:txbxContent>
                      </wps:txbx>
                      <wps:bodyPr spcFirstLastPara="1" wrap="square" lIns="91425" tIns="91425" rIns="91425" bIns="91425" anchor="ctr" anchorCtr="0">
                        <a:noAutofit/>
                      </wps:bodyPr>
                    </wps:wsp>
                  </a:graphicData>
                </a:graphic>
              </wp:anchor>
            </w:drawing>
          </mc:Choice>
          <mc:Fallback>
            <w:pict>
              <v:rect w14:anchorId="45EF9A8D" id="_x0000_s1026" style="position:absolute;left:0;text-align:left;margin-left:-28.2pt;margin-top:119.25pt;width:514.9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" filled="f" strokecolor="#002060" strokeweight="3pt">
                <v:stroke startarrowwidth="narrow" startarrowlength="short" endarrowwidth="narrow" endarrowlength="short" joinstyle="round"/>
                <v:textbox inset="2.53958mm,2.53958mm,2.53958mm,2.53958mm">
                  <w:txbxContent>
                    <w:p w:rsidR="00913A86" w:rsidRDefault="00913A86">
                      <w:pPr>
                        <w:textDirection w:val="btLr"/>
                      </w:pPr>
                    </w:p>
                  </w:txbxContent>
                </v:textbox>
              </v:rect>
            </w:pict>
          </mc:Fallback>
        </mc:AlternateContent>
      </w:r>
      <w:r w:rsidR="00736CD9">
        <w:rPr>
          <w:noProof/>
          <w:lang w:val="es-MX"/>
        </w:rPr>
        <w:drawing>
          <wp:anchor distT="0" distB="0" distL="114300" distR="114300" simplePos="0" relativeHeight="251660288" behindDoc="0" locked="0" layoutInCell="1" hidden="0" allowOverlap="1" wp14:anchorId="01D17584" wp14:editId="5B95F2D6">
            <wp:simplePos x="0" y="0"/>
            <wp:positionH relativeFrom="column">
              <wp:posOffset>-317500</wp:posOffset>
            </wp:positionH>
            <wp:positionV relativeFrom="paragraph">
              <wp:posOffset>874395</wp:posOffset>
            </wp:positionV>
            <wp:extent cx="6501130" cy="2019300"/>
            <wp:effectExtent l="0" t="0" r="0" b="0"/>
            <wp:wrapTopAndBottom distT="0" dist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6501130" cy="2019300"/>
                    </a:xfrm>
                    <a:prstGeom prst="rect">
                      <a:avLst/>
                    </a:prstGeom>
                    <a:ln/>
                  </pic:spPr>
                </pic:pic>
              </a:graphicData>
            </a:graphic>
          </wp:anchor>
        </w:drawing>
      </w:r>
      <w:r w:rsidR="00296B89">
        <w:rPr>
          <w:rFonts w:ascii="Palatino Linotype" w:eastAsia="Palatino Linotype" w:hAnsi="Palatino Linotype" w:cs="Palatino Linotype"/>
        </w:rPr>
        <w:t>cual se obteniene</w:t>
      </w:r>
      <w:r>
        <w:rPr>
          <w:rFonts w:ascii="Palatino Linotype" w:eastAsia="Palatino Linotype" w:hAnsi="Palatino Linotype" w:cs="Palatino Linotype"/>
        </w:rPr>
        <w:t xml:space="preserve"> así lo siguiente: </w:t>
      </w:r>
    </w:p>
    <w:p w:rsidR="00913A86" w:rsidRDefault="00913A86">
      <w:pPr>
        <w:spacing w:before="240" w:after="240" w:line="360" w:lineRule="auto"/>
        <w:jc w:val="both"/>
        <w:rPr>
          <w:rFonts w:ascii="Palatino Linotype" w:eastAsia="Palatino Linotype" w:hAnsi="Palatino Linotype" w:cs="Palatino Linotype"/>
        </w:rPr>
      </w:pPr>
    </w:p>
    <w:p w:rsidR="00913A86" w:rsidRDefault="002F08A5">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Conforme a lo anterior, se advierte que el Sujeto Obligado no tiene atribuciones para contar con la información peticionada, toda vez que es información del Poder Ejecutivo de una entidad federativa diversa a la de este Órgano Garante. </w:t>
      </w:r>
    </w:p>
    <w:p w:rsidR="00913A86" w:rsidRDefault="002F08A5">
      <w:pPr>
        <w:tabs>
          <w:tab w:val="left" w:pos="109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color w:val="000000"/>
        </w:rPr>
        <w:t xml:space="preserve">Por lo anterior, se logra observar que </w:t>
      </w:r>
      <w:r>
        <w:rPr>
          <w:rFonts w:ascii="Palatino Linotype" w:eastAsia="Palatino Linotype" w:hAnsi="Palatino Linotype" w:cs="Palatino Linotype"/>
        </w:rPr>
        <w:t>la Gubernatura</w:t>
      </w:r>
      <w:r>
        <w:rPr>
          <w:rFonts w:ascii="Palatino Linotype" w:eastAsia="Palatino Linotype" w:hAnsi="Palatino Linotype" w:cs="Palatino Linotype"/>
          <w:color w:val="0D0D0D"/>
        </w:rPr>
        <w:t>,</w:t>
      </w:r>
      <w:r>
        <w:rPr>
          <w:rFonts w:ascii="Palatino Linotype" w:eastAsia="Palatino Linotype" w:hAnsi="Palatino Linotype" w:cs="Palatino Linotype"/>
          <w:color w:val="000000"/>
        </w:rPr>
        <w:t xml:space="preserve"> es notoriamente incompetente para conocer de la información administrativa de la Jefatura de Gobierno de la Ciudad de México, por lo que, el agravio hecho valer resulta infundado, pues el Sujeto Obligado dio la respuesta, dentro del plazo establecido en el artículo 167 de la Ley de la materia.</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tal como se mencionó en los antecedentes, en fecha veinticinco de noviembre del dos mil veintiuno,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 la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la incompetencia para atender la solicitud de información, es de precisar que esta situación aconteció al </w:t>
      </w:r>
      <w:r>
        <w:rPr>
          <w:rFonts w:ascii="Palatino Linotype" w:eastAsia="Palatino Linotype" w:hAnsi="Palatino Linotype" w:cs="Palatino Linotype"/>
          <w:b/>
        </w:rPr>
        <w:t>tercer día hábil</w:t>
      </w:r>
      <w:r>
        <w:rPr>
          <w:rFonts w:ascii="Palatino Linotype" w:eastAsia="Palatino Linotype" w:hAnsi="Palatino Linotype" w:cs="Palatino Linotype"/>
        </w:rPr>
        <w:t>, lo cual obedece a lo establecido en el artículo 167 de la Ley de Transparencia y Acceso a la Información Pública del Estado de México y Municipios, el cual refiere que cuando las unidades de transparencia determinen la notoria incompetencia deben realizar lo siguiente:</w:t>
      </w:r>
    </w:p>
    <w:p w:rsidR="00913A86" w:rsidRDefault="00913A86">
      <w:pPr>
        <w:spacing w:line="360" w:lineRule="auto"/>
        <w:jc w:val="both"/>
        <w:rPr>
          <w:rFonts w:ascii="Palatino Linotype" w:eastAsia="Palatino Linotype" w:hAnsi="Palatino Linotype" w:cs="Palatino Linotype"/>
          <w:sz w:val="22"/>
          <w:szCs w:val="22"/>
        </w:rPr>
      </w:pPr>
    </w:p>
    <w:p w:rsidR="00913A86" w:rsidRDefault="002F08A5">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Hacerlo del conocimiento del Particular, dentro de los tres días hábiles, posteriores a la presentación de la solicitud de información, y</w:t>
      </w:r>
    </w:p>
    <w:p w:rsidR="00913A86" w:rsidRDefault="00913A86">
      <w:pPr>
        <w:spacing w:line="360" w:lineRule="auto"/>
        <w:ind w:left="720"/>
        <w:jc w:val="both"/>
        <w:rPr>
          <w:rFonts w:ascii="Palatino Linotype" w:eastAsia="Palatino Linotype" w:hAnsi="Palatino Linotype" w:cs="Palatino Linotype"/>
        </w:rPr>
      </w:pPr>
    </w:p>
    <w:p w:rsidR="00913A86" w:rsidRDefault="002F08A5">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caso de conocer el Sujeto Obligado competente, orientarlo a presentar la solicitud ante el mismo.</w:t>
      </w:r>
    </w:p>
    <w:p w:rsidR="00913A86" w:rsidRDefault="00913A86">
      <w:pPr>
        <w:spacing w:line="360" w:lineRule="auto"/>
        <w:jc w:val="both"/>
        <w:rPr>
          <w:rFonts w:ascii="Palatino Linotype" w:eastAsia="Palatino Linotype" w:hAnsi="Palatino Linotype" w:cs="Palatino Linotype"/>
          <w:sz w:val="22"/>
          <w:szCs w:val="22"/>
        </w:rPr>
      </w:pPr>
    </w:p>
    <w:p w:rsidR="00913A86" w:rsidRDefault="002F08A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presente caso, de la revisión de las constancias de los expedientes electrónico, localizados en el Sistema de Acceso a la Información Mexiquense (SAIMEX), se advierte que la Gubernatura, cumplió con los dos parámetros previamente establecidos, pues dio contestación dentro de los tres días hábiles posteriores a la presentación del requerimiento; aunado al hecho que orientó en las solicitudes ante los Sujetos Obligados competentes tanto en respuesta como en informe justificado, sin pasar de vista que este último punto es una facultad potestativa del Sujeto Obligado, por lo que, se tienen por atendidos los requerimientos de información.</w:t>
      </w:r>
    </w:p>
    <w:p w:rsidR="00913A86" w:rsidRDefault="002F08A5">
      <w:pPr>
        <w:widowControl w:val="0"/>
        <w:tabs>
          <w:tab w:val="left" w:pos="1701"/>
          <w:tab w:val="left" w:pos="184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expuesto, con fundamento en el artículo 186, fracciones II y III, de la Ley de Transparencia y Acceso a la Información Pública del Estado de México y Municipios; esta Autoridad estima que las razones o motivos de inconformidad hechos valer por el recurrente devienen infundados; por lo que, lo procedente es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la respuesta del Sujeto Obligado.</w:t>
      </w:r>
    </w:p>
    <w:p w:rsidR="00913A86" w:rsidRDefault="00913A86">
      <w:pPr>
        <w:spacing w:line="360" w:lineRule="auto"/>
        <w:jc w:val="both"/>
        <w:rPr>
          <w:rFonts w:ascii="Palatino Linotype" w:eastAsia="Palatino Linotype" w:hAnsi="Palatino Linotype" w:cs="Palatino Linotype"/>
        </w:rPr>
      </w:pPr>
    </w:p>
    <w:p w:rsidR="00913A86" w:rsidRDefault="002F08A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r>
        <w:rPr>
          <w:rFonts w:ascii="Palatino Linotype" w:eastAsia="Palatino Linotype" w:hAnsi="Palatino Linotype" w:cs="Palatino Linotype"/>
          <w:highlight w:val="white"/>
        </w:rPr>
        <w:t xml:space="preserve">párrafos trigésimo, trigésimo primero y trigésimo segundo, fracciones IV y V </w:t>
      </w:r>
      <w:r>
        <w:rPr>
          <w:rFonts w:ascii="Palatino Linotype" w:eastAsia="Palatino Linotype" w:hAnsi="Palatino Linotype" w:cs="Palatino Linotype"/>
        </w:rPr>
        <w:t>de la Constitución Política del Estado Libre y Soberano de México; 2, fracción II; 29, 36 fracciones I y II; 176, 178, 181, 185 de la Ley de Transparencia y Acceso a la Información Pública del Estado de México y Municipios, este Pleno:</w:t>
      </w:r>
    </w:p>
    <w:p w:rsidR="00913A86" w:rsidRDefault="002F08A5">
      <w:pPr>
        <w:numPr>
          <w:ilvl w:val="0"/>
          <w:numId w:val="3"/>
        </w:numPr>
        <w:spacing w:before="280" w:after="28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913A86" w:rsidRDefault="002F08A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infundados </w:t>
      </w:r>
      <w:r>
        <w:rPr>
          <w:rFonts w:ascii="Palatino Linotype" w:eastAsia="Palatino Linotype" w:hAnsi="Palatino Linotype" w:cs="Palatino Linotype"/>
        </w:rPr>
        <w:t xml:space="preserve">los motivos de inconformidad aducidos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el Recurso de revisión</w:t>
      </w:r>
      <w:r>
        <w:rPr>
          <w:rFonts w:ascii="Palatino Linotype" w:eastAsia="Palatino Linotype" w:hAnsi="Palatino Linotype" w:cs="Palatino Linotype"/>
          <w:b/>
        </w:rPr>
        <w:t xml:space="preserve"> 05934/INFOEM/IP/RR/2021, </w:t>
      </w:r>
      <w:r>
        <w:rPr>
          <w:rFonts w:ascii="Palatino Linotype" w:eastAsia="Palatino Linotype" w:hAnsi="Palatino Linotype" w:cs="Palatino Linotype"/>
        </w:rPr>
        <w:t xml:space="preserve">por lo que, en términos de los argumentos señalados en el </w:t>
      </w:r>
      <w:r>
        <w:rPr>
          <w:rFonts w:ascii="Palatino Linotype" w:eastAsia="Palatino Linotype" w:hAnsi="Palatino Linotype" w:cs="Palatino Linotype"/>
          <w:b/>
        </w:rPr>
        <w:t xml:space="preserve">Considerando Cuarto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CONFIRMA </w:t>
      </w:r>
      <w:r>
        <w:rPr>
          <w:rFonts w:ascii="Palatino Linotype" w:eastAsia="Palatino Linotype" w:hAnsi="Palatino Linotype" w:cs="Palatino Linotype"/>
        </w:rPr>
        <w:t>la respuesta emitida por el</w:t>
      </w:r>
      <w:r>
        <w:rPr>
          <w:rFonts w:ascii="Palatino Linotype" w:eastAsia="Palatino Linotype" w:hAnsi="Palatino Linotype" w:cs="Palatino Linotype"/>
          <w:b/>
        </w:rPr>
        <w:t xml:space="preserve"> Sujeto Obligado.</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Segundo</w:t>
      </w:r>
      <w:r>
        <w:rPr>
          <w:rFonts w:ascii="Palatino Linotype" w:eastAsia="Palatino Linotype" w:hAnsi="Palatino Linotype" w:cs="Palatino Linotype"/>
          <w:b/>
          <w:sz w:val="28"/>
          <w:szCs w:val="28"/>
          <w:highlight w:val="white"/>
        </w:rPr>
        <w:t>.</w:t>
      </w:r>
      <w:r>
        <w:rPr>
          <w:rFonts w:ascii="Palatino Linotype" w:eastAsia="Palatino Linotype" w:hAnsi="Palatino Linotype" w:cs="Palatino Linotype"/>
          <w:b/>
          <w:sz w:val="19"/>
          <w:szCs w:val="19"/>
          <w:highlight w:val="white"/>
        </w:rPr>
        <w:t xml:space="preserve"> </w:t>
      </w:r>
      <w:r>
        <w:rPr>
          <w:rFonts w:ascii="Palatino Linotype" w:eastAsia="Palatino Linotype" w:hAnsi="Palatino Linotype" w:cs="Palatino Linotype"/>
          <w:b/>
        </w:rPr>
        <w:t>Notifíquese al Titular de la Unidad de Transparencia, vía Sistema de Acceso a la Información Mexiquense (SAIMEX),</w:t>
      </w:r>
      <w:r>
        <w:rPr>
          <w:rFonts w:ascii="Palatino Linotype" w:eastAsia="Palatino Linotype" w:hAnsi="Palatino Linotype" w:cs="Palatino Linotype"/>
        </w:rPr>
        <w:t xml:space="preserve"> para su conocimiento.</w:t>
      </w:r>
    </w:p>
    <w:p w:rsidR="00913A86" w:rsidRPr="00364BD3" w:rsidRDefault="002F08A5">
      <w:pPr>
        <w:spacing w:before="240" w:after="240" w:line="360" w:lineRule="auto"/>
        <w:jc w:val="both"/>
        <w:rPr>
          <w:rFonts w:ascii="Palatino Linotype" w:eastAsia="Palatino Linotype" w:hAnsi="Palatino Linotype" w:cs="Palatino Linotype"/>
          <w:b/>
          <w:color w:val="FF0000"/>
          <w:highlight w:val="yellow"/>
        </w:rPr>
      </w:pPr>
      <w:bookmarkStart w:id="1" w:name="_heading=h.gjdgxs" w:colFirst="0" w:colLast="0"/>
      <w:bookmarkEnd w:id="1"/>
      <w:r>
        <w:rPr>
          <w:rFonts w:ascii="Palatino Linotype" w:eastAsia="Palatino Linotype" w:hAnsi="Palatino Linotype" w:cs="Palatino Linotype"/>
          <w:b/>
          <w:highlight w:val="white"/>
        </w:rPr>
        <w:t>Tercero.</w:t>
      </w:r>
      <w:r>
        <w:rPr>
          <w:rFonts w:ascii="Palatino Linotype" w:eastAsia="Palatino Linotype" w:hAnsi="Palatino Linotype" w:cs="Palatino Linotype"/>
          <w:b/>
          <w:sz w:val="28"/>
          <w:szCs w:val="28"/>
          <w:highlight w:val="white"/>
        </w:rPr>
        <w:t xml:space="preserve"> </w:t>
      </w:r>
      <w:r>
        <w:rPr>
          <w:rFonts w:ascii="Palatino Linotype" w:eastAsia="Palatino Linotype" w:hAnsi="Palatino Linotype" w:cs="Palatino Linotype"/>
          <w:b/>
        </w:rPr>
        <w:t>Notifíquese vía Sistema de Acceso a la Información Mexiquense (SAIMEX)</w:t>
      </w:r>
      <w:r w:rsidRPr="00364BD3">
        <w:rPr>
          <w:rFonts w:ascii="Palatino Linotype" w:eastAsia="Palatino Linotype" w:hAnsi="Palatino Linotype" w:cs="Palatino Linotype"/>
          <w:b/>
          <w:color w:val="000000" w:themeColor="text1"/>
        </w:rPr>
        <w:t xml:space="preserve">, </w:t>
      </w:r>
      <w:r>
        <w:rPr>
          <w:rFonts w:ascii="Palatino Linotype" w:eastAsia="Palatino Linotype" w:hAnsi="Palatino Linotype" w:cs="Palatino Linotype"/>
        </w:rPr>
        <w:t xml:space="preserve">la presente resolución a la parte recurrente, así como, que de conformidad con lo establecido en el artículo 196 de la Ley de Transparencia y Acceso a la Información Pública del Estado de México y Municipios,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w:t>
      </w:r>
    </w:p>
    <w:p w:rsidR="00913A86" w:rsidRDefault="002F08A5">
      <w:pPr>
        <w:spacing w:before="240" w:after="240" w:line="360" w:lineRule="auto"/>
        <w:jc w:val="both"/>
        <w:rPr>
          <w:rFonts w:ascii="Palatino Linotype" w:eastAsia="Palatino Linotype" w:hAnsi="Palatino Linotype" w:cs="Palatino Linotype"/>
        </w:rPr>
        <w:sectPr w:rsidR="00913A86">
          <w:headerReference w:type="default" r:id="rId26"/>
          <w:footerReference w:type="default" r:id="rId27"/>
          <w:headerReference w:type="first" r:id="rId28"/>
          <w:footerReference w:type="first" r:id="rId29"/>
          <w:pgSz w:w="12240" w:h="15840"/>
          <w:pgMar w:top="1417" w:right="1750" w:bottom="1417" w:left="1701" w:header="708" w:footer="708" w:gutter="0"/>
          <w:pgNumType w:start="1"/>
          <w:cols w:space="720"/>
          <w:titlePg/>
        </w:sect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SHARON CRISTINA MORALES MARTÍNEZ (AUSENCIA JUSTIFICADA); MARÍA DEL ROSARIO MEJÍA AYALA; LUIS GUSTAVO PARRA NORIEGA Y GUADALUPE RAMÍREZ PEÑA; EN LA QUINTA SESIÓN ORDINARIA CELEBRADA EL DIEZ DE FEBRERO DEL DOS MIL VEINTIDÓS, </w:t>
      </w:r>
      <w:r w:rsidR="008B577D">
        <w:rPr>
          <w:rFonts w:ascii="Palatino Linotype" w:eastAsia="Palatino Linotype" w:hAnsi="Palatino Linotype" w:cs="Palatino Linotype"/>
          <w:noProof/>
          <w:lang w:val="es-MX"/>
        </w:rPr>
        <mc:AlternateContent>
          <mc:Choice Requires="wps">
            <w:drawing>
              <wp:anchor distT="0" distB="0" distL="114300" distR="114300" simplePos="0" relativeHeight="251663360" behindDoc="0" locked="0" layoutInCell="1" allowOverlap="1">
                <wp:simplePos x="0" y="0"/>
                <wp:positionH relativeFrom="column">
                  <wp:posOffset>81914</wp:posOffset>
                </wp:positionH>
                <wp:positionV relativeFrom="paragraph">
                  <wp:posOffset>1460500</wp:posOffset>
                </wp:positionV>
                <wp:extent cx="5381625" cy="607695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381625" cy="6076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CC4AE6" id="Conector recto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45pt,115pt" to="430.2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" strokecolor="black [3040]"/>
            </w:pict>
          </mc:Fallback>
        </mc:AlternateContent>
      </w:r>
      <w:r>
        <w:rPr>
          <w:rFonts w:ascii="Palatino Linotype" w:eastAsia="Palatino Linotype" w:hAnsi="Palatino Linotype" w:cs="Palatino Linotype"/>
        </w:rPr>
        <w:t>ANTE EL SECRETARIO TÉCNICO DEL PLENO, ALEXIS TAPIA RAMÍREZ.</w:t>
      </w:r>
    </w:p>
    <w:p w:rsidR="00913A86" w:rsidRDefault="00913A8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913A86" w:rsidRDefault="00913A8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913A86" w:rsidRDefault="00913A8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913A86">
      <w:headerReference w:type="first" r:id="rId30"/>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3B5" w:rsidRDefault="002F08A5">
      <w:r>
        <w:separator/>
      </w:r>
    </w:p>
  </w:endnote>
  <w:endnote w:type="continuationSeparator" w:id="0">
    <w:p w:rsidR="005F53B5" w:rsidRDefault="002F0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Quattrocento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86" w:rsidRDefault="002F08A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E11AE">
      <w:rPr>
        <w:rFonts w:ascii="Arial" w:eastAsia="Arial" w:hAnsi="Arial" w:cs="Arial"/>
        <w:b/>
        <w:noProof/>
        <w:color w:val="000000"/>
        <w:sz w:val="20"/>
        <w:szCs w:val="20"/>
      </w:rPr>
      <w:t>45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E11AE">
      <w:rPr>
        <w:rFonts w:ascii="Arial" w:eastAsia="Arial" w:hAnsi="Arial" w:cs="Arial"/>
        <w:b/>
        <w:noProof/>
        <w:color w:val="000000"/>
        <w:sz w:val="20"/>
        <w:szCs w:val="20"/>
      </w:rPr>
      <w:t>46</w:t>
    </w:r>
    <w:r>
      <w:rPr>
        <w:rFonts w:ascii="Arial" w:eastAsia="Arial" w:hAnsi="Arial" w:cs="Arial"/>
        <w:b/>
        <w:color w:val="000000"/>
        <w:sz w:val="20"/>
        <w:szCs w:val="20"/>
      </w:rPr>
      <w:fldChar w:fldCharType="end"/>
    </w:r>
  </w:p>
  <w:p w:rsidR="00913A86" w:rsidRDefault="00913A86">
    <w:pPr>
      <w:pBdr>
        <w:top w:val="nil"/>
        <w:left w:val="nil"/>
        <w:bottom w:val="nil"/>
        <w:right w:val="nil"/>
        <w:between w:val="nil"/>
      </w:pBdr>
      <w:tabs>
        <w:tab w:val="center" w:pos="4252"/>
        <w:tab w:val="right" w:pos="8504"/>
      </w:tabs>
      <w:rPr>
        <w:color w:val="000000"/>
      </w:rPr>
    </w:pPr>
  </w:p>
  <w:p w:rsidR="00913A86" w:rsidRDefault="00913A8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86" w:rsidRDefault="002F08A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E11AE">
      <w:rPr>
        <w:rFonts w:ascii="Arial" w:eastAsia="Arial" w:hAnsi="Arial" w:cs="Arial"/>
        <w:b/>
        <w:noProof/>
        <w:color w:val="000000"/>
        <w:sz w:val="20"/>
        <w:szCs w:val="20"/>
      </w:rPr>
      <w:t>46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E11AE">
      <w:rPr>
        <w:rFonts w:ascii="Arial" w:eastAsia="Arial" w:hAnsi="Arial" w:cs="Arial"/>
        <w:b/>
        <w:noProof/>
        <w:color w:val="000000"/>
        <w:sz w:val="20"/>
        <w:szCs w:val="20"/>
      </w:rPr>
      <w:t>46</w:t>
    </w:r>
    <w:r>
      <w:rPr>
        <w:rFonts w:ascii="Arial" w:eastAsia="Arial" w:hAnsi="Arial" w:cs="Arial"/>
        <w:b/>
        <w:color w:val="000000"/>
        <w:sz w:val="20"/>
        <w:szCs w:val="20"/>
      </w:rPr>
      <w:fldChar w:fldCharType="end"/>
    </w:r>
  </w:p>
  <w:p w:rsidR="00913A86" w:rsidRDefault="00913A8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3B5" w:rsidRDefault="002F08A5">
      <w:r>
        <w:separator/>
      </w:r>
    </w:p>
  </w:footnote>
  <w:footnote w:type="continuationSeparator" w:id="0">
    <w:p w:rsidR="005F53B5" w:rsidRDefault="002F0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86" w:rsidRDefault="00913A86">
    <w:pPr>
      <w:widowControl w:val="0"/>
      <w:pBdr>
        <w:top w:val="nil"/>
        <w:left w:val="nil"/>
        <w:bottom w:val="nil"/>
        <w:right w:val="nil"/>
        <w:between w:val="nil"/>
      </w:pBdr>
      <w:spacing w:line="276" w:lineRule="auto"/>
      <w:rPr>
        <w:rFonts w:ascii="Cambria" w:eastAsia="Cambria" w:hAnsi="Cambria" w:cs="Cambria"/>
        <w:color w:val="000000"/>
      </w:rPr>
    </w:pPr>
  </w:p>
  <w:tbl>
    <w:tblPr>
      <w:tblStyle w:val="a1"/>
      <w:tblW w:w="6240" w:type="dxa"/>
      <w:tblInd w:w="3746" w:type="dxa"/>
      <w:tblLayout w:type="fixed"/>
      <w:tblLook w:val="0400" w:firstRow="0" w:lastRow="0" w:firstColumn="0" w:lastColumn="0" w:noHBand="0" w:noVBand="1"/>
    </w:tblPr>
    <w:tblGrid>
      <w:gridCol w:w="2553"/>
      <w:gridCol w:w="3687"/>
    </w:tblGrid>
    <w:tr w:rsidR="00913A86">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05934/INFOEM/IP/RR/2021</w:t>
          </w:r>
        </w:p>
      </w:tc>
    </w:tr>
    <w:tr w:rsidR="00913A86">
      <w:trPr>
        <w:trHeight w:val="228"/>
      </w:trPr>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913A86" w:rsidRDefault="002F08A5">
          <w:pPr>
            <w:ind w:right="6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Gubernatura</w:t>
          </w:r>
        </w:p>
      </w:tc>
    </w:tr>
    <w:tr w:rsidR="00913A86">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913A86" w:rsidRDefault="002F08A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913A86" w:rsidRDefault="002F08A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r>
      <w:rPr>
        <w:noProof/>
        <w:lang w:val="es-MX"/>
      </w:rPr>
      <w:drawing>
        <wp:anchor distT="0" distB="0" distL="0" distR="0" simplePos="0" relativeHeight="251658240" behindDoc="1" locked="0" layoutInCell="1" hidden="0" allowOverlap="1">
          <wp:simplePos x="0" y="0"/>
          <wp:positionH relativeFrom="column">
            <wp:posOffset>-1080134</wp:posOffset>
          </wp:positionH>
          <wp:positionV relativeFrom="paragraph">
            <wp:posOffset>-1012188</wp:posOffset>
          </wp:positionV>
          <wp:extent cx="7635600" cy="9943200"/>
          <wp:effectExtent l="0" t="0" r="0" b="0"/>
          <wp:wrapNone/>
          <wp:docPr id="5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p w:rsidR="00913A86" w:rsidRDefault="00913A86">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86" w:rsidRDefault="002F08A5">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-1080134</wp:posOffset>
          </wp:positionH>
          <wp:positionV relativeFrom="paragraph">
            <wp:posOffset>-343534</wp:posOffset>
          </wp:positionV>
          <wp:extent cx="7635600" cy="9943200"/>
          <wp:effectExtent l="0" t="0" r="0" b="0"/>
          <wp:wrapNone/>
          <wp:docPr id="5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6240" w:type="dxa"/>
      <w:tblInd w:w="3685" w:type="dxa"/>
      <w:tblLayout w:type="fixed"/>
      <w:tblLook w:val="0400" w:firstRow="0" w:lastRow="0" w:firstColumn="0" w:lastColumn="0" w:noHBand="0" w:noVBand="1"/>
    </w:tblPr>
    <w:tblGrid>
      <w:gridCol w:w="2553"/>
      <w:gridCol w:w="3687"/>
    </w:tblGrid>
    <w:tr w:rsidR="00913A86">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05934/INFOEM/IP/RR/2021</w:t>
          </w:r>
        </w:p>
      </w:tc>
    </w:tr>
    <w:tr w:rsidR="00913A86">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913A86" w:rsidRDefault="00AE11A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w:t>
          </w:r>
        </w:p>
      </w:tc>
    </w:tr>
    <w:tr w:rsidR="00913A86">
      <w:trPr>
        <w:trHeight w:val="228"/>
      </w:trPr>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913A86" w:rsidRDefault="002F08A5">
          <w:pPr>
            <w:ind w:right="7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Gubernatura</w:t>
          </w:r>
        </w:p>
      </w:tc>
    </w:tr>
    <w:tr w:rsidR="00913A86">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913A86" w:rsidRDefault="002F08A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913A86" w:rsidRDefault="00913A86">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86" w:rsidRDefault="002F08A5">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rsidR="00913A86" w:rsidRDefault="00913A8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F3628"/>
    <w:multiLevelType w:val="multilevel"/>
    <w:tmpl w:val="B0E6F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64D5E81"/>
    <w:multiLevelType w:val="multilevel"/>
    <w:tmpl w:val="AA5E7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FA50276"/>
    <w:multiLevelType w:val="multilevel"/>
    <w:tmpl w:val="0F208FEC"/>
    <w:lvl w:ilvl="0">
      <w:start w:val="1"/>
      <w:numFmt w:val="upperRoman"/>
      <w:lvlText w:val="%1."/>
      <w:lvlJc w:val="left"/>
      <w:pPr>
        <w:ind w:left="1347" w:hanging="720"/>
      </w:pPr>
    </w:lvl>
    <w:lvl w:ilvl="1">
      <w:start w:val="1"/>
      <w:numFmt w:val="lowerLetter"/>
      <w:lvlText w:val="%2."/>
      <w:lvlJc w:val="left"/>
      <w:pPr>
        <w:ind w:left="1707" w:hanging="360"/>
      </w:pPr>
    </w:lvl>
    <w:lvl w:ilvl="2">
      <w:start w:val="1"/>
      <w:numFmt w:val="lowerRoman"/>
      <w:lvlText w:val="%3."/>
      <w:lvlJc w:val="right"/>
      <w:pPr>
        <w:ind w:left="2427" w:hanging="180"/>
      </w:p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3">
    <w:nsid w:val="37561106"/>
    <w:multiLevelType w:val="multilevel"/>
    <w:tmpl w:val="73EA377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32B007A"/>
    <w:multiLevelType w:val="multilevel"/>
    <w:tmpl w:val="002E210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
    <w:nsid w:val="7DCF5196"/>
    <w:multiLevelType w:val="multilevel"/>
    <w:tmpl w:val="573C27C8"/>
    <w:lvl w:ilvl="0">
      <w:start w:val="7"/>
      <w:numFmt w:val="bullet"/>
      <w:lvlText w:val="-"/>
      <w:lvlJc w:val="left"/>
      <w:pPr>
        <w:ind w:left="786" w:hanging="360"/>
      </w:pPr>
      <w:rPr>
        <w:rFonts w:ascii="Palatino Linotype" w:eastAsia="Palatino Linotype" w:hAnsi="Palatino Linotype" w:cs="Palatino Linotype"/>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abstractNumId w:val="2"/>
  </w:num>
  <w:num w:numId="2">
    <w:abstractNumId w:val="5"/>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A86"/>
    <w:rsid w:val="00296B89"/>
    <w:rsid w:val="002F08A5"/>
    <w:rsid w:val="00364BD3"/>
    <w:rsid w:val="005F53B5"/>
    <w:rsid w:val="00736CD9"/>
    <w:rsid w:val="007B7757"/>
    <w:rsid w:val="008B577D"/>
    <w:rsid w:val="00913A86"/>
    <w:rsid w:val="00995E05"/>
    <w:rsid w:val="00AE11AE"/>
    <w:rsid w:val="00BA3057"/>
    <w:rsid w:val="00E62E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F2B0CD-0B2C-4C6F-921A-3238812A3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3.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legislacion.edomex.gob.mx/sites/legislacion.edomex.gob.mx/files/files/pdf/gct/2018/jul312.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about:blan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n9tbJ5PchrOqA0/GN9coKAblzQ==">AMUW2mUrx321AFuJXeWl7ULZLK49KGitAsQAjQhST0vvMSD1Wd9HHDpUhDqE6+2GT46Aujt7xH4dk6TIVRjd6fJjw+46LC1qMDuBm4SjrWHn8ctUWD1JMuUYsVVrpUZUoG3taklwuwJA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8392</Words>
  <Characters>46159</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2</cp:revision>
  <dcterms:created xsi:type="dcterms:W3CDTF">2022-02-25T20:15:00Z</dcterms:created>
  <dcterms:modified xsi:type="dcterms:W3CDTF">2022-02-25T20:15:00Z</dcterms:modified>
</cp:coreProperties>
</file>