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151C7239"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F10DB">
        <w:rPr>
          <w:rFonts w:ascii="Palatino Linotype" w:hAnsi="Palatino Linotype"/>
        </w:rPr>
        <w:t>veinticinco</w:t>
      </w:r>
      <w:r w:rsidRPr="008A449C">
        <w:rPr>
          <w:rFonts w:ascii="Palatino Linotype" w:hAnsi="Palatino Linotype"/>
        </w:rPr>
        <w:t xml:space="preserve"> (</w:t>
      </w:r>
      <w:r w:rsidR="00EF10DB">
        <w:rPr>
          <w:rFonts w:ascii="Palatino Linotype" w:hAnsi="Palatino Linotype"/>
        </w:rPr>
        <w:t>25</w:t>
      </w:r>
      <w:r w:rsidRPr="008A449C">
        <w:rPr>
          <w:rFonts w:ascii="Palatino Linotype" w:hAnsi="Palatino Linotype"/>
        </w:rPr>
        <w:t>)</w:t>
      </w:r>
      <w:r w:rsidRPr="00D27215">
        <w:rPr>
          <w:rFonts w:ascii="Palatino Linotype" w:hAnsi="Palatino Linotype"/>
        </w:rPr>
        <w:t xml:space="preserve"> de </w:t>
      </w:r>
      <w:r w:rsidR="00A728E8">
        <w:rPr>
          <w:rFonts w:ascii="Palatino Linotype" w:hAnsi="Palatino Linotype"/>
        </w:rPr>
        <w:t>may</w:t>
      </w:r>
      <w:r w:rsidR="00A24E15">
        <w:rPr>
          <w:rFonts w:ascii="Palatino Linotype" w:hAnsi="Palatino Linotype"/>
        </w:rPr>
        <w:t>o</w:t>
      </w:r>
      <w:r w:rsidR="00E676A6">
        <w:rPr>
          <w:rFonts w:ascii="Palatino Linotype" w:hAnsi="Palatino Linotype"/>
        </w:rPr>
        <w:t xml:space="preserve"> de dos mil </w:t>
      </w:r>
      <w:r w:rsidR="00A24E15">
        <w:rPr>
          <w:rFonts w:ascii="Palatino Linotype" w:hAnsi="Palatino Linotype"/>
        </w:rPr>
        <w:t>veintidós</w:t>
      </w:r>
      <w:r w:rsidRPr="00D27215">
        <w:rPr>
          <w:rFonts w:ascii="Palatino Linotype" w:hAnsi="Palatino Linotype"/>
        </w:rPr>
        <w:t>.</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638430F0" w:rsidR="009417CA" w:rsidRPr="008A269D" w:rsidRDefault="009417CA" w:rsidP="00EF10DB">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EF10DB">
        <w:rPr>
          <w:rFonts w:ascii="Palatino Linotype" w:hAnsi="Palatino Linotype"/>
          <w:b/>
        </w:rPr>
        <w:t>03243/INFOEM/IP/RR/2022</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EF10DB">
        <w:rPr>
          <w:rFonts w:ascii="Palatino Linotype" w:hAnsi="Palatino Linotype"/>
          <w:b/>
        </w:rPr>
        <w:t>una persona que no proporciono datos de identificación,</w:t>
      </w:r>
      <w:r w:rsidR="008B13E3">
        <w:rPr>
          <w:rFonts w:ascii="Palatino Linotype" w:hAnsi="Palatino Linotype"/>
        </w:rPr>
        <w:t xml:space="preserve"> través de</w:t>
      </w:r>
      <w:r w:rsidR="00CF73A0">
        <w:rPr>
          <w:rFonts w:ascii="Palatino Linotype" w:hAnsi="Palatino Linotype"/>
        </w:rPr>
        <w:t>l</w:t>
      </w:r>
      <w:r w:rsidR="00C9726D">
        <w:rPr>
          <w:rFonts w:ascii="Palatino Linotype" w:hAnsi="Palatino Linotype"/>
        </w:rPr>
        <w:t xml:space="preserve"> Sistema de Acceso a la Información Mexiquense</w:t>
      </w:r>
      <w:r w:rsidR="00EF4C63">
        <w:rPr>
          <w:rFonts w:ascii="Palatino Linotype" w:hAnsi="Palatino Linotype"/>
        </w:rPr>
        <w:t xml:space="preserve"> </w:t>
      </w:r>
      <w:r w:rsidRPr="00D27215">
        <w:rPr>
          <w:rFonts w:ascii="Palatino Linotype" w:hAnsi="Palatino Linotype"/>
          <w:b/>
        </w:rPr>
        <w:t>(</w:t>
      </w:r>
      <w:r w:rsidR="00C9726D">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150024">
        <w:rPr>
          <w:rFonts w:ascii="Palatino Linotype" w:hAnsi="Palatino Linotype"/>
        </w:rPr>
        <w:t xml:space="preserve">a quien </w:t>
      </w:r>
      <w:r w:rsidR="00A5272E">
        <w:rPr>
          <w:rFonts w:ascii="Palatino Linotype" w:hAnsi="Palatino Linotype"/>
        </w:rPr>
        <w:t>en lo sucesivo</w:t>
      </w:r>
      <w:r w:rsidRPr="00D27215">
        <w:rPr>
          <w:rFonts w:ascii="Palatino Linotype" w:hAnsi="Palatino Linotype"/>
        </w:rPr>
        <w:t xml:space="preserve"> se le identificará como </w:t>
      </w:r>
      <w:r w:rsidR="00CF73A0">
        <w:rPr>
          <w:rFonts w:ascii="Palatino Linotype" w:hAnsi="Palatino Linotype"/>
          <w:b/>
        </w:rPr>
        <w:t>EL RECURRENTE</w:t>
      </w:r>
      <w:r w:rsidRPr="00D27215">
        <w:rPr>
          <w:rFonts w:ascii="Palatino Linotype" w:hAnsi="Palatino Linotype" w:cs="Arial"/>
        </w:rPr>
        <w:t>, en contra de la respuesta de</w:t>
      </w:r>
      <w:r w:rsidR="00C9726D" w:rsidRPr="00D27215">
        <w:rPr>
          <w:rFonts w:ascii="Palatino Linotype" w:hAnsi="Palatino Linotype" w:cs="Arial"/>
        </w:rPr>
        <w:t>l</w:t>
      </w:r>
      <w:r w:rsidRPr="00D27215">
        <w:rPr>
          <w:rFonts w:ascii="Palatino Linotype" w:hAnsi="Palatino Linotype" w:cs="Arial"/>
        </w:rPr>
        <w:t xml:space="preserve"> </w:t>
      </w:r>
      <w:r w:rsidR="00A728E8">
        <w:rPr>
          <w:rFonts w:ascii="Palatino Linotype" w:hAnsi="Palatino Linotype" w:cs="Arial"/>
          <w:b/>
        </w:rPr>
        <w:t xml:space="preserve">Ayuntamiento de </w:t>
      </w:r>
      <w:r w:rsidR="00EF10DB">
        <w:rPr>
          <w:rFonts w:ascii="Palatino Linotype" w:hAnsi="Palatino Linotype" w:cs="Arial"/>
          <w:b/>
        </w:rPr>
        <w:t>Metepec</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w:t>
      </w:r>
      <w:r w:rsidRPr="008A269D">
        <w:rPr>
          <w:rFonts w:ascii="Palatino Linotype" w:hAnsi="Palatino Linotype"/>
        </w:rPr>
        <w:t>dictar la presente resolución, con base en los siguientes:</w:t>
      </w:r>
    </w:p>
    <w:p w14:paraId="6D4F2D4C" w14:textId="7847DB03" w:rsidR="009417CA" w:rsidRDefault="009417CA" w:rsidP="00EF10DB">
      <w:pPr>
        <w:pStyle w:val="Ttulo1"/>
        <w:spacing w:before="0" w:line="360" w:lineRule="auto"/>
        <w:jc w:val="center"/>
        <w:rPr>
          <w:rFonts w:ascii="Palatino Linotype" w:hAnsi="Palatino Linotype"/>
          <w:b/>
          <w:color w:val="000000" w:themeColor="text1"/>
          <w:sz w:val="24"/>
          <w:szCs w:val="24"/>
          <w:lang w:val="es-ES"/>
        </w:rPr>
      </w:pPr>
      <w:bookmarkStart w:id="0" w:name="_Toc87274183"/>
      <w:r w:rsidRPr="008A269D">
        <w:rPr>
          <w:rFonts w:ascii="Palatino Linotype" w:hAnsi="Palatino Linotype"/>
          <w:b/>
          <w:color w:val="000000" w:themeColor="text1"/>
          <w:sz w:val="24"/>
          <w:szCs w:val="24"/>
          <w:lang w:val="es-ES"/>
        </w:rPr>
        <w:t>A N T E C E D E N T E S</w:t>
      </w:r>
      <w:bookmarkEnd w:id="0"/>
    </w:p>
    <w:p w14:paraId="07B8C422" w14:textId="77777777" w:rsidR="008A269D" w:rsidRPr="008A269D" w:rsidRDefault="008A269D" w:rsidP="00EF10DB">
      <w:pPr>
        <w:spacing w:line="360" w:lineRule="auto"/>
        <w:rPr>
          <w:lang w:val="es-ES" w:eastAsia="es-ES"/>
        </w:rPr>
      </w:pPr>
    </w:p>
    <w:p w14:paraId="6C73856D" w14:textId="6D3436FD" w:rsidR="009417CA" w:rsidRDefault="009417CA" w:rsidP="00EF10DB">
      <w:pPr>
        <w:pStyle w:val="Prrafodelista"/>
        <w:numPr>
          <w:ilvl w:val="0"/>
          <w:numId w:val="7"/>
        </w:numPr>
        <w:spacing w:line="360" w:lineRule="auto"/>
        <w:ind w:left="0" w:firstLine="0"/>
        <w:jc w:val="both"/>
        <w:rPr>
          <w:rFonts w:ascii="Palatino Linotype" w:eastAsia="Calibri" w:hAnsi="Palatino Linotype" w:cs="Arial"/>
        </w:rPr>
      </w:pPr>
      <w:r w:rsidRPr="008A269D">
        <w:rPr>
          <w:rFonts w:ascii="Palatino Linotype" w:eastAsia="Calibri" w:hAnsi="Palatino Linotype" w:cs="Arial"/>
        </w:rPr>
        <w:t xml:space="preserve">El día </w:t>
      </w:r>
      <w:r w:rsidR="00EF10DB">
        <w:rPr>
          <w:rFonts w:ascii="Palatino Linotype" w:eastAsia="Calibri" w:hAnsi="Palatino Linotype" w:cs="Arial"/>
        </w:rPr>
        <w:t>trece</w:t>
      </w:r>
      <w:r w:rsidR="00333814">
        <w:rPr>
          <w:rFonts w:ascii="Palatino Linotype" w:eastAsia="Calibri" w:hAnsi="Palatino Linotype" w:cs="Arial"/>
        </w:rPr>
        <w:t xml:space="preserve"> </w:t>
      </w:r>
      <w:r w:rsidRPr="008A269D">
        <w:rPr>
          <w:rFonts w:ascii="Palatino Linotype" w:eastAsia="Calibri" w:hAnsi="Palatino Linotype" w:cs="Arial"/>
        </w:rPr>
        <w:t>(</w:t>
      </w:r>
      <w:r w:rsidR="00A728E8">
        <w:rPr>
          <w:rFonts w:ascii="Palatino Linotype" w:eastAsia="Calibri" w:hAnsi="Palatino Linotype" w:cs="Arial"/>
        </w:rPr>
        <w:t>1</w:t>
      </w:r>
      <w:r w:rsidR="00EF10DB">
        <w:rPr>
          <w:rFonts w:ascii="Palatino Linotype" w:eastAsia="Calibri" w:hAnsi="Palatino Linotype" w:cs="Arial"/>
        </w:rPr>
        <w:t>3</w:t>
      </w:r>
      <w:r w:rsidRPr="008A269D">
        <w:rPr>
          <w:rFonts w:ascii="Palatino Linotype" w:eastAsia="Calibri" w:hAnsi="Palatino Linotype" w:cs="Arial"/>
        </w:rPr>
        <w:t xml:space="preserve">) de </w:t>
      </w:r>
      <w:r w:rsidR="00A728E8">
        <w:rPr>
          <w:rFonts w:ascii="Palatino Linotype" w:eastAsia="Calibri" w:hAnsi="Palatino Linotype" w:cs="Arial"/>
        </w:rPr>
        <w:t>enero</w:t>
      </w:r>
      <w:r w:rsidRPr="008A269D">
        <w:rPr>
          <w:rFonts w:ascii="Palatino Linotype" w:eastAsia="Calibri" w:hAnsi="Palatino Linotype" w:cs="Arial"/>
        </w:rPr>
        <w:t xml:space="preserve"> de dos</w:t>
      </w:r>
      <w:r w:rsidR="00A728E8">
        <w:rPr>
          <w:rFonts w:ascii="Palatino Linotype" w:eastAsia="Calibri" w:hAnsi="Palatino Linotype" w:cs="Arial"/>
        </w:rPr>
        <w:t xml:space="preserve"> mil veintidós</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w:t>
      </w:r>
      <w:r w:rsidRPr="00CF73A0">
        <w:rPr>
          <w:rFonts w:ascii="Palatino Linotype" w:eastAsia="Calibri" w:hAnsi="Palatino Linotype" w:cs="Arial"/>
          <w:b/>
        </w:rPr>
        <w:t xml:space="preserve"> </w:t>
      </w:r>
      <w:r w:rsidR="00EF10DB">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EF10DB">
        <w:rPr>
          <w:rFonts w:ascii="Palatino Linotype" w:hAnsi="Palatino Linotype"/>
          <w:b/>
          <w:bCs/>
          <w:color w:val="000000" w:themeColor="text1"/>
        </w:rPr>
        <w:t>01052/METEPEC/IP/2022</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54912EC1" w14:textId="77777777" w:rsidR="00150024" w:rsidRPr="00D27215" w:rsidRDefault="00150024" w:rsidP="00150024">
      <w:pPr>
        <w:pStyle w:val="Prrafodelista"/>
        <w:spacing w:line="360" w:lineRule="auto"/>
        <w:ind w:left="0"/>
        <w:jc w:val="both"/>
        <w:rPr>
          <w:rFonts w:ascii="Palatino Linotype" w:eastAsia="Calibri" w:hAnsi="Palatino Linotype" w:cs="Arial"/>
        </w:rPr>
      </w:pPr>
    </w:p>
    <w:p w14:paraId="7A083BA2" w14:textId="6F0A230C" w:rsidR="009417CA" w:rsidRDefault="009417CA" w:rsidP="004A2E68">
      <w:pPr>
        <w:spacing w:line="360" w:lineRule="auto"/>
        <w:ind w:left="284" w:right="335"/>
        <w:rPr>
          <w:rFonts w:ascii="Palatino Linotype" w:eastAsia="Calibri" w:hAnsi="Palatino Linotype" w:cs="Arial"/>
          <w:i/>
        </w:rPr>
      </w:pPr>
      <w:r w:rsidRPr="00D27215">
        <w:rPr>
          <w:rFonts w:ascii="Palatino Linotype" w:eastAsia="Calibri" w:hAnsi="Palatino Linotype" w:cs="Arial"/>
          <w:i/>
        </w:rPr>
        <w:t>“</w:t>
      </w:r>
      <w:r w:rsidR="00EF10DB" w:rsidRPr="00EF10DB">
        <w:rPr>
          <w:rFonts w:ascii="Palatino Linotype" w:eastAsia="Calibri" w:hAnsi="Palatino Linotype" w:cs="Arial"/>
          <w:i/>
          <w:lang w:val="es-ES" w:eastAsia="es-ES"/>
        </w:rPr>
        <w:t>Cuantas vacunas fueron aplicadas en la jornada de vacunación del 10 al 13 de enero de 2022.</w:t>
      </w:r>
      <w:r>
        <w:rPr>
          <w:rFonts w:ascii="Palatino Linotype" w:eastAsia="Calibri" w:hAnsi="Palatino Linotype" w:cs="Arial"/>
          <w:i/>
        </w:rPr>
        <w:t>”</w:t>
      </w:r>
    </w:p>
    <w:p w14:paraId="55C9F4A2" w14:textId="77777777" w:rsidR="0040597C" w:rsidRDefault="0040597C" w:rsidP="00BE1923">
      <w:pPr>
        <w:pStyle w:val="Prrafodelista"/>
        <w:spacing w:line="360" w:lineRule="auto"/>
        <w:ind w:left="426" w:right="474"/>
        <w:jc w:val="both"/>
        <w:rPr>
          <w:rFonts w:ascii="Palatino Linotype" w:eastAsia="Calibri" w:hAnsi="Palatino Linotype" w:cs="Arial"/>
          <w:i/>
        </w:rPr>
      </w:pPr>
    </w:p>
    <w:p w14:paraId="21F94BB8" w14:textId="0BB6F582" w:rsidR="00074F84" w:rsidRPr="00074F84" w:rsidRDefault="009417CA" w:rsidP="00EF10DB">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w:t>
      </w:r>
      <w:r w:rsidR="00434EF7">
        <w:rPr>
          <w:rFonts w:ascii="Palatino Linotype" w:eastAsia="Calibri" w:hAnsi="Palatino Linotype" w:cs="Arial"/>
        </w:rPr>
        <w:t xml:space="preserve"> </w:t>
      </w:r>
      <w:r w:rsidR="00EF10DB">
        <w:rPr>
          <w:rFonts w:ascii="Palatino Linotype" w:eastAsia="Calibri" w:hAnsi="Palatino Linotype" w:cs="Arial"/>
        </w:rPr>
        <w:t xml:space="preserve">A través del </w:t>
      </w:r>
      <w:r w:rsidR="00434EF7" w:rsidRPr="00CF73A0">
        <w:rPr>
          <w:rFonts w:ascii="Palatino Linotype" w:eastAsia="Calibri" w:hAnsi="Palatino Linotype" w:cs="Arial"/>
          <w:b/>
        </w:rPr>
        <w:t>SAIMEX</w:t>
      </w:r>
      <w:r w:rsidR="00235AD6">
        <w:rPr>
          <w:rFonts w:ascii="Palatino Linotype" w:eastAsia="Calibri" w:hAnsi="Palatino Linotype" w:cs="Arial"/>
          <w:b/>
        </w:rPr>
        <w:t>.</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1C82C05E" w14:textId="008053AE" w:rsidR="00235AD6" w:rsidRDefault="0040597C" w:rsidP="00FF7C0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El día </w:t>
      </w:r>
      <w:r w:rsidR="00FF7C03">
        <w:rPr>
          <w:rFonts w:ascii="Palatino Linotype" w:hAnsi="Palatino Linotype" w:cs="Arial"/>
          <w:color w:val="000000" w:themeColor="text1"/>
        </w:rPr>
        <w:t>nueve</w:t>
      </w:r>
      <w:r w:rsidR="00C96E1C">
        <w:rPr>
          <w:rFonts w:ascii="Palatino Linotype" w:hAnsi="Palatino Linotype" w:cs="Arial"/>
          <w:color w:val="000000" w:themeColor="text1"/>
        </w:rPr>
        <w:t xml:space="preserve"> (</w:t>
      </w:r>
      <w:r w:rsidR="00A728E8">
        <w:rPr>
          <w:rFonts w:ascii="Palatino Linotype" w:hAnsi="Palatino Linotype" w:cs="Arial"/>
          <w:color w:val="000000" w:themeColor="text1"/>
        </w:rPr>
        <w:t>0</w:t>
      </w:r>
      <w:r w:rsidR="00FF7C03">
        <w:rPr>
          <w:rFonts w:ascii="Palatino Linotype" w:hAnsi="Palatino Linotype" w:cs="Arial"/>
          <w:color w:val="000000" w:themeColor="text1"/>
        </w:rPr>
        <w:t>9</w:t>
      </w:r>
      <w:r w:rsidR="00C96E1C">
        <w:rPr>
          <w:rFonts w:ascii="Palatino Linotype" w:hAnsi="Palatino Linotype" w:cs="Arial"/>
          <w:color w:val="000000" w:themeColor="text1"/>
        </w:rPr>
        <w:t xml:space="preserve">) de </w:t>
      </w:r>
      <w:r w:rsidR="00A728E8">
        <w:rPr>
          <w:rFonts w:ascii="Palatino Linotype" w:hAnsi="Palatino Linotype" w:cs="Arial"/>
          <w:color w:val="000000" w:themeColor="text1"/>
        </w:rPr>
        <w:t>febrero de dos mil veintidós</w:t>
      </w:r>
      <w:r w:rsidR="00C96E1C">
        <w:rPr>
          <w:rFonts w:ascii="Palatino Linotype" w:hAnsi="Palatino Linotype" w:cs="Arial"/>
          <w:color w:val="000000" w:themeColor="text1"/>
        </w:rPr>
        <w:t xml:space="preserve">, el </w:t>
      </w:r>
      <w:r w:rsidR="00C96E1C">
        <w:rPr>
          <w:rFonts w:ascii="Palatino Linotype" w:hAnsi="Palatino Linotype" w:cs="Arial"/>
          <w:b/>
          <w:color w:val="000000" w:themeColor="text1"/>
        </w:rPr>
        <w:t>SUJETO OBLIGADO</w:t>
      </w:r>
      <w:r w:rsidR="00C96E1C">
        <w:rPr>
          <w:rFonts w:ascii="Palatino Linotype" w:hAnsi="Palatino Linotype" w:cs="Arial"/>
          <w:color w:val="000000" w:themeColor="text1"/>
        </w:rPr>
        <w:t xml:space="preserve"> </w:t>
      </w:r>
      <w:r w:rsidR="00C9726D">
        <w:rPr>
          <w:rFonts w:ascii="Palatino Linotype" w:hAnsi="Palatino Linotype" w:cs="Arial"/>
          <w:color w:val="000000" w:themeColor="text1"/>
        </w:rPr>
        <w:t xml:space="preserve">emitió su </w:t>
      </w:r>
      <w:r w:rsidR="00C9726D" w:rsidRPr="00235AD6">
        <w:rPr>
          <w:rFonts w:ascii="Palatino Linotype" w:eastAsia="Calibri" w:hAnsi="Palatino Linotype" w:cs="Arial"/>
        </w:rPr>
        <w:t>respuesta</w:t>
      </w:r>
      <w:r w:rsidR="00C9726D">
        <w:rPr>
          <w:rFonts w:ascii="Palatino Linotype" w:hAnsi="Palatino Linotype" w:cs="Arial"/>
          <w:color w:val="000000" w:themeColor="text1"/>
        </w:rPr>
        <w:t xml:space="preserve"> </w:t>
      </w:r>
      <w:r w:rsidR="00333814">
        <w:rPr>
          <w:rFonts w:ascii="Palatino Linotype" w:hAnsi="Palatino Linotype" w:cs="Arial"/>
          <w:color w:val="000000" w:themeColor="text1"/>
        </w:rPr>
        <w:t>a través del</w:t>
      </w:r>
      <w:r w:rsidR="00CF73A0">
        <w:rPr>
          <w:rFonts w:ascii="Palatino Linotype" w:hAnsi="Palatino Linotype" w:cs="Arial"/>
          <w:color w:val="000000" w:themeColor="text1"/>
        </w:rPr>
        <w:t xml:space="preserve"> siguiente </w:t>
      </w:r>
      <w:r w:rsidR="00380C30">
        <w:rPr>
          <w:rFonts w:ascii="Palatino Linotype" w:hAnsi="Palatino Linotype" w:cs="Arial"/>
          <w:color w:val="000000" w:themeColor="text1"/>
        </w:rPr>
        <w:t xml:space="preserve">archivo electrónico, </w:t>
      </w:r>
      <w:r w:rsidR="00FF7C03" w:rsidRPr="00FF7C03">
        <w:rPr>
          <w:rFonts w:ascii="Palatino Linotype" w:hAnsi="Palatino Linotype" w:cs="Arial"/>
          <w:b/>
          <w:i/>
          <w:color w:val="000000" w:themeColor="text1"/>
        </w:rPr>
        <w:t>Capital del Estado de México..pdf</w:t>
      </w:r>
      <w:r w:rsidR="00235AD6">
        <w:rPr>
          <w:rFonts w:ascii="Palatino Linotype" w:hAnsi="Palatino Linotype" w:cs="Arial"/>
          <w:b/>
          <w:color w:val="000000" w:themeColor="text1"/>
        </w:rPr>
        <w:t>,</w:t>
      </w:r>
      <w:r w:rsidR="00235AD6">
        <w:rPr>
          <w:rFonts w:ascii="Palatino Linotype" w:hAnsi="Palatino Linotype" w:cs="Arial"/>
          <w:color w:val="000000" w:themeColor="text1"/>
        </w:rPr>
        <w:t xml:space="preserve"> cuyo contenido </w:t>
      </w:r>
      <w:r w:rsidR="00FF7C03">
        <w:rPr>
          <w:rFonts w:ascii="Palatino Linotype" w:hAnsi="Palatino Linotype" w:cs="Arial"/>
          <w:color w:val="000000" w:themeColor="text1"/>
        </w:rPr>
        <w:t>es el siguiente:</w:t>
      </w:r>
    </w:p>
    <w:p w14:paraId="209535D1" w14:textId="77777777" w:rsidR="00FF7C03" w:rsidRDefault="00FF7C03" w:rsidP="00FF7C03">
      <w:pPr>
        <w:pStyle w:val="Prrafodelista"/>
        <w:spacing w:line="360" w:lineRule="auto"/>
        <w:ind w:left="0"/>
        <w:jc w:val="both"/>
        <w:rPr>
          <w:rFonts w:ascii="Palatino Linotype" w:hAnsi="Palatino Linotype" w:cs="Arial"/>
          <w:color w:val="000000" w:themeColor="text1"/>
        </w:rPr>
      </w:pPr>
    </w:p>
    <w:p w14:paraId="5616F3AE" w14:textId="715F007F" w:rsidR="00FF7C03" w:rsidRDefault="00FF7C03" w:rsidP="00FF7C03">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100F22E2" wp14:editId="47FEB809">
            <wp:extent cx="5145206" cy="5922170"/>
            <wp:effectExtent l="19050" t="19050" r="1778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7711" cy="5925054"/>
                    </a:xfrm>
                    <a:prstGeom prst="rect">
                      <a:avLst/>
                    </a:prstGeom>
                    <a:noFill/>
                    <a:ln>
                      <a:solidFill>
                        <a:schemeClr val="tx1"/>
                      </a:solidFill>
                    </a:ln>
                  </pic:spPr>
                </pic:pic>
              </a:graphicData>
            </a:graphic>
          </wp:inline>
        </w:drawing>
      </w:r>
    </w:p>
    <w:p w14:paraId="173E5324" w14:textId="299974D6" w:rsidR="00FF7C03" w:rsidRDefault="00FF7C03" w:rsidP="00FF7C0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Asimismo, agregó el siguiente escrito al SAIMEX:</w:t>
      </w:r>
    </w:p>
    <w:p w14:paraId="7F2401B7" w14:textId="77777777" w:rsidR="009203F8" w:rsidRDefault="009203F8" w:rsidP="009203F8">
      <w:pPr>
        <w:pStyle w:val="Prrafodelista"/>
        <w:spacing w:line="360" w:lineRule="auto"/>
        <w:ind w:left="0"/>
        <w:jc w:val="both"/>
        <w:rPr>
          <w:rFonts w:ascii="Palatino Linotype" w:hAnsi="Palatino Linotype" w:cs="Arial"/>
          <w:color w:val="000000" w:themeColor="text1"/>
        </w:rPr>
      </w:pPr>
    </w:p>
    <w:p w14:paraId="64D24140" w14:textId="36E27048" w:rsidR="00FF7C03" w:rsidRPr="00FF7C03" w:rsidRDefault="00FF7C03" w:rsidP="00FF7C03">
      <w:pPr>
        <w:pStyle w:val="Prrafodelista"/>
        <w:spacing w:line="360" w:lineRule="auto"/>
        <w:ind w:left="426" w:right="474"/>
        <w:jc w:val="both"/>
        <w:rPr>
          <w:rFonts w:ascii="Palatino Linotype" w:hAnsi="Palatino Linotype" w:cs="Arial"/>
          <w:i/>
          <w:color w:val="000000" w:themeColor="text1"/>
        </w:rPr>
      </w:pPr>
      <w:r>
        <w:rPr>
          <w:rFonts w:ascii="Palatino Linotype" w:hAnsi="Palatino Linotype" w:cs="Arial"/>
          <w:i/>
          <w:color w:val="000000" w:themeColor="text1"/>
        </w:rPr>
        <w:t>“</w:t>
      </w:r>
      <w:r w:rsidRPr="00FF7C03">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E108F7" w14:textId="77777777" w:rsidR="00FF7C03" w:rsidRDefault="00FF7C03" w:rsidP="00FF7C03">
      <w:pPr>
        <w:pStyle w:val="Prrafodelista"/>
        <w:spacing w:line="360" w:lineRule="auto"/>
        <w:ind w:left="426" w:right="474"/>
        <w:jc w:val="both"/>
        <w:rPr>
          <w:rFonts w:ascii="Palatino Linotype" w:hAnsi="Palatino Linotype" w:cs="Arial"/>
          <w:i/>
          <w:color w:val="000000" w:themeColor="text1"/>
        </w:rPr>
      </w:pPr>
      <w:r>
        <w:rPr>
          <w:rFonts w:ascii="Palatino Linotype" w:hAnsi="Palatino Linotype" w:cs="Arial"/>
          <w:i/>
          <w:color w:val="000000" w:themeColor="text1"/>
        </w:rPr>
        <w:t>C. SOLICITANTE P R E S E N T E.</w:t>
      </w:r>
    </w:p>
    <w:p w14:paraId="705FDEEE" w14:textId="2621D65B" w:rsidR="00FF7C03" w:rsidRPr="00FF7C03" w:rsidRDefault="00FF7C03" w:rsidP="00FF7C03">
      <w:pPr>
        <w:pStyle w:val="Prrafodelista"/>
        <w:spacing w:line="360" w:lineRule="auto"/>
        <w:ind w:left="426" w:right="474"/>
        <w:jc w:val="both"/>
        <w:rPr>
          <w:rFonts w:ascii="Palatino Linotype" w:hAnsi="Palatino Linotype" w:cs="Arial"/>
          <w:i/>
          <w:color w:val="000000" w:themeColor="text1"/>
        </w:rPr>
      </w:pPr>
      <w:r w:rsidRPr="00FF7C03">
        <w:rPr>
          <w:rFonts w:ascii="Palatino Linotype" w:hAnsi="Palatino Linotype" w:cs="Arial"/>
          <w:i/>
          <w:color w:val="000000" w:themeColor="text1"/>
        </w:rPr>
        <w:t>En respuesta a la solicitud número 01052/METEPEC/IP/2022,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w:t>
      </w:r>
      <w:r>
        <w:rPr>
          <w:rFonts w:ascii="Palatino Linotype" w:hAnsi="Palatino Linotype" w:cs="Arial"/>
          <w:i/>
          <w:color w:val="000000" w:themeColor="text1"/>
        </w:rPr>
        <w:t>”</w:t>
      </w:r>
    </w:p>
    <w:p w14:paraId="31E44F33" w14:textId="77777777" w:rsidR="00235AD6" w:rsidRPr="00235AD6" w:rsidRDefault="00235AD6" w:rsidP="00235AD6">
      <w:pPr>
        <w:pStyle w:val="Prrafodelista"/>
        <w:spacing w:line="360" w:lineRule="auto"/>
        <w:ind w:left="0"/>
        <w:jc w:val="both"/>
        <w:rPr>
          <w:rFonts w:ascii="Palatino Linotype" w:hAnsi="Palatino Linotype" w:cs="Arial"/>
          <w:i/>
          <w:color w:val="000000" w:themeColor="text1"/>
        </w:rPr>
      </w:pPr>
    </w:p>
    <w:p w14:paraId="7EEC3E58" w14:textId="4490E7D7" w:rsidR="009417CA" w:rsidRPr="00434EF7"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434EF7">
        <w:rPr>
          <w:rFonts w:ascii="Palatino Linotype" w:hAnsi="Palatino Linotype" w:cs="Arial"/>
          <w:color w:val="000000" w:themeColor="text1"/>
        </w:rPr>
        <w:t xml:space="preserve">El día </w:t>
      </w:r>
      <w:r w:rsidR="00FF7C03">
        <w:rPr>
          <w:rFonts w:ascii="Palatino Linotype" w:hAnsi="Palatino Linotype" w:cs="Arial"/>
          <w:color w:val="000000" w:themeColor="text1"/>
        </w:rPr>
        <w:t>tres</w:t>
      </w:r>
      <w:r w:rsidRPr="00434EF7">
        <w:rPr>
          <w:rFonts w:ascii="Palatino Linotype" w:hAnsi="Palatino Linotype" w:cs="Arial"/>
          <w:color w:val="000000" w:themeColor="text1"/>
        </w:rPr>
        <w:t xml:space="preserve"> (</w:t>
      </w:r>
      <w:r w:rsidR="00FF7C03">
        <w:rPr>
          <w:rFonts w:ascii="Palatino Linotype" w:hAnsi="Palatino Linotype" w:cs="Arial"/>
          <w:color w:val="000000" w:themeColor="text1"/>
        </w:rPr>
        <w:t>03</w:t>
      </w:r>
      <w:r w:rsidRPr="00434EF7">
        <w:rPr>
          <w:rFonts w:ascii="Palatino Linotype" w:hAnsi="Palatino Linotype" w:cs="Arial"/>
          <w:color w:val="000000" w:themeColor="text1"/>
        </w:rPr>
        <w:t xml:space="preserve">) de </w:t>
      </w:r>
      <w:r w:rsidR="00FF7C03">
        <w:rPr>
          <w:rFonts w:ascii="Palatino Linotype" w:hAnsi="Palatino Linotype" w:cs="Arial"/>
          <w:color w:val="000000" w:themeColor="text1"/>
        </w:rPr>
        <w:t>marz</w:t>
      </w:r>
      <w:r w:rsidR="00380C30">
        <w:rPr>
          <w:rFonts w:ascii="Palatino Linotype" w:hAnsi="Palatino Linotype" w:cs="Arial"/>
          <w:color w:val="000000" w:themeColor="text1"/>
        </w:rPr>
        <w:t>o</w:t>
      </w:r>
      <w:r w:rsidRPr="00434EF7">
        <w:rPr>
          <w:rFonts w:ascii="Palatino Linotype" w:hAnsi="Palatino Linotype" w:cs="Arial"/>
          <w:color w:val="000000" w:themeColor="text1"/>
        </w:rPr>
        <w:t xml:space="preserve"> de dos mil </w:t>
      </w:r>
      <w:r w:rsidR="00380C30" w:rsidRPr="00434EF7">
        <w:rPr>
          <w:rFonts w:ascii="Palatino Linotype" w:hAnsi="Palatino Linotype" w:cs="Arial"/>
          <w:color w:val="000000" w:themeColor="text1"/>
        </w:rPr>
        <w:t>veinti</w:t>
      </w:r>
      <w:r w:rsidR="00380C30">
        <w:rPr>
          <w:rFonts w:ascii="Palatino Linotype" w:hAnsi="Palatino Linotype" w:cs="Arial"/>
          <w:color w:val="000000" w:themeColor="text1"/>
        </w:rPr>
        <w:t xml:space="preserve">dós; </w:t>
      </w:r>
      <w:r w:rsidR="00665B98">
        <w:rPr>
          <w:rFonts w:ascii="Palatino Linotype" w:hAnsi="Palatino Linotype" w:cs="Arial"/>
          <w:color w:val="000000" w:themeColor="text1"/>
        </w:rPr>
        <w:t>el particula</w:t>
      </w:r>
      <w:r w:rsidR="00235AD6">
        <w:rPr>
          <w:rFonts w:ascii="Palatino Linotype" w:hAnsi="Palatino Linotype" w:cs="Arial"/>
          <w:color w:val="000000" w:themeColor="text1"/>
        </w:rPr>
        <w:t>r interpuso recurso de revisión</w:t>
      </w:r>
      <w:r w:rsidR="00665B98">
        <w:rPr>
          <w:rFonts w:ascii="Palatino Linotype" w:hAnsi="Palatino Linotype" w:cs="Arial"/>
          <w:color w:val="000000" w:themeColor="text1"/>
        </w:rPr>
        <w:t xml:space="preserve">, </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665B98">
        <w:rPr>
          <w:rFonts w:ascii="Palatino Linotype" w:hAnsi="Palatino Linotype" w:cs="Arial"/>
          <w:color w:val="000000" w:themeColor="text1"/>
        </w:rPr>
        <w:t>donde se señaló lo siguiente</w:t>
      </w:r>
      <w:r w:rsidR="009417CA" w:rsidRPr="00434EF7">
        <w:rPr>
          <w:rFonts w:ascii="Palatino Linotype" w:hAnsi="Palatino Linotype" w:cs="Arial"/>
          <w:color w:val="000000" w:themeColor="text1"/>
        </w:rPr>
        <w:t>:</w:t>
      </w:r>
    </w:p>
    <w:p w14:paraId="21935EB1" w14:textId="77777777" w:rsidR="00B00B6B" w:rsidRPr="00BF7D41" w:rsidRDefault="00B00B6B" w:rsidP="00B00B6B">
      <w:pPr>
        <w:pStyle w:val="Prrafodelista"/>
        <w:spacing w:line="360" w:lineRule="auto"/>
        <w:ind w:left="0"/>
        <w:jc w:val="both"/>
        <w:rPr>
          <w:rFonts w:ascii="Palatino Linotype" w:hAnsi="Palatino Linotype" w:cs="Arial"/>
          <w:i/>
          <w:color w:val="000000" w:themeColor="text1"/>
        </w:rPr>
      </w:pPr>
    </w:p>
    <w:p w14:paraId="277E4464" w14:textId="17F34F8D" w:rsidR="009417CA" w:rsidRPr="007408FA" w:rsidRDefault="009417CA" w:rsidP="00FF7C03">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79805"/>
      <w:bookmarkStart w:id="91" w:name="_Toc81349547"/>
      <w:bookmarkStart w:id="92" w:name="_Toc81349626"/>
      <w:bookmarkStart w:id="93" w:name="_Toc82531980"/>
      <w:bookmarkStart w:id="94" w:name="_Toc82533467"/>
      <w:bookmarkStart w:id="95" w:name="_Toc82533519"/>
      <w:bookmarkStart w:id="96" w:name="_Toc85732943"/>
      <w:bookmarkStart w:id="97" w:name="_Toc85733113"/>
      <w:bookmarkStart w:id="98" w:name="_Toc85733155"/>
      <w:bookmarkStart w:id="99" w:name="_Toc86246035"/>
      <w:bookmarkStart w:id="100" w:name="_Toc86250994"/>
      <w:bookmarkStart w:id="101" w:name="_Toc86946580"/>
      <w:bookmarkStart w:id="102" w:name="_Toc86947361"/>
      <w:bookmarkStart w:id="103" w:name="_Toc87267856"/>
      <w:bookmarkStart w:id="104" w:name="_Toc87274184"/>
      <w:r w:rsidRPr="007408FA">
        <w:rPr>
          <w:rStyle w:val="Ttulo2Car"/>
          <w:rFonts w:ascii="Palatino Linotype" w:hAnsi="Palatino Linotype"/>
          <w:b/>
          <w:color w:val="000000" w:themeColor="text1"/>
          <w:sz w:val="24"/>
          <w:szCs w:val="24"/>
        </w:rPr>
        <w:t>Acto impugnado</w:t>
      </w:r>
      <w:bookmarkEnd w:id="1"/>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FF7C03" w:rsidRPr="00FF7C03">
        <w:rPr>
          <w:rStyle w:val="Ttulo2Car"/>
          <w:rFonts w:ascii="Palatino Linotype" w:hAnsi="Palatino Linotype"/>
          <w:i/>
          <w:color w:val="000000" w:themeColor="text1"/>
          <w:sz w:val="24"/>
          <w:szCs w:val="24"/>
        </w:rPr>
        <w:t>La respuesta proporcionada por el Sujeto Obligado.</w:t>
      </w:r>
      <w:r w:rsidRPr="007408FA">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E91016">
        <w:rPr>
          <w:rFonts w:ascii="Palatino Linotype" w:hAnsi="Palatino Linotype"/>
          <w:b/>
          <w:i/>
          <w:color w:val="000000" w:themeColor="text1"/>
        </w:rPr>
        <w:t xml:space="preserve"> </w:t>
      </w:r>
      <w:bookmarkStart w:id="105" w:name="_Toc466982515"/>
      <w:bookmarkStart w:id="106" w:name="_Toc27589209"/>
      <w:bookmarkStart w:id="107" w:name="_Toc29395023"/>
      <w:bookmarkStart w:id="108" w:name="_Toc29481468"/>
      <w:bookmarkStart w:id="109" w:name="_Toc33113912"/>
      <w:bookmarkStart w:id="110" w:name="_Toc33643060"/>
      <w:bookmarkStart w:id="111" w:name="_Toc33724992"/>
      <w:bookmarkStart w:id="112" w:name="_Toc33726435"/>
      <w:bookmarkStart w:id="113" w:name="_Toc34157663"/>
      <w:bookmarkStart w:id="114" w:name="_Toc35003616"/>
      <w:bookmarkStart w:id="115" w:name="_Toc35535692"/>
      <w:bookmarkStart w:id="116" w:name="_Toc52971950"/>
      <w:bookmarkStart w:id="117" w:name="_Toc52996699"/>
      <w:bookmarkStart w:id="118" w:name="_Toc54138947"/>
      <w:bookmarkStart w:id="119" w:name="_Toc54267071"/>
      <w:bookmarkStart w:id="120" w:name="_Toc61462045"/>
      <w:bookmarkStart w:id="121" w:name="_Toc62081312"/>
      <w:bookmarkStart w:id="122" w:name="_Toc62765905"/>
      <w:bookmarkStart w:id="123" w:name="_Toc63932066"/>
      <w:bookmarkStart w:id="124" w:name="_Toc65793607"/>
      <w:bookmarkStart w:id="125" w:name="_Toc66973887"/>
      <w:bookmarkStart w:id="126" w:name="_Toc66974016"/>
      <w:bookmarkStart w:id="127" w:name="_Toc66979492"/>
      <w:bookmarkStart w:id="128" w:name="_Toc66998019"/>
      <w:bookmarkStart w:id="129" w:name="_Toc66998081"/>
      <w:bookmarkStart w:id="130" w:name="_Toc471908127"/>
      <w:bookmarkStart w:id="131" w:name="_Toc491791301"/>
      <w:bookmarkStart w:id="132" w:name="_Toc496726171"/>
      <w:bookmarkStart w:id="133" w:name="_Toc497242135"/>
      <w:bookmarkStart w:id="134" w:name="_Toc497292518"/>
      <w:bookmarkStart w:id="135" w:name="_Toc498503717"/>
      <w:bookmarkStart w:id="136" w:name="_Toc499568661"/>
      <w:bookmarkStart w:id="137" w:name="_Toc499568694"/>
      <w:bookmarkStart w:id="138" w:name="_Toc499665453"/>
      <w:bookmarkStart w:id="139" w:name="_Toc499729820"/>
      <w:bookmarkStart w:id="140" w:name="_Toc499835025"/>
      <w:bookmarkStart w:id="141" w:name="_Toc499835836"/>
      <w:bookmarkStart w:id="142" w:name="_Toc499835859"/>
      <w:bookmarkStart w:id="143" w:name="_Toc500264538"/>
      <w:bookmarkStart w:id="144" w:name="_Toc503290276"/>
      <w:bookmarkStart w:id="145" w:name="_Toc524009638"/>
      <w:bookmarkStart w:id="146" w:name="_Toc524009673"/>
      <w:bookmarkStart w:id="147" w:name="_Toc524602721"/>
      <w:bookmarkStart w:id="148" w:name="_Toc526365280"/>
      <w:bookmarkStart w:id="149" w:name="_Toc526365338"/>
      <w:bookmarkStart w:id="150" w:name="_Toc530067665"/>
      <w:bookmarkStart w:id="151" w:name="_Toc530067693"/>
      <w:bookmarkStart w:id="152" w:name="_Toc530067940"/>
      <w:bookmarkStart w:id="153" w:name="_Toc530590421"/>
      <w:bookmarkStart w:id="154" w:name="_Toc530593952"/>
      <w:bookmarkStart w:id="155" w:name="_Toc531190249"/>
      <w:bookmarkStart w:id="156" w:name="_Toc531190296"/>
      <w:bookmarkStart w:id="157" w:name="_Toc534908209"/>
      <w:bookmarkStart w:id="158" w:name="_Toc534909345"/>
      <w:bookmarkStart w:id="159" w:name="_Toc535353306"/>
      <w:bookmarkStart w:id="160" w:name="_Toc535353792"/>
      <w:bookmarkStart w:id="161" w:name="_Toc18436352"/>
      <w:bookmarkStart w:id="162" w:name="_Toc18436386"/>
      <w:bookmarkStart w:id="163" w:name="_Toc18513478"/>
      <w:bookmarkStart w:id="164" w:name="_Toc18513504"/>
      <w:bookmarkStart w:id="165" w:name="_Toc18606802"/>
      <w:bookmarkStart w:id="166" w:name="_Toc19723537"/>
      <w:bookmarkStart w:id="167" w:name="_Toc20322796"/>
      <w:bookmarkStart w:id="168" w:name="_Toc20323053"/>
      <w:bookmarkStart w:id="169" w:name="_Toc20323182"/>
      <w:bookmarkStart w:id="170" w:name="_Toc20420592"/>
      <w:bookmarkStart w:id="171" w:name="_Toc20421580"/>
      <w:bookmarkStart w:id="172" w:name="_Toc21027317"/>
      <w:bookmarkStart w:id="173" w:name="_Toc22660653"/>
      <w:bookmarkStart w:id="174" w:name="_Toc22811624"/>
      <w:bookmarkStart w:id="175"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EF7" w:rsidRPr="00FF7C03">
        <w:rPr>
          <w:rFonts w:ascii="Palatino Linotype" w:hAnsi="Palatino Linotype"/>
          <w:b/>
          <w:color w:val="000000" w:themeColor="text1"/>
        </w:rPr>
        <w:t>(Sic)</w:t>
      </w:r>
    </w:p>
    <w:p w14:paraId="0712C16F" w14:textId="3A934DDB" w:rsidR="009417CA" w:rsidRPr="007408FA" w:rsidRDefault="009417CA" w:rsidP="00FF7C03">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6" w:name="_Toc68785282"/>
      <w:bookmarkStart w:id="177" w:name="_Toc69381530"/>
      <w:bookmarkStart w:id="178" w:name="_Toc69381640"/>
      <w:bookmarkStart w:id="179" w:name="_Toc69831973"/>
      <w:bookmarkStart w:id="180" w:name="_Toc69843169"/>
      <w:bookmarkStart w:id="181" w:name="_Toc69843264"/>
      <w:bookmarkStart w:id="182" w:name="_Toc69843416"/>
      <w:bookmarkStart w:id="183" w:name="_Toc69843554"/>
      <w:bookmarkStart w:id="184" w:name="_Toc70082897"/>
      <w:bookmarkStart w:id="185" w:name="_Toc70082934"/>
      <w:bookmarkStart w:id="186" w:name="_Toc70593345"/>
      <w:bookmarkStart w:id="187" w:name="_Toc72501021"/>
      <w:bookmarkStart w:id="188" w:name="_Toc72501064"/>
      <w:bookmarkStart w:id="189" w:name="_Toc74778591"/>
      <w:bookmarkStart w:id="190" w:name="_Toc80642338"/>
      <w:bookmarkStart w:id="191" w:name="_Toc80642359"/>
      <w:bookmarkStart w:id="192" w:name="_Toc80642426"/>
      <w:bookmarkStart w:id="193" w:name="_Toc80673808"/>
      <w:bookmarkStart w:id="194" w:name="_Toc81279806"/>
      <w:bookmarkStart w:id="195" w:name="_Toc81349548"/>
      <w:bookmarkStart w:id="196" w:name="_Toc81349627"/>
      <w:bookmarkStart w:id="197" w:name="_Toc82531981"/>
      <w:bookmarkStart w:id="198" w:name="_Toc82533468"/>
      <w:bookmarkStart w:id="199" w:name="_Toc82533520"/>
      <w:bookmarkStart w:id="200" w:name="_Toc85732944"/>
      <w:bookmarkStart w:id="201" w:name="_Toc85733114"/>
      <w:bookmarkStart w:id="202" w:name="_Toc85733156"/>
      <w:bookmarkStart w:id="203" w:name="_Toc86246036"/>
      <w:bookmarkStart w:id="204" w:name="_Toc86250995"/>
      <w:bookmarkStart w:id="205" w:name="_Toc86946581"/>
      <w:bookmarkStart w:id="206" w:name="_Toc86947362"/>
      <w:bookmarkStart w:id="207" w:name="_Toc87267857"/>
      <w:bookmarkStart w:id="208" w:name="_Toc87274185"/>
      <w:r w:rsidRPr="007408FA">
        <w:rPr>
          <w:rStyle w:val="Ttulo2Car"/>
          <w:rFonts w:ascii="Palatino Linotype" w:hAnsi="Palatino Linotype"/>
          <w:b/>
          <w:color w:val="000000" w:themeColor="text1"/>
          <w:sz w:val="24"/>
          <w:szCs w:val="24"/>
        </w:rPr>
        <w:lastRenderedPageBreak/>
        <w:t>Razones o Motivos de inconformidad:</w:t>
      </w:r>
      <w:bookmarkEnd w:id="10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7408FA">
        <w:rPr>
          <w:rFonts w:ascii="Palatino Linotype" w:hAnsi="Palatino Linotype"/>
          <w:b/>
          <w:color w:val="000000" w:themeColor="text1"/>
        </w:rPr>
        <w:t xml:space="preserve">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FF7C03" w:rsidRPr="00FF7C03">
        <w:rPr>
          <w:rFonts w:ascii="Palatino Linotype" w:hAnsi="Palatino Linotype"/>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w:t>
      </w:r>
      <w:r w:rsidR="00FF7C03" w:rsidRPr="00FF7C03">
        <w:rPr>
          <w:rFonts w:ascii="Palatino Linotype" w:hAnsi="Palatino Linotype"/>
          <w:i/>
          <w:color w:val="000000" w:themeColor="text1"/>
        </w:rPr>
        <w:lastRenderedPageBreak/>
        <w:t>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FF7C03">
        <w:rPr>
          <w:rFonts w:ascii="Palatino Linotype" w:hAnsi="Palatino Linotype"/>
          <w:i/>
          <w:color w:val="000000" w:themeColor="text1"/>
        </w:rPr>
        <w:t xml:space="preserve"> </w:t>
      </w:r>
      <w:r w:rsidR="00FF7C03" w:rsidRPr="00FF7C03">
        <w:rPr>
          <w:rFonts w:ascii="Palatino Linotype" w:hAnsi="Palatino Linotype"/>
          <w:b/>
          <w:color w:val="000000" w:themeColor="text1"/>
        </w:rPr>
        <w:t>(Sic)</w:t>
      </w:r>
    </w:p>
    <w:p w14:paraId="59C4E098" w14:textId="77777777" w:rsidR="007B4CF4" w:rsidRDefault="007B4CF4" w:rsidP="00BE1923">
      <w:pPr>
        <w:pStyle w:val="Prrafodelista"/>
        <w:spacing w:line="360" w:lineRule="auto"/>
        <w:rPr>
          <w:rFonts w:ascii="Palatino Linotype" w:hAnsi="Palatino Linotype" w:cs="Arial"/>
          <w:i/>
          <w:color w:val="000000" w:themeColor="text1"/>
        </w:rPr>
      </w:pPr>
    </w:p>
    <w:p w14:paraId="18403F73" w14:textId="7BD90159"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00EB2DE6">
        <w:rPr>
          <w:rFonts w:ascii="Palatino Linotype" w:eastAsia="Calibri" w:hAnsi="Palatino Linotype" w:cs="Arial"/>
        </w:rPr>
        <w:t xml:space="preserve"> el R</w:t>
      </w:r>
      <w:r w:rsidRPr="000016E9">
        <w:rPr>
          <w:rFonts w:ascii="Palatino Linotype" w:eastAsia="Calibri" w:hAnsi="Palatino Linotype" w:cs="Arial"/>
        </w:rPr>
        <w:t xml:space="preserve">ecurso de </w:t>
      </w:r>
      <w:r w:rsidR="00EB2DE6">
        <w:rPr>
          <w:rFonts w:ascii="Palatino Linotype" w:eastAsia="Calibri" w:hAnsi="Palatino Linotype" w:cs="Arial"/>
        </w:rPr>
        <w:t>R</w:t>
      </w:r>
      <w:r w:rsidRPr="000016E9">
        <w:rPr>
          <w:rFonts w:ascii="Palatino Linotype" w:eastAsia="Calibri" w:hAnsi="Palatino Linotype" w:cs="Arial"/>
        </w:rPr>
        <w:t>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a</w:t>
      </w:r>
      <w:r w:rsidR="00AA02A4">
        <w:rPr>
          <w:rFonts w:ascii="Palatino Linotype" w:eastAsia="Calibri" w:hAnsi="Palatino Linotype" w:cs="Arial"/>
        </w:rPr>
        <w:t xml:space="preserve">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AA02A4">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4DF2FC14" w:rsidR="005123A8" w:rsidRDefault="000B08A0" w:rsidP="00B00B6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lastRenderedPageBreak/>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w:t>
      </w:r>
      <w:r w:rsidR="00EB2DE6">
        <w:rPr>
          <w:rFonts w:ascii="Palatino Linotype" w:hAnsi="Palatino Linotype"/>
          <w:color w:val="000000"/>
        </w:rPr>
        <w:t xml:space="preserve"> </w:t>
      </w:r>
      <w:r w:rsidR="009417CA" w:rsidRPr="00B00B6B">
        <w:rPr>
          <w:rFonts w:ascii="Palatino Linotype" w:hAnsi="Palatino Linotype"/>
          <w:color w:val="000000"/>
        </w:rPr>
        <w:t xml:space="preserve">con fundamento en lo dispuesto por el artículo 185 </w:t>
      </w:r>
      <w:r w:rsidR="009417CA" w:rsidRPr="00B00B6B">
        <w:rPr>
          <w:rFonts w:ascii="Palatino Linotype" w:eastAsia="Calibri" w:hAnsi="Palatino Linotype" w:cs="Arial"/>
        </w:rPr>
        <w:t>fracción</w:t>
      </w:r>
      <w:r w:rsidR="009417CA" w:rsidRPr="00B00B6B">
        <w:rPr>
          <w:rFonts w:ascii="Palatino Linotype" w:hAnsi="Palatino Linotype"/>
          <w:color w:val="000000"/>
        </w:rPr>
        <w:t xml:space="preserve"> II de la ley de la materia, a través del </w:t>
      </w:r>
      <w:r w:rsidR="009417CA" w:rsidRPr="007A69F1">
        <w:rPr>
          <w:rFonts w:ascii="Palatino Linotype" w:hAnsi="Palatino Linotype"/>
          <w:b/>
          <w:color w:val="000000"/>
        </w:rPr>
        <w:t xml:space="preserve">acuerdo de admisión </w:t>
      </w:r>
      <w:r w:rsidR="009417CA" w:rsidRPr="00B00B6B">
        <w:rPr>
          <w:rFonts w:ascii="Palatino Linotype" w:hAnsi="Palatino Linotype"/>
          <w:color w:val="000000"/>
        </w:rPr>
        <w:t xml:space="preserve">de fecha </w:t>
      </w:r>
      <w:r w:rsidR="00FF7C03">
        <w:rPr>
          <w:rFonts w:ascii="Palatino Linotype" w:hAnsi="Palatino Linotype"/>
          <w:color w:val="000000"/>
        </w:rPr>
        <w:t>ocho</w:t>
      </w:r>
      <w:r w:rsidR="009417CA" w:rsidRPr="00B00B6B">
        <w:rPr>
          <w:rFonts w:ascii="Palatino Linotype" w:hAnsi="Palatino Linotype"/>
          <w:color w:val="000000"/>
        </w:rPr>
        <w:t xml:space="preserve"> (</w:t>
      </w:r>
      <w:r w:rsidR="00235AD6">
        <w:rPr>
          <w:rFonts w:ascii="Palatino Linotype" w:hAnsi="Palatino Linotype"/>
          <w:color w:val="000000"/>
        </w:rPr>
        <w:t>0</w:t>
      </w:r>
      <w:r w:rsidR="00FF7C03">
        <w:rPr>
          <w:rFonts w:ascii="Palatino Linotype" w:hAnsi="Palatino Linotype"/>
          <w:color w:val="000000"/>
        </w:rPr>
        <w:t>8</w:t>
      </w:r>
      <w:r w:rsidR="009417CA" w:rsidRPr="00B00B6B">
        <w:rPr>
          <w:rFonts w:ascii="Palatino Linotype" w:hAnsi="Palatino Linotype"/>
          <w:color w:val="000000"/>
        </w:rPr>
        <w:t xml:space="preserve">) de </w:t>
      </w:r>
      <w:r w:rsidR="00FF7C03">
        <w:rPr>
          <w:rFonts w:ascii="Palatino Linotype" w:hAnsi="Palatino Linotype"/>
          <w:color w:val="000000"/>
        </w:rPr>
        <w:t>marz</w:t>
      </w:r>
      <w:r w:rsidR="00A56F2C">
        <w:rPr>
          <w:rFonts w:ascii="Palatino Linotype" w:hAnsi="Palatino Linotype"/>
          <w:color w:val="000000"/>
        </w:rPr>
        <w:t>o</w:t>
      </w:r>
      <w:r w:rsidR="009417CA" w:rsidRPr="00B00B6B">
        <w:rPr>
          <w:rFonts w:ascii="Palatino Linotype" w:hAnsi="Palatino Linotype"/>
          <w:color w:val="000000"/>
        </w:rPr>
        <w:t xml:space="preserve"> de dos mil </w:t>
      </w:r>
      <w:r w:rsidR="00A56F2C" w:rsidRPr="00B00B6B">
        <w:rPr>
          <w:rFonts w:ascii="Palatino Linotype" w:hAnsi="Palatino Linotype"/>
          <w:color w:val="000000"/>
        </w:rPr>
        <w:t>veinti</w:t>
      </w:r>
      <w:r w:rsidR="00A56F2C">
        <w:rPr>
          <w:rFonts w:ascii="Palatino Linotype" w:hAnsi="Palatino Linotype"/>
          <w:color w:val="000000"/>
        </w:rPr>
        <w:t>dós</w:t>
      </w:r>
      <w:r w:rsidR="009417CA" w:rsidRPr="00B00B6B">
        <w:rPr>
          <w:rFonts w:ascii="Palatino Linotype" w:hAnsi="Palatino Linotype"/>
          <w:color w:val="000000"/>
        </w:rPr>
        <w:t xml:space="preserve">, puso a disposición de las partes el expediente electrónico vía SAIMEX a efecto de que en un plazo máximo de siete días manifestaran lo que a </w:t>
      </w:r>
      <w:r w:rsidRPr="00B00B6B">
        <w:rPr>
          <w:rFonts w:ascii="Palatino Linotype" w:hAnsi="Palatino Linotype"/>
          <w:color w:val="000000"/>
        </w:rPr>
        <w:t xml:space="preserve">su </w:t>
      </w:r>
      <w:r w:rsidR="009417CA" w:rsidRPr="00B00B6B">
        <w:rPr>
          <w:rFonts w:ascii="Palatino Linotype" w:hAnsi="Palatino Linotype"/>
          <w:color w:val="000000"/>
        </w:rPr>
        <w:t xml:space="preserve">derecho conviniera, ofrecieran pruebas y alegatos según corresponda al caso concreto, de esta forma para que el </w:t>
      </w:r>
      <w:r w:rsidR="009417CA" w:rsidRPr="00B00B6B">
        <w:rPr>
          <w:rFonts w:ascii="Palatino Linotype" w:hAnsi="Palatino Linotype"/>
          <w:b/>
          <w:color w:val="000000"/>
        </w:rPr>
        <w:t xml:space="preserve">SUJETO OBLIGADO </w:t>
      </w:r>
      <w:r w:rsidR="009417CA" w:rsidRPr="00B00B6B">
        <w:rPr>
          <w:rFonts w:ascii="Palatino Linotype" w:hAnsi="Palatino Linotype"/>
          <w:color w:val="000000"/>
        </w:rPr>
        <w:t>presentara el Informe Justificado procedente.</w:t>
      </w:r>
    </w:p>
    <w:p w14:paraId="11DF70B4" w14:textId="77777777" w:rsidR="004F1024" w:rsidRPr="004F1024" w:rsidRDefault="004F1024" w:rsidP="004F1024">
      <w:pPr>
        <w:pStyle w:val="Prrafodelista"/>
        <w:rPr>
          <w:rFonts w:ascii="Palatino Linotype" w:hAnsi="Palatino Linotype"/>
          <w:color w:val="000000"/>
        </w:rPr>
      </w:pPr>
    </w:p>
    <w:p w14:paraId="26EC5D4D" w14:textId="4CD5086E" w:rsidR="00FD71C1" w:rsidRDefault="003365B8"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Pr>
          <w:rFonts w:ascii="Palatino Linotype" w:hAnsi="Palatino Linotype"/>
          <w:b/>
        </w:rPr>
        <w:t>SUJETO OBLIGADO</w:t>
      </w:r>
      <w:r>
        <w:rPr>
          <w:rFonts w:ascii="Palatino Linotype" w:hAnsi="Palatino Linotype"/>
        </w:rPr>
        <w:t xml:space="preserve"> </w:t>
      </w:r>
      <w:r w:rsidR="00884A34">
        <w:rPr>
          <w:rFonts w:ascii="Palatino Linotype" w:hAnsi="Palatino Linotype"/>
        </w:rPr>
        <w:t>fue omiso en rendir su</w:t>
      </w:r>
      <w:r>
        <w:rPr>
          <w:rFonts w:ascii="Palatino Linotype" w:hAnsi="Palatino Linotype"/>
        </w:rPr>
        <w:t xml:space="preserve"> informe justificado correspondiente, por su parte </w:t>
      </w:r>
      <w:r w:rsidR="00CF73A0">
        <w:rPr>
          <w:rFonts w:ascii="Palatino Linotype" w:hAnsi="Palatino Linotype"/>
          <w:b/>
        </w:rPr>
        <w:t>EL RECURRENTE</w:t>
      </w:r>
      <w:r w:rsidR="00967F31">
        <w:rPr>
          <w:rFonts w:ascii="Palatino Linotype" w:hAnsi="Palatino Linotype"/>
        </w:rPr>
        <w:t xml:space="preserve"> </w:t>
      </w:r>
      <w:r w:rsidR="00235AD6">
        <w:rPr>
          <w:rFonts w:ascii="Palatino Linotype" w:hAnsi="Palatino Linotype"/>
        </w:rPr>
        <w:t xml:space="preserve">no </w:t>
      </w:r>
      <w:r>
        <w:rPr>
          <w:rFonts w:ascii="Palatino Linotype" w:hAnsi="Palatino Linotype"/>
        </w:rPr>
        <w:t>realiz</w:t>
      </w:r>
      <w:r w:rsidR="007144AE">
        <w:rPr>
          <w:rFonts w:ascii="Palatino Linotype" w:hAnsi="Palatino Linotype"/>
        </w:rPr>
        <w:t>ó</w:t>
      </w:r>
      <w:r>
        <w:rPr>
          <w:rFonts w:ascii="Palatino Linotype" w:hAnsi="Palatino Linotype"/>
        </w:rPr>
        <w:t xml:space="preserve"> manifestaciones que a su derecho </w:t>
      </w:r>
      <w:r w:rsidR="00967F31">
        <w:rPr>
          <w:rFonts w:ascii="Palatino Linotype" w:hAnsi="Palatino Linotype"/>
        </w:rPr>
        <w:t>convin</w:t>
      </w:r>
      <w:r w:rsidR="00235AD6">
        <w:rPr>
          <w:rFonts w:ascii="Palatino Linotype" w:hAnsi="Palatino Linotype"/>
        </w:rPr>
        <w:t>ieran y asistieran.</w:t>
      </w:r>
    </w:p>
    <w:p w14:paraId="50952D33" w14:textId="77777777" w:rsidR="007144AE" w:rsidRPr="007144AE" w:rsidRDefault="007144AE" w:rsidP="007144AE">
      <w:pPr>
        <w:pStyle w:val="Prrafodelista"/>
        <w:rPr>
          <w:rFonts w:ascii="Palatino Linotype" w:hAnsi="Palatino Linotype"/>
        </w:rPr>
      </w:pPr>
    </w:p>
    <w:p w14:paraId="5B29B248" w14:textId="360A57BE" w:rsidR="001769CF" w:rsidRPr="00102F42" w:rsidRDefault="00EB2DE6" w:rsidP="008709C6">
      <w:pPr>
        <w:pStyle w:val="Prrafodelista"/>
        <w:numPr>
          <w:ilvl w:val="0"/>
          <w:numId w:val="7"/>
        </w:numPr>
        <w:spacing w:line="360" w:lineRule="auto"/>
        <w:ind w:left="0" w:firstLine="0"/>
        <w:jc w:val="both"/>
        <w:rPr>
          <w:rFonts w:ascii="Palatino Linotype" w:hAnsi="Palatino Linotype"/>
          <w:b/>
          <w:color w:val="000000" w:themeColor="text1"/>
          <w:sz w:val="28"/>
        </w:rPr>
      </w:pPr>
      <w:r w:rsidRPr="00102F42">
        <w:rPr>
          <w:rFonts w:ascii="Palatino Linotype" w:hAnsi="Palatino Linotype"/>
        </w:rPr>
        <w:t>La Comisionada Ponente mediante acuerdo</w:t>
      </w:r>
      <w:r w:rsidR="00992915">
        <w:rPr>
          <w:rFonts w:ascii="Palatino Linotype" w:hAnsi="Palatino Linotype"/>
        </w:rPr>
        <w:t>s</w:t>
      </w:r>
      <w:r w:rsidR="00F00198" w:rsidRPr="00102F42">
        <w:rPr>
          <w:rFonts w:ascii="Palatino Linotype" w:hAnsi="Palatino Linotype"/>
        </w:rPr>
        <w:t xml:space="preserve"> de fecha </w:t>
      </w:r>
      <w:r w:rsidR="00992915">
        <w:rPr>
          <w:rFonts w:ascii="Palatino Linotype" w:hAnsi="Palatino Linotype"/>
        </w:rPr>
        <w:t>diecisiete</w:t>
      </w:r>
      <w:r w:rsidRPr="00102F42">
        <w:rPr>
          <w:rFonts w:ascii="Palatino Linotype" w:hAnsi="Palatino Linotype"/>
        </w:rPr>
        <w:t xml:space="preserve"> (</w:t>
      </w:r>
      <w:r w:rsidR="00992915">
        <w:rPr>
          <w:rFonts w:ascii="Palatino Linotype" w:hAnsi="Palatino Linotype"/>
        </w:rPr>
        <w:t>17</w:t>
      </w:r>
      <w:r w:rsidRPr="00102F42">
        <w:rPr>
          <w:rFonts w:ascii="Palatino Linotype" w:hAnsi="Palatino Linotype"/>
        </w:rPr>
        <w:t xml:space="preserve">) de </w:t>
      </w:r>
      <w:r w:rsidR="00992915">
        <w:rPr>
          <w:rFonts w:ascii="Palatino Linotype" w:hAnsi="Palatino Linotype"/>
        </w:rPr>
        <w:t>mayo</w:t>
      </w:r>
      <w:r w:rsidRPr="00102F42">
        <w:rPr>
          <w:rFonts w:ascii="Palatino Linotype" w:hAnsi="Palatino Linotype"/>
        </w:rPr>
        <w:t xml:space="preserve"> de dos mil </w:t>
      </w:r>
      <w:r w:rsidR="003E62B7" w:rsidRPr="00102F42">
        <w:rPr>
          <w:rFonts w:ascii="Palatino Linotype" w:hAnsi="Palatino Linotype"/>
        </w:rPr>
        <w:t>veintidós</w:t>
      </w:r>
      <w:r w:rsidR="00F00198" w:rsidRPr="00102F42">
        <w:rPr>
          <w:rFonts w:ascii="Palatino Linotype" w:hAnsi="Palatino Linotype"/>
        </w:rPr>
        <w:t xml:space="preserve">, amplió el termino para resolver y </w:t>
      </w:r>
      <w:r w:rsidRPr="00102F42">
        <w:rPr>
          <w:rFonts w:ascii="Palatino Linotype" w:hAnsi="Palatino Linotype"/>
        </w:rPr>
        <w:t>d</w:t>
      </w:r>
      <w:r w:rsidR="00006DF7">
        <w:rPr>
          <w:rFonts w:ascii="Palatino Linotype" w:hAnsi="Palatino Linotype"/>
        </w:rPr>
        <w:t>ecretó</w:t>
      </w:r>
      <w:r w:rsidR="008709C6" w:rsidRPr="00102F42">
        <w:rPr>
          <w:rFonts w:ascii="Palatino Linotype" w:hAnsi="Palatino Linotype"/>
        </w:rPr>
        <w:t xml:space="preserve"> el cierre de instrucción</w:t>
      </w:r>
      <w:r w:rsidR="007B4CF4" w:rsidRPr="00102F42">
        <w:rPr>
          <w:rFonts w:ascii="Palatino Linotype" w:hAnsi="Palatino Linotype" w:cs="Arial"/>
        </w:rPr>
        <w:t xml:space="preserve">, </w:t>
      </w:r>
      <w:r w:rsidR="009417CA" w:rsidRPr="00102F42">
        <w:rPr>
          <w:rFonts w:ascii="Palatino Linotype" w:hAnsi="Palatino Linotype" w:cs="Arial"/>
        </w:rPr>
        <w:t>por lo que no habiendo más que hacer constar, y --------------</w:t>
      </w:r>
      <w:bookmarkStart w:id="209" w:name="_Toc491791302"/>
      <w:bookmarkStart w:id="210" w:name="_Toc74778592"/>
      <w:r w:rsidR="008709C6" w:rsidRPr="00102F42">
        <w:rPr>
          <w:rFonts w:ascii="Palatino Linotype" w:hAnsi="Palatino Linotype" w:cs="Arial"/>
        </w:rPr>
        <w:t>--------------</w:t>
      </w:r>
      <w:r w:rsidR="007144AE">
        <w:rPr>
          <w:rFonts w:ascii="Palatino Linotype" w:hAnsi="Palatino Linotype" w:cs="Arial"/>
        </w:rPr>
        <w:t>-</w:t>
      </w:r>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211" w:name="_Toc87274186"/>
      <w:r w:rsidRPr="007C7F08">
        <w:rPr>
          <w:rFonts w:ascii="Palatino Linotype" w:hAnsi="Palatino Linotype"/>
          <w:b/>
          <w:color w:val="000000" w:themeColor="text1"/>
          <w:sz w:val="28"/>
        </w:rPr>
        <w:t>CONSIDERANDO</w:t>
      </w:r>
      <w:bookmarkEnd w:id="209"/>
      <w:bookmarkEnd w:id="210"/>
      <w:bookmarkEnd w:id="211"/>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212" w:name="_Toc491791303"/>
      <w:bookmarkStart w:id="213" w:name="_Toc74778593"/>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14" w:name="_Toc87274187"/>
      <w:r w:rsidRPr="00D27215">
        <w:rPr>
          <w:rFonts w:ascii="Palatino Linotype" w:hAnsi="Palatino Linotype"/>
          <w:b/>
          <w:color w:val="auto"/>
          <w:sz w:val="24"/>
          <w:szCs w:val="24"/>
        </w:rPr>
        <w:t>PRIMERO. De la competencia</w:t>
      </w:r>
      <w:bookmarkEnd w:id="212"/>
      <w:bookmarkEnd w:id="213"/>
      <w:bookmarkEnd w:id="214"/>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w:t>
      </w:r>
      <w:r w:rsidRPr="009E6B17">
        <w:rPr>
          <w:rFonts w:ascii="Palatino Linotype" w:hAnsi="Palatino Linotype"/>
          <w:color w:val="000000" w:themeColor="text1"/>
        </w:rPr>
        <w:lastRenderedPageBreak/>
        <w:t>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5" w:name="_Toc80699770"/>
      <w:bookmarkStart w:id="216" w:name="_Toc81260548"/>
    </w:p>
    <w:p w14:paraId="775CEE32" w14:textId="50DEE960" w:rsidR="009417CA" w:rsidRPr="00EA7E3D"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7" w:name="_Toc87274188"/>
      <w:r>
        <w:rPr>
          <w:rFonts w:ascii="Palatino Linotype" w:hAnsi="Palatino Linotype"/>
          <w:b/>
          <w:bCs/>
          <w:color w:val="000000" w:themeColor="text1"/>
        </w:rPr>
        <w:t>SEGUNDO.</w:t>
      </w:r>
      <w:bookmarkStart w:id="218" w:name="_Toc491791304"/>
      <w:bookmarkStart w:id="219" w:name="_Toc74778594"/>
      <w:bookmarkEnd w:id="215"/>
      <w:bookmarkEnd w:id="216"/>
      <w:r w:rsidR="009417CA" w:rsidRPr="00EA7E3D">
        <w:rPr>
          <w:rFonts w:ascii="Palatino Linotype" w:hAnsi="Palatino Linotype"/>
          <w:b/>
          <w:color w:val="000000" w:themeColor="text1"/>
        </w:rPr>
        <w:t xml:space="preserve"> De la oportunidad y procedencia.</w:t>
      </w:r>
      <w:bookmarkEnd w:id="217"/>
      <w:bookmarkEnd w:id="218"/>
      <w:bookmarkEnd w:id="219"/>
    </w:p>
    <w:p w14:paraId="432ADE56" w14:textId="77777777" w:rsidR="009417CA" w:rsidRPr="00D27215" w:rsidRDefault="009417CA" w:rsidP="00BE1923">
      <w:pPr>
        <w:spacing w:line="360" w:lineRule="auto"/>
        <w:rPr>
          <w:rFonts w:ascii="Palatino Linotype" w:hAnsi="Palatino Linotype"/>
          <w:lang w:eastAsia="en-US"/>
        </w:rPr>
      </w:pPr>
    </w:p>
    <w:p w14:paraId="30820BC9" w14:textId="6111BF25" w:rsidR="00F17E65" w:rsidRPr="00843E34"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0" w:name="_Toc521431830"/>
      <w:bookmarkStart w:id="221" w:name="_Toc27653760"/>
      <w:r w:rsidRPr="00F26AA5">
        <w:rPr>
          <w:rFonts w:ascii="Palatino Linotype" w:eastAsia="Calibri" w:hAnsi="Palatino Linotype" w:cs="Arial"/>
        </w:rPr>
        <w:t xml:space="preserve">El medio de impugnación fue presentado a través del </w:t>
      </w:r>
      <w:r w:rsidR="007A69F1">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992915">
        <w:rPr>
          <w:rFonts w:ascii="Palatino Linotype" w:eastAsia="Calibri" w:hAnsi="Palatino Linotype" w:cs="Arial"/>
        </w:rPr>
        <w:t>nueve</w:t>
      </w:r>
      <w:r>
        <w:rPr>
          <w:rFonts w:ascii="Palatino Linotype" w:eastAsia="Calibri" w:hAnsi="Palatino Linotype" w:cs="Arial"/>
        </w:rPr>
        <w:t xml:space="preserve"> </w:t>
      </w:r>
      <w:r w:rsidRPr="00F26AA5">
        <w:rPr>
          <w:rFonts w:ascii="Palatino Linotype" w:eastAsia="Calibri" w:hAnsi="Palatino Linotype" w:cs="Arial"/>
        </w:rPr>
        <w:t>(</w:t>
      </w:r>
      <w:r w:rsidR="005E33CE">
        <w:rPr>
          <w:rFonts w:ascii="Palatino Linotype" w:eastAsia="Calibri" w:hAnsi="Palatino Linotype" w:cs="Arial"/>
        </w:rPr>
        <w:t>0</w:t>
      </w:r>
      <w:r w:rsidR="00992915">
        <w:rPr>
          <w:rFonts w:ascii="Palatino Linotype" w:eastAsia="Calibri" w:hAnsi="Palatino Linotype" w:cs="Arial"/>
        </w:rPr>
        <w:t>9</w:t>
      </w:r>
      <w:r w:rsidRPr="00F26AA5">
        <w:rPr>
          <w:rFonts w:ascii="Palatino Linotype" w:eastAsia="Calibri" w:hAnsi="Palatino Linotype" w:cs="Arial"/>
        </w:rPr>
        <w:t xml:space="preserve">) de </w:t>
      </w:r>
      <w:r w:rsidR="005E33CE">
        <w:rPr>
          <w:rFonts w:ascii="Palatino Linotype" w:eastAsia="Calibri" w:hAnsi="Palatino Linotype" w:cs="Arial"/>
        </w:rPr>
        <w:t>febrero de dos mil veintidós</w:t>
      </w:r>
      <w:r w:rsidRPr="00F26AA5">
        <w:rPr>
          <w:rFonts w:ascii="Palatino Linotype" w:eastAsia="Calibri" w:hAnsi="Palatino Linotype" w:cs="Arial"/>
        </w:rPr>
        <w:t xml:space="preserve">, </w:t>
      </w:r>
      <w:r w:rsidRPr="00F26AA5">
        <w:rPr>
          <w:rFonts w:ascii="Palatino Linotype" w:hAnsi="Palatino Linotype" w:cs="Arial"/>
        </w:rPr>
        <w:t xml:space="preserve">de tal forma que el plazo para interponer el recurso transcurrió del día </w:t>
      </w:r>
      <w:r w:rsidR="00992915">
        <w:rPr>
          <w:rFonts w:ascii="Palatino Linotype" w:hAnsi="Palatino Linotype" w:cs="Arial"/>
        </w:rPr>
        <w:t>diez</w:t>
      </w:r>
      <w:r w:rsidR="005E33CE">
        <w:rPr>
          <w:rFonts w:ascii="Palatino Linotype" w:hAnsi="Palatino Linotype" w:cs="Arial"/>
        </w:rPr>
        <w:t xml:space="preserve"> </w:t>
      </w:r>
      <w:r w:rsidRPr="00F26AA5">
        <w:rPr>
          <w:rFonts w:ascii="Palatino Linotype" w:hAnsi="Palatino Linotype" w:cs="Arial"/>
        </w:rPr>
        <w:t>(</w:t>
      </w:r>
      <w:r w:rsidR="00992915">
        <w:rPr>
          <w:rFonts w:ascii="Palatino Linotype" w:hAnsi="Palatino Linotype" w:cs="Arial"/>
        </w:rPr>
        <w:t>10</w:t>
      </w:r>
      <w:r w:rsidRPr="00F26AA5">
        <w:rPr>
          <w:rFonts w:ascii="Palatino Linotype" w:hAnsi="Palatino Linotype" w:cs="Arial"/>
        </w:rPr>
        <w:t>)</w:t>
      </w:r>
      <w:r w:rsidR="00006DF7" w:rsidRPr="00F26AA5">
        <w:rPr>
          <w:rFonts w:ascii="Palatino Linotype" w:hAnsi="Palatino Linotype" w:cs="Arial"/>
        </w:rPr>
        <w:t xml:space="preserve"> </w:t>
      </w:r>
      <w:r w:rsidR="005E33CE">
        <w:rPr>
          <w:rFonts w:ascii="Palatino Linotype" w:hAnsi="Palatino Linotype" w:cs="Arial"/>
        </w:rPr>
        <w:t xml:space="preserve">de febrero </w:t>
      </w:r>
      <w:r w:rsidRPr="00F26AA5">
        <w:rPr>
          <w:rFonts w:ascii="Palatino Linotype" w:hAnsi="Palatino Linotype" w:cs="Arial"/>
        </w:rPr>
        <w:t xml:space="preserve">al </w:t>
      </w:r>
      <w:r w:rsidR="00992915">
        <w:rPr>
          <w:rFonts w:ascii="Palatino Linotype" w:hAnsi="Palatino Linotype" w:cs="Arial"/>
        </w:rPr>
        <w:t>tres</w:t>
      </w:r>
      <w:r w:rsidR="00102F42">
        <w:rPr>
          <w:rFonts w:ascii="Palatino Linotype" w:hAnsi="Palatino Linotype" w:cs="Arial"/>
        </w:rPr>
        <w:t xml:space="preserve"> </w:t>
      </w:r>
      <w:r w:rsidRPr="00F26AA5">
        <w:rPr>
          <w:rFonts w:ascii="Palatino Linotype" w:hAnsi="Palatino Linotype" w:cs="Arial"/>
        </w:rPr>
        <w:t>(</w:t>
      </w:r>
      <w:r w:rsidR="00992915">
        <w:rPr>
          <w:rFonts w:ascii="Palatino Linotype" w:hAnsi="Palatino Linotype" w:cs="Arial"/>
        </w:rPr>
        <w:t>03</w:t>
      </w:r>
      <w:r w:rsidRPr="00F26AA5">
        <w:rPr>
          <w:rFonts w:ascii="Palatino Linotype" w:hAnsi="Palatino Linotype" w:cs="Arial"/>
        </w:rPr>
        <w:t xml:space="preserve">) de </w:t>
      </w:r>
      <w:r w:rsidR="00992915">
        <w:rPr>
          <w:rFonts w:ascii="Palatino Linotype" w:hAnsi="Palatino Linotype" w:cs="Arial"/>
        </w:rPr>
        <w:t>marzo</w:t>
      </w:r>
      <w:r w:rsidRPr="00F26AA5">
        <w:rPr>
          <w:rFonts w:ascii="Palatino Linotype" w:hAnsi="Palatino Linotype" w:cs="Arial"/>
        </w:rPr>
        <w:t xml:space="preserve"> de dos mil </w:t>
      </w:r>
      <w:r w:rsidR="00ED68FE" w:rsidRPr="00F26AA5">
        <w:rPr>
          <w:rFonts w:ascii="Palatino Linotype" w:hAnsi="Palatino Linotype" w:cs="Arial"/>
        </w:rPr>
        <w:t>veinti</w:t>
      </w:r>
      <w:r w:rsidR="00ED68FE">
        <w:rPr>
          <w:rFonts w:ascii="Palatino Linotype" w:hAnsi="Palatino Linotype" w:cs="Arial"/>
        </w:rPr>
        <w:t>dós</w:t>
      </w:r>
      <w:r w:rsidRPr="00F26AA5">
        <w:rPr>
          <w:rFonts w:ascii="Palatino Linotype" w:hAnsi="Palatino Linotype" w:cs="Arial"/>
        </w:rPr>
        <w:t xml:space="preserve">; en consecuencia, </w:t>
      </w:r>
      <w:r w:rsidR="005E33CE">
        <w:rPr>
          <w:rFonts w:ascii="Palatino Linotype" w:hAnsi="Palatino Linotype" w:cs="Arial"/>
        </w:rPr>
        <w:t>e</w:t>
      </w:r>
      <w:r w:rsidRPr="00F26AA5">
        <w:rPr>
          <w:rFonts w:ascii="Palatino Linotype" w:hAnsi="Palatino Linotype" w:cs="Arial"/>
        </w:rPr>
        <w:t xml:space="preserve">l ahora recurrente presentó su inconformidad el día </w:t>
      </w:r>
      <w:r w:rsidR="00992915">
        <w:rPr>
          <w:rFonts w:ascii="Palatino Linotype" w:hAnsi="Palatino Linotype" w:cs="Arial"/>
        </w:rPr>
        <w:t>tres</w:t>
      </w:r>
      <w:r w:rsidR="00002D71">
        <w:rPr>
          <w:rFonts w:ascii="Palatino Linotype" w:hAnsi="Palatino Linotype" w:cs="Arial"/>
        </w:rPr>
        <w:t xml:space="preserve"> </w:t>
      </w:r>
      <w:r w:rsidRPr="00F26AA5">
        <w:rPr>
          <w:rFonts w:ascii="Palatino Linotype" w:hAnsi="Palatino Linotype" w:cs="Arial"/>
        </w:rPr>
        <w:t>(</w:t>
      </w:r>
      <w:r w:rsidR="0097601F">
        <w:rPr>
          <w:rFonts w:ascii="Palatino Linotype" w:hAnsi="Palatino Linotype" w:cs="Arial"/>
        </w:rPr>
        <w:t>0</w:t>
      </w:r>
      <w:r w:rsidR="00992915">
        <w:rPr>
          <w:rFonts w:ascii="Palatino Linotype" w:hAnsi="Palatino Linotype" w:cs="Arial"/>
        </w:rPr>
        <w:t>3</w:t>
      </w:r>
      <w:r w:rsidRPr="00F26AA5">
        <w:rPr>
          <w:rFonts w:ascii="Palatino Linotype" w:hAnsi="Palatino Linotype" w:cs="Arial"/>
        </w:rPr>
        <w:t>) de</w:t>
      </w:r>
      <w:r w:rsidR="00DB5531">
        <w:rPr>
          <w:rFonts w:ascii="Palatino Linotype" w:hAnsi="Palatino Linotype" w:cs="Arial"/>
        </w:rPr>
        <w:t xml:space="preserve"> </w:t>
      </w:r>
      <w:r w:rsidR="00992915">
        <w:rPr>
          <w:rFonts w:ascii="Palatino Linotype" w:hAnsi="Palatino Linotype" w:cs="Arial"/>
        </w:rPr>
        <w:t>marz</w:t>
      </w:r>
      <w:r w:rsidR="0097601F">
        <w:rPr>
          <w:rFonts w:ascii="Palatino Linotype" w:hAnsi="Palatino Linotype" w:cs="Arial"/>
        </w:rPr>
        <w:t>o</w:t>
      </w:r>
      <w:r w:rsidRPr="00F26AA5">
        <w:rPr>
          <w:rFonts w:ascii="Palatino Linotype" w:hAnsi="Palatino Linotype" w:cs="Arial"/>
        </w:rPr>
        <w:t xml:space="preserve"> de dos mil </w:t>
      </w:r>
      <w:r w:rsidR="00BC4CE2" w:rsidRPr="00F26AA5">
        <w:rPr>
          <w:rFonts w:ascii="Palatino Linotype" w:hAnsi="Palatino Linotype" w:cs="Arial"/>
        </w:rPr>
        <w:t>veinti</w:t>
      </w:r>
      <w:r w:rsidR="00BC4CE2">
        <w:rPr>
          <w:rFonts w:ascii="Palatino Linotype" w:hAnsi="Palatino Linotype" w:cs="Arial"/>
        </w:rPr>
        <w:t>dós</w:t>
      </w:r>
      <w:r w:rsidRPr="00F26AA5">
        <w:rPr>
          <w:rFonts w:ascii="Palatino Linotype" w:hAnsi="Palatino Linotype" w:cs="Arial"/>
        </w:rPr>
        <w:t xml:space="preserve">; es decir </w:t>
      </w:r>
      <w:r w:rsidR="0034421A">
        <w:rPr>
          <w:rFonts w:ascii="Palatino Linotype" w:hAnsi="Palatino Linotype" w:cs="Arial"/>
        </w:rPr>
        <w:t>dentro del lapso temporal legalmente establecido para tal efecto</w:t>
      </w:r>
      <w:r w:rsidR="00F17E65" w:rsidRPr="00B167A0">
        <w:rPr>
          <w:rFonts w:ascii="Palatino Linotype" w:hAnsi="Palatino Linotype"/>
          <w:lang w:val="es-MX"/>
        </w:rPr>
        <w:t>.</w:t>
      </w:r>
    </w:p>
    <w:p w14:paraId="00DEC6C9" w14:textId="77777777" w:rsidR="00843E34" w:rsidRPr="00843E34" w:rsidRDefault="00843E34" w:rsidP="00843E34">
      <w:pPr>
        <w:pStyle w:val="Prrafodelista"/>
        <w:spacing w:line="360" w:lineRule="auto"/>
        <w:ind w:left="0"/>
        <w:jc w:val="both"/>
        <w:rPr>
          <w:rFonts w:ascii="Palatino Linotype" w:hAnsi="Palatino Linotype" w:cs="Arial"/>
          <w:i/>
          <w:sz w:val="22"/>
          <w:szCs w:val="20"/>
        </w:rPr>
      </w:pPr>
    </w:p>
    <w:p w14:paraId="2BF4F363"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Pr>
          <w:rFonts w:ascii="Palatino Linotype" w:hAnsi="Palatino Linotype"/>
        </w:rPr>
        <w:t xml:space="preserve">Por </w:t>
      </w:r>
      <w:r w:rsidRPr="00196CCD">
        <w:rPr>
          <w:rFonts w:ascii="Palatino Linotype" w:eastAsia="Calibri" w:hAnsi="Palatino Linotype" w:cs="Arial"/>
        </w:rPr>
        <w:t>otro</w:t>
      </w:r>
      <w:r>
        <w:rPr>
          <w:rFonts w:ascii="Palatino Linotype" w:hAnsi="Palatino Linotype"/>
        </w:rPr>
        <w:t xml:space="preserve"> lado, </w:t>
      </w:r>
      <w:r w:rsidRPr="007C3761">
        <w:rPr>
          <w:rFonts w:ascii="Palatino Linotype" w:eastAsia="Calibri" w:hAnsi="Palatino Linotype" w:cs="Arial"/>
        </w:rPr>
        <w:t>es</w:t>
      </w:r>
      <w:r w:rsidRPr="00AB76AB">
        <w:rPr>
          <w:rFonts w:ascii="Palatino Linotype" w:eastAsia="Palatino Linotype" w:hAnsi="Palatino Linotype" w:cs="Palatino Linotype"/>
        </w:rPr>
        <w:t xml:space="preserve"> de suma importancia señalar que la parte recurrente </w:t>
      </w:r>
      <w:r>
        <w:rPr>
          <w:rFonts w:ascii="Palatino Linotype" w:eastAsia="Palatino Linotype" w:hAnsi="Palatino Linotype" w:cs="Palatino Linotype"/>
        </w:rPr>
        <w:t xml:space="preserve">no proporciona un nombre o datos de identificación </w:t>
      </w:r>
      <w:r w:rsidRPr="00AB76AB">
        <w:rPr>
          <w:rFonts w:ascii="Palatino Linotype" w:eastAsia="Palatino Linotype" w:hAnsi="Palatino Linotype" w:cs="Palatino Linotype"/>
        </w:rPr>
        <w:t xml:space="preserve">como se advierte en el detalle de seguimiento del SAIMEX, no obstante lo anterior, no proporcionar el nombre </w:t>
      </w:r>
      <w:r w:rsidRPr="00AB76AB">
        <w:rPr>
          <w:rFonts w:ascii="Palatino Linotype" w:eastAsia="Palatino Linotype" w:hAnsi="Palatino Linotype" w:cs="Palatino Linotype"/>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29F3A8" w14:textId="77777777" w:rsidR="00843E34" w:rsidRPr="00AB76AB" w:rsidRDefault="00843E34" w:rsidP="00843E34">
      <w:pPr>
        <w:spacing w:line="360" w:lineRule="auto"/>
        <w:jc w:val="both"/>
        <w:rPr>
          <w:rFonts w:ascii="Palatino Linotype" w:eastAsia="Palatino Linotype" w:hAnsi="Palatino Linotype" w:cs="Palatino Linotype"/>
        </w:rPr>
      </w:pPr>
    </w:p>
    <w:p w14:paraId="377553F1"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Las solicitudes anónimas</w:t>
      </w:r>
      <w:r w:rsidRPr="00AB76AB">
        <w:rPr>
          <w:rFonts w:ascii="Palatino Linotype" w:eastAsia="Palatino Linotype" w:hAnsi="Palatino Linotype" w:cs="Palatino Linotype"/>
          <w:i/>
        </w:rPr>
        <w:t xml:space="preserve">, con nombre incompleto o seudónimo </w:t>
      </w:r>
      <w:r w:rsidRPr="00AB76AB">
        <w:rPr>
          <w:rFonts w:ascii="Palatino Linotype" w:eastAsia="Palatino Linotype" w:hAnsi="Palatino Linotype" w:cs="Palatino Linotype"/>
          <w:b/>
          <w:i/>
        </w:rPr>
        <w:t>serán procedentes para su trámite por parte del sujeto obligado ante quien se presente</w:t>
      </w:r>
      <w:r w:rsidRPr="00AB76AB">
        <w:rPr>
          <w:rFonts w:ascii="Palatino Linotype" w:eastAsia="Palatino Linotype" w:hAnsi="Palatino Linotype" w:cs="Palatino Linotype"/>
          <w:i/>
        </w:rPr>
        <w:t>. No podrá requerirse información adicional con motivo del nombre proporcionado por el solicitante."</w:t>
      </w:r>
    </w:p>
    <w:p w14:paraId="2B220B36" w14:textId="77777777" w:rsidR="00843E34" w:rsidRPr="00AB76AB" w:rsidRDefault="00843E34" w:rsidP="00843E34">
      <w:pPr>
        <w:spacing w:line="360" w:lineRule="auto"/>
        <w:jc w:val="both"/>
        <w:rPr>
          <w:rFonts w:ascii="Palatino Linotype" w:eastAsia="Palatino Linotype" w:hAnsi="Palatino Linotype" w:cs="Palatino Linotype"/>
        </w:rPr>
      </w:pPr>
    </w:p>
    <w:p w14:paraId="5414D51B"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112D7E">
        <w:rPr>
          <w:rFonts w:ascii="Palatino Linotype" w:hAnsi="Palatino Linotype"/>
        </w:rPr>
        <w:t>Robusteciendo</w:t>
      </w:r>
      <w:r w:rsidRPr="00AB76AB">
        <w:rPr>
          <w:rFonts w:ascii="Palatino Linotype" w:eastAsia="Palatino Linotype" w:hAnsi="Palatino Linotype" w:cs="Palatino Linotype"/>
        </w:rPr>
        <w:t xml:space="preserve"> lo anterior se encuentra lo dispuesto en el artículo 6, Apartado A, </w:t>
      </w:r>
      <w:r w:rsidRPr="00196CCD">
        <w:rPr>
          <w:rFonts w:ascii="Palatino Linotype" w:hAnsi="Palatino Linotype"/>
        </w:rPr>
        <w:t>fracciones</w:t>
      </w:r>
      <w:r w:rsidRPr="00AB76AB">
        <w:rPr>
          <w:rFonts w:ascii="Palatino Linotype" w:eastAsia="Palatino Linotype" w:hAnsi="Palatino Linotype" w:cs="Palatino Linotype"/>
        </w:rPr>
        <w:t xml:space="preserve"> III de la Constitución Política de los Estados Unidos Mexicanos que establece:</w:t>
      </w:r>
    </w:p>
    <w:p w14:paraId="3E405961" w14:textId="77777777" w:rsidR="00843E34" w:rsidRPr="00AB76AB" w:rsidRDefault="00843E34" w:rsidP="00843E34">
      <w:pPr>
        <w:spacing w:line="360" w:lineRule="auto"/>
        <w:ind w:right="474"/>
        <w:jc w:val="both"/>
        <w:rPr>
          <w:rFonts w:ascii="Palatino Linotype" w:eastAsia="Palatino Linotype" w:hAnsi="Palatino Linotype" w:cs="Palatino Linotype"/>
          <w:i/>
        </w:rPr>
      </w:pPr>
    </w:p>
    <w:p w14:paraId="45B1BFA5"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6.-</w:t>
      </w:r>
      <w:r w:rsidRPr="00AB76A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F11FBE0"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efectos de lo dispuesto en el presente artículo se observará lo siguiente:</w:t>
      </w:r>
    </w:p>
    <w:p w14:paraId="7FF89F88"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p>
    <w:p w14:paraId="000D1879"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280554F2"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 (Sic)</w:t>
      </w:r>
    </w:p>
    <w:p w14:paraId="6F988958"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p>
    <w:p w14:paraId="49D9DCE5"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45FC14A2" w14:textId="77777777" w:rsidR="00843E34" w:rsidRPr="00AB76AB" w:rsidRDefault="00843E34" w:rsidP="00843E34">
      <w:pPr>
        <w:spacing w:line="360" w:lineRule="auto"/>
        <w:ind w:right="474"/>
        <w:jc w:val="both"/>
        <w:rPr>
          <w:rFonts w:ascii="Palatino Linotype" w:eastAsia="Palatino Linotype" w:hAnsi="Palatino Linotype" w:cs="Palatino Linotype"/>
          <w:i/>
        </w:rPr>
      </w:pPr>
    </w:p>
    <w:p w14:paraId="72B063B7"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5.-</w:t>
      </w:r>
      <w:r w:rsidRPr="00AB76A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3EE4DA7"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14:paraId="1825E858"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014F485F"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14:paraId="5998142A"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3A4A7D2E"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6B11E8F"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63EE2D69"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14:paraId="435110B4"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7FA9106"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p>
    <w:p w14:paraId="029A5F89"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Por otra parte, del contenido del artículo 1 de la Constitución Política de los Estados</w:t>
      </w:r>
      <w:r>
        <w:rPr>
          <w:rFonts w:ascii="Palatino Linotype" w:eastAsia="Palatino Linotype" w:hAnsi="Palatino Linotype" w:cs="Palatino Linotype"/>
        </w:rPr>
        <w:t xml:space="preserve"> </w:t>
      </w:r>
      <w:r w:rsidRPr="00AB76AB">
        <w:rPr>
          <w:rFonts w:ascii="Palatino Linotype" w:eastAsia="Palatino Linotype" w:hAnsi="Palatino Linotype" w:cs="Palatino Linotype"/>
        </w:rPr>
        <w:t>Unidos mexicanos, se destaca lo siguiente:</w:t>
      </w:r>
    </w:p>
    <w:p w14:paraId="774FC1C4" w14:textId="77777777" w:rsidR="00843E34" w:rsidRPr="00AB76AB" w:rsidRDefault="00843E34" w:rsidP="00843E34">
      <w:pPr>
        <w:spacing w:line="360" w:lineRule="auto"/>
        <w:ind w:left="567" w:right="474"/>
        <w:jc w:val="both"/>
        <w:rPr>
          <w:rFonts w:ascii="Palatino Linotype" w:eastAsia="Palatino Linotype" w:hAnsi="Palatino Linotype" w:cs="Palatino Linotype"/>
          <w:i/>
        </w:rPr>
      </w:pPr>
    </w:p>
    <w:p w14:paraId="49C9627B"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1</w:t>
      </w:r>
      <w:r w:rsidRPr="00AB76AB">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w:t>
      </w:r>
      <w:r w:rsidRPr="00AB76AB">
        <w:rPr>
          <w:rFonts w:ascii="Palatino Linotype" w:eastAsia="Palatino Linotype" w:hAnsi="Palatino Linotype" w:cs="Palatino Linotype"/>
          <w:i/>
        </w:rPr>
        <w:lastRenderedPageBreak/>
        <w:t>para su protección, cuyo ejercicio no podrá restringirse ni suspenderse, salvo en los casos y bajo las condiciones que esta Constitución establece.</w:t>
      </w:r>
    </w:p>
    <w:p w14:paraId="4DD3F734"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57BF5CA8" w14:textId="77777777" w:rsidR="00843E34" w:rsidRPr="00AB76AB" w:rsidRDefault="00843E34" w:rsidP="00843E34">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3527FE8" w14:textId="77777777" w:rsidR="00843E34" w:rsidRPr="00AB76AB" w:rsidRDefault="00843E34" w:rsidP="00843E34">
      <w:pPr>
        <w:spacing w:line="360" w:lineRule="auto"/>
        <w:jc w:val="both"/>
        <w:rPr>
          <w:rFonts w:ascii="Palatino Linotype" w:hAnsi="Palatino Linotype"/>
          <w:i/>
        </w:rPr>
      </w:pPr>
    </w:p>
    <w:p w14:paraId="6F01D02E"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AB76AB">
        <w:rPr>
          <w:rFonts w:ascii="Palatino Linotype" w:eastAsia="Palatino Linotype" w:hAnsi="Palatino Linotype" w:cs="Palatino Linotype"/>
          <w:i/>
        </w:rPr>
        <w:t>derecho fundamental exime a quien lo ejerce</w:t>
      </w:r>
      <w:r w:rsidRPr="00AB76A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39C59F1" w14:textId="77777777" w:rsidR="00843E34" w:rsidRPr="00AB76AB" w:rsidRDefault="00843E34" w:rsidP="00843E34">
      <w:pPr>
        <w:spacing w:line="360" w:lineRule="auto"/>
        <w:jc w:val="both"/>
        <w:rPr>
          <w:rFonts w:ascii="Palatino Linotype" w:eastAsia="Palatino Linotype" w:hAnsi="Palatino Linotype" w:cs="Palatino Linotype"/>
        </w:rPr>
      </w:pPr>
    </w:p>
    <w:p w14:paraId="10333551"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79111D6" w14:textId="77777777" w:rsidR="00843E34" w:rsidRPr="00AB76AB" w:rsidRDefault="00843E34" w:rsidP="00843E34">
      <w:pPr>
        <w:spacing w:line="360" w:lineRule="auto"/>
        <w:jc w:val="both"/>
        <w:rPr>
          <w:rFonts w:ascii="Palatino Linotype" w:eastAsia="Palatino Linotype" w:hAnsi="Palatino Linotype" w:cs="Palatino Linotype"/>
        </w:rPr>
      </w:pPr>
    </w:p>
    <w:p w14:paraId="3365F511" w14:textId="77777777" w:rsidR="00843E34" w:rsidRPr="00AB76AB" w:rsidRDefault="00843E34" w:rsidP="00843E34">
      <w:pPr>
        <w:spacing w:line="360" w:lineRule="auto"/>
        <w:ind w:left="851" w:right="758"/>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9775B19" w14:textId="77777777" w:rsidR="00843E34" w:rsidRPr="00AB76AB" w:rsidRDefault="00843E34" w:rsidP="00843E34">
      <w:pPr>
        <w:spacing w:line="360" w:lineRule="auto"/>
        <w:jc w:val="both"/>
        <w:rPr>
          <w:rFonts w:ascii="Palatino Linotype" w:eastAsia="Palatino Linotype" w:hAnsi="Palatino Linotype" w:cs="Palatino Linotype"/>
        </w:rPr>
      </w:pPr>
    </w:p>
    <w:p w14:paraId="22EECAB1" w14:textId="77777777" w:rsidR="00843E34" w:rsidRPr="00AB76AB" w:rsidRDefault="00843E34" w:rsidP="00843E34">
      <w:pPr>
        <w:pStyle w:val="Prrafodelista"/>
        <w:numPr>
          <w:ilvl w:val="0"/>
          <w:numId w:val="7"/>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En consecuencia, dado lo expuesto y fundado con anterioridad, se estima que el requisito relativo al nombre del </w:t>
      </w:r>
      <w:r w:rsidRPr="00AB76AB">
        <w:rPr>
          <w:rFonts w:ascii="Palatino Linotype" w:eastAsia="Palatino Linotype" w:hAnsi="Palatino Linotype" w:cs="Palatino Linotype"/>
          <w:b/>
        </w:rPr>
        <w:t>RECURRENTE</w:t>
      </w:r>
      <w:r w:rsidRPr="00AB76A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sidRPr="00AB76AB">
        <w:rPr>
          <w:rFonts w:ascii="Palatino Linotype" w:eastAsia="Palatino Linotype" w:hAnsi="Palatino Linotype" w:cs="Palatino Linotype"/>
        </w:rPr>
        <w:lastRenderedPageBreak/>
        <w:t>constancias electrónicas de los expedientes en revisión, de las que se desprende que la parte recurrente, es la misma que realizó la solicitud de acceso a la información pública que ahora se impugna.</w:t>
      </w:r>
    </w:p>
    <w:p w14:paraId="04BD08EF" w14:textId="77777777" w:rsidR="00C93C30" w:rsidRPr="00283930" w:rsidRDefault="00C93C30" w:rsidP="00C93C30">
      <w:pPr>
        <w:pStyle w:val="Prrafodelista"/>
        <w:spacing w:line="360" w:lineRule="auto"/>
        <w:ind w:left="0"/>
        <w:jc w:val="both"/>
        <w:rPr>
          <w:rFonts w:ascii="Palatino Linotype" w:hAnsi="Palatino Linotype" w:cs="Arial"/>
          <w:i/>
          <w:szCs w:val="20"/>
        </w:rPr>
      </w:pPr>
    </w:p>
    <w:p w14:paraId="269A32B1" w14:textId="77777777" w:rsidR="00F17E65" w:rsidRPr="00992915"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D465BC" w14:textId="77777777" w:rsidR="00992915" w:rsidRPr="00992915" w:rsidRDefault="00992915" w:rsidP="00992915">
      <w:pPr>
        <w:pStyle w:val="Prrafodelista"/>
        <w:rPr>
          <w:rFonts w:ascii="Palatino Linotype" w:hAnsi="Palatino Linotype"/>
        </w:rPr>
      </w:pPr>
    </w:p>
    <w:p w14:paraId="6E205F1F" w14:textId="3FB7F74E" w:rsidR="009417CA" w:rsidRPr="00EA7E3D" w:rsidRDefault="00C76CBA" w:rsidP="00BE1923">
      <w:pPr>
        <w:pStyle w:val="Ttulo1"/>
        <w:spacing w:before="0" w:line="360" w:lineRule="auto"/>
        <w:rPr>
          <w:rFonts w:ascii="Palatino Linotype" w:hAnsi="Palatino Linotype"/>
          <w:b/>
          <w:color w:val="000000" w:themeColor="text1"/>
          <w:sz w:val="24"/>
        </w:rPr>
      </w:pPr>
      <w:bookmarkStart w:id="222" w:name="_Toc87274189"/>
      <w:r w:rsidRPr="00843E34">
        <w:rPr>
          <w:rFonts w:ascii="Palatino Linotype" w:hAnsi="Palatino Linotype" w:cs="Arial"/>
          <w:b/>
          <w:color w:val="000000" w:themeColor="text1"/>
          <w:sz w:val="24"/>
        </w:rPr>
        <w:t>TERCER</w:t>
      </w:r>
      <w:r w:rsidR="009417CA" w:rsidRPr="00843E34">
        <w:rPr>
          <w:rFonts w:ascii="Palatino Linotype" w:hAnsi="Palatino Linotype" w:cs="Arial"/>
          <w:b/>
          <w:color w:val="000000" w:themeColor="text1"/>
          <w:sz w:val="24"/>
        </w:rPr>
        <w:t xml:space="preserve">O. </w:t>
      </w:r>
      <w:bookmarkStart w:id="223" w:name="_Toc34246179"/>
      <w:bookmarkStart w:id="224" w:name="_Toc74778598"/>
      <w:bookmarkStart w:id="225" w:name="_Toc501021589"/>
      <w:bookmarkEnd w:id="220"/>
      <w:r w:rsidR="009417CA" w:rsidRPr="00843E34">
        <w:rPr>
          <w:rFonts w:ascii="Palatino Linotype" w:hAnsi="Palatino Linotype"/>
          <w:b/>
          <w:color w:val="000000" w:themeColor="text1"/>
          <w:sz w:val="24"/>
        </w:rPr>
        <w:t xml:space="preserve">Del planteamiento de la </w:t>
      </w:r>
      <w:r w:rsidR="009417CA" w:rsidRPr="00843E34">
        <w:rPr>
          <w:rFonts w:ascii="Palatino Linotype" w:hAnsi="Palatino Linotype"/>
          <w:b/>
          <w:i/>
          <w:color w:val="000000" w:themeColor="text1"/>
          <w:sz w:val="24"/>
        </w:rPr>
        <w:t>Litis</w:t>
      </w:r>
      <w:r w:rsidR="009417CA" w:rsidRPr="00843E34">
        <w:rPr>
          <w:rFonts w:ascii="Palatino Linotype" w:hAnsi="Palatino Linotype"/>
          <w:b/>
          <w:color w:val="000000" w:themeColor="text1"/>
          <w:sz w:val="24"/>
        </w:rPr>
        <w:t>.</w:t>
      </w:r>
      <w:bookmarkEnd w:id="221"/>
      <w:bookmarkEnd w:id="222"/>
      <w:bookmarkEnd w:id="223"/>
      <w:bookmarkEnd w:id="224"/>
      <w:bookmarkEnd w:id="225"/>
    </w:p>
    <w:p w14:paraId="6AEE1235" w14:textId="77777777" w:rsidR="009417CA" w:rsidRPr="0091500E" w:rsidRDefault="009417CA" w:rsidP="00BE1923">
      <w:pPr>
        <w:spacing w:line="360" w:lineRule="auto"/>
        <w:rPr>
          <w:lang w:eastAsia="en-US"/>
        </w:rPr>
      </w:pPr>
    </w:p>
    <w:p w14:paraId="4A3D7576" w14:textId="42E5C5A5" w:rsidR="009417CA" w:rsidRPr="00C42E34"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7B2D9506" w14:textId="77777777" w:rsidR="00C42E34" w:rsidRPr="0034421A" w:rsidRDefault="00C42E34" w:rsidP="00C42E34">
      <w:pPr>
        <w:pStyle w:val="Prrafodelista"/>
        <w:spacing w:line="360" w:lineRule="auto"/>
        <w:ind w:left="0"/>
        <w:jc w:val="both"/>
        <w:rPr>
          <w:rFonts w:ascii="Palatino Linotype" w:hAnsi="Palatino Linotype"/>
          <w:lang w:val="es-MX" w:eastAsia="en-US"/>
        </w:rPr>
      </w:pPr>
    </w:p>
    <w:p w14:paraId="772298AE" w14:textId="2F50BBD0" w:rsidR="00C24A95" w:rsidRPr="00361D9B" w:rsidRDefault="00843E34" w:rsidP="00843E34">
      <w:pPr>
        <w:pStyle w:val="Prrafodelista"/>
        <w:numPr>
          <w:ilvl w:val="2"/>
          <w:numId w:val="33"/>
        </w:numPr>
        <w:spacing w:line="360" w:lineRule="auto"/>
        <w:ind w:left="851" w:right="616"/>
        <w:jc w:val="both"/>
        <w:rPr>
          <w:rFonts w:ascii="Palatino Linotype" w:hAnsi="Palatino Linotype" w:cs="Arial"/>
        </w:rPr>
      </w:pPr>
      <w:r>
        <w:rPr>
          <w:rFonts w:ascii="Palatino Linotype" w:hAnsi="Palatino Linotype" w:cs="Arial"/>
          <w:lang w:val="es-MX" w:eastAsia="es-MX"/>
        </w:rPr>
        <w:t xml:space="preserve">Número de vacunas </w:t>
      </w:r>
      <w:r w:rsidRPr="00843E34">
        <w:rPr>
          <w:rFonts w:ascii="Palatino Linotype" w:hAnsi="Palatino Linotype" w:cs="Arial"/>
          <w:lang w:val="es-MX" w:eastAsia="es-MX"/>
        </w:rPr>
        <w:t>aplicadas en la jornada de vacunación de</w:t>
      </w:r>
      <w:r>
        <w:rPr>
          <w:rFonts w:ascii="Palatino Linotype" w:hAnsi="Palatino Linotype" w:cs="Arial"/>
          <w:lang w:val="es-MX" w:eastAsia="es-MX"/>
        </w:rPr>
        <w:t xml:space="preserve"> </w:t>
      </w:r>
      <w:r w:rsidRPr="00843E34">
        <w:rPr>
          <w:rFonts w:ascii="Palatino Linotype" w:hAnsi="Palatino Linotype" w:cs="Arial"/>
          <w:lang w:val="es-MX" w:eastAsia="es-MX"/>
        </w:rPr>
        <w:t>l</w:t>
      </w:r>
      <w:r>
        <w:rPr>
          <w:rFonts w:ascii="Palatino Linotype" w:hAnsi="Palatino Linotype" w:cs="Arial"/>
          <w:lang w:val="es-MX" w:eastAsia="es-MX"/>
        </w:rPr>
        <w:t>os días</w:t>
      </w:r>
      <w:r w:rsidRPr="00843E34">
        <w:rPr>
          <w:rFonts w:ascii="Palatino Linotype" w:hAnsi="Palatino Linotype" w:cs="Arial"/>
          <w:lang w:val="es-MX" w:eastAsia="es-MX"/>
        </w:rPr>
        <w:t xml:space="preserve"> 10 al 13 de enero de 2022.</w:t>
      </w:r>
    </w:p>
    <w:p w14:paraId="1EA5F181" w14:textId="77777777" w:rsidR="00C93C30" w:rsidRPr="00C93C30" w:rsidRDefault="00C93C30" w:rsidP="00C93C30">
      <w:pPr>
        <w:pStyle w:val="Prrafodelista"/>
        <w:spacing w:line="360" w:lineRule="auto"/>
        <w:ind w:left="851" w:right="616"/>
        <w:jc w:val="both"/>
        <w:rPr>
          <w:rFonts w:ascii="Palatino Linotype" w:hAnsi="Palatino Linotype" w:cs="Arial"/>
        </w:rPr>
      </w:pPr>
    </w:p>
    <w:p w14:paraId="45F5E30A" w14:textId="6B35EA27" w:rsidR="009417CA" w:rsidRPr="003835F9" w:rsidRDefault="009417CA" w:rsidP="005E33CE">
      <w:pPr>
        <w:pStyle w:val="Prrafodelista"/>
        <w:numPr>
          <w:ilvl w:val="0"/>
          <w:numId w:val="7"/>
        </w:numPr>
        <w:spacing w:line="360" w:lineRule="auto"/>
        <w:ind w:left="0" w:firstLine="0"/>
        <w:jc w:val="both"/>
        <w:rPr>
          <w:rFonts w:ascii="Palatino Linotype" w:hAnsi="Palatino Linotype" w:cs="Arial"/>
        </w:rPr>
      </w:pPr>
      <w:r w:rsidRPr="003835F9">
        <w:rPr>
          <w:rFonts w:ascii="Palatino Linotype" w:hAnsi="Palatino Linotype" w:cs="Arial"/>
        </w:rPr>
        <w:t xml:space="preserve">En </w:t>
      </w:r>
      <w:r w:rsidRPr="003835F9">
        <w:rPr>
          <w:rFonts w:ascii="Palatino Linotype" w:hAnsi="Palatino Linotype"/>
        </w:rPr>
        <w:t>respuesta</w:t>
      </w:r>
      <w:r w:rsidRPr="003835F9">
        <w:rPr>
          <w:rFonts w:ascii="Palatino Linotype" w:hAnsi="Palatino Linotype" w:cs="Arial"/>
        </w:rPr>
        <w:t xml:space="preserve"> el </w:t>
      </w:r>
      <w:r w:rsidRPr="003835F9">
        <w:rPr>
          <w:rFonts w:ascii="Palatino Linotype" w:hAnsi="Palatino Linotype" w:cs="Arial"/>
          <w:b/>
        </w:rPr>
        <w:t>SUJETO OBLIGADO,</w:t>
      </w:r>
      <w:r w:rsidRPr="003835F9">
        <w:rPr>
          <w:rFonts w:ascii="Palatino Linotype" w:hAnsi="Palatino Linotype" w:cs="Arial"/>
        </w:rPr>
        <w:t xml:space="preserve"> </w:t>
      </w:r>
      <w:r w:rsidR="00843E34" w:rsidRPr="00843E34">
        <w:rPr>
          <w:rFonts w:ascii="Palatino Linotype" w:hAnsi="Palatino Linotype" w:cs="Arial"/>
          <w:i/>
        </w:rPr>
        <w:t>grosso modo</w:t>
      </w:r>
      <w:r w:rsidR="00BD3097">
        <w:rPr>
          <w:rFonts w:ascii="Palatino Linotype" w:hAnsi="Palatino Linotype" w:cs="Arial"/>
        </w:rPr>
        <w:t xml:space="preserve"> declinó</w:t>
      </w:r>
      <w:r w:rsidR="00843E34">
        <w:rPr>
          <w:rFonts w:ascii="Palatino Linotype" w:hAnsi="Palatino Linotype" w:cs="Arial"/>
        </w:rPr>
        <w:t xml:space="preserve"> su competencia a un sujeto obligado diverso, lo anterior causo la inconformidad del particular señalando como motivo de inconformidad, la respuesta proporcionada y que no se realizó el procedimiento de búsqueda de la información. </w:t>
      </w:r>
    </w:p>
    <w:p w14:paraId="1A2A0718" w14:textId="77777777" w:rsidR="00283930" w:rsidRPr="00283930" w:rsidRDefault="00283930" w:rsidP="00283930">
      <w:pPr>
        <w:pStyle w:val="Prrafodelista"/>
        <w:rPr>
          <w:rFonts w:ascii="Palatino Linotype" w:hAnsi="Palatino Linotype" w:cs="Arial"/>
        </w:rPr>
      </w:pPr>
    </w:p>
    <w:p w14:paraId="646B010A" w14:textId="2B85920B" w:rsidR="009417CA" w:rsidRPr="000D63FD" w:rsidRDefault="009417CA" w:rsidP="000D63FD">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 causal de procedencia previst</w:t>
      </w:r>
      <w:r>
        <w:rPr>
          <w:rFonts w:ascii="Palatino Linotype" w:eastAsia="MS Mincho" w:hAnsi="Palatino Linotype" w:cs="Arial"/>
        </w:rPr>
        <w:t xml:space="preserve">a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580905">
        <w:rPr>
          <w:rFonts w:ascii="Palatino Linotype" w:eastAsia="MS Mincho" w:hAnsi="Palatino Linotype" w:cs="Arial"/>
        </w:rPr>
        <w:t>fracción</w:t>
      </w:r>
      <w:r>
        <w:rPr>
          <w:rFonts w:ascii="Palatino Linotype" w:eastAsia="MS Mincho" w:hAnsi="Palatino Linotype" w:cs="Arial"/>
        </w:rPr>
        <w:t xml:space="preserve"> </w:t>
      </w:r>
      <w:r w:rsidR="00C77050" w:rsidRPr="00C77050">
        <w:rPr>
          <w:rFonts w:ascii="Palatino Linotype" w:eastAsia="MS Mincho" w:hAnsi="Palatino Linotype" w:cs="Arial"/>
          <w:b/>
        </w:rPr>
        <w:t>V</w:t>
      </w:r>
      <w:r w:rsidR="0039460E">
        <w:rPr>
          <w:rFonts w:ascii="Palatino Linotype" w:eastAsia="MS Mincho" w:hAnsi="Palatino Linotype" w:cs="Arial"/>
          <w:b/>
        </w:rPr>
        <w:t xml:space="preserve"> </w:t>
      </w:r>
      <w:r w:rsidR="000D63FD" w:rsidRPr="000D63FD">
        <w:rPr>
          <w:rFonts w:ascii="Palatino Linotype" w:eastAsia="MS Mincho" w:hAnsi="Palatino Linotype" w:cs="Arial"/>
        </w:rPr>
        <w:t>y</w:t>
      </w:r>
      <w:r w:rsidR="000D63FD">
        <w:rPr>
          <w:rFonts w:ascii="Palatino Linotype" w:eastAsia="MS Mincho" w:hAnsi="Palatino Linotype" w:cs="Arial"/>
          <w:b/>
        </w:rPr>
        <w:t xml:space="preserve"> XIII</w:t>
      </w:r>
      <w:r w:rsidRPr="00D27C98">
        <w:rPr>
          <w:rFonts w:ascii="Palatino Linotype" w:eastAsia="MS Mincho" w:hAnsi="Palatino Linotype" w:cs="Arial"/>
        </w:rPr>
        <w:t xml:space="preserve">de la </w:t>
      </w:r>
      <w:r w:rsidRPr="00D27C98">
        <w:rPr>
          <w:rFonts w:ascii="Palatino Linotype" w:eastAsia="MS Mincho" w:hAnsi="Palatino Linotype" w:cs="Arial"/>
          <w:b/>
        </w:rPr>
        <w:t xml:space="preserve">Ley de Transparencia y Acceso a la Información </w:t>
      </w:r>
      <w:r w:rsidRPr="00D27C98">
        <w:rPr>
          <w:rFonts w:ascii="Palatino Linotype" w:eastAsia="MS Mincho" w:hAnsi="Palatino Linotype" w:cs="Arial"/>
          <w:b/>
        </w:rPr>
        <w:lastRenderedPageBreak/>
        <w:t>Pública del Estado de México y Municipios</w:t>
      </w:r>
      <w:r w:rsidRPr="00D27C98">
        <w:rPr>
          <w:rFonts w:ascii="Palatino Linotype" w:eastAsia="MS Mincho" w:hAnsi="Palatino Linotype" w:cs="Arial"/>
        </w:rPr>
        <w:t xml:space="preserve">; </w:t>
      </w:r>
      <w:r w:rsidR="00580905" w:rsidRPr="00D27C98">
        <w:rPr>
          <w:rFonts w:ascii="Palatino Linotype" w:hAnsi="Palatino Linotype" w:cs="Arial"/>
          <w:color w:val="000000" w:themeColor="text1"/>
        </w:rPr>
        <w:t>fracción</w:t>
      </w:r>
      <w:r w:rsidRPr="00D27C98">
        <w:rPr>
          <w:rFonts w:ascii="Palatino Linotype" w:hAnsi="Palatino Linotype" w:cs="Arial"/>
          <w:color w:val="000000" w:themeColor="text1"/>
        </w:rPr>
        <w:t xml:space="preserve"> que determina la</w:t>
      </w:r>
      <w:r w:rsidR="0039460E">
        <w:rPr>
          <w:rFonts w:ascii="Palatino Linotype" w:hAnsi="Palatino Linotype" w:cs="Arial"/>
          <w:color w:val="000000" w:themeColor="text1"/>
        </w:rPr>
        <w:t>s</w:t>
      </w:r>
      <w:r w:rsidRPr="00D27C98">
        <w:rPr>
          <w:rFonts w:ascii="Palatino Linotype" w:hAnsi="Palatino Linotype" w:cs="Arial"/>
          <w:color w:val="000000" w:themeColor="text1"/>
        </w:rPr>
        <w:t xml:space="preserve">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sidR="0015711B">
        <w:rPr>
          <w:rFonts w:ascii="Palatino Linotype" w:hAnsi="Palatino Linotype" w:cs="Arial"/>
          <w:color w:val="000000" w:themeColor="text1"/>
        </w:rPr>
        <w:t>l</w:t>
      </w:r>
      <w:r w:rsidR="0015711B" w:rsidRPr="0015711B">
        <w:rPr>
          <w:rFonts w:ascii="Palatino Linotype" w:hAnsi="Palatino Linotype" w:cs="Arial"/>
          <w:color w:val="000000" w:themeColor="text1"/>
        </w:rPr>
        <w:t xml:space="preserve">a </w:t>
      </w:r>
      <w:r w:rsidR="00C77050">
        <w:rPr>
          <w:rFonts w:ascii="Palatino Linotype" w:hAnsi="Palatino Linotype" w:cs="Arial"/>
          <w:color w:val="000000" w:themeColor="text1"/>
        </w:rPr>
        <w:t>entrega de la información incompleta</w:t>
      </w:r>
      <w:r w:rsidR="000D63FD">
        <w:rPr>
          <w:rFonts w:ascii="Palatino Linotype" w:hAnsi="Palatino Linotype" w:cs="Arial"/>
          <w:color w:val="000000" w:themeColor="text1"/>
        </w:rPr>
        <w:t xml:space="preserve"> y la</w:t>
      </w:r>
      <w:r w:rsidR="000D63FD" w:rsidRPr="000D63FD">
        <w:rPr>
          <w:rFonts w:ascii="Palatino Linotype" w:hAnsi="Palatino Linotype" w:cs="Arial"/>
          <w:color w:val="000000" w:themeColor="text1"/>
        </w:rPr>
        <w:t xml:space="preserve"> deficiencia o insuficiencia de la fundamentación y/o motivación en la respuesta</w:t>
      </w:r>
      <w:r>
        <w:rPr>
          <w:rFonts w:ascii="Palatino Linotype" w:hAnsi="Palatino Linotype" w:cs="Arial"/>
          <w:color w:val="000000" w:themeColor="text1"/>
        </w:rPr>
        <w:t xml:space="preserve">, </w:t>
      </w:r>
      <w:r>
        <w:rPr>
          <w:rFonts w:ascii="Palatino Linotype" w:eastAsia="MS Mincho" w:hAnsi="Palatino Linotype" w:cs="Arial"/>
        </w:rPr>
        <w:t>causal</w:t>
      </w:r>
      <w:r w:rsidR="000D63FD">
        <w:rPr>
          <w:rFonts w:ascii="Palatino Linotype" w:eastAsia="MS Mincho" w:hAnsi="Palatino Linotype" w:cs="Arial"/>
        </w:rPr>
        <w:t>es</w:t>
      </w:r>
      <w:r>
        <w:rPr>
          <w:rFonts w:ascii="Palatino Linotype" w:eastAsia="MS Mincho" w:hAnsi="Palatino Linotype" w:cs="Arial"/>
        </w:rPr>
        <w:t xml:space="preserve"> de la</w:t>
      </w:r>
      <w:r w:rsidR="000D63FD">
        <w:rPr>
          <w:rFonts w:ascii="Palatino Linotype" w:eastAsia="MS Mincho" w:hAnsi="Palatino Linotype" w:cs="Arial"/>
        </w:rPr>
        <w:t>s</w:t>
      </w:r>
      <w:r>
        <w:rPr>
          <w:rFonts w:ascii="Palatino Linotype" w:eastAsia="MS Mincho" w:hAnsi="Palatino Linotype" w:cs="Arial"/>
        </w:rPr>
        <w:t xml:space="preserve"> que se </w:t>
      </w:r>
      <w:r w:rsidR="000D63FD">
        <w:rPr>
          <w:rFonts w:ascii="Palatino Linotype" w:eastAsia="MS Mincho" w:hAnsi="Palatino Linotype" w:cs="Arial"/>
        </w:rPr>
        <w:t xml:space="preserve">colige eventualmente se </w:t>
      </w:r>
      <w:r>
        <w:rPr>
          <w:rFonts w:ascii="Palatino Linotype" w:eastAsia="MS Mincho" w:hAnsi="Palatino Linotype" w:cs="Arial"/>
        </w:rPr>
        <w:t>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EEBF3E" w14:textId="77777777" w:rsidR="000D63FD" w:rsidRPr="000D63FD" w:rsidRDefault="000D63FD" w:rsidP="000D63FD">
      <w:pPr>
        <w:rPr>
          <w:rFonts w:ascii="Palatino Linotype" w:eastAsia="MS Mincho" w:hAnsi="Palatino Linotype" w:cs="Arial"/>
        </w:rPr>
      </w:pPr>
    </w:p>
    <w:p w14:paraId="2C201A05" w14:textId="2E01F487" w:rsidR="009417CA" w:rsidRPr="00EA7E3D" w:rsidRDefault="00C76CBA" w:rsidP="00BE1923">
      <w:pPr>
        <w:pStyle w:val="Ttulo1"/>
        <w:spacing w:before="0" w:line="360" w:lineRule="auto"/>
        <w:rPr>
          <w:rFonts w:ascii="Palatino Linotype" w:hAnsi="Palatino Linotype"/>
          <w:b/>
          <w:color w:val="000000" w:themeColor="text1"/>
          <w:sz w:val="24"/>
        </w:rPr>
      </w:pPr>
      <w:bookmarkStart w:id="226" w:name="_Toc495427545"/>
      <w:bookmarkStart w:id="227" w:name="_Toc23414596"/>
      <w:bookmarkStart w:id="228" w:name="_Toc34819433"/>
      <w:bookmarkStart w:id="229" w:name="_Toc51259589"/>
      <w:bookmarkStart w:id="230" w:name="_Toc52472142"/>
      <w:bookmarkStart w:id="231" w:name="_Toc54808041"/>
      <w:bookmarkStart w:id="232" w:name="_Toc74778599"/>
      <w:bookmarkStart w:id="233" w:name="_Toc87274190"/>
      <w:r>
        <w:rPr>
          <w:rFonts w:ascii="Palatino Linotype" w:hAnsi="Palatino Linotype"/>
          <w:b/>
          <w:color w:val="000000" w:themeColor="text1"/>
          <w:sz w:val="24"/>
        </w:rPr>
        <w:t>CUAR</w:t>
      </w:r>
      <w:r w:rsidR="00822012" w:rsidRPr="00E34993">
        <w:rPr>
          <w:rFonts w:ascii="Palatino Linotype" w:hAnsi="Palatino Linotype"/>
          <w:b/>
          <w:color w:val="000000" w:themeColor="text1"/>
          <w:sz w:val="24"/>
        </w:rPr>
        <w:t>T</w:t>
      </w:r>
      <w:r w:rsidR="009417CA" w:rsidRPr="00E34993">
        <w:rPr>
          <w:rFonts w:ascii="Palatino Linotype" w:hAnsi="Palatino Linotype"/>
          <w:b/>
          <w:color w:val="000000" w:themeColor="text1"/>
          <w:sz w:val="24"/>
        </w:rPr>
        <w:t>O. Del estudio y resolución del asunto.</w:t>
      </w:r>
      <w:bookmarkEnd w:id="226"/>
      <w:bookmarkEnd w:id="227"/>
      <w:bookmarkEnd w:id="228"/>
      <w:bookmarkEnd w:id="229"/>
      <w:bookmarkEnd w:id="230"/>
      <w:bookmarkEnd w:id="231"/>
      <w:bookmarkEnd w:id="232"/>
      <w:bookmarkEnd w:id="233"/>
    </w:p>
    <w:p w14:paraId="149F90C6" w14:textId="77777777" w:rsidR="0039460E" w:rsidRPr="0039460E" w:rsidRDefault="0039460E" w:rsidP="0039460E">
      <w:pPr>
        <w:rPr>
          <w:lang w:eastAsia="en-US"/>
        </w:rPr>
      </w:pPr>
    </w:p>
    <w:p w14:paraId="027D0966"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w:t>
      </w:r>
      <w:r w:rsidRPr="00DA2D95">
        <w:rPr>
          <w:rFonts w:ascii="Palatino Linotype" w:hAnsi="Palatino Linotype"/>
          <w:bCs/>
          <w:color w:val="000000" w:themeColor="text1"/>
        </w:rPr>
        <w:lastRenderedPageBreak/>
        <w:t xml:space="preserve">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11DE4FB2" w14:textId="77777777" w:rsidR="00C93C30" w:rsidRPr="0055159A"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736D1C" w:rsidRDefault="00C93C30" w:rsidP="00C93C30">
      <w:pPr>
        <w:pStyle w:val="Prrafodelista"/>
        <w:rPr>
          <w:rFonts w:ascii="Palatino Linotype" w:hAnsi="Palatino Linotype"/>
          <w:color w:val="000000" w:themeColor="text1"/>
        </w:rPr>
      </w:pPr>
    </w:p>
    <w:p w14:paraId="289871E1"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736D1C" w:rsidRDefault="00C93C30" w:rsidP="00C93C30">
      <w:pPr>
        <w:pStyle w:val="Prrafodelista"/>
        <w:rPr>
          <w:rFonts w:ascii="Palatino Linotype" w:hAnsi="Palatino Linotype"/>
          <w:color w:val="000000" w:themeColor="text1"/>
        </w:rPr>
      </w:pPr>
    </w:p>
    <w:p w14:paraId="1AB2137B"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lastRenderedPageBreak/>
        <w:t xml:space="preserve">Por otro lado, </w:t>
      </w:r>
      <w:r w:rsidRPr="0055159A">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Default="00C93C30" w:rsidP="00C93C30">
      <w:pPr>
        <w:pStyle w:val="Prrafodelista"/>
        <w:spacing w:line="360" w:lineRule="auto"/>
        <w:ind w:left="0"/>
        <w:jc w:val="both"/>
        <w:rPr>
          <w:rFonts w:ascii="Palatino Linotype" w:eastAsia="MS Mincho" w:hAnsi="Palatino Linotype" w:cs="Arial"/>
        </w:rPr>
      </w:pPr>
    </w:p>
    <w:p w14:paraId="45EAE0D9" w14:textId="3EF1DACA" w:rsidR="000D63FD" w:rsidRDefault="00580905" w:rsidP="005E33CE">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Acotado lo anterior,</w:t>
      </w:r>
      <w:r w:rsidR="000D63FD">
        <w:rPr>
          <w:rFonts w:ascii="Palatino Linotype" w:hAnsi="Palatino Linotype"/>
          <w:color w:val="000000"/>
        </w:rPr>
        <w:t xml:space="preserve"> es dable primeramente traer a contexto los motivos de inconformidad, a efecto de dirimir si los mismos guardan relación con las actuaciones del asunto de </w:t>
      </w:r>
      <w:r w:rsidR="006E09F0">
        <w:rPr>
          <w:rFonts w:ascii="Palatino Linotype" w:hAnsi="Palatino Linotype"/>
          <w:color w:val="000000"/>
        </w:rPr>
        <w:t>mérito</w:t>
      </w:r>
      <w:r w:rsidR="000D63FD">
        <w:rPr>
          <w:rFonts w:ascii="Palatino Linotype" w:hAnsi="Palatino Linotype"/>
          <w:color w:val="000000"/>
        </w:rPr>
        <w:t>.</w:t>
      </w:r>
    </w:p>
    <w:p w14:paraId="12805A3D" w14:textId="77777777" w:rsidR="000D63FD" w:rsidRPr="000D63FD" w:rsidRDefault="000D63FD" w:rsidP="000D63FD">
      <w:pPr>
        <w:pStyle w:val="Prrafodelista"/>
        <w:rPr>
          <w:rFonts w:ascii="Palatino Linotype" w:hAnsi="Palatino Linotype"/>
          <w:color w:val="000000"/>
        </w:rPr>
      </w:pPr>
    </w:p>
    <w:p w14:paraId="67D4700F" w14:textId="1EDD5D66" w:rsidR="000D63FD" w:rsidRDefault="00BD3097" w:rsidP="006E09F0">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Primeramente, se refiere</w:t>
      </w:r>
      <w:r w:rsidR="006E09F0">
        <w:rPr>
          <w:rFonts w:ascii="Palatino Linotype" w:hAnsi="Palatino Linotype"/>
          <w:color w:val="000000"/>
        </w:rPr>
        <w:t xml:space="preserve"> como acto impugnado l</w:t>
      </w:r>
      <w:r w:rsidR="006E09F0" w:rsidRPr="006E09F0">
        <w:rPr>
          <w:rFonts w:ascii="Palatino Linotype" w:hAnsi="Palatino Linotype"/>
          <w:color w:val="000000"/>
        </w:rPr>
        <w:t>a respuesta propo</w:t>
      </w:r>
      <w:r w:rsidR="006E09F0">
        <w:rPr>
          <w:rFonts w:ascii="Palatino Linotype" w:hAnsi="Palatino Linotype"/>
          <w:color w:val="000000"/>
        </w:rPr>
        <w:t xml:space="preserve">rcionada por el </w:t>
      </w:r>
      <w:r w:rsidR="006E09F0" w:rsidRPr="006E09F0">
        <w:rPr>
          <w:rFonts w:ascii="Palatino Linotype" w:hAnsi="Palatino Linotype"/>
          <w:b/>
          <w:color w:val="000000"/>
        </w:rPr>
        <w:t>SUJETO OBLIGADO</w:t>
      </w:r>
      <w:r w:rsidR="006E09F0">
        <w:rPr>
          <w:rFonts w:ascii="Palatino Linotype" w:hAnsi="Palatino Linotype"/>
          <w:color w:val="000000"/>
        </w:rPr>
        <w:t xml:space="preserve">; sin embargo, no se señala cual es la inconformidad, por ejemplo, si </w:t>
      </w:r>
      <w:r w:rsidR="005276AA">
        <w:rPr>
          <w:rFonts w:ascii="Palatino Linotype" w:hAnsi="Palatino Linotype"/>
          <w:color w:val="000000"/>
        </w:rPr>
        <w:t>es que se considera</w:t>
      </w:r>
      <w:r w:rsidR="006E09F0">
        <w:rPr>
          <w:rFonts w:ascii="Palatino Linotype" w:hAnsi="Palatino Linotype"/>
          <w:color w:val="000000"/>
        </w:rPr>
        <w:t xml:space="preserve"> incompleta o si</w:t>
      </w:r>
      <w:r>
        <w:rPr>
          <w:rFonts w:ascii="Palatino Linotype" w:hAnsi="Palatino Linotype"/>
          <w:color w:val="000000"/>
        </w:rPr>
        <w:t xml:space="preserve"> </w:t>
      </w:r>
      <w:r w:rsidR="006E09F0">
        <w:rPr>
          <w:rFonts w:ascii="Palatino Linotype" w:hAnsi="Palatino Linotype"/>
          <w:color w:val="000000"/>
        </w:rPr>
        <w:t>no está de acuerdo con la declinación de competencia realizada por el Ayuntamiento</w:t>
      </w:r>
      <w:r>
        <w:rPr>
          <w:rFonts w:ascii="Palatino Linotype" w:hAnsi="Palatino Linotype"/>
          <w:color w:val="000000"/>
        </w:rPr>
        <w:t>,</w:t>
      </w:r>
      <w:r w:rsidR="006E09F0">
        <w:rPr>
          <w:rFonts w:ascii="Palatino Linotype" w:hAnsi="Palatino Linotype"/>
          <w:color w:val="000000"/>
        </w:rPr>
        <w:t xml:space="preserve"> por lo que resulta ambiguo y consecuentemente inatendible.</w:t>
      </w:r>
    </w:p>
    <w:p w14:paraId="5D67ACA6" w14:textId="77777777" w:rsidR="000D63FD" w:rsidRPr="000D63FD" w:rsidRDefault="000D63FD" w:rsidP="000D63FD">
      <w:pPr>
        <w:pStyle w:val="Prrafodelista"/>
        <w:rPr>
          <w:rFonts w:ascii="Palatino Linotype" w:hAnsi="Palatino Linotype"/>
          <w:color w:val="000000"/>
        </w:rPr>
      </w:pPr>
    </w:p>
    <w:p w14:paraId="4441689A" w14:textId="2B30014B" w:rsidR="000D63FD" w:rsidRDefault="006E09F0" w:rsidP="005E33CE">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Seguidamente como razones o motivos de inconformidad, el hoy </w:t>
      </w:r>
      <w:r>
        <w:rPr>
          <w:rFonts w:ascii="Palatino Linotype" w:hAnsi="Palatino Linotype"/>
          <w:b/>
          <w:color w:val="000000"/>
        </w:rPr>
        <w:t>RECURRENTE</w:t>
      </w:r>
      <w:r>
        <w:rPr>
          <w:rFonts w:ascii="Palatino Linotype" w:hAnsi="Palatino Linotype"/>
          <w:color w:val="000000"/>
        </w:rPr>
        <w:t xml:space="preserve"> se concreta a transcribir los principios y las obligaciones que tienen los sujetos obligados en materia de transparencia para administrar la información y </w:t>
      </w:r>
      <w:r>
        <w:rPr>
          <w:rFonts w:ascii="Palatino Linotype" w:hAnsi="Palatino Linotype"/>
          <w:color w:val="000000"/>
        </w:rPr>
        <w:lastRenderedPageBreak/>
        <w:t>garantizar el derecho de los solicitantes</w:t>
      </w:r>
      <w:r w:rsidR="005276AA">
        <w:rPr>
          <w:rFonts w:ascii="Palatino Linotype" w:hAnsi="Palatino Linotype"/>
          <w:color w:val="000000"/>
        </w:rPr>
        <w:t>;</w:t>
      </w:r>
      <w:r>
        <w:rPr>
          <w:rFonts w:ascii="Palatino Linotype" w:hAnsi="Palatino Linotype"/>
          <w:color w:val="000000"/>
        </w:rPr>
        <w:t xml:space="preserve"> sin embargo, es omiso en señalar en que se concatena o se adecua al caso concreto, relativo a lo solicitado y lo contestado, resultando en motivos de inconform</w:t>
      </w:r>
      <w:r w:rsidR="002E6224">
        <w:rPr>
          <w:rFonts w:ascii="Palatino Linotype" w:hAnsi="Palatino Linotype"/>
          <w:color w:val="000000"/>
        </w:rPr>
        <w:t>idad deficientes e inatendibles.</w:t>
      </w:r>
    </w:p>
    <w:p w14:paraId="3620E9E1" w14:textId="77777777" w:rsidR="002E6224" w:rsidRPr="002E6224" w:rsidRDefault="002E6224" w:rsidP="002E6224">
      <w:pPr>
        <w:pStyle w:val="Prrafodelista"/>
        <w:rPr>
          <w:rFonts w:ascii="Palatino Linotype" w:hAnsi="Palatino Linotype"/>
          <w:color w:val="000000"/>
        </w:rPr>
      </w:pPr>
    </w:p>
    <w:p w14:paraId="011B69DC" w14:textId="77777777" w:rsidR="002E6224" w:rsidRPr="003221A5" w:rsidRDefault="002E6224" w:rsidP="002E6224">
      <w:pPr>
        <w:pStyle w:val="Prrafodelista"/>
        <w:numPr>
          <w:ilvl w:val="0"/>
          <w:numId w:val="7"/>
        </w:numPr>
        <w:spacing w:line="360" w:lineRule="auto"/>
        <w:ind w:left="0" w:firstLine="0"/>
        <w:jc w:val="both"/>
        <w:rPr>
          <w:rFonts w:ascii="Palatino Linotype" w:hAnsi="Palatino Linotype" w:cs="Arial"/>
        </w:rPr>
      </w:pPr>
      <w:r w:rsidRPr="003221A5">
        <w:rPr>
          <w:rFonts w:ascii="Palatino Linotype" w:hAnsi="Palatino Linotype" w:cs="Arial"/>
          <w:color w:val="000000"/>
        </w:rPr>
        <w:t xml:space="preserve">Sirve de sustento </w:t>
      </w:r>
      <w:r w:rsidRPr="003221A5">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13B8C888" w14:textId="77777777" w:rsidR="002E6224" w:rsidRPr="003221A5" w:rsidRDefault="002E6224" w:rsidP="002E6224">
      <w:pPr>
        <w:shd w:val="clear" w:color="auto" w:fill="FFFFFF"/>
        <w:spacing w:before="240" w:after="240" w:line="360" w:lineRule="auto"/>
        <w:ind w:left="567" w:right="567"/>
        <w:jc w:val="both"/>
        <w:rPr>
          <w:rFonts w:ascii="Palatino Linotype" w:hAnsi="Palatino Linotype"/>
          <w:i/>
          <w:iCs/>
          <w:color w:val="000000"/>
        </w:rPr>
      </w:pPr>
      <w:r w:rsidRPr="003221A5">
        <w:rPr>
          <w:rFonts w:ascii="Palatino Linotype" w:hAnsi="Palatino Linotype"/>
          <w:b/>
          <w:bCs/>
          <w:i/>
          <w:iCs/>
          <w:color w:val="000000"/>
        </w:rPr>
        <w:t>AGRAVIOS EN LA REVISION. DEBEN ESTAR EN RELACION DIRECTA CON LOS FUNDAMENTOS Y CONSIDERACIONES DE LA SENTENCIA</w:t>
      </w:r>
      <w:r w:rsidRPr="003221A5">
        <w:rPr>
          <w:rFonts w:ascii="Palatino Linotype" w:hAnsi="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4346777F" w14:textId="79A5453F" w:rsidR="002E6224" w:rsidRDefault="00BD3097" w:rsidP="002E6224">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s="Arial"/>
          <w:color w:val="000000"/>
        </w:rPr>
        <w:t>Por tal motivo al no</w:t>
      </w:r>
      <w:r w:rsidR="002E6224" w:rsidRPr="003221A5">
        <w:rPr>
          <w:rFonts w:ascii="Palatino Linotype" w:hAnsi="Palatino Linotype" w:cs="Arial"/>
          <w:color w:val="000000"/>
        </w:rPr>
        <w:t xml:space="preserve"> ser materia de </w:t>
      </w:r>
      <w:r w:rsidR="002E6224" w:rsidRPr="00C70E5B">
        <w:rPr>
          <w:rFonts w:ascii="Palatino Linotype" w:hAnsi="Palatino Linotype" w:cs="Arial"/>
          <w:i/>
          <w:color w:val="000000"/>
        </w:rPr>
        <w:t>Litis</w:t>
      </w:r>
      <w:r w:rsidR="002E6224" w:rsidRPr="003221A5">
        <w:rPr>
          <w:rFonts w:ascii="Palatino Linotype" w:hAnsi="Palatino Linotype" w:cs="Arial"/>
          <w:color w:val="000000"/>
        </w:rPr>
        <w:t xml:space="preserve"> lo señalado en </w:t>
      </w:r>
      <w:r w:rsidR="002E6224">
        <w:rPr>
          <w:rFonts w:ascii="Palatino Linotype" w:hAnsi="Palatino Linotype" w:cs="Arial"/>
          <w:color w:val="000000"/>
        </w:rPr>
        <w:t>e</w:t>
      </w:r>
      <w:r w:rsidR="002E6224" w:rsidRPr="003221A5">
        <w:rPr>
          <w:rFonts w:ascii="Palatino Linotype" w:hAnsi="Palatino Linotype" w:cs="Arial"/>
          <w:color w:val="000000"/>
        </w:rPr>
        <w:t>l recurso de revisión, s</w:t>
      </w:r>
      <w:r w:rsidR="002E6224">
        <w:rPr>
          <w:rFonts w:ascii="Palatino Linotype" w:hAnsi="Palatino Linotype" w:cs="Arial"/>
          <w:color w:val="000000"/>
        </w:rPr>
        <w:t>e determina que esa parte del</w:t>
      </w:r>
      <w:r w:rsidR="002E6224" w:rsidRPr="003221A5">
        <w:rPr>
          <w:rFonts w:ascii="Palatino Linotype" w:hAnsi="Palatino Linotype" w:cs="Arial"/>
          <w:color w:val="000000"/>
        </w:rPr>
        <w:t xml:space="preserve"> escrito recursal no actualiza ninguna causal de procedencia que se relacione con la solicitud o la respuesta.</w:t>
      </w:r>
    </w:p>
    <w:p w14:paraId="4F596A44" w14:textId="77777777" w:rsidR="006E09F0" w:rsidRPr="006E09F0" w:rsidRDefault="006E09F0" w:rsidP="006E09F0">
      <w:pPr>
        <w:pStyle w:val="Prrafodelista"/>
        <w:rPr>
          <w:rFonts w:ascii="Palatino Linotype" w:hAnsi="Palatino Linotype"/>
          <w:color w:val="000000"/>
        </w:rPr>
      </w:pPr>
    </w:p>
    <w:p w14:paraId="25FB596D" w14:textId="0E594B06" w:rsidR="006E09F0" w:rsidRDefault="006E09F0" w:rsidP="005E33CE">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lastRenderedPageBreak/>
        <w:t xml:space="preserve">Posteriormente, amplia la solicitud de información solicitando a este </w:t>
      </w:r>
      <w:r w:rsidR="002E6224">
        <w:rPr>
          <w:rFonts w:ascii="Palatino Linotype" w:hAnsi="Palatino Linotype"/>
          <w:color w:val="000000"/>
        </w:rPr>
        <w:t>Órgano</w:t>
      </w:r>
      <w:r>
        <w:rPr>
          <w:rFonts w:ascii="Palatino Linotype" w:hAnsi="Palatino Linotype"/>
          <w:color w:val="000000"/>
        </w:rPr>
        <w:t xml:space="preserve"> Garante de vista al </w:t>
      </w:r>
      <w:r w:rsidR="002E6224">
        <w:rPr>
          <w:rFonts w:ascii="Palatino Linotype" w:hAnsi="Palatino Linotype"/>
          <w:color w:val="000000"/>
        </w:rPr>
        <w:t>Órgano</w:t>
      </w:r>
      <w:r>
        <w:rPr>
          <w:rFonts w:ascii="Palatino Linotype" w:hAnsi="Palatino Linotype"/>
          <w:color w:val="000000"/>
        </w:rPr>
        <w:t xml:space="preserve"> Interno de Control para que realice </w:t>
      </w:r>
      <w:r w:rsidR="002E6224">
        <w:rPr>
          <w:rFonts w:ascii="Palatino Linotype" w:hAnsi="Palatino Linotype"/>
          <w:color w:val="000000"/>
        </w:rPr>
        <w:t xml:space="preserve">las investigaciones por probables responsabilidades administrativas atribuibles al </w:t>
      </w:r>
      <w:r w:rsidR="002E6224">
        <w:rPr>
          <w:rFonts w:ascii="Palatino Linotype" w:hAnsi="Palatino Linotype"/>
          <w:b/>
          <w:color w:val="000000"/>
        </w:rPr>
        <w:t>SUJETO OBLIGADO</w:t>
      </w:r>
      <w:r w:rsidR="00504353">
        <w:rPr>
          <w:rFonts w:ascii="Palatino Linotype" w:hAnsi="Palatino Linotype"/>
          <w:b/>
          <w:color w:val="000000"/>
        </w:rPr>
        <w:t xml:space="preserve"> </w:t>
      </w:r>
      <w:r w:rsidR="00504353" w:rsidRPr="00504353">
        <w:rPr>
          <w:rFonts w:ascii="Palatino Linotype" w:hAnsi="Palatino Linotype"/>
          <w:color w:val="000000"/>
        </w:rPr>
        <w:t>y en su caso sancione</w:t>
      </w:r>
      <w:r w:rsidR="002E6224">
        <w:rPr>
          <w:rFonts w:ascii="Palatino Linotype" w:hAnsi="Palatino Linotype"/>
          <w:b/>
          <w:color w:val="000000"/>
        </w:rPr>
        <w:t>;</w:t>
      </w:r>
      <w:r w:rsidR="002E6224">
        <w:rPr>
          <w:rFonts w:ascii="Palatino Linotype" w:hAnsi="Palatino Linotype"/>
          <w:color w:val="000000"/>
        </w:rPr>
        <w:t xml:space="preserve"> sin embargo como es de explorado derecho, </w:t>
      </w:r>
      <w:r w:rsidR="002E6224" w:rsidRPr="002E6224">
        <w:rPr>
          <w:rFonts w:ascii="Palatino Linotype" w:hAnsi="Palatino Linotype"/>
          <w:b/>
          <w:color w:val="000000"/>
        </w:rPr>
        <w:t>el recurso de revisión no es la vía para interponer quejas o denuncias</w:t>
      </w:r>
      <w:r w:rsidR="002E6224">
        <w:rPr>
          <w:rFonts w:ascii="Palatino Linotype" w:hAnsi="Palatino Linotype"/>
          <w:color w:val="000000"/>
        </w:rPr>
        <w:t xml:space="preserve">, por lo que dicha solicitud también es inatendible, no obstante </w:t>
      </w:r>
      <w:r w:rsidR="002E6224" w:rsidRPr="002E6224">
        <w:rPr>
          <w:rFonts w:ascii="Palatino Linotype" w:hAnsi="Palatino Linotype"/>
          <w:b/>
          <w:color w:val="000000"/>
        </w:rPr>
        <w:t>SE DEJAN A SALVO LOS DERECHOS</w:t>
      </w:r>
      <w:r w:rsidR="002E6224">
        <w:rPr>
          <w:rFonts w:ascii="Palatino Linotype" w:hAnsi="Palatino Linotype"/>
          <w:color w:val="000000"/>
        </w:rPr>
        <w:t xml:space="preserve"> del hoy </w:t>
      </w:r>
      <w:r w:rsidR="002E6224">
        <w:rPr>
          <w:rFonts w:ascii="Palatino Linotype" w:hAnsi="Palatino Linotype"/>
          <w:b/>
          <w:color w:val="000000"/>
        </w:rPr>
        <w:t xml:space="preserve">RECURRENTE </w:t>
      </w:r>
      <w:r w:rsidR="002E6224">
        <w:rPr>
          <w:rFonts w:ascii="Palatino Linotype" w:hAnsi="Palatino Linotype"/>
          <w:color w:val="000000"/>
        </w:rPr>
        <w:t>para que interponga la denuncia que a su derecho considere ante la instancia competente de este Instituto.</w:t>
      </w:r>
    </w:p>
    <w:p w14:paraId="23600296" w14:textId="77777777" w:rsidR="002E6224" w:rsidRPr="002E6224" w:rsidRDefault="002E6224" w:rsidP="002E6224">
      <w:pPr>
        <w:pStyle w:val="Prrafodelista"/>
        <w:rPr>
          <w:rFonts w:ascii="Palatino Linotype" w:hAnsi="Palatino Linotype"/>
          <w:color w:val="000000"/>
        </w:rPr>
      </w:pPr>
    </w:p>
    <w:p w14:paraId="0EF89CD5" w14:textId="3CD4F127" w:rsidR="002E6224" w:rsidRDefault="002E6224" w:rsidP="002E6224">
      <w:pPr>
        <w:pStyle w:val="Prrafodelista"/>
        <w:numPr>
          <w:ilvl w:val="0"/>
          <w:numId w:val="7"/>
        </w:numPr>
        <w:spacing w:line="360" w:lineRule="auto"/>
        <w:ind w:left="0" w:firstLine="0"/>
        <w:jc w:val="both"/>
        <w:rPr>
          <w:rFonts w:ascii="Palatino Linotype" w:hAnsi="Palatino Linotype"/>
          <w:i/>
          <w:color w:val="000000"/>
        </w:rPr>
      </w:pPr>
      <w:r>
        <w:rPr>
          <w:rFonts w:ascii="Palatino Linotype" w:hAnsi="Palatino Linotype"/>
          <w:color w:val="000000"/>
        </w:rPr>
        <w:t xml:space="preserve">Así las cosas, se advierte que este Órgano Garante únicamente se puede pronunciar respecto al motivo de inconformidad en su parte literal siguiente: </w:t>
      </w:r>
      <w:r w:rsidRPr="00504353">
        <w:rPr>
          <w:rFonts w:ascii="Palatino Linotype" w:hAnsi="Palatino Linotype"/>
          <w:i/>
          <w:color w:val="000000"/>
        </w:rPr>
        <w:t>“</w:t>
      </w:r>
      <w:r w:rsidR="00504353" w:rsidRPr="00504353">
        <w:rPr>
          <w:rFonts w:ascii="Palatino Linotype" w:hAnsi="Palatino Linotype"/>
          <w:i/>
          <w:color w:val="000000"/>
        </w:rPr>
        <w:t>…</w:t>
      </w:r>
      <w:r w:rsidRPr="00504353">
        <w:rPr>
          <w:rFonts w:ascii="Palatino Linotype" w:hAnsi="Palatino Linotype"/>
          <w:i/>
          <w:color w:val="000000"/>
        </w:rPr>
        <w:t>tenga a bien ordenar al sujeto obligado de mérito la entrega de la información solicitada, en versión digital y pública, de ser el caso, en el formato en que se encuentre…”</w:t>
      </w:r>
    </w:p>
    <w:p w14:paraId="4754AC19" w14:textId="77777777" w:rsidR="00504353" w:rsidRPr="00504353" w:rsidRDefault="00504353" w:rsidP="00504353">
      <w:pPr>
        <w:pStyle w:val="Prrafodelista"/>
        <w:rPr>
          <w:rFonts w:ascii="Palatino Linotype" w:hAnsi="Palatino Linotype"/>
          <w:i/>
          <w:color w:val="000000"/>
        </w:rPr>
      </w:pPr>
    </w:p>
    <w:p w14:paraId="50343DBC" w14:textId="3B8EEDD0" w:rsidR="00504353" w:rsidRPr="002C365D" w:rsidRDefault="00504353" w:rsidP="002E6224">
      <w:pPr>
        <w:pStyle w:val="Prrafodelista"/>
        <w:numPr>
          <w:ilvl w:val="0"/>
          <w:numId w:val="7"/>
        </w:numPr>
        <w:spacing w:line="360" w:lineRule="auto"/>
        <w:ind w:left="0" w:firstLine="0"/>
        <w:jc w:val="both"/>
        <w:rPr>
          <w:rFonts w:ascii="Palatino Linotype" w:hAnsi="Palatino Linotype"/>
          <w:i/>
          <w:color w:val="000000"/>
        </w:rPr>
      </w:pPr>
      <w:r>
        <w:rPr>
          <w:rFonts w:ascii="Palatino Linotype" w:hAnsi="Palatino Linotype"/>
          <w:color w:val="000000"/>
        </w:rPr>
        <w:t xml:space="preserve">En ese contexto, cabe traer a colación la solicitud de información a la solicitud de información ya que </w:t>
      </w:r>
      <w:r w:rsidR="002C365D">
        <w:rPr>
          <w:rFonts w:ascii="Palatino Linotype" w:hAnsi="Palatino Linotype"/>
          <w:color w:val="000000"/>
        </w:rPr>
        <w:t xml:space="preserve">si bien la misma resulta ambigua al no señalar a qué tipo de vacunación se refiere, </w:t>
      </w:r>
      <w:r w:rsidR="00BD3097">
        <w:rPr>
          <w:rFonts w:ascii="Palatino Linotype" w:hAnsi="Palatino Linotype"/>
          <w:color w:val="000000"/>
        </w:rPr>
        <w:t xml:space="preserve">por lo que </w:t>
      </w:r>
      <w:r w:rsidR="002C365D">
        <w:rPr>
          <w:rFonts w:ascii="Palatino Linotype" w:hAnsi="Palatino Linotype"/>
          <w:color w:val="000000"/>
        </w:rPr>
        <w:t xml:space="preserve">esta Ponencia Resolutora, se aboco a </w:t>
      </w:r>
      <w:r w:rsidR="005276AA">
        <w:rPr>
          <w:rFonts w:ascii="Palatino Linotype" w:hAnsi="Palatino Linotype"/>
          <w:color w:val="000000"/>
        </w:rPr>
        <w:t xml:space="preserve">la búsqueda de hechos o </w:t>
      </w:r>
      <w:r w:rsidR="002C365D">
        <w:rPr>
          <w:rFonts w:ascii="Palatino Linotype" w:hAnsi="Palatino Linotype"/>
          <w:color w:val="000000"/>
        </w:rPr>
        <w:t xml:space="preserve">indicios que dieran cuenta de algún tipo de jornada de vacunación en el territorio municipal en el lapso temporal comprendido de los días 10 al 13 de enero de la presente anualidad, hallando </w:t>
      </w:r>
      <w:r w:rsidR="005276AA">
        <w:rPr>
          <w:rFonts w:ascii="Palatino Linotype" w:hAnsi="Palatino Linotype"/>
          <w:color w:val="000000"/>
        </w:rPr>
        <w:t>la siguiente publicación</w:t>
      </w:r>
      <w:r w:rsidR="002C365D">
        <w:rPr>
          <w:rFonts w:ascii="Palatino Linotype" w:hAnsi="Palatino Linotype"/>
          <w:color w:val="000000"/>
        </w:rPr>
        <w:t xml:space="preserve"> en la cuenta oficial del Ayuntamiento </w:t>
      </w:r>
      <w:r w:rsidR="00BD3097">
        <w:rPr>
          <w:rFonts w:ascii="Palatino Linotype" w:hAnsi="Palatino Linotype"/>
          <w:color w:val="000000"/>
        </w:rPr>
        <w:t xml:space="preserve">dentro de </w:t>
      </w:r>
      <w:r w:rsidR="002C365D">
        <w:rPr>
          <w:rFonts w:ascii="Palatino Linotype" w:hAnsi="Palatino Linotype"/>
          <w:color w:val="000000"/>
        </w:rPr>
        <w:t xml:space="preserve">la red social </w:t>
      </w:r>
      <w:r w:rsidR="002C365D" w:rsidRPr="002C365D">
        <w:rPr>
          <w:rFonts w:ascii="Palatino Linotype" w:hAnsi="Palatino Linotype"/>
          <w:i/>
          <w:color w:val="000000"/>
        </w:rPr>
        <w:t>Twitter</w:t>
      </w:r>
      <w:r w:rsidR="002C365D">
        <w:rPr>
          <w:rFonts w:ascii="Palatino Linotype" w:hAnsi="Palatino Linotype"/>
          <w:color w:val="000000"/>
        </w:rPr>
        <w:t>:</w:t>
      </w:r>
    </w:p>
    <w:p w14:paraId="1AFE8756" w14:textId="0E302DF6" w:rsidR="002C365D" w:rsidRPr="002C365D" w:rsidRDefault="00DA3129" w:rsidP="002C365D">
      <w:pPr>
        <w:pStyle w:val="Prrafodelista"/>
        <w:rPr>
          <w:rFonts w:ascii="Palatino Linotype" w:hAnsi="Palatino Linotype"/>
          <w:i/>
          <w:color w:val="000000"/>
        </w:rPr>
      </w:pPr>
      <w:r>
        <w:rPr>
          <w:rFonts w:ascii="Palatino Linotype" w:hAnsi="Palatino Linotype"/>
          <w:i/>
          <w:noProof/>
          <w:color w:val="000000"/>
          <w:lang w:val="es-MX" w:eastAsia="es-MX"/>
        </w:rPr>
        <mc:AlternateContent>
          <mc:Choice Requires="wps">
            <w:drawing>
              <wp:anchor distT="0" distB="0" distL="114300" distR="114300" simplePos="0" relativeHeight="251663360" behindDoc="0" locked="0" layoutInCell="1" allowOverlap="1" wp14:anchorId="695FF947" wp14:editId="1CA27A60">
                <wp:simplePos x="0" y="0"/>
                <wp:positionH relativeFrom="column">
                  <wp:posOffset>24270</wp:posOffset>
                </wp:positionH>
                <wp:positionV relativeFrom="paragraph">
                  <wp:posOffset>36573</wp:posOffset>
                </wp:positionV>
                <wp:extent cx="5634842" cy="1009403"/>
                <wp:effectExtent l="38100" t="38100" r="61595" b="95885"/>
                <wp:wrapNone/>
                <wp:docPr id="3" name="Conector recto 3"/>
                <wp:cNvGraphicFramePr/>
                <a:graphic xmlns:a="http://schemas.openxmlformats.org/drawingml/2006/main">
                  <a:graphicData uri="http://schemas.microsoft.com/office/word/2010/wordprocessingShape">
                    <wps:wsp>
                      <wps:cNvCnPr/>
                      <wps:spPr>
                        <a:xfrm>
                          <a:off x="0" y="0"/>
                          <a:ext cx="5634842" cy="10094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7C3273F"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pt,2.9pt" to="445.6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" strokecolor="black [3200]" strokeweight="2pt">
                <v:shadow on="t" color="black" opacity="24903f" origin=",.5" offset="0,.55556mm"/>
              </v:line>
            </w:pict>
          </mc:Fallback>
        </mc:AlternateContent>
      </w:r>
    </w:p>
    <w:p w14:paraId="65404483" w14:textId="11603C90" w:rsidR="002C365D" w:rsidRPr="00504353" w:rsidRDefault="002C365D" w:rsidP="00DA3129">
      <w:pPr>
        <w:pStyle w:val="Prrafodelista"/>
        <w:spacing w:line="360" w:lineRule="auto"/>
        <w:ind w:left="0"/>
        <w:jc w:val="center"/>
        <w:rPr>
          <w:rFonts w:ascii="Palatino Linotype" w:hAnsi="Palatino Linotype"/>
          <w:i/>
          <w:color w:val="000000"/>
        </w:rPr>
      </w:pPr>
      <w:r>
        <w:rPr>
          <w:rFonts w:ascii="Palatino Linotype" w:hAnsi="Palatino Linotype"/>
          <w:i/>
          <w:noProof/>
          <w:color w:val="000000"/>
          <w:lang w:val="es-MX" w:eastAsia="es-MX"/>
        </w:rPr>
        <w:lastRenderedPageBreak/>
        <w:drawing>
          <wp:inline distT="0" distB="0" distL="0" distR="0" wp14:anchorId="6CB1AF88" wp14:editId="323B9856">
            <wp:extent cx="3773606" cy="36270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699" cy="3629082"/>
                    </a:xfrm>
                    <a:prstGeom prst="rect">
                      <a:avLst/>
                    </a:prstGeom>
                    <a:noFill/>
                    <a:ln>
                      <a:noFill/>
                    </a:ln>
                  </pic:spPr>
                </pic:pic>
              </a:graphicData>
            </a:graphic>
          </wp:inline>
        </w:drawing>
      </w:r>
    </w:p>
    <w:p w14:paraId="1CF44EBE" w14:textId="77777777" w:rsidR="00504353" w:rsidRPr="00504353" w:rsidRDefault="00504353" w:rsidP="00504353">
      <w:pPr>
        <w:pStyle w:val="Prrafodelista"/>
        <w:rPr>
          <w:rFonts w:ascii="Palatino Linotype" w:hAnsi="Palatino Linotype"/>
          <w:i/>
          <w:color w:val="000000"/>
        </w:rPr>
      </w:pPr>
    </w:p>
    <w:p w14:paraId="5910CC8D" w14:textId="10C71077" w:rsidR="00504353" w:rsidRPr="0000595F" w:rsidRDefault="00DA3129" w:rsidP="00DA3129">
      <w:pPr>
        <w:pStyle w:val="Prrafodelista"/>
        <w:numPr>
          <w:ilvl w:val="0"/>
          <w:numId w:val="7"/>
        </w:numPr>
        <w:spacing w:line="360" w:lineRule="auto"/>
        <w:ind w:left="0" w:firstLine="0"/>
        <w:jc w:val="both"/>
        <w:rPr>
          <w:rFonts w:ascii="Palatino Linotype" w:hAnsi="Palatino Linotype"/>
          <w:i/>
          <w:color w:val="000000"/>
        </w:rPr>
      </w:pPr>
      <w:r>
        <w:rPr>
          <w:rFonts w:ascii="Palatino Linotype" w:hAnsi="Palatino Linotype"/>
          <w:color w:val="000000"/>
        </w:rPr>
        <w:t xml:space="preserve">De lo anterior se concluye que correspondió a una jornada de vacunación </w:t>
      </w:r>
      <w:r w:rsidRPr="00DA3129">
        <w:rPr>
          <w:rFonts w:ascii="Palatino Linotype" w:hAnsi="Palatino Linotype"/>
          <w:color w:val="000000"/>
        </w:rPr>
        <w:t>contra el virus SARS-CoV-2 para la prevención de la COVID-19</w:t>
      </w:r>
      <w:r w:rsidR="0000595F">
        <w:rPr>
          <w:rFonts w:ascii="Palatino Linotype" w:hAnsi="Palatino Linotype"/>
          <w:color w:val="000000"/>
        </w:rPr>
        <w:t xml:space="preserve">, en atención a ello el </w:t>
      </w:r>
      <w:r w:rsidR="0000595F">
        <w:rPr>
          <w:rFonts w:ascii="Palatino Linotype" w:hAnsi="Palatino Linotype"/>
          <w:b/>
          <w:color w:val="000000"/>
        </w:rPr>
        <w:t>SUJETO OBLIGADO</w:t>
      </w:r>
      <w:r w:rsidR="006843E8">
        <w:rPr>
          <w:rFonts w:ascii="Palatino Linotype" w:hAnsi="Palatino Linotype"/>
          <w:b/>
          <w:color w:val="000000"/>
        </w:rPr>
        <w:t xml:space="preserve"> </w:t>
      </w:r>
      <w:r w:rsidR="004A2E68">
        <w:rPr>
          <w:rFonts w:ascii="Palatino Linotype" w:hAnsi="Palatino Linotype"/>
          <w:color w:val="000000"/>
        </w:rPr>
        <w:t>declinó</w:t>
      </w:r>
      <w:r w:rsidR="00790AEA" w:rsidRPr="00790AEA">
        <w:rPr>
          <w:rFonts w:ascii="Palatino Linotype" w:hAnsi="Palatino Linotype"/>
          <w:color w:val="000000"/>
        </w:rPr>
        <w:t xml:space="preserve"> su competencia </w:t>
      </w:r>
      <w:r w:rsidR="006843E8">
        <w:rPr>
          <w:rFonts w:ascii="Palatino Linotype" w:hAnsi="Palatino Linotype"/>
          <w:color w:val="000000"/>
        </w:rPr>
        <w:t>a la Secretaría de Salud Federal a través de la Plataforma Nacional de Transparencia. En ese sentido, la respuesta emitida resulta parcialmente procedente por las siguientes consideraciones.</w:t>
      </w:r>
    </w:p>
    <w:p w14:paraId="19BA90F8" w14:textId="77777777" w:rsidR="009B1586" w:rsidRPr="009B1586" w:rsidRDefault="009B1586" w:rsidP="009B1586">
      <w:pPr>
        <w:pStyle w:val="Prrafodelista"/>
        <w:rPr>
          <w:rFonts w:ascii="Palatino Linotype" w:hAnsi="Palatino Linotype"/>
          <w:color w:val="000000"/>
        </w:rPr>
      </w:pPr>
    </w:p>
    <w:p w14:paraId="0C38041C" w14:textId="3549A9DC" w:rsidR="009B1586" w:rsidRPr="004A2E68" w:rsidRDefault="009B1586" w:rsidP="009B1586">
      <w:pPr>
        <w:pStyle w:val="Prrafodelista"/>
        <w:numPr>
          <w:ilvl w:val="0"/>
          <w:numId w:val="7"/>
        </w:numPr>
        <w:spacing w:line="360" w:lineRule="auto"/>
        <w:ind w:left="0" w:firstLine="0"/>
        <w:jc w:val="both"/>
        <w:rPr>
          <w:rFonts w:ascii="Palatino Linotype" w:eastAsia="Palatino Linotype" w:hAnsi="Palatino Linotype" w:cs="Palatino Linotype"/>
        </w:rPr>
      </w:pPr>
      <w:r w:rsidRPr="004A2E68">
        <w:rPr>
          <w:rFonts w:ascii="Palatino Linotype" w:eastAsia="Palatino Linotype" w:hAnsi="Palatino Linotype" w:cs="Palatino Linotype"/>
        </w:rPr>
        <w:t>El 24 de marzo del 2020, se publicó en el Diario Oficial de la Federación el "</w:t>
      </w:r>
      <w:r w:rsidRPr="004A2E68">
        <w:rPr>
          <w:rFonts w:ascii="Palatino Linotype" w:eastAsia="Palatino Linotype" w:hAnsi="Palatino Linotype" w:cs="Palatino Linotype"/>
          <w:i/>
        </w:rPr>
        <w:t xml:space="preserve">Acuerdo por el </w:t>
      </w:r>
      <w:r w:rsidRPr="004A2E68">
        <w:rPr>
          <w:rFonts w:ascii="Palatino Linotype" w:hAnsi="Palatino Linotype"/>
          <w:color w:val="000000"/>
        </w:rPr>
        <w:t>que</w:t>
      </w:r>
      <w:r w:rsidRPr="004A2E68">
        <w:rPr>
          <w:rFonts w:ascii="Palatino Linotype" w:eastAsia="Palatino Linotype" w:hAnsi="Palatino Linotype" w:cs="Palatino Linotype"/>
          <w:i/>
        </w:rPr>
        <w:t xml:space="preserve"> se establecen las medidas preventivas que se deberán implementar para la mitigación y control de los riesgos para la salud que implica la enfermedad por el virus SARS-CoV-2 (COVID-19)"</w:t>
      </w:r>
      <w:r w:rsidRPr="004A2E68">
        <w:rPr>
          <w:rFonts w:ascii="Palatino Linotype" w:eastAsia="Palatino Linotype" w:hAnsi="Palatino Linotype" w:cs="Palatino Linotype"/>
          <w:i/>
          <w:vertAlign w:val="superscript"/>
        </w:rPr>
        <w:footnoteReference w:id="5"/>
      </w:r>
      <w:r w:rsidRPr="004A2E68">
        <w:rPr>
          <w:rFonts w:ascii="Palatino Linotype" w:eastAsia="Palatino Linotype" w:hAnsi="Palatino Linotype" w:cs="Palatino Linotype"/>
        </w:rPr>
        <w:t xml:space="preserve">, mismas que fueron sancionadas por el Presidente de la </w:t>
      </w:r>
      <w:r w:rsidRPr="004A2E68">
        <w:rPr>
          <w:rFonts w:ascii="Palatino Linotype" w:eastAsia="Palatino Linotype" w:hAnsi="Palatino Linotype" w:cs="Palatino Linotype"/>
        </w:rPr>
        <w:lastRenderedPageBreak/>
        <w:t>República, mediante Decreto publicado en el mencionado medio oficial de difusión en la misma fecha.</w:t>
      </w:r>
    </w:p>
    <w:p w14:paraId="60902740" w14:textId="77777777" w:rsidR="009B1586" w:rsidRPr="004A2E68" w:rsidRDefault="009B1586" w:rsidP="009B1586">
      <w:pPr>
        <w:spacing w:line="360" w:lineRule="auto"/>
        <w:ind w:right="49"/>
        <w:jc w:val="both"/>
        <w:rPr>
          <w:rFonts w:ascii="Palatino Linotype" w:eastAsia="Palatino Linotype" w:hAnsi="Palatino Linotype" w:cs="Palatino Linotype"/>
        </w:rPr>
      </w:pPr>
    </w:p>
    <w:p w14:paraId="228F8BC5" w14:textId="59E43BF6" w:rsidR="009B1586" w:rsidRPr="004A2E68" w:rsidRDefault="009B1586" w:rsidP="009B1586">
      <w:pPr>
        <w:pStyle w:val="Prrafodelista"/>
        <w:numPr>
          <w:ilvl w:val="0"/>
          <w:numId w:val="7"/>
        </w:numPr>
        <w:spacing w:line="360" w:lineRule="auto"/>
        <w:ind w:left="0" w:firstLine="0"/>
        <w:jc w:val="both"/>
        <w:rPr>
          <w:rFonts w:ascii="Palatino Linotype" w:hAnsi="Palatino Linotype"/>
          <w:color w:val="000000"/>
        </w:rPr>
      </w:pPr>
      <w:r w:rsidRPr="004A2E68">
        <w:rPr>
          <w:rFonts w:ascii="Palatino Linotype" w:eastAsia="Palatino Linotype" w:hAnsi="Palatino Linotype" w:cs="Palatino Linotype"/>
        </w:rPr>
        <w:t>Posteriormente</w:t>
      </w:r>
      <w:r w:rsidRPr="004A2E68">
        <w:rPr>
          <w:rFonts w:ascii="Palatino Linotype" w:hAnsi="Palatino Linotype"/>
          <w:color w:val="000000"/>
        </w:rPr>
        <w:t xml:space="preserve">, el día once (11) de noviembre de 2020 en el Diario Oficial de la Federación se publicó el ACUERDO por el que se instruyó a la </w:t>
      </w:r>
      <w:r w:rsidRPr="004A2E68">
        <w:rPr>
          <w:rFonts w:ascii="Palatino Linotype" w:hAnsi="Palatino Linotype"/>
          <w:b/>
          <w:color w:val="000000"/>
        </w:rPr>
        <w:t>Secretaría de Salud</w:t>
      </w:r>
      <w:r w:rsidRPr="004A2E68">
        <w:rPr>
          <w:rFonts w:ascii="Palatino Linotype" w:hAnsi="Palatino Linotype"/>
          <w:color w:val="000000"/>
        </w:rPr>
        <w:t xml:space="preserve"> y a la Comisión Federal para la Protección contra Riesgos Sanitarios las acciones que en el mismo se indican.</w:t>
      </w:r>
    </w:p>
    <w:p w14:paraId="5C0251B4" w14:textId="77777777" w:rsidR="009B1586" w:rsidRPr="004A2E68" w:rsidRDefault="009B1586" w:rsidP="009B1586">
      <w:pPr>
        <w:spacing w:line="360" w:lineRule="auto"/>
        <w:jc w:val="both"/>
        <w:rPr>
          <w:rFonts w:ascii="Palatino Linotype" w:eastAsia="Palatino Linotype" w:hAnsi="Palatino Linotype" w:cs="Palatino Linotype"/>
        </w:rPr>
      </w:pPr>
    </w:p>
    <w:p w14:paraId="600554AF" w14:textId="77777777" w:rsidR="009B1586" w:rsidRPr="004A2E68" w:rsidRDefault="009B1586" w:rsidP="009B1586">
      <w:pPr>
        <w:pStyle w:val="Prrafodelista"/>
        <w:numPr>
          <w:ilvl w:val="0"/>
          <w:numId w:val="7"/>
        </w:numPr>
        <w:spacing w:line="360" w:lineRule="auto"/>
        <w:ind w:left="0" w:firstLine="0"/>
        <w:jc w:val="both"/>
        <w:rPr>
          <w:rFonts w:ascii="Palatino Linotype" w:eastAsia="Palatino Linotype" w:hAnsi="Palatino Linotype" w:cs="Palatino Linotype"/>
        </w:rPr>
      </w:pPr>
      <w:r w:rsidRPr="004A2E68">
        <w:rPr>
          <w:rFonts w:ascii="Palatino Linotype" w:eastAsia="Palatino Linotype" w:hAnsi="Palatino Linotype" w:cs="Palatino Linotype"/>
        </w:rPr>
        <w:t xml:space="preserve">En ese mismo sentido, en fecha ocho (08) de enero de dos mil veintiuno, se publicó en el Diario Oficial de la Federación, el </w:t>
      </w:r>
      <w:r w:rsidRPr="004A2E68">
        <w:rPr>
          <w:rFonts w:ascii="Palatino Linotype" w:eastAsia="Palatino Linotype" w:hAnsi="Palatino Linotype" w:cs="Palatino Linotype"/>
          <w:i/>
        </w:rPr>
        <w:t>“Acuerdo por el que se da a conocer el medio de difusión de la Política Nacional de Vacunación contra el virus SARS-CoV-2 para la prevención de la COVID-19 en México”</w:t>
      </w:r>
      <w:r w:rsidRPr="004A2E68">
        <w:rPr>
          <w:rFonts w:ascii="Palatino Linotype" w:eastAsia="Palatino Linotype" w:hAnsi="Palatino Linotype" w:cs="Palatino Linotype"/>
        </w:rPr>
        <w:t xml:space="preserve"> , mismo que refiere que “</w:t>
      </w:r>
      <w:r w:rsidRPr="004A2E68">
        <w:rPr>
          <w:rFonts w:ascii="Palatino Linotype" w:eastAsia="Palatino Linotype" w:hAnsi="Palatino Linotype" w:cs="Palatino Linotype"/>
          <w:i/>
        </w:rPr>
        <w:t>el Estado mexicano debe procurar el abasto y la distribución oportuna y gratuita, así como la disponibilidad de los insumos necesarios para las acciones de vacunación, y que en el caso de las acciones relativas a la mitigación y control de la enfermedad grave de atención prioritaria generada por el virus SARS-CoV-2 (COVID-19), ha resuelto que su aplicación sea universal” (Sic)</w:t>
      </w:r>
    </w:p>
    <w:p w14:paraId="478EA5CD" w14:textId="77777777" w:rsidR="009B1586" w:rsidRPr="004A2E68" w:rsidRDefault="009B1586" w:rsidP="009B1586">
      <w:pPr>
        <w:spacing w:line="360" w:lineRule="auto"/>
        <w:jc w:val="both"/>
        <w:rPr>
          <w:rFonts w:ascii="Palatino Linotype" w:eastAsia="Palatino Linotype" w:hAnsi="Palatino Linotype" w:cs="Palatino Linotype"/>
        </w:rPr>
      </w:pPr>
    </w:p>
    <w:p w14:paraId="467B7659" w14:textId="77F7566F" w:rsidR="009B1586" w:rsidRPr="004A2E68" w:rsidRDefault="009B1586" w:rsidP="009B1586">
      <w:pPr>
        <w:pStyle w:val="Prrafodelista"/>
        <w:numPr>
          <w:ilvl w:val="0"/>
          <w:numId w:val="7"/>
        </w:numPr>
        <w:spacing w:line="360" w:lineRule="auto"/>
        <w:ind w:left="0" w:firstLine="0"/>
        <w:jc w:val="both"/>
        <w:rPr>
          <w:rFonts w:ascii="Palatino Linotype" w:eastAsia="Palatino Linotype" w:hAnsi="Palatino Linotype" w:cs="Palatino Linotype"/>
        </w:rPr>
      </w:pPr>
      <w:r w:rsidRPr="004A2E68">
        <w:rPr>
          <w:rFonts w:ascii="Palatino Linotype" w:eastAsia="Palatino Linotype" w:hAnsi="Palatino Linotype" w:cs="Palatino Linotype"/>
        </w:rPr>
        <w:t xml:space="preserve">En tal contexto, el veintiuno de enero de dos mil veintiuno, se publicó en el Diario Oficial de la Federación el </w:t>
      </w:r>
      <w:r w:rsidRPr="004A2E68">
        <w:rPr>
          <w:rFonts w:ascii="Palatino Linotype" w:eastAsia="Palatino Linotype" w:hAnsi="Palatino Linotype" w:cs="Palatino Linotype"/>
          <w:i/>
        </w:rPr>
        <w:t xml:space="preserve">Acuerdo por el que se establecen brigadas especiales, como una acción extraordinaria en materia de salubridad general, para llevar a cabo la vacunación como medida para la mitigación y control de la enfermedad COVID-19, en todo </w:t>
      </w:r>
      <w:r w:rsidRPr="004A2E68">
        <w:rPr>
          <w:rFonts w:ascii="Palatino Linotype" w:eastAsia="Palatino Linotype" w:hAnsi="Palatino Linotype" w:cs="Palatino Linotype"/>
          <w:i/>
        </w:rPr>
        <w:lastRenderedPageBreak/>
        <w:t>el territorio nacional</w:t>
      </w:r>
      <w:r w:rsidRPr="004A2E68">
        <w:rPr>
          <w:rFonts w:ascii="Palatino Linotype" w:eastAsia="Palatino Linotype" w:hAnsi="Palatino Linotype" w:cs="Palatino Linotype"/>
          <w:i/>
          <w:vertAlign w:val="superscript"/>
        </w:rPr>
        <w:footnoteReference w:id="6"/>
      </w:r>
      <w:r w:rsidRPr="004A2E68">
        <w:rPr>
          <w:rFonts w:ascii="Palatino Linotype" w:eastAsia="Palatino Linotype" w:hAnsi="Palatino Linotype" w:cs="Palatino Linotype"/>
          <w:i/>
        </w:rPr>
        <w:t xml:space="preserve">, </w:t>
      </w:r>
      <w:r w:rsidRPr="004A2E68">
        <w:rPr>
          <w:rFonts w:ascii="Palatino Linotype" w:eastAsia="Palatino Linotype" w:hAnsi="Palatino Linotype" w:cs="Palatino Linotype"/>
        </w:rPr>
        <w:t xml:space="preserve">publicado en el Diario Oficial de la Federación el veintiuno de enero de dos mil veintiuno, mismo que tiene por objeto establecer las brigadas, como una acción extraordinaria en materia de salubridad general, para para </w:t>
      </w:r>
      <w:r w:rsidRPr="004A2E68">
        <w:rPr>
          <w:rFonts w:ascii="Palatino Linotype" w:eastAsia="Palatino Linotype" w:hAnsi="Palatino Linotype" w:cs="Palatino Linotype"/>
          <w:b/>
        </w:rPr>
        <w:t>la estrategia operativa que se implemente a nivel federal, para llevar a cabo la vacunación como medida para la mitigación y control de la enfermedad COVID-19</w:t>
      </w:r>
      <w:r w:rsidRPr="004A2E68">
        <w:rPr>
          <w:rFonts w:ascii="Palatino Linotype" w:eastAsia="Palatino Linotype" w:hAnsi="Palatino Linotype" w:cs="Palatino Linotype"/>
        </w:rPr>
        <w:t xml:space="preserve">, en todo el territorio nacional, en ese sentido, este Órgano Garante advierte que </w:t>
      </w:r>
      <w:r w:rsidRPr="004A2E68">
        <w:rPr>
          <w:rFonts w:ascii="Palatino Linotype" w:eastAsia="Palatino Linotype" w:hAnsi="Palatino Linotype" w:cs="Palatino Linotype"/>
          <w:b/>
        </w:rPr>
        <w:t>el programa de vacunación resulta ser una estrategia nacional para combatir la pandemia causada por el Virus SARSR-COV-2</w:t>
      </w:r>
      <w:r w:rsidRPr="004A2E68">
        <w:rPr>
          <w:rFonts w:ascii="Palatino Linotype" w:eastAsia="Palatino Linotype" w:hAnsi="Palatino Linotype" w:cs="Palatino Linotype"/>
        </w:rPr>
        <w:t>.</w:t>
      </w:r>
    </w:p>
    <w:p w14:paraId="09781C1D" w14:textId="77777777" w:rsidR="009B1586" w:rsidRPr="004A2E68" w:rsidRDefault="009B1586" w:rsidP="009B1586">
      <w:pPr>
        <w:spacing w:line="360" w:lineRule="auto"/>
        <w:jc w:val="both"/>
        <w:rPr>
          <w:rFonts w:ascii="Palatino Linotype" w:eastAsia="Palatino Linotype" w:hAnsi="Palatino Linotype" w:cs="Palatino Linotype"/>
        </w:rPr>
      </w:pPr>
    </w:p>
    <w:p w14:paraId="5FDB279A" w14:textId="051794D4" w:rsidR="009B1586" w:rsidRPr="004A2E68" w:rsidRDefault="00BD3097" w:rsidP="009B1586">
      <w:pPr>
        <w:pStyle w:val="Prrafodelista"/>
        <w:numPr>
          <w:ilvl w:val="0"/>
          <w:numId w:val="7"/>
        </w:numPr>
        <w:spacing w:line="360" w:lineRule="auto"/>
        <w:ind w:left="0" w:firstLine="0"/>
        <w:jc w:val="both"/>
        <w:rPr>
          <w:rFonts w:ascii="Palatino Linotype" w:eastAsia="Palatino Linotype" w:hAnsi="Palatino Linotype" w:cs="Palatino Linotype"/>
        </w:rPr>
      </w:pPr>
      <w:r w:rsidRPr="004A2E68">
        <w:rPr>
          <w:rFonts w:ascii="Palatino Linotype" w:eastAsia="Palatino Linotype" w:hAnsi="Palatino Linotype" w:cs="Palatino Linotype"/>
        </w:rPr>
        <w:t>Luego entonces, relativo a la</w:t>
      </w:r>
      <w:r w:rsidR="009B1586" w:rsidRPr="004A2E68">
        <w:rPr>
          <w:rFonts w:ascii="Palatino Linotype" w:eastAsia="Palatino Linotype" w:hAnsi="Palatino Linotype" w:cs="Palatino Linotype"/>
        </w:rPr>
        <w:t xml:space="preserve"> campaña de vacunación llevada a cabo por en el Municipio de Metepec del diez al trece de enero de dos mil veinte. La Secretaría de Salud por medio del Instituto de Salud del Estado de México publicó en su página oficial el boletín número UCS/SSEM/ISEM/00/2022 de fecha ocho de enero de dos mil veintidós, con el rubro “ANUNCIAN NUEVAS FECHAS Y SEDES PARA APLICACIÓN DE SEGUNDA DOSIS DE VACUNA CONTRA COVID-19 A MENORES DE 15 A 17 AÑOS EN 44 MUNICIPIOS DEL EDOMÉX”</w:t>
      </w:r>
      <w:r w:rsidR="009B1586" w:rsidRPr="004A2E68">
        <w:rPr>
          <w:rFonts w:ascii="Palatino Linotype" w:eastAsia="Palatino Linotype" w:hAnsi="Palatino Linotype" w:cs="Palatino Linotype"/>
          <w:vertAlign w:val="superscript"/>
        </w:rPr>
        <w:footnoteReference w:id="7"/>
      </w:r>
      <w:r w:rsidR="009B1586" w:rsidRPr="004A2E68">
        <w:rPr>
          <w:rFonts w:ascii="Palatino Linotype" w:eastAsia="Palatino Linotype" w:hAnsi="Palatino Linotype" w:cs="Palatino Linotype"/>
        </w:rPr>
        <w:t xml:space="preserve"> donde se informó que el día diez de enero de se inició por parte de las autoridades nacionales y estatales la campaña de vacunación de menores de 15 a 17 años en los municipios del Estado de México, entre ellos, el Municipio de Metepec. Se insertan capturas de pantalla de dicho boletín para mayor referencia: </w:t>
      </w:r>
    </w:p>
    <w:p w14:paraId="758B1915" w14:textId="77777777" w:rsidR="009B1586" w:rsidRPr="004A2E68" w:rsidRDefault="009B1586" w:rsidP="009B1586">
      <w:pPr>
        <w:spacing w:line="360" w:lineRule="auto"/>
        <w:jc w:val="both"/>
        <w:rPr>
          <w:rFonts w:ascii="Palatino Linotype" w:eastAsia="Palatino Linotype" w:hAnsi="Palatino Linotype" w:cs="Palatino Linotype"/>
        </w:rPr>
      </w:pPr>
    </w:p>
    <w:p w14:paraId="744E282C" w14:textId="77777777" w:rsidR="009B1586" w:rsidRPr="004A2E68" w:rsidRDefault="009B1586" w:rsidP="009B1586">
      <w:pPr>
        <w:spacing w:line="360" w:lineRule="auto"/>
        <w:jc w:val="center"/>
        <w:rPr>
          <w:rFonts w:ascii="Palatino Linotype" w:eastAsia="Palatino Linotype" w:hAnsi="Palatino Linotype" w:cs="Palatino Linotype"/>
        </w:rPr>
      </w:pPr>
      <w:r w:rsidRPr="004A2E68">
        <w:rPr>
          <w:rFonts w:ascii="Palatino Linotype" w:eastAsia="Palatino Linotype" w:hAnsi="Palatino Linotype" w:cs="Palatino Linotype"/>
          <w:noProof/>
        </w:rPr>
        <w:lastRenderedPageBreak/>
        <w:drawing>
          <wp:inline distT="114300" distB="114300" distL="114300" distR="114300" wp14:anchorId="22202D53" wp14:editId="4176E848">
            <wp:extent cx="5581650" cy="1067385"/>
            <wp:effectExtent l="19050" t="19050" r="19050" b="1905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6615"/>
                    <a:stretch>
                      <a:fillRect/>
                    </a:stretch>
                  </pic:blipFill>
                  <pic:spPr>
                    <a:xfrm>
                      <a:off x="0" y="0"/>
                      <a:ext cx="5581650" cy="1067385"/>
                    </a:xfrm>
                    <a:prstGeom prst="rect">
                      <a:avLst/>
                    </a:prstGeom>
                    <a:ln>
                      <a:solidFill>
                        <a:schemeClr val="tx1"/>
                      </a:solidFill>
                    </a:ln>
                  </pic:spPr>
                </pic:pic>
              </a:graphicData>
            </a:graphic>
          </wp:inline>
        </w:drawing>
      </w:r>
    </w:p>
    <w:p w14:paraId="3423C028" w14:textId="77777777" w:rsidR="009B1586" w:rsidRPr="004A2E68" w:rsidRDefault="009B1586" w:rsidP="009B1586">
      <w:pPr>
        <w:spacing w:line="360" w:lineRule="auto"/>
        <w:ind w:right="49"/>
        <w:jc w:val="both"/>
        <w:rPr>
          <w:rFonts w:ascii="Palatino Linotype" w:eastAsia="Palatino Linotype" w:hAnsi="Palatino Linotype" w:cs="Palatino Linotype"/>
        </w:rPr>
      </w:pPr>
      <w:r w:rsidRPr="004A2E68">
        <w:rPr>
          <w:rFonts w:ascii="Palatino Linotype" w:eastAsia="Palatino Linotype" w:hAnsi="Palatino Linotype" w:cs="Palatino Linotype"/>
        </w:rPr>
        <w:t xml:space="preserve"> </w:t>
      </w:r>
      <w:r w:rsidRPr="004A2E68">
        <w:rPr>
          <w:rFonts w:ascii="Palatino Linotype" w:eastAsia="Palatino Linotype" w:hAnsi="Palatino Linotype" w:cs="Palatino Linotype"/>
          <w:noProof/>
        </w:rPr>
        <w:drawing>
          <wp:inline distT="114300" distB="114300" distL="114300" distR="114300" wp14:anchorId="52F4249C" wp14:editId="2C1BB4E9">
            <wp:extent cx="5791835" cy="3759200"/>
            <wp:effectExtent l="19050" t="19050" r="18415" b="1270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91835" cy="3759200"/>
                    </a:xfrm>
                    <a:prstGeom prst="rect">
                      <a:avLst/>
                    </a:prstGeom>
                    <a:ln>
                      <a:solidFill>
                        <a:schemeClr val="tx1"/>
                      </a:solidFill>
                    </a:ln>
                  </pic:spPr>
                </pic:pic>
              </a:graphicData>
            </a:graphic>
          </wp:inline>
        </w:drawing>
      </w:r>
    </w:p>
    <w:p w14:paraId="5A8F7AFF" w14:textId="77777777" w:rsidR="009B1586" w:rsidRPr="004A2E68" w:rsidRDefault="009B1586" w:rsidP="009B1586">
      <w:pPr>
        <w:spacing w:line="360" w:lineRule="auto"/>
        <w:ind w:right="49"/>
        <w:jc w:val="both"/>
        <w:rPr>
          <w:rFonts w:ascii="Palatino Linotype" w:eastAsia="Palatino Linotype" w:hAnsi="Palatino Linotype" w:cs="Palatino Linotype"/>
        </w:rPr>
      </w:pPr>
    </w:p>
    <w:p w14:paraId="2D28301C" w14:textId="6A0E069A" w:rsidR="009B1586" w:rsidRPr="004A2E68" w:rsidRDefault="009B1586" w:rsidP="009B1586">
      <w:pPr>
        <w:pStyle w:val="Prrafodelista"/>
        <w:numPr>
          <w:ilvl w:val="0"/>
          <w:numId w:val="7"/>
        </w:numPr>
        <w:spacing w:line="360" w:lineRule="auto"/>
        <w:ind w:left="0" w:firstLine="0"/>
        <w:jc w:val="both"/>
        <w:rPr>
          <w:rFonts w:ascii="Palatino Linotype" w:hAnsi="Palatino Linotype"/>
          <w:color w:val="000000"/>
        </w:rPr>
      </w:pPr>
      <w:r w:rsidRPr="004A2E68">
        <w:rPr>
          <w:rFonts w:ascii="Palatino Linotype" w:eastAsia="Palatino Linotype" w:hAnsi="Palatino Linotype" w:cs="Palatino Linotype"/>
        </w:rPr>
        <w:t>De las imágenes anteriores, se puede advertir que la campaña de vacunación, referida por el particular en su solicitud de información fue organizada y llevada a cabo por una autoridad distinta al</w:t>
      </w:r>
      <w:r w:rsidRPr="004A2E68">
        <w:rPr>
          <w:rFonts w:ascii="Palatino Linotype" w:eastAsia="Palatino Linotype" w:hAnsi="Palatino Linotype" w:cs="Palatino Linotype"/>
          <w:b/>
        </w:rPr>
        <w:t xml:space="preserve"> SUJETO OBLIGADO.</w:t>
      </w:r>
    </w:p>
    <w:p w14:paraId="6F77D20A" w14:textId="77777777" w:rsidR="00790AEA" w:rsidRPr="00790AEA" w:rsidRDefault="00790AEA" w:rsidP="00790AEA">
      <w:pPr>
        <w:pStyle w:val="Prrafodelista"/>
        <w:rPr>
          <w:rFonts w:ascii="Palatino Linotype" w:hAnsi="Palatino Linotype"/>
          <w:color w:val="000000"/>
        </w:rPr>
      </w:pPr>
    </w:p>
    <w:p w14:paraId="3811D7F4" w14:textId="354D717A" w:rsidR="00432BB9" w:rsidRPr="00432BB9" w:rsidRDefault="00432BB9" w:rsidP="00432BB9">
      <w:pPr>
        <w:pStyle w:val="Prrafodelista"/>
        <w:numPr>
          <w:ilvl w:val="0"/>
          <w:numId w:val="7"/>
        </w:numPr>
        <w:spacing w:line="360" w:lineRule="auto"/>
        <w:ind w:left="0" w:firstLine="0"/>
        <w:jc w:val="both"/>
        <w:rPr>
          <w:rFonts w:ascii="Palatino Linotype" w:hAnsi="Palatino Linotype" w:cs="Arial"/>
        </w:rPr>
      </w:pPr>
      <w:r w:rsidRPr="00432BB9">
        <w:rPr>
          <w:rFonts w:ascii="Palatino Linotype" w:hAnsi="Palatino Linotype" w:cs="Arial"/>
        </w:rPr>
        <w:lastRenderedPageBreak/>
        <w:t>Con lo cual, queda de manifiesto que el Ayuntamiento de Metepec, carece de competencia para atender el requerimiento señalados por el particular, por ende, 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w:t>
      </w:r>
    </w:p>
    <w:p w14:paraId="309A16EC" w14:textId="77777777" w:rsidR="00432BB9" w:rsidRDefault="00432BB9" w:rsidP="00432BB9">
      <w:pPr>
        <w:pStyle w:val="Prrafodelista"/>
        <w:ind w:left="502" w:right="851"/>
        <w:jc w:val="both"/>
        <w:rPr>
          <w:rFonts w:ascii="Palatino Linotype" w:hAnsi="Palatino Linotype" w:cs="Arial"/>
          <w:b/>
          <w:i/>
        </w:rPr>
      </w:pPr>
    </w:p>
    <w:p w14:paraId="1F969046" w14:textId="27638961" w:rsidR="00432BB9" w:rsidRPr="00432BB9" w:rsidRDefault="00432BB9" w:rsidP="00432BB9">
      <w:pPr>
        <w:pStyle w:val="Prrafodelista"/>
        <w:spacing w:line="360" w:lineRule="auto"/>
        <w:ind w:left="505" w:right="851"/>
        <w:jc w:val="both"/>
        <w:rPr>
          <w:rFonts w:ascii="Palatino Linotype" w:hAnsi="Palatino Linotype" w:cs="Arial"/>
          <w:i/>
        </w:rPr>
      </w:pPr>
      <w:r w:rsidRPr="00432BB9">
        <w:rPr>
          <w:rFonts w:ascii="Palatino Linotype" w:hAnsi="Palatino Linotype" w:cs="Arial"/>
          <w:b/>
          <w:i/>
        </w:rPr>
        <w:t>“Incompetencia.</w:t>
      </w:r>
      <w:r w:rsidRPr="00432BB9">
        <w:rPr>
          <w:rFonts w:ascii="Palatino Linotype" w:hAnsi="Palatino Linotype" w:cs="Arial"/>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80C424F" w14:textId="77777777" w:rsidR="00432BB9" w:rsidRPr="00432BB9" w:rsidRDefault="00432BB9" w:rsidP="00432BB9">
      <w:pPr>
        <w:pStyle w:val="Prrafodelista"/>
        <w:rPr>
          <w:rFonts w:ascii="Palatino Linotype" w:hAnsi="Palatino Linotype"/>
          <w:color w:val="000000"/>
        </w:rPr>
      </w:pPr>
    </w:p>
    <w:p w14:paraId="2AFD603C" w14:textId="118BB25F" w:rsidR="00790AEA" w:rsidRDefault="00432BB9" w:rsidP="00BD3097">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En esa tesitura</w:t>
      </w:r>
      <w:r w:rsidR="004876AA">
        <w:rPr>
          <w:rFonts w:ascii="Palatino Linotype" w:hAnsi="Palatino Linotype"/>
          <w:color w:val="000000"/>
        </w:rPr>
        <w:t xml:space="preserve">, si bien es cierto de la respuesta se advierte el pronunciamiento de que el Ayuntamiento de Metepec, no puede satisfacer la </w:t>
      </w:r>
      <w:r w:rsidR="00BD3097">
        <w:rPr>
          <w:rFonts w:ascii="Palatino Linotype" w:hAnsi="Palatino Linotype"/>
          <w:color w:val="000000"/>
        </w:rPr>
        <w:t>pretensión</w:t>
      </w:r>
      <w:r w:rsidR="004876AA">
        <w:rPr>
          <w:rFonts w:ascii="Palatino Linotype" w:hAnsi="Palatino Linotype"/>
          <w:color w:val="000000"/>
        </w:rPr>
        <w:t xml:space="preserve"> del hoy recurrente ante la falta de fuente obligacional al respecto; también lo es que dicho pronunciamiento no se realizó conforme a lo establecido en la </w:t>
      </w:r>
      <w:r w:rsidR="004876AA" w:rsidRPr="004876AA">
        <w:rPr>
          <w:rFonts w:ascii="Palatino Linotype" w:hAnsi="Palatino Linotype"/>
          <w:color w:val="000000"/>
        </w:rPr>
        <w:t>Ley de Transparencia y Acceso a la Información Pública del Estado de México y Municipios</w:t>
      </w:r>
      <w:r w:rsidR="00BD3097">
        <w:rPr>
          <w:rFonts w:ascii="Palatino Linotype" w:hAnsi="Palatino Linotype"/>
          <w:color w:val="000000"/>
        </w:rPr>
        <w:t>.</w:t>
      </w:r>
    </w:p>
    <w:p w14:paraId="10D106B0" w14:textId="77777777" w:rsidR="009B1586" w:rsidRDefault="009B1586" w:rsidP="009B1586">
      <w:pPr>
        <w:pStyle w:val="Prrafodelista"/>
        <w:spacing w:line="360" w:lineRule="auto"/>
        <w:ind w:left="0"/>
        <w:jc w:val="both"/>
        <w:rPr>
          <w:rFonts w:ascii="Palatino Linotype" w:hAnsi="Palatino Linotype"/>
          <w:color w:val="000000"/>
        </w:rPr>
      </w:pPr>
    </w:p>
    <w:p w14:paraId="3AA07532" w14:textId="77777777" w:rsidR="00E813C0" w:rsidRDefault="00432BB9" w:rsidP="00432BB9">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Al respecto, </w:t>
      </w:r>
      <w:r w:rsidRPr="00432BB9">
        <w:rPr>
          <w:rFonts w:ascii="Palatino Linotype" w:hAnsi="Palatino Linotype" w:cs="Arial"/>
        </w:rPr>
        <w:t xml:space="preserve">el artículo 167 de la Ley de Transparencia y Acceso a la Información Pública del Estado de México y Municipios, establece que cuando las unidades de transparencia determinen la notoria incompetencia para atender la solicitud de información, deberán comunicarlo al solicitante dentro de los </w:t>
      </w:r>
      <w:r w:rsidRPr="00432BB9">
        <w:rPr>
          <w:rFonts w:ascii="Palatino Linotype" w:hAnsi="Palatino Linotype" w:cs="Arial"/>
          <w:b/>
        </w:rPr>
        <w:t xml:space="preserve">tres días </w:t>
      </w:r>
      <w:r w:rsidRPr="00432BB9">
        <w:rPr>
          <w:rFonts w:ascii="Palatino Linotype" w:hAnsi="Palatino Linotype" w:cs="Arial"/>
          <w:b/>
        </w:rPr>
        <w:lastRenderedPageBreak/>
        <w:t>hábiles posteriores a la recepción de la solicitud</w:t>
      </w:r>
      <w:r w:rsidRPr="00432BB9">
        <w:rPr>
          <w:rFonts w:ascii="Palatino Linotype" w:hAnsi="Palatino Linotype" w:cs="Arial"/>
        </w:rPr>
        <w:t xml:space="preserve">, </w:t>
      </w:r>
      <w:r w:rsidR="00E813C0">
        <w:rPr>
          <w:rFonts w:ascii="Palatino Linotype" w:hAnsi="Palatino Linotype" w:cs="Arial"/>
        </w:rPr>
        <w:t>como se transcribe de forma literal:</w:t>
      </w:r>
    </w:p>
    <w:p w14:paraId="3CD5AFF4" w14:textId="77777777" w:rsidR="00E813C0" w:rsidRPr="00E813C0" w:rsidRDefault="00E813C0" w:rsidP="00E813C0">
      <w:pPr>
        <w:pStyle w:val="Prrafodelista"/>
        <w:rPr>
          <w:rFonts w:ascii="Palatino Linotype" w:hAnsi="Palatino Linotype" w:cs="Arial"/>
        </w:rPr>
      </w:pPr>
    </w:p>
    <w:p w14:paraId="2C7CDA82" w14:textId="706BB35E" w:rsidR="00E813C0" w:rsidRPr="00E813C0" w:rsidRDefault="00E813C0" w:rsidP="00E813C0">
      <w:pPr>
        <w:pStyle w:val="Prrafodelista"/>
        <w:spacing w:line="360" w:lineRule="auto"/>
        <w:ind w:right="616"/>
        <w:jc w:val="both"/>
        <w:rPr>
          <w:rFonts w:ascii="Palatino Linotype" w:hAnsi="Palatino Linotype" w:cs="Arial"/>
          <w:i/>
        </w:rPr>
      </w:pPr>
      <w:r>
        <w:rPr>
          <w:rFonts w:ascii="Palatino Linotype" w:hAnsi="Palatino Linotype" w:cs="Arial"/>
          <w:i/>
        </w:rPr>
        <w:t>“</w:t>
      </w:r>
      <w:r w:rsidRPr="00E813C0">
        <w:rPr>
          <w:rFonts w:ascii="Palatino Linotype" w:hAnsi="Palatino Linotype" w:cs="Arial"/>
          <w:i/>
        </w:rPr>
        <w:t xml:space="preserve">Artículo 167. </w:t>
      </w:r>
      <w:r w:rsidRPr="00E813C0">
        <w:rPr>
          <w:rFonts w:ascii="Palatino Linotype" w:hAnsi="Palatino Linotype" w:cs="Arial"/>
          <w:b/>
          <w:i/>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E813C0">
        <w:rPr>
          <w:rFonts w:ascii="Palatino Linotype" w:hAnsi="Palatino Linotype" w:cs="Arial"/>
          <w:i/>
        </w:rPr>
        <w:t>.</w:t>
      </w:r>
    </w:p>
    <w:p w14:paraId="7A1AA190" w14:textId="3A4EC38A" w:rsidR="00E813C0" w:rsidRPr="00E813C0" w:rsidRDefault="00E813C0" w:rsidP="00E813C0">
      <w:pPr>
        <w:pStyle w:val="Prrafodelista"/>
        <w:spacing w:line="360" w:lineRule="auto"/>
        <w:ind w:right="616"/>
        <w:jc w:val="both"/>
        <w:rPr>
          <w:rFonts w:ascii="Palatino Linotype" w:hAnsi="Palatino Linotype" w:cs="Arial"/>
          <w:i/>
        </w:rPr>
      </w:pPr>
      <w:r w:rsidRPr="00E813C0">
        <w:rPr>
          <w:rFonts w:ascii="Palatino Linotype" w:hAnsi="Palatino Linotype" w:cs="Arial"/>
          <w:i/>
        </w:rPr>
        <w:t>Si los sujetos obligados son competentes para atender parcialmente la solicitud de acceso a la</w:t>
      </w:r>
      <w:r>
        <w:rPr>
          <w:rFonts w:ascii="Palatino Linotype" w:hAnsi="Palatino Linotype" w:cs="Arial"/>
          <w:i/>
        </w:rPr>
        <w:t xml:space="preserve"> </w:t>
      </w:r>
      <w:r w:rsidRPr="00E813C0">
        <w:rPr>
          <w:rFonts w:ascii="Palatino Linotype" w:hAnsi="Palatino Linotype" w:cs="Arial"/>
          <w:i/>
        </w:rPr>
        <w:t>información, deberá dar respuesta respecto de dicha parte. Respecto de la información sobre la cual es</w:t>
      </w:r>
      <w:r>
        <w:rPr>
          <w:rFonts w:ascii="Palatino Linotype" w:hAnsi="Palatino Linotype" w:cs="Arial"/>
          <w:i/>
        </w:rPr>
        <w:t xml:space="preserve"> </w:t>
      </w:r>
      <w:r w:rsidRPr="00E813C0">
        <w:rPr>
          <w:rFonts w:ascii="Palatino Linotype" w:hAnsi="Palatino Linotype" w:cs="Arial"/>
          <w:i/>
        </w:rPr>
        <w:t>incompetente se procederá conforme lo señala el párrafo anterior.</w:t>
      </w:r>
    </w:p>
    <w:p w14:paraId="4DF588BB" w14:textId="611144E9" w:rsidR="00E813C0" w:rsidRDefault="00E813C0" w:rsidP="00E813C0">
      <w:pPr>
        <w:pStyle w:val="Prrafodelista"/>
        <w:spacing w:line="360" w:lineRule="auto"/>
        <w:ind w:right="616"/>
        <w:jc w:val="both"/>
        <w:rPr>
          <w:rFonts w:ascii="Palatino Linotype" w:hAnsi="Palatino Linotype" w:cs="Arial"/>
          <w:i/>
        </w:rPr>
      </w:pPr>
      <w:r w:rsidRPr="00E813C0">
        <w:rPr>
          <w:rFonts w:ascii="Palatino Linotype" w:hAnsi="Palatino Linotype" w:cs="Arial"/>
          <w:i/>
        </w:rPr>
        <w:t>Si transcurrido el plazo señalado en el primer párrafo de este artículo, el sujeto obligado no declina la</w:t>
      </w:r>
      <w:r>
        <w:rPr>
          <w:rFonts w:ascii="Palatino Linotype" w:hAnsi="Palatino Linotype" w:cs="Arial"/>
          <w:i/>
        </w:rPr>
        <w:t xml:space="preserve"> </w:t>
      </w:r>
      <w:r w:rsidRPr="00E813C0">
        <w:rPr>
          <w:rFonts w:ascii="Palatino Linotype" w:hAnsi="Palatino Linotype" w:cs="Arial"/>
          <w:i/>
        </w:rPr>
        <w:t>competencia en los términos establecidos, podrá canalizar la solicitud ante el sujeto obligado</w:t>
      </w:r>
      <w:r>
        <w:rPr>
          <w:rFonts w:ascii="Palatino Linotype" w:hAnsi="Palatino Linotype" w:cs="Arial"/>
          <w:i/>
        </w:rPr>
        <w:t xml:space="preserve"> </w:t>
      </w:r>
      <w:r w:rsidRPr="00E813C0">
        <w:rPr>
          <w:rFonts w:ascii="Palatino Linotype" w:hAnsi="Palatino Linotype" w:cs="Arial"/>
          <w:i/>
        </w:rPr>
        <w:t>competente.</w:t>
      </w:r>
      <w:r>
        <w:rPr>
          <w:rFonts w:ascii="Palatino Linotype" w:hAnsi="Palatino Linotype" w:cs="Arial"/>
          <w:i/>
        </w:rPr>
        <w:t>”</w:t>
      </w:r>
    </w:p>
    <w:p w14:paraId="6ECD193A" w14:textId="554E29BF" w:rsidR="00E813C0" w:rsidRPr="00E813C0" w:rsidRDefault="00E813C0" w:rsidP="00E813C0">
      <w:pPr>
        <w:pStyle w:val="Prrafodelista"/>
        <w:spacing w:line="360" w:lineRule="auto"/>
        <w:ind w:right="616"/>
        <w:jc w:val="both"/>
        <w:rPr>
          <w:rFonts w:ascii="Palatino Linotype" w:hAnsi="Palatino Linotype" w:cs="Arial"/>
        </w:rPr>
      </w:pPr>
      <w:r>
        <w:rPr>
          <w:rFonts w:ascii="Palatino Linotype" w:hAnsi="Palatino Linotype" w:cs="Arial"/>
        </w:rPr>
        <w:t>Énfasis añadido</w:t>
      </w:r>
    </w:p>
    <w:p w14:paraId="5F8B473F" w14:textId="77777777" w:rsidR="00E813C0" w:rsidRPr="00E813C0" w:rsidRDefault="00E813C0" w:rsidP="00E813C0">
      <w:pPr>
        <w:pStyle w:val="Prrafodelista"/>
        <w:rPr>
          <w:rFonts w:ascii="Palatino Linotype" w:hAnsi="Palatino Linotype" w:cs="Arial"/>
        </w:rPr>
      </w:pPr>
    </w:p>
    <w:p w14:paraId="2021EAD9" w14:textId="4BC03218" w:rsidR="00432BB9" w:rsidRDefault="00E813C0" w:rsidP="00432BB9">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C</w:t>
      </w:r>
      <w:r w:rsidR="00432BB9" w:rsidRPr="00432BB9">
        <w:rPr>
          <w:rFonts w:ascii="Palatino Linotype" w:hAnsi="Palatino Linotype" w:cs="Arial"/>
        </w:rPr>
        <w:t xml:space="preserve">ircunstancia que en el presente asunto no sucedió, </w:t>
      </w:r>
      <w:r w:rsidR="00432BB9">
        <w:rPr>
          <w:rFonts w:ascii="Palatino Linotype" w:hAnsi="Palatino Linotype" w:cs="Arial"/>
        </w:rPr>
        <w:t>toda vez que la solicitud de información ingreso el día trece</w:t>
      </w:r>
      <w:r>
        <w:rPr>
          <w:rFonts w:ascii="Palatino Linotype" w:hAnsi="Palatino Linotype" w:cs="Arial"/>
        </w:rPr>
        <w:t xml:space="preserve"> (13)</w:t>
      </w:r>
      <w:r w:rsidR="00432BB9">
        <w:rPr>
          <w:rFonts w:ascii="Palatino Linotype" w:hAnsi="Palatino Linotype" w:cs="Arial"/>
        </w:rPr>
        <w:t xml:space="preserve"> de enero de dos mil veintidós, feneciendo el termino de los tres días hábiles el día dieciocho (18) del mismo mes y años; no obstante el </w:t>
      </w:r>
      <w:r w:rsidR="00432BB9">
        <w:rPr>
          <w:rFonts w:ascii="Palatino Linotype" w:hAnsi="Palatino Linotype" w:cs="Arial"/>
          <w:b/>
        </w:rPr>
        <w:t xml:space="preserve">SUJETO OBLIGADO </w:t>
      </w:r>
      <w:r w:rsidR="00432BB9">
        <w:rPr>
          <w:rFonts w:ascii="Palatino Linotype" w:hAnsi="Palatino Linotype" w:cs="Arial"/>
        </w:rPr>
        <w:t xml:space="preserve">emitió su respuesta el día nueve (09) de febrero de dos mil veintidós, excediendo evidentemente el plazo para </w:t>
      </w:r>
      <w:r>
        <w:rPr>
          <w:rFonts w:ascii="Palatino Linotype" w:hAnsi="Palatino Linotype" w:cs="Arial"/>
        </w:rPr>
        <w:t>declinar la incompetencia</w:t>
      </w:r>
      <w:r w:rsidR="00432BB9">
        <w:rPr>
          <w:rFonts w:ascii="Palatino Linotype" w:hAnsi="Palatino Linotype" w:cs="Arial"/>
        </w:rPr>
        <w:t>.</w:t>
      </w:r>
    </w:p>
    <w:p w14:paraId="145F6CC5" w14:textId="10BF3F45" w:rsidR="00432BB9" w:rsidRDefault="003C459F" w:rsidP="00432BB9">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lastRenderedPageBreak/>
        <w:t xml:space="preserve">Por lo anterior, se advierte que se </w:t>
      </w:r>
      <w:r w:rsidR="002B5D21" w:rsidRPr="00432BB9">
        <w:rPr>
          <w:rFonts w:ascii="Palatino Linotype" w:hAnsi="Palatino Linotype" w:cs="Arial"/>
        </w:rPr>
        <w:t>actualiza</w:t>
      </w:r>
      <w:r w:rsidR="00432BB9" w:rsidRPr="00432BB9">
        <w:rPr>
          <w:rFonts w:ascii="Palatino Linotype" w:hAnsi="Palatino Linotype" w:cs="Arial"/>
        </w:rPr>
        <w:t xml:space="preserve"> así lo previsto en la fracción II del artículo 49 de la Ley de la Materia, que se lee a continuación:</w:t>
      </w:r>
    </w:p>
    <w:p w14:paraId="458EE65F" w14:textId="77777777" w:rsidR="003C459F" w:rsidRPr="003C459F" w:rsidRDefault="003C459F" w:rsidP="003C459F">
      <w:pPr>
        <w:pStyle w:val="Prrafodelista"/>
        <w:rPr>
          <w:rFonts w:ascii="Palatino Linotype" w:hAnsi="Palatino Linotype" w:cs="Arial"/>
        </w:rPr>
      </w:pPr>
    </w:p>
    <w:p w14:paraId="2BDC720C" w14:textId="77777777" w:rsidR="00432BB9" w:rsidRPr="00432BB9" w:rsidRDefault="00432BB9" w:rsidP="003C459F">
      <w:pPr>
        <w:pStyle w:val="Prrafodelista"/>
        <w:spacing w:line="360" w:lineRule="auto"/>
        <w:ind w:left="505" w:right="851"/>
        <w:jc w:val="both"/>
        <w:rPr>
          <w:rFonts w:ascii="Palatino Linotype" w:hAnsi="Palatino Linotype" w:cs="Arial"/>
          <w:i/>
        </w:rPr>
      </w:pPr>
      <w:r w:rsidRPr="00432BB9">
        <w:rPr>
          <w:rFonts w:ascii="Palatino Linotype" w:hAnsi="Palatino Linotype" w:cs="Arial"/>
          <w:b/>
          <w:i/>
        </w:rPr>
        <w:t>“Artículo 49.</w:t>
      </w:r>
      <w:r w:rsidRPr="00432BB9">
        <w:rPr>
          <w:rFonts w:ascii="Palatino Linotype" w:hAnsi="Palatino Linotype" w:cs="Arial"/>
          <w:i/>
        </w:rPr>
        <w:t xml:space="preserve"> Los Comités de Transparencia tendrán las siguientes atribuciones: </w:t>
      </w:r>
    </w:p>
    <w:p w14:paraId="430FFDD7" w14:textId="77777777" w:rsidR="00432BB9" w:rsidRPr="00432BB9" w:rsidRDefault="00432BB9" w:rsidP="003C459F">
      <w:pPr>
        <w:pStyle w:val="Prrafodelista"/>
        <w:spacing w:line="360" w:lineRule="auto"/>
        <w:ind w:left="505" w:right="851"/>
        <w:jc w:val="both"/>
        <w:rPr>
          <w:rFonts w:ascii="Palatino Linotype" w:hAnsi="Palatino Linotype" w:cs="Arial"/>
          <w:b/>
          <w:i/>
        </w:rPr>
      </w:pPr>
      <w:r w:rsidRPr="00432BB9">
        <w:rPr>
          <w:rFonts w:ascii="Palatino Linotype" w:hAnsi="Palatino Linotype" w:cs="Arial"/>
          <w:b/>
          <w:i/>
        </w:rPr>
        <w:t>(…)</w:t>
      </w:r>
    </w:p>
    <w:p w14:paraId="578A05E2" w14:textId="77777777" w:rsidR="00432BB9" w:rsidRPr="00432BB9" w:rsidRDefault="00432BB9" w:rsidP="003C459F">
      <w:pPr>
        <w:pStyle w:val="Prrafodelista"/>
        <w:spacing w:line="360" w:lineRule="auto"/>
        <w:ind w:left="505" w:right="851"/>
        <w:jc w:val="both"/>
        <w:rPr>
          <w:rFonts w:ascii="Palatino Linotype" w:hAnsi="Palatino Linotype" w:cs="Arial"/>
          <w:i/>
        </w:rPr>
      </w:pPr>
      <w:r w:rsidRPr="00432BB9">
        <w:rPr>
          <w:rFonts w:ascii="Palatino Linotype" w:hAnsi="Palatino Linotype" w:cs="Arial"/>
          <w:i/>
        </w:rPr>
        <w:t>II. “</w:t>
      </w:r>
      <w:r w:rsidRPr="00432BB9">
        <w:rPr>
          <w:rFonts w:ascii="Palatino Linotype" w:hAnsi="Palatino Linotype" w:cs="Arial"/>
          <w:b/>
          <w:i/>
          <w:u w:val="single"/>
        </w:rPr>
        <w:t>Confirmar, modificar o revocar las determinaciones que en materia</w:t>
      </w:r>
      <w:r w:rsidRPr="00432BB9">
        <w:rPr>
          <w:rFonts w:ascii="Palatino Linotype" w:hAnsi="Palatino Linotype" w:cs="Arial"/>
          <w:i/>
        </w:rPr>
        <w:t xml:space="preserve"> de ampliación del plazo de respuesta, clasificación de la información y declaración de inexistencia o </w:t>
      </w:r>
      <w:r w:rsidRPr="00432BB9">
        <w:rPr>
          <w:rFonts w:ascii="Palatino Linotype" w:hAnsi="Palatino Linotype" w:cs="Arial"/>
          <w:b/>
          <w:i/>
          <w:u w:val="single"/>
        </w:rPr>
        <w:t>de incompetencia realicen los titulares de las áreas de los sujetos obligados</w:t>
      </w:r>
      <w:r w:rsidRPr="00432BB9">
        <w:rPr>
          <w:rFonts w:ascii="Palatino Linotype" w:hAnsi="Palatino Linotype" w:cs="Arial"/>
          <w:i/>
        </w:rPr>
        <w:t>.”</w:t>
      </w:r>
    </w:p>
    <w:p w14:paraId="4825A2EB" w14:textId="17EF49D1" w:rsidR="00432BB9" w:rsidRDefault="00432BB9" w:rsidP="003C459F">
      <w:pPr>
        <w:pStyle w:val="Prrafodelista"/>
        <w:ind w:left="502" w:right="851"/>
        <w:jc w:val="both"/>
        <w:rPr>
          <w:rFonts w:ascii="Palatino Linotype" w:hAnsi="Palatino Linotype" w:cs="Arial"/>
        </w:rPr>
      </w:pPr>
      <w:r w:rsidRPr="003C459F">
        <w:rPr>
          <w:rFonts w:ascii="Palatino Linotype" w:hAnsi="Palatino Linotype" w:cs="Arial"/>
        </w:rPr>
        <w:t>Énfasis añadido.</w:t>
      </w:r>
    </w:p>
    <w:p w14:paraId="51EF993D" w14:textId="77777777" w:rsidR="003C459F" w:rsidRPr="003C459F" w:rsidRDefault="003C459F" w:rsidP="003C459F">
      <w:pPr>
        <w:pStyle w:val="Prrafodelista"/>
        <w:ind w:left="502" w:right="851"/>
        <w:jc w:val="both"/>
        <w:rPr>
          <w:rFonts w:ascii="Palatino Linotype" w:hAnsi="Palatino Linotype" w:cs="Arial"/>
        </w:rPr>
      </w:pPr>
    </w:p>
    <w:p w14:paraId="66E7EFEE" w14:textId="77777777" w:rsidR="00432BB9" w:rsidRPr="00432BB9" w:rsidRDefault="00432BB9" w:rsidP="003C459F">
      <w:pPr>
        <w:pStyle w:val="Prrafodelista"/>
        <w:numPr>
          <w:ilvl w:val="0"/>
          <w:numId w:val="7"/>
        </w:numPr>
        <w:spacing w:before="240" w:after="240" w:line="360" w:lineRule="auto"/>
        <w:ind w:left="0" w:firstLine="0"/>
        <w:jc w:val="both"/>
        <w:rPr>
          <w:rFonts w:ascii="Palatino Linotype" w:hAnsi="Palatino Linotype" w:cs="Arial"/>
        </w:rPr>
      </w:pPr>
      <w:r w:rsidRPr="002B5D21">
        <w:rPr>
          <w:rFonts w:ascii="Palatino Linotype" w:hAnsi="Palatino Linotype" w:cs="Arial"/>
        </w:rPr>
        <w:t xml:space="preserve">En ese contexto, el Comité de Transparencia del </w:t>
      </w:r>
      <w:r w:rsidRPr="002B5D21">
        <w:rPr>
          <w:rFonts w:ascii="Palatino Linotype" w:hAnsi="Palatino Linotype" w:cs="Arial"/>
          <w:b/>
        </w:rPr>
        <w:t>Sujeto Obligado</w:t>
      </w:r>
      <w:r w:rsidRPr="002B5D21">
        <w:rPr>
          <w:rFonts w:ascii="Palatino Linotype" w:hAnsi="Palatino Linotype" w:cs="Arial"/>
        </w:rPr>
        <w:t xml:space="preserve"> deberá emitir el </w:t>
      </w:r>
      <w:r w:rsidRPr="00E813C0">
        <w:rPr>
          <w:rFonts w:ascii="Palatino Linotype" w:hAnsi="Palatino Linotype" w:cs="Arial"/>
          <w:b/>
        </w:rPr>
        <w:t>Acuerdo de Declaratoria de Incompetencia</w:t>
      </w:r>
      <w:r w:rsidRPr="002B5D21">
        <w:rPr>
          <w:rFonts w:ascii="Palatino Linotype" w:hAnsi="Palatino Linotype" w:cs="Arial"/>
        </w:rPr>
        <w:t xml:space="preserve"> en términos de la Ley de Transparencia y Acceso a la Información Pública del Estado de México y Municipios,</w:t>
      </w:r>
      <w:r w:rsidRPr="00432BB9">
        <w:rPr>
          <w:rFonts w:ascii="Palatino Linotype" w:hAnsi="Palatino Linotype" w:cs="Arial"/>
        </w:rPr>
        <w:t xml:space="preserve"> ante la falta de declaratoria de incompetencia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 toda vez que del análisis realizado se determinó la incompetencia para atender el requerimiento. </w:t>
      </w:r>
    </w:p>
    <w:p w14:paraId="6AEC6024" w14:textId="77777777" w:rsidR="00432BB9" w:rsidRDefault="00432BB9" w:rsidP="00E66633">
      <w:pPr>
        <w:pStyle w:val="Prrafodelista"/>
        <w:numPr>
          <w:ilvl w:val="0"/>
          <w:numId w:val="7"/>
        </w:numPr>
        <w:spacing w:line="360" w:lineRule="auto"/>
        <w:ind w:left="0" w:firstLine="0"/>
        <w:jc w:val="both"/>
        <w:rPr>
          <w:rFonts w:ascii="Palatino Linotype" w:hAnsi="Palatino Linotype" w:cs="Arial"/>
        </w:rPr>
      </w:pPr>
      <w:r w:rsidRPr="00432BB9">
        <w:rPr>
          <w:rFonts w:ascii="Palatino Linotype" w:hAnsi="Palatino Linotype" w:cs="Arial"/>
        </w:rPr>
        <w:lastRenderedPageBreak/>
        <w:t xml:space="preserve">Así, una vez analizadas las constancias que integran el expediente que nos ocupa, este Instituto advierte que los motivos de inconformidad aducidos por el </w:t>
      </w:r>
      <w:r w:rsidRPr="00432BB9">
        <w:rPr>
          <w:rFonts w:ascii="Palatino Linotype" w:hAnsi="Palatino Linotype" w:cs="Arial"/>
          <w:b/>
        </w:rPr>
        <w:t>Recurrente</w:t>
      </w:r>
      <w:r w:rsidRPr="00432BB9">
        <w:rPr>
          <w:rFonts w:ascii="Palatino Linotype" w:hAnsi="Palatino Linotype" w:cs="Arial"/>
          <w:b/>
          <w:i/>
        </w:rPr>
        <w:t xml:space="preserve">, </w:t>
      </w:r>
      <w:r w:rsidRPr="00432BB9">
        <w:rPr>
          <w:rFonts w:ascii="Palatino Linotype" w:hAnsi="Palatino Linotype" w:cs="Arial"/>
        </w:rPr>
        <w:t>resultan parcialmente fundados</w:t>
      </w:r>
      <w:r w:rsidRPr="00432BB9">
        <w:rPr>
          <w:rFonts w:ascii="Palatino Linotype" w:hAnsi="Palatino Linotype" w:cs="Arial"/>
          <w:i/>
        </w:rPr>
        <w:t xml:space="preserve">, </w:t>
      </w:r>
      <w:r w:rsidRPr="00432BB9">
        <w:rPr>
          <w:rFonts w:ascii="Palatino Linotype" w:hAnsi="Palatino Linotype" w:cs="Arial"/>
        </w:rPr>
        <w:t>toda vez que el sujeto obligado con su actuar incumple lo previsto en la Ley de la Materia, al no garantizar el derecho de acceso a la información pública del particular.</w:t>
      </w:r>
    </w:p>
    <w:p w14:paraId="68F0D78A" w14:textId="77777777" w:rsidR="00E66633" w:rsidRPr="00432BB9" w:rsidRDefault="00E66633" w:rsidP="00E66633">
      <w:pPr>
        <w:pStyle w:val="Prrafodelista"/>
        <w:spacing w:line="360" w:lineRule="auto"/>
        <w:ind w:left="0"/>
        <w:jc w:val="both"/>
        <w:rPr>
          <w:rFonts w:ascii="Palatino Linotype" w:hAnsi="Palatino Linotype" w:cs="Arial"/>
        </w:rPr>
      </w:pPr>
    </w:p>
    <w:p w14:paraId="7838EB71" w14:textId="77481333" w:rsidR="007C7F08"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6D0F9657" w14:textId="77777777" w:rsidR="00D66546" w:rsidRPr="00D66546" w:rsidRDefault="00D66546" w:rsidP="00D66546">
      <w:pPr>
        <w:pStyle w:val="Prrafodelista"/>
        <w:rPr>
          <w:rFonts w:ascii="Palatino Linotype" w:hAnsi="Palatino Linotype"/>
          <w:color w:val="000000" w:themeColor="text1"/>
        </w:rPr>
      </w:pPr>
    </w:p>
    <w:p w14:paraId="40BE9D81" w14:textId="77777777" w:rsidR="007C7F08"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34" w:name="_Toc504500693"/>
      <w:bookmarkStart w:id="235" w:name="_Toc534742545"/>
      <w:bookmarkStart w:id="236" w:name="_Toc2248738"/>
      <w:bookmarkStart w:id="237" w:name="_Toc34819440"/>
      <w:bookmarkStart w:id="238" w:name="_Toc51259595"/>
      <w:bookmarkStart w:id="239" w:name="_Toc52472147"/>
      <w:bookmarkStart w:id="240" w:name="_Toc63932077"/>
      <w:bookmarkStart w:id="241" w:name="_Toc87274191"/>
      <w:r w:rsidRPr="007C7F08">
        <w:rPr>
          <w:rFonts w:ascii="Palatino Linotype" w:eastAsia="Calibri" w:hAnsi="Palatino Linotype"/>
          <w:b/>
          <w:color w:val="000000" w:themeColor="text1"/>
          <w:sz w:val="24"/>
          <w:szCs w:val="24"/>
          <w:lang w:val="es-ES"/>
        </w:rPr>
        <w:t>R E S O L U T I V O S</w:t>
      </w:r>
      <w:bookmarkEnd w:id="234"/>
      <w:bookmarkEnd w:id="235"/>
      <w:bookmarkEnd w:id="236"/>
      <w:bookmarkEnd w:id="237"/>
      <w:bookmarkEnd w:id="238"/>
      <w:bookmarkEnd w:id="239"/>
      <w:bookmarkEnd w:id="240"/>
      <w:bookmarkEnd w:id="241"/>
      <w:r w:rsidRPr="007C7F08">
        <w:rPr>
          <w:rFonts w:ascii="Palatino Linotype" w:eastAsia="Calibri" w:hAnsi="Palatino Linotype"/>
          <w:b/>
          <w:color w:val="000000" w:themeColor="text1"/>
          <w:sz w:val="24"/>
          <w:szCs w:val="24"/>
          <w:lang w:val="es-ES"/>
        </w:rPr>
        <w:t xml:space="preserve"> </w:t>
      </w:r>
    </w:p>
    <w:p w14:paraId="01B08FF4" w14:textId="77777777" w:rsidR="004F1024" w:rsidRPr="004F1024" w:rsidRDefault="004F1024" w:rsidP="004F1024">
      <w:pPr>
        <w:spacing w:line="360" w:lineRule="auto"/>
        <w:rPr>
          <w:rFonts w:eastAsia="Calibri"/>
          <w:lang w:val="es-ES" w:eastAsia="es-ES"/>
        </w:rPr>
      </w:pPr>
    </w:p>
    <w:p w14:paraId="7D8B2CC6" w14:textId="13314AE8" w:rsidR="00152F7E" w:rsidRDefault="00152F7E" w:rsidP="00152F7E">
      <w:pPr>
        <w:spacing w:line="360" w:lineRule="auto"/>
        <w:jc w:val="both"/>
        <w:rPr>
          <w:rFonts w:ascii="Palatino Linotype" w:eastAsiaTheme="minorEastAsia" w:hAnsi="Palatino Linotype" w:cs="Arial"/>
          <w:bCs/>
          <w:lang w:val="es-ES_tradnl"/>
        </w:rPr>
      </w:pPr>
      <w:r w:rsidRPr="00C838B8">
        <w:rPr>
          <w:rFonts w:ascii="Palatino Linotype" w:hAnsi="Palatino Linotype" w:cs="Arial"/>
          <w:b/>
        </w:rPr>
        <w:t xml:space="preserve">PRIMERO. </w:t>
      </w:r>
      <w:r w:rsidRPr="00C838B8">
        <w:rPr>
          <w:rFonts w:ascii="Palatino Linotype" w:hAnsi="Palatino Linotype" w:cs="Arial"/>
          <w:lang w:val="es-ES_tradnl"/>
        </w:rPr>
        <w:t>Resulta</w:t>
      </w:r>
      <w:r w:rsidR="004A2E68">
        <w:rPr>
          <w:rFonts w:ascii="Palatino Linotype" w:hAnsi="Palatino Linotype" w:cs="Arial"/>
          <w:lang w:val="es-ES_tradnl"/>
        </w:rPr>
        <w:t>n</w:t>
      </w:r>
      <w:r w:rsidRPr="00C838B8">
        <w:rPr>
          <w:rFonts w:ascii="Palatino Linotype" w:hAnsi="Palatino Linotype" w:cs="Arial"/>
          <w:lang w:val="es-ES_tradnl"/>
        </w:rPr>
        <w:t xml:space="preserve"> parcialmente fundadas </w:t>
      </w:r>
      <w:r w:rsidRPr="00C838B8">
        <w:rPr>
          <w:rFonts w:ascii="Palatino Linotype" w:hAnsi="Palatino Linotype" w:cs="Arial"/>
          <w:lang w:val="es-ES_tradnl" w:eastAsia="es-ES"/>
        </w:rPr>
        <w:t>las</w:t>
      </w:r>
      <w:r>
        <w:rPr>
          <w:rFonts w:ascii="Palatino Linotype" w:hAnsi="Palatino Linotype" w:cs="Arial"/>
          <w:b/>
          <w:lang w:val="es-ES_tradnl" w:eastAsia="es-ES"/>
        </w:rPr>
        <w:t xml:space="preserve"> </w:t>
      </w:r>
      <w:r>
        <w:rPr>
          <w:rFonts w:ascii="Palatino Linotype" w:hAnsi="Palatino Linotype" w:cs="Arial"/>
          <w:lang w:val="es-ES" w:eastAsia="es-ES"/>
        </w:rPr>
        <w:t xml:space="preserve">razones y motivos de inconformidad hechos valer en el recurso de revisión </w:t>
      </w:r>
      <w:r>
        <w:rPr>
          <w:rFonts w:ascii="Palatino Linotype" w:hAnsi="Palatino Linotype" w:cs="Arial"/>
          <w:b/>
          <w:bCs/>
          <w:lang w:val="es-ES_tradnl" w:eastAsia="es-ES"/>
        </w:rPr>
        <w:t xml:space="preserve">03243/INFOEM/IP/RR/2022 </w:t>
      </w:r>
      <w:r>
        <w:rPr>
          <w:rFonts w:ascii="Palatino Linotype" w:eastAsiaTheme="minorEastAsia" w:hAnsi="Palatino Linotype" w:cs="Arial"/>
          <w:bCs/>
          <w:lang w:val="es-ES_tradnl"/>
        </w:rPr>
        <w:t xml:space="preserve">en términos del </w:t>
      </w:r>
      <w:r>
        <w:rPr>
          <w:rFonts w:ascii="Palatino Linotype" w:eastAsiaTheme="minorEastAsia" w:hAnsi="Palatino Linotype" w:cs="Arial"/>
          <w:b/>
          <w:bCs/>
          <w:lang w:val="es-ES_tradnl"/>
        </w:rPr>
        <w:t xml:space="preserve">Considerando CUARTO </w:t>
      </w:r>
      <w:r>
        <w:rPr>
          <w:rFonts w:ascii="Palatino Linotype" w:eastAsiaTheme="minorEastAsia" w:hAnsi="Palatino Linotype" w:cs="Arial"/>
          <w:bCs/>
          <w:lang w:val="es-ES_tradnl"/>
        </w:rPr>
        <w:t>de la presente resolución.</w:t>
      </w:r>
    </w:p>
    <w:p w14:paraId="7A89CA88" w14:textId="77777777" w:rsidR="00E66633" w:rsidRDefault="00E66633" w:rsidP="00152F7E">
      <w:pPr>
        <w:spacing w:line="360" w:lineRule="auto"/>
        <w:jc w:val="both"/>
        <w:rPr>
          <w:rFonts w:ascii="Palatino Linotype" w:eastAsiaTheme="minorEastAsia" w:hAnsi="Palatino Linotype" w:cs="Arial"/>
          <w:bCs/>
          <w:lang w:val="es-ES_tradnl"/>
        </w:rPr>
      </w:pPr>
    </w:p>
    <w:p w14:paraId="5F4195B3" w14:textId="04CADF65" w:rsidR="00152F7E" w:rsidRDefault="00152F7E" w:rsidP="00E66633">
      <w:pPr>
        <w:spacing w:line="360" w:lineRule="auto"/>
        <w:ind w:right="51"/>
        <w:jc w:val="both"/>
        <w:rPr>
          <w:rFonts w:ascii="Palatino Linotype" w:hAnsi="Palatino Linotype" w:cs="Arial"/>
          <w:bCs/>
        </w:rPr>
      </w:pPr>
      <w:r w:rsidRPr="00B24270">
        <w:rPr>
          <w:rFonts w:ascii="Palatino Linotype" w:hAnsi="Palatino Linotype" w:cs="Arial"/>
          <w:b/>
          <w:bCs/>
        </w:rPr>
        <w:t xml:space="preserve">SEGUNDO. </w:t>
      </w:r>
      <w:r w:rsidRPr="00B24270">
        <w:rPr>
          <w:rFonts w:ascii="Palatino Linotype" w:hAnsi="Palatino Linotype" w:cs="Arial"/>
        </w:rPr>
        <w:t xml:space="preserve">Se </w:t>
      </w:r>
      <w:r>
        <w:rPr>
          <w:rFonts w:ascii="Palatino Linotype" w:hAnsi="Palatino Linotype" w:cs="Arial"/>
          <w:b/>
        </w:rPr>
        <w:t xml:space="preserve">MODIFICA </w:t>
      </w:r>
      <w:r w:rsidRPr="00C838B8">
        <w:rPr>
          <w:rFonts w:ascii="Palatino Linotype" w:hAnsi="Palatino Linotype" w:cs="Arial"/>
        </w:rPr>
        <w:t>la respuesta y se ordena</w:t>
      </w:r>
      <w:r>
        <w:rPr>
          <w:rFonts w:ascii="Palatino Linotype" w:hAnsi="Palatino Linotype" w:cs="Arial"/>
          <w:b/>
        </w:rPr>
        <w:t xml:space="preserve"> </w:t>
      </w:r>
      <w:r w:rsidRPr="00B24270">
        <w:rPr>
          <w:rFonts w:ascii="Palatino Linotype" w:hAnsi="Palatino Linotype" w:cs="Arial"/>
          <w:bCs/>
        </w:rPr>
        <w:t>al</w:t>
      </w:r>
      <w:r>
        <w:rPr>
          <w:rFonts w:ascii="Palatino Linotype" w:hAnsi="Palatino Linotype" w:cs="Arial"/>
          <w:bCs/>
        </w:rPr>
        <w:t xml:space="preserve"> </w:t>
      </w:r>
      <w:r w:rsidRPr="00C838B8">
        <w:rPr>
          <w:rFonts w:ascii="Palatino Linotype" w:hAnsi="Palatino Linotype" w:cs="Arial"/>
          <w:b/>
          <w:bCs/>
        </w:rPr>
        <w:t xml:space="preserve">Ayuntamiento </w:t>
      </w:r>
      <w:r>
        <w:rPr>
          <w:rFonts w:ascii="Palatino Linotype" w:hAnsi="Palatino Linotype" w:cs="Arial"/>
          <w:b/>
          <w:bCs/>
        </w:rPr>
        <w:t>Metepec</w:t>
      </w:r>
      <w:r>
        <w:rPr>
          <w:rFonts w:ascii="Palatino Linotype" w:hAnsi="Palatino Linotype" w:cs="Arial"/>
          <w:bCs/>
        </w:rPr>
        <w:t xml:space="preserve">, entregar </w:t>
      </w:r>
      <w:r w:rsidR="00E813C0">
        <w:rPr>
          <w:rFonts w:ascii="Palatino Linotype" w:hAnsi="Palatino Linotype" w:cs="Arial"/>
          <w:bCs/>
        </w:rPr>
        <w:t>a través del</w:t>
      </w:r>
      <w:r>
        <w:rPr>
          <w:rFonts w:ascii="Palatino Linotype" w:hAnsi="Palatino Linotype" w:cs="Arial"/>
          <w:bCs/>
        </w:rPr>
        <w:t xml:space="preserve"> Sistema de Acceso a Información Mexiquense (</w:t>
      </w:r>
      <w:r w:rsidRPr="00B24270">
        <w:rPr>
          <w:rFonts w:ascii="Palatino Linotype" w:hAnsi="Palatino Linotype" w:cs="Arial"/>
        </w:rPr>
        <w:t>SAIMEX</w:t>
      </w:r>
      <w:r>
        <w:rPr>
          <w:rFonts w:ascii="Palatino Linotype" w:hAnsi="Palatino Linotype" w:cs="Arial"/>
        </w:rPr>
        <w:t>)</w:t>
      </w:r>
      <w:r>
        <w:rPr>
          <w:rFonts w:ascii="Palatino Linotype" w:hAnsi="Palatino Linotype" w:cs="Arial"/>
          <w:bCs/>
        </w:rPr>
        <w:t>,</w:t>
      </w:r>
      <w:r w:rsidRPr="00B24270">
        <w:rPr>
          <w:rFonts w:ascii="Palatino Linotype" w:hAnsi="Palatino Linotype" w:cs="Arial"/>
          <w:bCs/>
        </w:rPr>
        <w:t xml:space="preserve"> lo siguiente:</w:t>
      </w:r>
    </w:p>
    <w:p w14:paraId="61E7B24E" w14:textId="77777777" w:rsidR="00E66633" w:rsidRDefault="00E66633" w:rsidP="00E66633">
      <w:pPr>
        <w:spacing w:line="360" w:lineRule="auto"/>
        <w:ind w:right="51"/>
        <w:jc w:val="both"/>
        <w:rPr>
          <w:rFonts w:ascii="Palatino Linotype" w:hAnsi="Palatino Linotype" w:cs="Arial"/>
          <w:bCs/>
        </w:rPr>
      </w:pPr>
    </w:p>
    <w:p w14:paraId="7218D1E9" w14:textId="6059B6AB" w:rsidR="00152F7E" w:rsidRPr="00E66633" w:rsidRDefault="00152F7E" w:rsidP="00E66633">
      <w:pPr>
        <w:pStyle w:val="Prrafodelista"/>
        <w:numPr>
          <w:ilvl w:val="0"/>
          <w:numId w:val="42"/>
        </w:numPr>
        <w:spacing w:line="360" w:lineRule="auto"/>
        <w:ind w:right="51"/>
        <w:jc w:val="both"/>
        <w:rPr>
          <w:rFonts w:ascii="Palatino Linotype" w:hAnsi="Palatino Linotype" w:cs="Arial"/>
          <w:bCs/>
        </w:rPr>
      </w:pPr>
      <w:r w:rsidRPr="00B24270">
        <w:rPr>
          <w:rFonts w:ascii="Palatino Linotype" w:hAnsi="Palatino Linotype"/>
          <w:i/>
        </w:rPr>
        <w:t xml:space="preserve">Acuerdo del Comité de Transparencia, en el que se declare la incompetencia del Ayuntamiento de </w:t>
      </w:r>
      <w:r>
        <w:rPr>
          <w:rFonts w:ascii="Palatino Linotype" w:hAnsi="Palatino Linotype"/>
          <w:i/>
        </w:rPr>
        <w:t>Metepec</w:t>
      </w:r>
      <w:r w:rsidRPr="00B24270">
        <w:rPr>
          <w:rFonts w:ascii="Palatino Linotype" w:hAnsi="Palatino Linotype"/>
          <w:i/>
        </w:rPr>
        <w:t xml:space="preserve"> para atender</w:t>
      </w:r>
      <w:r w:rsidR="00E813C0">
        <w:rPr>
          <w:rFonts w:ascii="Palatino Linotype" w:hAnsi="Palatino Linotype"/>
          <w:i/>
        </w:rPr>
        <w:t xml:space="preserve"> el requerimiento de la solicitud de información </w:t>
      </w:r>
      <w:r w:rsidR="00E813C0" w:rsidRPr="00E813C0">
        <w:rPr>
          <w:rFonts w:ascii="Palatino Linotype" w:hAnsi="Palatino Linotype"/>
          <w:i/>
        </w:rPr>
        <w:t>01052/METEPEC/IP/2022</w:t>
      </w:r>
      <w:r w:rsidRPr="00B24270">
        <w:rPr>
          <w:rFonts w:ascii="Palatino Linotype" w:hAnsi="Palatino Linotype"/>
          <w:i/>
        </w:rPr>
        <w:t>.</w:t>
      </w:r>
    </w:p>
    <w:p w14:paraId="5D4958FC" w14:textId="77777777" w:rsidR="00E66633" w:rsidRPr="00B24270" w:rsidRDefault="00E66633" w:rsidP="00E66633">
      <w:pPr>
        <w:pStyle w:val="Prrafodelista"/>
        <w:spacing w:line="360" w:lineRule="auto"/>
        <w:ind w:left="1080" w:right="51"/>
        <w:jc w:val="both"/>
        <w:rPr>
          <w:rFonts w:ascii="Palatino Linotype" w:hAnsi="Palatino Linotype" w:cs="Arial"/>
          <w:bCs/>
        </w:rPr>
      </w:pPr>
    </w:p>
    <w:p w14:paraId="6CC76C46" w14:textId="3EE8CC31" w:rsidR="00152F7E" w:rsidRPr="00B24270" w:rsidRDefault="00152F7E" w:rsidP="00E66633">
      <w:pPr>
        <w:tabs>
          <w:tab w:val="left" w:pos="8080"/>
        </w:tabs>
        <w:spacing w:line="360" w:lineRule="auto"/>
        <w:ind w:right="51"/>
        <w:contextualSpacing/>
        <w:jc w:val="both"/>
        <w:rPr>
          <w:rFonts w:ascii="Palatino Linotype" w:eastAsia="Palatino Linotype" w:hAnsi="Palatino Linotype" w:cs="Palatino Linotype"/>
          <w:b/>
          <w:lang w:val="es-ES_tradnl" w:eastAsia="es-ES"/>
        </w:rPr>
      </w:pPr>
      <w:r w:rsidRPr="00B24270">
        <w:rPr>
          <w:rFonts w:ascii="Palatino Linotype" w:eastAsia="Palatino Linotype" w:hAnsi="Palatino Linotype" w:cs="Palatino Linotype"/>
          <w:b/>
          <w:lang w:val="es-ES_tradnl" w:eastAsia="es-ES"/>
        </w:rPr>
        <w:lastRenderedPageBreak/>
        <w:t xml:space="preserve">TERCERO. Notifíquese </w:t>
      </w:r>
      <w:r w:rsidRPr="00B24270">
        <w:rPr>
          <w:rFonts w:ascii="Palatino Linotype" w:eastAsia="Palatino Linotype" w:hAnsi="Palatino Linotype" w:cs="Palatino Linotype"/>
          <w:lang w:val="es-ES_tradnl" w:eastAsia="es-ES"/>
        </w:rPr>
        <w:t xml:space="preserve">al Titular de la Unidad de Transparencia del </w:t>
      </w:r>
      <w:r w:rsidRPr="00B24270">
        <w:rPr>
          <w:rFonts w:ascii="Palatino Linotype" w:eastAsia="Palatino Linotype" w:hAnsi="Palatino Linotype" w:cs="Palatino Linotype"/>
          <w:b/>
          <w:lang w:val="es-ES_tradnl" w:eastAsia="es-ES"/>
        </w:rPr>
        <w:t>SUJETO OBLIGADO</w:t>
      </w:r>
      <w:r w:rsidR="00E66633">
        <w:rPr>
          <w:rFonts w:ascii="Palatino Linotype" w:eastAsia="Palatino Linotype" w:hAnsi="Palatino Linotype" w:cs="Palatino Linotype"/>
          <w:b/>
          <w:lang w:val="es-ES_tradnl" w:eastAsia="es-ES"/>
        </w:rPr>
        <w:t xml:space="preserve"> </w:t>
      </w:r>
      <w:r w:rsidR="00E66633">
        <w:rPr>
          <w:rFonts w:ascii="Palatino Linotype" w:eastAsia="Palatino Linotype" w:hAnsi="Palatino Linotype" w:cs="Palatino Linotype"/>
          <w:lang w:val="es-ES_tradnl" w:eastAsia="es-ES"/>
        </w:rPr>
        <w:t>vía SAIMEX</w:t>
      </w:r>
      <w:r w:rsidRPr="00B24270">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B24270">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39919BE3" w14:textId="77777777" w:rsidR="00152F7E" w:rsidRPr="00B24270" w:rsidRDefault="00152F7E" w:rsidP="00152F7E">
      <w:pPr>
        <w:shd w:val="clear" w:color="auto" w:fill="FFFFFF"/>
        <w:spacing w:line="360" w:lineRule="auto"/>
        <w:jc w:val="both"/>
        <w:rPr>
          <w:rFonts w:ascii="Palatino Linotype" w:hAnsi="Palatino Linotype" w:cs="Arial"/>
          <w:b/>
          <w:lang w:val="es-ES_tradnl" w:eastAsia="es-ES"/>
        </w:rPr>
      </w:pPr>
    </w:p>
    <w:p w14:paraId="22162105" w14:textId="2CF2767A" w:rsidR="00152F7E" w:rsidRPr="00B24270" w:rsidRDefault="00152F7E" w:rsidP="00152F7E">
      <w:pPr>
        <w:shd w:val="clear" w:color="auto" w:fill="FFFFFF"/>
        <w:spacing w:line="360" w:lineRule="auto"/>
        <w:jc w:val="both"/>
        <w:rPr>
          <w:rFonts w:ascii="Palatino Linotype" w:eastAsia="MS Mincho" w:hAnsi="Palatino Linotype"/>
          <w:lang w:val="es-ES_tradnl" w:eastAsia="es-ES"/>
        </w:rPr>
      </w:pPr>
      <w:r w:rsidRPr="00B24270">
        <w:rPr>
          <w:rFonts w:ascii="Palatino Linotype" w:hAnsi="Palatino Linotype" w:cs="Arial"/>
          <w:b/>
          <w:lang w:val="es-ES_tradnl" w:eastAsia="es-ES"/>
        </w:rPr>
        <w:t xml:space="preserve">CUARTO. </w:t>
      </w:r>
      <w:r w:rsidRPr="00B24270">
        <w:rPr>
          <w:rFonts w:ascii="Palatino Linotype" w:hAnsi="Palatino Linotype"/>
          <w:b/>
          <w:bCs/>
          <w:lang w:val="es-ES" w:eastAsia="es-ES"/>
        </w:rPr>
        <w:t xml:space="preserve">Notifíquese </w:t>
      </w:r>
      <w:r w:rsidRPr="00B24270">
        <w:rPr>
          <w:rFonts w:ascii="Palatino Linotype" w:hAnsi="Palatino Linotype"/>
          <w:bCs/>
          <w:lang w:val="es-ES" w:eastAsia="es-ES"/>
        </w:rPr>
        <w:t>a</w:t>
      </w:r>
      <w:r>
        <w:rPr>
          <w:rFonts w:ascii="Palatino Linotype" w:hAnsi="Palatino Linotype"/>
          <w:bCs/>
          <w:lang w:val="es-ES" w:eastAsia="es-ES"/>
        </w:rPr>
        <w:t>l</w:t>
      </w:r>
      <w:r w:rsidRPr="00B24270">
        <w:rPr>
          <w:rFonts w:ascii="Palatino Linotype" w:eastAsiaTheme="minorEastAsia" w:hAnsi="Palatino Linotype"/>
          <w:lang w:val="es-ES_tradnl" w:eastAsia="es-ES"/>
        </w:rPr>
        <w:t xml:space="preserve"> </w:t>
      </w:r>
      <w:r w:rsidRPr="00B24270">
        <w:rPr>
          <w:rFonts w:ascii="Palatino Linotype" w:eastAsiaTheme="minorEastAsia" w:hAnsi="Palatino Linotype"/>
          <w:b/>
          <w:lang w:val="es-ES_tradnl" w:eastAsia="es-ES"/>
        </w:rPr>
        <w:t xml:space="preserve">RECURRENTE </w:t>
      </w:r>
      <w:r w:rsidRPr="00B24270">
        <w:rPr>
          <w:rFonts w:ascii="Palatino Linotype" w:eastAsiaTheme="minorEastAsia" w:hAnsi="Palatino Linotype"/>
          <w:lang w:val="es-ES_tradnl" w:eastAsia="es-ES"/>
        </w:rPr>
        <w:t>la presente resolución</w:t>
      </w:r>
      <w:r w:rsidR="00E66633">
        <w:rPr>
          <w:rFonts w:ascii="Palatino Linotype" w:eastAsiaTheme="minorEastAsia" w:hAnsi="Palatino Linotype"/>
          <w:lang w:val="es-ES_tradnl" w:eastAsia="es-ES"/>
        </w:rPr>
        <w:t>, vía SAIMEX</w:t>
      </w:r>
      <w:r w:rsidRPr="00B24270">
        <w:rPr>
          <w:rFonts w:ascii="Palatino Linotype" w:eastAsia="MS Mincho" w:hAnsi="Palatino Linotype"/>
          <w:lang w:val="es-ES_tradnl" w:eastAsia="es-ES"/>
        </w:rPr>
        <w:t>.</w:t>
      </w:r>
    </w:p>
    <w:p w14:paraId="45FD7038" w14:textId="77777777" w:rsidR="00152F7E" w:rsidRPr="00B24270" w:rsidRDefault="00152F7E" w:rsidP="00152F7E">
      <w:pPr>
        <w:shd w:val="clear" w:color="auto" w:fill="FFFFFF"/>
        <w:spacing w:line="360" w:lineRule="auto"/>
        <w:jc w:val="both"/>
        <w:rPr>
          <w:rFonts w:ascii="Palatino Linotype" w:eastAsia="MS Mincho" w:hAnsi="Palatino Linotype"/>
          <w:lang w:val="es-ES_tradnl" w:eastAsia="es-ES"/>
        </w:rPr>
      </w:pPr>
    </w:p>
    <w:p w14:paraId="26C6DF0D" w14:textId="77777777" w:rsidR="00152F7E" w:rsidRPr="00B24270" w:rsidRDefault="00152F7E" w:rsidP="00152F7E">
      <w:pPr>
        <w:shd w:val="clear" w:color="auto" w:fill="FFFFFF"/>
        <w:spacing w:line="360" w:lineRule="auto"/>
        <w:jc w:val="both"/>
        <w:rPr>
          <w:rFonts w:ascii="Palatino Linotype" w:eastAsia="MS Mincho" w:hAnsi="Palatino Linotype"/>
          <w:lang w:val="es-ES" w:eastAsia="es-ES"/>
        </w:rPr>
      </w:pPr>
      <w:r w:rsidRPr="00B24270">
        <w:rPr>
          <w:rFonts w:ascii="Palatino Linotype" w:eastAsia="MS Mincho" w:hAnsi="Palatino Linotype"/>
          <w:b/>
          <w:lang w:eastAsia="es-ES"/>
        </w:rPr>
        <w:t>QUINTO.</w:t>
      </w:r>
      <w:r w:rsidRPr="00B24270">
        <w:rPr>
          <w:rFonts w:ascii="Palatino Linotype" w:eastAsia="MS Mincho" w:hAnsi="Palatino Linotype"/>
          <w:lang w:eastAsia="es-ES"/>
        </w:rPr>
        <w:t xml:space="preserve"> </w:t>
      </w:r>
      <w:r w:rsidRPr="00B24270">
        <w:rPr>
          <w:rFonts w:ascii="Palatino Linotype" w:eastAsia="MS Mincho" w:hAnsi="Palatino Linotype"/>
          <w:lang w:val="es-ES" w:eastAsia="es-ES"/>
        </w:rPr>
        <w:t xml:space="preserve">Se hace del conocimiento del </w:t>
      </w:r>
      <w:r w:rsidRPr="00B24270">
        <w:rPr>
          <w:rFonts w:ascii="Palatino Linotype" w:eastAsiaTheme="minorEastAsia" w:hAnsi="Palatino Linotype"/>
          <w:b/>
          <w:lang w:val="es-ES_tradnl" w:eastAsia="es-ES"/>
        </w:rPr>
        <w:t xml:space="preserve">RECURRENTE </w:t>
      </w:r>
      <w:r w:rsidRPr="00B24270">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24270">
        <w:rPr>
          <w:rFonts w:ascii="Palatino Linotype" w:eastAsia="MS Mincho" w:hAnsi="Palatino Linotype"/>
          <w:bCs/>
          <w:lang w:val="es-ES" w:eastAsia="es-ES"/>
        </w:rPr>
        <w:t>vía juicio de amparo</w:t>
      </w:r>
      <w:r w:rsidRPr="00B24270">
        <w:rPr>
          <w:rFonts w:ascii="Palatino Linotype" w:eastAsia="MS Mincho" w:hAnsi="Palatino Linotype"/>
          <w:lang w:val="es-ES" w:eastAsia="es-ES"/>
        </w:rPr>
        <w:t> en los términos de las leyes aplicables.</w:t>
      </w:r>
    </w:p>
    <w:p w14:paraId="425FB4DD" w14:textId="77777777" w:rsidR="00152F7E" w:rsidRPr="00B24270" w:rsidRDefault="00152F7E" w:rsidP="00152F7E">
      <w:pPr>
        <w:spacing w:before="240" w:after="360" w:line="360" w:lineRule="auto"/>
        <w:jc w:val="both"/>
        <w:rPr>
          <w:rFonts w:ascii="Palatino Linotype" w:eastAsia="MS Mincho" w:hAnsi="Palatino Linotype"/>
          <w:bCs/>
          <w:lang w:eastAsia="es-ES"/>
        </w:rPr>
      </w:pPr>
      <w:r w:rsidRPr="00B24270">
        <w:rPr>
          <w:rFonts w:ascii="Palatino Linotype" w:eastAsia="MS Mincho" w:hAnsi="Palatino Linotype"/>
          <w:b/>
          <w:lang w:val="es-ES_tradnl" w:eastAsia="es-ES"/>
        </w:rPr>
        <w:t>SEXTO.</w:t>
      </w:r>
      <w:r w:rsidRPr="00B24270">
        <w:rPr>
          <w:rFonts w:ascii="Palatino Linotype" w:hAnsi="Palatino Linotype"/>
          <w:bCs/>
          <w:color w:val="000000"/>
        </w:rPr>
        <w:t xml:space="preserve"> D</w:t>
      </w:r>
      <w:r w:rsidRPr="00B24270">
        <w:rPr>
          <w:rFonts w:ascii="Palatino Linotype" w:eastAsia="MS Mincho" w:hAnsi="Palatino Linotype"/>
          <w:bCs/>
          <w:lang w:eastAsia="es-ES"/>
        </w:rPr>
        <w:t>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AC3DCB" w14:textId="77777777" w:rsidR="00C14232" w:rsidRDefault="00C14232" w:rsidP="00C14232">
      <w:pPr>
        <w:spacing w:before="240" w:after="240" w:line="360" w:lineRule="auto"/>
        <w:ind w:firstLine="1"/>
        <w:jc w:val="both"/>
        <w:rPr>
          <w:rFonts w:ascii="Palatino Linotype" w:hAnsi="Palatino Linotype"/>
        </w:rPr>
      </w:pPr>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0054B">
        <w:rPr>
          <w:rFonts w:ascii="Palatino Linotype" w:hAnsi="Palatino Linotype"/>
        </w:rPr>
        <w:lastRenderedPageBreak/>
        <w:t>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VEINTICINCO (25)</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bookmarkStart w:id="242" w:name="_GoBack"/>
      <w:bookmarkEnd w:id="242"/>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12"/>
      <w:footerReference w:type="default" r:id="rId13"/>
      <w:headerReference w:type="first" r:id="rId14"/>
      <w:footerReference w:type="first" r:id="rId15"/>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4BE86" w14:textId="77777777" w:rsidR="0066605A" w:rsidRDefault="0066605A" w:rsidP="00C80F8C">
      <w:r>
        <w:separator/>
      </w:r>
    </w:p>
  </w:endnote>
  <w:endnote w:type="continuationSeparator" w:id="0">
    <w:p w14:paraId="6F769182" w14:textId="77777777" w:rsidR="0066605A" w:rsidRDefault="006660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0EF4CDF" w:rsidR="00876F74" w:rsidRDefault="00876F7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14232">
      <w:rPr>
        <w:rFonts w:ascii="Arial" w:hAnsi="Arial" w:cs="Arial"/>
        <w:b/>
        <w:bCs/>
        <w:noProof/>
        <w:sz w:val="20"/>
        <w:szCs w:val="20"/>
      </w:rPr>
      <w:t>28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14232">
      <w:rPr>
        <w:rFonts w:ascii="Arial" w:hAnsi="Arial" w:cs="Arial"/>
        <w:b/>
        <w:bCs/>
        <w:noProof/>
        <w:sz w:val="20"/>
        <w:szCs w:val="20"/>
      </w:rPr>
      <w:t>29</w:t>
    </w:r>
    <w:r>
      <w:rPr>
        <w:rFonts w:ascii="Arial" w:hAnsi="Arial" w:cs="Arial"/>
        <w:b/>
        <w:bCs/>
        <w:sz w:val="20"/>
        <w:szCs w:val="20"/>
      </w:rPr>
      <w:fldChar w:fldCharType="end"/>
    </w:r>
  </w:p>
  <w:p w14:paraId="1192A578" w14:textId="77777777" w:rsidR="00876F74" w:rsidRDefault="00876F74" w:rsidP="00935A0D">
    <w:pPr>
      <w:pStyle w:val="Piedepgina"/>
      <w:rPr>
        <w:rFonts w:ascii="Times New Roman" w:hAnsi="Times New Roman" w:cs="Times New Roman"/>
      </w:rPr>
    </w:pPr>
  </w:p>
  <w:p w14:paraId="14A770F8" w14:textId="77777777" w:rsidR="00876F74" w:rsidRDefault="00876F7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1BA0DA" w:rsidR="00876F74" w:rsidRDefault="00876F7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1423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14232">
      <w:rPr>
        <w:rFonts w:ascii="Arial" w:hAnsi="Arial" w:cs="Arial"/>
        <w:b/>
        <w:bCs/>
        <w:noProof/>
        <w:sz w:val="20"/>
        <w:szCs w:val="20"/>
      </w:rPr>
      <w:t>29</w:t>
    </w:r>
    <w:r>
      <w:rPr>
        <w:rFonts w:ascii="Arial" w:hAnsi="Arial" w:cs="Arial"/>
        <w:b/>
        <w:bCs/>
        <w:sz w:val="20"/>
        <w:szCs w:val="20"/>
      </w:rPr>
      <w:fldChar w:fldCharType="end"/>
    </w:r>
  </w:p>
  <w:p w14:paraId="5D98ABD5" w14:textId="77777777" w:rsidR="00876F74" w:rsidRDefault="00876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A9217" w14:textId="77777777" w:rsidR="0066605A" w:rsidRDefault="0066605A" w:rsidP="00C80F8C">
      <w:r>
        <w:separator/>
      </w:r>
    </w:p>
  </w:footnote>
  <w:footnote w:type="continuationSeparator" w:id="0">
    <w:p w14:paraId="1205888E" w14:textId="77777777" w:rsidR="0066605A" w:rsidRDefault="0066605A" w:rsidP="00C80F8C">
      <w:r>
        <w:continuationSeparator/>
      </w:r>
    </w:p>
  </w:footnote>
  <w:footnote w:id="1">
    <w:p w14:paraId="3CA21227" w14:textId="77777777" w:rsidR="00876F74" w:rsidRPr="009C43C2" w:rsidRDefault="00876F74"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876F74" w:rsidRPr="009C43C2" w:rsidRDefault="00876F74"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876F74" w:rsidRPr="009C43C2" w:rsidRDefault="00876F74"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876F74" w:rsidRDefault="00876F74"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153ADCFB" w14:textId="77777777" w:rsidR="009B1586" w:rsidRDefault="009B1586" w:rsidP="009B1586">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hyperlink r:id="rId1">
        <w:r>
          <w:rPr>
            <w:rFonts w:ascii="Palatino Linotype" w:eastAsia="Palatino Linotype" w:hAnsi="Palatino Linotype" w:cs="Palatino Linotype"/>
            <w:color w:val="0000FF"/>
            <w:sz w:val="20"/>
            <w:szCs w:val="20"/>
            <w:u w:val="single"/>
          </w:rPr>
          <w:t>https://www.dof.gob.mx/nota_detalle.php?codigo=5590339&amp;fecha=24/03/2020</w:t>
        </w:r>
      </w:hyperlink>
      <w:r>
        <w:rPr>
          <w:rFonts w:ascii="Cambria" w:eastAsia="Cambria" w:hAnsi="Cambria" w:cs="Cambria"/>
          <w:sz w:val="20"/>
          <w:szCs w:val="20"/>
        </w:rPr>
        <w:t xml:space="preserve"> </w:t>
      </w:r>
    </w:p>
  </w:footnote>
  <w:footnote w:id="6">
    <w:p w14:paraId="0E3C346C" w14:textId="77777777" w:rsidR="009B1586" w:rsidRDefault="009B1586" w:rsidP="009B1586">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hyperlink r:id="rId2">
        <w:r>
          <w:rPr>
            <w:rFonts w:ascii="Palatino Linotype" w:eastAsia="Palatino Linotype" w:hAnsi="Palatino Linotype" w:cs="Palatino Linotype"/>
            <w:color w:val="0000FF"/>
            <w:sz w:val="20"/>
            <w:szCs w:val="20"/>
            <w:u w:val="single"/>
          </w:rPr>
          <w:t>http://www.dof.gob.mx/nota_detalle.php?codigo=5610149&amp;fecha=21/01/2021</w:t>
        </w:r>
      </w:hyperlink>
      <w:r>
        <w:rPr>
          <w:rFonts w:ascii="Palatino Linotype" w:eastAsia="Palatino Linotype" w:hAnsi="Palatino Linotype" w:cs="Palatino Linotype"/>
          <w:sz w:val="20"/>
          <w:szCs w:val="20"/>
        </w:rPr>
        <w:t xml:space="preserve"> </w:t>
      </w:r>
    </w:p>
  </w:footnote>
  <w:footnote w:id="7">
    <w:p w14:paraId="36B3BF4B" w14:textId="77777777" w:rsidR="009B1586" w:rsidRDefault="009B1586" w:rsidP="009B1586">
      <w:pPr>
        <w:rPr>
          <w:sz w:val="20"/>
          <w:szCs w:val="20"/>
        </w:rPr>
      </w:pPr>
      <w:r>
        <w:rPr>
          <w:vertAlign w:val="superscript"/>
        </w:rPr>
        <w:footnoteRef/>
      </w:r>
      <w:r>
        <w:rPr>
          <w:sz w:val="20"/>
          <w:szCs w:val="20"/>
        </w:rPr>
        <w:t xml:space="preserve"> Dicho comunicado puede ser consultado en la dirección electrónica: https://salud.edomex.gob.mx/isem/ac_boletines_informativos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876F74" w14:paraId="6B4E3B81" w14:textId="77777777" w:rsidTr="007E2BE8">
      <w:tc>
        <w:tcPr>
          <w:tcW w:w="2552" w:type="dxa"/>
          <w:vAlign w:val="center"/>
          <w:hideMark/>
        </w:tcPr>
        <w:p w14:paraId="0ABBC6C0" w14:textId="7C21B4C9" w:rsidR="00876F74" w:rsidRPr="008C5395" w:rsidRDefault="00876F74"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004512DC" w:rsidR="00876F74" w:rsidRPr="008C5395" w:rsidRDefault="00884A34" w:rsidP="00992915">
          <w:pPr>
            <w:jc w:val="both"/>
            <w:rPr>
              <w:rFonts w:ascii="Palatino Linotype" w:hAnsi="Palatino Linotype"/>
              <w:b/>
              <w:sz w:val="21"/>
              <w:szCs w:val="21"/>
              <w:lang w:val="es-ES_tradnl"/>
            </w:rPr>
          </w:pPr>
          <w:r>
            <w:rPr>
              <w:rFonts w:ascii="Palatino Linotype" w:hAnsi="Palatino Linotype" w:cs="Arial"/>
              <w:b/>
              <w:bCs/>
              <w:sz w:val="21"/>
              <w:szCs w:val="21"/>
            </w:rPr>
            <w:t>03243</w:t>
          </w:r>
          <w:r w:rsidR="00876F74">
            <w:rPr>
              <w:rFonts w:ascii="Palatino Linotype" w:hAnsi="Palatino Linotype" w:cs="Arial"/>
              <w:b/>
              <w:bCs/>
              <w:sz w:val="21"/>
              <w:szCs w:val="21"/>
            </w:rPr>
            <w:t>/INFOEM/IP/RR/2022</w:t>
          </w:r>
        </w:p>
      </w:tc>
    </w:tr>
    <w:tr w:rsidR="00876F74" w14:paraId="31CB780F" w14:textId="77777777" w:rsidTr="007E2BE8">
      <w:trPr>
        <w:trHeight w:val="228"/>
      </w:trPr>
      <w:tc>
        <w:tcPr>
          <w:tcW w:w="2552" w:type="dxa"/>
          <w:vAlign w:val="center"/>
          <w:hideMark/>
        </w:tcPr>
        <w:p w14:paraId="4F49CB4A" w14:textId="6C7F970E" w:rsidR="00876F74" w:rsidRPr="008C5395" w:rsidRDefault="00876F74"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3C50872D" w:rsidR="00876F74" w:rsidRPr="008C5395" w:rsidRDefault="00884A34" w:rsidP="006C30BA">
          <w:pPr>
            <w:jc w:val="both"/>
            <w:rPr>
              <w:rFonts w:ascii="Palatino Linotype" w:hAnsi="Palatino Linotype"/>
              <w:b/>
              <w:sz w:val="21"/>
              <w:szCs w:val="21"/>
              <w:lang w:val="es-ES_tradnl"/>
            </w:rPr>
          </w:pPr>
          <w:r w:rsidRPr="00884A34">
            <w:rPr>
              <w:rFonts w:ascii="Palatino Linotype" w:hAnsi="Palatino Linotype"/>
              <w:b/>
              <w:sz w:val="21"/>
              <w:szCs w:val="21"/>
            </w:rPr>
            <w:t>Ayuntamiento de Metepec</w:t>
          </w:r>
        </w:p>
      </w:tc>
    </w:tr>
    <w:tr w:rsidR="00876F74" w14:paraId="69050F56" w14:textId="77777777" w:rsidTr="007E2BE8">
      <w:tc>
        <w:tcPr>
          <w:tcW w:w="2552" w:type="dxa"/>
          <w:vAlign w:val="center"/>
          <w:hideMark/>
        </w:tcPr>
        <w:p w14:paraId="65C9B735" w14:textId="71CA0DD8" w:rsidR="00876F74" w:rsidRPr="008C5395" w:rsidRDefault="00876F74"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876F74" w:rsidRPr="008C5395" w:rsidRDefault="00876F74"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876F74" w:rsidRDefault="00876F7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520EC97A">
          <wp:simplePos x="0" y="0"/>
          <wp:positionH relativeFrom="page">
            <wp:posOffset>7620</wp:posOffset>
          </wp:positionH>
          <wp:positionV relativeFrom="paragraph">
            <wp:posOffset>-1024199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876F74" w:rsidRDefault="00876F74"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876F74" w14:paraId="477E149B" w14:textId="77777777" w:rsidTr="00750CDE">
      <w:tc>
        <w:tcPr>
          <w:tcW w:w="2551" w:type="dxa"/>
          <w:vAlign w:val="center"/>
          <w:hideMark/>
        </w:tcPr>
        <w:p w14:paraId="5C0586E4" w14:textId="77777777" w:rsidR="00876F74" w:rsidRPr="008C5395" w:rsidRDefault="00876F74"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59E8392" w:rsidR="00876F74" w:rsidRPr="001C1420" w:rsidRDefault="00EF10DB" w:rsidP="00A728E8">
          <w:pPr>
            <w:jc w:val="both"/>
            <w:rPr>
              <w:rFonts w:ascii="Palatino Linotype" w:hAnsi="Palatino Linotype"/>
              <w:b/>
              <w:sz w:val="21"/>
              <w:szCs w:val="21"/>
              <w:lang w:val="es-ES_tradnl"/>
            </w:rPr>
          </w:pPr>
          <w:r>
            <w:rPr>
              <w:rFonts w:ascii="Palatino Linotype" w:hAnsi="Palatino Linotype" w:cs="Arial"/>
              <w:b/>
              <w:bCs/>
              <w:sz w:val="21"/>
              <w:szCs w:val="21"/>
            </w:rPr>
            <w:t>0324</w:t>
          </w:r>
          <w:r w:rsidR="00876F74">
            <w:rPr>
              <w:rFonts w:ascii="Palatino Linotype" w:hAnsi="Palatino Linotype" w:cs="Arial"/>
              <w:b/>
              <w:bCs/>
              <w:sz w:val="21"/>
              <w:szCs w:val="21"/>
            </w:rPr>
            <w:t>3/INFOEM/IP/RR/2022</w:t>
          </w:r>
        </w:p>
      </w:tc>
    </w:tr>
    <w:tr w:rsidR="00876F74" w14:paraId="5B5BE21C" w14:textId="77777777" w:rsidTr="00750CDE">
      <w:tc>
        <w:tcPr>
          <w:tcW w:w="2551" w:type="dxa"/>
          <w:vAlign w:val="center"/>
          <w:hideMark/>
        </w:tcPr>
        <w:p w14:paraId="4AE96902" w14:textId="77777777" w:rsidR="00876F74" w:rsidRPr="008C5395" w:rsidRDefault="00876F74"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5D04153F" w:rsidR="00876F74" w:rsidRPr="001C1420" w:rsidRDefault="00876F74" w:rsidP="000A3F51">
          <w:pPr>
            <w:rPr>
              <w:rFonts w:ascii="Palatino Linotype" w:hAnsi="Palatino Linotype"/>
              <w:b/>
              <w:sz w:val="21"/>
              <w:szCs w:val="21"/>
            </w:rPr>
          </w:pPr>
        </w:p>
      </w:tc>
    </w:tr>
    <w:tr w:rsidR="00876F74" w14:paraId="22601A11" w14:textId="77777777" w:rsidTr="00750CDE">
      <w:trPr>
        <w:trHeight w:val="228"/>
      </w:trPr>
      <w:tc>
        <w:tcPr>
          <w:tcW w:w="2551" w:type="dxa"/>
          <w:vAlign w:val="center"/>
          <w:hideMark/>
        </w:tcPr>
        <w:p w14:paraId="6EFE221D" w14:textId="337D5087" w:rsidR="00876F74" w:rsidRPr="008C5395" w:rsidRDefault="00876F74"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2E84A9C8" w:rsidR="00876F74" w:rsidRPr="001C1420" w:rsidRDefault="00876F74" w:rsidP="00EF10DB">
          <w:pPr>
            <w:ind w:left="35" w:hanging="35"/>
            <w:jc w:val="both"/>
            <w:rPr>
              <w:rFonts w:ascii="Palatino Linotype" w:hAnsi="Palatino Linotype"/>
              <w:sz w:val="21"/>
              <w:szCs w:val="21"/>
            </w:rPr>
          </w:pPr>
          <w:r w:rsidRPr="0040597C">
            <w:rPr>
              <w:rFonts w:ascii="Palatino Linotype" w:hAnsi="Palatino Linotype"/>
              <w:b/>
              <w:sz w:val="21"/>
              <w:szCs w:val="21"/>
            </w:rPr>
            <w:t xml:space="preserve">Ayuntamiento de </w:t>
          </w:r>
          <w:r w:rsidR="00EF10DB">
            <w:rPr>
              <w:rFonts w:ascii="Palatino Linotype" w:hAnsi="Palatino Linotype"/>
              <w:b/>
              <w:sz w:val="21"/>
              <w:szCs w:val="21"/>
            </w:rPr>
            <w:t>Metepec</w:t>
          </w:r>
        </w:p>
      </w:tc>
    </w:tr>
    <w:tr w:rsidR="00876F74" w14:paraId="2D6C630E" w14:textId="77777777" w:rsidTr="00750CDE">
      <w:tc>
        <w:tcPr>
          <w:tcW w:w="2551" w:type="dxa"/>
          <w:vAlign w:val="center"/>
          <w:hideMark/>
        </w:tcPr>
        <w:p w14:paraId="5BD4C6DB" w14:textId="40502EEE" w:rsidR="00876F74" w:rsidRPr="008C5395" w:rsidRDefault="00876F74"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876F74" w:rsidRPr="001C1420" w:rsidRDefault="00876F74"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876F74" w:rsidRDefault="00876F7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4ED3879"/>
    <w:multiLevelType w:val="hybridMultilevel"/>
    <w:tmpl w:val="77C08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3">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2E6FD3"/>
    <w:multiLevelType w:val="hybridMultilevel"/>
    <w:tmpl w:val="1EE83524"/>
    <w:lvl w:ilvl="0" w:tplc="157A32A8">
      <w:start w:val="1"/>
      <w:numFmt w:val="lowerLetter"/>
      <w:lvlText w:val="%1)"/>
      <w:lvlJc w:val="left"/>
      <w:pPr>
        <w:ind w:left="1080" w:hanging="360"/>
      </w:pPr>
      <w:rPr>
        <w:b w:val="0"/>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E616099"/>
    <w:multiLevelType w:val="hybridMultilevel"/>
    <w:tmpl w:val="6F5A654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6"/>
  </w:num>
  <w:num w:numId="3">
    <w:abstractNumId w:val="23"/>
  </w:num>
  <w:num w:numId="4">
    <w:abstractNumId w:val="31"/>
  </w:num>
  <w:num w:numId="5">
    <w:abstractNumId w:val="27"/>
  </w:num>
  <w:num w:numId="6">
    <w:abstractNumId w:val="12"/>
  </w:num>
  <w:num w:numId="7">
    <w:abstractNumId w:val="26"/>
  </w:num>
  <w:num w:numId="8">
    <w:abstractNumId w:val="2"/>
  </w:num>
  <w:num w:numId="9">
    <w:abstractNumId w:val="17"/>
  </w:num>
  <w:num w:numId="10">
    <w:abstractNumId w:val="10"/>
  </w:num>
  <w:num w:numId="11">
    <w:abstractNumId w:val="21"/>
  </w:num>
  <w:num w:numId="12">
    <w:abstractNumId w:val="18"/>
  </w:num>
  <w:num w:numId="13">
    <w:abstractNumId w:val="30"/>
  </w:num>
  <w:num w:numId="14">
    <w:abstractNumId w:val="24"/>
  </w:num>
  <w:num w:numId="15">
    <w:abstractNumId w:val="7"/>
  </w:num>
  <w:num w:numId="16">
    <w:abstractNumId w:val="5"/>
  </w:num>
  <w:num w:numId="17">
    <w:abstractNumId w:val="33"/>
  </w:num>
  <w:num w:numId="18">
    <w:abstractNumId w:val="37"/>
  </w:num>
  <w:num w:numId="19">
    <w:abstractNumId w:val="41"/>
  </w:num>
  <w:num w:numId="20">
    <w:abstractNumId w:val="3"/>
  </w:num>
  <w:num w:numId="21">
    <w:abstractNumId w:val="38"/>
  </w:num>
  <w:num w:numId="22">
    <w:abstractNumId w:val="25"/>
  </w:num>
  <w:num w:numId="23">
    <w:abstractNumId w:val="8"/>
  </w:num>
  <w:num w:numId="24">
    <w:abstractNumId w:val="39"/>
  </w:num>
  <w:num w:numId="25">
    <w:abstractNumId w:val="15"/>
  </w:num>
  <w:num w:numId="26">
    <w:abstractNumId w:val="13"/>
  </w:num>
  <w:num w:numId="27">
    <w:abstractNumId w:val="16"/>
  </w:num>
  <w:num w:numId="28">
    <w:abstractNumId w:val="28"/>
  </w:num>
  <w:num w:numId="29">
    <w:abstractNumId w:val="0"/>
  </w:num>
  <w:num w:numId="30">
    <w:abstractNumId w:val="6"/>
  </w:num>
  <w:num w:numId="31">
    <w:abstractNumId w:val="14"/>
  </w:num>
  <w:num w:numId="32">
    <w:abstractNumId w:val="40"/>
  </w:num>
  <w:num w:numId="33">
    <w:abstractNumId w:val="1"/>
  </w:num>
  <w:num w:numId="34">
    <w:abstractNumId w:val="35"/>
  </w:num>
  <w:num w:numId="35">
    <w:abstractNumId w:val="4"/>
  </w:num>
  <w:num w:numId="36">
    <w:abstractNumId w:val="9"/>
  </w:num>
  <w:num w:numId="37">
    <w:abstractNumId w:val="20"/>
  </w:num>
  <w:num w:numId="38">
    <w:abstractNumId w:val="19"/>
  </w:num>
  <w:num w:numId="39">
    <w:abstractNumId w:val="34"/>
  </w:num>
  <w:num w:numId="40">
    <w:abstractNumId w:val="29"/>
  </w:num>
  <w:num w:numId="41">
    <w:abstractNumId w:val="22"/>
  </w:num>
  <w:num w:numId="42">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595F"/>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3FD"/>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1352"/>
    <w:rsid w:val="00152EB9"/>
    <w:rsid w:val="00152F7E"/>
    <w:rsid w:val="001549A5"/>
    <w:rsid w:val="00154A89"/>
    <w:rsid w:val="001550CA"/>
    <w:rsid w:val="0015543A"/>
    <w:rsid w:val="00155EE8"/>
    <w:rsid w:val="001560FE"/>
    <w:rsid w:val="0015711B"/>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6CF7"/>
    <w:rsid w:val="001C78B4"/>
    <w:rsid w:val="001D12BB"/>
    <w:rsid w:val="001D3EDB"/>
    <w:rsid w:val="001D4DAD"/>
    <w:rsid w:val="001D546F"/>
    <w:rsid w:val="001D5475"/>
    <w:rsid w:val="001D5AD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3861"/>
    <w:rsid w:val="002345CA"/>
    <w:rsid w:val="00234EF0"/>
    <w:rsid w:val="002351C8"/>
    <w:rsid w:val="002352C6"/>
    <w:rsid w:val="00235A99"/>
    <w:rsid w:val="00235AD6"/>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5D21"/>
    <w:rsid w:val="002B6758"/>
    <w:rsid w:val="002B6C95"/>
    <w:rsid w:val="002B73C0"/>
    <w:rsid w:val="002C0312"/>
    <w:rsid w:val="002C17F3"/>
    <w:rsid w:val="002C345F"/>
    <w:rsid w:val="002C361C"/>
    <w:rsid w:val="002C365D"/>
    <w:rsid w:val="002C4B48"/>
    <w:rsid w:val="002C6154"/>
    <w:rsid w:val="002D0922"/>
    <w:rsid w:val="002D117E"/>
    <w:rsid w:val="002D19F0"/>
    <w:rsid w:val="002D221F"/>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224"/>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A2F"/>
    <w:rsid w:val="00360C3E"/>
    <w:rsid w:val="00361B46"/>
    <w:rsid w:val="00361C46"/>
    <w:rsid w:val="00361D9B"/>
    <w:rsid w:val="0036391A"/>
    <w:rsid w:val="00363F3A"/>
    <w:rsid w:val="003656F4"/>
    <w:rsid w:val="003657E8"/>
    <w:rsid w:val="00365841"/>
    <w:rsid w:val="003660AE"/>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459F"/>
    <w:rsid w:val="003C5A7C"/>
    <w:rsid w:val="003C632F"/>
    <w:rsid w:val="003C7890"/>
    <w:rsid w:val="003C7EB2"/>
    <w:rsid w:val="003D0DF5"/>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2BB9"/>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725"/>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6A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2E68"/>
    <w:rsid w:val="004A3ABC"/>
    <w:rsid w:val="004A4371"/>
    <w:rsid w:val="004A5594"/>
    <w:rsid w:val="004A5F74"/>
    <w:rsid w:val="004A6CEC"/>
    <w:rsid w:val="004A744E"/>
    <w:rsid w:val="004A7606"/>
    <w:rsid w:val="004B02AB"/>
    <w:rsid w:val="004B0B9F"/>
    <w:rsid w:val="004B2513"/>
    <w:rsid w:val="004B272D"/>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353"/>
    <w:rsid w:val="00504EE9"/>
    <w:rsid w:val="0050555A"/>
    <w:rsid w:val="0050582A"/>
    <w:rsid w:val="00505DDE"/>
    <w:rsid w:val="00506887"/>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276AA"/>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33CE"/>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05A"/>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43E8"/>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30BA"/>
    <w:rsid w:val="006C411D"/>
    <w:rsid w:val="006C4122"/>
    <w:rsid w:val="006C4621"/>
    <w:rsid w:val="006C57D0"/>
    <w:rsid w:val="006C6F20"/>
    <w:rsid w:val="006C7872"/>
    <w:rsid w:val="006D27E2"/>
    <w:rsid w:val="006D47BC"/>
    <w:rsid w:val="006D5149"/>
    <w:rsid w:val="006D5615"/>
    <w:rsid w:val="006D57AB"/>
    <w:rsid w:val="006D709E"/>
    <w:rsid w:val="006E09F0"/>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5D0E"/>
    <w:rsid w:val="00787834"/>
    <w:rsid w:val="0078797D"/>
    <w:rsid w:val="00787C5F"/>
    <w:rsid w:val="007907E7"/>
    <w:rsid w:val="00790AEA"/>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3E34"/>
    <w:rsid w:val="00845368"/>
    <w:rsid w:val="00845D5D"/>
    <w:rsid w:val="00846969"/>
    <w:rsid w:val="00852277"/>
    <w:rsid w:val="00852765"/>
    <w:rsid w:val="0085285D"/>
    <w:rsid w:val="0085287A"/>
    <w:rsid w:val="00860343"/>
    <w:rsid w:val="00860AD2"/>
    <w:rsid w:val="008610FE"/>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76F74"/>
    <w:rsid w:val="00880CEA"/>
    <w:rsid w:val="00880F51"/>
    <w:rsid w:val="008824C4"/>
    <w:rsid w:val="00883017"/>
    <w:rsid w:val="008834E3"/>
    <w:rsid w:val="00883E64"/>
    <w:rsid w:val="00884A3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15D1"/>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D93"/>
    <w:rsid w:val="00914437"/>
    <w:rsid w:val="00914F3A"/>
    <w:rsid w:val="00914F3F"/>
    <w:rsid w:val="00915548"/>
    <w:rsid w:val="009173DC"/>
    <w:rsid w:val="00917865"/>
    <w:rsid w:val="00917FDA"/>
    <w:rsid w:val="009203F8"/>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68"/>
    <w:rsid w:val="009838C8"/>
    <w:rsid w:val="00983E17"/>
    <w:rsid w:val="009843AF"/>
    <w:rsid w:val="009869AF"/>
    <w:rsid w:val="00986E8F"/>
    <w:rsid w:val="00987CF0"/>
    <w:rsid w:val="00990347"/>
    <w:rsid w:val="009904D4"/>
    <w:rsid w:val="00991297"/>
    <w:rsid w:val="00991316"/>
    <w:rsid w:val="00992915"/>
    <w:rsid w:val="00992CAB"/>
    <w:rsid w:val="00994420"/>
    <w:rsid w:val="009950FC"/>
    <w:rsid w:val="009961B4"/>
    <w:rsid w:val="00996D65"/>
    <w:rsid w:val="00996FF5"/>
    <w:rsid w:val="009A07C3"/>
    <w:rsid w:val="009A083C"/>
    <w:rsid w:val="009A17CE"/>
    <w:rsid w:val="009A1810"/>
    <w:rsid w:val="009A1A1D"/>
    <w:rsid w:val="009A3EEF"/>
    <w:rsid w:val="009A65F3"/>
    <w:rsid w:val="009A6C40"/>
    <w:rsid w:val="009A7934"/>
    <w:rsid w:val="009B1586"/>
    <w:rsid w:val="009B1592"/>
    <w:rsid w:val="009B1B4F"/>
    <w:rsid w:val="009B21C8"/>
    <w:rsid w:val="009B274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21D"/>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28E8"/>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3097"/>
    <w:rsid w:val="00BD3B20"/>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1423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3F8B"/>
    <w:rsid w:val="00CC4CD0"/>
    <w:rsid w:val="00CC5554"/>
    <w:rsid w:val="00CC58BD"/>
    <w:rsid w:val="00CC69E2"/>
    <w:rsid w:val="00CD2D80"/>
    <w:rsid w:val="00CD2E12"/>
    <w:rsid w:val="00CD4211"/>
    <w:rsid w:val="00CD43D2"/>
    <w:rsid w:val="00CD528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E42"/>
    <w:rsid w:val="00D8716A"/>
    <w:rsid w:val="00D8722C"/>
    <w:rsid w:val="00D90606"/>
    <w:rsid w:val="00D907A4"/>
    <w:rsid w:val="00D91D7E"/>
    <w:rsid w:val="00D922F5"/>
    <w:rsid w:val="00D9292F"/>
    <w:rsid w:val="00D937F5"/>
    <w:rsid w:val="00D94927"/>
    <w:rsid w:val="00D94CF7"/>
    <w:rsid w:val="00D9522D"/>
    <w:rsid w:val="00D953F5"/>
    <w:rsid w:val="00D95C6B"/>
    <w:rsid w:val="00D95E6E"/>
    <w:rsid w:val="00D96314"/>
    <w:rsid w:val="00D96CE0"/>
    <w:rsid w:val="00D96FEB"/>
    <w:rsid w:val="00DA0359"/>
    <w:rsid w:val="00DA0901"/>
    <w:rsid w:val="00DA0A57"/>
    <w:rsid w:val="00DA18A5"/>
    <w:rsid w:val="00DA1A9A"/>
    <w:rsid w:val="00DA2187"/>
    <w:rsid w:val="00DA2C48"/>
    <w:rsid w:val="00DA3116"/>
    <w:rsid w:val="00DA3129"/>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364"/>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633"/>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13C0"/>
    <w:rsid w:val="00E822FC"/>
    <w:rsid w:val="00E8446B"/>
    <w:rsid w:val="00E84477"/>
    <w:rsid w:val="00E844B2"/>
    <w:rsid w:val="00E84923"/>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A0C16"/>
    <w:rsid w:val="00EA3FF8"/>
    <w:rsid w:val="00EA5426"/>
    <w:rsid w:val="00EA5464"/>
    <w:rsid w:val="00EA5C70"/>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0DB"/>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3779"/>
    <w:rsid w:val="00F45367"/>
    <w:rsid w:val="00F45C22"/>
    <w:rsid w:val="00F4632A"/>
    <w:rsid w:val="00F4707D"/>
    <w:rsid w:val="00F47964"/>
    <w:rsid w:val="00F47D8F"/>
    <w:rsid w:val="00F50B43"/>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C03"/>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56719">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5610149&amp;fecha=21/01/2021" TargetMode="External"/><Relationship Id="rId1" Type="http://schemas.openxmlformats.org/officeDocument/2006/relationships/hyperlink" Target="https://www.dof.gob.mx/nota_detalle.php?codigo=5590339&amp;fecha=24/03/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47D5D-7C09-4457-9650-5549E922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5827</TotalTime>
  <Pages>29</Pages>
  <Words>5603</Words>
  <Characters>30821</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42</cp:revision>
  <cp:lastPrinted>2019-04-02T22:25:00Z</cp:lastPrinted>
  <dcterms:created xsi:type="dcterms:W3CDTF">2021-08-24T02:06:00Z</dcterms:created>
  <dcterms:modified xsi:type="dcterms:W3CDTF">2022-05-24T23:36:00Z</dcterms:modified>
</cp:coreProperties>
</file>