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5D5A2C" w14:textId="77777777" w:rsidR="00C50EBF" w:rsidRDefault="000C2D7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quince de junio del dos mil veintidós</w:t>
      </w:r>
      <w:r>
        <w:rPr>
          <w:rFonts w:ascii="Palatino Linotype" w:eastAsia="Palatino Linotype" w:hAnsi="Palatino Linotype" w:cs="Palatino Linotype"/>
        </w:rPr>
        <w:t>.</w:t>
      </w:r>
    </w:p>
    <w:p w14:paraId="405927B8" w14:textId="0AFBB2D4" w:rsidR="00C50EBF" w:rsidRDefault="000C2D7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03584/INFOEM/IP/RR/2022</w:t>
      </w:r>
      <w:r>
        <w:rPr>
          <w:rFonts w:ascii="Palatino Linotype" w:eastAsia="Palatino Linotype" w:hAnsi="Palatino Linotype" w:cs="Palatino Linotype"/>
        </w:rPr>
        <w:t xml:space="preserve">, interpuesto por </w:t>
      </w:r>
      <w:r w:rsidR="00CD25E4" w:rsidRPr="00CD25E4">
        <w:rPr>
          <w:rFonts w:ascii="Palatino Linotype" w:eastAsia="Palatino Linotype" w:hAnsi="Palatino Linotype" w:cs="Palatino Linotype"/>
          <w:b/>
        </w:rPr>
        <w:t>XXXXX XXXXXX XXXXXX</w:t>
      </w:r>
      <w:bookmarkStart w:id="0" w:name="_GoBack"/>
      <w:bookmarkEnd w:id="0"/>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 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Cuautitlán Izcalli,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3755A09A" w14:textId="77777777" w:rsidR="00C50EBF" w:rsidRDefault="000C2D77">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14:paraId="6AFEF6DB" w14:textId="77777777" w:rsidR="00C50EBF" w:rsidRDefault="000C2D7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veinticuatro de enero de dos mil veintidós, la Recurrente</w:t>
      </w:r>
      <w:r>
        <w:rPr>
          <w:rFonts w:ascii="Palatino Linotype" w:eastAsia="Palatino Linotype" w:hAnsi="Palatino Linotype" w:cs="Palatino Linotype"/>
        </w:rPr>
        <w:t xml:space="preserve"> presentó a través de la Plataforma Nacional de Transparencia (PNT), la cual se encuentra vinculada al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00073/CUAUTIZC/IP/2022, </w:t>
      </w:r>
      <w:r>
        <w:rPr>
          <w:rFonts w:ascii="Palatino Linotype" w:eastAsia="Palatino Linotype" w:hAnsi="Palatino Linotype" w:cs="Palatino Linotype"/>
        </w:rPr>
        <w:t xml:space="preserve">mediante la cual requirió la información siguiente: </w:t>
      </w:r>
    </w:p>
    <w:p w14:paraId="52511144" w14:textId="77777777" w:rsidR="00C50EBF" w:rsidRDefault="000C2D77">
      <w:pPr>
        <w:spacing w:before="240" w:after="240" w:line="276" w:lineRule="auto"/>
        <w:ind w:left="426"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“requiero conocer el </w:t>
      </w:r>
      <w:r>
        <w:rPr>
          <w:rFonts w:ascii="Palatino Linotype" w:eastAsia="Palatino Linotype" w:hAnsi="Palatino Linotype" w:cs="Palatino Linotype"/>
          <w:b/>
          <w:i/>
          <w:sz w:val="22"/>
          <w:szCs w:val="22"/>
        </w:rPr>
        <w:t>listado con número de certificado, número de nómina, monto bruto de percepciones económicas así como departamento al que está adscrito de la cantidad total de empleados sindicalizados así como personal de confianza que están activos en nómina municipal, que cuentan con Estándares de Competencia de Marca enlistados a continuación: ECM0059 ECM0060 ECM0061 ECM0062 ECM0063 ECM0064 ECM0065 ECM0066 ECM0067 ECM0068 ECM0069 ECM0070 ECM0071 avalados por el Instituto Hacendario del Estado de México</w:t>
      </w:r>
      <w:r>
        <w:rPr>
          <w:rFonts w:ascii="Palatino Linotype" w:eastAsia="Palatino Linotype" w:hAnsi="Palatino Linotype" w:cs="Palatino Linotype"/>
          <w:i/>
          <w:sz w:val="22"/>
          <w:szCs w:val="22"/>
        </w:rPr>
        <w:t xml:space="preserve">.” (Sic) </w:t>
      </w:r>
    </w:p>
    <w:p w14:paraId="0B103227" w14:textId="77777777" w:rsidR="00C50EBF" w:rsidRDefault="000C2D77">
      <w:pPr>
        <w:spacing w:before="240" w:after="240" w:line="276" w:lineRule="auto"/>
        <w:ind w:left="426"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lastRenderedPageBreak/>
        <w:t>(Énfasis añadido)</w:t>
      </w:r>
    </w:p>
    <w:p w14:paraId="0760AA7C" w14:textId="77777777" w:rsidR="00C50EBF" w:rsidRDefault="000C2D7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p>
    <w:p w14:paraId="2278FFE3" w14:textId="77777777" w:rsidR="006E7798" w:rsidRDefault="006E779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55054649" wp14:editId="466635F6">
            <wp:extent cx="6060908" cy="590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590" cy="591104"/>
                    </a:xfrm>
                    <a:prstGeom prst="rect">
                      <a:avLst/>
                    </a:prstGeom>
                    <a:noFill/>
                    <a:ln>
                      <a:noFill/>
                    </a:ln>
                  </pic:spPr>
                </pic:pic>
              </a:graphicData>
            </a:graphic>
          </wp:inline>
        </w:drawing>
      </w:r>
    </w:p>
    <w:p w14:paraId="16FD5AB8" w14:textId="77777777" w:rsidR="00C50EBF" w:rsidRDefault="000C2D7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2. Solicitud de aclaración. </w:t>
      </w:r>
      <w:r>
        <w:rPr>
          <w:rFonts w:ascii="Palatino Linotype" w:eastAsia="Palatino Linotype" w:hAnsi="Palatino Linotype" w:cs="Palatino Linotype"/>
        </w:rPr>
        <w:t xml:space="preserve">El veintiséis de enero de dos mil veintidós,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notificó a la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particular, la solicitud de aclaración que versa de la siguiente manera: </w:t>
      </w:r>
    </w:p>
    <w:p w14:paraId="108E019D" w14:textId="77777777" w:rsidR="00C50EBF" w:rsidRDefault="000C2D77">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 fundamento en el </w:t>
      </w:r>
      <w:proofErr w:type="spellStart"/>
      <w:r>
        <w:rPr>
          <w:rFonts w:ascii="Palatino Linotype" w:eastAsia="Palatino Linotype" w:hAnsi="Palatino Linotype" w:cs="Palatino Linotype"/>
          <w:i/>
          <w:sz w:val="22"/>
          <w:szCs w:val="22"/>
        </w:rPr>
        <w:t>articulo</w:t>
      </w:r>
      <w:proofErr w:type="spellEnd"/>
      <w:r>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32E0A36D" w14:textId="77777777" w:rsidR="00C50EBF" w:rsidRDefault="000C2D77">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Por medio de la presente, reciba un cordial saludo, al mismo tiempo le comento que con fundamento en el artículo 159 de la Ley de Transparencia y Acceso a la Información Pública del Estado de México y Municipios, por lo que hace a su solicitud, registrada bajo el número de folio 00073/CUAUTIZC/IP/2022 y en la cual requiere, “requiero conocer el listado con número de certificado, número de nómina, monto bruto de percepciones económicas así como departamento al que está adscrito de la cantidad total de empleados sindicalizados así como personal de confianza que están activos en nómina municipal, que cuentan con Estándares de Competencia de Marca enlistados a continuación: ECM0059 ECM0060 ECM0061 ECM0062 ECM0063 ECM0064 ECM0065 ECM0066 ECM0067 ECM0068 ECM0069 ECM0070 ECM0071 avalados por el Instituto Hacendario del Estado de México” (sic) En consecuencia le solicito tenga a bien aclarar, corregir, proporcionar mayores datos o cualquier otro detalle que facilite la búsqueda de la información respecto a (…empleados sindicalizados así como personal de confianza que están activos en nómina municipal, que cuentan con Estándares de Competencia de Marca enlistados a continuación: ECM0059 ECM0060 ECM0061 ECM0062 ECM0063 ECM0064 ECM0065 ECM0066 ECM0067 ECM0068 ECM0069 ECM0070 ECM0071 </w:t>
      </w:r>
      <w:r>
        <w:rPr>
          <w:rFonts w:ascii="Palatino Linotype" w:eastAsia="Palatino Linotype" w:hAnsi="Palatino Linotype" w:cs="Palatino Linotype"/>
          <w:i/>
          <w:sz w:val="22"/>
          <w:szCs w:val="22"/>
        </w:rPr>
        <w:lastRenderedPageBreak/>
        <w:t xml:space="preserve">avalados por el Instituto Hacendario del Estado de México… ), </w:t>
      </w:r>
      <w:r>
        <w:rPr>
          <w:rFonts w:ascii="Palatino Linotype" w:eastAsia="Palatino Linotype" w:hAnsi="Palatino Linotype" w:cs="Palatino Linotype"/>
          <w:b/>
          <w:i/>
          <w:sz w:val="22"/>
          <w:szCs w:val="22"/>
        </w:rPr>
        <w:t>ya que no es clara, concreta y precisa su solicitud, por lo que le solicito mencione de cada nomenclatura a que Cargo de la Administración Pública pertenece el Estándar de Competencia, toda vez que dichas nomenclaturas las proporciona el Instituto Hacendario del Estado de México una vez que emite el Certificado, aunado que en la Ley Orgánica Municipal del Estado de México, solo establece quienes son los que necesitan contar con la Certificación antes citada para ocupar algún cargo dentro de la Administración Pública Municipal, lo anterior se requiere toda vez que los elementos proporcionados no son suficientes, para atender de la mejor forma su requerimiento de información y determinar si es competencia de alguna Dependencia Municipal y con ello cumplir eficazmente con la Ley que nos ocupa y permitir el libre acceso a la información.</w:t>
      </w:r>
      <w:r>
        <w:rPr>
          <w:rFonts w:ascii="Palatino Linotype" w:eastAsia="Palatino Linotype" w:hAnsi="Palatino Linotype" w:cs="Palatino Linotype"/>
          <w:i/>
          <w:sz w:val="22"/>
          <w:szCs w:val="22"/>
        </w:rPr>
        <w:t xml:space="preserve"> En caso de que no se desahogue en el plazo de 10 días hábiles, se tendrá por no presentada su solicitud quedando a salvo sus derechos para ingresarla nuevamente en el Sistema de Acceso a la Información Mexiquense (SAIMEX), con fundamento en el párrafo tercero del artículo 159 de la Ley de Transparencia y Acceso a la Información Pública del Estado de México y Municipios. Sin más por el momento quedo de usted.</w:t>
      </w:r>
    </w:p>
    <w:p w14:paraId="6EEA59B2" w14:textId="77777777" w:rsidR="00C50EBF" w:rsidRDefault="000C2D77">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F7FFE59" w14:textId="77777777" w:rsidR="00C50EBF" w:rsidRDefault="000C2D77">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5C4D5966" w14:textId="77777777" w:rsidR="00C50EBF" w:rsidRDefault="000C2D77">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MTRA. MARÍA ISABEL CISNEROS MÁRQUEZ”</w:t>
      </w:r>
    </w:p>
    <w:p w14:paraId="1E6B7952" w14:textId="77777777" w:rsidR="00C50EBF" w:rsidRDefault="000C2D77">
      <w:pPr>
        <w:spacing w:before="240" w:after="240" w:line="276" w:lineRule="auto"/>
        <w:ind w:left="567"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 adjunto: </w:t>
      </w:r>
    </w:p>
    <w:p w14:paraId="1C19FB69" w14:textId="77777777" w:rsidR="00C50EBF" w:rsidRDefault="000C2D77">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“73.pdf”</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Oficio signado por la Titular de la Coordinación de la Unidad de Transparencia, mediante el cual solicita la aclaración a la particular.</w:t>
      </w:r>
    </w:p>
    <w:p w14:paraId="2BCE9C99" w14:textId="77777777" w:rsidR="00C50EBF" w:rsidRDefault="000C2D77">
      <w:pPr>
        <w:spacing w:before="240" w:after="240" w:line="276"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lang w:val="es-MX"/>
        </w:rPr>
        <w:lastRenderedPageBreak/>
        <w:drawing>
          <wp:inline distT="0" distB="0" distL="0" distR="0" wp14:anchorId="5A30F73B" wp14:editId="23897C9C">
            <wp:extent cx="4670459" cy="7102033"/>
            <wp:effectExtent l="0" t="0" r="0" b="0"/>
            <wp:docPr id="8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4670459" cy="7102033"/>
                    </a:xfrm>
                    <a:prstGeom prst="rect">
                      <a:avLst/>
                    </a:prstGeom>
                    <a:ln/>
                  </pic:spPr>
                </pic:pic>
              </a:graphicData>
            </a:graphic>
          </wp:inline>
        </w:drawing>
      </w:r>
    </w:p>
    <w:p w14:paraId="305A6EED" w14:textId="77777777" w:rsidR="00C50EBF" w:rsidRDefault="000C2D7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Es de precisar que este requerimiento no fue atendido por la particular.</w:t>
      </w:r>
    </w:p>
    <w:p w14:paraId="185E4FAB" w14:textId="77777777" w:rsidR="00C50EBF" w:rsidRDefault="000C2D77">
      <w:pPr>
        <w:spacing w:before="240" w:after="240"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rPr>
        <w:t xml:space="preserve">3. Respuesta a la solicitud de información. </w:t>
      </w:r>
      <w:r>
        <w:rPr>
          <w:rFonts w:ascii="Palatino Linotype" w:eastAsia="Palatino Linotype" w:hAnsi="Palatino Linotype" w:cs="Palatino Linotype"/>
        </w:rPr>
        <w:t>En fecha</w:t>
      </w:r>
      <w:r>
        <w:rPr>
          <w:rFonts w:ascii="Palatino Linotype" w:eastAsia="Palatino Linotype" w:hAnsi="Palatino Linotype" w:cs="Palatino Linotype"/>
          <w:b/>
        </w:rPr>
        <w:t xml:space="preserve"> quince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la respuesta a la solicitud de información sustancialmente en los siguientes términos: </w:t>
      </w:r>
    </w:p>
    <w:p w14:paraId="7523173A" w14:textId="77777777" w:rsidR="00C50EBF" w:rsidRDefault="000C2D7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3F108B" w14:textId="77777777" w:rsidR="00C50EBF" w:rsidRDefault="000C2D7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la efectuó, (1) Dirección de Administración, (2)INDE y (3)MAVICI 1.- “</w:t>
      </w:r>
      <w:proofErr w:type="spellStart"/>
      <w:r>
        <w:rPr>
          <w:rFonts w:ascii="Palatino Linotype" w:eastAsia="Palatino Linotype" w:hAnsi="Palatino Linotype" w:cs="Palatino Linotype"/>
          <w:i/>
          <w:sz w:val="22"/>
          <w:szCs w:val="22"/>
        </w:rPr>
        <w:t>on</w:t>
      </w:r>
      <w:proofErr w:type="spellEnd"/>
      <w:r>
        <w:rPr>
          <w:rFonts w:ascii="Palatino Linotype" w:eastAsia="Palatino Linotype" w:hAnsi="Palatino Linotype" w:cs="Palatino Linotype"/>
          <w:i/>
          <w:sz w:val="22"/>
          <w:szCs w:val="22"/>
        </w:rPr>
        <w:t xml:space="preserve"> fundamento en lo dispuesto por el artículo 6° de la Constitución Política de los Estados Unidos Mexicanos; 5° de la Constitución Política del Estado Libre y Soberano de México; 3 fracción XLV, 12, 23 fracción IV, 24 fracción XI y XXV, 25 y 52 de la Ley de Transparencia y Acceso a la Información Pública del Estado de México y Municipios; 86 de la Ley Orgánica Municipal del Estado de México; 24 fracción X del Bando Municipal 2022 de Cuautitlán Izcalli; 39 y 40 del Reglamento Interior de la Administración Pública Municipal de Cuautitlán Izcalli, Estado de México; y en atención a la Solicitud de Información Pública marcada con el número de folio 00073/CUAUTIZC/IP/2022 turnada a través del Sistema SAIMEX a esta Unidad Administrativa, se informa que esta Dirección de Administración es competente para atender lo siguiente: requiero conocer el listado con número de certificado, número de nómina, monto bruto de percepciones económicas así como departamento al que está adscrito de la cantidad total de empleados sindicalizados así como personal de confianza que están </w:t>
      </w:r>
      <w:r>
        <w:rPr>
          <w:rFonts w:ascii="Palatino Linotype" w:eastAsia="Palatino Linotype" w:hAnsi="Palatino Linotype" w:cs="Palatino Linotype"/>
          <w:i/>
          <w:sz w:val="22"/>
          <w:szCs w:val="22"/>
        </w:rPr>
        <w:lastRenderedPageBreak/>
        <w:t xml:space="preserve">activos en nómina municipal, que cuentan con Estándares de Competencia de Marca enlistados a continuación: ECM0059 ECM0060 ECM0061 ECM0062 ECM0063 ECM0064 ECM0065 ECM0066 ECM0067 ECM0068 ECM0069 ECM0070 ECM0071 avalados por el Instituto Hacendario del Estado de México En ese sentido, la persona encargada del despacho de la Subdirección de Recursos Humanos refiere que no cuenta con una base de datos en el que conste el listado de personal sindicalizado y de confianza en el que consten que cuentan con Estándares de Competencia de Marca ECM0059 ECM0060 ECM0061 ECM0062 ECM0063 ECM0064 ECM0065 ECM0066 ECM0067 ECM0068 ECM0069 ECM0070 ECM0071, avalados por el Instituto Hacendario del Estado de México, y en consecuencia con demás datos solicitados por el peticionario. Lo anterior, conforme a lo establecido en el artículo 12 de la Ley de Transparencia y Acceso a la Información Pública del Estado de México y Municipios, que enuncia que los sujetos obligados sólo </w:t>
      </w:r>
      <w:proofErr w:type="gramStart"/>
      <w:r>
        <w:rPr>
          <w:rFonts w:ascii="Palatino Linotype" w:eastAsia="Palatino Linotype" w:hAnsi="Palatino Linotype" w:cs="Palatino Linotype"/>
          <w:i/>
          <w:sz w:val="22"/>
          <w:szCs w:val="22"/>
        </w:rPr>
        <w:t>proporcionarán</w:t>
      </w:r>
      <w:proofErr w:type="gramEnd"/>
      <w:r>
        <w:rPr>
          <w:rFonts w:ascii="Palatino Linotype" w:eastAsia="Palatino Linotype" w:hAnsi="Palatino Linotype" w:cs="Palatino Linotype"/>
          <w:i/>
          <w:sz w:val="22"/>
          <w:szCs w:val="22"/>
        </w:rPr>
        <w:t xml:space="preserve">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 2.- “En atención a su solicitud de información pública mediante número 00073/CUAUTIZC/IP/2022, turnada a través del Sistema SAIMEX a esta unidad Administrativa, la cual solicita la siguiente información: “Requiero conocer el listado con número de certificado, número de nómina, monto bruto de percepciones económicas así como departamento al que está adscrito de la cantidad total de empleados sindicalizados así como personal de confianza que están activos en nómina municipal, que cuentan con Estándares de Competencia de Marca enlistados a continuación: ECM0059 ECM0060 ECM0061 ECM0062 ECM0063 ECM0064 ECM0065 ECM0066 ECM0067 ECM0068 ECM0069 ECM0070 ECM0071 avalados por el Instituto Hacendario del Estado de México. ” (SIC). Por lo que con fundamento en el artículo 12 párrafo segundo de La Ley de Transparencia y Acceso a la Información Pública del Estado de México y Municipios que, a la letra versa “Quienes generen, recopilen, administren, manejen, procesen, archiven o conserven información pública serán responsables de la misma en los términos de las disposiciones Jurídicas aplicables. Los sujetos Obligados solo proporcionarán información pública que se les requiera ya que abre en sus archivos y en el estado en que esta se encuentre. La obligación de </w:t>
      </w:r>
      <w:r>
        <w:rPr>
          <w:rFonts w:ascii="Palatino Linotype" w:eastAsia="Palatino Linotype" w:hAnsi="Palatino Linotype" w:cs="Palatino Linotype"/>
          <w:i/>
          <w:sz w:val="22"/>
          <w:szCs w:val="22"/>
        </w:rPr>
        <w:lastRenderedPageBreak/>
        <w:t>proporcionar información no comprende el procedimiento de la misma, ni presentarla conforme al interés del solicitante, no estarán obligados a generarla, resumirla, efectuar cálculos o practicar investigaciones. Al respecto me permito dar respuesta en los siguientes términos. ”SIC 3.- “Cuautitlán Izcalli, Estado de México a 31 de enero de 2022 MAVICI/DIR/0041/2022 ASUNTO: Respuesta a solicitud 00073/CUAUTIZC/IP/2022 C. MARÌA ISABEL CISNEROS MÀRQUEZ TITULAR DE LA COORDINACIÒN DE LA UNIDAD DE TRANSPARENCIA P R E S E N T E En respuesta a la solicitud del Sistema de Acceso a la Información Mexiquense SAIMEX, folio 00073/CUAUTIZC/IP/2022; en el que se solicita lo siguiente: “requiero conocer el listado con número de certificado, número de nómina, monto bruto de percepciones económicas así como departamento al que está adscrito de la cantidad total de empleados sindicalizados así como personal de confianza que están activos en nómina municipal, que cuentan con Estándares de Competencia de Marca enlistados a continuación: ECM0059 ECM0060 ECM0061 ECM0062 ECM0063 ECM0064 ECM0065 ECM0066 ECM0067 ECM0068 ECM0069 ECM0070 ECM0071 avalados por el Instituto Hacendario del Estado de México. ” Le informo que en este organismo a mi cargo no contamos con ningún empleado sindicalizado y personal de confianza que estén certificados con los estándares de competencia de marcas.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346A83BB" w14:textId="77777777" w:rsidR="00C50EBF" w:rsidRDefault="000C2D7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754C719A" w14:textId="77777777" w:rsidR="00C50EBF" w:rsidRDefault="000C2D7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MTRA. MARÍA ISABEL CISNEROS MÁRQUEZ”</w:t>
      </w:r>
    </w:p>
    <w:p w14:paraId="10AF0487" w14:textId="77777777" w:rsidR="00C50EBF" w:rsidRDefault="000C2D77">
      <w:pPr>
        <w:spacing w:before="240" w:after="240" w:line="360" w:lineRule="auto"/>
        <w:ind w:left="567" w:right="90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Archivos adjuntos: </w:t>
      </w:r>
    </w:p>
    <w:p w14:paraId="254D71F5" w14:textId="77777777" w:rsidR="00C50EBF" w:rsidRDefault="000C2D77">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 “RESPUESTA SAIMEX 00073-CUAUTIZC-IP-2022.PDF”: </w:t>
      </w:r>
      <w:r>
        <w:rPr>
          <w:rFonts w:ascii="Palatino Linotype" w:eastAsia="Palatino Linotype" w:hAnsi="Palatino Linotype" w:cs="Palatino Linotype"/>
          <w:color w:val="000000"/>
          <w:sz w:val="22"/>
          <w:szCs w:val="22"/>
        </w:rPr>
        <w:t xml:space="preserve">Oficio MAVICI/DIR/0041/2022 signado por el Director del Organismo Público Descentralizado de carácter Municipal para el mantenimiento de vialidades </w:t>
      </w:r>
      <w:r>
        <w:rPr>
          <w:rFonts w:ascii="Palatino Linotype" w:eastAsia="Palatino Linotype" w:hAnsi="Palatino Linotype" w:cs="Palatino Linotype"/>
          <w:color w:val="000000"/>
          <w:sz w:val="22"/>
          <w:szCs w:val="22"/>
        </w:rPr>
        <w:lastRenderedPageBreak/>
        <w:t>de Cuautitlán Izcalli, mediante el cual manifiesta que en el organismo a su cargo, no se cuenta con ningún empleado sindicalizado y de confianza que estén certificados con los estándares de competencia de marcas.</w:t>
      </w:r>
    </w:p>
    <w:p w14:paraId="27197F59" w14:textId="77777777" w:rsidR="00C50EBF" w:rsidRDefault="000C2D77">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rPr>
        <w:drawing>
          <wp:inline distT="0" distB="0" distL="0" distR="0" wp14:anchorId="6C7E2EE8" wp14:editId="3FDA6A00">
            <wp:extent cx="4743087" cy="5983587"/>
            <wp:effectExtent l="0" t="0" r="0" b="0"/>
            <wp:docPr id="8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4743087" cy="5983587"/>
                    </a:xfrm>
                    <a:prstGeom prst="rect">
                      <a:avLst/>
                    </a:prstGeom>
                    <a:ln/>
                  </pic:spPr>
                </pic:pic>
              </a:graphicData>
            </a:graphic>
          </wp:inline>
        </w:drawing>
      </w:r>
    </w:p>
    <w:p w14:paraId="18374DC7" w14:textId="77777777" w:rsidR="00C50EBF" w:rsidRDefault="000C2D77">
      <w:pPr>
        <w:spacing w:before="240" w:after="240" w:line="360" w:lineRule="auto"/>
        <w:ind w:left="567" w:right="90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lastRenderedPageBreak/>
        <w:t xml:space="preserve">“OFICIO DE CONTESTACION 73.pdf”: </w:t>
      </w:r>
      <w:r>
        <w:rPr>
          <w:rFonts w:ascii="Palatino Linotype" w:eastAsia="Palatino Linotype" w:hAnsi="Palatino Linotype" w:cs="Palatino Linotype"/>
          <w:color w:val="000000"/>
          <w:sz w:val="22"/>
          <w:szCs w:val="22"/>
        </w:rPr>
        <w:t xml:space="preserve">Oficio INMUDECI/CA/072/2022, signado por el Director General del Instituto Municipal del Deporte de Cuautitlán Izcalli, el cual manifiesta que una vez revisada la solicitud de información con el Titular de la Coordinación de Administración y Finanzas del Instituto Municipal del Deporte de Cuautitlán Izcalli, informa que no se encuentra dentro de los supuestos señalados. </w:t>
      </w:r>
    </w:p>
    <w:p w14:paraId="1CAF99F8" w14:textId="77777777" w:rsidR="00C50EBF" w:rsidRDefault="000C2D77">
      <w:pPr>
        <w:spacing w:before="240" w:after="240" w:line="360" w:lineRule="auto"/>
        <w:ind w:left="567" w:right="900"/>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noProof/>
          <w:color w:val="000000"/>
          <w:sz w:val="22"/>
          <w:szCs w:val="22"/>
          <w:lang w:val="es-MX"/>
        </w:rPr>
        <w:drawing>
          <wp:inline distT="0" distB="0" distL="0" distR="0" wp14:anchorId="3921553F" wp14:editId="4ED02428">
            <wp:extent cx="4180659" cy="5275932"/>
            <wp:effectExtent l="0" t="0" r="0" b="0"/>
            <wp:docPr id="8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4180659" cy="5275932"/>
                    </a:xfrm>
                    <a:prstGeom prst="rect">
                      <a:avLst/>
                    </a:prstGeom>
                    <a:ln/>
                  </pic:spPr>
                </pic:pic>
              </a:graphicData>
            </a:graphic>
          </wp:inline>
        </w:drawing>
      </w:r>
    </w:p>
    <w:p w14:paraId="17B28E4C" w14:textId="77777777" w:rsidR="00C50EBF" w:rsidRDefault="000C2D77">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lastRenderedPageBreak/>
        <w:t xml:space="preserve">“ACUSE 00073.CUAUTIZC.IP.22.pdf”: </w:t>
      </w:r>
      <w:r>
        <w:rPr>
          <w:rFonts w:ascii="Palatino Linotype" w:eastAsia="Palatino Linotype" w:hAnsi="Palatino Linotype" w:cs="Palatino Linotype"/>
          <w:color w:val="000000"/>
        </w:rPr>
        <w:t>Oficio DA/690/2022 signado por el Director de Administración, en el cual señala que la persona encargada de la Subdirección de Recursos Humanos no cuenta con una base en la que obre el listado de personal sindicalizado y de confianza en el que obre  que cuentan con Estándares de Competencia de Marcas, avalado por el Instituto Hacendario del Estado de México y Municipios, y, en consecuencia con más datos requeridos por el solicitante.</w:t>
      </w:r>
    </w:p>
    <w:p w14:paraId="3809ACDC" w14:textId="77777777" w:rsidR="00C50EBF" w:rsidRDefault="000C2D77">
      <w:pPr>
        <w:spacing w:before="240" w:after="240" w:line="360" w:lineRule="auto"/>
        <w:ind w:left="567" w:right="900"/>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inline distT="0" distB="0" distL="0" distR="0" wp14:anchorId="2207FD4E" wp14:editId="278D6CF5">
            <wp:extent cx="4851450" cy="6366495"/>
            <wp:effectExtent l="0" t="0" r="0" b="0"/>
            <wp:docPr id="9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4851450" cy="6366495"/>
                    </a:xfrm>
                    <a:prstGeom prst="rect">
                      <a:avLst/>
                    </a:prstGeom>
                    <a:ln/>
                  </pic:spPr>
                </pic:pic>
              </a:graphicData>
            </a:graphic>
          </wp:inline>
        </w:drawing>
      </w:r>
    </w:p>
    <w:p w14:paraId="6639570D" w14:textId="77777777" w:rsidR="00C50EBF" w:rsidRDefault="000C2D77">
      <w:pPr>
        <w:spacing w:before="240"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rPr>
        <w:lastRenderedPageBreak/>
        <w:t xml:space="preserve">4.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interpuso el recurso de revisión materia del presente estudio el día </w:t>
      </w:r>
      <w:r>
        <w:rPr>
          <w:rFonts w:ascii="Palatino Linotype" w:eastAsia="Palatino Linotype" w:hAnsi="Palatino Linotype" w:cs="Palatino Linotype"/>
          <w:b/>
        </w:rPr>
        <w:t>ocho de marzo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14:paraId="40CD737A" w14:textId="77777777" w:rsidR="00C50EBF" w:rsidRDefault="000C2D77">
      <w:pPr>
        <w:spacing w:before="240" w:after="240"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14:paraId="24D3DC6C" w14:textId="77777777" w:rsidR="00C50EBF" w:rsidRDefault="000C2D7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“no entrega el sustento legal de las respuestas que se adjuntan de las distintas </w:t>
      </w:r>
      <w:proofErr w:type="spellStart"/>
      <w:r>
        <w:rPr>
          <w:rFonts w:ascii="Palatino Linotype" w:eastAsia="Palatino Linotype" w:hAnsi="Palatino Linotype" w:cs="Palatino Linotype"/>
          <w:i/>
          <w:sz w:val="22"/>
          <w:szCs w:val="22"/>
        </w:rPr>
        <w:t>areas</w:t>
      </w:r>
      <w:proofErr w:type="spellEnd"/>
      <w:r>
        <w:rPr>
          <w:rFonts w:ascii="Palatino Linotype" w:eastAsia="Palatino Linotype" w:hAnsi="Palatino Linotype" w:cs="Palatino Linotype"/>
          <w:i/>
          <w:sz w:val="22"/>
          <w:szCs w:val="22"/>
        </w:rPr>
        <w:t xml:space="preserve"> de la </w:t>
      </w:r>
      <w:proofErr w:type="spellStart"/>
      <w:r>
        <w:rPr>
          <w:rFonts w:ascii="Palatino Linotype" w:eastAsia="Palatino Linotype" w:hAnsi="Palatino Linotype" w:cs="Palatino Linotype"/>
          <w:i/>
          <w:sz w:val="22"/>
          <w:szCs w:val="22"/>
        </w:rPr>
        <w:t>administracion</w:t>
      </w:r>
      <w:proofErr w:type="spellEnd"/>
      <w:r>
        <w:rPr>
          <w:rFonts w:ascii="Palatino Linotype" w:eastAsia="Palatino Linotype" w:hAnsi="Palatino Linotype" w:cs="Palatino Linotype"/>
          <w:i/>
          <w:sz w:val="22"/>
          <w:szCs w:val="22"/>
        </w:rPr>
        <w:t xml:space="preserve"> municipal, que clase de servidores </w:t>
      </w:r>
      <w:proofErr w:type="spellStart"/>
      <w:r>
        <w:rPr>
          <w:rFonts w:ascii="Palatino Linotype" w:eastAsia="Palatino Linotype" w:hAnsi="Palatino Linotype" w:cs="Palatino Linotype"/>
          <w:i/>
          <w:sz w:val="22"/>
          <w:szCs w:val="22"/>
        </w:rPr>
        <w:t>publicos</w:t>
      </w:r>
      <w:proofErr w:type="spellEnd"/>
      <w:r>
        <w:rPr>
          <w:rFonts w:ascii="Palatino Linotype" w:eastAsia="Palatino Linotype" w:hAnsi="Palatino Linotype" w:cs="Palatino Linotype"/>
          <w:i/>
          <w:sz w:val="22"/>
          <w:szCs w:val="22"/>
        </w:rPr>
        <w:t xml:space="preserve"> son, que ni idea tienen de lo que </w:t>
      </w:r>
      <w:proofErr w:type="spellStart"/>
      <w:r>
        <w:rPr>
          <w:rFonts w:ascii="Palatino Linotype" w:eastAsia="Palatino Linotype" w:hAnsi="Palatino Linotype" w:cs="Palatino Linotype"/>
          <w:i/>
          <w:sz w:val="22"/>
          <w:szCs w:val="22"/>
        </w:rPr>
        <w:t>esta</w:t>
      </w:r>
      <w:proofErr w:type="spellEnd"/>
      <w:r>
        <w:rPr>
          <w:rFonts w:ascii="Palatino Linotype" w:eastAsia="Palatino Linotype" w:hAnsi="Palatino Linotype" w:cs="Palatino Linotype"/>
          <w:i/>
          <w:sz w:val="22"/>
          <w:szCs w:val="22"/>
        </w:rPr>
        <w:t xml:space="preserve"> contenido en el </w:t>
      </w:r>
      <w:proofErr w:type="spellStart"/>
      <w:r>
        <w:rPr>
          <w:rFonts w:ascii="Palatino Linotype" w:eastAsia="Palatino Linotype" w:hAnsi="Palatino Linotype" w:cs="Palatino Linotype"/>
          <w:i/>
          <w:sz w:val="22"/>
          <w:szCs w:val="22"/>
        </w:rPr>
        <w:t>articulo</w:t>
      </w:r>
      <w:proofErr w:type="spellEnd"/>
      <w:r>
        <w:rPr>
          <w:rFonts w:ascii="Palatino Linotype" w:eastAsia="Palatino Linotype" w:hAnsi="Palatino Linotype" w:cs="Palatino Linotype"/>
          <w:i/>
          <w:sz w:val="22"/>
          <w:szCs w:val="22"/>
        </w:rPr>
        <w:t xml:space="preserve"> 32 de la Ley </w:t>
      </w:r>
      <w:proofErr w:type="spellStart"/>
      <w:r>
        <w:rPr>
          <w:rFonts w:ascii="Palatino Linotype" w:eastAsia="Palatino Linotype" w:hAnsi="Palatino Linotype" w:cs="Palatino Linotype"/>
          <w:i/>
          <w:sz w:val="22"/>
          <w:szCs w:val="22"/>
        </w:rPr>
        <w:t>Organica</w:t>
      </w:r>
      <w:proofErr w:type="spellEnd"/>
      <w:r>
        <w:rPr>
          <w:rFonts w:ascii="Palatino Linotype" w:eastAsia="Palatino Linotype" w:hAnsi="Palatino Linotype" w:cs="Palatino Linotype"/>
          <w:i/>
          <w:sz w:val="22"/>
          <w:szCs w:val="22"/>
        </w:rPr>
        <w:t xml:space="preserve"> Municipal del Estado de </w:t>
      </w:r>
      <w:proofErr w:type="spellStart"/>
      <w:r>
        <w:rPr>
          <w:rFonts w:ascii="Palatino Linotype" w:eastAsia="Palatino Linotype" w:hAnsi="Palatino Linotype" w:cs="Palatino Linotype"/>
          <w:i/>
          <w:sz w:val="22"/>
          <w:szCs w:val="22"/>
        </w:rPr>
        <w:t>Mexico</w:t>
      </w:r>
      <w:proofErr w:type="spellEnd"/>
      <w:r>
        <w:rPr>
          <w:rFonts w:ascii="Palatino Linotype" w:eastAsia="Palatino Linotype" w:hAnsi="Palatino Linotype" w:cs="Palatino Linotype"/>
          <w:i/>
          <w:sz w:val="22"/>
          <w:szCs w:val="22"/>
        </w:rPr>
        <w:t>.” (Sic)</w:t>
      </w:r>
    </w:p>
    <w:p w14:paraId="6EBBF18D" w14:textId="77777777" w:rsidR="00C50EBF" w:rsidRDefault="000C2D77">
      <w:pPr>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La particular no expresó razones o motivos de inconformidad</w:t>
      </w:r>
    </w:p>
    <w:p w14:paraId="3B2E91A7" w14:textId="77777777" w:rsidR="00C50EBF" w:rsidRDefault="000C2D77">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14:paraId="04968F02" w14:textId="77777777" w:rsidR="00C50EBF" w:rsidRDefault="000C2D77">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Pr>
          <w:rFonts w:ascii="Palatino Linotype" w:eastAsia="Palatino Linotype" w:hAnsi="Palatino Linotype" w:cs="Palatino Linotype"/>
          <w:b/>
        </w:rPr>
        <w:t xml:space="preserve"> once de marzo de dos mil veintidós </w:t>
      </w:r>
      <w:r>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14:paraId="1EF90350" w14:textId="77777777" w:rsidR="006E7798" w:rsidRDefault="006E7798">
      <w:pPr>
        <w:widowControl w:val="0"/>
        <w:spacing w:before="240" w:after="240" w:line="360" w:lineRule="auto"/>
        <w:ind w:right="49"/>
        <w:jc w:val="both"/>
        <w:rPr>
          <w:rFonts w:ascii="Palatino Linotype" w:eastAsia="Palatino Linotype" w:hAnsi="Palatino Linotype" w:cs="Palatino Linotype"/>
          <w:b/>
        </w:rPr>
      </w:pPr>
    </w:p>
    <w:p w14:paraId="5200E7C2" w14:textId="77777777" w:rsidR="00C50EBF" w:rsidRDefault="000C2D77">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7.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el </w:t>
      </w:r>
      <w:r>
        <w:rPr>
          <w:rFonts w:ascii="Palatino Linotype" w:eastAsia="Palatino Linotype" w:hAnsi="Palatino Linotype" w:cs="Palatino Linotype"/>
          <w:b/>
        </w:rPr>
        <w:t xml:space="preserve">diecisiete de marzo de dos mil veintidós </w:t>
      </w:r>
      <w:r>
        <w:rPr>
          <w:rFonts w:ascii="Palatino Linotype" w:eastAsia="Palatino Linotype" w:hAnsi="Palatino Linotype" w:cs="Palatino Linotype"/>
        </w:rPr>
        <w:t xml:space="preserve">mediante el documento electrónico </w:t>
      </w:r>
      <w:r>
        <w:rPr>
          <w:rFonts w:ascii="Palatino Linotype" w:eastAsia="Palatino Linotype" w:hAnsi="Palatino Linotype" w:cs="Palatino Linotype"/>
          <w:b/>
          <w:i/>
        </w:rPr>
        <w:t>“73-3584 INFORME JUSTIFICADO.pdf”</w:t>
      </w:r>
      <w:r>
        <w:rPr>
          <w:rFonts w:ascii="Palatino Linotype" w:eastAsia="Palatino Linotype" w:hAnsi="Palatino Linotype" w:cs="Palatino Linotype"/>
        </w:rPr>
        <w:t>, el cual consta de once fojas y medularmente ratifica la respuesta emitida inicialmente.</w:t>
      </w:r>
    </w:p>
    <w:p w14:paraId="07C7D333" w14:textId="77777777" w:rsidR="00C50EBF" w:rsidRDefault="000C2D77">
      <w:pPr>
        <w:spacing w:before="240" w:after="240" w:line="360" w:lineRule="auto"/>
        <w:ind w:right="49"/>
        <w:jc w:val="both"/>
        <w:rPr>
          <w:rFonts w:ascii="Palatino Linotype" w:eastAsia="Palatino Linotype" w:hAnsi="Palatino Linotype" w:cs="Palatino Linotype"/>
        </w:rPr>
      </w:pPr>
      <w:bookmarkStart w:id="1" w:name="_heading=h.1fob9te" w:colFirst="0" w:colLast="0"/>
      <w:bookmarkEnd w:id="1"/>
      <w:r>
        <w:rPr>
          <w:rFonts w:ascii="Palatino Linotype" w:eastAsia="Palatino Linotype" w:hAnsi="Palatino Linotype" w:cs="Palatino Linotype"/>
        </w:rPr>
        <w:t xml:space="preserve">Es de señalar que esta documentación se puso a la </w:t>
      </w:r>
      <w:r w:rsidRPr="006E7798">
        <w:rPr>
          <w:rFonts w:ascii="Palatino Linotype" w:eastAsia="Palatino Linotype" w:hAnsi="Palatino Linotype" w:cs="Palatino Linotype"/>
        </w:rPr>
        <w:t>vista d</w:t>
      </w:r>
      <w:r w:rsidR="006E7798">
        <w:rPr>
          <w:rFonts w:ascii="Palatino Linotype" w:eastAsia="Palatino Linotype" w:hAnsi="Palatino Linotype" w:cs="Palatino Linotype"/>
        </w:rPr>
        <w:t xml:space="preserve">e </w:t>
      </w:r>
      <w:r w:rsidR="006E7798" w:rsidRPr="006E7798">
        <w:rPr>
          <w:rFonts w:ascii="Palatino Linotype" w:eastAsia="Palatino Linotype" w:hAnsi="Palatino Linotype" w:cs="Palatino Linotype"/>
        </w:rPr>
        <w:t xml:space="preserve">la </w:t>
      </w:r>
      <w:r w:rsidRPr="006E7798">
        <w:rPr>
          <w:rFonts w:ascii="Palatino Linotype" w:eastAsia="Palatino Linotype" w:hAnsi="Palatino Linotype" w:cs="Palatino Linotype"/>
        </w:rPr>
        <w:t>particular</w:t>
      </w:r>
      <w:r>
        <w:rPr>
          <w:rFonts w:ascii="Palatino Linotype" w:eastAsia="Palatino Linotype" w:hAnsi="Palatino Linotype" w:cs="Palatino Linotype"/>
        </w:rPr>
        <w:t xml:space="preserve"> mediante acuerdo emitido por la Comisionada Ponente, en fecha </w:t>
      </w:r>
      <w:r>
        <w:rPr>
          <w:rFonts w:ascii="Palatino Linotype" w:eastAsia="Palatino Linotype" w:hAnsi="Palatino Linotype" w:cs="Palatino Linotype"/>
          <w:b/>
        </w:rPr>
        <w:t>ocho de junio de dos mil veintidós</w:t>
      </w:r>
      <w:r>
        <w:rPr>
          <w:rFonts w:ascii="Palatino Linotype" w:eastAsia="Palatino Linotype" w:hAnsi="Palatino Linotype" w:cs="Palatino Linotype"/>
        </w:rPr>
        <w:t xml:space="preserve">, asimismo por cuanto hace a la parte Recurrente, se tiene que fue omiso en presentar manifestaciones, pruebas y/o alegatos en la etapa procedimental previamente reconocida en nuestra Ley de Transparencia, por lo cual se tiene por </w:t>
      </w:r>
      <w:proofErr w:type="spellStart"/>
      <w:r>
        <w:rPr>
          <w:rFonts w:ascii="Palatino Linotype" w:eastAsia="Palatino Linotype" w:hAnsi="Palatino Linotype" w:cs="Palatino Linotype"/>
        </w:rPr>
        <w:t>precluido</w:t>
      </w:r>
      <w:proofErr w:type="spellEnd"/>
      <w:r>
        <w:rPr>
          <w:rFonts w:ascii="Palatino Linotype" w:eastAsia="Palatino Linotype" w:hAnsi="Palatino Linotype" w:cs="Palatino Linotype"/>
        </w:rPr>
        <w:t xml:space="preserve"> su derecho.</w:t>
      </w:r>
    </w:p>
    <w:p w14:paraId="17FDF737" w14:textId="77777777" w:rsidR="00C50EBF" w:rsidRDefault="000C2D77">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7799C1C0" wp14:editId="60AADF47">
            <wp:extent cx="5581650" cy="2333625"/>
            <wp:effectExtent l="0" t="0" r="0" b="0"/>
            <wp:docPr id="8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5581650" cy="2333625"/>
                    </a:xfrm>
                    <a:prstGeom prst="rect">
                      <a:avLst/>
                    </a:prstGeom>
                    <a:ln/>
                  </pic:spPr>
                </pic:pic>
              </a:graphicData>
            </a:graphic>
          </wp:inline>
        </w:drawing>
      </w:r>
    </w:p>
    <w:p w14:paraId="0501A87D" w14:textId="77777777" w:rsidR="00C50EBF" w:rsidRDefault="000C2D7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ocho de junio de dos mil veintidós</w:t>
      </w:r>
      <w:r>
        <w:rPr>
          <w:rFonts w:ascii="Palatino Linotype" w:eastAsia="Palatino Linotype" w:hAnsi="Palatino Linotype" w:cs="Palatino Linotype"/>
        </w:rPr>
        <w:t xml:space="preserve">, se notificó a las partes el Acuerdo de Ampliación de Plazo para resolver el medio de impugnación que nos ocupa, en términos de lo dispuesto por el artículo </w:t>
      </w:r>
      <w:r>
        <w:rPr>
          <w:rFonts w:ascii="Palatino Linotype" w:eastAsia="Palatino Linotype" w:hAnsi="Palatino Linotype" w:cs="Palatino Linotype"/>
        </w:rPr>
        <w:lastRenderedPageBreak/>
        <w:t>181, párrafo tercero de la Ley de Transparencia y Acceso a la Información Pública del Estado de México y Municipios.</w:t>
      </w:r>
    </w:p>
    <w:p w14:paraId="2BA97D08" w14:textId="77777777" w:rsidR="00C50EBF" w:rsidRDefault="000C2D7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sidR="000559A7">
        <w:rPr>
          <w:rFonts w:ascii="Palatino Linotype" w:eastAsia="Palatino Linotype" w:hAnsi="Palatino Linotype" w:cs="Palatino Linotype"/>
          <w:b/>
        </w:rPr>
        <w:t>catorce</w:t>
      </w:r>
      <w:r>
        <w:rPr>
          <w:rFonts w:ascii="Palatino Linotype" w:eastAsia="Palatino Linotype" w:hAnsi="Palatino Linotype" w:cs="Palatino Linotype"/>
          <w:b/>
          <w:color w:val="000000"/>
        </w:rPr>
        <w:t xml:space="preserve"> de junio </w:t>
      </w:r>
      <w:r>
        <w:rPr>
          <w:rFonts w:ascii="Palatino Linotype" w:eastAsia="Palatino Linotype" w:hAnsi="Palatino Linotype" w:cs="Palatino Linotype"/>
          <w:b/>
        </w:rPr>
        <w:t>de dos mil veintidós</w:t>
      </w:r>
      <w:r>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14:paraId="202E6989" w14:textId="77777777" w:rsidR="00C50EBF" w:rsidRDefault="000C2D7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F936724" w14:textId="77777777" w:rsidR="00C50EBF" w:rsidRDefault="000C2D77">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14:paraId="44E896A9" w14:textId="77777777" w:rsidR="00C50EBF" w:rsidRDefault="000C2D77">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highlight w:val="white"/>
        </w:rPr>
        <w:t>la parte Recurrente</w:t>
      </w:r>
      <w:r>
        <w:rPr>
          <w:rFonts w:ascii="Palatino Linotype" w:eastAsia="Palatino Linotype" w:hAnsi="Palatino Linotype" w:cs="Palatino Linotype"/>
          <w:highlight w:val="white"/>
        </w:rPr>
        <w:t xml:space="preserv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w:t>
      </w:r>
      <w:r>
        <w:rPr>
          <w:rFonts w:ascii="Palatino Linotype" w:eastAsia="Palatino Linotype" w:hAnsi="Palatino Linotype" w:cs="Palatino Linotype"/>
          <w:highlight w:val="white"/>
        </w:rPr>
        <w:lastRenderedPageBreak/>
        <w:t>del Instituto de Transparencia, Acceso a la Información Pública y Protección de Datos Personales del Estado de México y Municipios.</w:t>
      </w:r>
    </w:p>
    <w:p w14:paraId="29E8AF48" w14:textId="77777777" w:rsidR="00C50EBF" w:rsidRDefault="000C2D7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 conformidad con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w:t>
      </w:r>
      <w:r>
        <w:rPr>
          <w:rFonts w:ascii="Palatino Linotype" w:eastAsia="Palatino Linotype" w:hAnsi="Palatino Linotype" w:cs="Palatino Linotype"/>
          <w:b/>
        </w:rPr>
        <w:t>quince de febrero del año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presentó su recurso de revisión el </w:t>
      </w:r>
      <w:r>
        <w:rPr>
          <w:rFonts w:ascii="Palatino Linotype" w:eastAsia="Palatino Linotype" w:hAnsi="Palatino Linotype" w:cs="Palatino Linotype"/>
          <w:b/>
        </w:rPr>
        <w:t>siete de marzo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décimo cuarto día hábil</w:t>
      </w:r>
      <w:r>
        <w:rPr>
          <w:rFonts w:ascii="Palatino Linotype" w:eastAsia="Palatino Linotype" w:hAnsi="Palatino Linotype" w:cs="Palatino Linotype"/>
        </w:rPr>
        <w:t xml:space="preserve"> en el que tuvo conocimiento de la respuesta. </w:t>
      </w:r>
    </w:p>
    <w:p w14:paraId="5E99277C" w14:textId="77777777" w:rsidR="00C50EBF" w:rsidRDefault="000C2D77">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las cosas, por cuanto hace a la </w:t>
      </w:r>
      <w:proofErr w:type="spellStart"/>
      <w:r>
        <w:rPr>
          <w:rFonts w:ascii="Palatino Linotype" w:eastAsia="Palatino Linotype" w:hAnsi="Palatino Linotype" w:cs="Palatino Linotype"/>
          <w:color w:val="000000"/>
        </w:rPr>
        <w:t>procedibilidad</w:t>
      </w:r>
      <w:proofErr w:type="spellEnd"/>
      <w:r>
        <w:rPr>
          <w:rFonts w:ascii="Palatino Linotype" w:eastAsia="Palatino Linotype" w:hAnsi="Palatino Linotype" w:cs="Palatino Linotype"/>
          <w:color w:val="000000"/>
        </w:rPr>
        <w:t xml:space="preserve">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48CA114" w14:textId="77777777" w:rsidR="00C50EBF" w:rsidRDefault="000C2D7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I del ordenamiento legal citado, que a la letra dice: </w:t>
      </w:r>
    </w:p>
    <w:p w14:paraId="120C5EB9" w14:textId="77777777" w:rsidR="00C50EBF" w:rsidRDefault="000C2D77">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7F9AAC9B" w14:textId="77777777" w:rsidR="00C50EBF" w:rsidRDefault="000C2D77">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r>
        <w:rPr>
          <w:rFonts w:ascii="Palatino Linotype" w:eastAsia="Palatino Linotype" w:hAnsi="Palatino Linotype" w:cs="Palatino Linotype"/>
          <w:i/>
          <w:sz w:val="22"/>
          <w:szCs w:val="22"/>
        </w:rPr>
        <w:t>” </w:t>
      </w:r>
    </w:p>
    <w:p w14:paraId="6BDCA87F" w14:textId="77777777" w:rsidR="00C50EBF" w:rsidRDefault="000C2D77">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14:paraId="0B390973" w14:textId="77777777" w:rsidR="00C50EBF" w:rsidRDefault="000C2D7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14:paraId="262C3741" w14:textId="77777777" w:rsidR="00C50EBF" w:rsidRDefault="000C2D7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9506E1E" w14:textId="77777777" w:rsidR="00C50EBF" w:rsidRDefault="000C2D77">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xml:space="preserve">, así como de las garantías para su protección, cuyo ejercicio no podrá restringirse ni </w:t>
      </w:r>
      <w:r>
        <w:rPr>
          <w:rFonts w:ascii="Palatino Linotype" w:eastAsia="Palatino Linotype" w:hAnsi="Palatino Linotype" w:cs="Palatino Linotype"/>
          <w:i/>
          <w:sz w:val="22"/>
          <w:szCs w:val="22"/>
        </w:rPr>
        <w:lastRenderedPageBreak/>
        <w:t>suspenderse, salvo en los casos y bajo las condiciones que esta Constitución establece.</w:t>
      </w:r>
    </w:p>
    <w:p w14:paraId="6D9D1C88" w14:textId="77777777" w:rsidR="00C50EBF" w:rsidRDefault="000C2D77">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F5C90FB" w14:textId="77777777" w:rsidR="00C50EBF" w:rsidRDefault="000C2D77">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D32C586" w14:textId="77777777" w:rsidR="00C50EBF" w:rsidRDefault="000C2D77">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FD0856F" w14:textId="77777777" w:rsidR="00C50EBF" w:rsidRDefault="000C2D77">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7D9BF8C5" w14:textId="77777777" w:rsidR="00C50EBF" w:rsidRDefault="000C2D77">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3A38ABC" w14:textId="77777777" w:rsidR="00C50EBF" w:rsidRDefault="000C2D77">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140E412A" w14:textId="77777777" w:rsidR="00C50EBF" w:rsidRDefault="000C2D77">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1E6AD32" w14:textId="77777777" w:rsidR="00C50EBF" w:rsidRDefault="000C2D77">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lastRenderedPageBreak/>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098F0ED7" w14:textId="77777777" w:rsidR="00C50EBF" w:rsidRDefault="000C2D77">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50390002" w14:textId="77777777" w:rsidR="00C50EBF" w:rsidRDefault="000C2D77">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35C23C83" w14:textId="77777777" w:rsidR="00C50EBF" w:rsidRDefault="000C2D77">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7983871" w14:textId="77777777" w:rsidR="00C50EBF" w:rsidRDefault="000C2D77">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5BA3280" w14:textId="77777777" w:rsidR="00C50EBF" w:rsidRDefault="000C2D77">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3301E41" w14:textId="77777777" w:rsidR="00C50EBF" w:rsidRDefault="000C2D7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w:t>
      </w:r>
      <w:r>
        <w:rPr>
          <w:rFonts w:ascii="Palatino Linotype" w:eastAsia="Palatino Linotype" w:hAnsi="Palatino Linotype" w:cs="Palatino Linotype"/>
        </w:rPr>
        <w:lastRenderedPageBreak/>
        <w:t>privilegiando el principio de máxima publicidad, como así lo establece dicha determinación, que a continuación se transcribe para un mejor entendimiento:</w:t>
      </w:r>
    </w:p>
    <w:p w14:paraId="1805A7F0" w14:textId="77777777" w:rsidR="00C50EBF" w:rsidRDefault="000C2D77">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C0873A3" w14:textId="77777777" w:rsidR="00C50EBF" w:rsidRDefault="000C2D77">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B48F8B3" w14:textId="77777777" w:rsidR="00C50EBF" w:rsidRDefault="000C2D77">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1979C59E" w14:textId="77777777" w:rsidR="00C50EBF" w:rsidRDefault="000C2D7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F9F0906" w14:textId="77777777" w:rsidR="00C50EBF" w:rsidRDefault="000C2D77">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32A2816" w14:textId="77777777" w:rsidR="00C50EBF" w:rsidRDefault="000C2D77">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350A60A" w14:textId="77777777" w:rsidR="00C50EBF" w:rsidRDefault="000C2D7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07FEA381" w14:textId="77777777" w:rsidR="00C50EBF" w:rsidRDefault="000C2D77">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4ED3457C" w14:textId="77777777" w:rsidR="00C50EBF" w:rsidRDefault="000C2D77">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14:paraId="1A1D73AD" w14:textId="77777777" w:rsidR="00C50EBF" w:rsidRDefault="000C2D7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w:t>
      </w:r>
      <w:r>
        <w:rPr>
          <w:rFonts w:ascii="Palatino Linotype" w:eastAsia="Palatino Linotype" w:hAnsi="Palatino Linotype" w:cs="Palatino Linotype"/>
          <w:i/>
          <w:sz w:val="22"/>
          <w:szCs w:val="22"/>
        </w:rPr>
        <w:lastRenderedPageBreak/>
        <w:t>necesidad de elaborar documentos ad hoc para atender las solicitudes de información."(Sic)</w:t>
      </w:r>
    </w:p>
    <w:p w14:paraId="76EB6E37" w14:textId="77777777" w:rsidR="00C50EBF" w:rsidRDefault="000C2D77">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0F020ED" w14:textId="77777777" w:rsidR="00C50EBF" w:rsidRDefault="000C2D7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72C0222" w14:textId="77777777" w:rsidR="00C50EBF" w:rsidRDefault="000C2D7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w:t>
      </w:r>
      <w:r>
        <w:rPr>
          <w:rFonts w:ascii="Palatino Linotype" w:eastAsia="Palatino Linotype" w:hAnsi="Palatino Linotype" w:cs="Palatino Linotype"/>
        </w:rPr>
        <w:lastRenderedPageBreak/>
        <w:t xml:space="preserve">electrónico, informático u holográfico de conformidad con el artículo 3, fracción XI de la Ley de la materia, el cual señala lo siguiente: </w:t>
      </w:r>
    </w:p>
    <w:p w14:paraId="4E5AAA9E" w14:textId="77777777" w:rsidR="00C50EBF" w:rsidRDefault="000C2D7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07504831" w14:textId="77777777" w:rsidR="00C50EBF" w:rsidRDefault="000C2D7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DEE3CA5" w14:textId="77777777" w:rsidR="00C50EBF" w:rsidRDefault="000C2D77">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27994C4D" w14:textId="77777777" w:rsidR="00C50EBF" w:rsidRDefault="000C2D7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F10EEF4" w14:textId="77777777" w:rsidR="00C50EBF" w:rsidRDefault="000C2D77">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07ABDD56" w14:textId="77777777" w:rsidR="00C50EBF" w:rsidRDefault="000C2D7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756E5C9" w14:textId="77777777" w:rsidR="00C50EBF" w:rsidRDefault="000C2D77">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0BBA3D0B" w14:textId="77777777" w:rsidR="00C50EBF" w:rsidRDefault="000C2D77">
      <w:pPr>
        <w:numPr>
          <w:ilvl w:val="0"/>
          <w:numId w:val="4"/>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02C48D7E" w14:textId="77777777" w:rsidR="00C50EBF" w:rsidRDefault="000C2D77">
      <w:pPr>
        <w:numPr>
          <w:ilvl w:val="0"/>
          <w:numId w:val="4"/>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4974BA9E" w14:textId="77777777" w:rsidR="00C50EBF" w:rsidRDefault="000C2D77">
      <w:pPr>
        <w:spacing w:before="240" w:after="240" w:line="276" w:lineRule="auto"/>
        <w:ind w:left="567" w:right="567"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1E2820CF" w14:textId="77777777" w:rsidR="00C50EBF" w:rsidRDefault="000C2D7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047F74C7" w14:textId="77777777" w:rsidR="00C50EBF" w:rsidRDefault="000C2D7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14:paraId="28AFA606" w14:textId="77777777" w:rsidR="00C50EBF" w:rsidRDefault="000C2D77">
      <w:pPr>
        <w:pBdr>
          <w:top w:val="nil"/>
          <w:left w:val="nil"/>
          <w:bottom w:val="nil"/>
          <w:right w:val="nil"/>
          <w:between w:val="nil"/>
        </w:pBdr>
        <w:tabs>
          <w:tab w:val="left" w:pos="7513"/>
        </w:tabs>
        <w:spacing w:before="240" w:after="240" w:line="360" w:lineRule="auto"/>
        <w:ind w:left="567" w:right="851"/>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Listado de los servidores públicos sindicalizados así como personal de confianza que están activos en nómina municipal, que cuentan con Estándares de Competencia de Marca enlistados a continuación: ECM0059 ECM0060 ECM0061 ECM0062 ECM0063 ECM0064 ECM0065 ECM0066 ECM0067 ECM0068 ECM0069 ECM0070 ECM0071 avalados por el Instituto Hacendario del Estado de México, así como el número de certificado, número de nómina, monto bruto de percepciones económicas así como departamento al que se encuentren adscritos. </w:t>
      </w:r>
    </w:p>
    <w:p w14:paraId="758102B4" w14:textId="77777777" w:rsidR="00C50EBF" w:rsidRDefault="000C2D77">
      <w:pPr>
        <w:tabs>
          <w:tab w:val="left" w:pos="7513"/>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lo siguiente: </w:t>
      </w:r>
    </w:p>
    <w:p w14:paraId="71519B04" w14:textId="77777777" w:rsidR="00C50EBF" w:rsidRDefault="000C2D77">
      <w:pPr>
        <w:numPr>
          <w:ilvl w:val="0"/>
          <w:numId w:val="6"/>
        </w:numPr>
        <w:pBdr>
          <w:top w:val="nil"/>
          <w:left w:val="nil"/>
          <w:bottom w:val="nil"/>
          <w:right w:val="nil"/>
          <w:between w:val="nil"/>
        </w:pBdr>
        <w:tabs>
          <w:tab w:val="left" w:pos="7513"/>
        </w:tabs>
        <w:spacing w:before="240" w:after="240" w:line="360" w:lineRule="auto"/>
        <w:ind w:right="2"/>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2060"/>
        </w:rPr>
        <w:t>Director del Organismo Público Descentralizado de carácter Municipal para el mantenimiento de vialidades de Cuautitlán Izcalli</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En el organismo a su cargo, no se cuenta con ningún empleado sindicalizado y de confianza que estén certificados con los estándares de competencia de marcas.</w:t>
      </w:r>
    </w:p>
    <w:p w14:paraId="62B4CA62" w14:textId="77777777" w:rsidR="00C50EBF" w:rsidRDefault="000C2D77">
      <w:pPr>
        <w:numPr>
          <w:ilvl w:val="0"/>
          <w:numId w:val="6"/>
        </w:numPr>
        <w:pBdr>
          <w:top w:val="nil"/>
          <w:left w:val="nil"/>
          <w:bottom w:val="nil"/>
          <w:right w:val="nil"/>
          <w:between w:val="nil"/>
        </w:pBdr>
        <w:tabs>
          <w:tab w:val="left" w:pos="7513"/>
        </w:tabs>
        <w:spacing w:before="240" w:after="240" w:line="360" w:lineRule="auto"/>
        <w:ind w:right="2"/>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2060"/>
        </w:rPr>
        <w:t>Director General del Instituto Municipal del Deporte de Cuautitlán Izcalli</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Una vez revisada la solicitud de información con el Titular de la Coordinación de Administración y Finanzas del Instituto Municipal del Deporte de Cuautitlán Izcalli, informa que no se encuentra dentro de los supuestos señalados. </w:t>
      </w:r>
    </w:p>
    <w:p w14:paraId="4CC4FB06" w14:textId="77777777" w:rsidR="00C50EBF" w:rsidRDefault="000C2D77">
      <w:pPr>
        <w:numPr>
          <w:ilvl w:val="0"/>
          <w:numId w:val="6"/>
        </w:numPr>
        <w:pBdr>
          <w:top w:val="nil"/>
          <w:left w:val="nil"/>
          <w:bottom w:val="nil"/>
          <w:right w:val="nil"/>
          <w:between w:val="nil"/>
        </w:pBdr>
        <w:tabs>
          <w:tab w:val="left" w:pos="7513"/>
        </w:tabs>
        <w:spacing w:before="240" w:after="240" w:line="360" w:lineRule="auto"/>
        <w:ind w:right="2"/>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2060"/>
        </w:rPr>
        <w:lastRenderedPageBreak/>
        <w:t>Director de Administración: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La persona encargada de la Subdirección de Recursos Humanos no cuenta con una base en la que obre el listado de personal sindicalizado y de confianza en el que obre  que cuentan con Estándares de Competencia de Marcas, avalado por el Instituto Hacendario del Estado de México y Municipios, y, en consecuencia con más datos requeridos por el solicitante.</w:t>
      </w:r>
    </w:p>
    <w:p w14:paraId="3BDF04D3" w14:textId="77777777" w:rsidR="00C50EBF" w:rsidRDefault="000C2D77">
      <w:pPr>
        <w:spacing w:before="240" w:after="240" w:line="360" w:lineRule="auto"/>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rPr>
        <w:t xml:space="preserve">Conocida la respuesta a la solicitud de información, el particular, al no estar conforme con los términos de la misma, interpuso el recurso de revisión que nos ocupa, donde señaló como motivos de inconformidad: </w:t>
      </w:r>
      <w:r>
        <w:rPr>
          <w:rFonts w:ascii="Palatino Linotype" w:eastAsia="Palatino Linotype" w:hAnsi="Palatino Linotype" w:cs="Palatino Linotype"/>
          <w:i/>
        </w:rPr>
        <w:t>“</w:t>
      </w:r>
      <w:r>
        <w:rPr>
          <w:rFonts w:ascii="Palatino Linotype" w:eastAsia="Palatino Linotype" w:hAnsi="Palatino Linotype" w:cs="Palatino Linotype"/>
          <w:b/>
          <w:i/>
          <w:sz w:val="22"/>
          <w:szCs w:val="22"/>
          <w:u w:val="single"/>
        </w:rPr>
        <w:t xml:space="preserve">“no entrega el sustento legal de las respuestas que se adjuntan de las distintas </w:t>
      </w:r>
      <w:proofErr w:type="spellStart"/>
      <w:r>
        <w:rPr>
          <w:rFonts w:ascii="Palatino Linotype" w:eastAsia="Palatino Linotype" w:hAnsi="Palatino Linotype" w:cs="Palatino Linotype"/>
          <w:b/>
          <w:i/>
          <w:sz w:val="22"/>
          <w:szCs w:val="22"/>
          <w:u w:val="single"/>
        </w:rPr>
        <w:t>areas</w:t>
      </w:r>
      <w:proofErr w:type="spellEnd"/>
      <w:r>
        <w:rPr>
          <w:rFonts w:ascii="Palatino Linotype" w:eastAsia="Palatino Linotype" w:hAnsi="Palatino Linotype" w:cs="Palatino Linotype"/>
          <w:b/>
          <w:i/>
          <w:sz w:val="22"/>
          <w:szCs w:val="22"/>
          <w:u w:val="single"/>
        </w:rPr>
        <w:t xml:space="preserve"> de la </w:t>
      </w:r>
      <w:proofErr w:type="spellStart"/>
      <w:r>
        <w:rPr>
          <w:rFonts w:ascii="Palatino Linotype" w:eastAsia="Palatino Linotype" w:hAnsi="Palatino Linotype" w:cs="Palatino Linotype"/>
          <w:b/>
          <w:i/>
          <w:sz w:val="22"/>
          <w:szCs w:val="22"/>
          <w:u w:val="single"/>
        </w:rPr>
        <w:t>administracion</w:t>
      </w:r>
      <w:proofErr w:type="spellEnd"/>
      <w:r>
        <w:rPr>
          <w:rFonts w:ascii="Palatino Linotype" w:eastAsia="Palatino Linotype" w:hAnsi="Palatino Linotype" w:cs="Palatino Linotype"/>
          <w:b/>
          <w:i/>
          <w:sz w:val="22"/>
          <w:szCs w:val="22"/>
          <w:u w:val="single"/>
        </w:rPr>
        <w:t xml:space="preserve"> municipal, que clase de servidores </w:t>
      </w:r>
      <w:proofErr w:type="spellStart"/>
      <w:r>
        <w:rPr>
          <w:rFonts w:ascii="Palatino Linotype" w:eastAsia="Palatino Linotype" w:hAnsi="Palatino Linotype" w:cs="Palatino Linotype"/>
          <w:b/>
          <w:i/>
          <w:sz w:val="22"/>
          <w:szCs w:val="22"/>
          <w:u w:val="single"/>
        </w:rPr>
        <w:t>publicos</w:t>
      </w:r>
      <w:proofErr w:type="spellEnd"/>
      <w:r>
        <w:rPr>
          <w:rFonts w:ascii="Palatino Linotype" w:eastAsia="Palatino Linotype" w:hAnsi="Palatino Linotype" w:cs="Palatino Linotype"/>
          <w:b/>
          <w:i/>
          <w:sz w:val="22"/>
          <w:szCs w:val="22"/>
          <w:u w:val="single"/>
        </w:rPr>
        <w:t xml:space="preserve"> son, que ni idea tienen de lo que </w:t>
      </w:r>
      <w:proofErr w:type="spellStart"/>
      <w:r>
        <w:rPr>
          <w:rFonts w:ascii="Palatino Linotype" w:eastAsia="Palatino Linotype" w:hAnsi="Palatino Linotype" w:cs="Palatino Linotype"/>
          <w:b/>
          <w:i/>
          <w:sz w:val="22"/>
          <w:szCs w:val="22"/>
          <w:u w:val="single"/>
        </w:rPr>
        <w:t>esta</w:t>
      </w:r>
      <w:proofErr w:type="spellEnd"/>
      <w:r>
        <w:rPr>
          <w:rFonts w:ascii="Palatino Linotype" w:eastAsia="Palatino Linotype" w:hAnsi="Palatino Linotype" w:cs="Palatino Linotype"/>
          <w:b/>
          <w:i/>
          <w:sz w:val="22"/>
          <w:szCs w:val="22"/>
          <w:u w:val="single"/>
        </w:rPr>
        <w:t xml:space="preserve"> contenido en el </w:t>
      </w:r>
      <w:proofErr w:type="spellStart"/>
      <w:r>
        <w:rPr>
          <w:rFonts w:ascii="Palatino Linotype" w:eastAsia="Palatino Linotype" w:hAnsi="Palatino Linotype" w:cs="Palatino Linotype"/>
          <w:b/>
          <w:i/>
          <w:sz w:val="22"/>
          <w:szCs w:val="22"/>
          <w:u w:val="single"/>
        </w:rPr>
        <w:t>articulo</w:t>
      </w:r>
      <w:proofErr w:type="spellEnd"/>
      <w:r>
        <w:rPr>
          <w:rFonts w:ascii="Palatino Linotype" w:eastAsia="Palatino Linotype" w:hAnsi="Palatino Linotype" w:cs="Palatino Linotype"/>
          <w:b/>
          <w:i/>
          <w:sz w:val="22"/>
          <w:szCs w:val="22"/>
          <w:u w:val="single"/>
        </w:rPr>
        <w:t xml:space="preserve"> 32 de la Ley </w:t>
      </w:r>
      <w:proofErr w:type="spellStart"/>
      <w:r>
        <w:rPr>
          <w:rFonts w:ascii="Palatino Linotype" w:eastAsia="Palatino Linotype" w:hAnsi="Palatino Linotype" w:cs="Palatino Linotype"/>
          <w:b/>
          <w:i/>
          <w:sz w:val="22"/>
          <w:szCs w:val="22"/>
          <w:u w:val="single"/>
        </w:rPr>
        <w:t>Organica</w:t>
      </w:r>
      <w:proofErr w:type="spellEnd"/>
      <w:r>
        <w:rPr>
          <w:rFonts w:ascii="Palatino Linotype" w:eastAsia="Palatino Linotype" w:hAnsi="Palatino Linotype" w:cs="Palatino Linotype"/>
          <w:b/>
          <w:i/>
          <w:sz w:val="22"/>
          <w:szCs w:val="22"/>
          <w:u w:val="single"/>
        </w:rPr>
        <w:t xml:space="preserve"> Municipal del Estado de </w:t>
      </w:r>
      <w:proofErr w:type="spellStart"/>
      <w:r>
        <w:rPr>
          <w:rFonts w:ascii="Palatino Linotype" w:eastAsia="Palatino Linotype" w:hAnsi="Palatino Linotype" w:cs="Palatino Linotype"/>
          <w:b/>
          <w:i/>
          <w:sz w:val="22"/>
          <w:szCs w:val="22"/>
          <w:u w:val="single"/>
        </w:rPr>
        <w:t>Mexico</w:t>
      </w:r>
      <w:proofErr w:type="spellEnd"/>
      <w:r>
        <w:rPr>
          <w:rFonts w:ascii="Palatino Linotype" w:eastAsia="Palatino Linotype" w:hAnsi="Palatino Linotype" w:cs="Palatino Linotype"/>
          <w:b/>
          <w:i/>
          <w:sz w:val="22"/>
          <w:szCs w:val="22"/>
          <w:u w:val="single"/>
        </w:rPr>
        <w:t xml:space="preserve">.” </w:t>
      </w:r>
      <w:r>
        <w:rPr>
          <w:rFonts w:ascii="Palatino Linotype" w:eastAsia="Palatino Linotype" w:hAnsi="Palatino Linotype" w:cs="Palatino Linotype"/>
          <w:i/>
          <w:sz w:val="22"/>
          <w:szCs w:val="22"/>
        </w:rPr>
        <w:t>(Sic) (Énfasis añadido)</w:t>
      </w:r>
    </w:p>
    <w:p w14:paraId="75C8DEDA" w14:textId="77777777" w:rsidR="00C50EBF" w:rsidRDefault="000C2D7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mediante el cual ratificó la respuesta remitida inicialmente y por cuanto hace a </w:t>
      </w:r>
      <w:r>
        <w:rPr>
          <w:rFonts w:ascii="Palatino Linotype" w:eastAsia="Palatino Linotype" w:hAnsi="Palatino Linotype" w:cs="Palatino Linotype"/>
          <w:b/>
        </w:rPr>
        <w:t xml:space="preserve">la parte Recurrente, </w:t>
      </w:r>
      <w:r>
        <w:rPr>
          <w:rFonts w:ascii="Palatino Linotype" w:eastAsia="Palatino Linotype" w:hAnsi="Palatino Linotype" w:cs="Palatino Linotype"/>
        </w:rPr>
        <w:t>se tiene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 no emitió alegatos, manifestaciones o pronunciamiento alguno que a su derecho conviniera, luego entonces, se tiene por </w:t>
      </w:r>
      <w:proofErr w:type="spellStart"/>
      <w:r>
        <w:rPr>
          <w:rFonts w:ascii="Palatino Linotype" w:eastAsia="Palatino Linotype" w:hAnsi="Palatino Linotype" w:cs="Palatino Linotype"/>
        </w:rPr>
        <w:t>precluido</w:t>
      </w:r>
      <w:proofErr w:type="spellEnd"/>
      <w:r>
        <w:rPr>
          <w:rFonts w:ascii="Palatino Linotype" w:eastAsia="Palatino Linotype" w:hAnsi="Palatino Linotype" w:cs="Palatino Linotype"/>
        </w:rPr>
        <w:t xml:space="preserve"> su derecho para tal efecto.</w:t>
      </w:r>
    </w:p>
    <w:p w14:paraId="361A46FC" w14:textId="77777777" w:rsidR="00C50EBF" w:rsidRDefault="000C2D7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a efecto de garantizar el efectivo ejercicio del derecho de acceso a la información pública que asiste al particular, resulta conveniente entrar al estudio de las siguientes consideraciones de hecho y derecho: </w:t>
      </w:r>
    </w:p>
    <w:p w14:paraId="2921F9B4" w14:textId="77777777" w:rsidR="00C50EBF" w:rsidRDefault="000C2D7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primera instancia, resulta importante mencionar que si bien es cierto,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solicitó </w:t>
      </w:r>
      <w:r>
        <w:rPr>
          <w:rFonts w:ascii="Palatino Linotype" w:eastAsia="Palatino Linotype" w:hAnsi="Palatino Linotype" w:cs="Palatino Linotype"/>
          <w:i/>
          <w:sz w:val="22"/>
          <w:szCs w:val="22"/>
        </w:rPr>
        <w:t xml:space="preserve">“…el </w:t>
      </w:r>
      <w:r>
        <w:rPr>
          <w:rFonts w:ascii="Palatino Linotype" w:eastAsia="Palatino Linotype" w:hAnsi="Palatino Linotype" w:cs="Palatino Linotype"/>
          <w:b/>
          <w:i/>
          <w:sz w:val="22"/>
          <w:szCs w:val="22"/>
          <w:u w:val="single"/>
        </w:rPr>
        <w:t xml:space="preserve">listado con número de certificado, número de nómina, monto </w:t>
      </w:r>
      <w:r>
        <w:rPr>
          <w:rFonts w:ascii="Palatino Linotype" w:eastAsia="Palatino Linotype" w:hAnsi="Palatino Linotype" w:cs="Palatino Linotype"/>
          <w:b/>
          <w:i/>
          <w:sz w:val="22"/>
          <w:szCs w:val="22"/>
          <w:u w:val="single"/>
        </w:rPr>
        <w:lastRenderedPageBreak/>
        <w:t>bruto de percepciones económicas así como departamento al que está adscrito de la cantidad total de empleados sindicalizados así como personal de confianza que están activos en nómina municipal, que cuentan con Estándares de Competencia de Marca enlistados a continuación: ECM0059 ECM0060 ECM0061 ECM0062 ECM0063 ECM0064 ECM0065 ECM0066 ECM0067 ECM0068 ECM0069 ECM0070 ECM0071 avalados por el Instituto Hacendario del Estado de México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rPr>
        <w:t xml:space="preserve">al respecto debe señalarse que en la legislación no se contempla como tal un listado con número de certificado sino un certificado de competencia laboral, no obstante </w:t>
      </w:r>
      <w:r w:rsidR="006E7798">
        <w:rPr>
          <w:rFonts w:ascii="Palatino Linotype" w:eastAsia="Palatino Linotype" w:hAnsi="Palatino Linotype" w:cs="Palatino Linotype"/>
        </w:rPr>
        <w:t xml:space="preserve">de un análisis interpretativo, a la solicitud, se advierte que </w:t>
      </w:r>
      <w:r>
        <w:rPr>
          <w:rFonts w:ascii="Palatino Linotype" w:eastAsia="Palatino Linotype" w:hAnsi="Palatino Linotype" w:cs="Palatino Linotype"/>
        </w:rPr>
        <w:t>expresó que s</w:t>
      </w:r>
      <w:r w:rsidR="006E7798">
        <w:rPr>
          <w:rFonts w:ascii="Palatino Linotype" w:eastAsia="Palatino Linotype" w:hAnsi="Palatino Linotype" w:cs="Palatino Linotype"/>
        </w:rPr>
        <w:t>u requerimiento versaba sobre las certificaciones</w:t>
      </w:r>
      <w:r>
        <w:rPr>
          <w:rFonts w:ascii="Palatino Linotype" w:eastAsia="Palatino Linotype" w:hAnsi="Palatino Linotype" w:cs="Palatino Linotype"/>
        </w:rPr>
        <w:t xml:space="preserve"> de competencia laboral, monto bruto de percepciones económicas, área de adscripción y </w:t>
      </w:r>
      <w:r w:rsidRPr="006E7798">
        <w:rPr>
          <w:rFonts w:ascii="Palatino Linotype" w:eastAsia="Palatino Linotype" w:hAnsi="Palatino Linotype" w:cs="Palatino Linotype"/>
        </w:rPr>
        <w:t>número de nómina</w:t>
      </w:r>
      <w:r>
        <w:rPr>
          <w:rFonts w:ascii="Palatino Linotype" w:eastAsia="Palatino Linotype" w:hAnsi="Palatino Linotype" w:cs="Palatino Linotype"/>
        </w:rPr>
        <w:t xml:space="preserve"> del personal que se encuentre activo en la nómina municipal, por lo que resulta importante aplicar la suplencia prevista en los artículos 13 y 181 de la Ley de Transparencia y Acceso a la Información Pública del Estado de México y Municipios, en favor de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sidR="006E7798">
        <w:rPr>
          <w:rFonts w:ascii="Palatino Linotype" w:eastAsia="Palatino Linotype" w:hAnsi="Palatino Linotype" w:cs="Palatino Linotype"/>
        </w:rPr>
        <w:t>par</w:t>
      </w:r>
      <w:r>
        <w:rPr>
          <w:rFonts w:ascii="Palatino Linotype" w:eastAsia="Palatino Linotype" w:hAnsi="Palatino Linotype" w:cs="Palatino Linotype"/>
        </w:rPr>
        <w:t xml:space="preserve">a efecto de que </w:t>
      </w:r>
      <w:r>
        <w:rPr>
          <w:rFonts w:ascii="Palatino Linotype" w:eastAsia="Palatino Linotype" w:hAnsi="Palatino Linotype" w:cs="Palatino Linotype"/>
          <w:b/>
        </w:rPr>
        <w:t xml:space="preserve">al momento </w:t>
      </w:r>
      <w:r w:rsidRPr="006E7798">
        <w:rPr>
          <w:rFonts w:ascii="Palatino Linotype" w:eastAsia="Palatino Linotype" w:hAnsi="Palatino Linotype" w:cs="Palatino Linotype"/>
          <w:b/>
        </w:rPr>
        <w:t>de ordenar la entrega</w:t>
      </w:r>
      <w:r>
        <w:rPr>
          <w:rFonts w:ascii="Palatino Linotype" w:eastAsia="Palatino Linotype" w:hAnsi="Palatino Linotype" w:cs="Palatino Linotype"/>
          <w:b/>
        </w:rPr>
        <w:t xml:space="preserve"> de los soportes documentales en los que conste la información requerida, se tome en cuenta que la particular requiere los certificados de competencia laboral, monto bruto de percepciones económicas, área d</w:t>
      </w:r>
      <w:r w:rsidR="006E7798">
        <w:rPr>
          <w:rFonts w:ascii="Palatino Linotype" w:eastAsia="Palatino Linotype" w:hAnsi="Palatino Linotype" w:cs="Palatino Linotype"/>
          <w:b/>
        </w:rPr>
        <w:t>e adscripción y número de empleado o de quincena</w:t>
      </w:r>
      <w:r>
        <w:rPr>
          <w:rFonts w:ascii="Palatino Linotype" w:eastAsia="Palatino Linotype" w:hAnsi="Palatino Linotype" w:cs="Palatino Linotype"/>
          <w:b/>
        </w:rPr>
        <w:t xml:space="preserve"> del personal que se encuentre activo en la nómina municipal al veinticuatro de enero de dos mil veintidós</w:t>
      </w:r>
      <w:r>
        <w:rPr>
          <w:rFonts w:ascii="Palatino Linotype" w:eastAsia="Palatino Linotype" w:hAnsi="Palatino Linotype" w:cs="Palatino Linotype"/>
        </w:rPr>
        <w:t xml:space="preserve">, lo anterior en razón de que cabe la posibilidad de que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no sea experta en la materia para conocer la denominación exacta de la información generada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por lo que en aras de proteger el derecho de acceso a la información pública que le asiste es que se invoca  esta facultad del Instituto.</w:t>
      </w:r>
    </w:p>
    <w:p w14:paraId="17754529" w14:textId="77777777" w:rsidR="006E7798" w:rsidRDefault="006E7798">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Ahora bien, no debemos perder de vista que la respuesta del </w:t>
      </w:r>
      <w:r w:rsidRPr="006E7798">
        <w:rPr>
          <w:rFonts w:ascii="Palatino Linotype" w:eastAsia="Palatino Linotype" w:hAnsi="Palatino Linotype" w:cs="Palatino Linotype"/>
          <w:b/>
        </w:rPr>
        <w:t>Sujeto Obligado</w:t>
      </w:r>
      <w:r>
        <w:rPr>
          <w:rFonts w:ascii="Palatino Linotype" w:eastAsia="Palatino Linotype" w:hAnsi="Palatino Linotype" w:cs="Palatino Linotype"/>
        </w:rPr>
        <w:t xml:space="preserve"> actualizó tres supuestos, mismos que se reiteran a continuación: </w:t>
      </w:r>
    </w:p>
    <w:p w14:paraId="08EAF669" w14:textId="77777777" w:rsidR="006E7798" w:rsidRPr="006E7798" w:rsidRDefault="006E7798" w:rsidP="006E7798">
      <w:pPr>
        <w:numPr>
          <w:ilvl w:val="0"/>
          <w:numId w:val="6"/>
        </w:numPr>
        <w:pBdr>
          <w:top w:val="nil"/>
          <w:left w:val="nil"/>
          <w:bottom w:val="nil"/>
          <w:right w:val="nil"/>
          <w:between w:val="nil"/>
        </w:pBdr>
        <w:tabs>
          <w:tab w:val="left" w:pos="7513"/>
        </w:tabs>
        <w:spacing w:before="240" w:after="240" w:line="360" w:lineRule="auto"/>
        <w:ind w:left="567" w:right="709" w:hanging="283"/>
        <w:jc w:val="both"/>
        <w:rPr>
          <w:rFonts w:ascii="Palatino Linotype" w:eastAsia="Palatino Linotype" w:hAnsi="Palatino Linotype" w:cs="Palatino Linotype"/>
          <w:color w:val="000000"/>
        </w:rPr>
      </w:pPr>
      <w:r>
        <w:rPr>
          <w:rFonts w:ascii="Palatino Linotype" w:eastAsia="Palatino Linotype" w:hAnsi="Palatino Linotype" w:cs="Palatino Linotype"/>
          <w:b/>
          <w:color w:val="002060"/>
        </w:rPr>
        <w:t>Director del Organismo Público Descentralizado de carácter Municipal para el mantenimiento de vialidades de Cuautitlán Izcalli</w:t>
      </w:r>
      <w:r>
        <w:rPr>
          <w:rFonts w:ascii="Palatino Linotype" w:eastAsia="Palatino Linotype" w:hAnsi="Palatino Linotype" w:cs="Palatino Linotype"/>
          <w:color w:val="000000"/>
        </w:rPr>
        <w:t xml:space="preserve">: </w:t>
      </w:r>
      <w:r w:rsidRPr="006E7798">
        <w:rPr>
          <w:rFonts w:ascii="Palatino Linotype" w:eastAsia="Palatino Linotype" w:hAnsi="Palatino Linotype" w:cs="Palatino Linotype"/>
          <w:color w:val="000000"/>
        </w:rPr>
        <w:t>En el organismo a su cargo, no se cuenta con ningún empleado sindicalizado y de confianza que estén certificados con los estándares de competencia de marcas.</w:t>
      </w:r>
    </w:p>
    <w:p w14:paraId="38FBDCAE" w14:textId="77777777" w:rsidR="006E7798" w:rsidRPr="006E7798" w:rsidRDefault="006E7798" w:rsidP="006E7798">
      <w:pPr>
        <w:numPr>
          <w:ilvl w:val="0"/>
          <w:numId w:val="6"/>
        </w:numPr>
        <w:pBdr>
          <w:top w:val="nil"/>
          <w:left w:val="nil"/>
          <w:bottom w:val="nil"/>
          <w:right w:val="nil"/>
          <w:between w:val="nil"/>
        </w:pBdr>
        <w:tabs>
          <w:tab w:val="left" w:pos="7513"/>
        </w:tabs>
        <w:spacing w:before="240" w:after="240" w:line="360" w:lineRule="auto"/>
        <w:ind w:left="567" w:right="709" w:hanging="283"/>
        <w:jc w:val="both"/>
        <w:rPr>
          <w:rFonts w:ascii="Palatino Linotype" w:eastAsia="Palatino Linotype" w:hAnsi="Palatino Linotype" w:cs="Palatino Linotype"/>
          <w:color w:val="000000"/>
        </w:rPr>
      </w:pPr>
      <w:r>
        <w:rPr>
          <w:rFonts w:ascii="Palatino Linotype" w:eastAsia="Palatino Linotype" w:hAnsi="Palatino Linotype" w:cs="Palatino Linotype"/>
          <w:b/>
          <w:color w:val="002060"/>
        </w:rPr>
        <w:t>Director General del Instituto Municipal del Deporte de Cuautitlán Izcalli</w:t>
      </w:r>
      <w:r>
        <w:rPr>
          <w:rFonts w:ascii="Palatino Linotype" w:eastAsia="Palatino Linotype" w:hAnsi="Palatino Linotype" w:cs="Palatino Linotype"/>
          <w:color w:val="000000"/>
        </w:rPr>
        <w:t xml:space="preserve">: </w:t>
      </w:r>
      <w:r w:rsidRPr="006E7798">
        <w:rPr>
          <w:rFonts w:ascii="Palatino Linotype" w:eastAsia="Palatino Linotype" w:hAnsi="Palatino Linotype" w:cs="Palatino Linotype"/>
          <w:color w:val="000000"/>
        </w:rPr>
        <w:t xml:space="preserve">Una vez revisada la solicitud de información con el Titular de la Coordinación de Administración y Finanzas del Instituto Municipal del Deporte de Cuautitlán Izcalli, informa que no se encuentra dentro de los supuestos señalados. </w:t>
      </w:r>
    </w:p>
    <w:p w14:paraId="314DE471" w14:textId="77777777" w:rsidR="006E7798" w:rsidRPr="006E7798" w:rsidRDefault="006E7798" w:rsidP="006E7798">
      <w:pPr>
        <w:numPr>
          <w:ilvl w:val="0"/>
          <w:numId w:val="6"/>
        </w:numPr>
        <w:pBdr>
          <w:top w:val="nil"/>
          <w:left w:val="nil"/>
          <w:bottom w:val="nil"/>
          <w:right w:val="nil"/>
          <w:between w:val="nil"/>
        </w:pBdr>
        <w:tabs>
          <w:tab w:val="left" w:pos="7513"/>
        </w:tabs>
        <w:spacing w:before="240" w:after="240" w:line="360" w:lineRule="auto"/>
        <w:ind w:left="567" w:right="709" w:hanging="283"/>
        <w:jc w:val="both"/>
        <w:rPr>
          <w:rFonts w:ascii="Palatino Linotype" w:eastAsia="Palatino Linotype" w:hAnsi="Palatino Linotype" w:cs="Palatino Linotype"/>
          <w:color w:val="000000"/>
        </w:rPr>
      </w:pPr>
      <w:r>
        <w:rPr>
          <w:rFonts w:ascii="Palatino Linotype" w:eastAsia="Palatino Linotype" w:hAnsi="Palatino Linotype" w:cs="Palatino Linotype"/>
          <w:b/>
          <w:color w:val="002060"/>
        </w:rPr>
        <w:t>Director de Administración:</w:t>
      </w:r>
      <w:r>
        <w:rPr>
          <w:rFonts w:ascii="Palatino Linotype" w:eastAsia="Palatino Linotype" w:hAnsi="Palatino Linotype" w:cs="Palatino Linotype"/>
          <w:color w:val="000000"/>
        </w:rPr>
        <w:t xml:space="preserve"> </w:t>
      </w:r>
      <w:r w:rsidRPr="006E7798">
        <w:rPr>
          <w:rFonts w:ascii="Palatino Linotype" w:eastAsia="Palatino Linotype" w:hAnsi="Palatino Linotype" w:cs="Palatino Linotype"/>
          <w:color w:val="000000"/>
        </w:rPr>
        <w:t>La persona encargada de la Subdirección de Recursos Humanos no cuenta con una base en la que obre el listado de personal sindicalizado y de confianza en el que obre  que cuentan con Estándares de Competencia de Marcas, avalado por el Instituto Hacendario del Estado de México y Municipios, y, en consecuencia con más datos requeridos por el solicitante.</w:t>
      </w:r>
    </w:p>
    <w:p w14:paraId="144185BD" w14:textId="77777777" w:rsidR="006E7798" w:rsidRDefault="005A7BD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tres supuestos actualizados en este asunto, reviste interés el pronunciamiento realizado por la Dirección de Administración, quien es la unidad administrativa competente para poseer y administrar la información requerida por la particular, </w:t>
      </w:r>
      <w:r>
        <w:rPr>
          <w:rFonts w:ascii="Palatino Linotype" w:eastAsia="Palatino Linotype" w:hAnsi="Palatino Linotype" w:cs="Palatino Linotype"/>
        </w:rPr>
        <w:lastRenderedPageBreak/>
        <w:t>ello de conformidad con el Reglamento Interior de la Administración Pública Municipal de Cuautitlán Izcalli, Estado de México:</w:t>
      </w:r>
    </w:p>
    <w:p w14:paraId="30B47077" w14:textId="77777777" w:rsidR="005A7BD3" w:rsidRDefault="005A7BD3" w:rsidP="005A7BD3">
      <w:pPr>
        <w:spacing w:before="280" w:after="28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1644A2CD" wp14:editId="62265D8D">
            <wp:extent cx="5214997" cy="398145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6299" cy="3982444"/>
                    </a:xfrm>
                    <a:prstGeom prst="rect">
                      <a:avLst/>
                    </a:prstGeom>
                    <a:noFill/>
                    <a:ln>
                      <a:noFill/>
                    </a:ln>
                  </pic:spPr>
                </pic:pic>
              </a:graphicData>
            </a:graphic>
          </wp:inline>
        </w:drawing>
      </w:r>
    </w:p>
    <w:p w14:paraId="154B3FAD" w14:textId="77777777" w:rsidR="005A7BD3" w:rsidRDefault="005A7BD3" w:rsidP="005A7BD3">
      <w:pPr>
        <w:spacing w:before="280" w:after="280" w:line="360" w:lineRule="auto"/>
        <w:jc w:val="center"/>
        <w:rPr>
          <w:rFonts w:ascii="Palatino Linotype" w:eastAsia="Palatino Linotype" w:hAnsi="Palatino Linotype" w:cs="Palatino Linotype"/>
        </w:rPr>
      </w:pPr>
    </w:p>
    <w:p w14:paraId="02D69D67" w14:textId="77777777" w:rsidR="005A7BD3" w:rsidRDefault="002C0F4C" w:rsidP="005A7BD3">
      <w:pPr>
        <w:spacing w:before="280" w:after="28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5408" behindDoc="0" locked="0" layoutInCell="1" allowOverlap="1" wp14:anchorId="74DFC435" wp14:editId="47772B3A">
                <wp:simplePos x="0" y="0"/>
                <wp:positionH relativeFrom="column">
                  <wp:posOffset>510540</wp:posOffset>
                </wp:positionH>
                <wp:positionV relativeFrom="paragraph">
                  <wp:posOffset>3900805</wp:posOffset>
                </wp:positionV>
                <wp:extent cx="4610100" cy="485775"/>
                <wp:effectExtent l="57150" t="38100" r="76200" b="104775"/>
                <wp:wrapNone/>
                <wp:docPr id="7" name="Rectángulo 7"/>
                <wp:cNvGraphicFramePr/>
                <a:graphic xmlns:a="http://schemas.openxmlformats.org/drawingml/2006/main">
                  <a:graphicData uri="http://schemas.microsoft.com/office/word/2010/wordprocessingShape">
                    <wps:wsp>
                      <wps:cNvSpPr/>
                      <wps:spPr>
                        <a:xfrm>
                          <a:off x="0" y="0"/>
                          <a:ext cx="4610100" cy="48577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54E8C8" id="Rectángulo 7" o:spid="_x0000_s1026" style="position:absolute;margin-left:40.2pt;margin-top:307.15pt;width:363pt;height:38.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" filled="f" strokecolor="#002060" strokeweight="2.25pt">
                <v:shadow on="t" color="black" opacity="22937f" origin=",.5" offset="0,.63889mm"/>
              </v:rect>
            </w:pict>
          </mc:Fallback>
        </mc:AlternateContent>
      </w:r>
      <w:r>
        <w:rPr>
          <w:rFonts w:ascii="Palatino Linotype" w:eastAsia="Palatino Linotype" w:hAnsi="Palatino Linotype" w:cs="Palatino Linotype"/>
          <w:noProof/>
          <w:lang w:val="es-MX"/>
        </w:rPr>
        <mc:AlternateContent>
          <mc:Choice Requires="wps">
            <w:drawing>
              <wp:anchor distT="0" distB="0" distL="114300" distR="114300" simplePos="0" relativeHeight="251664384" behindDoc="0" locked="0" layoutInCell="1" allowOverlap="1" wp14:anchorId="41C22138" wp14:editId="4F813051">
                <wp:simplePos x="0" y="0"/>
                <wp:positionH relativeFrom="column">
                  <wp:posOffset>510540</wp:posOffset>
                </wp:positionH>
                <wp:positionV relativeFrom="paragraph">
                  <wp:posOffset>1995805</wp:posOffset>
                </wp:positionV>
                <wp:extent cx="4610100" cy="685800"/>
                <wp:effectExtent l="57150" t="38100" r="76200" b="95250"/>
                <wp:wrapNone/>
                <wp:docPr id="6" name="Rectángulo 6"/>
                <wp:cNvGraphicFramePr/>
                <a:graphic xmlns:a="http://schemas.openxmlformats.org/drawingml/2006/main">
                  <a:graphicData uri="http://schemas.microsoft.com/office/word/2010/wordprocessingShape">
                    <wps:wsp>
                      <wps:cNvSpPr/>
                      <wps:spPr>
                        <a:xfrm>
                          <a:off x="0" y="0"/>
                          <a:ext cx="4610100" cy="68580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878DF9" id="Rectángulo 6" o:spid="_x0000_s1026" style="position:absolute;margin-left:40.2pt;margin-top:157.15pt;width:363pt;height:5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" filled="f" strokecolor="#002060" strokeweight="2.25pt">
                <v:shadow on="t" color="black" opacity="22937f" origin=",.5" offset="0,.63889mm"/>
              </v:rect>
            </w:pict>
          </mc:Fallback>
        </mc:AlternateContent>
      </w:r>
      <w:r>
        <w:rPr>
          <w:rFonts w:ascii="Palatino Linotype" w:eastAsia="Palatino Linotype" w:hAnsi="Palatino Linotype" w:cs="Palatino Linotype"/>
          <w:noProof/>
          <w:lang w:val="es-MX"/>
        </w:rPr>
        <mc:AlternateContent>
          <mc:Choice Requires="wps">
            <w:drawing>
              <wp:anchor distT="0" distB="0" distL="114300" distR="114300" simplePos="0" relativeHeight="251663360" behindDoc="0" locked="0" layoutInCell="1" allowOverlap="1" wp14:anchorId="2A277E80" wp14:editId="482CBDA1">
                <wp:simplePos x="0" y="0"/>
                <wp:positionH relativeFrom="column">
                  <wp:posOffset>510540</wp:posOffset>
                </wp:positionH>
                <wp:positionV relativeFrom="paragraph">
                  <wp:posOffset>1338580</wp:posOffset>
                </wp:positionV>
                <wp:extent cx="4676775" cy="371475"/>
                <wp:effectExtent l="57150" t="38100" r="85725" b="104775"/>
                <wp:wrapNone/>
                <wp:docPr id="5" name="Rectángulo 5"/>
                <wp:cNvGraphicFramePr/>
                <a:graphic xmlns:a="http://schemas.openxmlformats.org/drawingml/2006/main">
                  <a:graphicData uri="http://schemas.microsoft.com/office/word/2010/wordprocessingShape">
                    <wps:wsp>
                      <wps:cNvSpPr/>
                      <wps:spPr>
                        <a:xfrm>
                          <a:off x="0" y="0"/>
                          <a:ext cx="4676775" cy="371475"/>
                        </a:xfrm>
                        <a:prstGeom prst="rect">
                          <a:avLst/>
                        </a:prstGeom>
                        <a:noFill/>
                        <a:ln w="38100">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899499" id="Rectángulo 5" o:spid="_x0000_s1026" style="position:absolute;margin-left:40.2pt;margin-top:105.4pt;width:368.25pt;height:2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" filled="f" strokecolor="#002060" strokeweight="3pt">
                <v:shadow on="t" color="black" opacity="22937f" origin=",.5" offset="0,.63889mm"/>
              </v:rect>
            </w:pict>
          </mc:Fallback>
        </mc:AlternateContent>
      </w:r>
      <w:r w:rsidR="005A7BD3">
        <w:rPr>
          <w:rFonts w:ascii="Palatino Linotype" w:eastAsia="Palatino Linotype" w:hAnsi="Palatino Linotype" w:cs="Palatino Linotype"/>
          <w:noProof/>
          <w:lang w:val="es-MX"/>
        </w:rPr>
        <w:drawing>
          <wp:inline distT="0" distB="0" distL="0" distR="0" wp14:anchorId="7773AE1D" wp14:editId="2BEB8C91">
            <wp:extent cx="4810125" cy="61912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0125" cy="6191250"/>
                    </a:xfrm>
                    <a:prstGeom prst="rect">
                      <a:avLst/>
                    </a:prstGeom>
                    <a:noFill/>
                    <a:ln>
                      <a:noFill/>
                    </a:ln>
                  </pic:spPr>
                </pic:pic>
              </a:graphicData>
            </a:graphic>
          </wp:inline>
        </w:drawing>
      </w:r>
    </w:p>
    <w:p w14:paraId="7E612BD1" w14:textId="77777777" w:rsidR="006E7798" w:rsidRDefault="006E7798">
      <w:pPr>
        <w:spacing w:before="280" w:after="280" w:line="360" w:lineRule="auto"/>
        <w:jc w:val="both"/>
        <w:rPr>
          <w:rFonts w:ascii="Palatino Linotype" w:eastAsia="Palatino Linotype" w:hAnsi="Palatino Linotype" w:cs="Palatino Linotype"/>
        </w:rPr>
      </w:pPr>
    </w:p>
    <w:p w14:paraId="70DAE1FE" w14:textId="77777777" w:rsidR="002C0F4C" w:rsidRDefault="002C0F4C">
      <w:pPr>
        <w:spacing w:before="280" w:after="280" w:line="360" w:lineRule="auto"/>
        <w:jc w:val="both"/>
        <w:rPr>
          <w:rFonts w:ascii="Palatino Linotype" w:eastAsia="Palatino Linotype" w:hAnsi="Palatino Linotype" w:cs="Palatino Linotype"/>
        </w:rPr>
      </w:pPr>
    </w:p>
    <w:p w14:paraId="181CC1CA" w14:textId="77777777" w:rsidR="002C0F4C" w:rsidRDefault="002C0F4C">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067C5E3C" wp14:editId="6C37E92E">
            <wp:extent cx="4867275" cy="42386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7275" cy="4238625"/>
                    </a:xfrm>
                    <a:prstGeom prst="rect">
                      <a:avLst/>
                    </a:prstGeom>
                    <a:noFill/>
                    <a:ln>
                      <a:noFill/>
                    </a:ln>
                  </pic:spPr>
                </pic:pic>
              </a:graphicData>
            </a:graphic>
          </wp:inline>
        </w:drawing>
      </w:r>
    </w:p>
    <w:p w14:paraId="2243273E" w14:textId="77777777" w:rsidR="002C0F4C" w:rsidRDefault="00795CC0">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al ser atribución de la Dirección de Administración el registro de movimientos de alta de los servidores públicos municipales, así como la autorización de los movimientos de personal de la Administración Pública Municipal, resulta pertinente que esta unidad administrativa realice una nueva búsqueda exhaustiva y razonable al interior de sus archivos y localice la información requerida. </w:t>
      </w:r>
    </w:p>
    <w:p w14:paraId="05454C98" w14:textId="77777777" w:rsidR="00795CC0" w:rsidRPr="00795CC0" w:rsidRDefault="00795CC0" w:rsidP="00795CC0">
      <w:pPr>
        <w:spacing w:line="360" w:lineRule="auto"/>
        <w:jc w:val="both"/>
        <w:rPr>
          <w:rFonts w:ascii="Palatino Linotype" w:hAnsi="Palatino Linotype" w:cs="Tahoma"/>
          <w:bCs/>
          <w:iCs/>
          <w:lang w:val="es-MX" w:eastAsia="es-ES"/>
        </w:rPr>
      </w:pPr>
      <w:r w:rsidRPr="00795CC0">
        <w:rPr>
          <w:rFonts w:ascii="Palatino Linotype" w:hAnsi="Palatino Linotype" w:cs="Tahoma"/>
          <w:bCs/>
          <w:iCs/>
          <w:lang w:val="es-MX" w:eastAsia="es-ES"/>
        </w:rPr>
        <w:t xml:space="preserve">En esta tesitura, no escapa de la óptica de este organismo garante que la Solicitante requirió puntualmente un “listado”, el cual es entendido como una relación </w:t>
      </w:r>
      <w:r w:rsidRPr="00795CC0">
        <w:rPr>
          <w:rFonts w:ascii="Palatino Linotype" w:hAnsi="Palatino Linotype" w:cs="Tahoma"/>
          <w:bCs/>
          <w:iCs/>
          <w:lang w:val="es-MX" w:eastAsia="es-ES"/>
        </w:rPr>
        <w:lastRenderedPageBreak/>
        <w:t xml:space="preserve">ordenada en forma de columna, que refiere nombres o datos, es por lo que, resulta necesario traer a colación lo que establece el Criterio 3/17 emitido por el Instituto Nacional de Transparencia, Acceso a la Información y Protección de Datos Personales, que a la literalidad refiere que: </w:t>
      </w:r>
    </w:p>
    <w:p w14:paraId="4E98193E" w14:textId="77777777" w:rsidR="00795CC0" w:rsidRPr="00795CC0" w:rsidRDefault="00795CC0" w:rsidP="00795CC0">
      <w:pPr>
        <w:spacing w:line="360" w:lineRule="auto"/>
        <w:jc w:val="both"/>
        <w:rPr>
          <w:rFonts w:ascii="Palatino Linotype" w:hAnsi="Palatino Linotype" w:cs="Tahoma"/>
          <w:bCs/>
          <w:iCs/>
          <w:lang w:val="es-MX" w:eastAsia="es-ES"/>
        </w:rPr>
      </w:pPr>
    </w:p>
    <w:p w14:paraId="3C0D37F0" w14:textId="77777777" w:rsidR="00795CC0" w:rsidRPr="00795CC0" w:rsidRDefault="00795CC0" w:rsidP="00795CC0">
      <w:pPr>
        <w:spacing w:before="73" w:line="276" w:lineRule="auto"/>
        <w:ind w:left="567" w:right="539"/>
        <w:jc w:val="both"/>
        <w:rPr>
          <w:rFonts w:ascii="Palatino Linotype" w:eastAsia="Arial" w:hAnsi="Palatino Linotype" w:cs="Arial"/>
          <w:i/>
          <w:sz w:val="22"/>
          <w:lang w:val="es-MX" w:eastAsia="es-ES"/>
        </w:rPr>
      </w:pPr>
      <w:r w:rsidRPr="00795CC0">
        <w:rPr>
          <w:rFonts w:ascii="Palatino Linotype" w:eastAsia="Arial" w:hAnsi="Palatino Linotype" w:cs="Arial"/>
          <w:i/>
          <w:sz w:val="22"/>
          <w:lang w:val="es-MX" w:eastAsia="es-ES"/>
        </w:rPr>
        <w:t>“</w:t>
      </w:r>
      <w:r w:rsidRPr="00795CC0">
        <w:rPr>
          <w:rFonts w:ascii="Palatino Linotype" w:eastAsia="Arial" w:hAnsi="Palatino Linotype" w:cs="Arial"/>
          <w:b/>
          <w:i/>
          <w:sz w:val="22"/>
          <w:lang w:val="es-MX" w:eastAsia="es-ES"/>
        </w:rPr>
        <w:t xml:space="preserve">No existe obligación de elaborar </w:t>
      </w:r>
      <w:r w:rsidRPr="00795CC0">
        <w:rPr>
          <w:rFonts w:ascii="Palatino Linotype" w:eastAsia="Arial" w:hAnsi="Palatino Linotype" w:cs="Arial"/>
          <w:b/>
          <w:i/>
          <w:spacing w:val="-3"/>
          <w:sz w:val="22"/>
          <w:lang w:val="es-MX" w:eastAsia="es-ES"/>
        </w:rPr>
        <w:t>d</w:t>
      </w:r>
      <w:r w:rsidRPr="00795CC0">
        <w:rPr>
          <w:rFonts w:ascii="Palatino Linotype" w:eastAsia="Arial" w:hAnsi="Palatino Linotype" w:cs="Arial"/>
          <w:b/>
          <w:i/>
          <w:sz w:val="22"/>
          <w:lang w:val="es-MX" w:eastAsia="es-ES"/>
        </w:rPr>
        <w:t>ocum</w:t>
      </w:r>
      <w:r w:rsidRPr="00795CC0">
        <w:rPr>
          <w:rFonts w:ascii="Palatino Linotype" w:eastAsia="Arial" w:hAnsi="Palatino Linotype" w:cs="Arial"/>
          <w:b/>
          <w:i/>
          <w:spacing w:val="1"/>
          <w:sz w:val="22"/>
          <w:lang w:val="es-MX" w:eastAsia="es-ES"/>
        </w:rPr>
        <w:t>e</w:t>
      </w:r>
      <w:r w:rsidRPr="00795CC0">
        <w:rPr>
          <w:rFonts w:ascii="Palatino Linotype" w:eastAsia="Arial" w:hAnsi="Palatino Linotype" w:cs="Arial"/>
          <w:b/>
          <w:i/>
          <w:sz w:val="22"/>
          <w:lang w:val="es-MX" w:eastAsia="es-ES"/>
        </w:rPr>
        <w:t>n</w:t>
      </w:r>
      <w:r w:rsidRPr="00795CC0">
        <w:rPr>
          <w:rFonts w:ascii="Palatino Linotype" w:eastAsia="Arial" w:hAnsi="Palatino Linotype" w:cs="Arial"/>
          <w:b/>
          <w:i/>
          <w:spacing w:val="-1"/>
          <w:sz w:val="22"/>
          <w:lang w:val="es-MX" w:eastAsia="es-ES"/>
        </w:rPr>
        <w:t>t</w:t>
      </w:r>
      <w:r w:rsidRPr="00795CC0">
        <w:rPr>
          <w:rFonts w:ascii="Palatino Linotype" w:eastAsia="Arial" w:hAnsi="Palatino Linotype" w:cs="Arial"/>
          <w:b/>
          <w:i/>
          <w:sz w:val="22"/>
          <w:lang w:val="es-MX" w:eastAsia="es-ES"/>
        </w:rPr>
        <w:t>os</w:t>
      </w:r>
      <w:r w:rsidRPr="00795CC0">
        <w:rPr>
          <w:rFonts w:ascii="Palatino Linotype" w:eastAsia="Arial" w:hAnsi="Palatino Linotype" w:cs="Arial"/>
          <w:b/>
          <w:i/>
          <w:spacing w:val="14"/>
          <w:sz w:val="22"/>
          <w:lang w:val="es-MX" w:eastAsia="es-ES"/>
        </w:rPr>
        <w:t xml:space="preserve"> </w:t>
      </w:r>
      <w:r w:rsidRPr="00795CC0">
        <w:rPr>
          <w:rFonts w:ascii="Palatino Linotype" w:eastAsia="Arial" w:hAnsi="Palatino Linotype" w:cs="Arial"/>
          <w:b/>
          <w:i/>
          <w:spacing w:val="-1"/>
          <w:sz w:val="22"/>
          <w:lang w:val="es-MX" w:eastAsia="es-ES"/>
        </w:rPr>
        <w:t xml:space="preserve">ad </w:t>
      </w:r>
      <w:r w:rsidRPr="00795CC0">
        <w:rPr>
          <w:rFonts w:ascii="Palatino Linotype" w:eastAsia="Arial" w:hAnsi="Palatino Linotype" w:cs="Arial"/>
          <w:b/>
          <w:i/>
          <w:sz w:val="22"/>
          <w:lang w:val="es-MX" w:eastAsia="es-ES"/>
        </w:rPr>
        <w:t>hoc</w:t>
      </w:r>
      <w:r w:rsidRPr="00795CC0">
        <w:rPr>
          <w:rFonts w:ascii="Palatino Linotype" w:eastAsia="Arial" w:hAnsi="Palatino Linotype" w:cs="Arial"/>
          <w:b/>
          <w:i/>
          <w:spacing w:val="11"/>
          <w:sz w:val="22"/>
          <w:lang w:val="es-MX" w:eastAsia="es-ES"/>
        </w:rPr>
        <w:t xml:space="preserve"> </w:t>
      </w:r>
      <w:r w:rsidRPr="00795CC0">
        <w:rPr>
          <w:rFonts w:ascii="Palatino Linotype" w:eastAsia="Arial" w:hAnsi="Palatino Linotype" w:cs="Arial"/>
          <w:b/>
          <w:i/>
          <w:sz w:val="22"/>
          <w:lang w:val="es-MX" w:eastAsia="es-ES"/>
        </w:rPr>
        <w:t>para</w:t>
      </w:r>
      <w:r w:rsidRPr="00795CC0">
        <w:rPr>
          <w:rFonts w:ascii="Palatino Linotype" w:eastAsia="Arial" w:hAnsi="Palatino Linotype" w:cs="Arial"/>
          <w:b/>
          <w:i/>
          <w:spacing w:val="10"/>
          <w:sz w:val="22"/>
          <w:lang w:val="es-MX" w:eastAsia="es-ES"/>
        </w:rPr>
        <w:t xml:space="preserve"> </w:t>
      </w:r>
      <w:r w:rsidRPr="00795CC0">
        <w:rPr>
          <w:rFonts w:ascii="Palatino Linotype" w:eastAsia="Arial" w:hAnsi="Palatino Linotype" w:cs="Arial"/>
          <w:b/>
          <w:i/>
          <w:sz w:val="22"/>
          <w:lang w:val="es-MX" w:eastAsia="es-ES"/>
        </w:rPr>
        <w:t>atender las sol</w:t>
      </w:r>
      <w:r w:rsidRPr="00795CC0">
        <w:rPr>
          <w:rFonts w:ascii="Palatino Linotype" w:eastAsia="Arial" w:hAnsi="Palatino Linotype" w:cs="Arial"/>
          <w:b/>
          <w:i/>
          <w:spacing w:val="-2"/>
          <w:sz w:val="22"/>
          <w:lang w:val="es-MX" w:eastAsia="es-ES"/>
        </w:rPr>
        <w:t>i</w:t>
      </w:r>
      <w:r w:rsidRPr="00795CC0">
        <w:rPr>
          <w:rFonts w:ascii="Palatino Linotype" w:eastAsia="Arial" w:hAnsi="Palatino Linotype" w:cs="Arial"/>
          <w:b/>
          <w:i/>
          <w:spacing w:val="1"/>
          <w:sz w:val="22"/>
          <w:lang w:val="es-MX" w:eastAsia="es-ES"/>
        </w:rPr>
        <w:t>c</w:t>
      </w:r>
      <w:r w:rsidRPr="00795CC0">
        <w:rPr>
          <w:rFonts w:ascii="Palatino Linotype" w:eastAsia="Arial" w:hAnsi="Palatino Linotype" w:cs="Arial"/>
          <w:b/>
          <w:i/>
          <w:sz w:val="22"/>
          <w:lang w:val="es-MX" w:eastAsia="es-ES"/>
        </w:rPr>
        <w:t>itudes</w:t>
      </w:r>
      <w:r w:rsidRPr="00795CC0">
        <w:rPr>
          <w:rFonts w:ascii="Palatino Linotype" w:eastAsia="Arial" w:hAnsi="Palatino Linotype" w:cs="Arial"/>
          <w:b/>
          <w:i/>
          <w:spacing w:val="10"/>
          <w:sz w:val="22"/>
          <w:lang w:val="es-MX" w:eastAsia="es-ES"/>
        </w:rPr>
        <w:t xml:space="preserve"> </w:t>
      </w:r>
      <w:r w:rsidRPr="00795CC0">
        <w:rPr>
          <w:rFonts w:ascii="Palatino Linotype" w:eastAsia="Arial" w:hAnsi="Palatino Linotype" w:cs="Arial"/>
          <w:b/>
          <w:i/>
          <w:sz w:val="22"/>
          <w:lang w:val="es-MX" w:eastAsia="es-ES"/>
        </w:rPr>
        <w:t>de</w:t>
      </w:r>
      <w:r w:rsidRPr="00795CC0">
        <w:rPr>
          <w:rFonts w:ascii="Palatino Linotype" w:eastAsia="Arial" w:hAnsi="Palatino Linotype" w:cs="Arial"/>
          <w:b/>
          <w:i/>
          <w:spacing w:val="9"/>
          <w:sz w:val="22"/>
          <w:lang w:val="es-MX" w:eastAsia="es-ES"/>
        </w:rPr>
        <w:t xml:space="preserve"> </w:t>
      </w:r>
      <w:r w:rsidRPr="00795CC0">
        <w:rPr>
          <w:rFonts w:ascii="Palatino Linotype" w:eastAsia="Arial" w:hAnsi="Palatino Linotype" w:cs="Arial"/>
          <w:b/>
          <w:i/>
          <w:spacing w:val="1"/>
          <w:sz w:val="22"/>
          <w:lang w:val="es-MX" w:eastAsia="es-ES"/>
        </w:rPr>
        <w:t>ac</w:t>
      </w:r>
      <w:r w:rsidRPr="00795CC0">
        <w:rPr>
          <w:rFonts w:ascii="Palatino Linotype" w:eastAsia="Arial" w:hAnsi="Palatino Linotype" w:cs="Arial"/>
          <w:b/>
          <w:i/>
          <w:spacing w:val="-1"/>
          <w:sz w:val="22"/>
          <w:lang w:val="es-MX" w:eastAsia="es-ES"/>
        </w:rPr>
        <w:t>c</w:t>
      </w:r>
      <w:r w:rsidRPr="00795CC0">
        <w:rPr>
          <w:rFonts w:ascii="Palatino Linotype" w:eastAsia="Arial" w:hAnsi="Palatino Linotype" w:cs="Arial"/>
          <w:b/>
          <w:i/>
          <w:spacing w:val="1"/>
          <w:sz w:val="22"/>
          <w:lang w:val="es-MX" w:eastAsia="es-ES"/>
        </w:rPr>
        <w:t>es</w:t>
      </w:r>
      <w:r w:rsidRPr="00795CC0">
        <w:rPr>
          <w:rFonts w:ascii="Palatino Linotype" w:eastAsia="Arial" w:hAnsi="Palatino Linotype" w:cs="Arial"/>
          <w:b/>
          <w:i/>
          <w:sz w:val="22"/>
          <w:lang w:val="es-MX" w:eastAsia="es-ES"/>
        </w:rPr>
        <w:t>o</w:t>
      </w:r>
      <w:r w:rsidRPr="00795CC0">
        <w:rPr>
          <w:rFonts w:ascii="Palatino Linotype" w:eastAsia="Arial" w:hAnsi="Palatino Linotype" w:cs="Arial"/>
          <w:b/>
          <w:i/>
          <w:spacing w:val="11"/>
          <w:sz w:val="22"/>
          <w:lang w:val="es-MX" w:eastAsia="es-ES"/>
        </w:rPr>
        <w:t xml:space="preserve"> </w:t>
      </w:r>
      <w:r w:rsidRPr="00795CC0">
        <w:rPr>
          <w:rFonts w:ascii="Palatino Linotype" w:eastAsia="Arial" w:hAnsi="Palatino Linotype" w:cs="Arial"/>
          <w:b/>
          <w:i/>
          <w:sz w:val="22"/>
          <w:lang w:val="es-MX" w:eastAsia="es-ES"/>
        </w:rPr>
        <w:t>a</w:t>
      </w:r>
      <w:r w:rsidRPr="00795CC0">
        <w:rPr>
          <w:rFonts w:ascii="Palatino Linotype" w:eastAsia="Arial" w:hAnsi="Palatino Linotype" w:cs="Arial"/>
          <w:b/>
          <w:i/>
          <w:spacing w:val="9"/>
          <w:sz w:val="22"/>
          <w:lang w:val="es-MX" w:eastAsia="es-ES"/>
        </w:rPr>
        <w:t xml:space="preserve"> </w:t>
      </w:r>
      <w:r w:rsidRPr="00795CC0">
        <w:rPr>
          <w:rFonts w:ascii="Palatino Linotype" w:eastAsia="Arial" w:hAnsi="Palatino Linotype" w:cs="Arial"/>
          <w:b/>
          <w:i/>
          <w:sz w:val="22"/>
          <w:lang w:val="es-MX" w:eastAsia="es-ES"/>
        </w:rPr>
        <w:t>la</w:t>
      </w:r>
      <w:r w:rsidRPr="00795CC0">
        <w:rPr>
          <w:rFonts w:ascii="Palatino Linotype" w:eastAsia="Arial" w:hAnsi="Palatino Linotype" w:cs="Arial"/>
          <w:b/>
          <w:i/>
          <w:spacing w:val="10"/>
          <w:sz w:val="22"/>
          <w:lang w:val="es-MX" w:eastAsia="es-ES"/>
        </w:rPr>
        <w:t xml:space="preserve"> </w:t>
      </w:r>
      <w:r w:rsidRPr="00795CC0">
        <w:rPr>
          <w:rFonts w:ascii="Palatino Linotype" w:eastAsia="Arial" w:hAnsi="Palatino Linotype" w:cs="Arial"/>
          <w:b/>
          <w:i/>
          <w:sz w:val="22"/>
          <w:lang w:val="es-MX" w:eastAsia="es-ES"/>
        </w:rPr>
        <w:t>informa</w:t>
      </w:r>
      <w:r w:rsidRPr="00795CC0">
        <w:rPr>
          <w:rFonts w:ascii="Palatino Linotype" w:eastAsia="Arial" w:hAnsi="Palatino Linotype" w:cs="Arial"/>
          <w:b/>
          <w:i/>
          <w:spacing w:val="1"/>
          <w:sz w:val="22"/>
          <w:lang w:val="es-MX" w:eastAsia="es-ES"/>
        </w:rPr>
        <w:t>c</w:t>
      </w:r>
      <w:r w:rsidRPr="00795CC0">
        <w:rPr>
          <w:rFonts w:ascii="Palatino Linotype" w:eastAsia="Arial" w:hAnsi="Palatino Linotype" w:cs="Arial"/>
          <w:b/>
          <w:i/>
          <w:sz w:val="22"/>
          <w:lang w:val="es-MX" w:eastAsia="es-ES"/>
        </w:rPr>
        <w:t>ió</w:t>
      </w:r>
      <w:r w:rsidRPr="00795CC0">
        <w:rPr>
          <w:rFonts w:ascii="Palatino Linotype" w:eastAsia="Arial" w:hAnsi="Palatino Linotype" w:cs="Arial"/>
          <w:b/>
          <w:i/>
          <w:spacing w:val="-2"/>
          <w:sz w:val="22"/>
          <w:lang w:val="es-MX" w:eastAsia="es-ES"/>
        </w:rPr>
        <w:t>n</w:t>
      </w:r>
      <w:r w:rsidRPr="00795CC0">
        <w:rPr>
          <w:rFonts w:ascii="Palatino Linotype" w:eastAsia="Arial" w:hAnsi="Palatino Linotype" w:cs="Arial"/>
          <w:b/>
          <w:i/>
          <w:sz w:val="22"/>
          <w:lang w:val="es-MX" w:eastAsia="es-ES"/>
        </w:rPr>
        <w:t>.</w:t>
      </w:r>
      <w:r w:rsidRPr="00795CC0">
        <w:rPr>
          <w:rFonts w:ascii="Palatino Linotype" w:eastAsia="Arial" w:hAnsi="Palatino Linotype" w:cs="Arial"/>
          <w:b/>
          <w:i/>
          <w:spacing w:val="18"/>
          <w:sz w:val="22"/>
          <w:lang w:val="es-MX" w:eastAsia="es-ES"/>
        </w:rPr>
        <w:t xml:space="preserve"> </w:t>
      </w:r>
      <w:r w:rsidRPr="00795CC0">
        <w:rPr>
          <w:rFonts w:ascii="Palatino Linotype" w:eastAsia="Arial" w:hAnsi="Palatino Linotype" w:cs="Arial"/>
          <w:i/>
          <w:spacing w:val="18"/>
          <w:sz w:val="22"/>
          <w:lang w:val="es-MX" w:eastAsia="es-ES"/>
        </w:rPr>
        <w:t>L</w:t>
      </w:r>
      <w:r w:rsidRPr="00795CC0">
        <w:rPr>
          <w:rFonts w:ascii="Palatino Linotype" w:eastAsia="Arial" w:hAnsi="Palatino Linotype" w:cs="Arial"/>
          <w:i/>
          <w:spacing w:val="-1"/>
          <w:sz w:val="22"/>
          <w:lang w:val="es-MX" w:eastAsia="es-ES"/>
        </w:rPr>
        <w:t xml:space="preserve">os </w:t>
      </w:r>
      <w:r w:rsidRPr="00795CC0">
        <w:rPr>
          <w:rFonts w:ascii="Palatino Linotype" w:eastAsia="Arial" w:hAnsi="Palatino Linotype" w:cs="Arial"/>
          <w:i/>
          <w:spacing w:val="1"/>
          <w:sz w:val="22"/>
          <w:lang w:val="es-MX" w:eastAsia="es-ES"/>
        </w:rPr>
        <w:t>a</w:t>
      </w:r>
      <w:r w:rsidRPr="00795CC0">
        <w:rPr>
          <w:rFonts w:ascii="Palatino Linotype" w:eastAsia="Arial" w:hAnsi="Palatino Linotype" w:cs="Arial"/>
          <w:i/>
          <w:sz w:val="22"/>
          <w:lang w:val="es-MX" w:eastAsia="es-ES"/>
        </w:rPr>
        <w:t>rt</w:t>
      </w:r>
      <w:r w:rsidRPr="00795CC0">
        <w:rPr>
          <w:rFonts w:ascii="Palatino Linotype" w:eastAsia="Arial" w:hAnsi="Palatino Linotype" w:cs="Arial"/>
          <w:i/>
          <w:spacing w:val="-2"/>
          <w:sz w:val="22"/>
          <w:lang w:val="es-MX" w:eastAsia="es-ES"/>
        </w:rPr>
        <w:t>í</w:t>
      </w:r>
      <w:r w:rsidRPr="00795CC0">
        <w:rPr>
          <w:rFonts w:ascii="Palatino Linotype" w:eastAsia="Arial" w:hAnsi="Palatino Linotype" w:cs="Arial"/>
          <w:i/>
          <w:sz w:val="22"/>
          <w:lang w:val="es-MX" w:eastAsia="es-ES"/>
        </w:rPr>
        <w:t>c</w:t>
      </w:r>
      <w:r w:rsidRPr="00795CC0">
        <w:rPr>
          <w:rFonts w:ascii="Palatino Linotype" w:eastAsia="Arial" w:hAnsi="Palatino Linotype" w:cs="Arial"/>
          <w:i/>
          <w:spacing w:val="1"/>
          <w:sz w:val="22"/>
          <w:lang w:val="es-MX" w:eastAsia="es-ES"/>
        </w:rPr>
        <w:t>u</w:t>
      </w:r>
      <w:r w:rsidRPr="00795CC0">
        <w:rPr>
          <w:rFonts w:ascii="Palatino Linotype" w:eastAsia="Arial" w:hAnsi="Palatino Linotype" w:cs="Arial"/>
          <w:i/>
          <w:sz w:val="22"/>
          <w:lang w:val="es-MX" w:eastAsia="es-ES"/>
        </w:rPr>
        <w:t>los</w:t>
      </w:r>
      <w:r w:rsidRPr="00795CC0">
        <w:rPr>
          <w:rFonts w:ascii="Palatino Linotype" w:eastAsia="Arial" w:hAnsi="Palatino Linotype" w:cs="Arial"/>
          <w:i/>
          <w:spacing w:val="8"/>
          <w:sz w:val="22"/>
          <w:lang w:val="es-MX" w:eastAsia="es-ES"/>
        </w:rPr>
        <w:t xml:space="preserve"> 129 </w:t>
      </w:r>
      <w:r w:rsidRPr="00795CC0">
        <w:rPr>
          <w:rFonts w:ascii="Palatino Linotype" w:eastAsia="Arial" w:hAnsi="Palatino Linotype" w:cs="Arial"/>
          <w:i/>
          <w:spacing w:val="1"/>
          <w:sz w:val="22"/>
          <w:lang w:val="es-MX" w:eastAsia="es-ES"/>
        </w:rPr>
        <w:t>d</w:t>
      </w:r>
      <w:r w:rsidRPr="00795CC0">
        <w:rPr>
          <w:rFonts w:ascii="Palatino Linotype" w:eastAsia="Arial" w:hAnsi="Palatino Linotype" w:cs="Arial"/>
          <w:i/>
          <w:sz w:val="22"/>
          <w:lang w:val="es-MX" w:eastAsia="es-ES"/>
        </w:rPr>
        <w:t>e</w:t>
      </w:r>
      <w:r w:rsidRPr="00795CC0">
        <w:rPr>
          <w:rFonts w:ascii="Palatino Linotype" w:eastAsia="Arial" w:hAnsi="Palatino Linotype" w:cs="Arial"/>
          <w:i/>
          <w:spacing w:val="9"/>
          <w:sz w:val="22"/>
          <w:lang w:val="es-MX" w:eastAsia="es-ES"/>
        </w:rPr>
        <w:t xml:space="preserve"> </w:t>
      </w:r>
      <w:r w:rsidRPr="00795CC0">
        <w:rPr>
          <w:rFonts w:ascii="Palatino Linotype" w:eastAsia="Arial" w:hAnsi="Palatino Linotype" w:cs="Arial"/>
          <w:i/>
          <w:sz w:val="22"/>
          <w:lang w:val="es-MX" w:eastAsia="es-ES"/>
        </w:rPr>
        <w:t>la</w:t>
      </w:r>
      <w:r w:rsidRPr="00795CC0">
        <w:rPr>
          <w:rFonts w:ascii="Palatino Linotype" w:eastAsia="Arial" w:hAnsi="Palatino Linotype" w:cs="Arial"/>
          <w:i/>
          <w:spacing w:val="10"/>
          <w:sz w:val="22"/>
          <w:lang w:val="es-MX" w:eastAsia="es-ES"/>
        </w:rPr>
        <w:t xml:space="preserve"> </w:t>
      </w:r>
      <w:r w:rsidRPr="00795CC0">
        <w:rPr>
          <w:rFonts w:ascii="Palatino Linotype" w:eastAsia="Arial" w:hAnsi="Palatino Linotype" w:cs="Arial"/>
          <w:i/>
          <w:spacing w:val="-1"/>
          <w:sz w:val="22"/>
          <w:lang w:val="es-MX" w:eastAsia="es-ES"/>
        </w:rPr>
        <w:t>L</w:t>
      </w:r>
      <w:r w:rsidRPr="00795CC0">
        <w:rPr>
          <w:rFonts w:ascii="Palatino Linotype" w:eastAsia="Arial" w:hAnsi="Palatino Linotype" w:cs="Arial"/>
          <w:i/>
          <w:spacing w:val="1"/>
          <w:sz w:val="22"/>
          <w:lang w:val="es-MX" w:eastAsia="es-ES"/>
        </w:rPr>
        <w:t>e</w:t>
      </w:r>
      <w:r w:rsidRPr="00795CC0">
        <w:rPr>
          <w:rFonts w:ascii="Palatino Linotype" w:eastAsia="Arial" w:hAnsi="Palatino Linotype" w:cs="Arial"/>
          <w:i/>
          <w:sz w:val="22"/>
          <w:lang w:val="es-MX" w:eastAsia="es-ES"/>
        </w:rPr>
        <w:t>y</w:t>
      </w:r>
      <w:r w:rsidRPr="00795CC0">
        <w:rPr>
          <w:rFonts w:ascii="Palatino Linotype" w:eastAsia="Arial" w:hAnsi="Palatino Linotype" w:cs="Arial"/>
          <w:i/>
          <w:spacing w:val="8"/>
          <w:sz w:val="22"/>
          <w:lang w:val="es-MX" w:eastAsia="es-ES"/>
        </w:rPr>
        <w:t xml:space="preserve"> </w:t>
      </w:r>
      <w:r w:rsidRPr="00795CC0">
        <w:rPr>
          <w:rFonts w:ascii="Palatino Linotype" w:eastAsia="Arial" w:hAnsi="Palatino Linotype" w:cs="Arial"/>
          <w:i/>
          <w:sz w:val="22"/>
          <w:lang w:val="es-MX" w:eastAsia="es-ES"/>
        </w:rPr>
        <w:t>General</w:t>
      </w:r>
      <w:r w:rsidRPr="00795CC0">
        <w:rPr>
          <w:rFonts w:ascii="Palatino Linotype" w:eastAsia="Arial" w:hAnsi="Palatino Linotype" w:cs="Arial"/>
          <w:i/>
          <w:spacing w:val="10"/>
          <w:sz w:val="22"/>
          <w:lang w:val="es-MX" w:eastAsia="es-ES"/>
        </w:rPr>
        <w:t xml:space="preserve"> </w:t>
      </w:r>
      <w:r w:rsidRPr="00795CC0">
        <w:rPr>
          <w:rFonts w:ascii="Palatino Linotype" w:eastAsia="Arial" w:hAnsi="Palatino Linotype" w:cs="Arial"/>
          <w:i/>
          <w:spacing w:val="-1"/>
          <w:sz w:val="22"/>
          <w:lang w:val="es-MX" w:eastAsia="es-ES"/>
        </w:rPr>
        <w:t>d</w:t>
      </w:r>
      <w:r w:rsidRPr="00795CC0">
        <w:rPr>
          <w:rFonts w:ascii="Palatino Linotype" w:eastAsia="Arial" w:hAnsi="Palatino Linotype" w:cs="Arial"/>
          <w:i/>
          <w:sz w:val="22"/>
          <w:lang w:val="es-MX" w:eastAsia="es-ES"/>
        </w:rPr>
        <w:t>e</w:t>
      </w:r>
      <w:r w:rsidRPr="00795CC0">
        <w:rPr>
          <w:rFonts w:ascii="Palatino Linotype" w:eastAsia="Arial" w:hAnsi="Palatino Linotype" w:cs="Arial"/>
          <w:i/>
          <w:spacing w:val="9"/>
          <w:sz w:val="22"/>
          <w:lang w:val="es-MX" w:eastAsia="es-ES"/>
        </w:rPr>
        <w:t xml:space="preserve"> </w:t>
      </w:r>
      <w:r w:rsidRPr="00795CC0">
        <w:rPr>
          <w:rFonts w:ascii="Palatino Linotype" w:eastAsia="Arial" w:hAnsi="Palatino Linotype" w:cs="Arial"/>
          <w:i/>
          <w:spacing w:val="2"/>
          <w:sz w:val="22"/>
          <w:lang w:val="es-MX" w:eastAsia="es-ES"/>
        </w:rPr>
        <w:t>T</w:t>
      </w:r>
      <w:r w:rsidRPr="00795CC0">
        <w:rPr>
          <w:rFonts w:ascii="Palatino Linotype" w:eastAsia="Arial" w:hAnsi="Palatino Linotype" w:cs="Arial"/>
          <w:i/>
          <w:sz w:val="22"/>
          <w:lang w:val="es-MX" w:eastAsia="es-ES"/>
        </w:rPr>
        <w:t>r</w:t>
      </w:r>
      <w:r w:rsidRPr="00795CC0">
        <w:rPr>
          <w:rFonts w:ascii="Palatino Linotype" w:eastAsia="Arial" w:hAnsi="Palatino Linotype" w:cs="Arial"/>
          <w:i/>
          <w:spacing w:val="-2"/>
          <w:sz w:val="22"/>
          <w:lang w:val="es-MX" w:eastAsia="es-ES"/>
        </w:rPr>
        <w:t>a</w:t>
      </w:r>
      <w:r w:rsidRPr="00795CC0">
        <w:rPr>
          <w:rFonts w:ascii="Palatino Linotype" w:eastAsia="Arial" w:hAnsi="Palatino Linotype" w:cs="Arial"/>
          <w:i/>
          <w:spacing w:val="1"/>
          <w:sz w:val="22"/>
          <w:lang w:val="es-MX" w:eastAsia="es-ES"/>
        </w:rPr>
        <w:t>n</w:t>
      </w:r>
      <w:r w:rsidRPr="00795CC0">
        <w:rPr>
          <w:rFonts w:ascii="Palatino Linotype" w:eastAsia="Arial" w:hAnsi="Palatino Linotype" w:cs="Arial"/>
          <w:i/>
          <w:sz w:val="22"/>
          <w:lang w:val="es-MX" w:eastAsia="es-ES"/>
        </w:rPr>
        <w:t>s</w:t>
      </w:r>
      <w:r w:rsidRPr="00795CC0">
        <w:rPr>
          <w:rFonts w:ascii="Palatino Linotype" w:eastAsia="Arial" w:hAnsi="Palatino Linotype" w:cs="Arial"/>
          <w:i/>
          <w:spacing w:val="1"/>
          <w:sz w:val="22"/>
          <w:lang w:val="es-MX" w:eastAsia="es-ES"/>
        </w:rPr>
        <w:t>pa</w:t>
      </w:r>
      <w:r w:rsidRPr="00795CC0">
        <w:rPr>
          <w:rFonts w:ascii="Palatino Linotype" w:eastAsia="Arial" w:hAnsi="Palatino Linotype" w:cs="Arial"/>
          <w:i/>
          <w:sz w:val="22"/>
          <w:lang w:val="es-MX" w:eastAsia="es-ES"/>
        </w:rPr>
        <w:t>r</w:t>
      </w:r>
      <w:r w:rsidRPr="00795CC0">
        <w:rPr>
          <w:rFonts w:ascii="Palatino Linotype" w:eastAsia="Arial" w:hAnsi="Palatino Linotype" w:cs="Arial"/>
          <w:i/>
          <w:spacing w:val="-2"/>
          <w:sz w:val="22"/>
          <w:lang w:val="es-MX" w:eastAsia="es-ES"/>
        </w:rPr>
        <w:t>e</w:t>
      </w:r>
      <w:r w:rsidRPr="00795CC0">
        <w:rPr>
          <w:rFonts w:ascii="Palatino Linotype" w:eastAsia="Arial" w:hAnsi="Palatino Linotype" w:cs="Arial"/>
          <w:i/>
          <w:spacing w:val="1"/>
          <w:sz w:val="22"/>
          <w:lang w:val="es-MX" w:eastAsia="es-ES"/>
        </w:rPr>
        <w:t>n</w:t>
      </w:r>
      <w:r w:rsidRPr="00795CC0">
        <w:rPr>
          <w:rFonts w:ascii="Palatino Linotype" w:eastAsia="Arial" w:hAnsi="Palatino Linotype" w:cs="Arial"/>
          <w:i/>
          <w:sz w:val="22"/>
          <w:lang w:val="es-MX" w:eastAsia="es-ES"/>
        </w:rPr>
        <w:t>cia y Acc</w:t>
      </w:r>
      <w:r w:rsidRPr="00795CC0">
        <w:rPr>
          <w:rFonts w:ascii="Palatino Linotype" w:eastAsia="Arial" w:hAnsi="Palatino Linotype" w:cs="Arial"/>
          <w:i/>
          <w:spacing w:val="1"/>
          <w:sz w:val="22"/>
          <w:lang w:val="es-MX" w:eastAsia="es-ES"/>
        </w:rPr>
        <w:t>e</w:t>
      </w:r>
      <w:r w:rsidRPr="00795CC0">
        <w:rPr>
          <w:rFonts w:ascii="Palatino Linotype" w:eastAsia="Arial" w:hAnsi="Palatino Linotype" w:cs="Arial"/>
          <w:i/>
          <w:sz w:val="22"/>
          <w:lang w:val="es-MX" w:eastAsia="es-ES"/>
        </w:rPr>
        <w:t>so</w:t>
      </w:r>
      <w:r w:rsidRPr="00795CC0">
        <w:rPr>
          <w:rFonts w:ascii="Palatino Linotype" w:eastAsia="Arial" w:hAnsi="Palatino Linotype" w:cs="Arial"/>
          <w:i/>
          <w:spacing w:val="3"/>
          <w:sz w:val="22"/>
          <w:lang w:val="es-MX" w:eastAsia="es-ES"/>
        </w:rPr>
        <w:t xml:space="preserve"> </w:t>
      </w:r>
      <w:r w:rsidRPr="00795CC0">
        <w:rPr>
          <w:rFonts w:ascii="Palatino Linotype" w:eastAsia="Arial" w:hAnsi="Palatino Linotype" w:cs="Arial"/>
          <w:i/>
          <w:sz w:val="22"/>
          <w:lang w:val="es-MX" w:eastAsia="es-ES"/>
        </w:rPr>
        <w:t>a</w:t>
      </w:r>
      <w:r w:rsidRPr="00795CC0">
        <w:rPr>
          <w:rFonts w:ascii="Palatino Linotype" w:eastAsia="Arial" w:hAnsi="Palatino Linotype" w:cs="Arial"/>
          <w:i/>
          <w:spacing w:val="1"/>
          <w:sz w:val="22"/>
          <w:lang w:val="es-MX" w:eastAsia="es-ES"/>
        </w:rPr>
        <w:t xml:space="preserve"> </w:t>
      </w:r>
      <w:r w:rsidRPr="00795CC0">
        <w:rPr>
          <w:rFonts w:ascii="Palatino Linotype" w:eastAsia="Arial" w:hAnsi="Palatino Linotype" w:cs="Arial"/>
          <w:i/>
          <w:sz w:val="22"/>
          <w:lang w:val="es-MX" w:eastAsia="es-ES"/>
        </w:rPr>
        <w:t>la I</w:t>
      </w:r>
      <w:r w:rsidRPr="00795CC0">
        <w:rPr>
          <w:rFonts w:ascii="Palatino Linotype" w:eastAsia="Arial" w:hAnsi="Palatino Linotype" w:cs="Arial"/>
          <w:i/>
          <w:spacing w:val="-1"/>
          <w:sz w:val="22"/>
          <w:lang w:val="es-MX" w:eastAsia="es-ES"/>
        </w:rPr>
        <w:t>n</w:t>
      </w:r>
      <w:r w:rsidRPr="00795CC0">
        <w:rPr>
          <w:rFonts w:ascii="Palatino Linotype" w:eastAsia="Arial" w:hAnsi="Palatino Linotype" w:cs="Arial"/>
          <w:i/>
          <w:sz w:val="22"/>
          <w:lang w:val="es-MX" w:eastAsia="es-ES"/>
        </w:rPr>
        <w:t>f</w:t>
      </w:r>
      <w:r w:rsidRPr="00795CC0">
        <w:rPr>
          <w:rFonts w:ascii="Palatino Linotype" w:eastAsia="Arial" w:hAnsi="Palatino Linotype" w:cs="Arial"/>
          <w:i/>
          <w:spacing w:val="1"/>
          <w:sz w:val="22"/>
          <w:lang w:val="es-MX" w:eastAsia="es-ES"/>
        </w:rPr>
        <w:t>o</w:t>
      </w:r>
      <w:r w:rsidRPr="00795CC0">
        <w:rPr>
          <w:rFonts w:ascii="Palatino Linotype" w:eastAsia="Arial" w:hAnsi="Palatino Linotype" w:cs="Arial"/>
          <w:i/>
          <w:spacing w:val="-3"/>
          <w:sz w:val="22"/>
          <w:lang w:val="es-MX" w:eastAsia="es-ES"/>
        </w:rPr>
        <w:t>r</w:t>
      </w:r>
      <w:r w:rsidRPr="00795CC0">
        <w:rPr>
          <w:rFonts w:ascii="Palatino Linotype" w:eastAsia="Arial" w:hAnsi="Palatino Linotype" w:cs="Arial"/>
          <w:i/>
          <w:spacing w:val="1"/>
          <w:sz w:val="22"/>
          <w:lang w:val="es-MX" w:eastAsia="es-ES"/>
        </w:rPr>
        <w:t>ma</w:t>
      </w:r>
      <w:r w:rsidRPr="00795CC0">
        <w:rPr>
          <w:rFonts w:ascii="Palatino Linotype" w:eastAsia="Arial" w:hAnsi="Palatino Linotype" w:cs="Arial"/>
          <w:i/>
          <w:sz w:val="22"/>
          <w:lang w:val="es-MX" w:eastAsia="es-ES"/>
        </w:rPr>
        <w:t>ci</w:t>
      </w:r>
      <w:r w:rsidRPr="00795CC0">
        <w:rPr>
          <w:rFonts w:ascii="Palatino Linotype" w:eastAsia="Arial" w:hAnsi="Palatino Linotype" w:cs="Arial"/>
          <w:i/>
          <w:spacing w:val="-2"/>
          <w:sz w:val="22"/>
          <w:lang w:val="es-MX" w:eastAsia="es-ES"/>
        </w:rPr>
        <w:t>ó</w:t>
      </w:r>
      <w:r w:rsidRPr="00795CC0">
        <w:rPr>
          <w:rFonts w:ascii="Palatino Linotype" w:eastAsia="Arial" w:hAnsi="Palatino Linotype" w:cs="Arial"/>
          <w:i/>
          <w:sz w:val="22"/>
          <w:lang w:val="es-MX" w:eastAsia="es-ES"/>
        </w:rPr>
        <w:t>n</w:t>
      </w:r>
      <w:r w:rsidRPr="00795CC0">
        <w:rPr>
          <w:rFonts w:ascii="Palatino Linotype" w:eastAsia="Arial" w:hAnsi="Palatino Linotype" w:cs="Arial"/>
          <w:i/>
          <w:spacing w:val="6"/>
          <w:sz w:val="22"/>
          <w:lang w:val="es-MX" w:eastAsia="es-ES"/>
        </w:rPr>
        <w:t xml:space="preserve"> </w:t>
      </w:r>
      <w:r w:rsidRPr="00795CC0">
        <w:rPr>
          <w:rFonts w:ascii="Palatino Linotype" w:eastAsia="Arial" w:hAnsi="Palatino Linotype" w:cs="Arial"/>
          <w:i/>
          <w:spacing w:val="-2"/>
          <w:sz w:val="22"/>
          <w:lang w:val="es-MX" w:eastAsia="es-ES"/>
        </w:rPr>
        <w:t>P</w:t>
      </w:r>
      <w:r w:rsidRPr="00795CC0">
        <w:rPr>
          <w:rFonts w:ascii="Palatino Linotype" w:eastAsia="Arial" w:hAnsi="Palatino Linotype" w:cs="Arial"/>
          <w:i/>
          <w:spacing w:val="1"/>
          <w:sz w:val="22"/>
          <w:lang w:val="es-MX" w:eastAsia="es-ES"/>
        </w:rPr>
        <w:t>úb</w:t>
      </w:r>
      <w:r w:rsidRPr="00795CC0">
        <w:rPr>
          <w:rFonts w:ascii="Palatino Linotype" w:eastAsia="Arial" w:hAnsi="Palatino Linotype" w:cs="Arial"/>
          <w:i/>
          <w:sz w:val="22"/>
          <w:lang w:val="es-MX" w:eastAsia="es-ES"/>
        </w:rPr>
        <w:t>l</w:t>
      </w:r>
      <w:r w:rsidRPr="00795CC0">
        <w:rPr>
          <w:rFonts w:ascii="Palatino Linotype" w:eastAsia="Arial" w:hAnsi="Palatino Linotype" w:cs="Arial"/>
          <w:i/>
          <w:spacing w:val="-1"/>
          <w:sz w:val="22"/>
          <w:lang w:val="es-MX" w:eastAsia="es-ES"/>
        </w:rPr>
        <w:t>i</w:t>
      </w:r>
      <w:r w:rsidRPr="00795CC0">
        <w:rPr>
          <w:rFonts w:ascii="Palatino Linotype" w:eastAsia="Arial" w:hAnsi="Palatino Linotype" w:cs="Arial"/>
          <w:i/>
          <w:sz w:val="22"/>
          <w:lang w:val="es-MX" w:eastAsia="es-ES"/>
        </w:rPr>
        <w:t xml:space="preserve">ca y </w:t>
      </w:r>
      <w:r w:rsidRPr="00795CC0">
        <w:rPr>
          <w:rFonts w:ascii="Palatino Linotype" w:eastAsia="Arial" w:hAnsi="Palatino Linotype" w:cs="Arial"/>
          <w:i/>
          <w:spacing w:val="8"/>
          <w:sz w:val="22"/>
          <w:lang w:val="es-MX" w:eastAsia="es-ES"/>
        </w:rPr>
        <w:t xml:space="preserve">130, párrafo cuarto, </w:t>
      </w:r>
      <w:r w:rsidRPr="00795CC0">
        <w:rPr>
          <w:rFonts w:ascii="Palatino Linotype" w:eastAsia="Arial" w:hAnsi="Palatino Linotype" w:cs="Arial"/>
          <w:i/>
          <w:spacing w:val="1"/>
          <w:sz w:val="22"/>
          <w:lang w:val="es-MX" w:eastAsia="es-ES"/>
        </w:rPr>
        <w:t>d</w:t>
      </w:r>
      <w:r w:rsidRPr="00795CC0">
        <w:rPr>
          <w:rFonts w:ascii="Palatino Linotype" w:eastAsia="Arial" w:hAnsi="Palatino Linotype" w:cs="Arial"/>
          <w:i/>
          <w:sz w:val="22"/>
          <w:lang w:val="es-MX" w:eastAsia="es-ES"/>
        </w:rPr>
        <w:t>e</w:t>
      </w:r>
      <w:r w:rsidRPr="00795CC0">
        <w:rPr>
          <w:rFonts w:ascii="Palatino Linotype" w:eastAsia="Arial" w:hAnsi="Palatino Linotype" w:cs="Arial"/>
          <w:i/>
          <w:spacing w:val="9"/>
          <w:sz w:val="22"/>
          <w:lang w:val="es-MX" w:eastAsia="es-ES"/>
        </w:rPr>
        <w:t xml:space="preserve"> </w:t>
      </w:r>
      <w:r w:rsidRPr="00795CC0">
        <w:rPr>
          <w:rFonts w:ascii="Palatino Linotype" w:eastAsia="Arial" w:hAnsi="Palatino Linotype" w:cs="Arial"/>
          <w:i/>
          <w:sz w:val="22"/>
          <w:lang w:val="es-MX" w:eastAsia="es-ES"/>
        </w:rPr>
        <w:t>la</w:t>
      </w:r>
      <w:r w:rsidRPr="00795CC0">
        <w:rPr>
          <w:rFonts w:ascii="Palatino Linotype" w:eastAsia="Arial" w:hAnsi="Palatino Linotype" w:cs="Arial"/>
          <w:i/>
          <w:spacing w:val="10"/>
          <w:sz w:val="22"/>
          <w:lang w:val="es-MX" w:eastAsia="es-ES"/>
        </w:rPr>
        <w:t xml:space="preserve"> </w:t>
      </w:r>
      <w:r w:rsidRPr="00795CC0">
        <w:rPr>
          <w:rFonts w:ascii="Palatino Linotype" w:eastAsia="Arial" w:hAnsi="Palatino Linotype" w:cs="Arial"/>
          <w:i/>
          <w:spacing w:val="-1"/>
          <w:sz w:val="22"/>
          <w:lang w:val="es-MX" w:eastAsia="es-ES"/>
        </w:rPr>
        <w:t>L</w:t>
      </w:r>
      <w:r w:rsidRPr="00795CC0">
        <w:rPr>
          <w:rFonts w:ascii="Palatino Linotype" w:eastAsia="Arial" w:hAnsi="Palatino Linotype" w:cs="Arial"/>
          <w:i/>
          <w:spacing w:val="1"/>
          <w:sz w:val="22"/>
          <w:lang w:val="es-MX" w:eastAsia="es-ES"/>
        </w:rPr>
        <w:t>e</w:t>
      </w:r>
      <w:r w:rsidRPr="00795CC0">
        <w:rPr>
          <w:rFonts w:ascii="Palatino Linotype" w:eastAsia="Arial" w:hAnsi="Palatino Linotype" w:cs="Arial"/>
          <w:i/>
          <w:sz w:val="22"/>
          <w:lang w:val="es-MX" w:eastAsia="es-ES"/>
        </w:rPr>
        <w:t>y</w:t>
      </w:r>
      <w:r w:rsidRPr="00795CC0">
        <w:rPr>
          <w:rFonts w:ascii="Palatino Linotype" w:eastAsia="Arial" w:hAnsi="Palatino Linotype" w:cs="Arial"/>
          <w:i/>
          <w:spacing w:val="8"/>
          <w:sz w:val="22"/>
          <w:lang w:val="es-MX" w:eastAsia="es-ES"/>
        </w:rPr>
        <w:t xml:space="preserve"> </w:t>
      </w:r>
      <w:r w:rsidRPr="00795CC0">
        <w:rPr>
          <w:rFonts w:ascii="Palatino Linotype" w:eastAsia="Arial" w:hAnsi="Palatino Linotype" w:cs="Arial"/>
          <w:i/>
          <w:sz w:val="22"/>
          <w:lang w:val="es-MX" w:eastAsia="es-ES"/>
        </w:rPr>
        <w:t>Fe</w:t>
      </w:r>
      <w:r w:rsidRPr="00795CC0">
        <w:rPr>
          <w:rFonts w:ascii="Palatino Linotype" w:eastAsia="Arial" w:hAnsi="Palatino Linotype" w:cs="Arial"/>
          <w:i/>
          <w:spacing w:val="1"/>
          <w:sz w:val="22"/>
          <w:lang w:val="es-MX" w:eastAsia="es-ES"/>
        </w:rPr>
        <w:t>de</w:t>
      </w:r>
      <w:r w:rsidRPr="00795CC0">
        <w:rPr>
          <w:rFonts w:ascii="Palatino Linotype" w:eastAsia="Arial" w:hAnsi="Palatino Linotype" w:cs="Arial"/>
          <w:i/>
          <w:sz w:val="22"/>
          <w:lang w:val="es-MX" w:eastAsia="es-ES"/>
        </w:rPr>
        <w:t>ral</w:t>
      </w:r>
      <w:r w:rsidRPr="00795CC0">
        <w:rPr>
          <w:rFonts w:ascii="Palatino Linotype" w:eastAsia="Arial" w:hAnsi="Palatino Linotype" w:cs="Arial"/>
          <w:i/>
          <w:spacing w:val="10"/>
          <w:sz w:val="22"/>
          <w:lang w:val="es-MX" w:eastAsia="es-ES"/>
        </w:rPr>
        <w:t xml:space="preserve"> </w:t>
      </w:r>
      <w:r w:rsidRPr="00795CC0">
        <w:rPr>
          <w:rFonts w:ascii="Palatino Linotype" w:eastAsia="Arial" w:hAnsi="Palatino Linotype" w:cs="Arial"/>
          <w:i/>
          <w:spacing w:val="-1"/>
          <w:sz w:val="22"/>
          <w:lang w:val="es-MX" w:eastAsia="es-ES"/>
        </w:rPr>
        <w:t>d</w:t>
      </w:r>
      <w:r w:rsidRPr="00795CC0">
        <w:rPr>
          <w:rFonts w:ascii="Palatino Linotype" w:eastAsia="Arial" w:hAnsi="Palatino Linotype" w:cs="Arial"/>
          <w:i/>
          <w:sz w:val="22"/>
          <w:lang w:val="es-MX" w:eastAsia="es-ES"/>
        </w:rPr>
        <w:t>e</w:t>
      </w:r>
      <w:r w:rsidRPr="00795CC0">
        <w:rPr>
          <w:rFonts w:ascii="Palatino Linotype" w:eastAsia="Arial" w:hAnsi="Palatino Linotype" w:cs="Arial"/>
          <w:i/>
          <w:spacing w:val="9"/>
          <w:sz w:val="22"/>
          <w:lang w:val="es-MX" w:eastAsia="es-ES"/>
        </w:rPr>
        <w:t xml:space="preserve"> </w:t>
      </w:r>
      <w:r w:rsidRPr="00795CC0">
        <w:rPr>
          <w:rFonts w:ascii="Palatino Linotype" w:eastAsia="Arial" w:hAnsi="Palatino Linotype" w:cs="Arial"/>
          <w:i/>
          <w:spacing w:val="2"/>
          <w:sz w:val="22"/>
          <w:lang w:val="es-MX" w:eastAsia="es-ES"/>
        </w:rPr>
        <w:t>T</w:t>
      </w:r>
      <w:r w:rsidRPr="00795CC0">
        <w:rPr>
          <w:rFonts w:ascii="Palatino Linotype" w:eastAsia="Arial" w:hAnsi="Palatino Linotype" w:cs="Arial"/>
          <w:i/>
          <w:sz w:val="22"/>
          <w:lang w:val="es-MX" w:eastAsia="es-ES"/>
        </w:rPr>
        <w:t>r</w:t>
      </w:r>
      <w:r w:rsidRPr="00795CC0">
        <w:rPr>
          <w:rFonts w:ascii="Palatino Linotype" w:eastAsia="Arial" w:hAnsi="Palatino Linotype" w:cs="Arial"/>
          <w:i/>
          <w:spacing w:val="-2"/>
          <w:sz w:val="22"/>
          <w:lang w:val="es-MX" w:eastAsia="es-ES"/>
        </w:rPr>
        <w:t>a</w:t>
      </w:r>
      <w:r w:rsidRPr="00795CC0">
        <w:rPr>
          <w:rFonts w:ascii="Palatino Linotype" w:eastAsia="Arial" w:hAnsi="Palatino Linotype" w:cs="Arial"/>
          <w:i/>
          <w:spacing w:val="1"/>
          <w:sz w:val="22"/>
          <w:lang w:val="es-MX" w:eastAsia="es-ES"/>
        </w:rPr>
        <w:t>n</w:t>
      </w:r>
      <w:r w:rsidRPr="00795CC0">
        <w:rPr>
          <w:rFonts w:ascii="Palatino Linotype" w:eastAsia="Arial" w:hAnsi="Palatino Linotype" w:cs="Arial"/>
          <w:i/>
          <w:sz w:val="22"/>
          <w:lang w:val="es-MX" w:eastAsia="es-ES"/>
        </w:rPr>
        <w:t>s</w:t>
      </w:r>
      <w:r w:rsidRPr="00795CC0">
        <w:rPr>
          <w:rFonts w:ascii="Palatino Linotype" w:eastAsia="Arial" w:hAnsi="Palatino Linotype" w:cs="Arial"/>
          <w:i/>
          <w:spacing w:val="1"/>
          <w:sz w:val="22"/>
          <w:lang w:val="es-MX" w:eastAsia="es-ES"/>
        </w:rPr>
        <w:t>pa</w:t>
      </w:r>
      <w:r w:rsidRPr="00795CC0">
        <w:rPr>
          <w:rFonts w:ascii="Palatino Linotype" w:eastAsia="Arial" w:hAnsi="Palatino Linotype" w:cs="Arial"/>
          <w:i/>
          <w:sz w:val="22"/>
          <w:lang w:val="es-MX" w:eastAsia="es-ES"/>
        </w:rPr>
        <w:t>r</w:t>
      </w:r>
      <w:r w:rsidRPr="00795CC0">
        <w:rPr>
          <w:rFonts w:ascii="Palatino Linotype" w:eastAsia="Arial" w:hAnsi="Palatino Linotype" w:cs="Arial"/>
          <w:i/>
          <w:spacing w:val="-2"/>
          <w:sz w:val="22"/>
          <w:lang w:val="es-MX" w:eastAsia="es-ES"/>
        </w:rPr>
        <w:t>e</w:t>
      </w:r>
      <w:r w:rsidRPr="00795CC0">
        <w:rPr>
          <w:rFonts w:ascii="Palatino Linotype" w:eastAsia="Arial" w:hAnsi="Palatino Linotype" w:cs="Arial"/>
          <w:i/>
          <w:spacing w:val="1"/>
          <w:sz w:val="22"/>
          <w:lang w:val="es-MX" w:eastAsia="es-ES"/>
        </w:rPr>
        <w:t>n</w:t>
      </w:r>
      <w:r w:rsidRPr="00795CC0">
        <w:rPr>
          <w:rFonts w:ascii="Palatino Linotype" w:eastAsia="Arial" w:hAnsi="Palatino Linotype" w:cs="Arial"/>
          <w:i/>
          <w:sz w:val="22"/>
          <w:lang w:val="es-MX" w:eastAsia="es-ES"/>
        </w:rPr>
        <w:t>cia y Acc</w:t>
      </w:r>
      <w:r w:rsidRPr="00795CC0">
        <w:rPr>
          <w:rFonts w:ascii="Palatino Linotype" w:eastAsia="Arial" w:hAnsi="Palatino Linotype" w:cs="Arial"/>
          <w:i/>
          <w:spacing w:val="1"/>
          <w:sz w:val="22"/>
          <w:lang w:val="es-MX" w:eastAsia="es-ES"/>
        </w:rPr>
        <w:t>e</w:t>
      </w:r>
      <w:r w:rsidRPr="00795CC0">
        <w:rPr>
          <w:rFonts w:ascii="Palatino Linotype" w:eastAsia="Arial" w:hAnsi="Palatino Linotype" w:cs="Arial"/>
          <w:i/>
          <w:sz w:val="22"/>
          <w:lang w:val="es-MX" w:eastAsia="es-ES"/>
        </w:rPr>
        <w:t>so</w:t>
      </w:r>
      <w:r w:rsidRPr="00795CC0">
        <w:rPr>
          <w:rFonts w:ascii="Palatino Linotype" w:eastAsia="Arial" w:hAnsi="Palatino Linotype" w:cs="Arial"/>
          <w:i/>
          <w:spacing w:val="3"/>
          <w:sz w:val="22"/>
          <w:lang w:val="es-MX" w:eastAsia="es-ES"/>
        </w:rPr>
        <w:t xml:space="preserve"> </w:t>
      </w:r>
      <w:r w:rsidRPr="00795CC0">
        <w:rPr>
          <w:rFonts w:ascii="Palatino Linotype" w:eastAsia="Arial" w:hAnsi="Palatino Linotype" w:cs="Arial"/>
          <w:i/>
          <w:sz w:val="22"/>
          <w:lang w:val="es-MX" w:eastAsia="es-ES"/>
        </w:rPr>
        <w:t>a</w:t>
      </w:r>
      <w:r w:rsidRPr="00795CC0">
        <w:rPr>
          <w:rFonts w:ascii="Palatino Linotype" w:eastAsia="Arial" w:hAnsi="Palatino Linotype" w:cs="Arial"/>
          <w:i/>
          <w:spacing w:val="1"/>
          <w:sz w:val="22"/>
          <w:lang w:val="es-MX" w:eastAsia="es-ES"/>
        </w:rPr>
        <w:t xml:space="preserve"> </w:t>
      </w:r>
      <w:r w:rsidRPr="00795CC0">
        <w:rPr>
          <w:rFonts w:ascii="Palatino Linotype" w:eastAsia="Arial" w:hAnsi="Palatino Linotype" w:cs="Arial"/>
          <w:i/>
          <w:sz w:val="22"/>
          <w:lang w:val="es-MX" w:eastAsia="es-ES"/>
        </w:rPr>
        <w:t>la I</w:t>
      </w:r>
      <w:r w:rsidRPr="00795CC0">
        <w:rPr>
          <w:rFonts w:ascii="Palatino Linotype" w:eastAsia="Arial" w:hAnsi="Palatino Linotype" w:cs="Arial"/>
          <w:i/>
          <w:spacing w:val="-1"/>
          <w:sz w:val="22"/>
          <w:lang w:val="es-MX" w:eastAsia="es-ES"/>
        </w:rPr>
        <w:t>n</w:t>
      </w:r>
      <w:r w:rsidRPr="00795CC0">
        <w:rPr>
          <w:rFonts w:ascii="Palatino Linotype" w:eastAsia="Arial" w:hAnsi="Palatino Linotype" w:cs="Arial"/>
          <w:i/>
          <w:sz w:val="22"/>
          <w:lang w:val="es-MX" w:eastAsia="es-ES"/>
        </w:rPr>
        <w:t>f</w:t>
      </w:r>
      <w:r w:rsidRPr="00795CC0">
        <w:rPr>
          <w:rFonts w:ascii="Palatino Linotype" w:eastAsia="Arial" w:hAnsi="Palatino Linotype" w:cs="Arial"/>
          <w:i/>
          <w:spacing w:val="1"/>
          <w:sz w:val="22"/>
          <w:lang w:val="es-MX" w:eastAsia="es-ES"/>
        </w:rPr>
        <w:t>o</w:t>
      </w:r>
      <w:r w:rsidRPr="00795CC0">
        <w:rPr>
          <w:rFonts w:ascii="Palatino Linotype" w:eastAsia="Arial" w:hAnsi="Palatino Linotype" w:cs="Arial"/>
          <w:i/>
          <w:spacing w:val="-3"/>
          <w:sz w:val="22"/>
          <w:lang w:val="es-MX" w:eastAsia="es-ES"/>
        </w:rPr>
        <w:t>r</w:t>
      </w:r>
      <w:r w:rsidRPr="00795CC0">
        <w:rPr>
          <w:rFonts w:ascii="Palatino Linotype" w:eastAsia="Arial" w:hAnsi="Palatino Linotype" w:cs="Arial"/>
          <w:i/>
          <w:spacing w:val="1"/>
          <w:sz w:val="22"/>
          <w:lang w:val="es-MX" w:eastAsia="es-ES"/>
        </w:rPr>
        <w:t>ma</w:t>
      </w:r>
      <w:r w:rsidRPr="00795CC0">
        <w:rPr>
          <w:rFonts w:ascii="Palatino Linotype" w:eastAsia="Arial" w:hAnsi="Palatino Linotype" w:cs="Arial"/>
          <w:i/>
          <w:sz w:val="22"/>
          <w:lang w:val="es-MX" w:eastAsia="es-ES"/>
        </w:rPr>
        <w:t>ci</w:t>
      </w:r>
      <w:r w:rsidRPr="00795CC0">
        <w:rPr>
          <w:rFonts w:ascii="Palatino Linotype" w:eastAsia="Arial" w:hAnsi="Palatino Linotype" w:cs="Arial"/>
          <w:i/>
          <w:spacing w:val="-2"/>
          <w:sz w:val="22"/>
          <w:lang w:val="es-MX" w:eastAsia="es-ES"/>
        </w:rPr>
        <w:t>ó</w:t>
      </w:r>
      <w:r w:rsidRPr="00795CC0">
        <w:rPr>
          <w:rFonts w:ascii="Palatino Linotype" w:eastAsia="Arial" w:hAnsi="Palatino Linotype" w:cs="Arial"/>
          <w:i/>
          <w:sz w:val="22"/>
          <w:lang w:val="es-MX" w:eastAsia="es-ES"/>
        </w:rPr>
        <w:t>n</w:t>
      </w:r>
      <w:r w:rsidRPr="00795CC0">
        <w:rPr>
          <w:rFonts w:ascii="Palatino Linotype" w:eastAsia="Arial" w:hAnsi="Palatino Linotype" w:cs="Arial"/>
          <w:i/>
          <w:spacing w:val="6"/>
          <w:sz w:val="22"/>
          <w:lang w:val="es-MX" w:eastAsia="es-ES"/>
        </w:rPr>
        <w:t xml:space="preserve"> </w:t>
      </w:r>
      <w:r w:rsidRPr="00795CC0">
        <w:rPr>
          <w:rFonts w:ascii="Palatino Linotype" w:eastAsia="Arial" w:hAnsi="Palatino Linotype" w:cs="Arial"/>
          <w:i/>
          <w:spacing w:val="-2"/>
          <w:sz w:val="22"/>
          <w:lang w:val="es-MX" w:eastAsia="es-ES"/>
        </w:rPr>
        <w:t>P</w:t>
      </w:r>
      <w:r w:rsidRPr="00795CC0">
        <w:rPr>
          <w:rFonts w:ascii="Palatino Linotype" w:eastAsia="Arial" w:hAnsi="Palatino Linotype" w:cs="Arial"/>
          <w:i/>
          <w:spacing w:val="1"/>
          <w:sz w:val="22"/>
          <w:lang w:val="es-MX" w:eastAsia="es-ES"/>
        </w:rPr>
        <w:t>úb</w:t>
      </w:r>
      <w:r w:rsidRPr="00795CC0">
        <w:rPr>
          <w:rFonts w:ascii="Palatino Linotype" w:eastAsia="Arial" w:hAnsi="Palatino Linotype" w:cs="Arial"/>
          <w:i/>
          <w:sz w:val="22"/>
          <w:lang w:val="es-MX" w:eastAsia="es-ES"/>
        </w:rPr>
        <w:t>l</w:t>
      </w:r>
      <w:r w:rsidRPr="00795CC0">
        <w:rPr>
          <w:rFonts w:ascii="Palatino Linotype" w:eastAsia="Arial" w:hAnsi="Palatino Linotype" w:cs="Arial"/>
          <w:i/>
          <w:spacing w:val="-1"/>
          <w:sz w:val="22"/>
          <w:lang w:val="es-MX" w:eastAsia="es-ES"/>
        </w:rPr>
        <w:t>i</w:t>
      </w:r>
      <w:r w:rsidRPr="00795CC0">
        <w:rPr>
          <w:rFonts w:ascii="Palatino Linotype" w:eastAsia="Arial" w:hAnsi="Palatino Linotype" w:cs="Arial"/>
          <w:i/>
          <w:sz w:val="22"/>
          <w:lang w:val="es-MX" w:eastAsia="es-ES"/>
        </w:rPr>
        <w:t xml:space="preserve">ca, </w:t>
      </w:r>
      <w:r w:rsidRPr="00795CC0">
        <w:rPr>
          <w:rFonts w:ascii="Palatino Linotype" w:eastAsia="Arial" w:hAnsi="Palatino Linotype" w:cs="Arial"/>
          <w:i/>
          <w:spacing w:val="-1"/>
          <w:sz w:val="22"/>
          <w:lang w:val="es-MX" w:eastAsia="es-ES"/>
        </w:rPr>
        <w:t>señalan</w:t>
      </w:r>
      <w:r w:rsidRPr="00795CC0">
        <w:rPr>
          <w:rFonts w:ascii="Palatino Linotype" w:eastAsia="Arial" w:hAnsi="Palatino Linotype" w:cs="Arial"/>
          <w:i/>
          <w:spacing w:val="1"/>
          <w:sz w:val="22"/>
          <w:lang w:val="es-MX" w:eastAsia="es-ES"/>
        </w:rPr>
        <w:t xml:space="preserve"> </w:t>
      </w:r>
      <w:r w:rsidRPr="00795CC0">
        <w:rPr>
          <w:rFonts w:ascii="Palatino Linotype" w:eastAsia="Arial" w:hAnsi="Palatino Linotype" w:cs="Arial"/>
          <w:i/>
          <w:spacing w:val="-1"/>
          <w:sz w:val="22"/>
          <w:lang w:val="es-MX" w:eastAsia="es-ES"/>
        </w:rPr>
        <w:t>q</w:t>
      </w:r>
      <w:r w:rsidRPr="00795CC0">
        <w:rPr>
          <w:rFonts w:ascii="Palatino Linotype" w:eastAsia="Arial" w:hAnsi="Palatino Linotype" w:cs="Arial"/>
          <w:i/>
          <w:spacing w:val="1"/>
          <w:sz w:val="22"/>
          <w:lang w:val="es-MX" w:eastAsia="es-ES"/>
        </w:rPr>
        <w:t>u</w:t>
      </w:r>
      <w:r w:rsidRPr="00795CC0">
        <w:rPr>
          <w:rFonts w:ascii="Palatino Linotype" w:eastAsia="Arial" w:hAnsi="Palatino Linotype" w:cs="Arial"/>
          <w:i/>
          <w:sz w:val="22"/>
          <w:lang w:val="es-MX" w:eastAsia="es-ES"/>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795CC0">
        <w:rPr>
          <w:rFonts w:ascii="Palatino Linotype" w:eastAsia="Arial" w:hAnsi="Palatino Linotype" w:cs="Arial"/>
          <w:i/>
          <w:spacing w:val="-1"/>
          <w:sz w:val="22"/>
          <w:lang w:val="es-MX" w:eastAsia="es-ES"/>
        </w:rPr>
        <w:t xml:space="preserve"> sin necesidad de</w:t>
      </w:r>
      <w:r w:rsidRPr="00795CC0">
        <w:rPr>
          <w:rFonts w:ascii="Palatino Linotype" w:eastAsia="Arial" w:hAnsi="Palatino Linotype" w:cs="Arial"/>
          <w:i/>
          <w:spacing w:val="1"/>
          <w:sz w:val="22"/>
          <w:lang w:val="es-MX" w:eastAsia="es-ES"/>
        </w:rPr>
        <w:t xml:space="preserve"> e</w:t>
      </w:r>
      <w:r w:rsidRPr="00795CC0">
        <w:rPr>
          <w:rFonts w:ascii="Palatino Linotype" w:eastAsia="Arial" w:hAnsi="Palatino Linotype" w:cs="Arial"/>
          <w:i/>
          <w:sz w:val="22"/>
          <w:lang w:val="es-MX" w:eastAsia="es-ES"/>
        </w:rPr>
        <w:t>la</w:t>
      </w:r>
      <w:r w:rsidRPr="00795CC0">
        <w:rPr>
          <w:rFonts w:ascii="Palatino Linotype" w:eastAsia="Arial" w:hAnsi="Palatino Linotype" w:cs="Arial"/>
          <w:i/>
          <w:spacing w:val="1"/>
          <w:sz w:val="22"/>
          <w:lang w:val="es-MX" w:eastAsia="es-ES"/>
        </w:rPr>
        <w:t>bo</w:t>
      </w:r>
      <w:r w:rsidRPr="00795CC0">
        <w:rPr>
          <w:rFonts w:ascii="Palatino Linotype" w:eastAsia="Arial" w:hAnsi="Palatino Linotype" w:cs="Arial"/>
          <w:i/>
          <w:sz w:val="22"/>
          <w:lang w:val="es-MX" w:eastAsia="es-ES"/>
        </w:rPr>
        <w:t xml:space="preserve">rar </w:t>
      </w:r>
      <w:r w:rsidRPr="00795CC0">
        <w:rPr>
          <w:rFonts w:ascii="Palatino Linotype" w:eastAsia="Arial" w:hAnsi="Palatino Linotype" w:cs="Arial"/>
          <w:i/>
          <w:spacing w:val="1"/>
          <w:sz w:val="22"/>
          <w:lang w:val="es-MX" w:eastAsia="es-ES"/>
        </w:rPr>
        <w:t>do</w:t>
      </w:r>
      <w:r w:rsidRPr="00795CC0">
        <w:rPr>
          <w:rFonts w:ascii="Palatino Linotype" w:eastAsia="Arial" w:hAnsi="Palatino Linotype" w:cs="Arial"/>
          <w:i/>
          <w:spacing w:val="-2"/>
          <w:sz w:val="22"/>
          <w:lang w:val="es-MX" w:eastAsia="es-ES"/>
        </w:rPr>
        <w:t>c</w:t>
      </w:r>
      <w:r w:rsidRPr="00795CC0">
        <w:rPr>
          <w:rFonts w:ascii="Palatino Linotype" w:eastAsia="Arial" w:hAnsi="Palatino Linotype" w:cs="Arial"/>
          <w:i/>
          <w:spacing w:val="1"/>
          <w:sz w:val="22"/>
          <w:lang w:val="es-MX" w:eastAsia="es-ES"/>
        </w:rPr>
        <w:t>u</w:t>
      </w:r>
      <w:r w:rsidRPr="00795CC0">
        <w:rPr>
          <w:rFonts w:ascii="Palatino Linotype" w:eastAsia="Arial" w:hAnsi="Palatino Linotype" w:cs="Arial"/>
          <w:i/>
          <w:spacing w:val="-1"/>
          <w:sz w:val="22"/>
          <w:lang w:val="es-MX" w:eastAsia="es-ES"/>
        </w:rPr>
        <w:t>m</w:t>
      </w:r>
      <w:r w:rsidRPr="00795CC0">
        <w:rPr>
          <w:rFonts w:ascii="Palatino Linotype" w:eastAsia="Arial" w:hAnsi="Palatino Linotype" w:cs="Arial"/>
          <w:i/>
          <w:spacing w:val="1"/>
          <w:sz w:val="22"/>
          <w:lang w:val="es-MX" w:eastAsia="es-ES"/>
        </w:rPr>
        <w:t>en</w:t>
      </w:r>
      <w:r w:rsidRPr="00795CC0">
        <w:rPr>
          <w:rFonts w:ascii="Palatino Linotype" w:eastAsia="Arial" w:hAnsi="Palatino Linotype" w:cs="Arial"/>
          <w:i/>
          <w:spacing w:val="-2"/>
          <w:sz w:val="22"/>
          <w:lang w:val="es-MX" w:eastAsia="es-ES"/>
        </w:rPr>
        <w:t>t</w:t>
      </w:r>
      <w:r w:rsidRPr="00795CC0">
        <w:rPr>
          <w:rFonts w:ascii="Palatino Linotype" w:eastAsia="Arial" w:hAnsi="Palatino Linotype" w:cs="Arial"/>
          <w:i/>
          <w:spacing w:val="1"/>
          <w:sz w:val="22"/>
          <w:lang w:val="es-MX" w:eastAsia="es-ES"/>
        </w:rPr>
        <w:t>o</w:t>
      </w:r>
      <w:r w:rsidRPr="00795CC0">
        <w:rPr>
          <w:rFonts w:ascii="Palatino Linotype" w:eastAsia="Arial" w:hAnsi="Palatino Linotype" w:cs="Arial"/>
          <w:i/>
          <w:sz w:val="22"/>
          <w:lang w:val="es-MX" w:eastAsia="es-ES"/>
        </w:rPr>
        <w:t>s</w:t>
      </w:r>
      <w:r w:rsidRPr="00795CC0">
        <w:rPr>
          <w:rFonts w:ascii="Palatino Linotype" w:eastAsia="Arial" w:hAnsi="Palatino Linotype" w:cs="Arial"/>
          <w:i/>
          <w:spacing w:val="3"/>
          <w:sz w:val="22"/>
          <w:lang w:val="es-MX" w:eastAsia="es-ES"/>
        </w:rPr>
        <w:t xml:space="preserve"> </w:t>
      </w:r>
      <w:r w:rsidRPr="00795CC0">
        <w:rPr>
          <w:rFonts w:ascii="Palatino Linotype" w:eastAsia="Arial" w:hAnsi="Palatino Linotype" w:cs="Arial"/>
          <w:i/>
          <w:spacing w:val="1"/>
          <w:sz w:val="22"/>
          <w:lang w:val="es-MX" w:eastAsia="es-ES"/>
        </w:rPr>
        <w:t>a</w:t>
      </w:r>
      <w:r w:rsidRPr="00795CC0">
        <w:rPr>
          <w:rFonts w:ascii="Palatino Linotype" w:eastAsia="Arial" w:hAnsi="Palatino Linotype" w:cs="Arial"/>
          <w:i/>
          <w:sz w:val="22"/>
          <w:lang w:val="es-MX" w:eastAsia="es-ES"/>
        </w:rPr>
        <w:t>d</w:t>
      </w:r>
      <w:r w:rsidRPr="00795CC0">
        <w:rPr>
          <w:rFonts w:ascii="Palatino Linotype" w:eastAsia="Arial" w:hAnsi="Palatino Linotype" w:cs="Arial"/>
          <w:i/>
          <w:spacing w:val="1"/>
          <w:sz w:val="22"/>
          <w:lang w:val="es-MX" w:eastAsia="es-ES"/>
        </w:rPr>
        <w:t xml:space="preserve"> ho</w:t>
      </w:r>
      <w:r w:rsidRPr="00795CC0">
        <w:rPr>
          <w:rFonts w:ascii="Palatino Linotype" w:eastAsia="Arial" w:hAnsi="Palatino Linotype" w:cs="Arial"/>
          <w:i/>
          <w:sz w:val="22"/>
          <w:lang w:val="es-MX" w:eastAsia="es-ES"/>
        </w:rPr>
        <w:t>c</w:t>
      </w:r>
      <w:r w:rsidRPr="00795CC0">
        <w:rPr>
          <w:rFonts w:ascii="Palatino Linotype" w:eastAsia="Arial" w:hAnsi="Palatino Linotype" w:cs="Arial"/>
          <w:i/>
          <w:spacing w:val="2"/>
          <w:sz w:val="22"/>
          <w:lang w:val="es-MX" w:eastAsia="es-ES"/>
        </w:rPr>
        <w:t xml:space="preserve"> </w:t>
      </w:r>
      <w:r w:rsidRPr="00795CC0">
        <w:rPr>
          <w:rFonts w:ascii="Palatino Linotype" w:eastAsia="Arial" w:hAnsi="Palatino Linotype" w:cs="Arial"/>
          <w:i/>
          <w:spacing w:val="1"/>
          <w:sz w:val="22"/>
          <w:lang w:val="es-MX" w:eastAsia="es-ES"/>
        </w:rPr>
        <w:t>pa</w:t>
      </w:r>
      <w:r w:rsidRPr="00795CC0">
        <w:rPr>
          <w:rFonts w:ascii="Palatino Linotype" w:eastAsia="Arial" w:hAnsi="Palatino Linotype" w:cs="Arial"/>
          <w:i/>
          <w:sz w:val="22"/>
          <w:lang w:val="es-MX" w:eastAsia="es-ES"/>
        </w:rPr>
        <w:t xml:space="preserve">ra </w:t>
      </w:r>
      <w:r w:rsidRPr="00795CC0">
        <w:rPr>
          <w:rFonts w:ascii="Palatino Linotype" w:eastAsia="Arial" w:hAnsi="Palatino Linotype" w:cs="Arial"/>
          <w:i/>
          <w:spacing w:val="1"/>
          <w:sz w:val="22"/>
          <w:lang w:val="es-MX" w:eastAsia="es-ES"/>
        </w:rPr>
        <w:t>a</w:t>
      </w:r>
      <w:r w:rsidRPr="00795CC0">
        <w:rPr>
          <w:rFonts w:ascii="Palatino Linotype" w:eastAsia="Arial" w:hAnsi="Palatino Linotype" w:cs="Arial"/>
          <w:i/>
          <w:sz w:val="22"/>
          <w:lang w:val="es-MX" w:eastAsia="es-ES"/>
        </w:rPr>
        <w:t>t</w:t>
      </w:r>
      <w:r w:rsidRPr="00795CC0">
        <w:rPr>
          <w:rFonts w:ascii="Palatino Linotype" w:eastAsia="Arial" w:hAnsi="Palatino Linotype" w:cs="Arial"/>
          <w:i/>
          <w:spacing w:val="-1"/>
          <w:sz w:val="22"/>
          <w:lang w:val="es-MX" w:eastAsia="es-ES"/>
        </w:rPr>
        <w:t>e</w:t>
      </w:r>
      <w:r w:rsidRPr="00795CC0">
        <w:rPr>
          <w:rFonts w:ascii="Palatino Linotype" w:eastAsia="Arial" w:hAnsi="Palatino Linotype" w:cs="Arial"/>
          <w:i/>
          <w:spacing w:val="1"/>
          <w:sz w:val="22"/>
          <w:lang w:val="es-MX" w:eastAsia="es-ES"/>
        </w:rPr>
        <w:t>n</w:t>
      </w:r>
      <w:r w:rsidRPr="00795CC0">
        <w:rPr>
          <w:rFonts w:ascii="Palatino Linotype" w:eastAsia="Arial" w:hAnsi="Palatino Linotype" w:cs="Arial"/>
          <w:i/>
          <w:spacing w:val="-1"/>
          <w:sz w:val="22"/>
          <w:lang w:val="es-MX" w:eastAsia="es-ES"/>
        </w:rPr>
        <w:t>d</w:t>
      </w:r>
      <w:r w:rsidRPr="00795CC0">
        <w:rPr>
          <w:rFonts w:ascii="Palatino Linotype" w:eastAsia="Arial" w:hAnsi="Palatino Linotype" w:cs="Arial"/>
          <w:i/>
          <w:spacing w:val="1"/>
          <w:sz w:val="22"/>
          <w:lang w:val="es-MX" w:eastAsia="es-ES"/>
        </w:rPr>
        <w:t>e</w:t>
      </w:r>
      <w:r w:rsidRPr="00795CC0">
        <w:rPr>
          <w:rFonts w:ascii="Palatino Linotype" w:eastAsia="Arial" w:hAnsi="Palatino Linotype" w:cs="Arial"/>
          <w:i/>
          <w:sz w:val="22"/>
          <w:lang w:val="es-MX" w:eastAsia="es-ES"/>
        </w:rPr>
        <w:t>r</w:t>
      </w:r>
      <w:r w:rsidRPr="00795CC0">
        <w:rPr>
          <w:rFonts w:ascii="Palatino Linotype" w:eastAsia="Arial" w:hAnsi="Palatino Linotype" w:cs="Arial"/>
          <w:i/>
          <w:spacing w:val="2"/>
          <w:sz w:val="22"/>
          <w:lang w:val="es-MX" w:eastAsia="es-ES"/>
        </w:rPr>
        <w:t xml:space="preserve"> </w:t>
      </w:r>
      <w:r w:rsidRPr="00795CC0">
        <w:rPr>
          <w:rFonts w:ascii="Palatino Linotype" w:eastAsia="Arial" w:hAnsi="Palatino Linotype" w:cs="Arial"/>
          <w:i/>
          <w:sz w:val="22"/>
          <w:lang w:val="es-MX" w:eastAsia="es-ES"/>
        </w:rPr>
        <w:t>l</w:t>
      </w:r>
      <w:r w:rsidRPr="00795CC0">
        <w:rPr>
          <w:rFonts w:ascii="Palatino Linotype" w:eastAsia="Arial" w:hAnsi="Palatino Linotype" w:cs="Arial"/>
          <w:i/>
          <w:spacing w:val="-2"/>
          <w:sz w:val="22"/>
          <w:lang w:val="es-MX" w:eastAsia="es-ES"/>
        </w:rPr>
        <w:t>a</w:t>
      </w:r>
      <w:r w:rsidRPr="00795CC0">
        <w:rPr>
          <w:rFonts w:ascii="Palatino Linotype" w:eastAsia="Arial" w:hAnsi="Palatino Linotype" w:cs="Arial"/>
          <w:i/>
          <w:sz w:val="22"/>
          <w:lang w:val="es-MX" w:eastAsia="es-ES"/>
        </w:rPr>
        <w:t>s</w:t>
      </w:r>
      <w:r w:rsidRPr="00795CC0">
        <w:rPr>
          <w:rFonts w:ascii="Palatino Linotype" w:eastAsia="Arial" w:hAnsi="Palatino Linotype" w:cs="Arial"/>
          <w:i/>
          <w:spacing w:val="2"/>
          <w:sz w:val="22"/>
          <w:lang w:val="es-MX" w:eastAsia="es-ES"/>
        </w:rPr>
        <w:t xml:space="preserve"> </w:t>
      </w:r>
      <w:r w:rsidRPr="00795CC0">
        <w:rPr>
          <w:rFonts w:ascii="Palatino Linotype" w:eastAsia="Arial" w:hAnsi="Palatino Linotype" w:cs="Arial"/>
          <w:i/>
          <w:sz w:val="22"/>
          <w:lang w:val="es-MX" w:eastAsia="es-ES"/>
        </w:rPr>
        <w:t>s</w:t>
      </w:r>
      <w:r w:rsidRPr="00795CC0">
        <w:rPr>
          <w:rFonts w:ascii="Palatino Linotype" w:eastAsia="Arial" w:hAnsi="Palatino Linotype" w:cs="Arial"/>
          <w:i/>
          <w:spacing w:val="1"/>
          <w:sz w:val="22"/>
          <w:lang w:val="es-MX" w:eastAsia="es-ES"/>
        </w:rPr>
        <w:t>o</w:t>
      </w:r>
      <w:r w:rsidRPr="00795CC0">
        <w:rPr>
          <w:rFonts w:ascii="Palatino Linotype" w:eastAsia="Arial" w:hAnsi="Palatino Linotype" w:cs="Arial"/>
          <w:i/>
          <w:sz w:val="22"/>
          <w:lang w:val="es-MX" w:eastAsia="es-ES"/>
        </w:rPr>
        <w:t>l</w:t>
      </w:r>
      <w:r w:rsidRPr="00795CC0">
        <w:rPr>
          <w:rFonts w:ascii="Palatino Linotype" w:eastAsia="Arial" w:hAnsi="Palatino Linotype" w:cs="Arial"/>
          <w:i/>
          <w:spacing w:val="-1"/>
          <w:sz w:val="22"/>
          <w:lang w:val="es-MX" w:eastAsia="es-ES"/>
        </w:rPr>
        <w:t>i</w:t>
      </w:r>
      <w:r w:rsidRPr="00795CC0">
        <w:rPr>
          <w:rFonts w:ascii="Palatino Linotype" w:eastAsia="Arial" w:hAnsi="Palatino Linotype" w:cs="Arial"/>
          <w:i/>
          <w:sz w:val="22"/>
          <w:lang w:val="es-MX" w:eastAsia="es-ES"/>
        </w:rPr>
        <w:t>cit</w:t>
      </w:r>
      <w:r w:rsidRPr="00795CC0">
        <w:rPr>
          <w:rFonts w:ascii="Palatino Linotype" w:eastAsia="Arial" w:hAnsi="Palatino Linotype" w:cs="Arial"/>
          <w:i/>
          <w:spacing w:val="1"/>
          <w:sz w:val="22"/>
          <w:lang w:val="es-MX" w:eastAsia="es-ES"/>
        </w:rPr>
        <w:t>ude</w:t>
      </w:r>
      <w:r w:rsidRPr="00795CC0">
        <w:rPr>
          <w:rFonts w:ascii="Palatino Linotype" w:eastAsia="Arial" w:hAnsi="Palatino Linotype" w:cs="Arial"/>
          <w:i/>
          <w:sz w:val="22"/>
          <w:lang w:val="es-MX" w:eastAsia="es-ES"/>
        </w:rPr>
        <w:t>s</w:t>
      </w:r>
      <w:r w:rsidRPr="00795CC0">
        <w:rPr>
          <w:rFonts w:ascii="Palatino Linotype" w:eastAsia="Arial" w:hAnsi="Palatino Linotype" w:cs="Arial"/>
          <w:i/>
          <w:spacing w:val="4"/>
          <w:sz w:val="22"/>
          <w:lang w:val="es-MX" w:eastAsia="es-ES"/>
        </w:rPr>
        <w:t xml:space="preserve"> </w:t>
      </w:r>
      <w:r w:rsidRPr="00795CC0">
        <w:rPr>
          <w:rFonts w:ascii="Palatino Linotype" w:eastAsia="Arial" w:hAnsi="Palatino Linotype" w:cs="Arial"/>
          <w:i/>
          <w:spacing w:val="-1"/>
          <w:sz w:val="22"/>
          <w:lang w:val="es-MX" w:eastAsia="es-ES"/>
        </w:rPr>
        <w:t>d</w:t>
      </w:r>
      <w:r w:rsidRPr="00795CC0">
        <w:rPr>
          <w:rFonts w:ascii="Palatino Linotype" w:eastAsia="Arial" w:hAnsi="Palatino Linotype" w:cs="Arial"/>
          <w:i/>
          <w:sz w:val="22"/>
          <w:lang w:val="es-MX" w:eastAsia="es-ES"/>
        </w:rPr>
        <w:t>e</w:t>
      </w:r>
      <w:r w:rsidRPr="00795CC0">
        <w:rPr>
          <w:rFonts w:ascii="Palatino Linotype" w:eastAsia="Arial" w:hAnsi="Palatino Linotype" w:cs="Arial"/>
          <w:i/>
          <w:spacing w:val="3"/>
          <w:sz w:val="22"/>
          <w:lang w:val="es-MX" w:eastAsia="es-ES"/>
        </w:rPr>
        <w:t xml:space="preserve"> </w:t>
      </w:r>
      <w:r w:rsidRPr="00795CC0">
        <w:rPr>
          <w:rFonts w:ascii="Palatino Linotype" w:eastAsia="Arial" w:hAnsi="Palatino Linotype" w:cs="Arial"/>
          <w:i/>
          <w:sz w:val="22"/>
          <w:lang w:val="es-MX" w:eastAsia="es-ES"/>
        </w:rPr>
        <w:t>i</w:t>
      </w:r>
      <w:r w:rsidRPr="00795CC0">
        <w:rPr>
          <w:rFonts w:ascii="Palatino Linotype" w:eastAsia="Arial" w:hAnsi="Palatino Linotype" w:cs="Arial"/>
          <w:i/>
          <w:spacing w:val="-2"/>
          <w:sz w:val="22"/>
          <w:lang w:val="es-MX" w:eastAsia="es-ES"/>
        </w:rPr>
        <w:t>n</w:t>
      </w:r>
      <w:r w:rsidRPr="00795CC0">
        <w:rPr>
          <w:rFonts w:ascii="Palatino Linotype" w:eastAsia="Arial" w:hAnsi="Palatino Linotype" w:cs="Arial"/>
          <w:i/>
          <w:sz w:val="22"/>
          <w:lang w:val="es-MX" w:eastAsia="es-ES"/>
        </w:rPr>
        <w:t>f</w:t>
      </w:r>
      <w:r w:rsidRPr="00795CC0">
        <w:rPr>
          <w:rFonts w:ascii="Palatino Linotype" w:eastAsia="Arial" w:hAnsi="Palatino Linotype" w:cs="Arial"/>
          <w:i/>
          <w:spacing w:val="1"/>
          <w:sz w:val="22"/>
          <w:lang w:val="es-MX" w:eastAsia="es-ES"/>
        </w:rPr>
        <w:t>o</w:t>
      </w:r>
      <w:r w:rsidRPr="00795CC0">
        <w:rPr>
          <w:rFonts w:ascii="Palatino Linotype" w:eastAsia="Arial" w:hAnsi="Palatino Linotype" w:cs="Arial"/>
          <w:i/>
          <w:sz w:val="22"/>
          <w:lang w:val="es-MX" w:eastAsia="es-ES"/>
        </w:rPr>
        <w:t>r</w:t>
      </w:r>
      <w:r w:rsidRPr="00795CC0">
        <w:rPr>
          <w:rFonts w:ascii="Palatino Linotype" w:eastAsia="Arial" w:hAnsi="Palatino Linotype" w:cs="Arial"/>
          <w:i/>
          <w:spacing w:val="-1"/>
          <w:sz w:val="22"/>
          <w:lang w:val="es-MX" w:eastAsia="es-ES"/>
        </w:rPr>
        <w:t>m</w:t>
      </w:r>
      <w:r w:rsidRPr="00795CC0">
        <w:rPr>
          <w:rFonts w:ascii="Palatino Linotype" w:eastAsia="Arial" w:hAnsi="Palatino Linotype" w:cs="Arial"/>
          <w:i/>
          <w:spacing w:val="1"/>
          <w:sz w:val="22"/>
          <w:lang w:val="es-MX" w:eastAsia="es-ES"/>
        </w:rPr>
        <w:t>a</w:t>
      </w:r>
      <w:r w:rsidRPr="00795CC0">
        <w:rPr>
          <w:rFonts w:ascii="Palatino Linotype" w:eastAsia="Arial" w:hAnsi="Palatino Linotype" w:cs="Arial"/>
          <w:i/>
          <w:sz w:val="22"/>
          <w:lang w:val="es-MX" w:eastAsia="es-ES"/>
        </w:rPr>
        <w:t>ció</w:t>
      </w:r>
      <w:r w:rsidRPr="00795CC0">
        <w:rPr>
          <w:rFonts w:ascii="Palatino Linotype" w:eastAsia="Arial" w:hAnsi="Palatino Linotype" w:cs="Arial"/>
          <w:i/>
          <w:spacing w:val="1"/>
          <w:sz w:val="22"/>
          <w:lang w:val="es-MX" w:eastAsia="es-ES"/>
        </w:rPr>
        <w:t>n</w:t>
      </w:r>
      <w:r w:rsidRPr="00795CC0">
        <w:rPr>
          <w:rFonts w:ascii="Palatino Linotype" w:eastAsia="Arial" w:hAnsi="Palatino Linotype" w:cs="Arial"/>
          <w:i/>
          <w:sz w:val="22"/>
          <w:lang w:val="es-MX" w:eastAsia="es-ES"/>
        </w:rPr>
        <w:t xml:space="preserve">”. </w:t>
      </w:r>
    </w:p>
    <w:p w14:paraId="6227D8EA" w14:textId="77777777" w:rsidR="00795CC0" w:rsidRPr="00795CC0" w:rsidRDefault="00795CC0" w:rsidP="00795CC0">
      <w:pPr>
        <w:spacing w:line="360" w:lineRule="auto"/>
        <w:jc w:val="both"/>
        <w:rPr>
          <w:rFonts w:ascii="Palatino Linotype" w:hAnsi="Palatino Linotype" w:cs="Tahoma"/>
          <w:bCs/>
          <w:iCs/>
          <w:lang w:val="es-MX" w:eastAsia="es-ES"/>
        </w:rPr>
      </w:pPr>
    </w:p>
    <w:p w14:paraId="2DB963F9" w14:textId="77777777" w:rsidR="00795CC0" w:rsidRPr="00795CC0" w:rsidRDefault="00795CC0" w:rsidP="00795CC0">
      <w:pPr>
        <w:spacing w:line="360" w:lineRule="auto"/>
        <w:jc w:val="both"/>
        <w:rPr>
          <w:rFonts w:ascii="Palatino Linotype" w:hAnsi="Palatino Linotype" w:cs="Tahoma"/>
          <w:bCs/>
          <w:iCs/>
          <w:lang w:val="es-MX" w:eastAsia="es-ES"/>
        </w:rPr>
      </w:pPr>
      <w:r w:rsidRPr="00795CC0">
        <w:rPr>
          <w:rFonts w:ascii="Palatino Linotype" w:hAnsi="Palatino Linotype" w:cs="Tahoma"/>
          <w:bCs/>
          <w:iCs/>
          <w:lang w:val="es-MX" w:eastAsia="es-ES"/>
        </w:rPr>
        <w:t xml:space="preserve">Del mismo modo, conviene señalar que el artículo 12 de la Ley de Transparencia y Acceso a la Información Pública del Estado de México y Municipios, establece que los sujetos obligados sólo proporcionarán la información pública que se les requiera y que obre en sus archivos y en el estado en que esta se encuentre, por lo que, la obligación de proporcionar información no comprende el procesamiento de esta, ni presentarla conforme al interés del solicitante. </w:t>
      </w:r>
    </w:p>
    <w:p w14:paraId="3C3D0E91" w14:textId="77777777" w:rsidR="00795CC0" w:rsidRPr="00795CC0" w:rsidRDefault="00795CC0" w:rsidP="00795CC0">
      <w:pPr>
        <w:spacing w:line="360" w:lineRule="auto"/>
        <w:jc w:val="both"/>
        <w:rPr>
          <w:rFonts w:ascii="Palatino Linotype" w:hAnsi="Palatino Linotype" w:cs="Tahoma"/>
          <w:bCs/>
          <w:iCs/>
          <w:lang w:val="es-MX" w:eastAsia="es-ES"/>
        </w:rPr>
      </w:pPr>
    </w:p>
    <w:p w14:paraId="0D64929E" w14:textId="77777777" w:rsidR="00795CC0" w:rsidRPr="00795CC0" w:rsidRDefault="00795CC0" w:rsidP="00795CC0">
      <w:pPr>
        <w:spacing w:line="360" w:lineRule="auto"/>
        <w:jc w:val="both"/>
        <w:rPr>
          <w:rFonts w:ascii="Palatino Linotype" w:hAnsi="Palatino Linotype" w:cs="Tahoma"/>
          <w:bCs/>
          <w:iCs/>
          <w:lang w:val="es-MX" w:eastAsia="es-ES"/>
        </w:rPr>
      </w:pPr>
      <w:r w:rsidRPr="00795CC0">
        <w:rPr>
          <w:rFonts w:ascii="Palatino Linotype" w:hAnsi="Palatino Linotype" w:cs="Tahoma"/>
          <w:bCs/>
          <w:iCs/>
          <w:lang w:val="es-MX" w:eastAsia="es-ES"/>
        </w:rPr>
        <w:t xml:space="preserve">En ese sentido, se tiene que el Ayuntamiento de </w:t>
      </w:r>
      <w:r>
        <w:rPr>
          <w:rFonts w:ascii="Palatino Linotype" w:hAnsi="Palatino Linotype" w:cs="Tahoma"/>
          <w:bCs/>
          <w:iCs/>
          <w:lang w:val="es-MX" w:eastAsia="es-ES"/>
        </w:rPr>
        <w:t>Cuau</w:t>
      </w:r>
      <w:r w:rsidRPr="00795CC0">
        <w:rPr>
          <w:rFonts w:ascii="Palatino Linotype" w:hAnsi="Palatino Linotype" w:cs="Tahoma"/>
          <w:bCs/>
          <w:iCs/>
          <w:lang w:val="es-MX" w:eastAsia="es-ES"/>
        </w:rPr>
        <w:t xml:space="preserve">titlán </w:t>
      </w:r>
      <w:r>
        <w:rPr>
          <w:rFonts w:ascii="Palatino Linotype" w:hAnsi="Palatino Linotype" w:cs="Tahoma"/>
          <w:bCs/>
          <w:iCs/>
          <w:lang w:val="es-MX" w:eastAsia="es-ES"/>
        </w:rPr>
        <w:t xml:space="preserve">Izcalli </w:t>
      </w:r>
      <w:r w:rsidRPr="00795CC0">
        <w:rPr>
          <w:rFonts w:ascii="Palatino Linotype" w:hAnsi="Palatino Linotype" w:cs="Tahoma"/>
          <w:bCs/>
          <w:iCs/>
          <w:lang w:val="es-MX" w:eastAsia="es-ES"/>
        </w:rPr>
        <w:t xml:space="preserve">no cuenta con la obligación de generar un “listado” que dé cuenta de los datos que solicita la Recurrente, sino que este deberá proporcionar la información pública en el estado </w:t>
      </w:r>
      <w:r w:rsidRPr="00795CC0">
        <w:rPr>
          <w:rFonts w:ascii="Palatino Linotype" w:hAnsi="Palatino Linotype" w:cs="Tahoma"/>
          <w:bCs/>
          <w:iCs/>
          <w:lang w:val="es-MX" w:eastAsia="es-ES"/>
        </w:rPr>
        <w:lastRenderedPageBreak/>
        <w:t xml:space="preserve">en que esta se encuentra y en el formato en que se haya generado, dicho esto se procede al estudio de la información requerida, al tenor de lo siguiente: </w:t>
      </w:r>
    </w:p>
    <w:p w14:paraId="665964E1" w14:textId="77777777" w:rsidR="00795CC0" w:rsidRDefault="00795CC0" w:rsidP="00795CC0">
      <w:pPr>
        <w:spacing w:line="360" w:lineRule="auto"/>
        <w:contextualSpacing/>
        <w:jc w:val="both"/>
        <w:rPr>
          <w:rFonts w:ascii="Palatino Linotype" w:hAnsi="Palatino Linotype" w:cs="Tahoma"/>
          <w:b/>
          <w:iCs/>
          <w:sz w:val="22"/>
          <w:szCs w:val="22"/>
          <w:lang w:val="es-MX" w:eastAsia="es-ES"/>
        </w:rPr>
      </w:pPr>
    </w:p>
    <w:p w14:paraId="0E7FEF65" w14:textId="77777777" w:rsidR="00795CC0" w:rsidRDefault="00795CC0" w:rsidP="00795CC0">
      <w:pPr>
        <w:spacing w:line="360" w:lineRule="auto"/>
        <w:contextualSpacing/>
        <w:jc w:val="both"/>
        <w:rPr>
          <w:rFonts w:ascii="Palatino Linotype" w:hAnsi="Palatino Linotype" w:cs="Tahoma"/>
          <w:b/>
          <w:iCs/>
          <w:szCs w:val="22"/>
          <w:lang w:val="es-MX" w:eastAsia="es-ES"/>
        </w:rPr>
      </w:pPr>
      <w:r w:rsidRPr="00795CC0">
        <w:rPr>
          <w:rFonts w:ascii="Palatino Linotype" w:hAnsi="Palatino Linotype" w:cs="Tahoma"/>
          <w:b/>
          <w:iCs/>
          <w:szCs w:val="22"/>
          <w:lang w:val="es-MX" w:eastAsia="es-ES"/>
        </w:rPr>
        <w:t xml:space="preserve">1.- De los Certificados de Competencia Laboral de los Estándares de Competencia de Marca. </w:t>
      </w:r>
    </w:p>
    <w:p w14:paraId="5D0FBF7F" w14:textId="77777777" w:rsidR="00795CC0" w:rsidRPr="00795CC0" w:rsidRDefault="00795CC0" w:rsidP="00795CC0">
      <w:pPr>
        <w:spacing w:line="360" w:lineRule="auto"/>
        <w:jc w:val="both"/>
        <w:rPr>
          <w:rFonts w:ascii="Palatino Linotype" w:hAnsi="Palatino Linotype" w:cs="Tahoma"/>
          <w:bCs/>
          <w:iCs/>
          <w:lang w:val="es-MX" w:eastAsia="es-ES"/>
        </w:rPr>
      </w:pPr>
      <w:r w:rsidRPr="00795CC0">
        <w:rPr>
          <w:rFonts w:ascii="Palatino Linotype" w:hAnsi="Palatino Linotype" w:cs="Tahoma"/>
          <w:bCs/>
          <w:iCs/>
          <w:lang w:val="es-MX" w:eastAsia="es-ES"/>
        </w:rPr>
        <w:t xml:space="preserve">De conformidad con el Consejo Nacional de Normalización y Certificación de Competencias Laborales (CONOCER), las competencias de las personas son los conocimientos, habilidades, destrezas y comportamientos individuales, es decir, aquello que los hace competentes para desarrollar una actividad en su vida laboral, en ese sentido, la certificación de competencias es el proceso a través del cual las personas demuestran que cuentan con los conocimientos, habilidades y destrezas necesarias para cumplir una función a un alto nivel de desempeño de acuerdo con lo definido en un Estándar de Competencia, el cual es un documento oficial aplicable en toda la República Mexicana que sirve de referencia para evaluar y certificar la competencia de las personas. </w:t>
      </w:r>
    </w:p>
    <w:p w14:paraId="403241C1" w14:textId="77777777" w:rsidR="00795CC0" w:rsidRPr="00795CC0" w:rsidRDefault="00795CC0" w:rsidP="00795CC0">
      <w:pPr>
        <w:spacing w:line="360" w:lineRule="auto"/>
        <w:jc w:val="both"/>
        <w:rPr>
          <w:rFonts w:ascii="Palatino Linotype" w:hAnsi="Palatino Linotype" w:cs="Tahoma"/>
          <w:bCs/>
          <w:iCs/>
          <w:lang w:val="es-MX" w:eastAsia="es-ES"/>
        </w:rPr>
      </w:pPr>
    </w:p>
    <w:p w14:paraId="6311620D" w14:textId="77777777" w:rsidR="00795CC0" w:rsidRPr="00795CC0" w:rsidRDefault="00795CC0" w:rsidP="00795CC0">
      <w:pPr>
        <w:spacing w:line="360" w:lineRule="auto"/>
        <w:jc w:val="both"/>
        <w:rPr>
          <w:rFonts w:ascii="Palatino Linotype" w:hAnsi="Palatino Linotype" w:cs="Tahoma"/>
          <w:bCs/>
          <w:iCs/>
          <w:lang w:val="es-MX" w:eastAsia="es-ES"/>
        </w:rPr>
      </w:pPr>
      <w:r w:rsidRPr="00795CC0">
        <w:rPr>
          <w:rFonts w:ascii="Palatino Linotype" w:hAnsi="Palatino Linotype" w:cs="Tahoma"/>
          <w:bCs/>
          <w:iCs/>
          <w:lang w:val="es-MX" w:eastAsia="es-ES"/>
        </w:rPr>
        <w:t xml:space="preserve">Ahora bien, cabe destacar que el Consejo Nacional de Normalización y Certificación de Competencias Laborales, con el objetivo de ampliar las posibilidades de certificación de los particulares, incorporó al abanico los conocidos Estándares de Competencia de Marca (ECM), los cuales son aquellos cuyos derechos de autor, propiedad industrial o intelectual son conservados por las organizaciones que los desarrolló, es decir; son estándares desarrollados por empresas u organizaciones que gozan de amplio prestigio nacional e internacional. </w:t>
      </w:r>
    </w:p>
    <w:p w14:paraId="2CEB7DDE" w14:textId="77777777" w:rsidR="00795CC0" w:rsidRPr="00795CC0" w:rsidRDefault="00795CC0" w:rsidP="00795CC0">
      <w:pPr>
        <w:spacing w:line="360" w:lineRule="auto"/>
        <w:jc w:val="both"/>
        <w:rPr>
          <w:rFonts w:ascii="Palatino Linotype" w:hAnsi="Palatino Linotype" w:cs="Tahoma"/>
          <w:bCs/>
          <w:iCs/>
          <w:lang w:val="es-MX" w:eastAsia="es-ES"/>
        </w:rPr>
      </w:pPr>
    </w:p>
    <w:p w14:paraId="61486BC3" w14:textId="77777777" w:rsidR="00795CC0" w:rsidRPr="00795CC0" w:rsidRDefault="00795CC0" w:rsidP="00795CC0">
      <w:pPr>
        <w:spacing w:line="360" w:lineRule="auto"/>
        <w:jc w:val="both"/>
        <w:rPr>
          <w:rFonts w:ascii="Palatino Linotype" w:hAnsi="Palatino Linotype" w:cs="Tahoma"/>
          <w:bCs/>
          <w:iCs/>
          <w:lang w:val="es-MX" w:eastAsia="es-ES"/>
        </w:rPr>
      </w:pPr>
      <w:r w:rsidRPr="00795CC0">
        <w:rPr>
          <w:rFonts w:ascii="Palatino Linotype" w:hAnsi="Palatino Linotype" w:cs="Tahoma"/>
          <w:bCs/>
          <w:iCs/>
          <w:lang w:val="es-MX" w:eastAsia="es-ES"/>
        </w:rPr>
        <w:lastRenderedPageBreak/>
        <w:t xml:space="preserve">Asimismo, es de precisar que una Entidad de Certificación es aquella que tiene como función evaluar y certificar el cumplimiento de una norma de referencia, en ese sentido, de acuerdo con el Listado de Entidades de Certificación y Evaluación emitido por CONOCER (consultado el  veintiséis de mayo de dos mil veintidós en </w:t>
      </w:r>
      <w:hyperlink r:id="rId17" w:history="1">
        <w:r w:rsidRPr="00795CC0">
          <w:rPr>
            <w:rFonts w:ascii="Palatino Linotype" w:hAnsi="Palatino Linotype" w:cs="Tahoma"/>
            <w:bCs/>
            <w:iCs/>
            <w:color w:val="0563C1"/>
            <w:u w:val="single"/>
            <w:lang w:val="es-MX" w:eastAsia="es-ES"/>
          </w:rPr>
          <w:t>https://conocer.gob.mx/listado-de-entidades-de-certificacion-y-evaluacion/</w:t>
        </w:r>
      </w:hyperlink>
      <w:r w:rsidRPr="00795CC0">
        <w:rPr>
          <w:rFonts w:ascii="Palatino Linotype" w:hAnsi="Palatino Linotype" w:cs="Tahoma"/>
          <w:bCs/>
          <w:iCs/>
          <w:lang w:val="es-MX" w:eastAsia="es-ES"/>
        </w:rPr>
        <w:t xml:space="preserve">), el Instituto Hacendario del Estado de México es una entidad acreditada por dicho Consejo, para realizar la certificación y evaluaciones de los Estándares de Competencia, como se prevé a continuación: </w:t>
      </w:r>
    </w:p>
    <w:p w14:paraId="325B07EF" w14:textId="77777777" w:rsidR="00795CC0" w:rsidRPr="00795CC0" w:rsidRDefault="00795CC0" w:rsidP="00795CC0">
      <w:pPr>
        <w:spacing w:line="360" w:lineRule="auto"/>
        <w:jc w:val="both"/>
        <w:rPr>
          <w:rFonts w:ascii="Palatino Linotype" w:hAnsi="Palatino Linotype" w:cs="Tahoma"/>
          <w:bCs/>
          <w:iCs/>
          <w:lang w:val="es-MX" w:eastAsia="es-ES"/>
        </w:rPr>
      </w:pPr>
    </w:p>
    <w:p w14:paraId="694C2B79" w14:textId="77777777" w:rsidR="00795CC0" w:rsidRPr="00795CC0" w:rsidRDefault="00795CC0" w:rsidP="00795CC0">
      <w:pPr>
        <w:spacing w:line="360" w:lineRule="auto"/>
        <w:jc w:val="center"/>
        <w:rPr>
          <w:rFonts w:ascii="Palatino Linotype" w:hAnsi="Palatino Linotype" w:cs="Tahoma"/>
          <w:bCs/>
          <w:iCs/>
          <w:lang w:val="es-MX" w:eastAsia="es-ES"/>
        </w:rPr>
      </w:pPr>
      <w:r w:rsidRPr="00795CC0">
        <w:rPr>
          <w:rFonts w:ascii="Palatino Linotype" w:hAnsi="Palatino Linotype" w:cs="Tahoma"/>
          <w:bCs/>
          <w:iCs/>
          <w:noProof/>
          <w:lang w:val="es-MX"/>
        </w:rPr>
        <mc:AlternateContent>
          <mc:Choice Requires="wps">
            <w:drawing>
              <wp:anchor distT="0" distB="0" distL="114300" distR="114300" simplePos="0" relativeHeight="251667456" behindDoc="0" locked="0" layoutInCell="1" allowOverlap="1" wp14:anchorId="37F96B32" wp14:editId="76921CC6">
                <wp:simplePos x="0" y="0"/>
                <wp:positionH relativeFrom="column">
                  <wp:posOffset>577215</wp:posOffset>
                </wp:positionH>
                <wp:positionV relativeFrom="paragraph">
                  <wp:posOffset>2934970</wp:posOffset>
                </wp:positionV>
                <wp:extent cx="4219575" cy="161925"/>
                <wp:effectExtent l="19050" t="19050" r="28575" b="28575"/>
                <wp:wrapNone/>
                <wp:docPr id="8" name="Rectángulo 8"/>
                <wp:cNvGraphicFramePr/>
                <a:graphic xmlns:a="http://schemas.openxmlformats.org/drawingml/2006/main">
                  <a:graphicData uri="http://schemas.microsoft.com/office/word/2010/wordprocessingShape">
                    <wps:wsp>
                      <wps:cNvSpPr/>
                      <wps:spPr>
                        <a:xfrm>
                          <a:off x="0" y="0"/>
                          <a:ext cx="4219575" cy="161925"/>
                        </a:xfrm>
                        <a:prstGeom prst="rect">
                          <a:avLst/>
                        </a:prstGeom>
                        <a:noFill/>
                        <a:ln w="381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3870C4" id="Rectángulo 8" o:spid="_x0000_s1026" style="position:absolute;margin-left:45.45pt;margin-top:231.1pt;width:332.2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" filled="f" strokecolor="#002060" strokeweight="3pt"/>
            </w:pict>
          </mc:Fallback>
        </mc:AlternateContent>
      </w:r>
      <w:r w:rsidRPr="00795CC0">
        <w:rPr>
          <w:rFonts w:ascii="Palatino Linotype" w:hAnsi="Palatino Linotype" w:cs="Tahoma"/>
          <w:bCs/>
          <w:iCs/>
          <w:noProof/>
          <w:lang w:val="es-MX"/>
        </w:rPr>
        <w:drawing>
          <wp:inline distT="0" distB="0" distL="0" distR="0" wp14:anchorId="5E66E04C" wp14:editId="2BB7B3EE">
            <wp:extent cx="4667249" cy="3352800"/>
            <wp:effectExtent l="0" t="0" r="635" b="0"/>
            <wp:docPr id="9" name="Imagen 9"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abla&#10;&#10;Descripción generada automáticamente"/>
                    <pic:cNvPicPr/>
                  </pic:nvPicPr>
                  <pic:blipFill rotWithShape="1">
                    <a:blip r:embed="rId18"/>
                    <a:srcRect t="1400"/>
                    <a:stretch/>
                  </pic:blipFill>
                  <pic:spPr bwMode="auto">
                    <a:xfrm>
                      <a:off x="0" y="0"/>
                      <a:ext cx="4667901" cy="3353268"/>
                    </a:xfrm>
                    <a:prstGeom prst="rect">
                      <a:avLst/>
                    </a:prstGeom>
                    <a:ln>
                      <a:noFill/>
                    </a:ln>
                    <a:extLst>
                      <a:ext uri="{53640926-AAD7-44D8-BBD7-CCE9431645EC}">
                        <a14:shadowObscured xmlns:a14="http://schemas.microsoft.com/office/drawing/2010/main"/>
                      </a:ext>
                    </a:extLst>
                  </pic:spPr>
                </pic:pic>
              </a:graphicData>
            </a:graphic>
          </wp:inline>
        </w:drawing>
      </w:r>
    </w:p>
    <w:p w14:paraId="2A2C9E05" w14:textId="77777777" w:rsidR="00795CC0" w:rsidRPr="00795CC0" w:rsidRDefault="00795CC0" w:rsidP="00795CC0">
      <w:pPr>
        <w:spacing w:line="360" w:lineRule="auto"/>
        <w:jc w:val="both"/>
        <w:rPr>
          <w:rFonts w:ascii="Palatino Linotype" w:hAnsi="Palatino Linotype" w:cs="Tahoma"/>
          <w:bCs/>
          <w:iCs/>
          <w:lang w:val="es-MX" w:eastAsia="es-ES"/>
        </w:rPr>
      </w:pPr>
    </w:p>
    <w:p w14:paraId="0CB6F039" w14:textId="77777777" w:rsidR="00795CC0" w:rsidRPr="00795CC0" w:rsidRDefault="00795CC0" w:rsidP="00795CC0">
      <w:pPr>
        <w:spacing w:line="360" w:lineRule="auto"/>
        <w:jc w:val="both"/>
        <w:rPr>
          <w:rFonts w:ascii="Palatino Linotype" w:hAnsi="Palatino Linotype" w:cs="Tahoma"/>
          <w:bCs/>
          <w:iCs/>
          <w:lang w:val="es-MX" w:eastAsia="es-ES"/>
        </w:rPr>
      </w:pPr>
    </w:p>
    <w:p w14:paraId="612A7C58" w14:textId="77777777" w:rsidR="00795CC0" w:rsidRPr="00795CC0" w:rsidRDefault="00795CC0" w:rsidP="00795CC0">
      <w:pPr>
        <w:spacing w:line="360" w:lineRule="auto"/>
        <w:jc w:val="both"/>
        <w:rPr>
          <w:rFonts w:ascii="Palatino Linotype" w:hAnsi="Palatino Linotype" w:cs="Tahoma"/>
          <w:bCs/>
          <w:iCs/>
          <w:lang w:val="es-MX" w:eastAsia="es-ES"/>
        </w:rPr>
      </w:pPr>
      <w:r w:rsidRPr="00795CC0">
        <w:rPr>
          <w:rFonts w:ascii="Palatino Linotype" w:hAnsi="Palatino Linotype" w:cs="Tahoma"/>
          <w:bCs/>
          <w:iCs/>
          <w:lang w:val="es-MX" w:eastAsia="es-ES"/>
        </w:rPr>
        <w:lastRenderedPageBreak/>
        <w:t>En el mismo orden de ideas, es de precisar que los Estándares de Competencia se encuentran enlistados en el Registro Nacional de Estándares de Competencia (RENEC) y que, en atención a las claves proporcionadas por el Particular, se obtuvo que estos precisamente corresponden a Estándares de Competencia de Marca (ECM) que se encuentran relacionados con la materia de Administración Pública del Estado de México y que, el Instituto Hacendario del Estado de México define como “certificado de marca” al documento emitido por el Consejo Nacional de Normalización y Certificación de Competencias Laborales, en el cual se manifiesta la competencia de una persona para desempeñar una función productiva con base a las Normas Institucionales de Competencia Laboral del propio Instituto, como se muestra a continuación:</w:t>
      </w:r>
    </w:p>
    <w:p w14:paraId="35F11A4E" w14:textId="77777777" w:rsidR="00795CC0" w:rsidRDefault="00795CC0" w:rsidP="00795CC0">
      <w:pPr>
        <w:spacing w:line="360" w:lineRule="auto"/>
        <w:contextualSpacing/>
        <w:jc w:val="both"/>
        <w:rPr>
          <w:rFonts w:ascii="Palatino Linotype" w:hAnsi="Palatino Linotype" w:cs="Tahoma"/>
          <w:b/>
          <w:iCs/>
          <w:szCs w:val="22"/>
          <w:lang w:val="es-MX" w:eastAsia="es-ES"/>
        </w:rPr>
      </w:pPr>
    </w:p>
    <w:p w14:paraId="7D8AF01C" w14:textId="77777777" w:rsidR="00795CC0" w:rsidRPr="00795CC0" w:rsidRDefault="00795CC0" w:rsidP="00795CC0">
      <w:pPr>
        <w:spacing w:line="360" w:lineRule="auto"/>
        <w:contextualSpacing/>
        <w:jc w:val="both"/>
        <w:rPr>
          <w:rFonts w:ascii="Palatino Linotype" w:hAnsi="Palatino Linotype" w:cs="Tahoma"/>
          <w:b/>
          <w:iCs/>
          <w:lang w:val="es-MX" w:eastAsia="es-ES"/>
        </w:rPr>
      </w:pPr>
    </w:p>
    <w:p w14:paraId="562A50D7" w14:textId="77777777" w:rsidR="00C50EBF" w:rsidRDefault="000C2D7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417E6FA7" wp14:editId="2A8E2A5E">
            <wp:extent cx="5057604" cy="3754365"/>
            <wp:effectExtent l="0" t="0" r="0" b="0"/>
            <wp:docPr id="9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5057604" cy="3754365"/>
                    </a:xfrm>
                    <a:prstGeom prst="rect">
                      <a:avLst/>
                    </a:prstGeom>
                    <a:ln/>
                  </pic:spPr>
                </pic:pic>
              </a:graphicData>
            </a:graphic>
          </wp:inline>
        </w:drawing>
      </w:r>
      <w:r>
        <w:rPr>
          <w:noProof/>
          <w:lang w:val="es-MX"/>
        </w:rPr>
        <mc:AlternateContent>
          <mc:Choice Requires="wps">
            <w:drawing>
              <wp:anchor distT="0" distB="0" distL="114300" distR="114300" simplePos="0" relativeHeight="251658240" behindDoc="0" locked="0" layoutInCell="1" hidden="0" allowOverlap="1" wp14:anchorId="2AFC23AE" wp14:editId="25F18149">
                <wp:simplePos x="0" y="0"/>
                <wp:positionH relativeFrom="column">
                  <wp:posOffset>-12699</wp:posOffset>
                </wp:positionH>
                <wp:positionV relativeFrom="paragraph">
                  <wp:posOffset>0</wp:posOffset>
                </wp:positionV>
                <wp:extent cx="638175" cy="3781425"/>
                <wp:effectExtent l="0" t="0" r="0" b="0"/>
                <wp:wrapNone/>
                <wp:docPr id="80" name="Rectángulo 80"/>
                <wp:cNvGraphicFramePr/>
                <a:graphic xmlns:a="http://schemas.openxmlformats.org/drawingml/2006/main">
                  <a:graphicData uri="http://schemas.microsoft.com/office/word/2010/wordprocessingShape">
                    <wps:wsp>
                      <wps:cNvSpPr/>
                      <wps:spPr>
                        <a:xfrm>
                          <a:off x="5041200" y="1903575"/>
                          <a:ext cx="609600" cy="3752850"/>
                        </a:xfrm>
                        <a:prstGeom prst="rect">
                          <a:avLst/>
                        </a:prstGeom>
                        <a:noFill/>
                        <a:ln w="28575" cap="flat" cmpd="sng">
                          <a:solidFill>
                            <a:srgbClr val="002060"/>
                          </a:solidFill>
                          <a:prstDash val="solid"/>
                          <a:round/>
                          <a:headEnd type="none" w="sm" len="sm"/>
                          <a:tailEnd type="none" w="sm" len="sm"/>
                        </a:ln>
                      </wps:spPr>
                      <wps:txbx>
                        <w:txbxContent>
                          <w:p w14:paraId="72B1BA2A" w14:textId="77777777" w:rsidR="005A7BD3" w:rsidRDefault="005A7BD3">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80" o:spid="_x0000_s1026" style="position:absolute;left:0;text-align:left;margin-left:-1pt;margin-top:0;width:50.25pt;height:297.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" filled="f" strokecolor="#002060" strokeweight="2.25pt">
                <v:stroke startarrowwidth="narrow" startarrowlength="short" endarrowwidth="narrow" endarrowlength="short" joinstyle="round"/>
                <v:textbox inset="2.53958mm,2.53958mm,2.53958mm,2.53958mm">
                  <w:txbxContent>
                    <w:p w:rsidR="005A7BD3" w:rsidRDefault="005A7BD3">
                      <w:pPr>
                        <w:textDirection w:val="btLr"/>
                      </w:pPr>
                    </w:p>
                  </w:txbxContent>
                </v:textbox>
              </v:rect>
            </w:pict>
          </mc:Fallback>
        </mc:AlternateContent>
      </w:r>
    </w:p>
    <w:p w14:paraId="306C2CE3" w14:textId="77777777" w:rsidR="00C50EBF" w:rsidRDefault="000C2D77">
      <w:pPr>
        <w:tabs>
          <w:tab w:val="left" w:pos="7513"/>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3CF99467" wp14:editId="4DBF06D0">
            <wp:extent cx="5581650" cy="1714500"/>
            <wp:effectExtent l="0" t="0" r="0" b="0"/>
            <wp:docPr id="9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581650" cy="1714500"/>
                    </a:xfrm>
                    <a:prstGeom prst="rect">
                      <a:avLst/>
                    </a:prstGeom>
                    <a:ln/>
                  </pic:spPr>
                </pic:pic>
              </a:graphicData>
            </a:graphic>
          </wp:inline>
        </w:drawing>
      </w:r>
      <w:r>
        <w:rPr>
          <w:noProof/>
          <w:lang w:val="es-MX"/>
        </w:rPr>
        <mc:AlternateContent>
          <mc:Choice Requires="wps">
            <w:drawing>
              <wp:anchor distT="0" distB="0" distL="114300" distR="114300" simplePos="0" relativeHeight="251659264" behindDoc="0" locked="0" layoutInCell="1" hidden="0" allowOverlap="1" wp14:anchorId="347539C5" wp14:editId="10361D1A">
                <wp:simplePos x="0" y="0"/>
                <wp:positionH relativeFrom="column">
                  <wp:posOffset>2616200</wp:posOffset>
                </wp:positionH>
                <wp:positionV relativeFrom="paragraph">
                  <wp:posOffset>1295400</wp:posOffset>
                </wp:positionV>
                <wp:extent cx="0" cy="25400"/>
                <wp:effectExtent l="0" t="0" r="0" b="0"/>
                <wp:wrapNone/>
                <wp:docPr id="82" name="Conector recto de flecha 82"/>
                <wp:cNvGraphicFramePr/>
                <a:graphic xmlns:a="http://schemas.openxmlformats.org/drawingml/2006/main">
                  <a:graphicData uri="http://schemas.microsoft.com/office/word/2010/wordprocessingShape">
                    <wps:wsp>
                      <wps:cNvCnPr/>
                      <wps:spPr>
                        <a:xfrm>
                          <a:off x="4064888" y="3780000"/>
                          <a:ext cx="2562225" cy="0"/>
                        </a:xfrm>
                        <a:prstGeom prst="straightConnector1">
                          <a:avLst/>
                        </a:prstGeom>
                        <a:noFill/>
                        <a:ln w="25400" cap="flat" cmpd="sng">
                          <a:solidFill>
                            <a:srgbClr val="00206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2616200</wp:posOffset>
                </wp:positionH>
                <wp:positionV relativeFrom="paragraph">
                  <wp:posOffset>1295400</wp:posOffset>
                </wp:positionV>
                <wp:extent cx="0" cy="25400"/>
                <wp:effectExtent b="0" l="0" r="0" t="0"/>
                <wp:wrapNone/>
                <wp:docPr id="82" name="image19.png"/>
                <a:graphic>
                  <a:graphicData uri="http://schemas.openxmlformats.org/drawingml/2006/picture">
                    <pic:pic>
                      <pic:nvPicPr>
                        <pic:cNvPr id="0" name="image19.png"/>
                        <pic:cNvPicPr preferRelativeResize="0"/>
                      </pic:nvPicPr>
                      <pic:blipFill>
                        <a:blip r:embed="rId21"/>
                        <a:srcRect/>
                        <a:stretch>
                          <a:fillRect/>
                        </a:stretch>
                      </pic:blipFill>
                      <pic:spPr>
                        <a:xfrm>
                          <a:off x="0" y="0"/>
                          <a:ext cx="0" cy="25400"/>
                        </a:xfrm>
                        <a:prstGeom prst="rect"/>
                        <a:ln/>
                      </pic:spPr>
                    </pic:pic>
                  </a:graphicData>
                </a:graphic>
              </wp:anchor>
            </w:drawing>
          </mc:Fallback>
        </mc:AlternateContent>
      </w:r>
    </w:p>
    <w:p w14:paraId="4102BFB4" w14:textId="77777777" w:rsidR="00C50EBF" w:rsidRDefault="00C50EBF">
      <w:pPr>
        <w:tabs>
          <w:tab w:val="left" w:pos="7513"/>
        </w:tabs>
        <w:spacing w:before="240" w:after="240" w:line="360" w:lineRule="auto"/>
        <w:ind w:right="49"/>
        <w:jc w:val="both"/>
        <w:rPr>
          <w:rFonts w:ascii="Palatino Linotype" w:eastAsia="Palatino Linotype" w:hAnsi="Palatino Linotype" w:cs="Palatino Linotype"/>
        </w:rPr>
      </w:pPr>
    </w:p>
    <w:p w14:paraId="218141EC" w14:textId="77777777" w:rsidR="00C50EBF" w:rsidRDefault="00C50EBF">
      <w:pPr>
        <w:tabs>
          <w:tab w:val="left" w:pos="7513"/>
        </w:tabs>
        <w:spacing w:before="240" w:after="240" w:line="360" w:lineRule="auto"/>
        <w:ind w:right="49"/>
        <w:jc w:val="both"/>
        <w:rPr>
          <w:rFonts w:ascii="Palatino Linotype" w:eastAsia="Palatino Linotype" w:hAnsi="Palatino Linotype" w:cs="Palatino Linotype"/>
        </w:rPr>
      </w:pPr>
    </w:p>
    <w:p w14:paraId="76CAB2ED" w14:textId="77777777" w:rsidR="00C50EBF" w:rsidRDefault="00C50EBF">
      <w:pPr>
        <w:tabs>
          <w:tab w:val="left" w:pos="7513"/>
        </w:tabs>
        <w:spacing w:before="240" w:after="240" w:line="360" w:lineRule="auto"/>
        <w:ind w:right="49"/>
        <w:jc w:val="both"/>
        <w:rPr>
          <w:rFonts w:ascii="Palatino Linotype" w:eastAsia="Palatino Linotype" w:hAnsi="Palatino Linotype" w:cs="Palatino Linotype"/>
        </w:rPr>
      </w:pPr>
    </w:p>
    <w:p w14:paraId="593F3724" w14:textId="77777777" w:rsidR="003319A3" w:rsidRPr="003319A3" w:rsidRDefault="003319A3" w:rsidP="003319A3">
      <w:pPr>
        <w:spacing w:line="360" w:lineRule="auto"/>
        <w:rPr>
          <w:rFonts w:ascii="Palatino Linotype" w:hAnsi="Palatino Linotype" w:cs="Tahoma"/>
          <w:bCs/>
          <w:iCs/>
          <w:lang w:val="es-MX" w:eastAsia="es-ES"/>
        </w:rPr>
      </w:pPr>
      <w:r w:rsidRPr="003319A3">
        <w:rPr>
          <w:rFonts w:ascii="Palatino Linotype" w:hAnsi="Palatino Linotype" w:cs="Tahoma"/>
          <w:bCs/>
          <w:iCs/>
          <w:szCs w:val="20"/>
          <w:lang w:val="es-MX" w:eastAsia="es-ES"/>
        </w:rPr>
        <w:lastRenderedPageBreak/>
        <w:t xml:space="preserve">De lo anterior se tiene que: </w:t>
      </w:r>
    </w:p>
    <w:p w14:paraId="69334275" w14:textId="77777777" w:rsidR="003319A3" w:rsidRPr="003319A3" w:rsidRDefault="003319A3" w:rsidP="003319A3">
      <w:pPr>
        <w:spacing w:line="360" w:lineRule="auto"/>
        <w:jc w:val="both"/>
        <w:rPr>
          <w:rFonts w:ascii="Palatino Linotype" w:hAnsi="Palatino Linotype" w:cs="Tahoma"/>
          <w:bCs/>
          <w:iCs/>
          <w:szCs w:val="20"/>
          <w:lang w:val="es-MX" w:eastAsia="es-ES"/>
        </w:rPr>
      </w:pPr>
    </w:p>
    <w:p w14:paraId="6E896F4C" w14:textId="77777777" w:rsidR="003319A3" w:rsidRPr="003319A3" w:rsidRDefault="003319A3" w:rsidP="003319A3">
      <w:pPr>
        <w:numPr>
          <w:ilvl w:val="0"/>
          <w:numId w:val="7"/>
        </w:numPr>
        <w:spacing w:line="360" w:lineRule="auto"/>
        <w:contextualSpacing/>
        <w:jc w:val="both"/>
        <w:rPr>
          <w:rFonts w:ascii="Palatino Linotype" w:hAnsi="Palatino Linotype" w:cs="Tahoma"/>
          <w:bCs/>
          <w:iCs/>
          <w:szCs w:val="22"/>
          <w:lang w:val="es-MX" w:eastAsia="es-ES"/>
        </w:rPr>
      </w:pPr>
      <w:r w:rsidRPr="003319A3">
        <w:rPr>
          <w:rFonts w:ascii="Palatino Linotype" w:hAnsi="Palatino Linotype" w:cs="Tahoma"/>
          <w:bCs/>
          <w:iCs/>
          <w:szCs w:val="22"/>
          <w:lang w:val="es-MX" w:eastAsia="es-ES"/>
        </w:rPr>
        <w:t xml:space="preserve">Los Estándares de Competencia a los que hizo referencia la Particular en su solicitud de información corresponden a Estándares de Competencia de Marca (ECM) aprobados por el </w:t>
      </w:r>
      <w:r w:rsidRPr="003319A3">
        <w:rPr>
          <w:rFonts w:ascii="Palatino Linotype" w:hAnsi="Palatino Linotype" w:cs="Tahoma"/>
          <w:bCs/>
          <w:iCs/>
          <w:lang w:val="es-MX" w:eastAsia="es-ES"/>
        </w:rPr>
        <w:t xml:space="preserve">Consejo Nacional de Normalización y Certificación de Competencias Laborales (CONOCER) y;  </w:t>
      </w:r>
    </w:p>
    <w:p w14:paraId="297FACEC" w14:textId="77777777" w:rsidR="003319A3" w:rsidRPr="003319A3" w:rsidRDefault="003319A3" w:rsidP="003319A3">
      <w:pPr>
        <w:numPr>
          <w:ilvl w:val="0"/>
          <w:numId w:val="7"/>
        </w:numPr>
        <w:spacing w:line="360" w:lineRule="auto"/>
        <w:contextualSpacing/>
        <w:jc w:val="both"/>
        <w:rPr>
          <w:rFonts w:ascii="Palatino Linotype" w:hAnsi="Palatino Linotype" w:cs="Tahoma"/>
          <w:bCs/>
          <w:iCs/>
          <w:szCs w:val="22"/>
          <w:lang w:val="es-MX" w:eastAsia="es-ES"/>
        </w:rPr>
      </w:pPr>
      <w:r w:rsidRPr="003319A3">
        <w:rPr>
          <w:rFonts w:ascii="Palatino Linotype" w:hAnsi="Palatino Linotype" w:cs="Tahoma"/>
          <w:bCs/>
          <w:iCs/>
          <w:szCs w:val="22"/>
          <w:lang w:val="es-MX" w:eastAsia="es-ES"/>
        </w:rPr>
        <w:t xml:space="preserve">El Instituto Hacendario del Estado de México (IHAEM), es una Entidad de Certificación y Evaluación de Competencias acreditada por CONOCER. </w:t>
      </w:r>
    </w:p>
    <w:p w14:paraId="2219AC62" w14:textId="77777777" w:rsidR="003319A3" w:rsidRPr="003319A3" w:rsidRDefault="003319A3" w:rsidP="003319A3">
      <w:pPr>
        <w:spacing w:line="360" w:lineRule="auto"/>
        <w:jc w:val="both"/>
        <w:rPr>
          <w:rFonts w:ascii="Palatino Linotype" w:hAnsi="Palatino Linotype" w:cs="Tahoma"/>
          <w:bCs/>
          <w:iCs/>
          <w:sz w:val="22"/>
          <w:szCs w:val="22"/>
          <w:lang w:val="es-MX" w:eastAsia="es-ES"/>
        </w:rPr>
      </w:pPr>
    </w:p>
    <w:p w14:paraId="4DF6EC7D" w14:textId="77777777" w:rsidR="003319A3" w:rsidRPr="003319A3" w:rsidRDefault="003319A3" w:rsidP="003319A3">
      <w:pPr>
        <w:spacing w:line="360" w:lineRule="auto"/>
        <w:jc w:val="both"/>
        <w:rPr>
          <w:rFonts w:ascii="Palatino Linotype" w:hAnsi="Palatino Linotype" w:cs="Tahoma"/>
          <w:b/>
          <w:bCs/>
          <w:iCs/>
          <w:szCs w:val="22"/>
          <w:lang w:val="es-MX" w:eastAsia="es-ES"/>
        </w:rPr>
      </w:pPr>
      <w:r w:rsidRPr="003319A3">
        <w:rPr>
          <w:rFonts w:ascii="Palatino Linotype" w:hAnsi="Palatino Linotype" w:cs="Tahoma"/>
          <w:bCs/>
          <w:iCs/>
          <w:szCs w:val="22"/>
          <w:lang w:val="es-MX" w:eastAsia="es-ES"/>
        </w:rPr>
        <w:t xml:space="preserve">Ahora bien, por otro lado, es de referir que el Reglamento de la Comisión Certificadora de Competencia Laboral para el Servicio Público del Estado de México, establece en su artículo 2, fracción VII que el Certificado de Competencia Laboral es el </w:t>
      </w:r>
      <w:r w:rsidRPr="003319A3">
        <w:rPr>
          <w:rFonts w:ascii="Palatino Linotype" w:hAnsi="Palatino Linotype" w:cs="Tahoma"/>
          <w:b/>
          <w:bCs/>
          <w:iCs/>
          <w:szCs w:val="22"/>
          <w:lang w:val="es-MX" w:eastAsia="es-ES"/>
        </w:rPr>
        <w:t xml:space="preserve">documento con folio único </w:t>
      </w:r>
      <w:r w:rsidRPr="003319A3">
        <w:rPr>
          <w:rFonts w:ascii="Palatino Linotype" w:hAnsi="Palatino Linotype" w:cs="Tahoma"/>
          <w:bCs/>
          <w:iCs/>
          <w:szCs w:val="22"/>
          <w:lang w:val="es-MX" w:eastAsia="es-ES"/>
        </w:rPr>
        <w:t xml:space="preserve">que acredita la competencia de una persona, por lo que se advierte que lo que requiere conocer el Particular al hacer referencia al número de certificado, es el </w:t>
      </w:r>
      <w:r w:rsidRPr="003319A3">
        <w:rPr>
          <w:rFonts w:ascii="Palatino Linotype" w:hAnsi="Palatino Linotype" w:cs="Tahoma"/>
          <w:b/>
          <w:bCs/>
          <w:iCs/>
          <w:szCs w:val="22"/>
          <w:lang w:val="es-MX" w:eastAsia="es-ES"/>
        </w:rPr>
        <w:t xml:space="preserve">folio del documento. </w:t>
      </w:r>
    </w:p>
    <w:p w14:paraId="14DB5CCB" w14:textId="77777777" w:rsidR="003319A3" w:rsidRPr="003319A3" w:rsidRDefault="003319A3" w:rsidP="003319A3">
      <w:pPr>
        <w:spacing w:line="360" w:lineRule="auto"/>
        <w:jc w:val="both"/>
        <w:rPr>
          <w:rFonts w:ascii="Palatino Linotype" w:hAnsi="Palatino Linotype" w:cs="Tahoma"/>
          <w:b/>
          <w:bCs/>
          <w:iCs/>
          <w:szCs w:val="22"/>
          <w:lang w:val="es-MX" w:eastAsia="es-ES"/>
        </w:rPr>
      </w:pPr>
    </w:p>
    <w:p w14:paraId="3E838202" w14:textId="77777777" w:rsidR="003319A3" w:rsidRPr="003319A3" w:rsidRDefault="003319A3" w:rsidP="003319A3">
      <w:pPr>
        <w:spacing w:line="360" w:lineRule="auto"/>
        <w:jc w:val="both"/>
        <w:rPr>
          <w:rFonts w:ascii="Palatino Linotype" w:hAnsi="Palatino Linotype" w:cs="Tahoma"/>
          <w:bCs/>
          <w:iCs/>
          <w:szCs w:val="22"/>
          <w:lang w:val="es-MX" w:eastAsia="es-ES"/>
        </w:rPr>
      </w:pPr>
      <w:r w:rsidRPr="003319A3">
        <w:rPr>
          <w:rFonts w:ascii="Palatino Linotype" w:hAnsi="Palatino Linotype" w:cs="Tahoma"/>
          <w:bCs/>
          <w:iCs/>
          <w:szCs w:val="22"/>
          <w:lang w:val="es-MX" w:eastAsia="es-ES"/>
        </w:rPr>
        <w:t xml:space="preserve">En ese sentido, cabe mencionar que de la búsqueda de los folio de identificación, en el </w:t>
      </w:r>
      <w:r w:rsidRPr="003319A3">
        <w:rPr>
          <w:rFonts w:ascii="Palatino Linotype" w:hAnsi="Palatino Linotype" w:cs="Tahoma"/>
          <w:bCs/>
          <w:iCs/>
          <w:lang w:val="es-MX" w:eastAsia="es-ES"/>
        </w:rPr>
        <w:t xml:space="preserve">Registro Nacional de Personas con Competencias </w:t>
      </w:r>
      <w:r w:rsidRPr="003319A3">
        <w:rPr>
          <w:rFonts w:ascii="Palatino Linotype" w:hAnsi="Palatino Linotype" w:cs="Tahoma"/>
          <w:bCs/>
          <w:iCs/>
          <w:szCs w:val="22"/>
          <w:lang w:val="es-MX" w:eastAsia="es-ES"/>
        </w:rPr>
        <w:t>Certif</w:t>
      </w:r>
      <w:r>
        <w:rPr>
          <w:rFonts w:ascii="Palatino Linotype" w:hAnsi="Palatino Linotype" w:cs="Tahoma"/>
          <w:bCs/>
          <w:iCs/>
          <w:szCs w:val="22"/>
          <w:lang w:val="es-MX" w:eastAsia="es-ES"/>
        </w:rPr>
        <w:t>icadas (consultado el ocho de juni</w:t>
      </w:r>
      <w:r w:rsidRPr="003319A3">
        <w:rPr>
          <w:rFonts w:ascii="Palatino Linotype" w:hAnsi="Palatino Linotype" w:cs="Tahoma"/>
          <w:bCs/>
          <w:iCs/>
          <w:szCs w:val="22"/>
          <w:lang w:val="es-MX" w:eastAsia="es-ES"/>
        </w:rPr>
        <w:t xml:space="preserve">o de dos mil veintidós en: </w:t>
      </w:r>
      <w:hyperlink r:id="rId22" w:history="1">
        <w:r w:rsidRPr="003319A3">
          <w:rPr>
            <w:rFonts w:ascii="Palatino Linotype" w:hAnsi="Palatino Linotype" w:cs="Tahoma"/>
            <w:bCs/>
            <w:iCs/>
            <w:color w:val="0563C1"/>
            <w:szCs w:val="22"/>
            <w:u w:val="single"/>
            <w:lang w:val="es-MX" w:eastAsia="es-ES"/>
          </w:rPr>
          <w:t>https://conocer.gob.mx/RENAP/certificaciones</w:t>
        </w:r>
      </w:hyperlink>
      <w:r w:rsidRPr="003319A3">
        <w:rPr>
          <w:rFonts w:ascii="Palatino Linotype" w:hAnsi="Palatino Linotype" w:cs="Tahoma"/>
          <w:bCs/>
          <w:iCs/>
          <w:szCs w:val="22"/>
          <w:lang w:val="es-MX" w:eastAsia="es-ES"/>
        </w:rPr>
        <w:t>), no se obtienen datos personales, por lo que se determina que es información que puede</w:t>
      </w:r>
      <w:r w:rsidRPr="003319A3">
        <w:rPr>
          <w:rFonts w:ascii="Palatino Linotype" w:hAnsi="Palatino Linotype" w:cs="Tahoma"/>
          <w:bCs/>
          <w:iCs/>
          <w:lang w:val="es-MX" w:eastAsia="es-ES"/>
        </w:rPr>
        <w:t xml:space="preserve"> ser del conocimiento del Particular. </w:t>
      </w:r>
    </w:p>
    <w:p w14:paraId="561F4B49" w14:textId="77777777" w:rsidR="003319A3" w:rsidRDefault="003319A3">
      <w:pPr>
        <w:tabs>
          <w:tab w:val="left" w:pos="7513"/>
        </w:tabs>
        <w:spacing w:before="240" w:after="240" w:line="360" w:lineRule="auto"/>
        <w:ind w:right="49"/>
        <w:jc w:val="both"/>
        <w:rPr>
          <w:rFonts w:ascii="Palatino Linotype" w:eastAsia="Palatino Linotype" w:hAnsi="Palatino Linotype" w:cs="Palatino Linotype"/>
        </w:rPr>
      </w:pPr>
    </w:p>
    <w:p w14:paraId="09981114" w14:textId="77777777" w:rsidR="003319A3" w:rsidRDefault="003319A3">
      <w:pPr>
        <w:tabs>
          <w:tab w:val="left" w:pos="7513"/>
        </w:tabs>
        <w:spacing w:before="240" w:after="240" w:line="360" w:lineRule="auto"/>
        <w:ind w:right="49"/>
        <w:jc w:val="both"/>
        <w:rPr>
          <w:rFonts w:ascii="Palatino Linotype" w:eastAsia="Palatino Linotype" w:hAnsi="Palatino Linotype" w:cs="Palatino Linotype"/>
        </w:rPr>
      </w:pPr>
    </w:p>
    <w:p w14:paraId="29D3F2C6" w14:textId="77777777" w:rsidR="00C50EBF" w:rsidRPr="000559A7" w:rsidRDefault="003319A3">
      <w:pPr>
        <w:spacing w:before="240" w:after="240" w:line="360" w:lineRule="auto"/>
        <w:jc w:val="both"/>
        <w:rPr>
          <w:rFonts w:ascii="Palatino Linotype" w:eastAsia="Palatino Linotype" w:hAnsi="Palatino Linotype" w:cs="Palatino Linotype"/>
          <w:color w:val="000000"/>
        </w:rPr>
      </w:pPr>
      <w:r w:rsidRPr="000559A7">
        <w:rPr>
          <w:rFonts w:ascii="Palatino Linotype" w:eastAsia="Palatino Linotype" w:hAnsi="Palatino Linotype" w:cs="Palatino Linotype"/>
          <w:color w:val="000000"/>
        </w:rPr>
        <w:lastRenderedPageBreak/>
        <w:t>En mérito de lo anterior, es preciso</w:t>
      </w:r>
      <w:r w:rsidR="000C2D77" w:rsidRPr="000559A7">
        <w:rPr>
          <w:rFonts w:ascii="Palatino Linotype" w:eastAsia="Palatino Linotype" w:hAnsi="Palatino Linotype" w:cs="Palatino Linotype"/>
          <w:color w:val="000000"/>
        </w:rPr>
        <w:t xml:space="preserve"> recordar que a través de la Comisión Certificadora de Competencia Laboral de los Servidores Públicos del Estado de México (COCERTEM) que el IHAEM certifica a los servidores públicos mencionados con anterioridad, para ello es importante mencionar que la certificación de competencia laboral requerida es el proceso mediante el cual un organismo acreditado, reconoce que una persona ha demostrado su competencia, para desempeñar una función productiva determinada, con base en la Norma Institucional de Competencia Laboral (NICL) aprobada, dicha norma describe lo que una persona es competente de saber y hacer en su función laboral</w:t>
      </w:r>
      <w:r w:rsidR="000C2D77" w:rsidRPr="000559A7">
        <w:rPr>
          <w:rFonts w:ascii="Palatino Linotype" w:eastAsia="Palatino Linotype" w:hAnsi="Palatino Linotype" w:cs="Palatino Linotype"/>
          <w:color w:val="000000"/>
          <w:vertAlign w:val="superscript"/>
        </w:rPr>
        <w:footnoteReference w:id="3"/>
      </w:r>
      <w:r w:rsidR="000C2D77" w:rsidRPr="000559A7">
        <w:rPr>
          <w:rFonts w:ascii="Palatino Linotype" w:eastAsia="Palatino Linotype" w:hAnsi="Palatino Linotype" w:cs="Palatino Linotype"/>
          <w:color w:val="000000"/>
        </w:rPr>
        <w:t xml:space="preserve">. </w:t>
      </w:r>
    </w:p>
    <w:p w14:paraId="43156CD9" w14:textId="77777777" w:rsidR="00C50EBF" w:rsidRPr="000559A7" w:rsidRDefault="000C2D77">
      <w:pPr>
        <w:spacing w:before="240" w:after="240" w:line="360" w:lineRule="auto"/>
        <w:jc w:val="both"/>
        <w:rPr>
          <w:rFonts w:ascii="Palatino Linotype" w:eastAsia="Palatino Linotype" w:hAnsi="Palatino Linotype" w:cs="Palatino Linotype"/>
          <w:color w:val="000000"/>
        </w:rPr>
      </w:pPr>
      <w:r w:rsidRPr="000559A7">
        <w:rPr>
          <w:rFonts w:ascii="Palatino Linotype" w:eastAsia="Palatino Linotype" w:hAnsi="Palatino Linotype" w:cs="Palatino Linotype"/>
          <w:color w:val="000000"/>
        </w:rPr>
        <w:t xml:space="preserve">Para al fin, la COCERTEM desarrolla planes de evaluación con los candidatos para establecer la fecha y hora en que se llevará a cabo el proceso de evaluación, indicándole los derechos y obligaciones correspondientes; además la evaluación se hace de tres tipos: evaluación de conocimientos, desempeño y productos; el primero de ellos se trata de un cuestionario que permite evaluar los conocimientos adquiridos, en la segunda fase se aplica una guía de observación que permite evaluar las habilidades, aptitudes y destrezas de un candidato para desempeñar alguna función productiva y en la tercera se aplica una lista de cotejo que permite evaluar los elementos que deben contener los papeles de trabajo establecidos en una Norma Institucional de Competencia Laboral, con la finalidad de obtener un certificado o documento emitido por la Comisión en el cual se manifiesta la </w:t>
      </w:r>
      <w:r w:rsidRPr="000559A7">
        <w:rPr>
          <w:rFonts w:ascii="Palatino Linotype" w:eastAsia="Palatino Linotype" w:hAnsi="Palatino Linotype" w:cs="Palatino Linotype"/>
          <w:color w:val="000000"/>
        </w:rPr>
        <w:lastRenderedPageBreak/>
        <w:t>competencia de una persona para desempeñar una función productiva, por cumplir los requisitos de una o algunas Normas de Competencia Laboral.</w:t>
      </w:r>
    </w:p>
    <w:p w14:paraId="27FD8F49" w14:textId="77777777" w:rsidR="00C50EBF" w:rsidRPr="000559A7" w:rsidRDefault="000C2D77">
      <w:pPr>
        <w:spacing w:before="240" w:after="240" w:line="360" w:lineRule="auto"/>
        <w:jc w:val="both"/>
        <w:rPr>
          <w:rFonts w:ascii="Palatino Linotype" w:eastAsia="Palatino Linotype" w:hAnsi="Palatino Linotype" w:cs="Palatino Linotype"/>
          <w:color w:val="000000"/>
        </w:rPr>
      </w:pPr>
      <w:r w:rsidRPr="000559A7">
        <w:rPr>
          <w:rFonts w:ascii="Palatino Linotype" w:eastAsia="Palatino Linotype" w:hAnsi="Palatino Linotype" w:cs="Palatino Linotype"/>
          <w:color w:val="000000"/>
        </w:rPr>
        <w:t xml:space="preserve"> Para tales efectos, la COCERTEM ha desarrollado un calendario de evaluaciones aplicable para los meses de enero, febrero, marzo, abril, mayo y junio de dos mil veintidós, tomando en consideración que junio sería el último mes para que los nuevos servidores públicos obtengan la certificación correspondiente, por ello a manera de referencia se toma el siguiente extracto del calendario:</w:t>
      </w:r>
    </w:p>
    <w:p w14:paraId="456E9DD0" w14:textId="77777777" w:rsidR="00C50EBF" w:rsidRPr="007C67F5" w:rsidRDefault="000C2D77">
      <w:pPr>
        <w:spacing w:before="240" w:after="240" w:line="360" w:lineRule="auto"/>
        <w:jc w:val="center"/>
        <w:rPr>
          <w:rFonts w:ascii="Palatino Linotype" w:eastAsia="Palatino Linotype" w:hAnsi="Palatino Linotype" w:cs="Palatino Linotype"/>
          <w:color w:val="000000"/>
          <w:highlight w:val="yellow"/>
        </w:rPr>
      </w:pPr>
      <w:r w:rsidRPr="007C67F5">
        <w:rPr>
          <w:rFonts w:ascii="Palatino Linotype" w:eastAsia="Palatino Linotype" w:hAnsi="Palatino Linotype" w:cs="Palatino Linotype"/>
          <w:noProof/>
          <w:color w:val="000000"/>
          <w:highlight w:val="yellow"/>
          <w:lang w:val="es-MX"/>
        </w:rPr>
        <w:drawing>
          <wp:inline distT="0" distB="0" distL="0" distR="0" wp14:anchorId="07071C75" wp14:editId="36DB55D9">
            <wp:extent cx="3190875" cy="4810125"/>
            <wp:effectExtent l="0" t="0" r="9525" b="9525"/>
            <wp:docPr id="9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3191151" cy="4810541"/>
                    </a:xfrm>
                    <a:prstGeom prst="rect">
                      <a:avLst/>
                    </a:prstGeom>
                    <a:ln/>
                  </pic:spPr>
                </pic:pic>
              </a:graphicData>
            </a:graphic>
          </wp:inline>
        </w:drawing>
      </w:r>
    </w:p>
    <w:p w14:paraId="3FA91A8A" w14:textId="77777777" w:rsidR="00C50EBF" w:rsidRPr="007C67F5" w:rsidRDefault="000C2D77">
      <w:pPr>
        <w:spacing w:before="240" w:after="240" w:line="360" w:lineRule="auto"/>
        <w:jc w:val="both"/>
        <w:rPr>
          <w:rFonts w:ascii="Palatino Linotype" w:eastAsia="Palatino Linotype" w:hAnsi="Palatino Linotype" w:cs="Palatino Linotype"/>
          <w:color w:val="000000"/>
          <w:highlight w:val="yellow"/>
        </w:rPr>
      </w:pPr>
      <w:r w:rsidRPr="007C67F5">
        <w:rPr>
          <w:rFonts w:ascii="Palatino Linotype" w:eastAsia="Palatino Linotype" w:hAnsi="Palatino Linotype" w:cs="Palatino Linotype"/>
          <w:noProof/>
          <w:color w:val="000000"/>
          <w:highlight w:val="yellow"/>
          <w:lang w:val="es-MX"/>
        </w:rPr>
        <w:lastRenderedPageBreak/>
        <w:drawing>
          <wp:inline distT="0" distB="0" distL="0" distR="0" wp14:anchorId="17793928" wp14:editId="20926669">
            <wp:extent cx="5219700" cy="6610350"/>
            <wp:effectExtent l="0" t="0" r="0" b="0"/>
            <wp:docPr id="9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219700" cy="6610350"/>
                    </a:xfrm>
                    <a:prstGeom prst="rect">
                      <a:avLst/>
                    </a:prstGeom>
                    <a:ln/>
                  </pic:spPr>
                </pic:pic>
              </a:graphicData>
            </a:graphic>
          </wp:inline>
        </w:drawing>
      </w:r>
    </w:p>
    <w:p w14:paraId="556C0223" w14:textId="77777777" w:rsidR="00C50EBF" w:rsidRPr="007C67F5" w:rsidRDefault="000C2D77">
      <w:pPr>
        <w:spacing w:before="240" w:after="240" w:line="360" w:lineRule="auto"/>
        <w:jc w:val="both"/>
        <w:rPr>
          <w:rFonts w:ascii="Palatino Linotype" w:eastAsia="Palatino Linotype" w:hAnsi="Palatino Linotype" w:cs="Palatino Linotype"/>
          <w:color w:val="000000"/>
          <w:highlight w:val="yellow"/>
        </w:rPr>
      </w:pPr>
      <w:r w:rsidRPr="007C67F5">
        <w:rPr>
          <w:rFonts w:ascii="Palatino Linotype" w:eastAsia="Palatino Linotype" w:hAnsi="Palatino Linotype" w:cs="Palatino Linotype"/>
          <w:noProof/>
          <w:color w:val="000000"/>
          <w:highlight w:val="yellow"/>
          <w:lang w:val="es-MX"/>
        </w:rPr>
        <w:lastRenderedPageBreak/>
        <w:drawing>
          <wp:inline distT="0" distB="0" distL="0" distR="0" wp14:anchorId="2B6F8A6F" wp14:editId="711E9851">
            <wp:extent cx="5153025" cy="6600825"/>
            <wp:effectExtent l="0" t="0" r="0" b="0"/>
            <wp:docPr id="9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153025" cy="6600825"/>
                    </a:xfrm>
                    <a:prstGeom prst="rect">
                      <a:avLst/>
                    </a:prstGeom>
                    <a:ln/>
                  </pic:spPr>
                </pic:pic>
              </a:graphicData>
            </a:graphic>
          </wp:inline>
        </w:drawing>
      </w:r>
    </w:p>
    <w:p w14:paraId="2B9AE909" w14:textId="77777777" w:rsidR="00C50EBF" w:rsidRPr="007C67F5" w:rsidRDefault="00C50EBF">
      <w:pPr>
        <w:spacing w:before="240" w:after="240" w:line="360" w:lineRule="auto"/>
        <w:jc w:val="both"/>
        <w:rPr>
          <w:rFonts w:ascii="Palatino Linotype" w:eastAsia="Palatino Linotype" w:hAnsi="Palatino Linotype" w:cs="Palatino Linotype"/>
          <w:color w:val="000000"/>
          <w:highlight w:val="yellow"/>
        </w:rPr>
      </w:pPr>
    </w:p>
    <w:p w14:paraId="70EABC75" w14:textId="77777777" w:rsidR="00C40035" w:rsidRDefault="000C2D77">
      <w:pPr>
        <w:tabs>
          <w:tab w:val="left" w:pos="7513"/>
        </w:tabs>
        <w:spacing w:before="240" w:after="240" w:line="360" w:lineRule="auto"/>
        <w:ind w:right="49"/>
        <w:jc w:val="both"/>
        <w:rPr>
          <w:rFonts w:ascii="Palatino Linotype" w:eastAsia="Palatino Linotype" w:hAnsi="Palatino Linotype" w:cs="Palatino Linotype"/>
          <w:color w:val="000000"/>
        </w:rPr>
      </w:pPr>
      <w:r w:rsidRPr="000559A7">
        <w:rPr>
          <w:rFonts w:ascii="Palatino Linotype" w:eastAsia="Palatino Linotype" w:hAnsi="Palatino Linotype" w:cs="Palatino Linotype"/>
          <w:color w:val="000000"/>
        </w:rPr>
        <w:lastRenderedPageBreak/>
        <w:t xml:space="preserve">Como se puede observar de la imagen anterior, para el proceso de certificación de la COCERTEM se establecen seis convocatorias al año, en donde se dan </w:t>
      </w:r>
      <w:r w:rsidRPr="000559A7">
        <w:rPr>
          <w:rFonts w:ascii="Palatino Linotype" w:eastAsia="Palatino Linotype" w:hAnsi="Palatino Linotype" w:cs="Palatino Linotype"/>
        </w:rPr>
        <w:t>distintas</w:t>
      </w:r>
      <w:r w:rsidRPr="000559A7">
        <w:rPr>
          <w:rFonts w:ascii="Palatino Linotype" w:eastAsia="Palatino Linotype" w:hAnsi="Palatino Linotype" w:cs="Palatino Linotype"/>
          <w:color w:val="000000"/>
        </w:rPr>
        <w:t xml:space="preserve"> fechas para la certificación de los servidores públicos que vayan a desempeñarse en las funciones establecidas por la Ley Orgánica Municipal, por lo que al momento de </w:t>
      </w:r>
      <w:r w:rsidR="003319A3" w:rsidRPr="000559A7">
        <w:rPr>
          <w:rFonts w:ascii="Palatino Linotype" w:eastAsia="Palatino Linotype" w:hAnsi="Palatino Linotype" w:cs="Palatino Linotype"/>
          <w:color w:val="000000"/>
        </w:rPr>
        <w:t>presente solicitud</w:t>
      </w:r>
      <w:r w:rsidRPr="000559A7">
        <w:rPr>
          <w:rFonts w:ascii="Palatino Linotype" w:eastAsia="Palatino Linotype" w:hAnsi="Palatino Linotype" w:cs="Palatino Linotype"/>
          <w:color w:val="000000"/>
        </w:rPr>
        <w:t xml:space="preserve"> ya fue concluido el primer periodo y por ello solamente siguen abiertas de las convocatoria 2 a 6, por lo que </w:t>
      </w:r>
      <w:r w:rsidR="00853FA7" w:rsidRPr="000559A7">
        <w:rPr>
          <w:rFonts w:ascii="Palatino Linotype" w:eastAsia="Palatino Linotype" w:hAnsi="Palatino Linotype" w:cs="Palatino Linotype"/>
          <w:color w:val="000000"/>
        </w:rPr>
        <w:t xml:space="preserve">en caso de que </w:t>
      </w:r>
      <w:r w:rsidRPr="000559A7">
        <w:rPr>
          <w:rFonts w:ascii="Palatino Linotype" w:eastAsia="Palatino Linotype" w:hAnsi="Palatino Linotype" w:cs="Palatino Linotype"/>
          <w:color w:val="000000"/>
        </w:rPr>
        <w:t xml:space="preserve">los servidores públicos </w:t>
      </w:r>
      <w:r w:rsidRPr="000559A7">
        <w:rPr>
          <w:rFonts w:ascii="Palatino Linotype" w:eastAsia="Palatino Linotype" w:hAnsi="Palatino Linotype" w:cs="Palatino Linotype"/>
        </w:rPr>
        <w:t xml:space="preserve">referidos con antelación, adscritos al Ayuntamiento de Cuautitlán Izcalli, </w:t>
      </w:r>
      <w:r w:rsidR="00853FA7" w:rsidRPr="000559A7">
        <w:rPr>
          <w:rFonts w:ascii="Palatino Linotype" w:eastAsia="Palatino Linotype" w:hAnsi="Palatino Linotype" w:cs="Palatino Linotype"/>
        </w:rPr>
        <w:t xml:space="preserve">no cuenten </w:t>
      </w:r>
      <w:r w:rsidRPr="000559A7">
        <w:rPr>
          <w:rFonts w:ascii="Palatino Linotype" w:eastAsia="Palatino Linotype" w:hAnsi="Palatino Linotype" w:cs="Palatino Linotype"/>
        </w:rPr>
        <w:t>con estas certificaciones, deberá manifestarlo de manera fundada y motivada</w:t>
      </w:r>
      <w:r w:rsidR="003319A3" w:rsidRPr="000559A7">
        <w:rPr>
          <w:rFonts w:ascii="Palatino Linotype" w:eastAsia="Palatino Linotype" w:hAnsi="Palatino Linotype" w:cs="Palatino Linotype"/>
        </w:rPr>
        <w:t>, en términos del segundo párrafo del artículo 19 de la Ley de Transparencia</w:t>
      </w:r>
      <w:r w:rsidRPr="000559A7">
        <w:rPr>
          <w:rFonts w:ascii="Palatino Linotype" w:eastAsia="Palatino Linotype" w:hAnsi="Palatino Linotype" w:cs="Palatino Linotype"/>
        </w:rPr>
        <w:t>.</w:t>
      </w:r>
    </w:p>
    <w:p w14:paraId="784CCB90" w14:textId="77777777" w:rsidR="00C50EBF" w:rsidRDefault="000C2D77">
      <w:pPr>
        <w:tabs>
          <w:tab w:val="left" w:pos="7513"/>
        </w:tabs>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color w:val="000000"/>
        </w:rPr>
        <w:t>2.- Del número de nómina y monto bruto de percepciones económicas</w:t>
      </w:r>
    </w:p>
    <w:p w14:paraId="352A4548" w14:textId="77777777" w:rsidR="00C50EBF" w:rsidRDefault="000C2D7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continuando con el análisis, para el caso de las remuneraciones, debemos definirlas como todo tipo de retribución que recibe un trabajador por las labores realizadas en una empresa, en otras palabras se trata de los beneficios que el patrón otorga al colaborador por la prestación de un servicio personal subordinado, es decir, se constituyen como uno de los factores que determinan la existencia de una relación de trabajo entre empleador y trabajador, es de señalar que de conformidad con el artículo 84 de la Ley Federal del Trabajo, estas remuneraciones se conformarán de la siguiente manera: </w:t>
      </w:r>
    </w:p>
    <w:p w14:paraId="31B09946" w14:textId="77777777" w:rsidR="00C50EBF" w:rsidRDefault="00C50EBF">
      <w:pPr>
        <w:spacing w:line="360" w:lineRule="auto"/>
        <w:ind w:right="49"/>
        <w:jc w:val="both"/>
        <w:rPr>
          <w:rFonts w:ascii="Palatino Linotype" w:eastAsia="Palatino Linotype" w:hAnsi="Palatino Linotype" w:cs="Palatino Linotype"/>
        </w:rPr>
      </w:pPr>
    </w:p>
    <w:p w14:paraId="5EF4DC28" w14:textId="77777777" w:rsidR="00C50EBF" w:rsidRDefault="000C2D77">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Artículo 84.- El salario se integra con</w:t>
      </w:r>
      <w:r>
        <w:rPr>
          <w:rFonts w:ascii="Palatino Linotype" w:eastAsia="Palatino Linotype" w:hAnsi="Palatino Linotype" w:cs="Palatino Linotype"/>
          <w:i/>
          <w:sz w:val="22"/>
          <w:szCs w:val="22"/>
        </w:rPr>
        <w:t xml:space="preserve"> los pagos hechos en efectivo por cuota diaria, gratificaciones, percepciones, habitación, primas, comisiones, </w:t>
      </w:r>
      <w:r>
        <w:rPr>
          <w:rFonts w:ascii="Palatino Linotype" w:eastAsia="Palatino Linotype" w:hAnsi="Palatino Linotype" w:cs="Palatino Linotype"/>
          <w:b/>
          <w:i/>
          <w:sz w:val="22"/>
          <w:szCs w:val="22"/>
          <w:u w:val="single"/>
        </w:rPr>
        <w:t>prestaciones en especie y cualquiera otra cantidad o prestación que se entregue al trabajador por su trabajo.</w:t>
      </w:r>
      <w:r>
        <w:rPr>
          <w:rFonts w:ascii="Palatino Linotype" w:eastAsia="Palatino Linotype" w:hAnsi="Palatino Linotype" w:cs="Palatino Linotype"/>
          <w:i/>
          <w:sz w:val="22"/>
          <w:szCs w:val="22"/>
        </w:rPr>
        <w:t>”</w:t>
      </w:r>
    </w:p>
    <w:p w14:paraId="72AEE08A" w14:textId="77777777" w:rsidR="00C50EBF" w:rsidRDefault="00C50EBF">
      <w:pPr>
        <w:ind w:left="567" w:right="900"/>
        <w:jc w:val="both"/>
        <w:rPr>
          <w:rFonts w:ascii="Palatino Linotype" w:eastAsia="Palatino Linotype" w:hAnsi="Palatino Linotype" w:cs="Palatino Linotype"/>
          <w:i/>
          <w:sz w:val="22"/>
          <w:szCs w:val="22"/>
        </w:rPr>
      </w:pPr>
    </w:p>
    <w:p w14:paraId="39E9118F" w14:textId="77777777" w:rsidR="00C50EBF" w:rsidRDefault="000C2D7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armonía con esta disposición, la Ley del Trabajo de los Servidores Públicos del Estado de México y Municipios prevé lo siguiente referente a las prestaciones de los servidores públicos: </w:t>
      </w:r>
    </w:p>
    <w:p w14:paraId="3D536581" w14:textId="77777777" w:rsidR="00C50EBF" w:rsidRDefault="00C50EBF">
      <w:pPr>
        <w:ind w:right="900"/>
        <w:jc w:val="both"/>
        <w:rPr>
          <w:rFonts w:ascii="Palatino Linotype" w:eastAsia="Palatino Linotype" w:hAnsi="Palatino Linotype" w:cs="Palatino Linotype"/>
          <w:i/>
          <w:sz w:val="22"/>
          <w:szCs w:val="22"/>
        </w:rPr>
      </w:pPr>
    </w:p>
    <w:p w14:paraId="4369D570" w14:textId="77777777" w:rsidR="00C50EBF" w:rsidRDefault="000C2D77">
      <w:pPr>
        <w:ind w:left="851"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“ARTÍCULO 40.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Conforme lo dispuesto en los artículos anteriores, los acuerdos, convenios y reglamentos a que se hace referencia, así como las prestaciones y derechos de cualesquier naturaleza, serán de observancia general y obligatoria para</w:t>
      </w:r>
      <w:r>
        <w:rPr>
          <w:rFonts w:ascii="Palatino Linotype" w:eastAsia="Palatino Linotype" w:hAnsi="Palatino Linotype" w:cs="Palatino Linotype"/>
          <w:i/>
          <w:sz w:val="22"/>
          <w:szCs w:val="22"/>
        </w:rPr>
        <w:t xml:space="preserve"> el titular del Poder Ejecutivo, </w:t>
      </w:r>
      <w:r>
        <w:rPr>
          <w:rFonts w:ascii="Palatino Linotype" w:eastAsia="Palatino Linotype" w:hAnsi="Palatino Linotype" w:cs="Palatino Linotype"/>
          <w:b/>
          <w:i/>
          <w:sz w:val="22"/>
          <w:szCs w:val="22"/>
          <w:u w:val="single"/>
        </w:rPr>
        <w:t>los titulares de las dependencias y de la institución o instituciones públicas a las que estén adscritos.</w:t>
      </w:r>
    </w:p>
    <w:p w14:paraId="4E2DFFC8" w14:textId="77777777" w:rsidR="00C50EBF" w:rsidRDefault="00C50EBF">
      <w:pPr>
        <w:ind w:left="851" w:right="900"/>
        <w:jc w:val="both"/>
        <w:rPr>
          <w:rFonts w:ascii="Palatino Linotype" w:eastAsia="Palatino Linotype" w:hAnsi="Palatino Linotype" w:cs="Palatino Linotype"/>
          <w:i/>
          <w:sz w:val="22"/>
          <w:szCs w:val="22"/>
        </w:rPr>
      </w:pPr>
    </w:p>
    <w:p w14:paraId="55BA6A2E" w14:textId="77777777" w:rsidR="00C50EBF" w:rsidRDefault="000C2D77">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6B884E56" w14:textId="77777777" w:rsidR="00C50EBF" w:rsidRDefault="000C2D77">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97.-</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Las instituciones públicas o dependencias no estarán obligadas a reinstalar al servidor público, pero sí a cubrirle</w:t>
      </w:r>
      <w:r>
        <w:rPr>
          <w:rFonts w:ascii="Palatino Linotype" w:eastAsia="Palatino Linotype" w:hAnsi="Palatino Linotype" w:cs="Palatino Linotype"/>
          <w:i/>
          <w:sz w:val="22"/>
          <w:szCs w:val="22"/>
        </w:rPr>
        <w:t xml:space="preserve"> la indemnización de tres meses de salario base, veinte días por cada año de servicios en términos del artículo 95 párrafo segundo de esta ley y cubrirle </w:t>
      </w:r>
      <w:r>
        <w:rPr>
          <w:rFonts w:ascii="Palatino Linotype" w:eastAsia="Palatino Linotype" w:hAnsi="Palatino Linotype" w:cs="Palatino Linotype"/>
          <w:b/>
          <w:i/>
          <w:sz w:val="22"/>
          <w:szCs w:val="22"/>
          <w:u w:val="single"/>
        </w:rPr>
        <w:t>las prestaciones a que tenga derecho,</w:t>
      </w:r>
      <w:r>
        <w:rPr>
          <w:rFonts w:ascii="Palatino Linotype" w:eastAsia="Palatino Linotype" w:hAnsi="Palatino Linotype" w:cs="Palatino Linotype"/>
          <w:i/>
          <w:sz w:val="22"/>
          <w:szCs w:val="22"/>
        </w:rPr>
        <w:t xml:space="preserve"> así como los salarios vencidos desde la fecha del despido hasta por un periodo máximo de doce meses, independientemente del tiempo que dure el proceso, exhibiendo la totalidad de la cantidad liquida en moneda nacional o mediante cheque certificado al momento de la negativa de reinstalar al actor.</w:t>
      </w:r>
    </w:p>
    <w:p w14:paraId="67321B19" w14:textId="77777777" w:rsidR="00C50EBF" w:rsidRDefault="000C2D77">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846709E" w14:textId="77777777" w:rsidR="00C50EBF" w:rsidRDefault="000C2D77">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220 K.-</w:t>
      </w:r>
      <w:r>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115B0B68" w14:textId="77777777" w:rsidR="00C50EBF" w:rsidRDefault="00C50EBF">
      <w:pPr>
        <w:ind w:left="851" w:right="900"/>
        <w:jc w:val="both"/>
        <w:rPr>
          <w:rFonts w:ascii="Palatino Linotype" w:eastAsia="Palatino Linotype" w:hAnsi="Palatino Linotype" w:cs="Palatino Linotype"/>
          <w:i/>
          <w:sz w:val="22"/>
          <w:szCs w:val="22"/>
        </w:rPr>
      </w:pPr>
    </w:p>
    <w:p w14:paraId="6CD15C7C" w14:textId="77777777" w:rsidR="00C50EBF" w:rsidRDefault="000C2D77">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6D5FABB" w14:textId="77777777" w:rsidR="00C50EBF" w:rsidRDefault="000C2D77">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IV. Recibos o las constancias de depósito o del medio de información magnética o electrónica que sean utilizadas para el pago de salarios, prima vacacional, aguinaldo y demás prestaciones establecidas en la presente ley</w:t>
      </w:r>
      <w:r>
        <w:rPr>
          <w:rFonts w:ascii="Palatino Linotype" w:eastAsia="Palatino Linotype" w:hAnsi="Palatino Linotype" w:cs="Palatino Linotype"/>
          <w:i/>
          <w:sz w:val="22"/>
          <w:szCs w:val="22"/>
        </w:rPr>
        <w:t>;”</w:t>
      </w:r>
    </w:p>
    <w:p w14:paraId="4A00B12C" w14:textId="77777777" w:rsidR="00C50EBF" w:rsidRDefault="000C2D77">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(Sic) (Énfasis añadido)</w:t>
      </w:r>
    </w:p>
    <w:p w14:paraId="1799CBA4" w14:textId="77777777" w:rsidR="00C50EBF" w:rsidRDefault="00C50EBF">
      <w:pPr>
        <w:spacing w:line="360" w:lineRule="auto"/>
        <w:ind w:right="49"/>
        <w:jc w:val="both"/>
        <w:rPr>
          <w:rFonts w:ascii="Palatino Linotype" w:eastAsia="Palatino Linotype" w:hAnsi="Palatino Linotype" w:cs="Palatino Linotype"/>
        </w:rPr>
      </w:pPr>
    </w:p>
    <w:p w14:paraId="02260037" w14:textId="77777777" w:rsidR="00C50EBF" w:rsidRDefault="000C2D7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tal suerte que la normatividad mandata a las instituciones públicas la observancia obligatoria de las prestaciones en efectivo o en especie que se generen </w:t>
      </w:r>
      <w:r>
        <w:rPr>
          <w:rFonts w:ascii="Palatino Linotype" w:eastAsia="Palatino Linotype" w:hAnsi="Palatino Linotype" w:cs="Palatino Linotype"/>
        </w:rPr>
        <w:lastRenderedPageBreak/>
        <w:t xml:space="preserve">de la ley en referencia, así como de los acuerdos, convenios y reglamentos, asimismo el texto legislativo en su artículo 97 expresa que para los casos en que se dé por finalizada la relación laboral, los entes públicos no están obligados a la reinstalación de los servidores públicos pero sí al pago de las prestaciones conforme a derecho. </w:t>
      </w:r>
    </w:p>
    <w:p w14:paraId="06E2E2D9" w14:textId="77777777" w:rsidR="00C50EBF" w:rsidRDefault="00C50EBF">
      <w:pPr>
        <w:spacing w:line="360" w:lineRule="auto"/>
        <w:ind w:right="49"/>
        <w:jc w:val="both"/>
        <w:rPr>
          <w:rFonts w:ascii="Palatino Linotype" w:eastAsia="Palatino Linotype" w:hAnsi="Palatino Linotype" w:cs="Palatino Linotype"/>
        </w:rPr>
      </w:pPr>
    </w:p>
    <w:p w14:paraId="49256065" w14:textId="77777777" w:rsidR="00C50EBF" w:rsidRDefault="000C2D77">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lo anterior, se advierte que los soportes documentales que pudieran colmar el requerimiento correspondiente a las remuneraciones pudieran ser la nómina general, los recibos CFDI o el tabulador de sueldos. </w:t>
      </w:r>
    </w:p>
    <w:p w14:paraId="39EFF10D" w14:textId="77777777" w:rsidR="00C50EBF" w:rsidRDefault="000C2D77">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resulta necesario traer a colación, 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 </w:t>
      </w:r>
    </w:p>
    <w:p w14:paraId="44FF5FA2" w14:textId="77777777" w:rsidR="00C50EBF" w:rsidRDefault="000C2D77">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Da 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 </w:t>
      </w:r>
    </w:p>
    <w:p w14:paraId="14049083" w14:textId="77777777" w:rsidR="00C50EBF" w:rsidRDefault="000C2D77">
      <w:pPr>
        <w:spacing w:after="16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Pr>
          <w:rFonts w:ascii="Palatino Linotype" w:eastAsia="Palatino Linotype" w:hAnsi="Palatino Linotype" w:cs="Palatino Linotype"/>
          <w:b/>
        </w:rPr>
        <w:t>las remuneraciones brutas y netas de todos los servidores públicos, que incluya todas las percepciones, entre las cuales, se encuentran los sueldos, prestaciones, gratificaciones, primas, comisiones, dietas, bonos, estímulos, ingresos, entre otros.</w:t>
      </w:r>
    </w:p>
    <w:p w14:paraId="0E28B015" w14:textId="77777777" w:rsidR="00C50EBF" w:rsidRDefault="000C2D77">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Además, el Anexo IV.2 Clasificación por objeto del gasto, del Manual para la Planeación, Programación y Presupuesto de Egresos Municipal para el ejercicio fiscal dos mil veinte, establece que los Presupuestos de Egresos Municipales, se tendrán que generar, conforme al “Clasificador por Objeto del Gasto”, el cual se conforma de diversos capítulos, entre los cuales, se encuentra el 1000 Servicios Personales, que agrupa las remuneraciones del personal al servicio de los entes públicos, tales como el sueldo, salarios, dietas, honorarios, prestaciones, obligaciones laborales, gratificaciones, entre otras. </w:t>
      </w:r>
    </w:p>
    <w:p w14:paraId="49F7DBD6" w14:textId="77777777" w:rsidR="00C50EBF" w:rsidRDefault="000C2D77">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esa línea de pensamiento, respecto a la nómina, el Glosario localizado en la página de Transparencia Presupuestaria de la Secretaría de Hacienda y Crédito Público (http://www.transparenciapresupuestaria.gob.mx/es/PTP/Glosario, consultado el dieciocho de mayo de dos mil veintidós, a las doce horas), establece que </w:t>
      </w:r>
      <w:r>
        <w:rPr>
          <w:rFonts w:ascii="Palatino Linotype" w:eastAsia="Palatino Linotype" w:hAnsi="Palatino Linotype" w:cs="Palatino Linotype"/>
          <w:b/>
        </w:rPr>
        <w:t xml:space="preserve">es el documento contable que contiene la relación de los trabajadores con las percepciones monetarias de cada uno; además, que también se refiere al recibo individual y justificativo que indica los sueldos de los trabajadores, incluyendo </w:t>
      </w:r>
      <w:r>
        <w:rPr>
          <w:rFonts w:ascii="Palatino Linotype" w:eastAsia="Palatino Linotype" w:hAnsi="Palatino Linotype" w:cs="Palatino Linotype"/>
          <w:b/>
        </w:rPr>
        <w:lastRenderedPageBreak/>
        <w:t>las prestaciones y deducciones correspondientes.</w:t>
      </w:r>
      <w:r>
        <w:rPr>
          <w:rFonts w:ascii="Palatino Linotype" w:eastAsia="Palatino Linotype" w:hAnsi="Palatino Linotype" w:cs="Palatino Linotype"/>
        </w:rPr>
        <w:t xml:space="preserve"> De la misma manera, el Glosario de términos más usuales en la Administración Pública Federal, emitido por la Secretaría de Hacienda y Crédito Público (http://www.apartados.hacienda.gob.mx/contabilidad/documentos/informe_cuenta/1998/cuenta_publica/Glosario/n.htm, consultada dieciocho de mayo de dos mil veintidós, a las doce horas), establece que la nómina es un listado general de los trabajadores de una institución, en el cual se asientan las percepciones brutas, deducciones y alcance neto de las mismas. </w:t>
      </w:r>
    </w:p>
    <w:p w14:paraId="44B98226" w14:textId="77777777" w:rsidR="00C50EBF" w:rsidRDefault="000C2D77">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anterior, se puede advertir que la nómina se puede referir a lo siguiente: </w:t>
      </w:r>
    </w:p>
    <w:p w14:paraId="1BC2CABE" w14:textId="77777777" w:rsidR="00C50EBF" w:rsidRDefault="000C2D77">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Relación de trabajadores con las percepciones monetarias de cada uno. </w:t>
      </w:r>
    </w:p>
    <w:p w14:paraId="1AE893D2" w14:textId="77777777" w:rsidR="00C50EBF" w:rsidRDefault="000C2D77">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b) Recibo individual que contiene las prestaciones y deducciones de un trabajador. c) Listado general de los servidores públicos de una institución o dependencia, en el cual se asientan las percepciones brutas, deducciones y alcance neto de las mismas.</w:t>
      </w:r>
    </w:p>
    <w:p w14:paraId="677BACFD" w14:textId="77777777" w:rsidR="00C50EBF" w:rsidRDefault="000C2D77">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artículo 32, párrafo segundo, de la Ley de Fiscalización Superior del Estado de México, establece que los Presidentes Municipales, presentarán a la Legislatura los informes mensuales, dentro de los veinte días posteriores al término del mes correspondiente. </w:t>
      </w:r>
    </w:p>
    <w:p w14:paraId="0EA84D9D" w14:textId="77777777" w:rsidR="00C50EBF" w:rsidRDefault="000C2D77">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entendido, el diverso 8°, fracciones XI y XIV, de dicho ordenamiento jurídico, establece que el Órgano Superior de Fiscalización del Estado de México, será el encargado de establecer los lineamientos necesarios para la elaboración de los </w:t>
      </w:r>
      <w:r>
        <w:rPr>
          <w:rFonts w:ascii="Palatino Linotype" w:eastAsia="Palatino Linotype" w:hAnsi="Palatino Linotype" w:cs="Palatino Linotype"/>
        </w:rPr>
        <w:lastRenderedPageBreak/>
        <w:t xml:space="preserve">informes mensuales; además que verificará que dichos informes hayan sido presentados conforme a la normatividad aplicable. </w:t>
      </w:r>
    </w:p>
    <w:p w14:paraId="69B6427F" w14:textId="77777777" w:rsidR="00C50EBF" w:rsidRDefault="000C2D77">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Al respecto, el artículo 350 del Código Financiero del Estado de México y Municipios, establece que, dentro de los primeros veinte días hábiles, las Tesorerías Municipales, enviarán para su análisis y evaluación al Órgano Superior de Fiscalización del Estado de México, la información Patrimonial, Presupuestal, de la Obra Pública y de Nómina, en los términos siguientes:</w:t>
      </w:r>
    </w:p>
    <w:p w14:paraId="1021E066" w14:textId="77777777" w:rsidR="00C50EBF" w:rsidRDefault="00C50EBF">
      <w:pPr>
        <w:spacing w:line="360" w:lineRule="auto"/>
        <w:ind w:right="49"/>
        <w:jc w:val="both"/>
        <w:rPr>
          <w:rFonts w:ascii="Palatino Linotype" w:eastAsia="Palatino Linotype" w:hAnsi="Palatino Linotype" w:cs="Palatino Linotype"/>
        </w:rPr>
      </w:pPr>
    </w:p>
    <w:p w14:paraId="7EAA6FDC" w14:textId="77777777" w:rsidR="00C50EBF" w:rsidRDefault="000C2D77">
      <w:pPr>
        <w:spacing w:line="276" w:lineRule="auto"/>
        <w:ind w:left="851" w:right="8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350.-</w:t>
      </w:r>
      <w:r>
        <w:rPr>
          <w:rFonts w:ascii="Palatino Linotype" w:eastAsia="Palatino Linotype" w:hAnsi="Palatino Linotype" w:cs="Palatino Linotype"/>
          <w:i/>
          <w:sz w:val="22"/>
          <w:szCs w:val="22"/>
        </w:rPr>
        <w:t xml:space="preserve"> Mensualmente dentro de los primeros veinte días hábiles, la Secretaría y </w:t>
      </w:r>
      <w:r>
        <w:rPr>
          <w:rFonts w:ascii="Palatino Linotype" w:eastAsia="Palatino Linotype" w:hAnsi="Palatino Linotype" w:cs="Palatino Linotype"/>
          <w:b/>
          <w:i/>
          <w:sz w:val="22"/>
          <w:szCs w:val="22"/>
        </w:rPr>
        <w:t>las Tesorerías, enviarán para su análisis y evaluación</w:t>
      </w:r>
      <w:r>
        <w:rPr>
          <w:rFonts w:ascii="Palatino Linotype" w:eastAsia="Palatino Linotype" w:hAnsi="Palatino Linotype" w:cs="Palatino Linotype"/>
          <w:i/>
          <w:sz w:val="22"/>
          <w:szCs w:val="22"/>
        </w:rPr>
        <w:t xml:space="preserve"> al Órgano Superior de Fiscalización del Estado de México, la siguiente información:</w:t>
      </w:r>
    </w:p>
    <w:p w14:paraId="6B923DB6" w14:textId="77777777" w:rsidR="00C50EBF" w:rsidRDefault="00C50EBF">
      <w:pPr>
        <w:spacing w:line="276" w:lineRule="auto"/>
        <w:ind w:left="851" w:right="849"/>
        <w:jc w:val="both"/>
        <w:rPr>
          <w:rFonts w:ascii="Palatino Linotype" w:eastAsia="Palatino Linotype" w:hAnsi="Palatino Linotype" w:cs="Palatino Linotype"/>
          <w:i/>
          <w:sz w:val="22"/>
          <w:szCs w:val="22"/>
        </w:rPr>
      </w:pPr>
    </w:p>
    <w:p w14:paraId="64565372" w14:textId="77777777" w:rsidR="00C50EBF" w:rsidRDefault="000C2D77">
      <w:pPr>
        <w:spacing w:line="276" w:lineRule="auto"/>
        <w:ind w:left="851" w:right="8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Información patrimonial.</w:t>
      </w:r>
    </w:p>
    <w:p w14:paraId="5ECC1EA5" w14:textId="77777777" w:rsidR="00C50EBF" w:rsidRDefault="000C2D77">
      <w:pPr>
        <w:spacing w:line="276" w:lineRule="auto"/>
        <w:ind w:left="851" w:right="84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Información presupuestal.</w:t>
      </w:r>
    </w:p>
    <w:p w14:paraId="57C07ECD" w14:textId="77777777" w:rsidR="00C50EBF" w:rsidRDefault="000C2D77">
      <w:pPr>
        <w:spacing w:line="276" w:lineRule="auto"/>
        <w:ind w:left="851" w:right="84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III. Información de la obra pública.</w:t>
      </w:r>
    </w:p>
    <w:p w14:paraId="0ECD56AB" w14:textId="77777777" w:rsidR="00C50EBF" w:rsidRDefault="000C2D77">
      <w:pPr>
        <w:spacing w:line="276" w:lineRule="auto"/>
        <w:ind w:left="851" w:right="84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IV. Información de nómina.”</w:t>
      </w:r>
    </w:p>
    <w:p w14:paraId="76828994" w14:textId="77777777" w:rsidR="00C50EBF" w:rsidRDefault="00C50EBF">
      <w:pPr>
        <w:spacing w:after="160" w:line="360" w:lineRule="auto"/>
        <w:jc w:val="both"/>
        <w:rPr>
          <w:rFonts w:ascii="Palatino Linotype" w:eastAsia="Palatino Linotype" w:hAnsi="Palatino Linotype" w:cs="Palatino Linotype"/>
        </w:rPr>
      </w:pPr>
    </w:p>
    <w:p w14:paraId="08E4DA18" w14:textId="77777777" w:rsidR="00C50EBF" w:rsidRDefault="000C2D77">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orden de ideas, las Políticas para la Integración del Informe Trimestral de los Sujetos de Fiscalización Estatales para el ejercicio fiscal dos mil veintiuno, entre los formatos que maneja en el Módulo 4, se advierte que se encuentra la Conciliación de Nómina Mensual, mismo que será integrado de manera mensual, tal como se muestra a continuación:</w:t>
      </w:r>
    </w:p>
    <w:p w14:paraId="4E8F90C7" w14:textId="77777777" w:rsidR="00C50EBF" w:rsidRDefault="000C2D77">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3DC64D04" wp14:editId="7B857A60">
            <wp:extent cx="5581650" cy="5210175"/>
            <wp:effectExtent l="0" t="0" r="0" b="0"/>
            <wp:docPr id="9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581650" cy="5210175"/>
                    </a:xfrm>
                    <a:prstGeom prst="rect">
                      <a:avLst/>
                    </a:prstGeom>
                    <a:ln/>
                  </pic:spPr>
                </pic:pic>
              </a:graphicData>
            </a:graphic>
          </wp:inline>
        </w:drawing>
      </w:r>
      <w:r>
        <w:rPr>
          <w:noProof/>
          <w:lang w:val="es-MX"/>
        </w:rPr>
        <mc:AlternateContent>
          <mc:Choice Requires="wps">
            <w:drawing>
              <wp:anchor distT="0" distB="0" distL="114300" distR="114300" simplePos="0" relativeHeight="251660288" behindDoc="0" locked="0" layoutInCell="1" hidden="0" allowOverlap="1" wp14:anchorId="4AB4B29B" wp14:editId="1134B65C">
                <wp:simplePos x="0" y="0"/>
                <wp:positionH relativeFrom="column">
                  <wp:posOffset>114300</wp:posOffset>
                </wp:positionH>
                <wp:positionV relativeFrom="paragraph">
                  <wp:posOffset>4749800</wp:posOffset>
                </wp:positionV>
                <wp:extent cx="3733800" cy="466725"/>
                <wp:effectExtent l="0" t="0" r="0" b="0"/>
                <wp:wrapNone/>
                <wp:docPr id="84" name="Rectángulo 84"/>
                <wp:cNvGraphicFramePr/>
                <a:graphic xmlns:a="http://schemas.openxmlformats.org/drawingml/2006/main">
                  <a:graphicData uri="http://schemas.microsoft.com/office/word/2010/wordprocessingShape">
                    <wps:wsp>
                      <wps:cNvSpPr/>
                      <wps:spPr>
                        <a:xfrm>
                          <a:off x="3493388" y="3560925"/>
                          <a:ext cx="3705225" cy="438150"/>
                        </a:xfrm>
                        <a:prstGeom prst="rect">
                          <a:avLst/>
                        </a:prstGeom>
                        <a:noFill/>
                        <a:ln w="28575" cap="flat" cmpd="sng">
                          <a:solidFill>
                            <a:srgbClr val="002060"/>
                          </a:solidFill>
                          <a:prstDash val="solid"/>
                          <a:round/>
                          <a:headEnd type="none" w="sm" len="sm"/>
                          <a:tailEnd type="none" w="sm" len="sm"/>
                        </a:ln>
                      </wps:spPr>
                      <wps:txbx>
                        <w:txbxContent>
                          <w:p w14:paraId="57A42F19" w14:textId="77777777" w:rsidR="005A7BD3" w:rsidRDefault="005A7BD3">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84" o:spid="_x0000_s1027" style="position:absolute;left:0;text-align:left;margin-left:9pt;margin-top:374pt;width:294pt;height:3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" filled="f" strokecolor="#002060" strokeweight="2.25pt">
                <v:stroke startarrowwidth="narrow" startarrowlength="short" endarrowwidth="narrow" endarrowlength="short" joinstyle="round"/>
                <v:textbox inset="2.53958mm,2.53958mm,2.53958mm,2.53958mm">
                  <w:txbxContent>
                    <w:p w:rsidR="005A7BD3" w:rsidRDefault="005A7BD3">
                      <w:pPr>
                        <w:textDirection w:val="btLr"/>
                      </w:pPr>
                    </w:p>
                  </w:txbxContent>
                </v:textbox>
              </v:rect>
            </w:pict>
          </mc:Fallback>
        </mc:AlternateContent>
      </w:r>
    </w:p>
    <w:p w14:paraId="74B1F5C3" w14:textId="77777777" w:rsidR="00C50EBF" w:rsidRDefault="000C2D77">
      <w:pPr>
        <w:spacing w:after="160" w:line="360" w:lineRule="auto"/>
        <w:jc w:val="both"/>
      </w:pPr>
      <w:r>
        <w:object w:dxaOrig="8775" w:dyaOrig="1290" w14:anchorId="2E4496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64.5pt" o:ole="">
            <v:imagedata r:id="rId27" o:title=""/>
          </v:shape>
          <o:OLEObject Type="Embed" ProgID="PBrush" ShapeID="_x0000_i1025" DrawAspect="Content" ObjectID="_1718634552" r:id="rId28"/>
        </w:object>
      </w:r>
    </w:p>
    <w:p w14:paraId="6A2E2104" w14:textId="77777777" w:rsidR="00C50EBF" w:rsidRDefault="00C50EB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highlight w:val="green"/>
        </w:rPr>
      </w:pPr>
    </w:p>
    <w:p w14:paraId="06B574F1" w14:textId="77777777" w:rsidR="00C50EBF" w:rsidRDefault="00C50EB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highlight w:val="green"/>
        </w:rPr>
      </w:pPr>
    </w:p>
    <w:p w14:paraId="7A53F6E6" w14:textId="77777777" w:rsidR="00C50EBF" w:rsidRDefault="00FE0A0C">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highlight w:val="green"/>
        </w:rPr>
      </w:pPr>
      <w:r>
        <w:rPr>
          <w:noProof/>
          <w:lang w:val="es-MX"/>
        </w:rPr>
        <w:lastRenderedPageBreak/>
        <mc:AlternateContent>
          <mc:Choice Requires="wps">
            <w:drawing>
              <wp:anchor distT="0" distB="0" distL="114300" distR="114300" simplePos="0" relativeHeight="251661312" behindDoc="0" locked="0" layoutInCell="1" hidden="0" allowOverlap="1" wp14:anchorId="185EE215" wp14:editId="0B140D42">
                <wp:simplePos x="0" y="0"/>
                <wp:positionH relativeFrom="column">
                  <wp:posOffset>-13335</wp:posOffset>
                </wp:positionH>
                <wp:positionV relativeFrom="paragraph">
                  <wp:posOffset>5339080</wp:posOffset>
                </wp:positionV>
                <wp:extent cx="5191125" cy="342900"/>
                <wp:effectExtent l="19050" t="19050" r="28575" b="19050"/>
                <wp:wrapNone/>
                <wp:docPr id="83" name="Rectángulo 83"/>
                <wp:cNvGraphicFramePr/>
                <a:graphic xmlns:a="http://schemas.openxmlformats.org/drawingml/2006/main">
                  <a:graphicData uri="http://schemas.microsoft.com/office/word/2010/wordprocessingShape">
                    <wps:wsp>
                      <wps:cNvSpPr/>
                      <wps:spPr>
                        <a:xfrm>
                          <a:off x="0" y="0"/>
                          <a:ext cx="5191125" cy="342900"/>
                        </a:xfrm>
                        <a:prstGeom prst="rect">
                          <a:avLst/>
                        </a:prstGeom>
                        <a:noFill/>
                        <a:ln w="28575" cap="flat" cmpd="sng">
                          <a:solidFill>
                            <a:srgbClr val="002060"/>
                          </a:solidFill>
                          <a:prstDash val="solid"/>
                          <a:round/>
                          <a:headEnd type="none" w="sm" len="sm"/>
                          <a:tailEnd type="none" w="sm" len="sm"/>
                        </a:ln>
                      </wps:spPr>
                      <wps:txbx>
                        <w:txbxContent>
                          <w:p w14:paraId="01E14631" w14:textId="77777777" w:rsidR="005A7BD3" w:rsidRDefault="005A7BD3">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83" o:spid="_x0000_s1028" style="position:absolute;left:0;text-align:left;margin-left:-1.05pt;margin-top:420.4pt;width:408.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" filled="f" strokecolor="#002060" strokeweight="2.25pt">
                <v:stroke startarrowwidth="narrow" startarrowlength="short" endarrowwidth="narrow" endarrowlength="short" joinstyle="round"/>
                <v:textbox inset="2.53958mm,2.53958mm,2.53958mm,2.53958mm">
                  <w:txbxContent>
                    <w:p w:rsidR="005A7BD3" w:rsidRDefault="005A7BD3">
                      <w:pPr>
                        <w:textDirection w:val="btLr"/>
                      </w:pPr>
                    </w:p>
                  </w:txbxContent>
                </v:textbox>
              </v:rect>
            </w:pict>
          </mc:Fallback>
        </mc:AlternateContent>
      </w:r>
      <w:r w:rsidR="000C2D77">
        <w:rPr>
          <w:rFonts w:ascii="Palatino Linotype" w:eastAsia="Palatino Linotype" w:hAnsi="Palatino Linotype" w:cs="Palatino Linotype"/>
          <w:noProof/>
          <w:color w:val="000000"/>
          <w:highlight w:val="green"/>
          <w:lang w:val="es-MX"/>
        </w:rPr>
        <w:drawing>
          <wp:inline distT="0" distB="0" distL="0" distR="0" wp14:anchorId="1B4D5759" wp14:editId="011CB7EB">
            <wp:extent cx="5581650" cy="6534150"/>
            <wp:effectExtent l="0" t="0" r="0" b="0"/>
            <wp:docPr id="1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5581650" cy="6534150"/>
                    </a:xfrm>
                    <a:prstGeom prst="rect">
                      <a:avLst/>
                    </a:prstGeom>
                    <a:ln/>
                  </pic:spPr>
                </pic:pic>
              </a:graphicData>
            </a:graphic>
          </wp:inline>
        </w:drawing>
      </w:r>
    </w:p>
    <w:p w14:paraId="0233BBFC" w14:textId="77777777" w:rsidR="00C50EBF" w:rsidRDefault="00C50EB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highlight w:val="green"/>
        </w:rPr>
      </w:pPr>
    </w:p>
    <w:p w14:paraId="15BF71B7" w14:textId="77777777" w:rsidR="00C50EBF" w:rsidRDefault="000534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8480" behindDoc="0" locked="0" layoutInCell="1" allowOverlap="1" wp14:anchorId="45C869E5" wp14:editId="34934086">
                <wp:simplePos x="0" y="0"/>
                <wp:positionH relativeFrom="column">
                  <wp:posOffset>72390</wp:posOffset>
                </wp:positionH>
                <wp:positionV relativeFrom="paragraph">
                  <wp:posOffset>1891031</wp:posOffset>
                </wp:positionV>
                <wp:extent cx="5257800" cy="361950"/>
                <wp:effectExtent l="57150" t="38100" r="76200" b="95250"/>
                <wp:wrapNone/>
                <wp:docPr id="10" name="Rectángulo 10"/>
                <wp:cNvGraphicFramePr/>
                <a:graphic xmlns:a="http://schemas.openxmlformats.org/drawingml/2006/main">
                  <a:graphicData uri="http://schemas.microsoft.com/office/word/2010/wordprocessingShape">
                    <wps:wsp>
                      <wps:cNvSpPr/>
                      <wps:spPr>
                        <a:xfrm>
                          <a:off x="0" y="0"/>
                          <a:ext cx="5257800" cy="36195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BD63B0" id="Rectángulo 10" o:spid="_x0000_s1026" style="position:absolute;margin-left:5.7pt;margin-top:148.9pt;width:414pt;height:2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" filled="f" strokecolor="#002060" strokeweight="2.25pt">
                <v:shadow on="t" color="black" opacity="22937f" origin=",.5" offset="0,.63889mm"/>
              </v:rect>
            </w:pict>
          </mc:Fallback>
        </mc:AlternateContent>
      </w:r>
      <w:r w:rsidR="000C2D77">
        <w:rPr>
          <w:rFonts w:ascii="Palatino Linotype" w:eastAsia="Palatino Linotype" w:hAnsi="Palatino Linotype" w:cs="Palatino Linotype"/>
          <w:noProof/>
          <w:lang w:val="es-MX"/>
        </w:rPr>
        <w:drawing>
          <wp:inline distT="0" distB="0" distL="0" distR="0" wp14:anchorId="101F1AD1" wp14:editId="14547801">
            <wp:extent cx="5600700" cy="7286625"/>
            <wp:effectExtent l="0" t="0" r="0" b="0"/>
            <wp:docPr id="10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a:srcRect/>
                    <a:stretch>
                      <a:fillRect/>
                    </a:stretch>
                  </pic:blipFill>
                  <pic:spPr>
                    <a:xfrm>
                      <a:off x="0" y="0"/>
                      <a:ext cx="5600700" cy="7286625"/>
                    </a:xfrm>
                    <a:prstGeom prst="rect">
                      <a:avLst/>
                    </a:prstGeom>
                    <a:ln/>
                  </pic:spPr>
                </pic:pic>
              </a:graphicData>
            </a:graphic>
          </wp:inline>
        </w:drawing>
      </w:r>
      <w:r w:rsidR="000C2D77">
        <w:rPr>
          <w:noProof/>
          <w:lang w:val="es-MX"/>
        </w:rPr>
        <mc:AlternateContent>
          <mc:Choice Requires="wps">
            <w:drawing>
              <wp:anchor distT="0" distB="0" distL="114300" distR="114300" simplePos="0" relativeHeight="251662336" behindDoc="0" locked="0" layoutInCell="1" hidden="0" allowOverlap="1" wp14:anchorId="078C7B0F" wp14:editId="3359A6DF">
                <wp:simplePos x="0" y="0"/>
                <wp:positionH relativeFrom="column">
                  <wp:posOffset>76201</wp:posOffset>
                </wp:positionH>
                <wp:positionV relativeFrom="paragraph">
                  <wp:posOffset>3467100</wp:posOffset>
                </wp:positionV>
                <wp:extent cx="5257800" cy="314325"/>
                <wp:effectExtent l="0" t="0" r="0" b="0"/>
                <wp:wrapNone/>
                <wp:docPr id="81" name="Rectángulo 81"/>
                <wp:cNvGraphicFramePr/>
                <a:graphic xmlns:a="http://schemas.openxmlformats.org/drawingml/2006/main">
                  <a:graphicData uri="http://schemas.microsoft.com/office/word/2010/wordprocessingShape">
                    <wps:wsp>
                      <wps:cNvSpPr/>
                      <wps:spPr>
                        <a:xfrm>
                          <a:off x="2731388" y="3637125"/>
                          <a:ext cx="5229225" cy="285750"/>
                        </a:xfrm>
                        <a:prstGeom prst="rect">
                          <a:avLst/>
                        </a:prstGeom>
                        <a:noFill/>
                        <a:ln w="28575" cap="flat" cmpd="sng">
                          <a:solidFill>
                            <a:srgbClr val="002060"/>
                          </a:solidFill>
                          <a:prstDash val="solid"/>
                          <a:round/>
                          <a:headEnd type="none" w="sm" len="sm"/>
                          <a:tailEnd type="none" w="sm" len="sm"/>
                        </a:ln>
                      </wps:spPr>
                      <wps:txbx>
                        <w:txbxContent>
                          <w:p w14:paraId="6D256645" w14:textId="77777777" w:rsidR="005A7BD3" w:rsidRDefault="005A7BD3">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ángulo 81" o:spid="_x0000_s1029" style="position:absolute;left:0;text-align:left;margin-left:6pt;margin-top:273pt;width:414pt;height:24.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" filled="f" strokecolor="#002060" strokeweight="2.25pt">
                <v:stroke startarrowwidth="narrow" startarrowlength="short" endarrowwidth="narrow" endarrowlength="short" joinstyle="round"/>
                <v:textbox inset="2.53958mm,2.53958mm,2.53958mm,2.53958mm">
                  <w:txbxContent>
                    <w:p w:rsidR="005A7BD3" w:rsidRDefault="005A7BD3">
                      <w:pPr>
                        <w:textDirection w:val="btLr"/>
                      </w:pPr>
                    </w:p>
                  </w:txbxContent>
                </v:textbox>
              </v:rect>
            </w:pict>
          </mc:Fallback>
        </mc:AlternateContent>
      </w:r>
    </w:p>
    <w:p w14:paraId="6C7A31AD" w14:textId="77777777" w:rsidR="00C50EBF" w:rsidRDefault="000C2D7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lo que para colmar este punto, resulta pertinente expresar que de manera enunciativa más no limitativa, la conciliación </w:t>
      </w:r>
      <w:r w:rsidR="00452BF2">
        <w:rPr>
          <w:rFonts w:ascii="Palatino Linotype" w:eastAsia="Palatino Linotype" w:hAnsi="Palatino Linotype" w:cs="Palatino Linotype"/>
        </w:rPr>
        <w:t>de nómina pudiera dar cuenta de los</w:t>
      </w:r>
      <w:r>
        <w:rPr>
          <w:rFonts w:ascii="Palatino Linotype" w:eastAsia="Palatino Linotype" w:hAnsi="Palatino Linotype" w:cs="Palatino Linotype"/>
        </w:rPr>
        <w:t xml:space="preserve"> requerimiento</w:t>
      </w:r>
      <w:r w:rsidR="00452BF2">
        <w:rPr>
          <w:rFonts w:ascii="Palatino Linotype" w:eastAsia="Palatino Linotype" w:hAnsi="Palatino Linotype" w:cs="Palatino Linotype"/>
        </w:rPr>
        <w:t>s</w:t>
      </w:r>
      <w:r>
        <w:rPr>
          <w:rFonts w:ascii="Palatino Linotype" w:eastAsia="Palatino Linotype" w:hAnsi="Palatino Linotype" w:cs="Palatino Linotype"/>
        </w:rPr>
        <w:t xml:space="preserve"> concerniente</w:t>
      </w:r>
      <w:r w:rsidR="00452BF2">
        <w:rPr>
          <w:rFonts w:ascii="Palatino Linotype" w:eastAsia="Palatino Linotype" w:hAnsi="Palatino Linotype" w:cs="Palatino Linotype"/>
        </w:rPr>
        <w:t>s</w:t>
      </w:r>
      <w:r>
        <w:rPr>
          <w:rFonts w:ascii="Palatino Linotype" w:eastAsia="Palatino Linotype" w:hAnsi="Palatino Linotype" w:cs="Palatino Linotype"/>
        </w:rPr>
        <w:t xml:space="preserve"> a las </w:t>
      </w:r>
      <w:r w:rsidRPr="0005345D">
        <w:rPr>
          <w:rFonts w:ascii="Palatino Linotype" w:eastAsia="Palatino Linotype" w:hAnsi="Palatino Linotype" w:cs="Palatino Linotype"/>
        </w:rPr>
        <w:t>remunera</w:t>
      </w:r>
      <w:r w:rsidR="0005345D" w:rsidRPr="0005345D">
        <w:rPr>
          <w:rFonts w:ascii="Palatino Linotype" w:eastAsia="Palatino Linotype" w:hAnsi="Palatino Linotype" w:cs="Palatino Linotype"/>
        </w:rPr>
        <w:t xml:space="preserve">ciones brutas, categoría del trabajador, es decir, si es sindicalizado, de confianza o eventual, </w:t>
      </w:r>
      <w:r w:rsidR="00452BF2">
        <w:rPr>
          <w:rFonts w:ascii="Palatino Linotype" w:eastAsia="Palatino Linotype" w:hAnsi="Palatino Linotype" w:cs="Palatino Linotype"/>
        </w:rPr>
        <w:t xml:space="preserve">área de adscripción, </w:t>
      </w:r>
      <w:r w:rsidR="0005345D" w:rsidRPr="0005345D">
        <w:rPr>
          <w:rFonts w:ascii="Palatino Linotype" w:eastAsia="Palatino Linotype" w:hAnsi="Palatino Linotype" w:cs="Palatino Linotype"/>
        </w:rPr>
        <w:t>así como el número de empleado.</w:t>
      </w:r>
      <w:r>
        <w:rPr>
          <w:rFonts w:ascii="Palatino Linotype" w:eastAsia="Palatino Linotype" w:hAnsi="Palatino Linotype" w:cs="Palatino Linotype"/>
        </w:rPr>
        <w:t xml:space="preserve"> </w:t>
      </w:r>
    </w:p>
    <w:p w14:paraId="26D0B388" w14:textId="77777777" w:rsidR="00C50EBF" w:rsidRDefault="0005345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Respecto del número de empleado, debe precisarse que este dato es susceptible de clasificación si actualiza alguno de los supuestos previstos por el criterio 06/19 emitido por el Instituto Nacional de Transparencia, Acceso a la Información Pública y Protección de Datos Personales (INAI), el cual se inserta a continuación: </w:t>
      </w:r>
    </w:p>
    <w:p w14:paraId="2F8441A6" w14:textId="77777777" w:rsidR="00AD78B6" w:rsidRDefault="00AD78B6" w:rsidP="00AD78B6">
      <w:pPr>
        <w:spacing w:before="240" w:after="240" w:line="276" w:lineRule="auto"/>
        <w:ind w:left="567" w:right="709"/>
        <w:jc w:val="both"/>
        <w:rPr>
          <w:rFonts w:ascii="Palatino Linotype" w:eastAsia="Palatino Linotype" w:hAnsi="Palatino Linotype" w:cs="Palatino Linotype"/>
          <w:bCs/>
          <w:i/>
          <w:sz w:val="22"/>
          <w:lang w:val="es-MX"/>
        </w:rPr>
      </w:pPr>
      <w:r w:rsidRPr="00AD78B6">
        <w:rPr>
          <w:rFonts w:ascii="Palatino Linotype" w:eastAsia="Palatino Linotype" w:hAnsi="Palatino Linotype" w:cs="Palatino Linotype"/>
          <w:i/>
          <w:sz w:val="22"/>
        </w:rPr>
        <w:t>“</w:t>
      </w:r>
      <w:r w:rsidRPr="00AD78B6">
        <w:rPr>
          <w:rFonts w:ascii="Palatino Linotype" w:eastAsia="Palatino Linotype" w:hAnsi="Palatino Linotype" w:cs="Palatino Linotype"/>
          <w:b/>
          <w:bCs/>
          <w:i/>
          <w:sz w:val="22"/>
          <w:lang w:val="es-MX"/>
        </w:rPr>
        <w:t>Número de empleado.</w:t>
      </w:r>
      <w:r w:rsidRPr="00AD78B6">
        <w:rPr>
          <w:rFonts w:ascii="Palatino Linotype" w:eastAsia="Palatino Linotype" w:hAnsi="Palatino Linotype" w:cs="Palatino Linotype"/>
          <w:bCs/>
          <w:i/>
          <w:sz w:val="22"/>
          <w:lang w:val="es-MX"/>
        </w:rPr>
        <w:t xml:space="preserve"> 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 </w:t>
      </w:r>
      <w:r>
        <w:rPr>
          <w:rFonts w:ascii="Palatino Linotype" w:eastAsia="Palatino Linotype" w:hAnsi="Palatino Linotype" w:cs="Palatino Linotype"/>
          <w:bCs/>
          <w:i/>
          <w:sz w:val="22"/>
          <w:lang w:val="es-MX"/>
        </w:rPr>
        <w:t>“(Sic)</w:t>
      </w:r>
    </w:p>
    <w:p w14:paraId="7FD73D97" w14:textId="77777777" w:rsidR="00AD78B6" w:rsidRPr="00AD78B6" w:rsidRDefault="00AD78B6">
      <w:pPr>
        <w:spacing w:before="240" w:after="240" w:line="360" w:lineRule="auto"/>
        <w:jc w:val="both"/>
        <w:rPr>
          <w:rFonts w:ascii="Palatino Linotype" w:eastAsia="Palatino Linotype" w:hAnsi="Palatino Linotype" w:cs="Palatino Linotype"/>
          <w:sz w:val="28"/>
        </w:rPr>
      </w:pPr>
      <w:r w:rsidRPr="00AD78B6">
        <w:rPr>
          <w:rFonts w:ascii="Palatino Linotype" w:eastAsia="Palatino Linotype" w:hAnsi="Palatino Linotype" w:cs="Palatino Linotype"/>
          <w:bCs/>
          <w:lang w:val="es-MX"/>
        </w:rPr>
        <w:t xml:space="preserve">Por lo que el Sujeto Obligado deberá observar si el número de empleado se compone de datos personales de los trabajadores o funciona como una clave de acceso a algún sistema en el que obren datos personales y de ser el caso, clasificarlos como confidenciales, sin embargo, si no es el caso, podrá dejarlos visibles. </w:t>
      </w:r>
    </w:p>
    <w:p w14:paraId="7F62C436" w14:textId="77777777" w:rsidR="00C50EBF" w:rsidRDefault="000C2D77">
      <w:pPr>
        <w:spacing w:after="16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por lo anterior que resulta dable revocar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ordenarle haga entrega del o de los documentos en donde conste lo</w:t>
      </w:r>
      <w:r w:rsidR="00AD78B6">
        <w:rPr>
          <w:rFonts w:ascii="Palatino Linotype" w:eastAsia="Palatino Linotype" w:hAnsi="Palatino Linotype" w:cs="Palatino Linotype"/>
        </w:rPr>
        <w:t xml:space="preserve"> requerido por la particular</w:t>
      </w:r>
      <w:r>
        <w:rPr>
          <w:rFonts w:ascii="Palatino Linotype" w:eastAsia="Palatino Linotype" w:hAnsi="Palatino Linotype" w:cs="Palatino Linotype"/>
        </w:rPr>
        <w:t>, al veinticuatro de enero de dos mil veintidós, en versión pública de ser procedente, conforme al Considerando siguiente.</w:t>
      </w:r>
    </w:p>
    <w:p w14:paraId="0B0E3D49" w14:textId="77777777" w:rsidR="00C50EBF" w:rsidRDefault="000C2D77">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Quinto. Versión Pública. </w:t>
      </w:r>
      <w:r>
        <w:rPr>
          <w:rFonts w:ascii="Palatino Linotype" w:eastAsia="Palatino Linotype" w:hAnsi="Palatino Linotype" w:cs="Palatino Linotype"/>
        </w:rPr>
        <w:t>Finalmente para la entrega de los soportes documentales que en todo caso deberá proporcionar el sujeto obligado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3C51E220" w14:textId="77777777" w:rsidR="00C50EBF" w:rsidRDefault="000C2D77">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Pr>
          <w:rFonts w:ascii="Palatino Linotype" w:eastAsia="Palatino Linotype" w:hAnsi="Palatino Linotype" w:cs="Palatino Linotype"/>
        </w:rPr>
        <w:t>fracción</w:t>
      </w:r>
      <w:proofErr w:type="gramEnd"/>
      <w:r>
        <w:rPr>
          <w:rFonts w:ascii="Palatino Linotype" w:eastAsia="Palatino Linotype" w:hAnsi="Palatino Linotype" w:cs="Palatino Linotype"/>
        </w:rPr>
        <w:t xml:space="preserve"> I de la Ley de Transparencia y Acceso a la Información Pública del Estado de México y Municipios que establecen:</w:t>
      </w:r>
    </w:p>
    <w:p w14:paraId="2C5CBFD7" w14:textId="77777777" w:rsidR="00C50EBF" w:rsidRDefault="000C2D7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7D386941" w14:textId="77777777" w:rsidR="00C50EBF" w:rsidRDefault="000C2D7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82ACDC2" w14:textId="77777777" w:rsidR="00C50EBF" w:rsidRDefault="000C2D7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1D248217" w14:textId="77777777" w:rsidR="00C50EBF" w:rsidRDefault="000C2D7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1C9F7484" w14:textId="77777777" w:rsidR="00C50EBF" w:rsidRDefault="000C2D7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C459C5C" w14:textId="77777777" w:rsidR="00C50EBF" w:rsidRDefault="000C2D7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58C35F0" w14:textId="77777777" w:rsidR="00C50EBF" w:rsidRDefault="000C2D7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6EFDFAB9" w14:textId="77777777" w:rsidR="00C50EBF" w:rsidRDefault="000C2D7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20887070" w14:textId="77777777" w:rsidR="00C50EBF" w:rsidRDefault="000C2D7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132. </w:t>
      </w:r>
      <w:r>
        <w:rPr>
          <w:rFonts w:ascii="Palatino Linotype" w:eastAsia="Palatino Linotype" w:hAnsi="Palatino Linotype" w:cs="Palatino Linotype"/>
          <w:i/>
          <w:sz w:val="22"/>
          <w:szCs w:val="22"/>
        </w:rPr>
        <w:t>La clasificación de la información se llevará a cabo en el momento en que:</w:t>
      </w:r>
    </w:p>
    <w:p w14:paraId="2D4E3B73" w14:textId="77777777" w:rsidR="00C50EBF" w:rsidRDefault="000C2D7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14:paraId="2D4B7E8C" w14:textId="77777777" w:rsidR="00C50EBF" w:rsidRDefault="000C2D7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14:paraId="44429D8C" w14:textId="77777777" w:rsidR="00C50EBF" w:rsidRDefault="000C2D7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14:paraId="4AA2D1C9" w14:textId="77777777" w:rsidR="00C50EBF" w:rsidRDefault="000C2D7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356E243" w14:textId="77777777" w:rsidR="00C50EBF" w:rsidRDefault="000C2D7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73300CE" w14:textId="77777777" w:rsidR="00C50EBF" w:rsidRDefault="000C2D7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Pr>
          <w:rFonts w:ascii="Palatino Linotype" w:eastAsia="Palatino Linotype" w:hAnsi="Palatino Linotype" w:cs="Palatino Linotype"/>
          <w:i/>
          <w:sz w:val="22"/>
          <w:szCs w:val="22"/>
        </w:rPr>
        <w:t>jurídico</w:t>
      </w:r>
      <w:proofErr w:type="gramEnd"/>
      <w:r>
        <w:rPr>
          <w:rFonts w:ascii="Palatino Linotype" w:eastAsia="Palatino Linotype" w:hAnsi="Palatino Linotype" w:cs="Palatino Linotype"/>
          <w:i/>
          <w:sz w:val="22"/>
          <w:szCs w:val="22"/>
        </w:rPr>
        <w:t xml:space="preserve"> colectiva identificada o identificable;</w:t>
      </w:r>
    </w:p>
    <w:p w14:paraId="1AB297DC" w14:textId="77777777" w:rsidR="00C50EBF" w:rsidRDefault="000C2D7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0788F2A" w14:textId="77777777" w:rsidR="00C50EBF" w:rsidRDefault="000C2D7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3C191999" w14:textId="77777777" w:rsidR="00C50EBF" w:rsidRDefault="000C2D7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29F7C62B" w14:textId="77777777" w:rsidR="00C50EBF" w:rsidRDefault="000C2D7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17A3351" w14:textId="77777777" w:rsidR="00C50EBF" w:rsidRDefault="000C2D7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w:t>
      </w:r>
      <w:r>
        <w:rPr>
          <w:rFonts w:ascii="Palatino Linotype" w:eastAsia="Palatino Linotype" w:hAnsi="Palatino Linotype" w:cs="Palatino Linotype"/>
        </w:rPr>
        <w:lastRenderedPageBreak/>
        <w:t>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80F8024" w14:textId="77777777" w:rsidR="00C50EBF" w:rsidRDefault="000C2D7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35B3DD7D" w14:textId="77777777" w:rsidR="00C50EBF" w:rsidRDefault="000C2D7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044DA47" w14:textId="77777777" w:rsidR="00C50EBF" w:rsidRDefault="000C2D7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7C76B5C6" w14:textId="77777777" w:rsidR="00C50EBF" w:rsidRDefault="000C2D7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12860EA" w14:textId="77777777" w:rsidR="00C50EBF" w:rsidRDefault="000C2D7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351AF81B" w14:textId="77777777" w:rsidR="00C50EBF" w:rsidRDefault="000C2D77">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66ACEA77" w14:textId="77777777" w:rsidR="00C50EBF" w:rsidRDefault="000C2D7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12ABBC16" w14:textId="77777777" w:rsidR="00C50EBF" w:rsidRDefault="000C2D77">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615B5E33" w14:textId="77777777" w:rsidR="00C50EBF" w:rsidRDefault="000C2D7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939ABF0" w14:textId="77777777" w:rsidR="00C50EBF" w:rsidRDefault="000C2D7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d"/>
        <w:tblW w:w="88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C50EBF" w14:paraId="3B4C85EB" w14:textId="77777777">
        <w:tc>
          <w:tcPr>
            <w:tcW w:w="4253" w:type="dxa"/>
            <w:gridSpan w:val="2"/>
            <w:tcBorders>
              <w:top w:val="nil"/>
              <w:left w:val="nil"/>
              <w:right w:val="nil"/>
            </w:tcBorders>
          </w:tcPr>
          <w:p w14:paraId="0485CEC3" w14:textId="77777777" w:rsidR="00C50EBF" w:rsidRDefault="000C2D77">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1C59C7A3" w14:textId="77777777" w:rsidR="00C50EBF" w:rsidRDefault="000C2D77">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C50EBF" w14:paraId="04C1956C" w14:textId="77777777">
        <w:tc>
          <w:tcPr>
            <w:tcW w:w="1134" w:type="dxa"/>
          </w:tcPr>
          <w:p w14:paraId="01BA49B6" w14:textId="77777777" w:rsidR="00C50EBF" w:rsidRDefault="000C2D77">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14:paraId="62AA8D94" w14:textId="77777777" w:rsidR="00C50EBF" w:rsidRDefault="000C2D77">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14:paraId="44064507" w14:textId="77777777" w:rsidR="00C50EBF" w:rsidRDefault="000C2D77">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3F92FB5B" w14:textId="77777777" w:rsidR="00C50EBF" w:rsidRDefault="000C2D77">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C50EBF" w14:paraId="11E33B44" w14:textId="77777777">
        <w:tc>
          <w:tcPr>
            <w:tcW w:w="8828" w:type="dxa"/>
            <w:gridSpan w:val="4"/>
          </w:tcPr>
          <w:p w14:paraId="118E0F07" w14:textId="77777777" w:rsidR="00C50EBF" w:rsidRDefault="000C2D77">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Sello oficial o logotipo del sujeto obligado</w:t>
            </w:r>
          </w:p>
        </w:tc>
      </w:tr>
      <w:tr w:rsidR="00C50EBF" w14:paraId="54809C57" w14:textId="77777777">
        <w:tc>
          <w:tcPr>
            <w:tcW w:w="1134" w:type="dxa"/>
          </w:tcPr>
          <w:p w14:paraId="55654A43" w14:textId="77777777" w:rsidR="00C50EBF" w:rsidRDefault="000C2D7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119" w:type="dxa"/>
          </w:tcPr>
          <w:p w14:paraId="29DECCC6" w14:textId="77777777" w:rsidR="00C50EBF" w:rsidRDefault="000C2D7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63629900" w14:textId="77777777" w:rsidR="00C50EBF" w:rsidRDefault="000C2D7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5894835E" w14:textId="77777777" w:rsidR="00C50EBF" w:rsidRDefault="000C2D7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C50EBF" w14:paraId="124C1570" w14:textId="77777777">
        <w:tc>
          <w:tcPr>
            <w:tcW w:w="1134" w:type="dxa"/>
          </w:tcPr>
          <w:p w14:paraId="64FAA4B9" w14:textId="77777777" w:rsidR="00C50EBF" w:rsidRDefault="000C2D7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14:paraId="7E8E355B" w14:textId="77777777" w:rsidR="00C50EBF" w:rsidRDefault="000C2D7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14:paraId="30A1D055" w14:textId="77777777" w:rsidR="00C50EBF" w:rsidRDefault="000C2D7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4AC2127D" w14:textId="77777777" w:rsidR="00C50EBF" w:rsidRDefault="000C2D7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C50EBF" w14:paraId="25F3A683" w14:textId="77777777">
        <w:tc>
          <w:tcPr>
            <w:tcW w:w="1134" w:type="dxa"/>
          </w:tcPr>
          <w:p w14:paraId="0BDF1CDE" w14:textId="77777777" w:rsidR="00C50EBF" w:rsidRDefault="000C2D7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14:paraId="09632673" w14:textId="77777777" w:rsidR="00C50EBF" w:rsidRDefault="000C2D7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Pr>
                <w:rFonts w:ascii="Palatino Linotype" w:eastAsia="Palatino Linotype" w:hAnsi="Palatino Linotype" w:cs="Palatino Linotype"/>
                <w:sz w:val="12"/>
                <w:szCs w:val="12"/>
              </w:rPr>
              <w:t>anotarán</w:t>
            </w:r>
            <w:proofErr w:type="gramEnd"/>
            <w:r>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1129" w:type="dxa"/>
          </w:tcPr>
          <w:p w14:paraId="3BC6CD4A" w14:textId="77777777" w:rsidR="00C50EBF" w:rsidRDefault="000C2D7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54BE5C9C" w14:textId="77777777" w:rsidR="00C50EBF" w:rsidRDefault="000C2D7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C50EBF" w14:paraId="5E3F5048" w14:textId="77777777">
        <w:tc>
          <w:tcPr>
            <w:tcW w:w="1134" w:type="dxa"/>
          </w:tcPr>
          <w:p w14:paraId="0F47C144" w14:textId="77777777" w:rsidR="00C50EBF" w:rsidRDefault="000C2D7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4ECE00BB" w14:textId="77777777" w:rsidR="00C50EBF" w:rsidRDefault="000C2D7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4FFED428" w14:textId="77777777" w:rsidR="00C50EBF" w:rsidRDefault="000C2D7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7E1DF4A5" w14:textId="77777777" w:rsidR="00C50EBF" w:rsidRDefault="000C2D7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C50EBF" w14:paraId="44AA9E4E" w14:textId="77777777">
        <w:tc>
          <w:tcPr>
            <w:tcW w:w="1134" w:type="dxa"/>
          </w:tcPr>
          <w:p w14:paraId="3DF7BB30" w14:textId="77777777" w:rsidR="00C50EBF" w:rsidRDefault="000C2D7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14:paraId="63D502E4" w14:textId="77777777" w:rsidR="00C50EBF" w:rsidRDefault="000C2D7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7DDCD897" w14:textId="77777777" w:rsidR="00C50EBF" w:rsidRDefault="000C2D7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1C6E0B0C" w14:textId="77777777" w:rsidR="00C50EBF" w:rsidRDefault="000C2D7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C50EBF" w14:paraId="77924DD3" w14:textId="77777777">
        <w:tc>
          <w:tcPr>
            <w:tcW w:w="1134" w:type="dxa"/>
          </w:tcPr>
          <w:p w14:paraId="6087F318" w14:textId="77777777" w:rsidR="00C50EBF" w:rsidRDefault="000C2D7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119" w:type="dxa"/>
          </w:tcPr>
          <w:p w14:paraId="5A85DAF9" w14:textId="77777777" w:rsidR="00C50EBF" w:rsidRDefault="000C2D7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5C2E7AF1" w14:textId="77777777" w:rsidR="00C50EBF" w:rsidRDefault="000C2D7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7E2F4C62" w14:textId="77777777" w:rsidR="00C50EBF" w:rsidRDefault="000C2D7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C50EBF" w14:paraId="06D837E0" w14:textId="77777777">
        <w:tc>
          <w:tcPr>
            <w:tcW w:w="1134" w:type="dxa"/>
          </w:tcPr>
          <w:p w14:paraId="42C08C2A" w14:textId="77777777" w:rsidR="00C50EBF" w:rsidRDefault="000C2D7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6FCE127A" w14:textId="77777777" w:rsidR="00C50EBF" w:rsidRDefault="000C2D7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4FA7CFC0" w14:textId="77777777" w:rsidR="00C50EBF" w:rsidRDefault="000C2D7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73D9D549" w14:textId="77777777" w:rsidR="00C50EBF" w:rsidRDefault="000C2D7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C50EBF" w14:paraId="0FD2FD4B" w14:textId="77777777">
        <w:tc>
          <w:tcPr>
            <w:tcW w:w="1134" w:type="dxa"/>
          </w:tcPr>
          <w:p w14:paraId="2FE444A6" w14:textId="77777777" w:rsidR="00C50EBF" w:rsidRDefault="000C2D7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lastRenderedPageBreak/>
              <w:t>Rúbrica del titular del área</w:t>
            </w:r>
          </w:p>
        </w:tc>
        <w:tc>
          <w:tcPr>
            <w:tcW w:w="3119" w:type="dxa"/>
          </w:tcPr>
          <w:p w14:paraId="632A5797" w14:textId="77777777" w:rsidR="00C50EBF" w:rsidRDefault="000C2D7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14:paraId="6A6F1A0A" w14:textId="77777777" w:rsidR="00C50EBF" w:rsidRDefault="000C2D7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4346D7D6" w14:textId="77777777" w:rsidR="00C50EBF" w:rsidRDefault="000C2D7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C50EBF" w14:paraId="394C108C" w14:textId="77777777">
        <w:tc>
          <w:tcPr>
            <w:tcW w:w="1134" w:type="dxa"/>
          </w:tcPr>
          <w:p w14:paraId="2C4BE3D7" w14:textId="77777777" w:rsidR="00C50EBF" w:rsidRDefault="000C2D7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119" w:type="dxa"/>
          </w:tcPr>
          <w:p w14:paraId="76706E6B" w14:textId="77777777" w:rsidR="00C50EBF" w:rsidRDefault="000C2D7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14:paraId="5248EB5E" w14:textId="77777777" w:rsidR="00C50EBF" w:rsidRDefault="000C2D7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527A4F96" w14:textId="77777777" w:rsidR="00C50EBF" w:rsidRDefault="000C2D7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C50EBF" w14:paraId="18095057" w14:textId="77777777">
        <w:tc>
          <w:tcPr>
            <w:tcW w:w="1134" w:type="dxa"/>
          </w:tcPr>
          <w:p w14:paraId="3623A9A5" w14:textId="77777777" w:rsidR="00C50EBF" w:rsidRDefault="000C2D7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14:paraId="112FF02B" w14:textId="77777777" w:rsidR="00C50EBF" w:rsidRDefault="000C2D7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14:paraId="771D5133" w14:textId="77777777" w:rsidR="00C50EBF" w:rsidRDefault="000C2D7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3AC0F87B" w14:textId="77777777" w:rsidR="00C50EBF" w:rsidRDefault="000C2D7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C50EBF" w14:paraId="0BB84546" w14:textId="77777777">
        <w:tc>
          <w:tcPr>
            <w:tcW w:w="1134" w:type="dxa"/>
          </w:tcPr>
          <w:p w14:paraId="385BE249" w14:textId="77777777" w:rsidR="00C50EBF" w:rsidRDefault="00C50EBF">
            <w:pPr>
              <w:jc w:val="both"/>
              <w:rPr>
                <w:rFonts w:ascii="Palatino Linotype" w:eastAsia="Palatino Linotype" w:hAnsi="Palatino Linotype" w:cs="Palatino Linotype"/>
                <w:b/>
                <w:sz w:val="12"/>
                <w:szCs w:val="12"/>
              </w:rPr>
            </w:pPr>
          </w:p>
        </w:tc>
        <w:tc>
          <w:tcPr>
            <w:tcW w:w="3119" w:type="dxa"/>
          </w:tcPr>
          <w:p w14:paraId="3804EBB4" w14:textId="77777777" w:rsidR="00C50EBF" w:rsidRDefault="00C50EBF">
            <w:pPr>
              <w:jc w:val="both"/>
              <w:rPr>
                <w:rFonts w:ascii="Palatino Linotype" w:eastAsia="Palatino Linotype" w:hAnsi="Palatino Linotype" w:cs="Palatino Linotype"/>
                <w:sz w:val="12"/>
                <w:szCs w:val="12"/>
              </w:rPr>
            </w:pPr>
          </w:p>
        </w:tc>
        <w:tc>
          <w:tcPr>
            <w:tcW w:w="1129" w:type="dxa"/>
          </w:tcPr>
          <w:p w14:paraId="2FD3226C" w14:textId="77777777" w:rsidR="00C50EBF" w:rsidRDefault="000C2D7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51DC4E64" w14:textId="77777777" w:rsidR="00C50EBF" w:rsidRDefault="000C2D7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 xml:space="preserve">En caso que una vez desclasificado el expediente, </w:t>
            </w:r>
            <w:proofErr w:type="spellStart"/>
            <w:r>
              <w:rPr>
                <w:rFonts w:ascii="Palatino Linotype" w:eastAsia="Palatino Linotype" w:hAnsi="Palatino Linotype" w:cs="Palatino Linotype"/>
                <w:sz w:val="12"/>
                <w:szCs w:val="12"/>
              </w:rPr>
              <w:t>subsistanpartes</w:t>
            </w:r>
            <w:proofErr w:type="spellEnd"/>
            <w:r>
              <w:rPr>
                <w:rFonts w:ascii="Palatino Linotype" w:eastAsia="Palatino Linotype" w:hAnsi="Palatino Linotype" w:cs="Palatino Linotype"/>
                <w:sz w:val="12"/>
                <w:szCs w:val="12"/>
              </w:rPr>
              <w:t xml:space="preserve"> o secciones del mismo reservadas o confidenciales, se señalará este hecho.</w:t>
            </w:r>
          </w:p>
        </w:tc>
      </w:tr>
      <w:tr w:rsidR="00C50EBF" w14:paraId="2557FA79" w14:textId="77777777">
        <w:tc>
          <w:tcPr>
            <w:tcW w:w="1134" w:type="dxa"/>
          </w:tcPr>
          <w:p w14:paraId="374633F8" w14:textId="77777777" w:rsidR="00C50EBF" w:rsidRDefault="00C50EBF">
            <w:pPr>
              <w:jc w:val="both"/>
              <w:rPr>
                <w:rFonts w:ascii="Palatino Linotype" w:eastAsia="Palatino Linotype" w:hAnsi="Palatino Linotype" w:cs="Palatino Linotype"/>
                <w:b/>
                <w:sz w:val="12"/>
                <w:szCs w:val="12"/>
              </w:rPr>
            </w:pPr>
          </w:p>
        </w:tc>
        <w:tc>
          <w:tcPr>
            <w:tcW w:w="3119" w:type="dxa"/>
          </w:tcPr>
          <w:p w14:paraId="1B448B03" w14:textId="77777777" w:rsidR="00C50EBF" w:rsidRDefault="00C50EBF">
            <w:pPr>
              <w:jc w:val="both"/>
              <w:rPr>
                <w:rFonts w:ascii="Palatino Linotype" w:eastAsia="Palatino Linotype" w:hAnsi="Palatino Linotype" w:cs="Palatino Linotype"/>
                <w:sz w:val="12"/>
                <w:szCs w:val="12"/>
              </w:rPr>
            </w:pPr>
          </w:p>
        </w:tc>
        <w:tc>
          <w:tcPr>
            <w:tcW w:w="1129" w:type="dxa"/>
          </w:tcPr>
          <w:p w14:paraId="2F95A45E" w14:textId="77777777" w:rsidR="00C50EBF" w:rsidRDefault="000C2D77">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1ACF7F6B" w14:textId="77777777" w:rsidR="00C50EBF" w:rsidRDefault="000C2D77">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3B30BC30" w14:textId="77777777" w:rsidR="00C50EBF" w:rsidRDefault="000C2D77">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57B05B2C" w14:textId="77777777" w:rsidR="00C50EBF" w:rsidRDefault="000C2D77">
      <w:pPr>
        <w:numPr>
          <w:ilvl w:val="0"/>
          <w:numId w:val="5"/>
        </w:numPr>
        <w:spacing w:before="240" w:after="24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23A689BE" w14:textId="77777777" w:rsidR="00C50EBF" w:rsidRDefault="000C2D77">
      <w:pPr>
        <w:spacing w:before="240" w:after="240" w:line="360" w:lineRule="auto"/>
        <w:jc w:val="both"/>
        <w:rPr>
          <w:rFonts w:ascii="Palatino Linotype" w:eastAsia="Palatino Linotype" w:hAnsi="Palatino Linotype" w:cs="Palatino Linotype"/>
          <w:b/>
        </w:rPr>
      </w:pPr>
      <w:bookmarkStart w:id="2" w:name="_heading=h.30j0zll" w:colFirst="0" w:colLast="0"/>
      <w:bookmarkEnd w:id="2"/>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fundados </w:t>
      </w:r>
      <w:r>
        <w:rPr>
          <w:rFonts w:ascii="Palatino Linotype" w:eastAsia="Palatino Linotype" w:hAnsi="Palatino Linotype" w:cs="Palatino Linotype"/>
        </w:rPr>
        <w:t xml:space="preserve">los motivos de inconformidad hechos valer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el recurso de revisión</w:t>
      </w:r>
      <w:r>
        <w:rPr>
          <w:rFonts w:ascii="Palatino Linotype" w:eastAsia="Palatino Linotype" w:hAnsi="Palatino Linotype" w:cs="Palatino Linotype"/>
          <w:b/>
        </w:rPr>
        <w:t xml:space="preserve"> 03584/INFOEM/IP/RR/2022, </w:t>
      </w:r>
      <w:r>
        <w:rPr>
          <w:rFonts w:ascii="Palatino Linotype" w:eastAsia="Palatino Linotype" w:hAnsi="Palatino Linotype" w:cs="Palatino Linotype"/>
        </w:rPr>
        <w:t>por lo que, en términos del</w:t>
      </w:r>
      <w:r>
        <w:rPr>
          <w:rFonts w:ascii="Palatino Linotype" w:eastAsia="Palatino Linotype" w:hAnsi="Palatino Linotype" w:cs="Palatino Linotype"/>
          <w:b/>
        </w:rPr>
        <w:t xml:space="preserve"> Considerando Cuarto </w:t>
      </w:r>
      <w:r>
        <w:rPr>
          <w:rFonts w:ascii="Palatino Linotype" w:eastAsia="Palatino Linotype" w:hAnsi="Palatino Linotype" w:cs="Palatino Linotype"/>
        </w:rPr>
        <w:t xml:space="preserve">de la presente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la respuesta emitida por el</w:t>
      </w:r>
      <w:r>
        <w:rPr>
          <w:rFonts w:ascii="Palatino Linotype" w:eastAsia="Palatino Linotype" w:hAnsi="Palatino Linotype" w:cs="Palatino Linotype"/>
          <w:b/>
        </w:rPr>
        <w:t xml:space="preserve"> Sujeto Obligado.</w:t>
      </w:r>
    </w:p>
    <w:p w14:paraId="46FF00EF" w14:textId="77777777" w:rsidR="00452BF2" w:rsidRPr="000559A7" w:rsidRDefault="000C2D77" w:rsidP="00AD78B6">
      <w:pPr>
        <w:spacing w:line="360" w:lineRule="auto"/>
        <w:ind w:right="-93"/>
        <w:jc w:val="both"/>
        <w:rPr>
          <w:rFonts w:ascii="Palatino Linotype" w:hAnsi="Palatino Linotype" w:cs="Tahoma"/>
          <w:sz w:val="22"/>
          <w:szCs w:val="22"/>
          <w:lang w:eastAsia="es-ES"/>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que, haga entrega</w:t>
      </w:r>
      <w:r>
        <w:rPr>
          <w:rFonts w:ascii="Palatino Linotype" w:eastAsia="Palatino Linotype" w:hAnsi="Palatino Linotype" w:cs="Palatino Linotype"/>
          <w:b/>
        </w:rPr>
        <w:t xml:space="preserve"> vía SAIMEX, </w:t>
      </w:r>
      <w:r>
        <w:rPr>
          <w:rFonts w:ascii="Palatino Linotype" w:eastAsia="Palatino Linotype" w:hAnsi="Palatino Linotype" w:cs="Palatino Linotype"/>
        </w:rPr>
        <w:t xml:space="preserve">en términos de los </w:t>
      </w:r>
      <w:r>
        <w:rPr>
          <w:rFonts w:ascii="Palatino Linotype" w:eastAsia="Palatino Linotype" w:hAnsi="Palatino Linotype" w:cs="Palatino Linotype"/>
          <w:b/>
        </w:rPr>
        <w:t xml:space="preserve">Considerandos Cuarto y Quinto </w:t>
      </w:r>
      <w:r>
        <w:rPr>
          <w:rFonts w:ascii="Palatino Linotype" w:eastAsia="Palatino Linotype" w:hAnsi="Palatino Linotype" w:cs="Palatino Linotype"/>
        </w:rPr>
        <w:t xml:space="preserve">de esta resolución, </w:t>
      </w:r>
      <w:r w:rsidR="00452BF2">
        <w:rPr>
          <w:rFonts w:ascii="Palatino Linotype" w:eastAsia="Palatino Linotype" w:hAnsi="Palatino Linotype" w:cs="Palatino Linotype"/>
          <w:b/>
        </w:rPr>
        <w:t>en versión pública de ser procedente</w:t>
      </w:r>
      <w:r w:rsidR="00452BF2">
        <w:rPr>
          <w:rFonts w:ascii="Palatino Linotype" w:eastAsia="Palatino Linotype" w:hAnsi="Palatino Linotype" w:cs="Palatino Linotype"/>
        </w:rPr>
        <w:t xml:space="preserve">, </w:t>
      </w:r>
      <w:r w:rsidR="00AD78B6" w:rsidRPr="000559A7">
        <w:rPr>
          <w:rFonts w:ascii="Palatino Linotype" w:hAnsi="Palatino Linotype" w:cs="Tahoma"/>
          <w:szCs w:val="22"/>
          <w:lang w:eastAsia="es-ES"/>
        </w:rPr>
        <w:t xml:space="preserve">actualizados al veinticuatro de enero de dos mil veintidós, </w:t>
      </w:r>
      <w:r w:rsidR="00AD78B6" w:rsidRPr="000559A7">
        <w:rPr>
          <w:rFonts w:ascii="Palatino Linotype" w:hAnsi="Palatino Linotype" w:cs="Tahoma"/>
          <w:b/>
          <w:szCs w:val="22"/>
          <w:lang w:eastAsia="es-ES"/>
        </w:rPr>
        <w:t>los documentos donde conste la siguiente información:</w:t>
      </w:r>
      <w:r w:rsidR="00AD78B6" w:rsidRPr="000559A7">
        <w:rPr>
          <w:rFonts w:ascii="Palatino Linotype" w:hAnsi="Palatino Linotype" w:cs="Tahoma"/>
          <w:sz w:val="22"/>
          <w:szCs w:val="22"/>
          <w:lang w:eastAsia="es-ES"/>
        </w:rPr>
        <w:t xml:space="preserve"> </w:t>
      </w:r>
    </w:p>
    <w:p w14:paraId="3FD3B288" w14:textId="77777777" w:rsidR="003319A3" w:rsidRPr="000559A7" w:rsidRDefault="003319A3" w:rsidP="00AD78B6">
      <w:pPr>
        <w:spacing w:line="360" w:lineRule="auto"/>
        <w:ind w:right="-93"/>
        <w:jc w:val="both"/>
        <w:rPr>
          <w:rFonts w:ascii="Palatino Linotype" w:hAnsi="Palatino Linotype" w:cs="Tahoma"/>
          <w:sz w:val="22"/>
          <w:szCs w:val="22"/>
          <w:lang w:eastAsia="es-ES"/>
        </w:rPr>
      </w:pPr>
    </w:p>
    <w:p w14:paraId="3774DFDA" w14:textId="77777777" w:rsidR="003319A3" w:rsidRPr="000559A7" w:rsidRDefault="003319A3" w:rsidP="003319A3">
      <w:pPr>
        <w:numPr>
          <w:ilvl w:val="0"/>
          <w:numId w:val="9"/>
        </w:numPr>
        <w:spacing w:line="276" w:lineRule="auto"/>
        <w:ind w:left="567" w:right="851" w:hanging="141"/>
        <w:jc w:val="both"/>
        <w:rPr>
          <w:rFonts w:ascii="Palatino Linotype" w:hAnsi="Palatino Linotype" w:cs="Tahoma"/>
          <w:b/>
          <w:i/>
          <w:iCs/>
          <w:sz w:val="22"/>
          <w:szCs w:val="22"/>
          <w:lang w:val="es-MX" w:eastAsia="es-ES"/>
        </w:rPr>
      </w:pPr>
      <w:r w:rsidRPr="000559A7">
        <w:rPr>
          <w:rFonts w:ascii="Palatino Linotype" w:hAnsi="Palatino Linotype" w:cs="Tahoma"/>
          <w:b/>
          <w:i/>
          <w:iCs/>
          <w:sz w:val="22"/>
          <w:szCs w:val="22"/>
          <w:lang w:val="es-MX" w:eastAsia="es-ES"/>
        </w:rPr>
        <w:t xml:space="preserve">Número de servidores públicos que cuenta con los Certificados de Competencia Laboral de los Estándares de Competencia de Marca </w:t>
      </w:r>
      <w:r w:rsidRPr="000559A7">
        <w:rPr>
          <w:rFonts w:ascii="Palatino Linotype" w:hAnsi="Palatino Linotype" w:cs="Tahoma"/>
          <w:b/>
          <w:i/>
          <w:sz w:val="22"/>
          <w:szCs w:val="22"/>
          <w:lang w:val="es-MX" w:eastAsia="es-ES"/>
        </w:rPr>
        <w:t xml:space="preserve">ECM0059, </w:t>
      </w:r>
      <w:r w:rsidRPr="000559A7">
        <w:rPr>
          <w:rFonts w:ascii="Palatino Linotype" w:hAnsi="Palatino Linotype" w:cs="Tahoma"/>
          <w:b/>
          <w:i/>
          <w:sz w:val="22"/>
          <w:szCs w:val="22"/>
          <w:lang w:val="es-MX" w:eastAsia="es-ES"/>
        </w:rPr>
        <w:lastRenderedPageBreak/>
        <w:t>ECM0060, ECM0061, ECM0062, ECM0063, ECM0064, ECM0065, ECM0066, ECM0067, ECM0068, ECM0069, ECM0070 y ECM0071 y los folios de identificación respectivos; y</w:t>
      </w:r>
    </w:p>
    <w:p w14:paraId="19BC7CDF" w14:textId="77777777" w:rsidR="003319A3" w:rsidRPr="000559A7" w:rsidRDefault="003319A3" w:rsidP="003319A3">
      <w:pPr>
        <w:spacing w:line="276" w:lineRule="auto"/>
        <w:ind w:left="567" w:right="851" w:hanging="141"/>
        <w:jc w:val="both"/>
        <w:rPr>
          <w:rFonts w:ascii="Palatino Linotype" w:hAnsi="Palatino Linotype" w:cs="Tahoma"/>
          <w:b/>
          <w:i/>
          <w:iCs/>
          <w:sz w:val="22"/>
          <w:szCs w:val="22"/>
          <w:lang w:val="es-MX" w:eastAsia="es-ES"/>
        </w:rPr>
      </w:pPr>
    </w:p>
    <w:p w14:paraId="6F0F4635" w14:textId="77777777" w:rsidR="00452BF2" w:rsidRPr="000559A7" w:rsidRDefault="003319A3" w:rsidP="003319A3">
      <w:pPr>
        <w:pStyle w:val="Prrafodelista"/>
        <w:numPr>
          <w:ilvl w:val="0"/>
          <w:numId w:val="9"/>
        </w:numPr>
        <w:spacing w:line="276" w:lineRule="auto"/>
        <w:ind w:left="567" w:right="851" w:hanging="141"/>
        <w:jc w:val="both"/>
        <w:rPr>
          <w:rFonts w:ascii="Palatino Linotype" w:hAnsi="Palatino Linotype" w:cs="Tahoma"/>
          <w:b/>
          <w:i/>
          <w:sz w:val="22"/>
          <w:szCs w:val="22"/>
          <w:lang w:eastAsia="es-ES"/>
        </w:rPr>
      </w:pPr>
      <w:r w:rsidRPr="000559A7">
        <w:rPr>
          <w:rFonts w:ascii="Palatino Linotype" w:hAnsi="Palatino Linotype" w:cs="Tahoma"/>
          <w:b/>
          <w:i/>
          <w:iCs/>
          <w:sz w:val="22"/>
          <w:szCs w:val="22"/>
          <w:lang w:val="es-MX" w:eastAsia="es-ES"/>
        </w:rPr>
        <w:t>Monto bruto de percepciones, número de empleado y área de adscripción de los servidores públicos adscritos al Sujeto Obligado.</w:t>
      </w:r>
    </w:p>
    <w:p w14:paraId="38055F3B" w14:textId="77777777" w:rsidR="00C50EBF" w:rsidRPr="000559A7" w:rsidRDefault="000C2D77" w:rsidP="00452BF2">
      <w:pPr>
        <w:spacing w:before="240" w:after="240"/>
        <w:ind w:left="567" w:right="851"/>
        <w:jc w:val="both"/>
        <w:rPr>
          <w:rFonts w:ascii="Palatino Linotype" w:eastAsia="Palatino Linotype" w:hAnsi="Palatino Linotype" w:cs="Palatino Linotype"/>
          <w:i/>
          <w:sz w:val="22"/>
          <w:szCs w:val="22"/>
        </w:rPr>
      </w:pPr>
      <w:bookmarkStart w:id="3" w:name="_heading=h.gjdgxs" w:colFirst="0" w:colLast="0"/>
      <w:bookmarkEnd w:id="3"/>
      <w:r w:rsidRPr="000559A7">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w:t>
      </w:r>
      <w:r w:rsidRPr="000559A7">
        <w:rPr>
          <w:rFonts w:ascii="Palatino Linotype" w:eastAsia="Palatino Linotype" w:hAnsi="Palatino Linotype" w:cs="Palatino Linotype"/>
          <w:b/>
          <w:i/>
          <w:sz w:val="22"/>
          <w:szCs w:val="22"/>
        </w:rPr>
        <w:t>Recurrente</w:t>
      </w:r>
      <w:r w:rsidRPr="000559A7">
        <w:rPr>
          <w:rFonts w:ascii="Palatino Linotype" w:eastAsia="Palatino Linotype" w:hAnsi="Palatino Linotype" w:cs="Palatino Linotype"/>
          <w:i/>
          <w:sz w:val="22"/>
          <w:szCs w:val="22"/>
        </w:rPr>
        <w:t>.</w:t>
      </w:r>
    </w:p>
    <w:p w14:paraId="41233D90" w14:textId="77777777" w:rsidR="00C50EBF" w:rsidRDefault="00452BF2">
      <w:pPr>
        <w:spacing w:before="240" w:after="240"/>
        <w:ind w:left="567" w:right="851"/>
        <w:jc w:val="both"/>
        <w:rPr>
          <w:rFonts w:ascii="Palatino Linotype" w:eastAsia="Palatino Linotype" w:hAnsi="Palatino Linotype" w:cs="Palatino Linotype"/>
          <w:i/>
          <w:sz w:val="22"/>
          <w:szCs w:val="22"/>
        </w:rPr>
      </w:pPr>
      <w:r w:rsidRPr="000559A7">
        <w:rPr>
          <w:rFonts w:ascii="Palatino Linotype" w:eastAsia="Palatino Linotype" w:hAnsi="Palatino Linotype" w:cs="Palatino Linotype"/>
          <w:bCs/>
          <w:i/>
          <w:iCs/>
          <w:sz w:val="22"/>
          <w:szCs w:val="22"/>
          <w:lang w:val="es-MX"/>
        </w:rPr>
        <w:t>Para el caso de que no haya servidores públicos que cuenten con Certificados de Competencia Laboral bajo los Estándares de Competencia de Marca, referidos en el inciso a)</w:t>
      </w:r>
      <w:r w:rsidR="000C2D77" w:rsidRPr="000559A7">
        <w:rPr>
          <w:rFonts w:ascii="Palatino Linotype" w:eastAsia="Palatino Linotype" w:hAnsi="Palatino Linotype" w:cs="Palatino Linotype"/>
          <w:i/>
          <w:sz w:val="22"/>
          <w:szCs w:val="22"/>
        </w:rPr>
        <w:t>, deberá hacerlo del conocimiento de parte Recurrente de manera fundada y motivada en términos del segundo párrafo del  artículo 19 de la Ley de Transparencia local.</w:t>
      </w:r>
    </w:p>
    <w:p w14:paraId="7FFDA310" w14:textId="77777777" w:rsidR="00C50EBF" w:rsidRDefault="000C2D7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w:t>
      </w:r>
      <w:r>
        <w:rPr>
          <w:rFonts w:ascii="Palatino Linotype" w:eastAsia="Palatino Linotype" w:hAnsi="Palatino Linotype" w:cs="Palatino Linotype"/>
        </w:rPr>
        <w:t>Notifíquese vía</w:t>
      </w:r>
      <w:r>
        <w:rPr>
          <w:rFonts w:ascii="Palatino Linotype" w:eastAsia="Palatino Linotype" w:hAnsi="Palatino Linotype" w:cs="Palatino Linotype"/>
          <w:b/>
        </w:rPr>
        <w:t xml:space="preserve"> Sistema de Acceso a la Información Mexiquense (SAIMEX), </w:t>
      </w:r>
      <w:r>
        <w:rPr>
          <w:rFonts w:ascii="Palatino Linotype" w:eastAsia="Palatino Linotype" w:hAnsi="Palatino Linotype" w:cs="Palatino Linotype"/>
        </w:rPr>
        <w:t>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p>
    <w:p w14:paraId="40659047" w14:textId="77777777" w:rsidR="00C50EBF" w:rsidRDefault="000C2D7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35CCA30" w14:textId="77777777" w:rsidR="00C50EBF" w:rsidRDefault="000C2D77">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Quinto.  Notifíquese, al recurrente vía Sistema de Acceso a la Información Mexiquense (SAIMEX),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r>
        <w:rPr>
          <w:rFonts w:ascii="Palatino Linotype" w:eastAsia="Palatino Linotype" w:hAnsi="Palatino Linotype" w:cs="Palatino Linotype"/>
          <w:b/>
        </w:rPr>
        <w:t>.</w:t>
      </w:r>
    </w:p>
    <w:p w14:paraId="69C55778" w14:textId="231E02BF" w:rsidR="00C50EBF" w:rsidRDefault="000559A7">
      <w:pPr>
        <w:spacing w:before="240" w:after="240" w:line="360" w:lineRule="auto"/>
        <w:jc w:val="both"/>
        <w:rPr>
          <w:rFonts w:ascii="Palatino Linotype" w:eastAsia="Palatino Linotype" w:hAnsi="Palatino Linotype" w:cs="Palatino Linotype"/>
        </w:rPr>
        <w:sectPr w:rsidR="00C50EBF">
          <w:headerReference w:type="default" r:id="rId31"/>
          <w:footerReference w:type="default" r:id="rId32"/>
          <w:headerReference w:type="first" r:id="rId33"/>
          <w:footerReference w:type="first" r:id="rId34"/>
          <w:pgSz w:w="12240" w:h="15840"/>
          <w:pgMar w:top="1417" w:right="1750" w:bottom="1417" w:left="1701" w:header="708" w:footer="708" w:gutter="0"/>
          <w:pgNumType w:start="1"/>
          <w:cols w:space="720"/>
          <w:titlePg/>
        </w:sectPr>
      </w:pPr>
      <w:r>
        <w:rPr>
          <w:rFonts w:ascii="Palatino Linotype" w:eastAsia="Palatino Linotype" w:hAnsi="Palatino Linotype" w:cs="Palatino Linotype"/>
          <w:noProof/>
          <w:lang w:val="es-MX"/>
        </w:rPr>
        <mc:AlternateContent>
          <mc:Choice Requires="wps">
            <w:drawing>
              <wp:anchor distT="0" distB="0" distL="114300" distR="114300" simplePos="0" relativeHeight="251669504" behindDoc="0" locked="0" layoutInCell="1" allowOverlap="1" wp14:anchorId="11638A3D" wp14:editId="32BAF5BE">
                <wp:simplePos x="0" y="0"/>
                <wp:positionH relativeFrom="column">
                  <wp:posOffset>62865</wp:posOffset>
                </wp:positionH>
                <wp:positionV relativeFrom="paragraph">
                  <wp:posOffset>2717165</wp:posOffset>
                </wp:positionV>
                <wp:extent cx="5295900" cy="2590800"/>
                <wp:effectExtent l="0" t="0" r="19050" b="19050"/>
                <wp:wrapNone/>
                <wp:docPr id="11" name="Conector recto 11"/>
                <wp:cNvGraphicFramePr/>
                <a:graphic xmlns:a="http://schemas.openxmlformats.org/drawingml/2006/main">
                  <a:graphicData uri="http://schemas.microsoft.com/office/word/2010/wordprocessingShape">
                    <wps:wsp>
                      <wps:cNvCnPr/>
                      <wps:spPr>
                        <a:xfrm>
                          <a:off x="0" y="0"/>
                          <a:ext cx="5295900" cy="2590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67C0C0" id="Conector recto 1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95pt,213.95pt" to="421.95pt,4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" strokecolor="black [3040]"/>
            </w:pict>
          </mc:Fallback>
        </mc:AlternateContent>
      </w:r>
      <w:r w:rsidR="000C2D77">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002153E9">
        <w:rPr>
          <w:rFonts w:ascii="Palatino Linotype" w:eastAsia="Palatino Linotype" w:hAnsi="Palatino Linotype" w:cs="Palatino Linotype"/>
        </w:rPr>
        <w:t xml:space="preserve">SHARON CRISTINA MORALES MARTÍNEZ,  </w:t>
      </w:r>
      <w:r w:rsidR="000C2D77">
        <w:rPr>
          <w:rFonts w:ascii="Palatino Linotype" w:eastAsia="Palatino Linotype" w:hAnsi="Palatino Linotype" w:cs="Palatino Linotype"/>
        </w:rPr>
        <w:t>LUIS GUSTAVO PARRA NORIEGA Y GUADALUPE RAMÍREZ PEÑA; EN LA VIGÉSIMA SEGUNDA SESIÓN ORDINARIA CELEBRADA EL QUINCE DE JUNIO DEL DOS MIL VEINTIDÓS, ANTE EL SECRETARIO TÉCNICO DEL PLENO, ALEXIS TAPIA RAMÍREZ.</w:t>
      </w:r>
      <w:r w:rsidR="002153E9">
        <w:rPr>
          <w:rFonts w:ascii="Palatino Linotype" w:eastAsia="Palatino Linotype" w:hAnsi="Palatino Linotype" w:cs="Palatino Linotype"/>
        </w:rPr>
        <w:t xml:space="preserve">   </w:t>
      </w:r>
    </w:p>
    <w:p w14:paraId="52B99419" w14:textId="77777777" w:rsidR="00C50EBF" w:rsidRDefault="00C50EB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34736670" w14:textId="77777777" w:rsidR="00C50EBF" w:rsidRDefault="00C50EB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4A2DAAFB" w14:textId="77777777" w:rsidR="00C50EBF" w:rsidRDefault="00C50EB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C50EBF">
      <w:headerReference w:type="first" r:id="rId35"/>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CD48D0" w14:textId="77777777" w:rsidR="001B5C67" w:rsidRDefault="001B5C67">
      <w:r>
        <w:separator/>
      </w:r>
    </w:p>
  </w:endnote>
  <w:endnote w:type="continuationSeparator" w:id="0">
    <w:p w14:paraId="29AFCDD2" w14:textId="77777777" w:rsidR="001B5C67" w:rsidRDefault="001B5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ED22D" w14:textId="77777777" w:rsidR="005A7BD3" w:rsidRDefault="005A7BD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D25E4">
      <w:rPr>
        <w:rFonts w:ascii="Arial" w:eastAsia="Arial" w:hAnsi="Arial" w:cs="Arial"/>
        <w:b/>
        <w:noProof/>
        <w:color w:val="000000"/>
        <w:sz w:val="20"/>
        <w:szCs w:val="20"/>
      </w:rPr>
      <w:t>48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D25E4">
      <w:rPr>
        <w:rFonts w:ascii="Arial" w:eastAsia="Arial" w:hAnsi="Arial" w:cs="Arial"/>
        <w:b/>
        <w:noProof/>
        <w:color w:val="000000"/>
        <w:sz w:val="20"/>
        <w:szCs w:val="20"/>
      </w:rPr>
      <w:t>58</w:t>
    </w:r>
    <w:r>
      <w:rPr>
        <w:rFonts w:ascii="Arial" w:eastAsia="Arial" w:hAnsi="Arial" w:cs="Arial"/>
        <w:b/>
        <w:color w:val="000000"/>
        <w:sz w:val="20"/>
        <w:szCs w:val="20"/>
      </w:rPr>
      <w:fldChar w:fldCharType="end"/>
    </w:r>
  </w:p>
  <w:p w14:paraId="23C1EF00" w14:textId="77777777" w:rsidR="005A7BD3" w:rsidRDefault="005A7BD3">
    <w:pPr>
      <w:pBdr>
        <w:top w:val="nil"/>
        <w:left w:val="nil"/>
        <w:bottom w:val="nil"/>
        <w:right w:val="nil"/>
        <w:between w:val="nil"/>
      </w:pBdr>
      <w:tabs>
        <w:tab w:val="center" w:pos="4252"/>
        <w:tab w:val="right" w:pos="8504"/>
      </w:tabs>
      <w:rPr>
        <w:color w:val="000000"/>
      </w:rPr>
    </w:pPr>
  </w:p>
  <w:p w14:paraId="61FAA6FE" w14:textId="77777777" w:rsidR="005A7BD3" w:rsidRDefault="005A7BD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3112E" w14:textId="77777777" w:rsidR="005A7BD3" w:rsidRDefault="005A7BD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D25E4">
      <w:rPr>
        <w:rFonts w:ascii="Arial" w:eastAsia="Arial" w:hAnsi="Arial" w:cs="Arial"/>
        <w:b/>
        <w:noProof/>
        <w:color w:val="000000"/>
        <w:sz w:val="20"/>
        <w:szCs w:val="20"/>
      </w:rPr>
      <w:t>58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D25E4">
      <w:rPr>
        <w:rFonts w:ascii="Arial" w:eastAsia="Arial" w:hAnsi="Arial" w:cs="Arial"/>
        <w:b/>
        <w:noProof/>
        <w:color w:val="000000"/>
        <w:sz w:val="20"/>
        <w:szCs w:val="20"/>
      </w:rPr>
      <w:t>58</w:t>
    </w:r>
    <w:r>
      <w:rPr>
        <w:rFonts w:ascii="Arial" w:eastAsia="Arial" w:hAnsi="Arial" w:cs="Arial"/>
        <w:b/>
        <w:color w:val="000000"/>
        <w:sz w:val="20"/>
        <w:szCs w:val="20"/>
      </w:rPr>
      <w:fldChar w:fldCharType="end"/>
    </w:r>
  </w:p>
  <w:p w14:paraId="1D77179C" w14:textId="77777777" w:rsidR="005A7BD3" w:rsidRDefault="005A7BD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424A4" w14:textId="77777777" w:rsidR="001B5C67" w:rsidRDefault="001B5C67">
      <w:r>
        <w:separator/>
      </w:r>
    </w:p>
  </w:footnote>
  <w:footnote w:type="continuationSeparator" w:id="0">
    <w:p w14:paraId="3F24975C" w14:textId="77777777" w:rsidR="001B5C67" w:rsidRDefault="001B5C67">
      <w:r>
        <w:continuationSeparator/>
      </w:r>
    </w:p>
  </w:footnote>
  <w:footnote w:id="1">
    <w:p w14:paraId="3EA4549A" w14:textId="77777777" w:rsidR="005A7BD3" w:rsidRDefault="005A7BD3">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414E70E3" w14:textId="77777777" w:rsidR="005A7BD3" w:rsidRDefault="005A7BD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94D7F3D" w14:textId="77777777" w:rsidR="005A7BD3" w:rsidRDefault="005A7BD3">
      <w:pPr>
        <w:rPr>
          <w:rFonts w:ascii="Calibri" w:eastAsia="Calibri" w:hAnsi="Calibri" w:cs="Calibri"/>
          <w:sz w:val="20"/>
          <w:szCs w:val="20"/>
        </w:rPr>
      </w:pPr>
      <w:r>
        <w:rPr>
          <w:vertAlign w:val="superscript"/>
        </w:rPr>
        <w:footnoteRef/>
      </w:r>
      <w:r>
        <w:t xml:space="preserve"> </w:t>
      </w:r>
      <w:r>
        <w:rPr>
          <w:rFonts w:ascii="Palatino Linotype" w:eastAsia="Palatino Linotype" w:hAnsi="Palatino Linotype" w:cs="Palatino Linotype"/>
          <w:sz w:val="20"/>
          <w:szCs w:val="20"/>
        </w:rPr>
        <w:t xml:space="preserve">Certificación, disponible en http://ihaem.edomex.gob.mx/que_es </w:t>
      </w:r>
      <w:proofErr w:type="spellStart"/>
      <w:r>
        <w:rPr>
          <w:rFonts w:ascii="Palatino Linotype" w:eastAsia="Palatino Linotype" w:hAnsi="Palatino Linotype" w:cs="Palatino Linotype"/>
          <w:sz w:val="20"/>
          <w:szCs w:val="20"/>
        </w:rPr>
        <w:t>la_certificacion</w:t>
      </w:r>
      <w:proofErr w:type="spellEnd"/>
      <w:r>
        <w:rPr>
          <w:rFonts w:ascii="Palatino Linotype" w:eastAsia="Palatino Linotype" w:hAnsi="Palatino Linotype" w:cs="Palatino Linotype"/>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4E26F" w14:textId="77777777" w:rsidR="005A7BD3" w:rsidRDefault="005A7BD3">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ABBD725" wp14:editId="4339A0A6">
          <wp:simplePos x="0" y="0"/>
          <wp:positionH relativeFrom="column">
            <wp:posOffset>-1080130</wp:posOffset>
          </wp:positionH>
          <wp:positionV relativeFrom="paragraph">
            <wp:posOffset>-345435</wp:posOffset>
          </wp:positionV>
          <wp:extent cx="7635600" cy="9943200"/>
          <wp:effectExtent l="0" t="0" r="0" b="0"/>
          <wp:wrapNone/>
          <wp:docPr id="9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f"/>
      <w:tblW w:w="6240" w:type="dxa"/>
      <w:tblInd w:w="3746" w:type="dxa"/>
      <w:tblLayout w:type="fixed"/>
      <w:tblLook w:val="0400" w:firstRow="0" w:lastRow="0" w:firstColumn="0" w:lastColumn="0" w:noHBand="0" w:noVBand="1"/>
    </w:tblPr>
    <w:tblGrid>
      <w:gridCol w:w="2553"/>
      <w:gridCol w:w="3687"/>
    </w:tblGrid>
    <w:tr w:rsidR="005A7BD3" w14:paraId="5A60805A" w14:textId="77777777">
      <w:tc>
        <w:tcPr>
          <w:tcW w:w="2553" w:type="dxa"/>
          <w:vAlign w:val="center"/>
        </w:tcPr>
        <w:p w14:paraId="70EFA393" w14:textId="77777777" w:rsidR="005A7BD3" w:rsidRDefault="005A7B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346323C8" w14:textId="77777777" w:rsidR="005A7BD3" w:rsidRDefault="005A7B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03584/INFOEM/IP/RR/2022</w:t>
          </w:r>
        </w:p>
      </w:tc>
    </w:tr>
    <w:tr w:rsidR="005A7BD3" w14:paraId="3AC9EA58" w14:textId="77777777">
      <w:trPr>
        <w:trHeight w:val="228"/>
      </w:trPr>
      <w:tc>
        <w:tcPr>
          <w:tcW w:w="2553" w:type="dxa"/>
          <w:vAlign w:val="center"/>
        </w:tcPr>
        <w:p w14:paraId="4328EE96" w14:textId="77777777" w:rsidR="005A7BD3" w:rsidRDefault="005A7B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1455CDEE" w14:textId="77777777" w:rsidR="005A7BD3" w:rsidRDefault="005A7BD3">
          <w:pPr>
            <w:ind w:right="37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Cuautitlán Izcalli</w:t>
          </w:r>
        </w:p>
      </w:tc>
    </w:tr>
    <w:tr w:rsidR="005A7BD3" w14:paraId="6A0F12CD" w14:textId="77777777">
      <w:tc>
        <w:tcPr>
          <w:tcW w:w="2553" w:type="dxa"/>
          <w:vAlign w:val="center"/>
        </w:tcPr>
        <w:p w14:paraId="6F30055D" w14:textId="77777777" w:rsidR="005A7BD3" w:rsidRDefault="005A7B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204AA0FF" w14:textId="77777777" w:rsidR="005A7BD3" w:rsidRDefault="005A7BD3">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F513D34" w14:textId="77777777" w:rsidR="005A7BD3" w:rsidRDefault="005A7BD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14:paraId="4AA5E1F6" w14:textId="77777777" w:rsidR="005A7BD3" w:rsidRDefault="005A7BD3">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5B935" w14:textId="77777777" w:rsidR="005A7BD3" w:rsidRDefault="005A7BD3">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14D4E3F6" wp14:editId="463A1E2C">
          <wp:simplePos x="0" y="0"/>
          <wp:positionH relativeFrom="column">
            <wp:posOffset>-1080129</wp:posOffset>
          </wp:positionH>
          <wp:positionV relativeFrom="paragraph">
            <wp:posOffset>-343529</wp:posOffset>
          </wp:positionV>
          <wp:extent cx="7635600" cy="9943200"/>
          <wp:effectExtent l="0" t="0" r="0" b="0"/>
          <wp:wrapNone/>
          <wp:docPr id="8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e"/>
      <w:tblW w:w="6240" w:type="dxa"/>
      <w:tblInd w:w="3685" w:type="dxa"/>
      <w:tblLayout w:type="fixed"/>
      <w:tblLook w:val="0400" w:firstRow="0" w:lastRow="0" w:firstColumn="0" w:lastColumn="0" w:noHBand="0" w:noVBand="1"/>
    </w:tblPr>
    <w:tblGrid>
      <w:gridCol w:w="2553"/>
      <w:gridCol w:w="3687"/>
    </w:tblGrid>
    <w:tr w:rsidR="005A7BD3" w14:paraId="2B557959" w14:textId="77777777">
      <w:tc>
        <w:tcPr>
          <w:tcW w:w="2553" w:type="dxa"/>
          <w:vAlign w:val="center"/>
        </w:tcPr>
        <w:p w14:paraId="1F0F23FC" w14:textId="77777777" w:rsidR="005A7BD3" w:rsidRDefault="005A7B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22E44C72" w14:textId="77777777" w:rsidR="005A7BD3" w:rsidRDefault="005A7B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03584/INFOEM/IP/RR/2022</w:t>
          </w:r>
        </w:p>
      </w:tc>
    </w:tr>
    <w:tr w:rsidR="005A7BD3" w14:paraId="41F7DB69" w14:textId="77777777">
      <w:tc>
        <w:tcPr>
          <w:tcW w:w="2553" w:type="dxa"/>
          <w:vAlign w:val="center"/>
        </w:tcPr>
        <w:p w14:paraId="091D0D33" w14:textId="77777777" w:rsidR="005A7BD3" w:rsidRDefault="005A7B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3A90040B" w14:textId="54A49C70" w:rsidR="005A7BD3" w:rsidRDefault="00CD25E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 XXXXXX</w:t>
          </w:r>
        </w:p>
      </w:tc>
    </w:tr>
    <w:tr w:rsidR="005A7BD3" w14:paraId="24B80CAE" w14:textId="77777777">
      <w:trPr>
        <w:trHeight w:val="228"/>
      </w:trPr>
      <w:tc>
        <w:tcPr>
          <w:tcW w:w="2553" w:type="dxa"/>
          <w:vAlign w:val="center"/>
        </w:tcPr>
        <w:p w14:paraId="5CA91493" w14:textId="77777777" w:rsidR="005A7BD3" w:rsidRDefault="005A7B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5D87258A" w14:textId="77777777" w:rsidR="005A7BD3" w:rsidRDefault="005A7BD3">
          <w:pPr>
            <w:ind w:right="59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Cuautitlán Izcalli</w:t>
          </w:r>
        </w:p>
      </w:tc>
    </w:tr>
    <w:tr w:rsidR="005A7BD3" w14:paraId="0CE905CB" w14:textId="77777777">
      <w:tc>
        <w:tcPr>
          <w:tcW w:w="2553" w:type="dxa"/>
          <w:vAlign w:val="center"/>
        </w:tcPr>
        <w:p w14:paraId="43CB381E" w14:textId="77777777" w:rsidR="005A7BD3" w:rsidRDefault="005A7BD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6634A69F" w14:textId="77777777" w:rsidR="005A7BD3" w:rsidRDefault="005A7BD3">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2900307" w14:textId="77777777" w:rsidR="005A7BD3" w:rsidRDefault="005A7BD3">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BAF2A" w14:textId="77777777" w:rsidR="005A7BD3" w:rsidRDefault="005A7BD3">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144B9EA0" w14:textId="77777777" w:rsidR="005A7BD3" w:rsidRDefault="005A7BD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620A4D"/>
    <w:multiLevelType w:val="multilevel"/>
    <w:tmpl w:val="CF64EA6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C41B94"/>
    <w:multiLevelType w:val="multilevel"/>
    <w:tmpl w:val="45204AD8"/>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3E36570B"/>
    <w:multiLevelType w:val="multilevel"/>
    <w:tmpl w:val="F3105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404BEF"/>
    <w:multiLevelType w:val="multilevel"/>
    <w:tmpl w:val="90A6B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3412F2D"/>
    <w:multiLevelType w:val="hybridMultilevel"/>
    <w:tmpl w:val="F6C0B2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3BB6731"/>
    <w:multiLevelType w:val="multilevel"/>
    <w:tmpl w:val="163C565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2D7665"/>
    <w:multiLevelType w:val="hybridMultilevel"/>
    <w:tmpl w:val="B0DA1C8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B6626B7"/>
    <w:multiLevelType w:val="hybridMultilevel"/>
    <w:tmpl w:val="1C36C956"/>
    <w:lvl w:ilvl="0" w:tplc="A3FA42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D666EF9"/>
    <w:multiLevelType w:val="multilevel"/>
    <w:tmpl w:val="07908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E772129"/>
    <w:multiLevelType w:val="hybridMultilevel"/>
    <w:tmpl w:val="BA12B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5"/>
  </w:num>
  <w:num w:numId="6">
    <w:abstractNumId w:val="8"/>
  </w:num>
  <w:num w:numId="7">
    <w:abstractNumId w:val="9"/>
  </w:num>
  <w:num w:numId="8">
    <w:abstractNumId w:val="7"/>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EBF"/>
    <w:rsid w:val="0001638F"/>
    <w:rsid w:val="0005345D"/>
    <w:rsid w:val="000559A7"/>
    <w:rsid w:val="000C2D77"/>
    <w:rsid w:val="001B28F3"/>
    <w:rsid w:val="001B5C67"/>
    <w:rsid w:val="002106AC"/>
    <w:rsid w:val="002153E9"/>
    <w:rsid w:val="002C0F4C"/>
    <w:rsid w:val="003319A3"/>
    <w:rsid w:val="003B7ABE"/>
    <w:rsid w:val="004132A6"/>
    <w:rsid w:val="00452BF2"/>
    <w:rsid w:val="005A7BD3"/>
    <w:rsid w:val="006E7798"/>
    <w:rsid w:val="00795CC0"/>
    <w:rsid w:val="007C67F5"/>
    <w:rsid w:val="00853FA7"/>
    <w:rsid w:val="008C56E2"/>
    <w:rsid w:val="00981E9F"/>
    <w:rsid w:val="00AD78B6"/>
    <w:rsid w:val="00BD4C3B"/>
    <w:rsid w:val="00C40035"/>
    <w:rsid w:val="00C50EBF"/>
    <w:rsid w:val="00CD25E4"/>
    <w:rsid w:val="00CE6967"/>
    <w:rsid w:val="00FE0A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CC6FF"/>
  <w15:docId w15:val="{6CE94E86-996B-4D16-A9C8-5700466F3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7C9"/>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B001C4"/>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21" Type="http://schemas.openxmlformats.org/officeDocument/2006/relationships/image" Target="media/image19.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onocer.gob.mx/listado-de-entidades-de-certificacion-y-evaluacion/" TargetMode="External"/><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oleObject" Target="embeddings/oleObject1.bin"/><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conocer.gob.mx/RENAP/certificaciones"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nC7wp+gTMDxF95mcckpoPnTjew==">AMUW2mUE7dh97JECFkzFb0FKc4RLXFWUpknX5a1M/hOZAcUmazH5/m+ChflzeqlAtOS+vTWbfdSyuzszKFsj1MZ3qs+E5Bv5CcpgZFEsO3hUQQY6gc5hDn8iSV1YnMt02QYRi3kw6eIsOwflLnWQUzlCQ04E+/Q9WeOOGAfX78Qw3H31dj40i90=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58</Pages>
  <Words>11139</Words>
  <Characters>61268</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5</cp:revision>
  <cp:lastPrinted>2022-06-16T19:24:00Z</cp:lastPrinted>
  <dcterms:created xsi:type="dcterms:W3CDTF">2022-06-16T01:11:00Z</dcterms:created>
  <dcterms:modified xsi:type="dcterms:W3CDTF">2022-07-06T22:43:00Z</dcterms:modified>
</cp:coreProperties>
</file>